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37D82" w:rsidRPr="00910E94" w:rsidTr="00A61266">
        <w:tc>
          <w:tcPr>
            <w:tcW w:w="4513" w:type="dxa"/>
            <w:tcBorders>
              <w:bottom w:val="single" w:sz="4" w:space="0" w:color="auto"/>
            </w:tcBorders>
            <w:tcMar>
              <w:bottom w:w="170" w:type="dxa"/>
            </w:tcMar>
          </w:tcPr>
          <w:p w:rsidR="00861A68" w:rsidRPr="00910E94" w:rsidRDefault="00861A68" w:rsidP="00337D82">
            <w:pPr>
              <w:spacing w:after="0" w:line="240" w:lineRule="auto"/>
              <w:rPr>
                <w:rFonts w:ascii="Arial" w:eastAsia="SimSun" w:hAnsi="Arial" w:cs="Arial"/>
                <w:szCs w:val="20"/>
                <w:lang w:val="es-ES_tradnl"/>
              </w:rPr>
            </w:pPr>
          </w:p>
        </w:tc>
        <w:tc>
          <w:tcPr>
            <w:tcW w:w="4337" w:type="dxa"/>
            <w:tcBorders>
              <w:bottom w:val="single" w:sz="4" w:space="0" w:color="auto"/>
            </w:tcBorders>
            <w:tcMar>
              <w:left w:w="0" w:type="dxa"/>
              <w:right w:w="0" w:type="dxa"/>
            </w:tcMar>
          </w:tcPr>
          <w:p w:rsidR="00337D82" w:rsidRPr="00910E94" w:rsidRDefault="00F37986" w:rsidP="00337D82">
            <w:pPr>
              <w:spacing w:after="0" w:line="240" w:lineRule="auto"/>
              <w:rPr>
                <w:rFonts w:ascii="Arial" w:eastAsia="SimSun" w:hAnsi="Arial" w:cs="Arial"/>
                <w:szCs w:val="20"/>
                <w:lang w:val="es-ES_tradnl"/>
              </w:rPr>
            </w:pPr>
            <w:r w:rsidRPr="00432869">
              <w:rPr>
                <w:rFonts w:ascii="Arial" w:eastAsia="SimSun" w:hAnsi="Arial" w:cs="Arial"/>
                <w:noProof/>
                <w:szCs w:val="20"/>
                <w:lang w:val="en-US" w:eastAsia="en-US" w:bidi="ar-SA"/>
              </w:rPr>
              <w:drawing>
                <wp:inline distT="0" distB="0" distL="0" distR="0" wp14:anchorId="45A45B73" wp14:editId="4D5525E4">
                  <wp:extent cx="1860550" cy="1327785"/>
                  <wp:effectExtent l="0" t="0" r="6350" b="5715"/>
                  <wp:docPr id="3"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37D82" w:rsidRPr="00910E94" w:rsidRDefault="00432869" w:rsidP="00337D82">
            <w:pPr>
              <w:spacing w:after="0" w:line="240" w:lineRule="auto"/>
              <w:jc w:val="right"/>
              <w:rPr>
                <w:rFonts w:ascii="Arial" w:eastAsia="SimSun" w:hAnsi="Arial" w:cs="Arial"/>
                <w:szCs w:val="20"/>
                <w:lang w:val="es-ES_tradnl"/>
              </w:rPr>
            </w:pPr>
            <w:r>
              <w:rPr>
                <w:rFonts w:ascii="Arial" w:hAnsi="Arial"/>
                <w:b/>
                <w:sz w:val="40"/>
                <w:lang w:val="es-ES_tradnl"/>
              </w:rPr>
              <w:t>S</w:t>
            </w:r>
          </w:p>
        </w:tc>
      </w:tr>
      <w:tr w:rsidR="00337D82" w:rsidRPr="00910E94" w:rsidTr="00B0154F">
        <w:trPr>
          <w:trHeight w:hRule="exact" w:val="340"/>
        </w:trPr>
        <w:tc>
          <w:tcPr>
            <w:tcW w:w="9356" w:type="dxa"/>
            <w:gridSpan w:val="3"/>
            <w:tcBorders>
              <w:top w:val="single" w:sz="4" w:space="0" w:color="auto"/>
            </w:tcBorders>
            <w:tcMar>
              <w:top w:w="170" w:type="dxa"/>
              <w:left w:w="0" w:type="dxa"/>
              <w:right w:w="0" w:type="dxa"/>
            </w:tcMar>
            <w:vAlign w:val="bottom"/>
          </w:tcPr>
          <w:p w:rsidR="00337D82" w:rsidRPr="00910E94" w:rsidRDefault="00337D82" w:rsidP="00337D82">
            <w:pPr>
              <w:spacing w:after="0" w:line="240" w:lineRule="auto"/>
              <w:jc w:val="right"/>
              <w:rPr>
                <w:rFonts w:ascii="Arial Black" w:eastAsia="SimSun" w:hAnsi="Arial Black" w:cs="Arial"/>
                <w:caps/>
                <w:sz w:val="15"/>
                <w:szCs w:val="20"/>
                <w:lang w:val="es-ES_tradnl"/>
              </w:rPr>
            </w:pPr>
            <w:r w:rsidRPr="00910E94">
              <w:rPr>
                <w:rFonts w:ascii="Arial Black" w:hAnsi="Arial Black"/>
                <w:caps/>
                <w:sz w:val="15"/>
                <w:lang w:val="es-ES_tradnl"/>
              </w:rPr>
              <w:t>wo/pbc/24/</w:t>
            </w:r>
            <w:bookmarkStart w:id="0" w:name="Code"/>
            <w:bookmarkEnd w:id="0"/>
            <w:r w:rsidRPr="00910E94">
              <w:rPr>
                <w:rFonts w:ascii="Arial Black" w:hAnsi="Arial Black"/>
                <w:caps/>
                <w:sz w:val="15"/>
                <w:lang w:val="es-ES_tradnl"/>
              </w:rPr>
              <w:t xml:space="preserve">5    </w:t>
            </w:r>
          </w:p>
        </w:tc>
      </w:tr>
      <w:tr w:rsidR="00337D82" w:rsidRPr="00910E94" w:rsidTr="00B0154F">
        <w:trPr>
          <w:trHeight w:hRule="exact" w:val="170"/>
        </w:trPr>
        <w:tc>
          <w:tcPr>
            <w:tcW w:w="9356" w:type="dxa"/>
            <w:gridSpan w:val="3"/>
            <w:noWrap/>
            <w:tcMar>
              <w:left w:w="0" w:type="dxa"/>
              <w:right w:w="0" w:type="dxa"/>
            </w:tcMar>
            <w:vAlign w:val="bottom"/>
          </w:tcPr>
          <w:p w:rsidR="00337D82" w:rsidRPr="00910E94" w:rsidRDefault="00337D82" w:rsidP="00337D82">
            <w:pPr>
              <w:spacing w:after="0" w:line="240" w:lineRule="auto"/>
              <w:jc w:val="right"/>
              <w:rPr>
                <w:rFonts w:ascii="Arial Black" w:eastAsia="SimSun" w:hAnsi="Arial Black" w:cs="Arial"/>
                <w:caps/>
                <w:sz w:val="15"/>
                <w:szCs w:val="20"/>
                <w:lang w:val="es-ES_tradnl"/>
              </w:rPr>
            </w:pPr>
            <w:r w:rsidRPr="00910E94">
              <w:rPr>
                <w:rFonts w:ascii="Arial Black" w:hAnsi="Arial Black"/>
                <w:caps/>
                <w:sz w:val="15"/>
                <w:lang w:val="es-ES_tradnl"/>
              </w:rPr>
              <w:t>ORIGINAL</w:t>
            </w:r>
            <w:r w:rsidR="00EC215B">
              <w:rPr>
                <w:rFonts w:ascii="Arial Black" w:hAnsi="Arial Black"/>
                <w:caps/>
                <w:sz w:val="15"/>
                <w:lang w:val="es-ES_tradnl"/>
              </w:rPr>
              <w:t xml:space="preserve">:  </w:t>
            </w:r>
            <w:bookmarkStart w:id="1" w:name="Original"/>
            <w:bookmarkEnd w:id="1"/>
            <w:r w:rsidRPr="00910E94">
              <w:rPr>
                <w:rFonts w:ascii="Arial Black" w:hAnsi="Arial Black"/>
                <w:caps/>
                <w:sz w:val="15"/>
                <w:lang w:val="es-ES_tradnl"/>
              </w:rPr>
              <w:t>INGLÉS</w:t>
            </w:r>
          </w:p>
        </w:tc>
      </w:tr>
      <w:tr w:rsidR="00337D82" w:rsidRPr="00910E94" w:rsidTr="00B0154F">
        <w:trPr>
          <w:trHeight w:hRule="exact" w:val="198"/>
        </w:trPr>
        <w:tc>
          <w:tcPr>
            <w:tcW w:w="9356" w:type="dxa"/>
            <w:gridSpan w:val="3"/>
            <w:tcMar>
              <w:left w:w="0" w:type="dxa"/>
              <w:right w:w="0" w:type="dxa"/>
            </w:tcMar>
            <w:vAlign w:val="bottom"/>
          </w:tcPr>
          <w:p w:rsidR="00337D82" w:rsidRPr="00910E94" w:rsidRDefault="00337D82" w:rsidP="00337D82">
            <w:pPr>
              <w:spacing w:after="0" w:line="240" w:lineRule="auto"/>
              <w:jc w:val="right"/>
              <w:rPr>
                <w:rFonts w:ascii="Arial Black" w:eastAsia="SimSun" w:hAnsi="Arial Black" w:cs="Arial"/>
                <w:caps/>
                <w:sz w:val="15"/>
                <w:szCs w:val="20"/>
                <w:lang w:val="es-ES_tradnl"/>
              </w:rPr>
            </w:pPr>
            <w:r w:rsidRPr="00910E94">
              <w:rPr>
                <w:rFonts w:ascii="Arial Black" w:hAnsi="Arial Black"/>
                <w:caps/>
                <w:sz w:val="15"/>
                <w:lang w:val="es-ES_tradnl"/>
              </w:rPr>
              <w:t>FECHA</w:t>
            </w:r>
            <w:r w:rsidR="00EC215B">
              <w:rPr>
                <w:rFonts w:ascii="Arial Black" w:hAnsi="Arial Black"/>
                <w:caps/>
                <w:sz w:val="15"/>
                <w:lang w:val="es-ES_tradnl"/>
              </w:rPr>
              <w:t xml:space="preserve">:  </w:t>
            </w:r>
            <w:bookmarkStart w:id="2" w:name="Date"/>
            <w:bookmarkEnd w:id="2"/>
            <w:r w:rsidRPr="00910E94">
              <w:rPr>
                <w:rFonts w:ascii="Arial Black" w:hAnsi="Arial Black"/>
                <w:caps/>
                <w:sz w:val="15"/>
                <w:lang w:val="es-ES_tradnl"/>
              </w:rPr>
              <w:t xml:space="preserve">31 de julio </w:t>
            </w:r>
            <w:r w:rsidR="00CC3D7A" w:rsidRPr="00910E94">
              <w:rPr>
                <w:rFonts w:ascii="Arial Black" w:hAnsi="Arial Black"/>
                <w:caps/>
                <w:sz w:val="15"/>
                <w:lang w:val="es-ES_tradnl"/>
              </w:rPr>
              <w:t>de 20</w:t>
            </w:r>
            <w:r w:rsidRPr="00910E94">
              <w:rPr>
                <w:rFonts w:ascii="Arial Black" w:hAnsi="Arial Black"/>
                <w:caps/>
                <w:sz w:val="15"/>
                <w:lang w:val="es-ES_tradnl"/>
              </w:rPr>
              <w:t>15</w:t>
            </w:r>
          </w:p>
        </w:tc>
      </w:tr>
    </w:tbl>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b/>
          <w:sz w:val="28"/>
          <w:szCs w:val="28"/>
          <w:lang w:val="es-ES_tradnl"/>
        </w:rPr>
      </w:pPr>
      <w:r w:rsidRPr="00910E94">
        <w:rPr>
          <w:rFonts w:ascii="Arial" w:hAnsi="Arial"/>
          <w:b/>
          <w:sz w:val="28"/>
          <w:lang w:val="es-ES_tradnl"/>
        </w:rPr>
        <w:t>Comité del Programa y Pr</w:t>
      </w:r>
      <w:bookmarkStart w:id="3" w:name="_GoBack"/>
      <w:bookmarkEnd w:id="3"/>
      <w:r w:rsidRPr="00910E94">
        <w:rPr>
          <w:rFonts w:ascii="Arial" w:hAnsi="Arial"/>
          <w:b/>
          <w:sz w:val="28"/>
          <w:lang w:val="es-ES_tradnl"/>
        </w:rPr>
        <w:t>esupuesto</w:t>
      </w: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b/>
          <w:sz w:val="24"/>
          <w:szCs w:val="24"/>
          <w:lang w:val="es-ES_tradnl"/>
        </w:rPr>
      </w:pPr>
      <w:r w:rsidRPr="00910E94">
        <w:rPr>
          <w:rFonts w:ascii="Arial" w:hAnsi="Arial"/>
          <w:b/>
          <w:sz w:val="24"/>
          <w:lang w:val="es-ES_tradnl"/>
        </w:rPr>
        <w:t>Vigesimocuarta sesión</w:t>
      </w:r>
    </w:p>
    <w:p w:rsidR="00337D82" w:rsidRPr="00910E94" w:rsidRDefault="00337D82" w:rsidP="00337D82">
      <w:pPr>
        <w:spacing w:after="0" w:line="240" w:lineRule="auto"/>
        <w:rPr>
          <w:rFonts w:ascii="Arial" w:eastAsia="SimSun" w:hAnsi="Arial" w:cs="Arial"/>
          <w:szCs w:val="20"/>
          <w:lang w:val="es-ES_tradnl"/>
        </w:rPr>
      </w:pPr>
      <w:r w:rsidRPr="00910E94">
        <w:rPr>
          <w:rFonts w:ascii="Arial" w:hAnsi="Arial"/>
          <w:b/>
          <w:sz w:val="24"/>
          <w:lang w:val="es-ES_tradnl"/>
        </w:rPr>
        <w:t xml:space="preserve">Ginebra, 14 a 18 de septiembre </w:t>
      </w:r>
      <w:r w:rsidR="00CC3D7A" w:rsidRPr="00910E94">
        <w:rPr>
          <w:rFonts w:ascii="Arial" w:hAnsi="Arial"/>
          <w:b/>
          <w:sz w:val="24"/>
          <w:lang w:val="es-ES_tradnl"/>
        </w:rPr>
        <w:t>de 20</w:t>
      </w:r>
      <w:r w:rsidRPr="00910E94">
        <w:rPr>
          <w:rFonts w:ascii="Arial" w:hAnsi="Arial"/>
          <w:b/>
          <w:sz w:val="24"/>
          <w:lang w:val="es-ES_tradnl"/>
        </w:rPr>
        <w:t>15</w:t>
      </w: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caps/>
          <w:sz w:val="24"/>
          <w:szCs w:val="20"/>
          <w:lang w:val="es-ES_tradnl"/>
        </w:rPr>
      </w:pPr>
      <w:bookmarkStart w:id="4" w:name="TitleOfDoc"/>
      <w:bookmarkEnd w:id="4"/>
      <w:r w:rsidRPr="00910E94">
        <w:rPr>
          <w:rFonts w:ascii="Arial" w:hAnsi="Arial"/>
          <w:caps/>
          <w:sz w:val="24"/>
          <w:lang w:val="es-ES_tradnl"/>
        </w:rPr>
        <w:t>INFORME DEL AUDITOR EXTERNO</w:t>
      </w: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i/>
          <w:szCs w:val="20"/>
          <w:lang w:val="es-ES_tradnl"/>
        </w:rPr>
      </w:pPr>
      <w:bookmarkStart w:id="5" w:name="Prepared"/>
      <w:bookmarkEnd w:id="5"/>
      <w:r w:rsidRPr="00910E94">
        <w:rPr>
          <w:rFonts w:ascii="Arial" w:hAnsi="Arial"/>
          <w:i/>
          <w:lang w:val="es-ES_tradnl"/>
        </w:rPr>
        <w:t>preparado por la Secretaría</w:t>
      </w: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CA5A04">
      <w:pPr>
        <w:numPr>
          <w:ilvl w:val="0"/>
          <w:numId w:val="24"/>
        </w:numPr>
        <w:tabs>
          <w:tab w:val="left" w:pos="567"/>
        </w:tabs>
        <w:spacing w:after="0" w:line="240" w:lineRule="auto"/>
        <w:ind w:left="0" w:firstLine="0"/>
        <w:contextualSpacing/>
        <w:rPr>
          <w:rFonts w:ascii="Arial" w:eastAsia="SimSun" w:hAnsi="Arial" w:cs="Arial"/>
          <w:szCs w:val="20"/>
          <w:lang w:val="es-ES_tradnl"/>
        </w:rPr>
      </w:pPr>
      <w:r w:rsidRPr="00910E94">
        <w:rPr>
          <w:rFonts w:ascii="Arial" w:hAnsi="Arial"/>
          <w:lang w:val="es-ES_tradnl"/>
        </w:rPr>
        <w:t>El presente documento comprende los siguientes elementos:</w:t>
      </w: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C03083">
      <w:pPr>
        <w:numPr>
          <w:ilvl w:val="0"/>
          <w:numId w:val="23"/>
        </w:numPr>
        <w:tabs>
          <w:tab w:val="left" w:pos="1134"/>
        </w:tabs>
        <w:spacing w:after="0" w:line="240" w:lineRule="auto"/>
        <w:ind w:left="574" w:firstLine="0"/>
        <w:rPr>
          <w:rFonts w:ascii="Arial" w:eastAsia="SimSun" w:hAnsi="Arial" w:cs="Arial"/>
          <w:szCs w:val="20"/>
          <w:lang w:val="es-ES_tradnl"/>
        </w:rPr>
      </w:pPr>
      <w:r w:rsidRPr="00910E94">
        <w:rPr>
          <w:rFonts w:ascii="Arial" w:hAnsi="Arial"/>
          <w:lang w:val="es-ES_tradnl"/>
        </w:rPr>
        <w:t xml:space="preserve">El informe del Auditor Independiente, que contiene el dictamen del Auditor Externo acerca de los estados financieros de la Organización Mundial de la Propiedad Intelectual (OMPI) correspondientes al ejercicio concluido el 31 de diciembre </w:t>
      </w:r>
      <w:r w:rsidR="00CC3D7A" w:rsidRPr="00910E94">
        <w:rPr>
          <w:rFonts w:ascii="Arial" w:hAnsi="Arial"/>
          <w:lang w:val="es-ES_tradnl"/>
        </w:rPr>
        <w:t>de 20</w:t>
      </w:r>
      <w:r w:rsidRPr="00910E94">
        <w:rPr>
          <w:rFonts w:ascii="Arial" w:hAnsi="Arial"/>
          <w:lang w:val="es-ES_tradnl"/>
        </w:rPr>
        <w:t>14;</w:t>
      </w:r>
    </w:p>
    <w:p w:rsidR="00337D82" w:rsidRPr="00910E94" w:rsidRDefault="00337D82" w:rsidP="00C03083">
      <w:pPr>
        <w:spacing w:after="0" w:line="240" w:lineRule="auto"/>
        <w:rPr>
          <w:rFonts w:ascii="Arial" w:eastAsia="SimSun" w:hAnsi="Arial" w:cs="Arial"/>
          <w:szCs w:val="20"/>
          <w:lang w:val="es-ES_tradnl"/>
        </w:rPr>
      </w:pPr>
    </w:p>
    <w:p w:rsidR="00337D82" w:rsidRPr="00910E94" w:rsidRDefault="00337D82" w:rsidP="00C03083">
      <w:pPr>
        <w:numPr>
          <w:ilvl w:val="0"/>
          <w:numId w:val="23"/>
        </w:numPr>
        <w:tabs>
          <w:tab w:val="left" w:pos="1134"/>
        </w:tabs>
        <w:spacing w:after="0" w:line="240" w:lineRule="auto"/>
        <w:ind w:left="574" w:firstLine="0"/>
        <w:rPr>
          <w:rFonts w:ascii="Arial" w:eastAsia="SimSun" w:hAnsi="Arial" w:cs="Arial"/>
          <w:szCs w:val="20"/>
          <w:lang w:val="es-ES_tradnl"/>
        </w:rPr>
      </w:pPr>
      <w:r w:rsidRPr="00910E94">
        <w:rPr>
          <w:rFonts w:ascii="Arial" w:hAnsi="Arial"/>
          <w:lang w:val="es-ES_tradnl"/>
        </w:rPr>
        <w:t xml:space="preserve">El informe del Auditor Externo sobre el ejercicio </w:t>
      </w:r>
      <w:r w:rsidR="00CC3D7A" w:rsidRPr="00910E94">
        <w:rPr>
          <w:rFonts w:ascii="Arial" w:hAnsi="Arial"/>
          <w:lang w:val="es-ES_tradnl"/>
        </w:rPr>
        <w:t>de 20</w:t>
      </w:r>
      <w:r w:rsidRPr="00910E94">
        <w:rPr>
          <w:rFonts w:ascii="Arial" w:hAnsi="Arial"/>
          <w:lang w:val="es-ES_tradnl"/>
        </w:rPr>
        <w:t>14 que se presenta a la quincuagésima quinta serie de reuniones de las Asambleas de los Estados miembros de la OMPI (también llamado “informe extenso”)</w:t>
      </w:r>
      <w:r w:rsidR="00344EE2">
        <w:rPr>
          <w:rFonts w:ascii="Arial" w:hAnsi="Arial"/>
          <w:lang w:val="es-ES_tradnl"/>
        </w:rPr>
        <w:t xml:space="preserve">.  </w:t>
      </w:r>
      <w:r w:rsidRPr="00910E94">
        <w:rPr>
          <w:rFonts w:ascii="Arial" w:hAnsi="Arial"/>
          <w:lang w:val="es-ES_tradnl"/>
        </w:rPr>
        <w:t>Dicho informe contiene las principales recomendaciones del Auditor Externo dimanantes de las tres auditorías realizadas en el bienio 2014/15;</w:t>
      </w: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C03083">
      <w:pPr>
        <w:numPr>
          <w:ilvl w:val="0"/>
          <w:numId w:val="23"/>
        </w:numPr>
        <w:tabs>
          <w:tab w:val="left" w:pos="1134"/>
        </w:tabs>
        <w:spacing w:after="0" w:line="240" w:lineRule="auto"/>
        <w:ind w:left="574" w:firstLine="0"/>
        <w:rPr>
          <w:rFonts w:ascii="Arial" w:eastAsia="SimSun" w:hAnsi="Arial" w:cs="Arial"/>
          <w:szCs w:val="20"/>
          <w:lang w:val="es-ES_tradnl"/>
        </w:rPr>
      </w:pPr>
      <w:r w:rsidRPr="00910E94">
        <w:rPr>
          <w:rFonts w:ascii="Arial" w:hAnsi="Arial"/>
          <w:lang w:val="es-ES_tradnl"/>
        </w:rPr>
        <w:t>Las respuestas de la Secretaría de la OMPI a las recomendaciones del Auditor Externo</w:t>
      </w:r>
      <w:r w:rsidR="00AB18E9">
        <w:rPr>
          <w:rFonts w:ascii="Arial" w:hAnsi="Arial"/>
          <w:lang w:val="es-ES_tradnl"/>
        </w:rPr>
        <w:t xml:space="preserve">;  </w:t>
      </w:r>
      <w:r w:rsidRPr="00910E94">
        <w:rPr>
          <w:rFonts w:ascii="Arial" w:hAnsi="Arial"/>
          <w:lang w:val="es-ES_tradnl"/>
        </w:rPr>
        <w:t>y</w:t>
      </w:r>
    </w:p>
    <w:p w:rsidR="00337D82" w:rsidRPr="00910E94" w:rsidRDefault="00337D82" w:rsidP="00337D82">
      <w:pPr>
        <w:spacing w:after="0" w:line="240" w:lineRule="auto"/>
        <w:rPr>
          <w:rFonts w:ascii="Arial" w:eastAsia="SimSun" w:hAnsi="Arial" w:cs="Arial"/>
          <w:szCs w:val="20"/>
          <w:lang w:val="es-ES_tradnl"/>
        </w:rPr>
      </w:pPr>
    </w:p>
    <w:p w:rsidR="00CA5A04" w:rsidRPr="00910E94" w:rsidRDefault="00337D82" w:rsidP="00C03083">
      <w:pPr>
        <w:numPr>
          <w:ilvl w:val="0"/>
          <w:numId w:val="23"/>
        </w:numPr>
        <w:tabs>
          <w:tab w:val="left" w:pos="1134"/>
        </w:tabs>
        <w:spacing w:after="0" w:line="240" w:lineRule="auto"/>
        <w:ind w:left="574" w:firstLine="0"/>
        <w:rPr>
          <w:rFonts w:ascii="Arial" w:eastAsia="SimSun" w:hAnsi="Arial" w:cs="Arial"/>
          <w:szCs w:val="20"/>
          <w:lang w:val="es-ES_tradnl"/>
        </w:rPr>
      </w:pPr>
      <w:r w:rsidRPr="00910E94">
        <w:rPr>
          <w:rFonts w:ascii="Arial" w:hAnsi="Arial"/>
          <w:lang w:val="es-ES_tradnl"/>
        </w:rPr>
        <w:t>La Declaración sobre el control interno, firmada por el Director General de la OMPI.</w:t>
      </w:r>
    </w:p>
    <w:p w:rsidR="00333CA1" w:rsidRPr="00910E94" w:rsidRDefault="00333CA1" w:rsidP="00333CA1">
      <w:pPr>
        <w:spacing w:after="0" w:line="240" w:lineRule="auto"/>
        <w:rPr>
          <w:rFonts w:ascii="Arial" w:eastAsia="SimSun" w:hAnsi="Arial" w:cs="Arial"/>
          <w:szCs w:val="20"/>
          <w:lang w:val="es-ES_tradnl"/>
        </w:rPr>
      </w:pPr>
    </w:p>
    <w:p w:rsidR="00DB0571" w:rsidRDefault="00DB0571">
      <w:pPr>
        <w:spacing w:after="0" w:line="240" w:lineRule="auto"/>
        <w:rPr>
          <w:rFonts w:ascii="Arial" w:hAnsi="Arial"/>
          <w:lang w:val="es-ES_tradnl"/>
        </w:rPr>
      </w:pPr>
      <w:r>
        <w:rPr>
          <w:rFonts w:ascii="Arial" w:hAnsi="Arial"/>
          <w:lang w:val="es-ES_tradnl"/>
        </w:rPr>
        <w:br w:type="page"/>
      </w:r>
    </w:p>
    <w:p w:rsidR="00337D82" w:rsidRPr="00910E94" w:rsidRDefault="00337D82" w:rsidP="00CA5A04">
      <w:pPr>
        <w:numPr>
          <w:ilvl w:val="0"/>
          <w:numId w:val="24"/>
        </w:numPr>
        <w:tabs>
          <w:tab w:val="left" w:pos="567"/>
        </w:tabs>
        <w:spacing w:after="0" w:line="240" w:lineRule="auto"/>
        <w:ind w:left="0" w:firstLine="0"/>
        <w:contextualSpacing/>
        <w:rPr>
          <w:rFonts w:ascii="Arial" w:eastAsia="SimSun" w:hAnsi="Arial" w:cs="Arial"/>
          <w:szCs w:val="20"/>
          <w:lang w:val="es-ES_tradnl"/>
        </w:rPr>
      </w:pPr>
      <w:r w:rsidRPr="00910E94">
        <w:rPr>
          <w:rFonts w:ascii="Arial" w:hAnsi="Arial"/>
          <w:lang w:val="es-ES_tradnl"/>
        </w:rPr>
        <w:lastRenderedPageBreak/>
        <w:t>Se propone el siguiente párrafo de decisión.</w:t>
      </w:r>
    </w:p>
    <w:p w:rsidR="00337D82" w:rsidRPr="00910E94" w:rsidRDefault="00337D82" w:rsidP="00337D82">
      <w:pPr>
        <w:spacing w:after="0" w:line="240" w:lineRule="auto"/>
        <w:rPr>
          <w:rFonts w:ascii="Arial" w:eastAsia="SimSun" w:hAnsi="Arial" w:cs="Arial"/>
          <w:szCs w:val="20"/>
          <w:lang w:val="es-ES_tradnl"/>
        </w:rPr>
      </w:pPr>
    </w:p>
    <w:p w:rsidR="00337D82" w:rsidRPr="00910E94" w:rsidRDefault="00337D82" w:rsidP="00DB0571">
      <w:pPr>
        <w:numPr>
          <w:ilvl w:val="0"/>
          <w:numId w:val="24"/>
        </w:numPr>
        <w:tabs>
          <w:tab w:val="left" w:pos="6237"/>
        </w:tabs>
        <w:spacing w:after="0" w:line="240" w:lineRule="auto"/>
        <w:ind w:left="5670" w:right="-284" w:firstLine="0"/>
        <w:contextualSpacing/>
        <w:rPr>
          <w:rFonts w:ascii="Arial" w:eastAsia="SimSun" w:hAnsi="Arial" w:cs="Arial"/>
          <w:i/>
          <w:szCs w:val="20"/>
          <w:lang w:val="es-ES_tradnl"/>
        </w:rPr>
      </w:pPr>
      <w:r w:rsidRPr="00910E94">
        <w:rPr>
          <w:rFonts w:ascii="Arial" w:hAnsi="Arial"/>
          <w:i/>
          <w:lang w:val="es-ES_tradnl"/>
        </w:rPr>
        <w:t>El Comité del Program</w:t>
      </w:r>
      <w:r w:rsidR="00BF6505">
        <w:rPr>
          <w:rFonts w:ascii="Arial" w:hAnsi="Arial"/>
          <w:i/>
          <w:lang w:val="es-ES_tradnl"/>
        </w:rPr>
        <w:t>a y Presupuesto recomendó a la A</w:t>
      </w:r>
      <w:r w:rsidRPr="00910E94">
        <w:rPr>
          <w:rFonts w:ascii="Arial" w:hAnsi="Arial"/>
          <w:i/>
          <w:lang w:val="es-ES_tradnl"/>
        </w:rPr>
        <w:t xml:space="preserve">samblea </w:t>
      </w:r>
      <w:r w:rsidR="00BF6505">
        <w:rPr>
          <w:rFonts w:ascii="Arial" w:hAnsi="Arial"/>
          <w:i/>
          <w:lang w:val="es-ES_tradnl"/>
        </w:rPr>
        <w:t>G</w:t>
      </w:r>
      <w:r w:rsidRPr="00910E94">
        <w:rPr>
          <w:rFonts w:ascii="Arial" w:hAnsi="Arial"/>
          <w:i/>
          <w:lang w:val="es-ES_tradnl"/>
        </w:rPr>
        <w:t>eneral y demás Asambleas de los Estados miembros de la OMPI que tomen nota del informe del Auditor Externo (documento WO/PBC/24/5).</w:t>
      </w:r>
    </w:p>
    <w:p w:rsidR="00337D82" w:rsidRPr="00DF37F8" w:rsidRDefault="00337D82" w:rsidP="00DB0571">
      <w:pPr>
        <w:spacing w:after="0" w:line="240" w:lineRule="auto"/>
        <w:rPr>
          <w:rFonts w:ascii="Arial" w:hAnsi="Arial" w:cs="Arial"/>
          <w:lang w:val="es-ES_tradnl"/>
        </w:rPr>
      </w:pPr>
    </w:p>
    <w:p w:rsidR="00337D82" w:rsidRPr="00DF37F8" w:rsidRDefault="00337D82" w:rsidP="00DB0571">
      <w:pPr>
        <w:spacing w:after="0" w:line="240" w:lineRule="auto"/>
        <w:rPr>
          <w:rFonts w:ascii="Arial" w:hAnsi="Arial" w:cs="Arial"/>
          <w:lang w:val="es-ES_tradnl"/>
        </w:rPr>
      </w:pPr>
    </w:p>
    <w:p w:rsidR="00337D82" w:rsidRPr="00910E94" w:rsidRDefault="00337D82" w:rsidP="00DB0571">
      <w:pPr>
        <w:spacing w:after="0" w:line="240" w:lineRule="auto"/>
        <w:ind w:left="5670"/>
        <w:rPr>
          <w:rFonts w:ascii="Arial" w:eastAsia="SimSun" w:hAnsi="Arial" w:cs="Arial"/>
          <w:szCs w:val="20"/>
          <w:lang w:val="es-ES_tradnl"/>
        </w:rPr>
      </w:pPr>
      <w:r w:rsidRPr="00910E94">
        <w:rPr>
          <w:rFonts w:ascii="Arial" w:hAnsi="Arial"/>
          <w:lang w:val="es-ES_tradnl"/>
        </w:rPr>
        <w:t>[</w:t>
      </w:r>
      <w:r w:rsidR="00BF6505">
        <w:rPr>
          <w:rFonts w:ascii="Arial" w:hAnsi="Arial"/>
          <w:lang w:val="es-ES_tradnl"/>
        </w:rPr>
        <w:t xml:space="preserve">Sigue </w:t>
      </w:r>
      <w:r w:rsidRPr="00910E94">
        <w:rPr>
          <w:rFonts w:ascii="Arial" w:hAnsi="Arial"/>
          <w:lang w:val="es-ES_tradnl"/>
        </w:rPr>
        <w:t>el informe del Auditor Externo]</w:t>
      </w:r>
    </w:p>
    <w:p w:rsidR="00337D82" w:rsidRDefault="00337D82" w:rsidP="00DB0571">
      <w:pPr>
        <w:spacing w:after="0" w:line="240" w:lineRule="auto"/>
        <w:rPr>
          <w:rFonts w:ascii="Arial" w:eastAsia="SimSun" w:hAnsi="Arial" w:cs="Arial"/>
          <w:szCs w:val="20"/>
          <w:lang w:val="es-ES_tradnl"/>
        </w:rPr>
      </w:pPr>
    </w:p>
    <w:p w:rsidR="004D301C" w:rsidRPr="00910E94" w:rsidRDefault="004D301C" w:rsidP="00337D82">
      <w:pPr>
        <w:spacing w:after="0" w:line="240" w:lineRule="auto"/>
        <w:rPr>
          <w:rFonts w:ascii="Arial" w:eastAsia="SimSun" w:hAnsi="Arial" w:cs="Arial"/>
          <w:szCs w:val="20"/>
          <w:lang w:val="es-ES_tradnl"/>
        </w:rPr>
        <w:sectPr w:rsidR="004D301C" w:rsidRPr="00910E94" w:rsidSect="007302BD">
          <w:headerReference w:type="default" r:id="rId10"/>
          <w:endnotePr>
            <w:numFmt w:val="decimal"/>
          </w:endnotePr>
          <w:pgSz w:w="11907" w:h="16840" w:code="9"/>
          <w:pgMar w:top="567" w:right="1418" w:bottom="1418" w:left="1418" w:header="510" w:footer="1021" w:gutter="0"/>
          <w:pgNumType w:start="1"/>
          <w:cols w:space="720"/>
          <w:titlePg/>
          <w:docGrid w:linePitch="299"/>
        </w:sectPr>
      </w:pPr>
    </w:p>
    <w:p w:rsidR="00A0227B" w:rsidRPr="00910E94" w:rsidRDefault="00A0227B" w:rsidP="00A0227B">
      <w:pPr>
        <w:spacing w:after="0" w:line="360" w:lineRule="auto"/>
        <w:ind w:left="720" w:right="720"/>
        <w:jc w:val="center"/>
        <w:rPr>
          <w:rFonts w:ascii="Times New Roman" w:eastAsia="Times New Roman" w:hAnsi="Times New Roman" w:cs="Times New Roman"/>
          <w:b/>
          <w:sz w:val="28"/>
          <w:szCs w:val="28"/>
          <w:u w:val="single"/>
          <w:lang w:val="es-ES_tradnl"/>
        </w:rPr>
      </w:pPr>
      <w:r w:rsidRPr="00910E94">
        <w:rPr>
          <w:rFonts w:ascii="Times New Roman" w:hAnsi="Times New Roman"/>
          <w:b/>
          <w:sz w:val="28"/>
          <w:u w:val="single"/>
          <w:lang w:val="es-ES_tradnl"/>
        </w:rPr>
        <w:lastRenderedPageBreak/>
        <w:t>INFORME DEL AUDITOR INDEPENDIENTE</w:t>
      </w:r>
    </w:p>
    <w:p w:rsidR="00A0227B" w:rsidRPr="00910E94" w:rsidRDefault="00A0227B" w:rsidP="00A0227B">
      <w:pPr>
        <w:spacing w:after="0" w:line="360" w:lineRule="auto"/>
        <w:ind w:left="720" w:right="720"/>
        <w:jc w:val="center"/>
        <w:rPr>
          <w:rFonts w:ascii="Times New Roman" w:eastAsia="Times New Roman" w:hAnsi="Times New Roman" w:cs="Times New Roman"/>
          <w:b/>
          <w:sz w:val="24"/>
          <w:szCs w:val="24"/>
          <w:lang w:val="es-ES_tradnl"/>
        </w:rPr>
      </w:pPr>
    </w:p>
    <w:p w:rsidR="00A0227B" w:rsidRPr="00910E94" w:rsidRDefault="00A0227B" w:rsidP="00A0227B">
      <w:pPr>
        <w:spacing w:after="0" w:line="360" w:lineRule="auto"/>
        <w:ind w:left="720" w:right="720"/>
        <w:jc w:val="center"/>
        <w:rPr>
          <w:rFonts w:ascii="Times New Roman" w:eastAsia="Times New Roman" w:hAnsi="Times New Roman" w:cs="Times New Roman"/>
          <w:b/>
          <w:sz w:val="24"/>
          <w:szCs w:val="24"/>
          <w:lang w:val="es-ES_tradnl"/>
        </w:rPr>
      </w:pPr>
    </w:p>
    <w:p w:rsidR="00A0227B" w:rsidRPr="00910E94" w:rsidRDefault="00BF6505" w:rsidP="00A0227B">
      <w:pPr>
        <w:spacing w:after="100" w:line="360" w:lineRule="auto"/>
        <w:ind w:left="720" w:right="720"/>
        <w:rPr>
          <w:rFonts w:ascii="Times New Roman" w:eastAsia="Times New Roman" w:hAnsi="Times New Roman" w:cs="Times New Roman"/>
          <w:b/>
          <w:sz w:val="24"/>
          <w:szCs w:val="24"/>
          <w:lang w:val="es-ES_tradnl"/>
        </w:rPr>
      </w:pPr>
      <w:r>
        <w:rPr>
          <w:rFonts w:ascii="Times New Roman" w:hAnsi="Times New Roman"/>
          <w:b/>
          <w:sz w:val="24"/>
          <w:lang w:val="es-ES_tradnl"/>
        </w:rPr>
        <w:t>d</w:t>
      </w:r>
      <w:r w:rsidR="00DB0571" w:rsidRPr="00910E94">
        <w:rPr>
          <w:rFonts w:ascii="Times New Roman" w:hAnsi="Times New Roman"/>
          <w:b/>
          <w:sz w:val="24"/>
          <w:lang w:val="es-ES_tradnl"/>
        </w:rPr>
        <w:t xml:space="preserve">irigido </w:t>
      </w:r>
      <w:r w:rsidR="00DB0571">
        <w:rPr>
          <w:rFonts w:ascii="Times New Roman" w:hAnsi="Times New Roman"/>
          <w:b/>
          <w:sz w:val="24"/>
          <w:lang w:val="es-ES_tradnl"/>
        </w:rPr>
        <w:t>a</w:t>
      </w:r>
    </w:p>
    <w:p w:rsidR="00A0227B" w:rsidRPr="00910E94" w:rsidRDefault="00A0227B" w:rsidP="00A0227B">
      <w:pPr>
        <w:spacing w:after="100" w:line="240" w:lineRule="auto"/>
        <w:ind w:left="720" w:right="720"/>
        <w:rPr>
          <w:rFonts w:ascii="Times New Roman" w:eastAsia="Times New Roman" w:hAnsi="Times New Roman" w:cs="Times New Roman"/>
          <w:b/>
          <w:bCs/>
          <w:sz w:val="24"/>
          <w:szCs w:val="24"/>
          <w:lang w:val="es-ES_tradnl"/>
        </w:rPr>
      </w:pPr>
      <w:r w:rsidRPr="00910E94">
        <w:rPr>
          <w:rFonts w:ascii="Times New Roman" w:hAnsi="Times New Roman"/>
          <w:b/>
          <w:sz w:val="24"/>
          <w:lang w:val="es-ES_tradnl"/>
        </w:rPr>
        <w:t>LA ASAMBLEA GENERAL DE</w:t>
      </w:r>
    </w:p>
    <w:p w:rsidR="00A0227B" w:rsidRPr="00910E94" w:rsidRDefault="00A0227B" w:rsidP="00A0227B">
      <w:pPr>
        <w:spacing w:after="100" w:line="360" w:lineRule="auto"/>
        <w:ind w:left="720" w:right="720"/>
        <w:rPr>
          <w:rFonts w:ascii="Times New Roman" w:eastAsia="Times New Roman" w:hAnsi="Times New Roman" w:cs="Times New Roman"/>
          <w:b/>
          <w:bCs/>
          <w:sz w:val="24"/>
          <w:szCs w:val="24"/>
          <w:lang w:val="es-ES_tradnl"/>
        </w:rPr>
      </w:pPr>
      <w:r w:rsidRPr="00910E94">
        <w:rPr>
          <w:rFonts w:ascii="Times New Roman" w:hAnsi="Times New Roman"/>
          <w:b/>
          <w:sz w:val="24"/>
          <w:lang w:val="es-ES_tradnl"/>
        </w:rPr>
        <w:t>LA ORGANIZACIÓN MUNDIAL DE LA PROPIEDAD NTELECTUAL</w:t>
      </w:r>
    </w:p>
    <w:p w:rsidR="00A0227B" w:rsidRPr="00910E94" w:rsidRDefault="00A0227B" w:rsidP="00A0227B">
      <w:pPr>
        <w:spacing w:after="100" w:line="360" w:lineRule="auto"/>
        <w:ind w:left="720" w:right="720"/>
        <w:rPr>
          <w:rFonts w:ascii="Times New Roman" w:eastAsia="Times New Roman" w:hAnsi="Times New Roman" w:cs="Times New Roman"/>
          <w:b/>
          <w:sz w:val="24"/>
          <w:szCs w:val="24"/>
          <w:lang w:val="es-ES_tradnl"/>
        </w:rPr>
      </w:pPr>
    </w:p>
    <w:p w:rsidR="00A0227B" w:rsidRPr="00910E94" w:rsidRDefault="00A0227B" w:rsidP="00A0227B">
      <w:pPr>
        <w:spacing w:before="120" w:after="120" w:line="360" w:lineRule="auto"/>
        <w:ind w:left="720" w:right="720"/>
        <w:rPr>
          <w:rFonts w:ascii="Times New Roman" w:eastAsia="Times New Roman" w:hAnsi="Times New Roman" w:cs="Times New Roman"/>
          <w:b/>
          <w:sz w:val="24"/>
          <w:szCs w:val="24"/>
          <w:lang w:val="es-ES_tradnl"/>
        </w:rPr>
      </w:pPr>
      <w:r w:rsidRPr="00910E94">
        <w:rPr>
          <w:rFonts w:ascii="Times New Roman" w:hAnsi="Times New Roman"/>
          <w:b/>
          <w:sz w:val="24"/>
          <w:lang w:val="es-ES_tradnl"/>
        </w:rPr>
        <w:t>Informe sobre los estados financieros</w:t>
      </w:r>
    </w:p>
    <w:p w:rsidR="00A0227B" w:rsidRPr="00910E94" w:rsidRDefault="00A0227B" w:rsidP="00CC3D7A">
      <w:pPr>
        <w:spacing w:before="120" w:after="120" w:line="360" w:lineRule="auto"/>
        <w:ind w:left="720" w:right="-6"/>
        <w:jc w:val="both"/>
        <w:rPr>
          <w:rFonts w:ascii="Times New Roman" w:eastAsia="Times New Roman" w:hAnsi="Times New Roman" w:cs="Times New Roman"/>
          <w:sz w:val="24"/>
          <w:szCs w:val="24"/>
          <w:lang w:val="es-ES_tradnl"/>
        </w:rPr>
      </w:pPr>
      <w:r w:rsidRPr="00910E94">
        <w:rPr>
          <w:rFonts w:ascii="Times New Roman" w:hAnsi="Times New Roman"/>
          <w:sz w:val="24"/>
          <w:lang w:val="es-ES_tradnl"/>
        </w:rPr>
        <w:t>He</w:t>
      </w:r>
      <w:r w:rsidR="003C43E1" w:rsidRPr="00910E94">
        <w:rPr>
          <w:rFonts w:ascii="Times New Roman" w:hAnsi="Times New Roman"/>
          <w:sz w:val="24"/>
          <w:lang w:val="es-ES_tradnl"/>
        </w:rPr>
        <w:t xml:space="preserve">mos </w:t>
      </w:r>
      <w:r w:rsidR="00101066" w:rsidRPr="00910E94">
        <w:rPr>
          <w:rFonts w:ascii="Times New Roman" w:hAnsi="Times New Roman"/>
          <w:sz w:val="24"/>
          <w:lang w:val="es-ES_tradnl"/>
        </w:rPr>
        <w:t xml:space="preserve">realizado una </w:t>
      </w:r>
      <w:r w:rsidR="003C43E1" w:rsidRPr="00910E94">
        <w:rPr>
          <w:rFonts w:ascii="Times New Roman" w:hAnsi="Times New Roman"/>
          <w:sz w:val="24"/>
          <w:lang w:val="es-ES_tradnl"/>
        </w:rPr>
        <w:t>auditorí</w:t>
      </w:r>
      <w:r w:rsidRPr="00910E94">
        <w:rPr>
          <w:rFonts w:ascii="Times New Roman" w:hAnsi="Times New Roman"/>
          <w:sz w:val="24"/>
          <w:lang w:val="es-ES_tradnl"/>
        </w:rPr>
        <w:t>a</w:t>
      </w:r>
      <w:r w:rsidR="003C43E1" w:rsidRPr="00910E94">
        <w:rPr>
          <w:rFonts w:ascii="Times New Roman" w:hAnsi="Times New Roman"/>
          <w:sz w:val="24"/>
          <w:lang w:val="es-ES_tradnl"/>
        </w:rPr>
        <w:t xml:space="preserve"> </w:t>
      </w:r>
      <w:r w:rsidRPr="00910E94">
        <w:rPr>
          <w:rFonts w:ascii="Times New Roman" w:hAnsi="Times New Roman"/>
          <w:sz w:val="24"/>
          <w:lang w:val="es-ES_tradnl"/>
        </w:rPr>
        <w:t>de</w:t>
      </w:r>
      <w:r w:rsidR="003C43E1" w:rsidRPr="00910E94">
        <w:rPr>
          <w:rFonts w:ascii="Times New Roman" w:hAnsi="Times New Roman"/>
          <w:sz w:val="24"/>
          <w:lang w:val="es-ES_tradnl"/>
        </w:rPr>
        <w:t xml:space="preserve"> los </w:t>
      </w:r>
      <w:r w:rsidRPr="00910E94">
        <w:rPr>
          <w:rFonts w:ascii="Times New Roman" w:hAnsi="Times New Roman"/>
          <w:sz w:val="24"/>
          <w:lang w:val="es-ES_tradnl"/>
        </w:rPr>
        <w:t>estados financieros adjuntos de la Organización</w:t>
      </w:r>
      <w:r w:rsidR="003C43E1" w:rsidRPr="00910E94">
        <w:rPr>
          <w:rFonts w:ascii="Times New Roman" w:hAnsi="Times New Roman"/>
          <w:sz w:val="24"/>
          <w:lang w:val="es-ES_tradnl"/>
        </w:rPr>
        <w:t xml:space="preserve"> </w:t>
      </w:r>
      <w:r w:rsidRPr="00910E94">
        <w:rPr>
          <w:rFonts w:ascii="Times New Roman" w:hAnsi="Times New Roman"/>
          <w:sz w:val="24"/>
          <w:lang w:val="es-ES_tradnl"/>
        </w:rPr>
        <w:t>Mundial</w:t>
      </w:r>
      <w:r w:rsidR="003C43E1" w:rsidRPr="00910E94">
        <w:rPr>
          <w:rFonts w:ascii="Times New Roman" w:hAnsi="Times New Roman"/>
          <w:sz w:val="24"/>
          <w:lang w:val="es-ES_tradnl"/>
        </w:rPr>
        <w:t xml:space="preserve"> </w:t>
      </w:r>
      <w:r w:rsidRPr="00910E94">
        <w:rPr>
          <w:rFonts w:ascii="Times New Roman" w:hAnsi="Times New Roman"/>
          <w:sz w:val="24"/>
          <w:lang w:val="es-ES_tradnl"/>
        </w:rPr>
        <w:t>de</w:t>
      </w:r>
      <w:r w:rsidR="003C43E1" w:rsidRPr="00910E94">
        <w:rPr>
          <w:rFonts w:ascii="Times New Roman" w:hAnsi="Times New Roman"/>
          <w:sz w:val="24"/>
          <w:lang w:val="es-ES_tradnl"/>
        </w:rPr>
        <w:t xml:space="preserve"> </w:t>
      </w:r>
      <w:r w:rsidRPr="00910E94">
        <w:rPr>
          <w:rFonts w:ascii="Times New Roman" w:hAnsi="Times New Roman"/>
          <w:sz w:val="24"/>
          <w:lang w:val="es-ES_tradnl"/>
        </w:rPr>
        <w:t>la</w:t>
      </w:r>
      <w:r w:rsidR="003C43E1" w:rsidRPr="00910E94">
        <w:rPr>
          <w:rFonts w:ascii="Times New Roman" w:hAnsi="Times New Roman"/>
          <w:sz w:val="24"/>
          <w:lang w:val="es-ES_tradnl"/>
        </w:rPr>
        <w:t xml:space="preserve"> </w:t>
      </w:r>
      <w:r w:rsidRPr="00910E94">
        <w:rPr>
          <w:rFonts w:ascii="Times New Roman" w:hAnsi="Times New Roman"/>
          <w:sz w:val="24"/>
          <w:lang w:val="es-ES_tradnl"/>
        </w:rPr>
        <w:t>Propiedad</w:t>
      </w:r>
      <w:r w:rsidR="003C43E1" w:rsidRPr="00910E94">
        <w:rPr>
          <w:rFonts w:ascii="Times New Roman" w:hAnsi="Times New Roman"/>
          <w:sz w:val="24"/>
          <w:lang w:val="es-ES_tradnl"/>
        </w:rPr>
        <w:t xml:space="preserve"> </w:t>
      </w:r>
      <w:r w:rsidRPr="00910E94">
        <w:rPr>
          <w:rFonts w:ascii="Times New Roman" w:hAnsi="Times New Roman"/>
          <w:sz w:val="24"/>
          <w:lang w:val="es-ES_tradnl"/>
        </w:rPr>
        <w:t>Intelectual</w:t>
      </w:r>
      <w:r w:rsidR="003C43E1" w:rsidRPr="00910E94">
        <w:rPr>
          <w:rFonts w:ascii="Times New Roman" w:hAnsi="Times New Roman"/>
          <w:sz w:val="24"/>
          <w:lang w:val="es-ES_tradnl"/>
        </w:rPr>
        <w:t xml:space="preserve"> </w:t>
      </w:r>
      <w:r w:rsidRPr="00910E94">
        <w:rPr>
          <w:rFonts w:ascii="Times New Roman" w:hAnsi="Times New Roman"/>
          <w:sz w:val="24"/>
          <w:lang w:val="es-ES_tradnl"/>
        </w:rPr>
        <w:t>(OMPI),</w:t>
      </w:r>
      <w:r w:rsidR="003C43E1" w:rsidRPr="00910E94">
        <w:rPr>
          <w:rFonts w:ascii="Times New Roman" w:hAnsi="Times New Roman"/>
          <w:sz w:val="24"/>
          <w:lang w:val="es-ES_tradnl"/>
        </w:rPr>
        <w:t xml:space="preserve"> </w:t>
      </w:r>
      <w:r w:rsidRPr="00910E94">
        <w:rPr>
          <w:rFonts w:ascii="Times New Roman" w:hAnsi="Times New Roman"/>
          <w:sz w:val="24"/>
          <w:lang w:val="es-ES_tradnl"/>
        </w:rPr>
        <w:t>que comprende el estado</w:t>
      </w:r>
      <w:r w:rsidR="003C43E1" w:rsidRPr="00910E94">
        <w:rPr>
          <w:rFonts w:ascii="Times New Roman" w:hAnsi="Times New Roman"/>
          <w:sz w:val="24"/>
          <w:lang w:val="es-ES_tradnl"/>
        </w:rPr>
        <w:t xml:space="preserve"> </w:t>
      </w:r>
      <w:r w:rsidRPr="00910E94">
        <w:rPr>
          <w:rFonts w:ascii="Times New Roman" w:hAnsi="Times New Roman"/>
          <w:sz w:val="24"/>
          <w:lang w:val="es-ES_tradnl"/>
        </w:rPr>
        <w:t>de la</w:t>
      </w:r>
      <w:r w:rsidR="003C43E1" w:rsidRPr="00910E94">
        <w:rPr>
          <w:rFonts w:ascii="Times New Roman" w:hAnsi="Times New Roman"/>
          <w:sz w:val="24"/>
          <w:lang w:val="es-ES_tradnl"/>
        </w:rPr>
        <w:t xml:space="preserve"> </w:t>
      </w:r>
      <w:r w:rsidRPr="00910E94">
        <w:rPr>
          <w:rFonts w:ascii="Times New Roman" w:hAnsi="Times New Roman"/>
          <w:sz w:val="24"/>
          <w:lang w:val="es-ES_tradnl"/>
        </w:rPr>
        <w:t>situación</w:t>
      </w:r>
      <w:r w:rsidR="003C43E1" w:rsidRPr="00910E94">
        <w:rPr>
          <w:rFonts w:ascii="Times New Roman" w:hAnsi="Times New Roman"/>
          <w:sz w:val="24"/>
          <w:lang w:val="es-ES_tradnl"/>
        </w:rPr>
        <w:t xml:space="preserve"> </w:t>
      </w:r>
      <w:r w:rsidRPr="00910E94">
        <w:rPr>
          <w:rFonts w:ascii="Times New Roman" w:hAnsi="Times New Roman"/>
          <w:sz w:val="24"/>
          <w:lang w:val="es-ES_tradnl"/>
        </w:rPr>
        <w:t>financiera al</w:t>
      </w:r>
      <w:r w:rsidR="00CC3D7A" w:rsidRPr="00910E94">
        <w:rPr>
          <w:rFonts w:ascii="Times New Roman" w:hAnsi="Times New Roman"/>
          <w:sz w:val="24"/>
          <w:lang w:val="es-ES_tradnl"/>
        </w:rPr>
        <w:t> </w:t>
      </w:r>
      <w:r w:rsidRPr="00910E94">
        <w:rPr>
          <w:rFonts w:ascii="Times New Roman" w:hAnsi="Times New Roman"/>
          <w:sz w:val="24"/>
          <w:lang w:val="es-ES_tradnl"/>
        </w:rPr>
        <w:t>31 de</w:t>
      </w:r>
      <w:r w:rsidR="003C43E1" w:rsidRPr="00910E94">
        <w:rPr>
          <w:rFonts w:ascii="Times New Roman" w:hAnsi="Times New Roman"/>
          <w:sz w:val="24"/>
          <w:lang w:val="es-ES_tradnl"/>
        </w:rPr>
        <w:t xml:space="preserve"> </w:t>
      </w:r>
      <w:r w:rsidRPr="00910E94">
        <w:rPr>
          <w:rFonts w:ascii="Times New Roman" w:hAnsi="Times New Roman"/>
          <w:sz w:val="24"/>
          <w:lang w:val="es-ES_tradnl"/>
        </w:rPr>
        <w:t xml:space="preserve">diciembre </w:t>
      </w:r>
      <w:r w:rsidR="00CC3D7A" w:rsidRPr="00910E94">
        <w:rPr>
          <w:rFonts w:ascii="Times New Roman" w:hAnsi="Times New Roman"/>
          <w:sz w:val="24"/>
          <w:lang w:val="es-ES_tradnl"/>
        </w:rPr>
        <w:t>de 20</w:t>
      </w:r>
      <w:r w:rsidRPr="00910E94">
        <w:rPr>
          <w:rFonts w:ascii="Times New Roman" w:hAnsi="Times New Roman"/>
          <w:sz w:val="24"/>
          <w:lang w:val="es-ES_tradnl"/>
        </w:rPr>
        <w:t>14, el estado de rendimiento</w:t>
      </w:r>
      <w:r w:rsidR="003C43E1" w:rsidRPr="00910E94">
        <w:rPr>
          <w:rFonts w:ascii="Times New Roman" w:hAnsi="Times New Roman"/>
          <w:sz w:val="24"/>
          <w:lang w:val="es-ES_tradnl"/>
        </w:rPr>
        <w:t xml:space="preserve"> </w:t>
      </w:r>
      <w:r w:rsidRPr="00910E94">
        <w:rPr>
          <w:rFonts w:ascii="Times New Roman" w:hAnsi="Times New Roman"/>
          <w:sz w:val="24"/>
          <w:lang w:val="es-ES_tradnl"/>
        </w:rPr>
        <w:t>financiero correspondiente</w:t>
      </w:r>
      <w:r w:rsidR="003C43E1" w:rsidRPr="00910E94">
        <w:rPr>
          <w:rFonts w:ascii="Times New Roman" w:hAnsi="Times New Roman"/>
          <w:sz w:val="24"/>
          <w:lang w:val="es-ES_tradnl"/>
        </w:rPr>
        <w:t xml:space="preserve"> </w:t>
      </w:r>
      <w:r w:rsidRPr="00910E94">
        <w:rPr>
          <w:rFonts w:ascii="Times New Roman" w:hAnsi="Times New Roman"/>
          <w:sz w:val="24"/>
          <w:lang w:val="es-ES_tradnl"/>
        </w:rPr>
        <w:t>al</w:t>
      </w:r>
      <w:r w:rsidR="003C43E1" w:rsidRPr="00910E94">
        <w:rPr>
          <w:rFonts w:ascii="Times New Roman" w:hAnsi="Times New Roman"/>
          <w:sz w:val="24"/>
          <w:lang w:val="es-ES_tradnl"/>
        </w:rPr>
        <w:t xml:space="preserve"> </w:t>
      </w:r>
      <w:r w:rsidRPr="00910E94">
        <w:rPr>
          <w:rFonts w:ascii="Times New Roman" w:hAnsi="Times New Roman"/>
          <w:sz w:val="24"/>
          <w:lang w:val="es-ES_tradnl"/>
        </w:rPr>
        <w:t xml:space="preserve">ejercicio concluido </w:t>
      </w:r>
      <w:r w:rsidR="00CC3D7A" w:rsidRPr="00910E94">
        <w:rPr>
          <w:rFonts w:ascii="Times New Roman" w:hAnsi="Times New Roman"/>
          <w:sz w:val="24"/>
          <w:lang w:val="es-ES_tradnl"/>
        </w:rPr>
        <w:t>en 20</w:t>
      </w:r>
      <w:r w:rsidRPr="00910E94">
        <w:rPr>
          <w:rFonts w:ascii="Times New Roman" w:hAnsi="Times New Roman"/>
          <w:sz w:val="24"/>
          <w:lang w:val="es-ES_tradnl"/>
        </w:rPr>
        <w:t>14, el estado de</w:t>
      </w:r>
      <w:r w:rsidR="003C43E1" w:rsidRPr="00910E94">
        <w:rPr>
          <w:rFonts w:ascii="Times New Roman" w:hAnsi="Times New Roman"/>
          <w:sz w:val="24"/>
          <w:lang w:val="es-ES_tradnl"/>
        </w:rPr>
        <w:t xml:space="preserve"> </w:t>
      </w:r>
      <w:r w:rsidRPr="00910E94">
        <w:rPr>
          <w:rFonts w:ascii="Times New Roman" w:hAnsi="Times New Roman"/>
          <w:sz w:val="24"/>
          <w:lang w:val="es-ES_tradnl"/>
        </w:rPr>
        <w:t>cambios en los activos netos, el estado de flujos de efectivo, el estado comparativo de importes presupuestados y reales, y las notas relativas a</w:t>
      </w:r>
      <w:r w:rsidR="003C43E1" w:rsidRPr="00910E94">
        <w:rPr>
          <w:rFonts w:ascii="Times New Roman" w:hAnsi="Times New Roman"/>
          <w:sz w:val="24"/>
          <w:lang w:val="es-ES_tradnl"/>
        </w:rPr>
        <w:t xml:space="preserve"> </w:t>
      </w:r>
      <w:r w:rsidRPr="00910E94">
        <w:rPr>
          <w:rFonts w:ascii="Times New Roman" w:hAnsi="Times New Roman"/>
          <w:sz w:val="24"/>
          <w:lang w:val="es-ES_tradnl"/>
        </w:rPr>
        <w:t>los estados financieros, correspondientes al ejercicio financiero finalizado el</w:t>
      </w:r>
      <w:r w:rsidR="00CC3D7A" w:rsidRPr="00910E94">
        <w:rPr>
          <w:rFonts w:ascii="Times New Roman" w:hAnsi="Times New Roman"/>
          <w:sz w:val="24"/>
          <w:lang w:val="es-ES_tradnl"/>
        </w:rPr>
        <w:t> </w:t>
      </w:r>
      <w:r w:rsidRPr="00910E94">
        <w:rPr>
          <w:rFonts w:ascii="Times New Roman" w:hAnsi="Times New Roman"/>
          <w:sz w:val="24"/>
          <w:lang w:val="es-ES_tradnl"/>
        </w:rPr>
        <w:t xml:space="preserve">31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14</w:t>
      </w:r>
      <w:r w:rsidR="00344EE2">
        <w:rPr>
          <w:rFonts w:ascii="Times New Roman" w:hAnsi="Times New Roman"/>
          <w:sz w:val="24"/>
          <w:lang w:val="es-ES_tradnl"/>
        </w:rPr>
        <w:t xml:space="preserve">.  </w:t>
      </w:r>
    </w:p>
    <w:p w:rsidR="00A0227B" w:rsidRPr="00910E94" w:rsidRDefault="00A0227B" w:rsidP="00A0227B">
      <w:pPr>
        <w:spacing w:before="120" w:after="120" w:line="360" w:lineRule="auto"/>
        <w:ind w:left="720" w:right="720"/>
        <w:rPr>
          <w:rFonts w:ascii="Times New Roman" w:eastAsia="Times New Roman" w:hAnsi="Times New Roman" w:cs="Times New Roman"/>
          <w:b/>
          <w:bCs/>
          <w:sz w:val="24"/>
          <w:szCs w:val="24"/>
          <w:lang w:val="es-ES_tradnl"/>
        </w:rPr>
      </w:pPr>
      <w:r w:rsidRPr="00910E94">
        <w:rPr>
          <w:rFonts w:ascii="Times New Roman" w:hAnsi="Times New Roman"/>
          <w:b/>
          <w:sz w:val="24"/>
          <w:lang w:val="es-ES_tradnl"/>
        </w:rPr>
        <w:t>Responsabilidad de la Administración de la OMPI respecto de los estados financieros</w:t>
      </w:r>
    </w:p>
    <w:p w:rsidR="00A0227B" w:rsidRPr="00910E94" w:rsidRDefault="00A0227B" w:rsidP="00CC3D7A">
      <w:pPr>
        <w:tabs>
          <w:tab w:val="left" w:pos="720"/>
          <w:tab w:val="num" w:pos="1782"/>
        </w:tabs>
        <w:spacing w:before="120" w:after="120" w:line="360" w:lineRule="auto"/>
        <w:ind w:left="720" w:right="-6"/>
        <w:jc w:val="both"/>
        <w:rPr>
          <w:rFonts w:ascii="Times New Roman" w:eastAsia="Times New Roman" w:hAnsi="Times New Roman" w:cs="Times New Roman"/>
          <w:bCs/>
          <w:color w:val="000000"/>
          <w:sz w:val="24"/>
          <w:szCs w:val="24"/>
          <w:lang w:val="es-ES_tradnl"/>
        </w:rPr>
      </w:pPr>
      <w:r w:rsidRPr="00910E94">
        <w:rPr>
          <w:rFonts w:ascii="Times New Roman" w:hAnsi="Times New Roman"/>
          <w:sz w:val="24"/>
          <w:lang w:val="es-ES_tradnl"/>
        </w:rPr>
        <w:t>Según se establece en las Notas sobre los estados financieros, los estados financieros, así como los cuadros y notas que los acompañan se preparan sobre la base contable de acumulación (o deveng</w:t>
      </w:r>
      <w:r w:rsidR="00BF6505">
        <w:rPr>
          <w:rFonts w:ascii="Times New Roman" w:hAnsi="Times New Roman"/>
          <w:sz w:val="24"/>
          <w:lang w:val="es-ES_tradnl"/>
        </w:rPr>
        <w:t>ad</w:t>
      </w:r>
      <w:r w:rsidRPr="00910E94">
        <w:rPr>
          <w:rFonts w:ascii="Times New Roman" w:hAnsi="Times New Roman"/>
          <w:sz w:val="24"/>
          <w:lang w:val="es-ES_tradnl"/>
        </w:rPr>
        <w:t>o) de conformidad con las Normas Internacionales de Contabilidad del Sector Público (IPSAS)</w:t>
      </w:r>
      <w:r w:rsidR="00344EE2">
        <w:rPr>
          <w:rFonts w:ascii="Times New Roman" w:hAnsi="Times New Roman"/>
          <w:sz w:val="24"/>
          <w:lang w:val="es-ES_tradnl"/>
        </w:rPr>
        <w:t xml:space="preserve">.  </w:t>
      </w:r>
      <w:r w:rsidRPr="00910E94">
        <w:rPr>
          <w:rFonts w:ascii="Times New Roman" w:hAnsi="Times New Roman"/>
          <w:color w:val="000000"/>
          <w:sz w:val="24"/>
          <w:lang w:val="es-ES_tradnl"/>
        </w:rPr>
        <w:t>La Administración tiene la responsabilidad de preparar y presentar con imparcialidad los estados financieros</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Dicha responsabilidad entraña a)</w:t>
      </w:r>
      <w:r w:rsidR="00CC3D7A" w:rsidRPr="00910E94">
        <w:rPr>
          <w:rFonts w:ascii="Times New Roman" w:hAnsi="Times New Roman"/>
          <w:color w:val="000000"/>
          <w:sz w:val="24"/>
          <w:lang w:val="es-ES_tradnl"/>
        </w:rPr>
        <w:t> </w:t>
      </w:r>
      <w:r w:rsidRPr="00910E94">
        <w:rPr>
          <w:rFonts w:ascii="Times New Roman" w:hAnsi="Times New Roman"/>
          <w:color w:val="000000"/>
          <w:sz w:val="24"/>
          <w:lang w:val="es-ES_tradnl"/>
        </w:rPr>
        <w:t>la elaboración, la ejecución y el mantenimiento del control interno necesario para preparar y presentar con imparcialidad unos estados financieros sin inexactitudes significativas, sea por fraude o error</w:t>
      </w:r>
      <w:r w:rsidR="00AB18E9">
        <w:rPr>
          <w:rFonts w:ascii="Times New Roman" w:hAnsi="Times New Roman"/>
          <w:color w:val="000000"/>
          <w:sz w:val="24"/>
          <w:lang w:val="es-ES_tradnl"/>
        </w:rPr>
        <w:t xml:space="preserve">;  </w:t>
      </w:r>
      <w:r w:rsidRPr="00910E94">
        <w:rPr>
          <w:rFonts w:ascii="Times New Roman" w:hAnsi="Times New Roman"/>
          <w:color w:val="000000"/>
          <w:sz w:val="24"/>
          <w:lang w:val="es-ES_tradnl"/>
        </w:rPr>
        <w:t>b)</w:t>
      </w:r>
      <w:r w:rsidR="00CC3D7A" w:rsidRPr="00910E94">
        <w:rPr>
          <w:rFonts w:ascii="Times New Roman" w:hAnsi="Times New Roman"/>
          <w:color w:val="000000"/>
          <w:sz w:val="24"/>
          <w:lang w:val="es-ES_tradnl"/>
        </w:rPr>
        <w:t> </w:t>
      </w:r>
      <w:r w:rsidRPr="00910E94">
        <w:rPr>
          <w:rFonts w:ascii="Times New Roman" w:hAnsi="Times New Roman"/>
          <w:color w:val="000000"/>
          <w:sz w:val="24"/>
          <w:lang w:val="es-ES_tradnl"/>
        </w:rPr>
        <w:t>la selección y aplicación de políticas de</w:t>
      </w:r>
      <w:r w:rsidR="00CC3D7A" w:rsidRPr="00910E94">
        <w:rPr>
          <w:rFonts w:ascii="Times New Roman" w:hAnsi="Times New Roman"/>
          <w:color w:val="000000"/>
          <w:sz w:val="24"/>
          <w:lang w:val="es-ES_tradnl"/>
        </w:rPr>
        <w:t xml:space="preserve"> contabilidad apropiadas, y c) </w:t>
      </w:r>
      <w:r w:rsidRPr="00910E94">
        <w:rPr>
          <w:rFonts w:ascii="Times New Roman" w:hAnsi="Times New Roman"/>
          <w:color w:val="000000"/>
          <w:sz w:val="24"/>
          <w:lang w:val="es-ES_tradnl"/>
        </w:rPr>
        <w:t>la formulación de estimaciones contables razonables dadas las circunstancias.</w:t>
      </w:r>
    </w:p>
    <w:p w:rsidR="00A0227B" w:rsidRPr="00910E94" w:rsidRDefault="00A0227B" w:rsidP="00A0227B">
      <w:pPr>
        <w:spacing w:before="120" w:after="120" w:line="360" w:lineRule="auto"/>
        <w:ind w:left="720" w:right="720"/>
        <w:rPr>
          <w:rFonts w:ascii="Times New Roman" w:eastAsia="Times New Roman" w:hAnsi="Times New Roman" w:cs="Times New Roman"/>
          <w:b/>
          <w:bCs/>
          <w:color w:val="000000"/>
          <w:sz w:val="24"/>
          <w:szCs w:val="24"/>
          <w:lang w:val="es-ES_tradnl"/>
        </w:rPr>
      </w:pPr>
      <w:r w:rsidRPr="00910E94">
        <w:rPr>
          <w:rFonts w:ascii="Times New Roman" w:hAnsi="Times New Roman"/>
          <w:b/>
          <w:color w:val="000000"/>
          <w:sz w:val="24"/>
          <w:lang w:val="es-ES_tradnl"/>
        </w:rPr>
        <w:t>Responsabilidad de los auditores</w:t>
      </w:r>
    </w:p>
    <w:p w:rsidR="00A0227B" w:rsidRPr="00910E94" w:rsidRDefault="00A0227B" w:rsidP="00A0227B">
      <w:pPr>
        <w:spacing w:before="120" w:after="120" w:line="360" w:lineRule="auto"/>
        <w:ind w:left="720" w:right="-6"/>
        <w:jc w:val="both"/>
        <w:rPr>
          <w:rFonts w:ascii="Times New Roman" w:eastAsia="Times New Roman" w:hAnsi="Times New Roman" w:cs="Times New Roman"/>
          <w:color w:val="000000"/>
          <w:sz w:val="24"/>
          <w:szCs w:val="24"/>
          <w:lang w:val="es-ES_tradnl"/>
        </w:rPr>
      </w:pPr>
      <w:r w:rsidRPr="00910E94">
        <w:rPr>
          <w:rFonts w:ascii="Times New Roman" w:hAnsi="Times New Roman"/>
          <w:color w:val="000000"/>
          <w:sz w:val="24"/>
          <w:lang w:val="es-ES_tradnl"/>
        </w:rPr>
        <w:t>Nuestra responsabilidad consiste en emitir un dictamen acerca de los estados financieros, a partir de nuestra auditoría</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Hemos llevado a cabo la auditoría de conformidad con las Normas Internacionales de Auditoría</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 xml:space="preserve">Con arreglo a dichas normas, debemos cumplir los requisitos éticos y planificar y realizar la auditoría de </w:t>
      </w:r>
      <w:r w:rsidRPr="00910E94">
        <w:rPr>
          <w:rFonts w:ascii="Times New Roman" w:hAnsi="Times New Roman"/>
          <w:color w:val="000000"/>
          <w:sz w:val="24"/>
          <w:lang w:val="es-ES_tradnl"/>
        </w:rPr>
        <w:lastRenderedPageBreak/>
        <w:t>manera que ofrezca garantías razonables de que los estados financieros no contienen inexactitudes significativas.</w:t>
      </w:r>
    </w:p>
    <w:p w:rsidR="00A0227B" w:rsidRPr="00910E94" w:rsidRDefault="00A0227B" w:rsidP="00CC3D7A">
      <w:pPr>
        <w:spacing w:before="120" w:after="120" w:line="360" w:lineRule="auto"/>
        <w:ind w:left="720" w:right="-6"/>
        <w:jc w:val="both"/>
        <w:rPr>
          <w:rFonts w:ascii="Times New Roman" w:eastAsia="Times New Roman" w:hAnsi="Times New Roman" w:cs="Times New Roman"/>
          <w:color w:val="000000"/>
          <w:sz w:val="24"/>
          <w:szCs w:val="24"/>
          <w:lang w:val="es-ES_tradnl"/>
        </w:rPr>
      </w:pPr>
      <w:r w:rsidRPr="00910E94">
        <w:rPr>
          <w:rFonts w:ascii="Times New Roman" w:hAnsi="Times New Roman"/>
          <w:color w:val="000000"/>
          <w:sz w:val="24"/>
          <w:lang w:val="es-ES_tradnl"/>
        </w:rPr>
        <w:t>Una auditoria conlleva aplicar los procedimientos pertinentes para obtener comprobantes de las sumas y los datos consignados en los estados financieros</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Los procedimientos elegidos dependen del criterio del auditor, en particular, la evaluación de los riesgos de inexactitudes significativas en los estados financieros, sea por fraude o error</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Al evaluar los riesgos, el auditor examina el sistema de control interno pertinente para la preparación y correcta presentación de los estados financieros por la entidad, a fin de diseñar unos procedimientos de auditoría que sean adecuados a las circunstancias, pero no con el propósito de expresar su opinión acerca de la eficacia de los controles internos de la entidad</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La auditoría incluye una evaluación para determinar si las normas contables empleadas son idóneas y si las estimaciones contables de la Administración son razonables</w:t>
      </w:r>
      <w:r w:rsidR="00AB18E9">
        <w:rPr>
          <w:rFonts w:ascii="Times New Roman" w:hAnsi="Times New Roman"/>
          <w:color w:val="000000"/>
          <w:sz w:val="24"/>
          <w:lang w:val="es-ES_tradnl"/>
        </w:rPr>
        <w:t xml:space="preserve">;  </w:t>
      </w:r>
      <w:r w:rsidRPr="00910E94">
        <w:rPr>
          <w:rFonts w:ascii="Times New Roman" w:hAnsi="Times New Roman"/>
          <w:color w:val="000000"/>
          <w:sz w:val="24"/>
          <w:lang w:val="es-ES_tradnl"/>
        </w:rPr>
        <w:t>además, se evalúa la presentación general de los estados financieros</w:t>
      </w:r>
      <w:r w:rsidR="00344EE2">
        <w:rPr>
          <w:rFonts w:ascii="Times New Roman" w:hAnsi="Times New Roman"/>
          <w:color w:val="000000"/>
          <w:sz w:val="24"/>
          <w:lang w:val="es-ES_tradnl"/>
        </w:rPr>
        <w:t xml:space="preserve">.  </w:t>
      </w:r>
    </w:p>
    <w:p w:rsidR="00A0227B" w:rsidRPr="00910E94" w:rsidRDefault="00A0227B" w:rsidP="00A0227B">
      <w:pPr>
        <w:spacing w:before="120" w:after="120" w:line="360" w:lineRule="auto"/>
        <w:ind w:left="720" w:right="-6"/>
        <w:jc w:val="both"/>
        <w:rPr>
          <w:rFonts w:ascii="Times New Roman" w:eastAsia="Times New Roman" w:hAnsi="Times New Roman" w:cs="Times New Roman"/>
          <w:color w:val="000000"/>
          <w:sz w:val="24"/>
          <w:szCs w:val="24"/>
          <w:lang w:val="es-ES_tradnl"/>
        </w:rPr>
      </w:pPr>
      <w:r w:rsidRPr="00910E94">
        <w:rPr>
          <w:rFonts w:ascii="Times New Roman" w:hAnsi="Times New Roman"/>
          <w:color w:val="000000"/>
          <w:sz w:val="24"/>
          <w:lang w:val="es-ES_tradnl"/>
        </w:rPr>
        <w:t>Consideramos que las pruebas obtenidas son suficientes y adecuadas para fundamentar nuestra opinión en ellas.</w:t>
      </w:r>
    </w:p>
    <w:p w:rsidR="00A0227B" w:rsidRPr="00910E94" w:rsidRDefault="00A0227B" w:rsidP="00A0227B">
      <w:pPr>
        <w:spacing w:before="120" w:after="120" w:line="360" w:lineRule="auto"/>
        <w:ind w:left="720" w:right="720"/>
        <w:rPr>
          <w:rFonts w:ascii="Times New Roman" w:eastAsia="Times New Roman" w:hAnsi="Times New Roman" w:cs="Times New Roman"/>
          <w:b/>
          <w:bCs/>
          <w:color w:val="000000"/>
          <w:sz w:val="24"/>
          <w:szCs w:val="24"/>
          <w:lang w:val="es-ES_tradnl"/>
        </w:rPr>
      </w:pPr>
      <w:r w:rsidRPr="00910E94">
        <w:rPr>
          <w:rFonts w:ascii="Times New Roman" w:hAnsi="Times New Roman"/>
          <w:b/>
          <w:color w:val="000000"/>
          <w:sz w:val="24"/>
          <w:lang w:val="es-ES_tradnl"/>
        </w:rPr>
        <w:t>Dictamen</w:t>
      </w:r>
    </w:p>
    <w:p w:rsidR="00A0227B" w:rsidRPr="00910E94" w:rsidRDefault="00A0227B" w:rsidP="00A0227B">
      <w:pPr>
        <w:spacing w:before="120" w:after="120" w:line="360" w:lineRule="auto"/>
        <w:ind w:left="720" w:right="-6"/>
        <w:jc w:val="both"/>
        <w:rPr>
          <w:rFonts w:ascii="Times New Roman" w:eastAsia="Times New Roman" w:hAnsi="Times New Roman" w:cs="Times New Roman"/>
          <w:color w:val="000000"/>
          <w:sz w:val="24"/>
          <w:szCs w:val="24"/>
          <w:lang w:val="es-ES_tradnl"/>
        </w:rPr>
      </w:pPr>
      <w:r w:rsidRPr="00910E94">
        <w:rPr>
          <w:rFonts w:ascii="Times New Roman" w:hAnsi="Times New Roman"/>
          <w:color w:val="000000"/>
          <w:sz w:val="24"/>
          <w:lang w:val="es-ES_tradnl"/>
        </w:rPr>
        <w:t xml:space="preserve">A nuestro </w:t>
      </w:r>
      <w:r w:rsidR="009D339D" w:rsidRPr="00910E94">
        <w:rPr>
          <w:rFonts w:ascii="Times New Roman" w:hAnsi="Times New Roman"/>
          <w:color w:val="000000"/>
          <w:sz w:val="24"/>
          <w:lang w:val="es-ES_tradnl"/>
        </w:rPr>
        <w:t>juicio</w:t>
      </w:r>
      <w:r w:rsidRPr="00910E94">
        <w:rPr>
          <w:rFonts w:ascii="Times New Roman" w:hAnsi="Times New Roman"/>
          <w:color w:val="000000"/>
          <w:sz w:val="24"/>
          <w:lang w:val="es-ES_tradnl"/>
        </w:rPr>
        <w:t>, los estados financieros presentan adecuadamente, en lo esencial, la situ</w:t>
      </w:r>
      <w:r w:rsidR="00CC3D7A" w:rsidRPr="00910E94">
        <w:rPr>
          <w:rFonts w:ascii="Times New Roman" w:hAnsi="Times New Roman"/>
          <w:color w:val="000000"/>
          <w:sz w:val="24"/>
          <w:lang w:val="es-ES_tradnl"/>
        </w:rPr>
        <w:t>ación financiera de la OMPI a </w:t>
      </w:r>
      <w:r w:rsidRPr="00910E94">
        <w:rPr>
          <w:rFonts w:ascii="Times New Roman" w:hAnsi="Times New Roman"/>
          <w:color w:val="000000"/>
          <w:sz w:val="24"/>
          <w:lang w:val="es-ES_tradnl"/>
        </w:rPr>
        <w:t xml:space="preserve">31 de diciembre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 xml:space="preserve">14 y su rendimiento financiero y flujos de efectivo en </w:t>
      </w:r>
      <w:r w:rsidR="00CC3D7A" w:rsidRPr="00910E94">
        <w:rPr>
          <w:rFonts w:ascii="Times New Roman" w:hAnsi="Times New Roman"/>
          <w:color w:val="000000"/>
          <w:sz w:val="24"/>
          <w:lang w:val="es-ES_tradnl"/>
        </w:rPr>
        <w:t>el período comprendido entre el </w:t>
      </w:r>
      <w:r w:rsidRPr="00910E94">
        <w:rPr>
          <w:rFonts w:ascii="Times New Roman" w:hAnsi="Times New Roman"/>
          <w:color w:val="000000"/>
          <w:sz w:val="24"/>
          <w:lang w:val="es-ES_tradnl"/>
        </w:rPr>
        <w:t xml:space="preserve">1 de enero </w:t>
      </w:r>
      <w:r w:rsidR="00CC3D7A" w:rsidRPr="00910E94">
        <w:rPr>
          <w:rFonts w:ascii="Times New Roman" w:hAnsi="Times New Roman"/>
          <w:color w:val="000000"/>
          <w:sz w:val="24"/>
          <w:lang w:val="es-ES_tradnl"/>
        </w:rPr>
        <w:t>de 2014 y el </w:t>
      </w:r>
      <w:r w:rsidRPr="00910E94">
        <w:rPr>
          <w:rFonts w:ascii="Times New Roman" w:hAnsi="Times New Roman"/>
          <w:color w:val="000000"/>
          <w:sz w:val="24"/>
          <w:lang w:val="es-ES_tradnl"/>
        </w:rPr>
        <w:t xml:space="preserve">31 de diciembre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14 de conformidad con las IPSAS</w:t>
      </w:r>
      <w:r w:rsidR="00AB18E9">
        <w:rPr>
          <w:rFonts w:ascii="Times New Roman" w:hAnsi="Times New Roman"/>
          <w:color w:val="000000"/>
          <w:sz w:val="24"/>
          <w:lang w:val="es-ES_tradnl"/>
        </w:rPr>
        <w:t>.</w:t>
      </w:r>
    </w:p>
    <w:p w:rsidR="00A0227B" w:rsidRPr="00910E94" w:rsidRDefault="00A0227B" w:rsidP="00A0227B">
      <w:pPr>
        <w:tabs>
          <w:tab w:val="left" w:pos="709"/>
        </w:tabs>
        <w:spacing w:before="120" w:after="120" w:line="360" w:lineRule="auto"/>
        <w:ind w:left="720" w:right="720"/>
        <w:rPr>
          <w:rFonts w:ascii="Times New Roman" w:eastAsia="Times New Roman" w:hAnsi="Times New Roman" w:cs="Times New Roman"/>
          <w:b/>
          <w:sz w:val="24"/>
          <w:szCs w:val="24"/>
          <w:lang w:val="es-ES_tradnl"/>
        </w:rPr>
      </w:pPr>
      <w:r w:rsidRPr="00910E94">
        <w:rPr>
          <w:rFonts w:ascii="Times New Roman" w:hAnsi="Times New Roman"/>
          <w:b/>
          <w:color w:val="000000"/>
          <w:sz w:val="24"/>
          <w:lang w:val="es-ES_tradnl"/>
        </w:rPr>
        <w:t>Informe sobre otros requisitos jurídicos y normativos</w:t>
      </w:r>
    </w:p>
    <w:p w:rsidR="00A0227B" w:rsidRPr="00910E94" w:rsidRDefault="00A0227B" w:rsidP="00A0227B">
      <w:pPr>
        <w:spacing w:before="120" w:after="120" w:line="360" w:lineRule="auto"/>
        <w:ind w:left="720" w:right="-6"/>
        <w:jc w:val="both"/>
        <w:rPr>
          <w:rFonts w:ascii="Times New Roman" w:eastAsia="Times New Roman" w:hAnsi="Times New Roman" w:cs="Times New Roman"/>
          <w:sz w:val="24"/>
          <w:szCs w:val="24"/>
          <w:lang w:val="es-ES_tradnl"/>
        </w:rPr>
      </w:pPr>
      <w:r w:rsidRPr="00910E94">
        <w:rPr>
          <w:rFonts w:ascii="Times New Roman" w:hAnsi="Times New Roman"/>
          <w:sz w:val="24"/>
          <w:lang w:val="es-ES_tradnl"/>
        </w:rPr>
        <w:t>A nuestro juicio, además, las transacciones de la OMPI que se nos han presentado o que hemos comprobado como parte de nuestra auditoría se ajustan en lo sustancial al Reglamento Financiero y la Reglamentación Financiera de la OMPI.</w:t>
      </w:r>
    </w:p>
    <w:p w:rsidR="00A0227B" w:rsidRPr="00910E94" w:rsidRDefault="00FC52F6" w:rsidP="00A0227B">
      <w:pPr>
        <w:spacing w:after="100" w:line="360" w:lineRule="auto"/>
        <w:ind w:left="720" w:right="-7"/>
        <w:jc w:val="both"/>
        <w:rPr>
          <w:rFonts w:ascii="Times New Roman" w:eastAsia="Times New Roman" w:hAnsi="Times New Roman" w:cs="Times New Roman"/>
          <w:sz w:val="24"/>
          <w:szCs w:val="24"/>
          <w:lang w:val="es-ES_tradnl"/>
        </w:rPr>
      </w:pPr>
      <w:r w:rsidRPr="00910E94">
        <w:rPr>
          <w:rFonts w:ascii="Times New Roman" w:eastAsia="Times New Roman" w:hAnsi="Times New Roman" w:cs="Times New Roman"/>
          <w:noProof/>
          <w:sz w:val="24"/>
          <w:szCs w:val="24"/>
          <w:lang w:val="en-US" w:eastAsia="en-US" w:bidi="ar-SA"/>
        </w:rPr>
        <w:drawing>
          <wp:anchor distT="0" distB="0" distL="114300" distR="114300" simplePos="0" relativeHeight="251657728" behindDoc="0" locked="0" layoutInCell="1" allowOverlap="1" wp14:anchorId="4BA3C4D0" wp14:editId="64C23B59">
            <wp:simplePos x="0" y="0"/>
            <wp:positionH relativeFrom="column">
              <wp:posOffset>3166993</wp:posOffset>
            </wp:positionH>
            <wp:positionV relativeFrom="paragraph">
              <wp:posOffset>472008</wp:posOffset>
            </wp:positionV>
            <wp:extent cx="2866390" cy="1345565"/>
            <wp:effectExtent l="0" t="0" r="0" b="6985"/>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E94">
        <w:rPr>
          <w:rFonts w:ascii="Times New Roman" w:hAnsi="Times New Roman"/>
          <w:sz w:val="24"/>
          <w:lang w:val="es-ES_tradnl"/>
        </w:rPr>
        <w:t>De conf</w:t>
      </w:r>
      <w:r w:rsidR="00CC3D7A" w:rsidRPr="00910E94">
        <w:rPr>
          <w:rFonts w:ascii="Times New Roman" w:hAnsi="Times New Roman"/>
          <w:sz w:val="24"/>
          <w:lang w:val="es-ES_tradnl"/>
        </w:rPr>
        <w:t>ormidad con el artículo </w:t>
      </w:r>
      <w:r w:rsidRPr="00910E94">
        <w:rPr>
          <w:rFonts w:ascii="Times New Roman" w:hAnsi="Times New Roman"/>
          <w:sz w:val="24"/>
          <w:lang w:val="es-ES_tradnl"/>
        </w:rPr>
        <w:t>8.10 del Reglamento Financiero y la Reglamentación Financiera de la OMPI hemos publicado asimismo un informe extenso sobre nuestra auditoría de la OMPI</w:t>
      </w:r>
      <w:r w:rsidR="00AB18E9">
        <w:rPr>
          <w:rFonts w:ascii="Times New Roman" w:hAnsi="Times New Roman"/>
          <w:sz w:val="24"/>
          <w:lang w:val="es-ES_tradnl"/>
        </w:rPr>
        <w:t>.</w:t>
      </w:r>
    </w:p>
    <w:p w:rsidR="00A0227B" w:rsidRPr="00910E94" w:rsidRDefault="00A0227B" w:rsidP="00A0227B">
      <w:pPr>
        <w:spacing w:after="100" w:line="360" w:lineRule="auto"/>
        <w:ind w:left="720" w:right="-7"/>
        <w:jc w:val="right"/>
        <w:rPr>
          <w:rFonts w:ascii="Times New Roman" w:eastAsia="Times New Roman" w:hAnsi="Times New Roman" w:cs="Times New Roman"/>
          <w:sz w:val="24"/>
          <w:szCs w:val="24"/>
          <w:lang w:val="es-ES_tradnl"/>
        </w:rPr>
      </w:pPr>
    </w:p>
    <w:p w:rsidR="00A0227B" w:rsidRPr="00910E94" w:rsidRDefault="00A0227B" w:rsidP="006C0221">
      <w:pPr>
        <w:spacing w:after="0" w:line="240" w:lineRule="auto"/>
        <w:jc w:val="center"/>
        <w:rPr>
          <w:rFonts w:ascii="Times New Roman" w:hAnsi="Times New Roman" w:cs="Times New Roman"/>
          <w:b/>
          <w:sz w:val="24"/>
          <w:szCs w:val="24"/>
          <w:lang w:val="es-ES_tradnl"/>
        </w:rPr>
        <w:sectPr w:rsidR="00A0227B" w:rsidRPr="00910E94" w:rsidSect="00DB0571">
          <w:footerReference w:type="default" r:id="rId12"/>
          <w:headerReference w:type="first" r:id="rId13"/>
          <w:footerReference w:type="first" r:id="rId14"/>
          <w:pgSz w:w="11907" w:h="16839" w:code="9"/>
          <w:pgMar w:top="1134" w:right="1418" w:bottom="1418" w:left="1418" w:header="510" w:footer="1021" w:gutter="0"/>
          <w:cols w:space="720"/>
          <w:titlePg/>
          <w:docGrid w:linePitch="360"/>
        </w:sectPr>
      </w:pPr>
    </w:p>
    <w:tbl>
      <w:tblPr>
        <w:tblW w:w="0" w:type="auto"/>
        <w:jc w:val="center"/>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225"/>
        <w:gridCol w:w="5018"/>
      </w:tblGrid>
      <w:tr w:rsidR="007F6E19" w:rsidRPr="00910E94" w:rsidTr="006C0221">
        <w:trPr>
          <w:trHeight w:val="12088"/>
          <w:jc w:val="center"/>
        </w:trPr>
        <w:tc>
          <w:tcPr>
            <w:tcW w:w="4307" w:type="dxa"/>
            <w:shd w:val="clear" w:color="auto" w:fill="4F81BD"/>
          </w:tcPr>
          <w:p w:rsidR="007F6E19" w:rsidRPr="00910E94" w:rsidRDefault="00FC52F6" w:rsidP="006C0221">
            <w:pPr>
              <w:spacing w:after="0" w:line="240" w:lineRule="auto"/>
              <w:jc w:val="center"/>
              <w:rPr>
                <w:rFonts w:ascii="Times New Roman" w:hAnsi="Times New Roman" w:cs="Times New Roman"/>
                <w:b/>
                <w:sz w:val="24"/>
                <w:szCs w:val="24"/>
                <w:lang w:val="es-ES_tradnl"/>
              </w:rPr>
            </w:pPr>
            <w:r w:rsidRPr="00910E94">
              <w:rPr>
                <w:rFonts w:ascii="Times New Roman" w:hAnsi="Times New Roman" w:cs="Times New Roman"/>
                <w:b/>
                <w:noProof/>
                <w:sz w:val="24"/>
                <w:szCs w:val="24"/>
                <w:lang w:val="en-US" w:eastAsia="en-US" w:bidi="ar-SA"/>
              </w:rPr>
              <w:lastRenderedPageBreak/>
              <w:drawing>
                <wp:inline distT="0" distB="0" distL="0" distR="0" wp14:anchorId="0A6BB2BB" wp14:editId="60B46AE7">
                  <wp:extent cx="1311910" cy="1399540"/>
                  <wp:effectExtent l="0" t="0" r="0" b="0"/>
                  <wp:docPr id="2"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7F6E19" w:rsidRPr="00910E94" w:rsidRDefault="007F6E19" w:rsidP="006C0221">
            <w:pPr>
              <w:spacing w:after="0" w:line="240" w:lineRule="auto"/>
              <w:jc w:val="center"/>
              <w:rPr>
                <w:rFonts w:ascii="Times New Roman" w:hAnsi="Times New Roman" w:cs="Times New Roman"/>
                <w:b/>
                <w:sz w:val="24"/>
                <w:szCs w:val="24"/>
                <w:lang w:val="es-ES_tradnl"/>
              </w:rPr>
            </w:pPr>
            <w:r w:rsidRPr="00910E94">
              <w:rPr>
                <w:rFonts w:ascii="Times New Roman" w:hAnsi="Times New Roman"/>
                <w:b/>
                <w:sz w:val="24"/>
                <w:lang w:val="es-ES_tradnl"/>
              </w:rPr>
              <w:t xml:space="preserve">OFICINA DEL </w:t>
            </w:r>
          </w:p>
          <w:p w:rsidR="007F6E19" w:rsidRPr="00910E94" w:rsidRDefault="007F6E19" w:rsidP="006C0221">
            <w:pPr>
              <w:spacing w:after="0" w:line="240" w:lineRule="auto"/>
              <w:jc w:val="center"/>
              <w:rPr>
                <w:rFonts w:ascii="Times New Roman" w:hAnsi="Times New Roman" w:cs="Times New Roman"/>
                <w:b/>
                <w:sz w:val="24"/>
                <w:szCs w:val="24"/>
                <w:lang w:val="es-ES_tradnl"/>
              </w:rPr>
            </w:pPr>
            <w:r w:rsidRPr="00910E94">
              <w:rPr>
                <w:rFonts w:ascii="Times New Roman" w:hAnsi="Times New Roman"/>
                <w:b/>
                <w:sz w:val="24"/>
                <w:lang w:val="es-ES_tradnl"/>
              </w:rPr>
              <w:t xml:space="preserve">CONTRALOR Y </w:t>
            </w:r>
          </w:p>
          <w:p w:rsidR="007F6E19" w:rsidRPr="00910E94" w:rsidRDefault="007F6E19" w:rsidP="006C0221">
            <w:pPr>
              <w:spacing w:after="0" w:line="240" w:lineRule="auto"/>
              <w:jc w:val="center"/>
              <w:rPr>
                <w:rFonts w:ascii="Times New Roman" w:hAnsi="Times New Roman" w:cs="Times New Roman"/>
                <w:b/>
                <w:sz w:val="24"/>
                <w:szCs w:val="24"/>
                <w:lang w:val="es-ES_tradnl"/>
              </w:rPr>
            </w:pPr>
            <w:r w:rsidRPr="00910E94">
              <w:rPr>
                <w:rFonts w:ascii="Times New Roman" w:hAnsi="Times New Roman"/>
                <w:b/>
                <w:sz w:val="24"/>
                <w:lang w:val="es-ES_tradnl"/>
              </w:rPr>
              <w:t>AUDITOR GENERAL</w:t>
            </w:r>
          </w:p>
          <w:p w:rsidR="007F6E19" w:rsidRPr="00910E94" w:rsidRDefault="007F6E19" w:rsidP="006C0221">
            <w:pPr>
              <w:spacing w:after="0" w:line="240" w:lineRule="auto"/>
              <w:jc w:val="center"/>
              <w:rPr>
                <w:rFonts w:ascii="Times New Roman" w:hAnsi="Times New Roman" w:cs="Times New Roman"/>
                <w:b/>
                <w:sz w:val="24"/>
                <w:szCs w:val="24"/>
                <w:lang w:val="es-ES_tradnl"/>
              </w:rPr>
            </w:pPr>
            <w:r w:rsidRPr="00910E94">
              <w:rPr>
                <w:rFonts w:ascii="Times New Roman" w:hAnsi="Times New Roman"/>
                <w:b/>
                <w:sz w:val="24"/>
                <w:lang w:val="es-ES_tradnl"/>
              </w:rPr>
              <w:t xml:space="preserve"> DE LA INDIA</w:t>
            </w:r>
          </w:p>
          <w:p w:rsidR="007F6E19" w:rsidRPr="00910E94" w:rsidRDefault="007F6E19" w:rsidP="006C0221">
            <w:pPr>
              <w:spacing w:after="0" w:line="240" w:lineRule="auto"/>
              <w:jc w:val="center"/>
              <w:rPr>
                <w:rFonts w:ascii="Times New Roman" w:hAnsi="Times New Roman" w:cs="Times New Roman"/>
                <w:b/>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r w:rsidRPr="00910E94">
              <w:rPr>
                <w:rFonts w:ascii="Times New Roman" w:hAnsi="Times New Roman"/>
                <w:sz w:val="24"/>
                <w:lang w:val="es-ES_tradnl"/>
              </w:rPr>
              <w:t>Nuestra auditoría persigue proporcionar garantías independientes y añadir valor a la Administración de la Organización Mundial de la Propiedad Intelectual formulando recomendaciones constructivas.</w:t>
            </w: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sz w:val="24"/>
                <w:szCs w:val="24"/>
                <w:lang w:val="es-ES_tradnl"/>
              </w:rPr>
            </w:pPr>
          </w:p>
          <w:p w:rsidR="007F6E19" w:rsidRPr="00910E94" w:rsidRDefault="007F6E19" w:rsidP="006C0221">
            <w:pPr>
              <w:spacing w:after="0" w:line="240" w:lineRule="auto"/>
              <w:jc w:val="both"/>
              <w:rPr>
                <w:rFonts w:ascii="Times New Roman" w:hAnsi="Times New Roman" w:cs="Times New Roman"/>
                <w:b/>
                <w:sz w:val="24"/>
                <w:szCs w:val="24"/>
                <w:lang w:val="es-ES_tradnl"/>
              </w:rPr>
            </w:pPr>
            <w:r w:rsidRPr="00910E94">
              <w:rPr>
                <w:rFonts w:ascii="Times New Roman" w:hAnsi="Times New Roman"/>
                <w:b/>
                <w:sz w:val="24"/>
                <w:lang w:val="es-ES_tradnl"/>
              </w:rPr>
              <w:t>Para solicitar información adicional, pueden ponerse en contacto con:</w:t>
            </w:r>
          </w:p>
          <w:p w:rsidR="007F6E19" w:rsidRPr="00910E94" w:rsidRDefault="007F6E19" w:rsidP="006C0221">
            <w:pPr>
              <w:spacing w:after="0" w:line="240" w:lineRule="auto"/>
              <w:rPr>
                <w:rFonts w:ascii="Times New Roman" w:hAnsi="Times New Roman" w:cs="Times New Roman"/>
                <w:b/>
                <w:sz w:val="24"/>
                <w:szCs w:val="24"/>
                <w:lang w:val="es-ES_tradnl"/>
              </w:rPr>
            </w:pPr>
            <w:r w:rsidRPr="00910E94">
              <w:rPr>
                <w:rFonts w:ascii="Times New Roman" w:hAnsi="Times New Roman"/>
                <w:b/>
                <w:sz w:val="24"/>
                <w:lang w:val="es-ES_tradnl"/>
              </w:rPr>
              <w:t>Sr</w:t>
            </w:r>
            <w:r w:rsidR="00344EE2">
              <w:rPr>
                <w:rFonts w:ascii="Times New Roman" w:hAnsi="Times New Roman"/>
                <w:b/>
                <w:sz w:val="24"/>
                <w:lang w:val="es-ES_tradnl"/>
              </w:rPr>
              <w:t xml:space="preserve">.  </w:t>
            </w:r>
            <w:r w:rsidRPr="00910E94">
              <w:rPr>
                <w:rFonts w:ascii="Times New Roman" w:hAnsi="Times New Roman"/>
                <w:b/>
                <w:sz w:val="24"/>
                <w:lang w:val="es-ES_tradnl"/>
              </w:rPr>
              <w:t>K</w:t>
            </w:r>
            <w:r w:rsidR="00344EE2">
              <w:rPr>
                <w:rFonts w:ascii="Times New Roman" w:hAnsi="Times New Roman"/>
                <w:b/>
                <w:sz w:val="24"/>
                <w:lang w:val="es-ES_tradnl"/>
              </w:rPr>
              <w:t xml:space="preserve">.  </w:t>
            </w:r>
            <w:r w:rsidRPr="00910E94">
              <w:rPr>
                <w:rFonts w:ascii="Times New Roman" w:hAnsi="Times New Roman"/>
                <w:b/>
                <w:sz w:val="24"/>
                <w:lang w:val="es-ES_tradnl"/>
              </w:rPr>
              <w:t>S</w:t>
            </w:r>
            <w:r w:rsidR="00344EE2">
              <w:rPr>
                <w:rFonts w:ascii="Times New Roman" w:hAnsi="Times New Roman"/>
                <w:b/>
                <w:sz w:val="24"/>
                <w:lang w:val="es-ES_tradnl"/>
              </w:rPr>
              <w:t xml:space="preserve">.  </w:t>
            </w:r>
            <w:r w:rsidRPr="00910E94">
              <w:rPr>
                <w:rFonts w:ascii="Times New Roman" w:hAnsi="Times New Roman"/>
                <w:b/>
                <w:sz w:val="24"/>
                <w:lang w:val="es-ES_tradnl"/>
              </w:rPr>
              <w:t>Subramanian</w:t>
            </w:r>
          </w:p>
          <w:p w:rsidR="007F6E19" w:rsidRPr="00910E94" w:rsidRDefault="007F6E19" w:rsidP="004B5314">
            <w:pPr>
              <w:spacing w:after="0" w:line="240" w:lineRule="auto"/>
              <w:rPr>
                <w:rFonts w:ascii="Times New Roman" w:hAnsi="Times New Roman" w:cs="Times New Roman"/>
                <w:b/>
                <w:sz w:val="24"/>
                <w:szCs w:val="24"/>
                <w:lang w:val="es-ES_tradnl"/>
              </w:rPr>
            </w:pPr>
            <w:r w:rsidRPr="00910E94">
              <w:rPr>
                <w:rFonts w:ascii="Times New Roman" w:hAnsi="Times New Roman"/>
                <w:b/>
                <w:sz w:val="24"/>
                <w:lang w:val="es-ES_tradnl"/>
              </w:rPr>
              <w:t>Director General (Relaciones Internacionales)</w:t>
            </w:r>
          </w:p>
          <w:p w:rsidR="007F6E19" w:rsidRPr="00910E94" w:rsidRDefault="007F6E19" w:rsidP="006C0221">
            <w:pPr>
              <w:spacing w:after="0" w:line="240" w:lineRule="auto"/>
              <w:rPr>
                <w:rFonts w:ascii="Times New Roman" w:hAnsi="Times New Roman" w:cs="Times New Roman"/>
                <w:sz w:val="24"/>
                <w:szCs w:val="24"/>
                <w:lang w:val="es-ES_tradnl"/>
              </w:rPr>
            </w:pPr>
            <w:r w:rsidRPr="00910E94">
              <w:rPr>
                <w:rFonts w:ascii="Times New Roman" w:hAnsi="Times New Roman"/>
                <w:sz w:val="24"/>
                <w:lang w:val="es-ES_tradnl"/>
              </w:rPr>
              <w:t>Oficina del Contralor y Auditor General de la India</w:t>
            </w:r>
          </w:p>
          <w:p w:rsidR="007F6E19" w:rsidRPr="00910E94" w:rsidRDefault="007F6E19" w:rsidP="006C0221">
            <w:pPr>
              <w:spacing w:after="0" w:line="240" w:lineRule="auto"/>
              <w:rPr>
                <w:rFonts w:ascii="Times New Roman" w:hAnsi="Times New Roman" w:cs="Times New Roman"/>
                <w:sz w:val="24"/>
                <w:szCs w:val="24"/>
                <w:lang w:val="es-ES_tradnl"/>
              </w:rPr>
            </w:pPr>
            <w:r w:rsidRPr="00910E94">
              <w:rPr>
                <w:rFonts w:ascii="Times New Roman" w:hAnsi="Times New Roman"/>
                <w:sz w:val="24"/>
                <w:lang w:val="es-ES_tradnl"/>
              </w:rPr>
              <w:t>9, Deen Dayal Upadhyay Marg</w:t>
            </w:r>
          </w:p>
          <w:p w:rsidR="007F6E19" w:rsidRPr="00910E94" w:rsidRDefault="007F6E19" w:rsidP="006C0221">
            <w:pPr>
              <w:spacing w:after="0" w:line="240" w:lineRule="auto"/>
              <w:rPr>
                <w:rFonts w:ascii="Times New Roman" w:hAnsi="Times New Roman" w:cs="Times New Roman"/>
                <w:sz w:val="24"/>
                <w:szCs w:val="24"/>
                <w:lang w:val="es-ES_tradnl"/>
              </w:rPr>
            </w:pPr>
            <w:r w:rsidRPr="00910E94">
              <w:rPr>
                <w:rFonts w:ascii="Times New Roman" w:hAnsi="Times New Roman"/>
                <w:sz w:val="24"/>
                <w:lang w:val="es-ES_tradnl"/>
              </w:rPr>
              <w:t>Nueva Delhi, India - 110124</w:t>
            </w:r>
          </w:p>
          <w:p w:rsidR="007F6E19" w:rsidRPr="00910E94" w:rsidRDefault="007F6E19" w:rsidP="004B5314">
            <w:pPr>
              <w:spacing w:after="0" w:line="240" w:lineRule="auto"/>
              <w:rPr>
                <w:rFonts w:ascii="Times New Roman" w:hAnsi="Times New Roman" w:cs="Times New Roman"/>
                <w:b/>
                <w:sz w:val="24"/>
                <w:szCs w:val="24"/>
                <w:lang w:val="es-ES_tradnl"/>
              </w:rPr>
            </w:pPr>
            <w:r w:rsidRPr="00910E94">
              <w:rPr>
                <w:rFonts w:ascii="Times New Roman" w:hAnsi="Times New Roman"/>
                <w:sz w:val="24"/>
                <w:lang w:val="es-ES_tradnl"/>
              </w:rPr>
              <w:t>Correo electrónico</w:t>
            </w:r>
            <w:r w:rsidR="00EC215B">
              <w:rPr>
                <w:rFonts w:ascii="Times New Roman" w:hAnsi="Times New Roman"/>
                <w:sz w:val="24"/>
                <w:lang w:val="es-ES_tradnl"/>
              </w:rPr>
              <w:t xml:space="preserve">:  </w:t>
            </w:r>
            <w:hyperlink r:id="rId16">
              <w:r w:rsidRPr="00910E94">
                <w:rPr>
                  <w:rStyle w:val="Hyperlink"/>
                  <w:rFonts w:ascii="Times New Roman" w:hAnsi="Times New Roman"/>
                  <w:sz w:val="24"/>
                  <w:lang w:val="es-ES_tradnl"/>
                </w:rPr>
                <w:t>subramanianKS@cag.gov.in</w:t>
              </w:r>
            </w:hyperlink>
          </w:p>
        </w:tc>
        <w:tc>
          <w:tcPr>
            <w:tcW w:w="5161" w:type="dxa"/>
          </w:tcPr>
          <w:p w:rsidR="007F6E19" w:rsidRPr="00910E94" w:rsidRDefault="007F6E19" w:rsidP="006C0221">
            <w:pPr>
              <w:spacing w:after="0" w:line="240" w:lineRule="auto"/>
              <w:jc w:val="center"/>
              <w:rPr>
                <w:rFonts w:ascii="Times New Roman" w:hAnsi="Times New Roman" w:cs="Times New Roman"/>
                <w:b/>
                <w:sz w:val="28"/>
                <w:szCs w:val="28"/>
                <w:lang w:val="es-ES_tradnl"/>
              </w:rPr>
            </w:pPr>
          </w:p>
          <w:p w:rsidR="007F6E19" w:rsidRPr="00910E94" w:rsidRDefault="007F6E19" w:rsidP="006C0221">
            <w:pPr>
              <w:tabs>
                <w:tab w:val="left" w:pos="709"/>
              </w:tabs>
              <w:autoSpaceDE w:val="0"/>
              <w:autoSpaceDN w:val="0"/>
              <w:adjustRightInd w:val="0"/>
              <w:jc w:val="center"/>
              <w:rPr>
                <w:rFonts w:ascii="Times New Roman" w:hAnsi="Times New Roman" w:cs="Times New Roman"/>
                <w:b/>
                <w:bCs/>
                <w:sz w:val="32"/>
                <w:szCs w:val="32"/>
                <w:u w:val="single"/>
                <w:lang w:val="es-ES_tradnl"/>
              </w:rPr>
            </w:pPr>
          </w:p>
          <w:p w:rsidR="007F6E19" w:rsidRPr="00910E94" w:rsidRDefault="007F6E19" w:rsidP="006C0221">
            <w:pPr>
              <w:tabs>
                <w:tab w:val="left" w:pos="709"/>
              </w:tabs>
              <w:autoSpaceDE w:val="0"/>
              <w:autoSpaceDN w:val="0"/>
              <w:adjustRightInd w:val="0"/>
              <w:jc w:val="center"/>
              <w:rPr>
                <w:rFonts w:ascii="Times New Roman" w:hAnsi="Times New Roman" w:cs="Times New Roman"/>
                <w:b/>
                <w:bCs/>
                <w:sz w:val="28"/>
                <w:szCs w:val="28"/>
                <w:lang w:val="es-ES_tradnl"/>
              </w:rPr>
            </w:pPr>
          </w:p>
          <w:p w:rsidR="007F6E19" w:rsidRPr="00910E94" w:rsidRDefault="007F6E19" w:rsidP="006C0221">
            <w:pPr>
              <w:tabs>
                <w:tab w:val="left" w:pos="709"/>
              </w:tabs>
              <w:autoSpaceDE w:val="0"/>
              <w:autoSpaceDN w:val="0"/>
              <w:adjustRightInd w:val="0"/>
              <w:jc w:val="center"/>
              <w:rPr>
                <w:rFonts w:ascii="Times New Roman" w:hAnsi="Times New Roman" w:cs="Times New Roman"/>
                <w:b/>
                <w:bCs/>
                <w:sz w:val="28"/>
                <w:szCs w:val="28"/>
                <w:lang w:val="es-ES_tradnl"/>
              </w:rPr>
            </w:pPr>
          </w:p>
          <w:p w:rsidR="007F6E19" w:rsidRPr="00910E94" w:rsidRDefault="007F6E19" w:rsidP="006C0221">
            <w:pPr>
              <w:tabs>
                <w:tab w:val="left" w:pos="709"/>
              </w:tabs>
              <w:autoSpaceDE w:val="0"/>
              <w:autoSpaceDN w:val="0"/>
              <w:adjustRightInd w:val="0"/>
              <w:jc w:val="center"/>
              <w:rPr>
                <w:rFonts w:ascii="Times New Roman" w:hAnsi="Times New Roman" w:cs="Times New Roman"/>
                <w:b/>
                <w:bCs/>
                <w:sz w:val="28"/>
                <w:szCs w:val="28"/>
                <w:lang w:val="es-ES_tradnl"/>
              </w:rPr>
            </w:pPr>
          </w:p>
          <w:p w:rsidR="007F6E19" w:rsidRPr="00910E94" w:rsidRDefault="007F6E19" w:rsidP="006C0221">
            <w:pPr>
              <w:tabs>
                <w:tab w:val="left" w:pos="709"/>
              </w:tabs>
              <w:autoSpaceDE w:val="0"/>
              <w:autoSpaceDN w:val="0"/>
              <w:adjustRightInd w:val="0"/>
              <w:jc w:val="center"/>
              <w:rPr>
                <w:rFonts w:ascii="Times New Roman" w:hAnsi="Times New Roman" w:cs="Times New Roman"/>
                <w:b/>
                <w:bCs/>
                <w:sz w:val="36"/>
                <w:szCs w:val="36"/>
                <w:lang w:val="es-ES_tradnl"/>
              </w:rPr>
            </w:pPr>
            <w:r w:rsidRPr="00910E94">
              <w:rPr>
                <w:rFonts w:ascii="Times New Roman" w:hAnsi="Times New Roman"/>
                <w:b/>
                <w:sz w:val="36"/>
                <w:lang w:val="es-ES_tradnl"/>
              </w:rPr>
              <w:t>INFORME DEL AUDITOR EXTERNO</w:t>
            </w:r>
          </w:p>
          <w:p w:rsidR="007F6E19" w:rsidRPr="00910E94" w:rsidRDefault="007F6E19" w:rsidP="006C0221">
            <w:pPr>
              <w:tabs>
                <w:tab w:val="left" w:pos="709"/>
              </w:tabs>
              <w:autoSpaceDE w:val="0"/>
              <w:autoSpaceDN w:val="0"/>
              <w:adjustRightInd w:val="0"/>
              <w:jc w:val="center"/>
              <w:rPr>
                <w:rFonts w:ascii="Times New Roman" w:hAnsi="Times New Roman" w:cs="Times New Roman"/>
                <w:b/>
                <w:bCs/>
                <w:sz w:val="28"/>
                <w:szCs w:val="28"/>
                <w:lang w:val="es-ES_tradnl"/>
              </w:rPr>
            </w:pPr>
          </w:p>
          <w:p w:rsidR="007F6E19" w:rsidRPr="00910E94" w:rsidRDefault="007F6E19" w:rsidP="006C0221">
            <w:pPr>
              <w:tabs>
                <w:tab w:val="left" w:pos="709"/>
              </w:tabs>
              <w:autoSpaceDE w:val="0"/>
              <w:autoSpaceDN w:val="0"/>
              <w:adjustRightInd w:val="0"/>
              <w:jc w:val="center"/>
              <w:rPr>
                <w:rFonts w:ascii="Times New Roman" w:hAnsi="Times New Roman" w:cs="Times New Roman"/>
                <w:b/>
                <w:bCs/>
                <w:sz w:val="28"/>
                <w:szCs w:val="28"/>
                <w:lang w:val="es-ES_tradnl"/>
              </w:rPr>
            </w:pPr>
            <w:r w:rsidRPr="00910E94">
              <w:rPr>
                <w:rFonts w:ascii="Times New Roman" w:hAnsi="Times New Roman"/>
                <w:b/>
                <w:sz w:val="28"/>
                <w:lang w:val="es-ES_tradnl"/>
              </w:rPr>
              <w:t xml:space="preserve">DIRIGIDO A LA QUINCUAGÉSIMA QUINTA SERIE DE REUNIONES DE LA ASAMBLEA GENERAL DE </w:t>
            </w:r>
          </w:p>
          <w:p w:rsidR="007F6E19" w:rsidRPr="00910E94" w:rsidRDefault="007F6E19" w:rsidP="006C0221">
            <w:pPr>
              <w:tabs>
                <w:tab w:val="left" w:pos="709"/>
              </w:tabs>
              <w:autoSpaceDE w:val="0"/>
              <w:autoSpaceDN w:val="0"/>
              <w:adjustRightInd w:val="0"/>
              <w:jc w:val="center"/>
              <w:rPr>
                <w:rFonts w:ascii="Times New Roman" w:hAnsi="Times New Roman" w:cs="Times New Roman"/>
                <w:b/>
                <w:bCs/>
                <w:sz w:val="28"/>
                <w:szCs w:val="28"/>
                <w:lang w:val="es-ES_tradnl"/>
              </w:rPr>
            </w:pPr>
          </w:p>
          <w:p w:rsidR="007F6E19" w:rsidRPr="00910E94" w:rsidRDefault="007F6E19" w:rsidP="006C0221">
            <w:pPr>
              <w:tabs>
                <w:tab w:val="left" w:pos="709"/>
              </w:tabs>
              <w:autoSpaceDE w:val="0"/>
              <w:autoSpaceDN w:val="0"/>
              <w:adjustRightInd w:val="0"/>
              <w:jc w:val="center"/>
              <w:rPr>
                <w:rFonts w:ascii="Times New Roman" w:hAnsi="Times New Roman" w:cs="Times New Roman"/>
                <w:b/>
                <w:bCs/>
                <w:sz w:val="32"/>
                <w:szCs w:val="32"/>
                <w:lang w:val="es-ES_tradnl"/>
              </w:rPr>
            </w:pPr>
            <w:r w:rsidRPr="00910E94">
              <w:rPr>
                <w:rFonts w:ascii="Times New Roman" w:hAnsi="Times New Roman"/>
                <w:b/>
                <w:sz w:val="32"/>
                <w:lang w:val="es-ES_tradnl"/>
              </w:rPr>
              <w:t>LA ORGANIZACIÓN  MUNDIAL</w:t>
            </w:r>
            <w:r w:rsidR="003C43E1" w:rsidRPr="00910E94">
              <w:rPr>
                <w:rFonts w:ascii="Times New Roman" w:hAnsi="Times New Roman"/>
                <w:b/>
                <w:sz w:val="32"/>
                <w:lang w:val="es-ES_tradnl"/>
              </w:rPr>
              <w:t xml:space="preserve"> </w:t>
            </w:r>
            <w:r w:rsidRPr="00910E94">
              <w:rPr>
                <w:rFonts w:ascii="Times New Roman" w:hAnsi="Times New Roman"/>
                <w:b/>
                <w:sz w:val="32"/>
                <w:lang w:val="es-ES_tradnl"/>
              </w:rPr>
              <w:t>DE</w:t>
            </w:r>
            <w:r w:rsidR="003C43E1" w:rsidRPr="00910E94">
              <w:rPr>
                <w:rFonts w:ascii="Times New Roman" w:hAnsi="Times New Roman"/>
                <w:b/>
                <w:sz w:val="32"/>
                <w:lang w:val="es-ES_tradnl"/>
              </w:rPr>
              <w:t xml:space="preserve"> </w:t>
            </w:r>
            <w:r w:rsidRPr="00910E94">
              <w:rPr>
                <w:rFonts w:ascii="Times New Roman" w:hAnsi="Times New Roman"/>
                <w:b/>
                <w:sz w:val="32"/>
                <w:lang w:val="es-ES_tradnl"/>
              </w:rPr>
              <w:t>LA</w:t>
            </w:r>
            <w:r w:rsidR="003C43E1" w:rsidRPr="00910E94">
              <w:rPr>
                <w:rFonts w:ascii="Times New Roman" w:hAnsi="Times New Roman"/>
                <w:b/>
                <w:sz w:val="32"/>
                <w:lang w:val="es-ES_tradnl"/>
              </w:rPr>
              <w:t xml:space="preserve"> </w:t>
            </w:r>
            <w:r w:rsidRPr="00910E94">
              <w:rPr>
                <w:rFonts w:ascii="Times New Roman" w:hAnsi="Times New Roman"/>
                <w:b/>
                <w:sz w:val="32"/>
                <w:lang w:val="es-ES_tradnl"/>
              </w:rPr>
              <w:t>PROPIEDAD</w:t>
            </w:r>
            <w:r w:rsidR="003C43E1" w:rsidRPr="00910E94">
              <w:rPr>
                <w:rFonts w:ascii="Times New Roman" w:hAnsi="Times New Roman"/>
                <w:b/>
                <w:sz w:val="32"/>
                <w:lang w:val="es-ES_tradnl"/>
              </w:rPr>
              <w:t xml:space="preserve"> </w:t>
            </w:r>
            <w:r w:rsidRPr="00910E94">
              <w:rPr>
                <w:rFonts w:ascii="Times New Roman" w:hAnsi="Times New Roman"/>
                <w:b/>
                <w:sz w:val="32"/>
                <w:lang w:val="es-ES_tradnl"/>
              </w:rPr>
              <w:t xml:space="preserve">INTELECTUAL </w:t>
            </w:r>
          </w:p>
          <w:p w:rsidR="007F6E19" w:rsidRPr="00910E94" w:rsidRDefault="007F6E19" w:rsidP="006C0221">
            <w:pPr>
              <w:jc w:val="center"/>
              <w:rPr>
                <w:rFonts w:ascii="Times New Roman" w:hAnsi="Times New Roman" w:cs="Times New Roman"/>
                <w:b/>
                <w:bCs/>
                <w:sz w:val="28"/>
                <w:szCs w:val="28"/>
                <w:lang w:val="es-ES_tradnl"/>
              </w:rPr>
            </w:pPr>
          </w:p>
          <w:p w:rsidR="007F6E19" w:rsidRPr="00910E94" w:rsidRDefault="007F6E19" w:rsidP="006C0221">
            <w:pPr>
              <w:jc w:val="center"/>
              <w:rPr>
                <w:rFonts w:ascii="Times New Roman" w:hAnsi="Times New Roman" w:cs="Times New Roman"/>
                <w:b/>
                <w:bCs/>
                <w:sz w:val="28"/>
                <w:szCs w:val="28"/>
                <w:lang w:val="es-ES_tradnl"/>
              </w:rPr>
            </w:pPr>
            <w:r w:rsidRPr="00910E94">
              <w:rPr>
                <w:rFonts w:ascii="Times New Roman" w:hAnsi="Times New Roman"/>
                <w:b/>
                <w:sz w:val="28"/>
                <w:lang w:val="es-ES_tradnl"/>
              </w:rPr>
              <w:t xml:space="preserve">SOBRE EL EJERCICIO </w:t>
            </w:r>
            <w:r w:rsidR="00CC3D7A" w:rsidRPr="00910E94">
              <w:rPr>
                <w:rFonts w:ascii="Times New Roman" w:hAnsi="Times New Roman"/>
                <w:b/>
                <w:sz w:val="28"/>
                <w:lang w:val="es-ES_tradnl"/>
              </w:rPr>
              <w:t>DE 20</w:t>
            </w:r>
            <w:r w:rsidRPr="00910E94">
              <w:rPr>
                <w:rFonts w:ascii="Times New Roman" w:hAnsi="Times New Roman"/>
                <w:b/>
                <w:sz w:val="28"/>
                <w:lang w:val="es-ES_tradnl"/>
              </w:rPr>
              <w:t>14</w:t>
            </w:r>
          </w:p>
          <w:tbl>
            <w:tblPr>
              <w:tblW w:w="0" w:type="auto"/>
              <w:tblLook w:val="04A0" w:firstRow="1" w:lastRow="0" w:firstColumn="1" w:lastColumn="0" w:noHBand="0" w:noVBand="1"/>
            </w:tblPr>
            <w:tblGrid>
              <w:gridCol w:w="3487"/>
              <w:gridCol w:w="1070"/>
            </w:tblGrid>
            <w:tr w:rsidR="007F6E19" w:rsidRPr="00910E94" w:rsidTr="006C0221">
              <w:tc>
                <w:tcPr>
                  <w:tcW w:w="3487" w:type="dxa"/>
                </w:tcPr>
                <w:p w:rsidR="007F6E19" w:rsidRPr="00910E94" w:rsidRDefault="007F6E19" w:rsidP="006C0221">
                  <w:pPr>
                    <w:spacing w:before="120" w:after="120" w:line="240" w:lineRule="auto"/>
                    <w:rPr>
                      <w:rFonts w:ascii="Times New Roman" w:hAnsi="Times New Roman" w:cs="Times New Roman"/>
                      <w:b/>
                      <w:sz w:val="24"/>
                      <w:szCs w:val="24"/>
                      <w:lang w:val="es-ES_tradnl"/>
                    </w:rPr>
                  </w:pPr>
                </w:p>
              </w:tc>
              <w:tc>
                <w:tcPr>
                  <w:tcW w:w="1070" w:type="dxa"/>
                  <w:vAlign w:val="center"/>
                </w:tcPr>
                <w:p w:rsidR="007F6E19" w:rsidRPr="00910E94" w:rsidRDefault="007F6E19" w:rsidP="006C0221">
                  <w:pPr>
                    <w:spacing w:before="120" w:after="120" w:line="240" w:lineRule="auto"/>
                    <w:ind w:firstLine="34"/>
                    <w:rPr>
                      <w:rFonts w:ascii="Times New Roman" w:hAnsi="Times New Roman" w:cs="Times New Roman"/>
                      <w:b/>
                      <w:sz w:val="24"/>
                      <w:szCs w:val="24"/>
                      <w:lang w:val="es-ES_tradnl"/>
                    </w:rPr>
                  </w:pPr>
                </w:p>
              </w:tc>
            </w:tr>
            <w:tr w:rsidR="007F6E19" w:rsidRPr="00910E94" w:rsidTr="006C0221">
              <w:tc>
                <w:tcPr>
                  <w:tcW w:w="3487" w:type="dxa"/>
                </w:tcPr>
                <w:p w:rsidR="007F6E19" w:rsidRPr="00910E94" w:rsidRDefault="007F6E19" w:rsidP="006C0221">
                  <w:pPr>
                    <w:spacing w:after="0" w:line="240" w:lineRule="auto"/>
                    <w:rPr>
                      <w:rFonts w:ascii="Times New Roman" w:hAnsi="Times New Roman" w:cs="Times New Roman"/>
                      <w:b/>
                      <w:sz w:val="24"/>
                      <w:szCs w:val="24"/>
                      <w:lang w:val="es-ES_tradnl"/>
                    </w:rPr>
                  </w:pPr>
                </w:p>
              </w:tc>
              <w:tc>
                <w:tcPr>
                  <w:tcW w:w="1070" w:type="dxa"/>
                  <w:vAlign w:val="center"/>
                </w:tcPr>
                <w:p w:rsidR="007F6E19" w:rsidRPr="00910E94" w:rsidRDefault="007F6E19" w:rsidP="006C0221">
                  <w:pPr>
                    <w:spacing w:after="0" w:line="240" w:lineRule="auto"/>
                    <w:ind w:firstLine="34"/>
                    <w:rPr>
                      <w:rFonts w:ascii="Times New Roman" w:hAnsi="Times New Roman" w:cs="Times New Roman"/>
                      <w:b/>
                      <w:sz w:val="24"/>
                      <w:szCs w:val="24"/>
                      <w:lang w:val="es-ES_tradnl"/>
                    </w:rPr>
                  </w:pPr>
                </w:p>
              </w:tc>
            </w:tr>
          </w:tbl>
          <w:p w:rsidR="007F6E19" w:rsidRPr="00910E94" w:rsidRDefault="007F6E19" w:rsidP="006C0221">
            <w:pPr>
              <w:spacing w:after="0" w:line="240" w:lineRule="auto"/>
              <w:jc w:val="center"/>
              <w:rPr>
                <w:rFonts w:ascii="Times New Roman" w:hAnsi="Times New Roman" w:cs="Times New Roman"/>
                <w:b/>
                <w:sz w:val="24"/>
                <w:szCs w:val="24"/>
                <w:lang w:val="es-ES_tradnl"/>
              </w:rPr>
            </w:pPr>
          </w:p>
        </w:tc>
      </w:tr>
    </w:tbl>
    <w:p w:rsidR="00A23174" w:rsidRPr="00910E94" w:rsidRDefault="00A23174" w:rsidP="00DB5B5B">
      <w:pPr>
        <w:spacing w:before="120" w:after="120" w:line="360" w:lineRule="auto"/>
        <w:jc w:val="center"/>
        <w:rPr>
          <w:rFonts w:ascii="Times New Roman" w:hAnsi="Times New Roman" w:cs="Times New Roman"/>
          <w:b/>
          <w:color w:val="1F497D"/>
          <w:sz w:val="24"/>
          <w:szCs w:val="24"/>
          <w:lang w:val="es-ES_tradnl"/>
        </w:rPr>
        <w:sectPr w:rsidR="00A23174" w:rsidRPr="00910E94" w:rsidSect="00333CA1">
          <w:footerReference w:type="default" r:id="rId17"/>
          <w:footerReference w:type="first" r:id="rId18"/>
          <w:pgSz w:w="11907" w:h="16839" w:code="9"/>
          <w:pgMar w:top="1440" w:right="1440" w:bottom="1440" w:left="1440" w:header="720" w:footer="720" w:gutter="0"/>
          <w:cols w:space="720"/>
          <w:titlePg/>
          <w:docGrid w:linePitch="360"/>
        </w:sectPr>
      </w:pPr>
    </w:p>
    <w:p w:rsidR="003436FF" w:rsidRPr="00910E94" w:rsidRDefault="003436FF" w:rsidP="00DB5B5B">
      <w:pPr>
        <w:spacing w:before="120" w:after="120" w:line="360" w:lineRule="auto"/>
        <w:jc w:val="center"/>
        <w:rPr>
          <w:rFonts w:ascii="Times New Roman" w:hAnsi="Times New Roman" w:cs="Times New Roman"/>
          <w:b/>
          <w:color w:val="1F497D"/>
          <w:sz w:val="24"/>
          <w:szCs w:val="24"/>
          <w:lang w:val="es-ES_tradnl"/>
        </w:rPr>
      </w:pPr>
    </w:p>
    <w:p w:rsidR="00DB5B5B" w:rsidRPr="00910E94" w:rsidRDefault="00DB5B5B" w:rsidP="00DB5B5B">
      <w:pPr>
        <w:spacing w:before="120" w:after="120" w:line="360" w:lineRule="auto"/>
        <w:jc w:val="center"/>
        <w:rPr>
          <w:rFonts w:ascii="Times New Roman" w:hAnsi="Times New Roman" w:cs="Times New Roman"/>
          <w:b/>
          <w:color w:val="1F497D"/>
          <w:sz w:val="24"/>
          <w:szCs w:val="24"/>
          <w:lang w:val="es-ES_tradnl"/>
        </w:rPr>
      </w:pPr>
      <w:r w:rsidRPr="00910E94">
        <w:rPr>
          <w:rFonts w:ascii="Times New Roman" w:hAnsi="Times New Roman"/>
          <w:b/>
          <w:color w:val="1F497D"/>
          <w:sz w:val="24"/>
          <w:lang w:val="es-ES_tradnl"/>
        </w:rPr>
        <w:t xml:space="preserve">RESUMEN GENERAL </w:t>
      </w:r>
    </w:p>
    <w:p w:rsidR="00DB5B5B" w:rsidRPr="00910E94" w:rsidRDefault="00C85BA8" w:rsidP="002D3C4F">
      <w:pPr>
        <w:pStyle w:val="ListParagraph"/>
        <w:numPr>
          <w:ilvl w:val="0"/>
          <w:numId w:val="2"/>
        </w:numPr>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sz w:val="24"/>
          <w:lang w:val="es-ES_tradnl"/>
        </w:rPr>
        <w:t xml:space="preserve">En el presente informe se recogen las conclusiones principales de la auditoría de la Organización Mundial de la Propiedad Intelectual (OMPI) correspondiente al ejercicio </w:t>
      </w:r>
      <w:r w:rsidR="00CC3D7A" w:rsidRPr="00910E94">
        <w:rPr>
          <w:rFonts w:ascii="Times New Roman" w:hAnsi="Times New Roman"/>
          <w:sz w:val="24"/>
          <w:lang w:val="es-ES_tradnl"/>
        </w:rPr>
        <w:t>de 20</w:t>
      </w:r>
      <w:r w:rsidRPr="00910E94">
        <w:rPr>
          <w:rFonts w:ascii="Times New Roman" w:hAnsi="Times New Roman"/>
          <w:sz w:val="24"/>
          <w:lang w:val="es-ES_tradnl"/>
        </w:rPr>
        <w:t>14 llevada a cabo por el Contralor y Auditor General de la India</w:t>
      </w:r>
      <w:r w:rsidR="00344EE2">
        <w:rPr>
          <w:rFonts w:ascii="Times New Roman" w:hAnsi="Times New Roman"/>
          <w:sz w:val="24"/>
          <w:lang w:val="es-ES_tradnl"/>
        </w:rPr>
        <w:t xml:space="preserve">.  </w:t>
      </w:r>
      <w:r w:rsidRPr="00910E94">
        <w:rPr>
          <w:rFonts w:ascii="Times New Roman" w:hAnsi="Times New Roman"/>
          <w:sz w:val="24"/>
          <w:lang w:val="es-ES_tradnl"/>
        </w:rPr>
        <w:t>La auditoría ha tenido por objeto los estados financieros de la OMPI, el «Sistema de planificación de los recursos institucionales» de la OMPI y el Departamento de Gestión de Recursos Humanos de la OMPI</w:t>
      </w:r>
      <w:r w:rsidR="00AB18E9">
        <w:rPr>
          <w:rFonts w:ascii="Times New Roman" w:hAnsi="Times New Roman"/>
          <w:sz w:val="24"/>
          <w:lang w:val="es-ES_tradnl"/>
        </w:rPr>
        <w:t>.</w:t>
      </w:r>
    </w:p>
    <w:p w:rsidR="00DB5B5B" w:rsidRPr="00910E94" w:rsidRDefault="00DB5B5B" w:rsidP="00CC3D7A">
      <w:pPr>
        <w:pStyle w:val="ListParagraph"/>
        <w:numPr>
          <w:ilvl w:val="0"/>
          <w:numId w:val="2"/>
        </w:numPr>
        <w:spacing w:before="120" w:after="120" w:line="360" w:lineRule="auto"/>
        <w:ind w:left="0" w:firstLine="0"/>
        <w:contextualSpacing w:val="0"/>
        <w:jc w:val="both"/>
        <w:rPr>
          <w:rFonts w:ascii="Times New Roman" w:eastAsia="SimSun" w:hAnsi="Times New Roman" w:cs="Times New Roman"/>
          <w:sz w:val="24"/>
          <w:szCs w:val="24"/>
          <w:lang w:val="es-ES_tradnl"/>
        </w:rPr>
      </w:pPr>
      <w:r w:rsidRPr="00910E94">
        <w:rPr>
          <w:rFonts w:ascii="Times New Roman" w:hAnsi="Times New Roman"/>
          <w:sz w:val="24"/>
          <w:lang w:val="es-ES_tradnl"/>
        </w:rPr>
        <w:t xml:space="preserve">Tras haber llevado a cabo nuestra auditoría, soy de la opinión de que en los estados financieros del ejercicio concluido el 31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14 se presenta de manera fidedigna, en todos los aspectos esenciales, la sit</w:t>
      </w:r>
      <w:r w:rsidR="00CC3D7A" w:rsidRPr="00910E94">
        <w:rPr>
          <w:rFonts w:ascii="Times New Roman" w:hAnsi="Times New Roman"/>
          <w:sz w:val="24"/>
          <w:lang w:val="es-ES_tradnl"/>
        </w:rPr>
        <w:t>uación financiera de la OMPI al </w:t>
      </w:r>
      <w:r w:rsidRPr="00910E94">
        <w:rPr>
          <w:rFonts w:ascii="Times New Roman" w:hAnsi="Times New Roman"/>
          <w:sz w:val="24"/>
          <w:lang w:val="es-ES_tradnl"/>
        </w:rPr>
        <w:t xml:space="preserve">31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14 y su rendimiento financiero durante el período compr</w:t>
      </w:r>
      <w:r w:rsidR="00CC3D7A" w:rsidRPr="00910E94">
        <w:rPr>
          <w:rFonts w:ascii="Times New Roman" w:hAnsi="Times New Roman"/>
          <w:sz w:val="24"/>
          <w:lang w:val="es-ES_tradnl"/>
        </w:rPr>
        <w:t>endido entre el </w:t>
      </w:r>
      <w:r w:rsidRPr="00910E94">
        <w:rPr>
          <w:rFonts w:ascii="Times New Roman" w:hAnsi="Times New Roman"/>
          <w:sz w:val="24"/>
          <w:lang w:val="es-ES_tradnl"/>
        </w:rPr>
        <w:t xml:space="preserve">1 de enero </w:t>
      </w:r>
      <w:r w:rsidR="00CC3D7A" w:rsidRPr="00910E94">
        <w:rPr>
          <w:rFonts w:ascii="Times New Roman" w:hAnsi="Times New Roman"/>
          <w:sz w:val="24"/>
          <w:lang w:val="es-ES_tradnl"/>
        </w:rPr>
        <w:t>de 20</w:t>
      </w:r>
      <w:r w:rsidRPr="00910E94">
        <w:rPr>
          <w:rFonts w:ascii="Times New Roman" w:hAnsi="Times New Roman"/>
          <w:sz w:val="24"/>
          <w:lang w:val="es-ES_tradnl"/>
        </w:rPr>
        <w:t>14 y el</w:t>
      </w:r>
      <w:r w:rsidR="00CC3D7A" w:rsidRPr="00910E94">
        <w:rPr>
          <w:rFonts w:ascii="Times New Roman" w:hAnsi="Times New Roman"/>
          <w:sz w:val="24"/>
          <w:lang w:val="es-ES_tradnl"/>
        </w:rPr>
        <w:t> </w:t>
      </w:r>
      <w:r w:rsidRPr="00910E94">
        <w:rPr>
          <w:rFonts w:ascii="Times New Roman" w:hAnsi="Times New Roman"/>
          <w:sz w:val="24"/>
          <w:lang w:val="es-ES_tradnl"/>
        </w:rPr>
        <w:t xml:space="preserve">31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14</w:t>
      </w:r>
      <w:r w:rsidR="00344EE2">
        <w:rPr>
          <w:rFonts w:ascii="Times New Roman" w:hAnsi="Times New Roman"/>
          <w:sz w:val="24"/>
          <w:lang w:val="es-ES_tradnl"/>
        </w:rPr>
        <w:t xml:space="preserve">.  </w:t>
      </w:r>
      <w:r w:rsidRPr="00910E94">
        <w:rPr>
          <w:rFonts w:ascii="Times New Roman" w:hAnsi="Times New Roman"/>
          <w:sz w:val="24"/>
          <w:lang w:val="es-ES_tradnl"/>
        </w:rPr>
        <w:t>Por ende, emito un dictamen de auditoría sin reservas sobre los estados financieros de la OMPI correspondientes al ej</w:t>
      </w:r>
      <w:r w:rsidR="00CC3D7A" w:rsidRPr="00910E94">
        <w:rPr>
          <w:rFonts w:ascii="Times New Roman" w:hAnsi="Times New Roman"/>
          <w:sz w:val="24"/>
          <w:lang w:val="es-ES_tradnl"/>
        </w:rPr>
        <w:t>ercicio financiero concluido el </w:t>
      </w:r>
      <w:r w:rsidRPr="00910E94">
        <w:rPr>
          <w:rFonts w:ascii="Times New Roman" w:hAnsi="Times New Roman"/>
          <w:sz w:val="24"/>
          <w:lang w:val="es-ES_tradnl"/>
        </w:rPr>
        <w:t xml:space="preserve">31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14.</w:t>
      </w:r>
    </w:p>
    <w:p w:rsidR="00DB5B5B" w:rsidRPr="00910E94" w:rsidRDefault="00DB5B5B" w:rsidP="00DB5B5B">
      <w:pPr>
        <w:spacing w:before="120" w:after="120" w:line="360" w:lineRule="auto"/>
        <w:jc w:val="both"/>
        <w:rPr>
          <w:rFonts w:ascii="Times New Roman" w:hAnsi="Times New Roman" w:cs="Times New Roman"/>
          <w:b/>
          <w:color w:val="1F497D"/>
          <w:sz w:val="24"/>
          <w:szCs w:val="24"/>
          <w:lang w:val="es-ES_tradnl"/>
        </w:rPr>
      </w:pPr>
      <w:r w:rsidRPr="00910E94">
        <w:rPr>
          <w:rFonts w:ascii="Times New Roman" w:hAnsi="Times New Roman"/>
          <w:b/>
          <w:color w:val="1F497D"/>
          <w:sz w:val="24"/>
          <w:lang w:val="es-ES_tradnl"/>
        </w:rPr>
        <w:t>Gestión financiera</w:t>
      </w:r>
    </w:p>
    <w:p w:rsidR="00DB5B5B" w:rsidRPr="00910E94" w:rsidRDefault="00DB5B5B" w:rsidP="004A14D2">
      <w:pPr>
        <w:pStyle w:val="ListParagraph"/>
        <w:numPr>
          <w:ilvl w:val="0"/>
          <w:numId w:val="2"/>
        </w:numPr>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sz w:val="24"/>
          <w:lang w:val="es-ES_tradnl"/>
        </w:rPr>
        <w:t xml:space="preserve">El superávit de la OMPI </w:t>
      </w:r>
      <w:r w:rsidR="00CC3D7A" w:rsidRPr="00910E94">
        <w:rPr>
          <w:rFonts w:ascii="Times New Roman" w:hAnsi="Times New Roman"/>
          <w:sz w:val="24"/>
          <w:lang w:val="es-ES_tradnl"/>
        </w:rPr>
        <w:t>en 20</w:t>
      </w:r>
      <w:r w:rsidRPr="00910E94">
        <w:rPr>
          <w:rFonts w:ascii="Times New Roman" w:hAnsi="Times New Roman"/>
          <w:sz w:val="24"/>
          <w:lang w:val="es-ES_tradnl"/>
        </w:rPr>
        <w:t xml:space="preserve">14 fue de 37 millones de francos suizos, lo que supone un incremento del 145% en comparación con el superávit </w:t>
      </w:r>
      <w:r w:rsidR="00CC3D7A" w:rsidRPr="00910E94">
        <w:rPr>
          <w:rFonts w:ascii="Times New Roman" w:hAnsi="Times New Roman"/>
          <w:sz w:val="24"/>
          <w:lang w:val="es-ES_tradnl"/>
        </w:rPr>
        <w:t>de 20</w:t>
      </w:r>
      <w:r w:rsidRPr="00910E94">
        <w:rPr>
          <w:rFonts w:ascii="Times New Roman" w:hAnsi="Times New Roman"/>
          <w:sz w:val="24"/>
          <w:lang w:val="es-ES_tradnl"/>
        </w:rPr>
        <w:t>13</w:t>
      </w:r>
      <w:r w:rsidR="00344EE2">
        <w:rPr>
          <w:rFonts w:ascii="Times New Roman" w:hAnsi="Times New Roman"/>
          <w:sz w:val="24"/>
          <w:lang w:val="es-ES_tradnl"/>
        </w:rPr>
        <w:t xml:space="preserve">.  </w:t>
      </w:r>
      <w:r w:rsidRPr="00910E94">
        <w:rPr>
          <w:rFonts w:ascii="Times New Roman" w:hAnsi="Times New Roman"/>
          <w:color w:val="000000"/>
          <w:sz w:val="24"/>
          <w:lang w:val="es-ES_tradnl"/>
        </w:rPr>
        <w:t xml:space="preserve">En el superávit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14, la Unión del Tratado de Cooperación en materia de Patentes (PCT) representó un porcentaje del</w:t>
      </w:r>
      <w:r w:rsidR="004A14D2" w:rsidRPr="00910E94">
        <w:rPr>
          <w:rFonts w:ascii="Times New Roman" w:hAnsi="Times New Roman"/>
          <w:color w:val="000000"/>
          <w:sz w:val="24"/>
          <w:lang w:val="es-ES_tradnl"/>
        </w:rPr>
        <w:t> 106% (el </w:t>
      </w:r>
      <w:r w:rsidRPr="00910E94">
        <w:rPr>
          <w:rFonts w:ascii="Times New Roman" w:hAnsi="Times New Roman"/>
          <w:color w:val="000000"/>
          <w:sz w:val="24"/>
          <w:lang w:val="es-ES_tradnl"/>
        </w:rPr>
        <w:t>124,5%</w:t>
      </w:r>
      <w:r w:rsidRPr="00910E94">
        <w:rPr>
          <w:rFonts w:ascii="Times New Roman" w:hAnsi="Times New Roman"/>
          <w:i/>
          <w:color w:val="000000"/>
          <w:sz w:val="24"/>
          <w:lang w:val="es-ES_tradnl"/>
        </w:rPr>
        <w:t xml:space="preserve"> </w:t>
      </w:r>
      <w:r w:rsidR="00CC3D7A" w:rsidRPr="00910E94">
        <w:rPr>
          <w:rFonts w:ascii="Times New Roman" w:hAnsi="Times New Roman"/>
          <w:color w:val="000000"/>
          <w:sz w:val="24"/>
          <w:lang w:val="es-ES_tradnl"/>
        </w:rPr>
        <w:t>en 20</w:t>
      </w:r>
      <w:r w:rsidRPr="00910E94">
        <w:rPr>
          <w:rFonts w:ascii="Times New Roman" w:hAnsi="Times New Roman"/>
          <w:color w:val="000000"/>
          <w:sz w:val="24"/>
          <w:lang w:val="es-ES_tradnl"/>
        </w:rPr>
        <w:t>13)</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Así pues, el principal factor que influyó en el superávit/déficit de la OMPI fue el superávit/déficit del rendimiento del PCT.</w:t>
      </w:r>
    </w:p>
    <w:p w:rsidR="00DB5B5B" w:rsidRPr="00910E94" w:rsidRDefault="00DB5B5B" w:rsidP="004A14D2">
      <w:pPr>
        <w:pStyle w:val="ListParagraph"/>
        <w:numPr>
          <w:ilvl w:val="0"/>
          <w:numId w:val="2"/>
        </w:numPr>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color w:val="000000"/>
          <w:sz w:val="24"/>
          <w:lang w:val="es-ES_tradnl"/>
        </w:rPr>
        <w:t>El total de</w:t>
      </w:r>
      <w:r w:rsidR="004A14D2" w:rsidRPr="00910E94">
        <w:rPr>
          <w:rFonts w:ascii="Times New Roman" w:hAnsi="Times New Roman"/>
          <w:color w:val="000000"/>
          <w:sz w:val="24"/>
          <w:lang w:val="es-ES_tradnl"/>
        </w:rPr>
        <w:t xml:space="preserve"> ingresos de la OMPI aumentó un 5,3%, desde los 351,6 </w:t>
      </w:r>
      <w:r w:rsidRPr="00910E94">
        <w:rPr>
          <w:rFonts w:ascii="Times New Roman" w:hAnsi="Times New Roman"/>
          <w:color w:val="000000"/>
          <w:sz w:val="24"/>
          <w:lang w:val="es-ES_tradnl"/>
        </w:rPr>
        <w:t xml:space="preserve">millones de francos suizos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13 has</w:t>
      </w:r>
      <w:r w:rsidR="004A14D2" w:rsidRPr="00910E94">
        <w:rPr>
          <w:rFonts w:ascii="Times New Roman" w:hAnsi="Times New Roman"/>
          <w:color w:val="000000"/>
          <w:sz w:val="24"/>
          <w:lang w:val="es-ES_tradnl"/>
        </w:rPr>
        <w:t>ta los 370,18 </w:t>
      </w:r>
      <w:r w:rsidRPr="00910E94">
        <w:rPr>
          <w:rFonts w:ascii="Times New Roman" w:hAnsi="Times New Roman"/>
          <w:sz w:val="24"/>
          <w:lang w:val="es-ES_tradnl"/>
        </w:rPr>
        <w:t>millones de francos suizos</w:t>
      </w:r>
      <w:r w:rsidRPr="00910E94">
        <w:rPr>
          <w:rFonts w:ascii="Times New Roman" w:hAnsi="Times New Roman"/>
          <w:color w:val="000000"/>
          <w:sz w:val="24"/>
          <w:lang w:val="es-ES_tradnl"/>
        </w:rPr>
        <w:t xml:space="preserve">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14</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 xml:space="preserve">La principal fuente de ingresos </w:t>
      </w:r>
      <w:r w:rsidR="00CC3D7A" w:rsidRPr="00910E94">
        <w:rPr>
          <w:rFonts w:ascii="Times New Roman" w:hAnsi="Times New Roman"/>
          <w:color w:val="000000"/>
          <w:sz w:val="24"/>
          <w:lang w:val="es-ES_tradnl"/>
        </w:rPr>
        <w:t>en 20</w:t>
      </w:r>
      <w:r w:rsidRPr="00910E94">
        <w:rPr>
          <w:rFonts w:ascii="Times New Roman" w:hAnsi="Times New Roman"/>
          <w:color w:val="000000"/>
          <w:sz w:val="24"/>
          <w:lang w:val="es-ES_tradnl"/>
        </w:rPr>
        <w:t>14 fueron las tasas de la Unión del PCT, a las que correspondió el 76% del total de ingresos</w:t>
      </w:r>
      <w:r w:rsidR="00344EE2">
        <w:rPr>
          <w:rFonts w:ascii="Times New Roman" w:hAnsi="Times New Roman"/>
          <w:color w:val="000000"/>
          <w:sz w:val="24"/>
          <w:lang w:val="es-ES_tradnl"/>
        </w:rPr>
        <w:t xml:space="preserve">.  </w:t>
      </w:r>
      <w:r w:rsidR="00CC3D7A" w:rsidRPr="00910E94">
        <w:rPr>
          <w:rFonts w:ascii="Times New Roman" w:hAnsi="Times New Roman"/>
          <w:color w:val="000000"/>
          <w:sz w:val="24"/>
          <w:lang w:val="es-ES_tradnl"/>
        </w:rPr>
        <w:t>En 20</w:t>
      </w:r>
      <w:r w:rsidRPr="00910E94">
        <w:rPr>
          <w:rFonts w:ascii="Times New Roman" w:hAnsi="Times New Roman"/>
          <w:color w:val="000000"/>
          <w:sz w:val="24"/>
          <w:lang w:val="es-ES_tradnl"/>
        </w:rPr>
        <w:t>14, los ingresos procedentes de</w:t>
      </w:r>
      <w:r w:rsidR="004A14D2" w:rsidRPr="00910E94">
        <w:rPr>
          <w:rFonts w:ascii="Times New Roman" w:hAnsi="Times New Roman"/>
          <w:color w:val="000000"/>
          <w:sz w:val="24"/>
          <w:lang w:val="es-ES_tradnl"/>
        </w:rPr>
        <w:t xml:space="preserve"> la Unión del PCT aumentaron un </w:t>
      </w:r>
      <w:r w:rsidRPr="00910E94">
        <w:rPr>
          <w:rFonts w:ascii="Times New Roman" w:hAnsi="Times New Roman"/>
          <w:color w:val="000000"/>
          <w:sz w:val="24"/>
          <w:lang w:val="es-ES_tradnl"/>
        </w:rPr>
        <w:t>7,7% con respecto a</w:t>
      </w:r>
      <w:r w:rsidR="004A14D2" w:rsidRPr="00910E94">
        <w:rPr>
          <w:rFonts w:ascii="Times New Roman" w:hAnsi="Times New Roman"/>
          <w:color w:val="000000"/>
          <w:sz w:val="24"/>
          <w:lang w:val="es-ES_tradnl"/>
        </w:rPr>
        <w:t> </w:t>
      </w:r>
      <w:r w:rsidRPr="00910E94">
        <w:rPr>
          <w:rFonts w:ascii="Times New Roman" w:hAnsi="Times New Roman"/>
          <w:color w:val="000000"/>
          <w:sz w:val="24"/>
          <w:lang w:val="es-ES_tradnl"/>
        </w:rPr>
        <w:t>2013.</w:t>
      </w:r>
    </w:p>
    <w:p w:rsidR="00DB5B5B" w:rsidRPr="00910E94" w:rsidRDefault="00CC3D7A" w:rsidP="002D3C4F">
      <w:pPr>
        <w:pStyle w:val="ListParagraph"/>
        <w:numPr>
          <w:ilvl w:val="0"/>
          <w:numId w:val="2"/>
        </w:numPr>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color w:val="000000"/>
          <w:sz w:val="24"/>
          <w:lang w:val="es-ES_tradnl"/>
        </w:rPr>
        <w:t>En 20</w:t>
      </w:r>
      <w:r w:rsidR="00DB5B5B" w:rsidRPr="00910E94">
        <w:rPr>
          <w:rFonts w:ascii="Times New Roman" w:hAnsi="Times New Roman"/>
          <w:color w:val="000000"/>
          <w:sz w:val="24"/>
          <w:lang w:val="es-ES_tradnl"/>
        </w:rPr>
        <w:t>14, los g</w:t>
      </w:r>
      <w:r w:rsidR="004A14D2" w:rsidRPr="00910E94">
        <w:rPr>
          <w:rFonts w:ascii="Times New Roman" w:hAnsi="Times New Roman"/>
          <w:color w:val="000000"/>
          <w:sz w:val="24"/>
          <w:lang w:val="es-ES_tradnl"/>
        </w:rPr>
        <w:t>astos de la OMPI se situaron en 333,2 </w:t>
      </w:r>
      <w:r w:rsidR="00DB5B5B" w:rsidRPr="00910E94">
        <w:rPr>
          <w:rFonts w:ascii="Times New Roman" w:hAnsi="Times New Roman"/>
          <w:color w:val="000000"/>
          <w:sz w:val="24"/>
          <w:lang w:val="es-ES_tradnl"/>
        </w:rPr>
        <w:t xml:space="preserve">millones de francos suizos, lo que representa un 1% menos que </w:t>
      </w:r>
      <w:r w:rsidRPr="00910E94">
        <w:rPr>
          <w:rFonts w:ascii="Times New Roman" w:hAnsi="Times New Roman"/>
          <w:color w:val="000000"/>
          <w:sz w:val="24"/>
          <w:lang w:val="es-ES_tradnl"/>
        </w:rPr>
        <w:t>en 20</w:t>
      </w:r>
      <w:r w:rsidR="00DB5B5B" w:rsidRPr="00910E94">
        <w:rPr>
          <w:rFonts w:ascii="Times New Roman" w:hAnsi="Times New Roman"/>
          <w:color w:val="000000"/>
          <w:sz w:val="24"/>
          <w:lang w:val="es-ES_tradnl"/>
        </w:rPr>
        <w:t>13</w:t>
      </w:r>
      <w:r w:rsidR="00344EE2">
        <w:rPr>
          <w:rFonts w:ascii="Times New Roman" w:hAnsi="Times New Roman"/>
          <w:color w:val="000000"/>
          <w:sz w:val="24"/>
          <w:lang w:val="es-ES_tradnl"/>
        </w:rPr>
        <w:t xml:space="preserve">.  </w:t>
      </w:r>
      <w:r w:rsidR="00DB5B5B" w:rsidRPr="00910E94">
        <w:rPr>
          <w:rFonts w:ascii="Times New Roman" w:hAnsi="Times New Roman"/>
          <w:color w:val="000000"/>
          <w:sz w:val="24"/>
          <w:lang w:val="es-ES_tradnl"/>
        </w:rPr>
        <w:t>Reflejando la naturaleza de la labor realizada por la Organización, la porción mayor de gastos de la Organización está constituida por los gast</w:t>
      </w:r>
      <w:r w:rsidR="004A14D2" w:rsidRPr="00910E94">
        <w:rPr>
          <w:rFonts w:ascii="Times New Roman" w:hAnsi="Times New Roman"/>
          <w:color w:val="000000"/>
          <w:sz w:val="24"/>
          <w:lang w:val="es-ES_tradnl"/>
        </w:rPr>
        <w:t>os de personal, que totalizaron 216,4 </w:t>
      </w:r>
      <w:r w:rsidR="00DB5B5B" w:rsidRPr="00910E94">
        <w:rPr>
          <w:rFonts w:ascii="Times New Roman" w:hAnsi="Times New Roman"/>
          <w:color w:val="000000"/>
          <w:sz w:val="24"/>
          <w:lang w:val="es-ES_tradnl"/>
        </w:rPr>
        <w:t>millones de fra</w:t>
      </w:r>
      <w:r w:rsidR="004A14D2" w:rsidRPr="00910E94">
        <w:rPr>
          <w:rFonts w:ascii="Times New Roman" w:hAnsi="Times New Roman"/>
          <w:color w:val="000000"/>
          <w:sz w:val="24"/>
          <w:lang w:val="es-ES_tradnl"/>
        </w:rPr>
        <w:t>ncos suizos, lo que equivale al </w:t>
      </w:r>
      <w:r w:rsidR="00DB5B5B" w:rsidRPr="00910E94">
        <w:rPr>
          <w:rFonts w:ascii="Times New Roman" w:hAnsi="Times New Roman"/>
          <w:color w:val="000000"/>
          <w:sz w:val="24"/>
          <w:lang w:val="es-ES_tradnl"/>
        </w:rPr>
        <w:t xml:space="preserve">64,9% </w:t>
      </w:r>
      <w:r w:rsidR="00DB5B5B" w:rsidRPr="00910E94">
        <w:rPr>
          <w:rFonts w:ascii="Times New Roman" w:hAnsi="Times New Roman"/>
          <w:color w:val="000000"/>
          <w:sz w:val="24"/>
          <w:lang w:val="es-ES_tradnl"/>
        </w:rPr>
        <w:lastRenderedPageBreak/>
        <w:t>del total de gastos</w:t>
      </w:r>
      <w:r w:rsidR="00344EE2">
        <w:rPr>
          <w:rFonts w:ascii="Times New Roman" w:hAnsi="Times New Roman"/>
          <w:color w:val="000000"/>
          <w:sz w:val="24"/>
          <w:lang w:val="es-ES_tradnl"/>
        </w:rPr>
        <w:t xml:space="preserve">.  </w:t>
      </w:r>
      <w:r w:rsidR="00DB5B5B" w:rsidRPr="00910E94">
        <w:rPr>
          <w:rFonts w:ascii="Times New Roman" w:hAnsi="Times New Roman"/>
          <w:color w:val="000000"/>
          <w:sz w:val="24"/>
          <w:lang w:val="es-ES_tradnl"/>
        </w:rPr>
        <w:t xml:space="preserve">En los gastos de personal </w:t>
      </w:r>
      <w:r w:rsidRPr="00910E94">
        <w:rPr>
          <w:rFonts w:ascii="Times New Roman" w:hAnsi="Times New Roman"/>
          <w:color w:val="000000"/>
          <w:sz w:val="24"/>
          <w:lang w:val="es-ES_tradnl"/>
        </w:rPr>
        <w:t>de 20</w:t>
      </w:r>
      <w:r w:rsidR="00DB5B5B" w:rsidRPr="00910E94">
        <w:rPr>
          <w:rFonts w:ascii="Times New Roman" w:hAnsi="Times New Roman"/>
          <w:color w:val="000000"/>
          <w:sz w:val="24"/>
          <w:lang w:val="es-ES_tradnl"/>
        </w:rPr>
        <w:t>14 se observa un aumento del 1,1% en comparación con 2013</w:t>
      </w:r>
      <w:r w:rsidR="00AB18E9">
        <w:rPr>
          <w:rFonts w:ascii="Times New Roman" w:hAnsi="Times New Roman"/>
          <w:color w:val="000000"/>
          <w:sz w:val="24"/>
          <w:lang w:val="es-ES_tradnl"/>
        </w:rPr>
        <w:t>.</w:t>
      </w:r>
    </w:p>
    <w:p w:rsidR="00A0227B" w:rsidRPr="00910E94" w:rsidRDefault="00DB5B5B" w:rsidP="004A14D2">
      <w:pPr>
        <w:pStyle w:val="ListParagraph"/>
        <w:numPr>
          <w:ilvl w:val="0"/>
          <w:numId w:val="2"/>
        </w:numPr>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color w:val="000000"/>
          <w:sz w:val="24"/>
          <w:lang w:val="es-ES_tradnl"/>
        </w:rPr>
        <w:t>Agradecemos los cambios y mejoras introducidos por la Administración en los estados financieros de la OMPI correspondientes al ejercicio</w:t>
      </w:r>
      <w:r w:rsidR="004A14D2" w:rsidRPr="00910E94">
        <w:rPr>
          <w:rFonts w:ascii="Times New Roman" w:hAnsi="Times New Roman"/>
          <w:color w:val="000000"/>
          <w:sz w:val="24"/>
          <w:lang w:val="es-ES_tradnl"/>
        </w:rPr>
        <w:t> </w:t>
      </w:r>
      <w:r w:rsidRPr="00910E94">
        <w:rPr>
          <w:rFonts w:ascii="Times New Roman" w:hAnsi="Times New Roman"/>
          <w:color w:val="000000"/>
          <w:sz w:val="24"/>
          <w:lang w:val="es-ES_tradnl"/>
        </w:rPr>
        <w:t>2014, basándose en nuestras observaciones</w:t>
      </w:r>
      <w:r w:rsidRPr="00910E94">
        <w:rPr>
          <w:rFonts w:ascii="Times New Roman" w:hAnsi="Times New Roman"/>
          <w:sz w:val="24"/>
          <w:lang w:val="es-ES_tradnl"/>
        </w:rPr>
        <w:t>.</w:t>
      </w:r>
    </w:p>
    <w:p w:rsidR="00DB5B5B" w:rsidRPr="00910E94" w:rsidRDefault="00DB5B5B" w:rsidP="00101066">
      <w:pPr>
        <w:keepNext/>
        <w:spacing w:before="240" w:after="240" w:line="360" w:lineRule="auto"/>
        <w:jc w:val="both"/>
        <w:rPr>
          <w:rFonts w:ascii="Times New Roman" w:hAnsi="Times New Roman" w:cs="Times New Roman"/>
          <w:b/>
          <w:color w:val="1F497D"/>
          <w:sz w:val="24"/>
          <w:szCs w:val="24"/>
          <w:lang w:val="es-ES_tradnl"/>
        </w:rPr>
      </w:pPr>
      <w:r w:rsidRPr="00910E94">
        <w:rPr>
          <w:rFonts w:ascii="Times New Roman" w:hAnsi="Times New Roman"/>
          <w:b/>
          <w:color w:val="1F497D"/>
          <w:sz w:val="24"/>
          <w:lang w:val="es-ES_tradnl"/>
        </w:rPr>
        <w:t>Cuestiones financieras</w:t>
      </w:r>
    </w:p>
    <w:p w:rsidR="00DB5B5B" w:rsidRPr="00910E94" w:rsidRDefault="00DB5B5B" w:rsidP="002D3C4F">
      <w:pPr>
        <w:pStyle w:val="ListParagraph"/>
        <w:numPr>
          <w:ilvl w:val="0"/>
          <w:numId w:val="2"/>
        </w:numPr>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sz w:val="24"/>
          <w:lang w:val="es-ES_tradnl"/>
        </w:rPr>
        <w:t>Hemos observado que entre los impuestos de los EE.UU</w:t>
      </w:r>
      <w:r w:rsidR="00344EE2">
        <w:rPr>
          <w:rFonts w:ascii="Times New Roman" w:hAnsi="Times New Roman"/>
          <w:sz w:val="24"/>
          <w:lang w:val="es-ES_tradnl"/>
        </w:rPr>
        <w:t xml:space="preserve">.  </w:t>
      </w:r>
      <w:r w:rsidRPr="00910E94">
        <w:rPr>
          <w:rFonts w:ascii="Times New Roman" w:hAnsi="Times New Roman"/>
          <w:sz w:val="24"/>
          <w:lang w:val="es-ES_tradnl"/>
        </w:rPr>
        <w:t xml:space="preserve">por cobrar se incluyen solicitudes relativas a períodos antiguos y no se ha realizado una conciliación periódica entre solicitudes y </w:t>
      </w:r>
      <w:r w:rsidR="00910E94" w:rsidRPr="00910E94">
        <w:rPr>
          <w:rFonts w:ascii="Times New Roman" w:hAnsi="Times New Roman"/>
          <w:sz w:val="24"/>
          <w:lang w:val="es-ES_tradnl"/>
        </w:rPr>
        <w:t>reembolsos</w:t>
      </w:r>
      <w:r w:rsidR="00344EE2">
        <w:rPr>
          <w:rFonts w:ascii="Times New Roman" w:hAnsi="Times New Roman"/>
          <w:sz w:val="24"/>
          <w:lang w:val="es-ES_tradnl"/>
        </w:rPr>
        <w:t xml:space="preserve">.  </w:t>
      </w:r>
      <w:r w:rsidRPr="00910E94">
        <w:rPr>
          <w:rFonts w:ascii="Times New Roman" w:hAnsi="Times New Roman"/>
          <w:color w:val="000000"/>
          <w:sz w:val="24"/>
          <w:lang w:val="es-ES_tradnl"/>
        </w:rPr>
        <w:t>Conviene que la OMPI agilice el proceso de conciliación de las solicitudes pendientes ante las autoridades fiscales de los EE.UU</w:t>
      </w:r>
      <w:r w:rsidR="00344EE2">
        <w:rPr>
          <w:rFonts w:ascii="Times New Roman" w:hAnsi="Times New Roman"/>
          <w:color w:val="000000"/>
          <w:sz w:val="24"/>
          <w:lang w:val="es-ES_tradnl"/>
        </w:rPr>
        <w:t xml:space="preserve">.  </w:t>
      </w:r>
    </w:p>
    <w:p w:rsidR="00DB5B5B" w:rsidRPr="00910E94" w:rsidRDefault="00DB5B5B" w:rsidP="002D3C4F">
      <w:pPr>
        <w:pStyle w:val="ListParagraph"/>
        <w:numPr>
          <w:ilvl w:val="0"/>
          <w:numId w:val="2"/>
        </w:numPr>
        <w:spacing w:before="120" w:after="120" w:line="360" w:lineRule="auto"/>
        <w:ind w:left="0" w:firstLine="0"/>
        <w:contextualSpacing w:val="0"/>
        <w:jc w:val="both"/>
        <w:rPr>
          <w:rFonts w:ascii="Times New Roman" w:eastAsia="Calibri" w:hAnsi="Times New Roman" w:cs="Times New Roman"/>
          <w:b/>
          <w:sz w:val="24"/>
          <w:szCs w:val="24"/>
          <w:lang w:val="es-ES_tradnl"/>
        </w:rPr>
      </w:pPr>
      <w:r w:rsidRPr="00910E94">
        <w:rPr>
          <w:rFonts w:ascii="Times New Roman" w:hAnsi="Times New Roman"/>
          <w:color w:val="000000"/>
          <w:sz w:val="24"/>
          <w:szCs w:val="24"/>
          <w:lang w:val="es-ES_tradnl"/>
        </w:rPr>
        <w:t xml:space="preserve">Conforme al </w:t>
      </w:r>
      <w:r w:rsidRPr="00910E94">
        <w:rPr>
          <w:rFonts w:ascii="Times New Roman" w:hAnsi="Times New Roman"/>
          <w:sz w:val="24"/>
          <w:szCs w:val="24"/>
          <w:lang w:val="es-ES_tradnl"/>
        </w:rPr>
        <w:t>Marco de Políticas de las Naciones Unidas sobre las IPSAS, si bien las NN.UU</w:t>
      </w:r>
      <w:r w:rsidR="00344EE2">
        <w:rPr>
          <w:rFonts w:ascii="Times New Roman" w:hAnsi="Times New Roman"/>
          <w:sz w:val="24"/>
          <w:szCs w:val="24"/>
          <w:lang w:val="es-ES_tradnl"/>
        </w:rPr>
        <w:t xml:space="preserve">.  </w:t>
      </w:r>
      <w:r w:rsidRPr="00910E94">
        <w:rPr>
          <w:rFonts w:ascii="Times New Roman" w:hAnsi="Times New Roman"/>
          <w:sz w:val="24"/>
          <w:szCs w:val="24"/>
          <w:lang w:val="es-ES_tradnl"/>
        </w:rPr>
        <w:t>no han de reconocer los activos patrimoniales, harán constar una descripción detallada de los activos patrimoniales significativos en las notas sobre los estados financieros</w:t>
      </w:r>
      <w:r w:rsidR="00344EE2">
        <w:rPr>
          <w:rFonts w:ascii="Times New Roman" w:hAnsi="Times New Roman"/>
          <w:sz w:val="24"/>
          <w:szCs w:val="24"/>
          <w:lang w:val="es-ES_tradnl"/>
        </w:rPr>
        <w:t xml:space="preserve">.  </w:t>
      </w:r>
      <w:r w:rsidRPr="00910E94">
        <w:rPr>
          <w:rFonts w:ascii="Times New Roman" w:hAnsi="Times New Roman"/>
          <w:sz w:val="24"/>
          <w:szCs w:val="24"/>
          <w:lang w:val="es-ES_tradnl"/>
        </w:rPr>
        <w:t xml:space="preserve">Hemos advertido que la OMPI no ha hecho constar, en los estados financieros, información sobre activos patrimoniales, en particular sobre </w:t>
      </w:r>
      <w:r w:rsidR="00693071" w:rsidRPr="00910E94">
        <w:rPr>
          <w:rFonts w:ascii="Times New Roman" w:hAnsi="Times New Roman"/>
          <w:sz w:val="24"/>
          <w:szCs w:val="24"/>
          <w:lang w:val="es-ES_tradnl"/>
        </w:rPr>
        <w:t>“</w:t>
      </w:r>
      <w:r w:rsidRPr="00910E94">
        <w:rPr>
          <w:rFonts w:ascii="Times New Roman" w:hAnsi="Times New Roman"/>
          <w:sz w:val="24"/>
          <w:szCs w:val="24"/>
          <w:lang w:val="es-ES_tradnl"/>
        </w:rPr>
        <w:t>obras de arte</w:t>
      </w:r>
      <w:r w:rsidR="00693071" w:rsidRPr="00910E94">
        <w:rPr>
          <w:rFonts w:ascii="Times New Roman" w:hAnsi="Times New Roman"/>
          <w:sz w:val="24"/>
          <w:szCs w:val="24"/>
          <w:lang w:val="es-ES_tradnl"/>
        </w:rPr>
        <w:t>”</w:t>
      </w:r>
      <w:r w:rsidR="00344EE2">
        <w:rPr>
          <w:rFonts w:ascii="Times New Roman" w:hAnsi="Times New Roman"/>
          <w:sz w:val="24"/>
          <w:szCs w:val="24"/>
          <w:lang w:val="es-ES_tradnl"/>
        </w:rPr>
        <w:t xml:space="preserve">.  </w:t>
      </w:r>
      <w:r w:rsidRPr="00910E94">
        <w:rPr>
          <w:rFonts w:ascii="Times New Roman" w:hAnsi="Times New Roman"/>
          <w:sz w:val="24"/>
          <w:szCs w:val="24"/>
          <w:lang w:val="es-ES_tradnl"/>
        </w:rPr>
        <w:t xml:space="preserve">Asimismo observamos que en las verificaciones físicas realizadas </w:t>
      </w:r>
      <w:r w:rsidR="00CC3D7A" w:rsidRPr="00910E94">
        <w:rPr>
          <w:rFonts w:ascii="Times New Roman" w:hAnsi="Times New Roman"/>
          <w:sz w:val="24"/>
          <w:szCs w:val="24"/>
          <w:lang w:val="es-ES_tradnl"/>
        </w:rPr>
        <w:t>en 20</w:t>
      </w:r>
      <w:r w:rsidRPr="00910E94">
        <w:rPr>
          <w:rFonts w:ascii="Times New Roman" w:hAnsi="Times New Roman"/>
          <w:sz w:val="24"/>
          <w:szCs w:val="24"/>
          <w:lang w:val="es-ES_tradnl"/>
        </w:rPr>
        <w:t xml:space="preserve">14 se detectó la ausencia de algunos objetos clasificados como </w:t>
      </w:r>
      <w:r w:rsidR="00693071" w:rsidRPr="00910E94">
        <w:rPr>
          <w:rFonts w:ascii="Times New Roman" w:hAnsi="Times New Roman"/>
          <w:sz w:val="24"/>
          <w:szCs w:val="24"/>
          <w:lang w:val="es-ES_tradnl"/>
        </w:rPr>
        <w:t>“</w:t>
      </w:r>
      <w:r w:rsidRPr="00910E94">
        <w:rPr>
          <w:rFonts w:ascii="Times New Roman" w:hAnsi="Times New Roman"/>
          <w:sz w:val="24"/>
          <w:szCs w:val="24"/>
          <w:lang w:val="es-ES_tradnl"/>
        </w:rPr>
        <w:t>obras de arte</w:t>
      </w:r>
      <w:r w:rsidR="00693071" w:rsidRPr="00910E94">
        <w:rPr>
          <w:rFonts w:ascii="Times New Roman" w:hAnsi="Times New Roman"/>
          <w:sz w:val="24"/>
          <w:szCs w:val="24"/>
          <w:lang w:val="es-ES_tradnl"/>
        </w:rPr>
        <w:t>”</w:t>
      </w:r>
      <w:r w:rsidR="00344EE2">
        <w:rPr>
          <w:rFonts w:ascii="Times New Roman" w:hAnsi="Times New Roman"/>
          <w:sz w:val="24"/>
          <w:szCs w:val="24"/>
          <w:lang w:val="es-ES_tradnl"/>
        </w:rPr>
        <w:t xml:space="preserve">.  </w:t>
      </w:r>
      <w:r w:rsidRPr="00910E94">
        <w:rPr>
          <w:rFonts w:ascii="Times New Roman" w:hAnsi="Times New Roman"/>
          <w:sz w:val="24"/>
          <w:szCs w:val="24"/>
          <w:lang w:val="es-ES_tradnl"/>
        </w:rPr>
        <w:t>Recomendamos a la OMPI que haga constar los datos de los activos patrimoniales en los estados financieros y adopte medidas para reforzar los sistemas de seguridad a fin de prevenir nuevas pérdidas de tales activos.</w:t>
      </w:r>
    </w:p>
    <w:p w:rsidR="003D2BDA" w:rsidRPr="00910E94" w:rsidRDefault="003D2BDA" w:rsidP="00101066">
      <w:pPr>
        <w:keepNext/>
        <w:spacing w:before="240" w:after="240" w:line="360" w:lineRule="auto"/>
        <w:jc w:val="both"/>
        <w:rPr>
          <w:rFonts w:ascii="Times New Roman" w:hAnsi="Times New Roman"/>
          <w:color w:val="7030A0"/>
          <w:sz w:val="24"/>
          <w:szCs w:val="24"/>
          <w:lang w:val="es-ES_tradnl"/>
        </w:rPr>
      </w:pPr>
      <w:r w:rsidRPr="00910E94">
        <w:rPr>
          <w:rFonts w:ascii="Times New Roman" w:hAnsi="Times New Roman"/>
          <w:b/>
          <w:color w:val="1F497D"/>
          <w:sz w:val="24"/>
          <w:lang w:val="es-ES_tradnl"/>
        </w:rPr>
        <w:t xml:space="preserve">Sistema de planificación de los recursos institucionales </w:t>
      </w:r>
    </w:p>
    <w:p w:rsidR="00DE48EF" w:rsidRPr="00910E94" w:rsidRDefault="00CC3D7A" w:rsidP="004A14D2">
      <w:pPr>
        <w:pStyle w:val="ListParagraph"/>
        <w:numPr>
          <w:ilvl w:val="0"/>
          <w:numId w:val="2"/>
        </w:numPr>
        <w:spacing w:before="120" w:after="120" w:line="360" w:lineRule="auto"/>
        <w:ind w:left="0" w:firstLine="0"/>
        <w:contextualSpacing w:val="0"/>
        <w:jc w:val="both"/>
        <w:rPr>
          <w:rFonts w:ascii="Times New Roman" w:hAnsi="Times New Roman"/>
          <w:color w:val="7030A0"/>
          <w:sz w:val="24"/>
          <w:szCs w:val="24"/>
          <w:lang w:val="es-ES_tradnl"/>
        </w:rPr>
      </w:pPr>
      <w:r w:rsidRPr="00910E94">
        <w:rPr>
          <w:rFonts w:ascii="Times New Roman" w:hAnsi="Times New Roman"/>
          <w:sz w:val="24"/>
          <w:lang w:val="es-ES_tradnl"/>
        </w:rPr>
        <w:t>En 20</w:t>
      </w:r>
      <w:r w:rsidR="00DE48EF" w:rsidRPr="00910E94">
        <w:rPr>
          <w:rFonts w:ascii="Times New Roman" w:hAnsi="Times New Roman"/>
          <w:sz w:val="24"/>
          <w:lang w:val="es-ES_tradnl"/>
        </w:rPr>
        <w:t xml:space="preserve">10, la OMPI inició la instauración de un sistema de planificación de los recursos institucionales (PRI) con cuatro conjuntos de proyectos, que debía concluir a finales </w:t>
      </w:r>
      <w:r w:rsidRPr="00910E94">
        <w:rPr>
          <w:rFonts w:ascii="Times New Roman" w:hAnsi="Times New Roman"/>
          <w:sz w:val="24"/>
          <w:lang w:val="es-ES_tradnl"/>
        </w:rPr>
        <w:t>de 20</w:t>
      </w:r>
      <w:r w:rsidR="00DE48EF" w:rsidRPr="00910E94">
        <w:rPr>
          <w:rFonts w:ascii="Times New Roman" w:hAnsi="Times New Roman"/>
          <w:sz w:val="24"/>
          <w:lang w:val="es-ES_tradnl"/>
        </w:rPr>
        <w:t>15</w:t>
      </w:r>
      <w:r w:rsidR="00344EE2">
        <w:rPr>
          <w:rFonts w:ascii="Times New Roman" w:hAnsi="Times New Roman"/>
          <w:sz w:val="24"/>
          <w:lang w:val="es-ES_tradnl"/>
        </w:rPr>
        <w:t xml:space="preserve">.  </w:t>
      </w:r>
      <w:r w:rsidR="00DE48EF" w:rsidRPr="00910E94">
        <w:rPr>
          <w:rFonts w:ascii="Times New Roman" w:hAnsi="Times New Roman"/>
          <w:sz w:val="24"/>
          <w:lang w:val="es-ES_tradnl"/>
        </w:rPr>
        <w:t xml:space="preserve">Conforme al calendario revisado, el sistema de PRI quedará concluido en el segundo trimestre </w:t>
      </w:r>
      <w:r w:rsidRPr="00910E94">
        <w:rPr>
          <w:rFonts w:ascii="Times New Roman" w:hAnsi="Times New Roman"/>
          <w:sz w:val="24"/>
          <w:lang w:val="es-ES_tradnl"/>
        </w:rPr>
        <w:t>de 20</w:t>
      </w:r>
      <w:r w:rsidR="00DE48EF" w:rsidRPr="00910E94">
        <w:rPr>
          <w:rFonts w:ascii="Times New Roman" w:hAnsi="Times New Roman"/>
          <w:sz w:val="24"/>
          <w:lang w:val="es-ES_tradnl"/>
        </w:rPr>
        <w:t>16</w:t>
      </w:r>
      <w:r w:rsidR="00344EE2">
        <w:rPr>
          <w:rFonts w:ascii="Times New Roman" w:hAnsi="Times New Roman"/>
          <w:sz w:val="24"/>
          <w:lang w:val="es-ES_tradnl"/>
        </w:rPr>
        <w:t xml:space="preserve">.  </w:t>
      </w:r>
      <w:r w:rsidR="00DE48EF" w:rsidRPr="00910E94">
        <w:rPr>
          <w:rFonts w:ascii="Times New Roman" w:hAnsi="Times New Roman"/>
          <w:sz w:val="24"/>
          <w:lang w:val="es-ES_tradnl"/>
        </w:rPr>
        <w:t>De los</w:t>
      </w:r>
      <w:r w:rsidR="004A14D2" w:rsidRPr="00910E94">
        <w:rPr>
          <w:rFonts w:ascii="Times New Roman" w:hAnsi="Times New Roman"/>
          <w:sz w:val="24"/>
          <w:lang w:val="es-ES_tradnl"/>
        </w:rPr>
        <w:t> 19 </w:t>
      </w:r>
      <w:r w:rsidR="00DE48EF" w:rsidRPr="00910E94">
        <w:rPr>
          <w:rFonts w:ascii="Times New Roman" w:hAnsi="Times New Roman"/>
          <w:sz w:val="24"/>
          <w:lang w:val="es-ES_tradnl"/>
        </w:rPr>
        <w:t>proyectos enumerados en la planificación de recursos institucionales, uno ha sido finalizado y siete se han puesto en marcha</w:t>
      </w:r>
      <w:r w:rsidR="00344EE2">
        <w:rPr>
          <w:rFonts w:ascii="Times New Roman" w:hAnsi="Times New Roman"/>
          <w:sz w:val="24"/>
          <w:lang w:val="es-ES_tradnl"/>
        </w:rPr>
        <w:t xml:space="preserve">.  </w:t>
      </w:r>
      <w:r w:rsidR="00DE48EF" w:rsidRPr="00910E94">
        <w:rPr>
          <w:rFonts w:ascii="Times New Roman" w:hAnsi="Times New Roman"/>
          <w:sz w:val="24"/>
          <w:lang w:val="es-ES_tradnl"/>
        </w:rPr>
        <w:t xml:space="preserve">Dado que se han producido retrasos en la finalización de algunos proyectos y teniendo en cuenta la interconexión de los proyectos que integran el sistema de PRI, no ha sido posible evaluar los beneficios globales que la OMPI ha obtenido del sistema </w:t>
      </w:r>
      <w:r w:rsidR="00A61D2F">
        <w:rPr>
          <w:rFonts w:ascii="Times New Roman" w:hAnsi="Times New Roman"/>
          <w:sz w:val="24"/>
          <w:lang w:val="es-ES_tradnl"/>
        </w:rPr>
        <w:t xml:space="preserve">de </w:t>
      </w:r>
      <w:r w:rsidR="00DE48EF" w:rsidRPr="00910E94">
        <w:rPr>
          <w:rFonts w:ascii="Times New Roman" w:hAnsi="Times New Roman"/>
          <w:sz w:val="24"/>
          <w:lang w:val="es-ES_tradnl"/>
        </w:rPr>
        <w:t>PRI</w:t>
      </w:r>
      <w:r w:rsidR="00344EE2">
        <w:rPr>
          <w:rFonts w:ascii="Times New Roman" w:hAnsi="Times New Roman"/>
          <w:sz w:val="24"/>
          <w:lang w:val="es-ES_tradnl"/>
        </w:rPr>
        <w:t xml:space="preserve">.  </w:t>
      </w:r>
      <w:r w:rsidR="00DE48EF" w:rsidRPr="00910E94">
        <w:rPr>
          <w:rFonts w:ascii="Times New Roman" w:hAnsi="Times New Roman"/>
          <w:sz w:val="24"/>
          <w:lang w:val="es-ES_tradnl"/>
        </w:rPr>
        <w:t>La OMPI indicó que no es posible evaluar los beneficios globales derivados del sistema de PRI, ya que la cartera de proyectos está aún en curso de desarrollo</w:t>
      </w:r>
      <w:r w:rsidR="00344EE2">
        <w:rPr>
          <w:rFonts w:ascii="Times New Roman" w:hAnsi="Times New Roman"/>
          <w:sz w:val="24"/>
          <w:lang w:val="es-ES_tradnl"/>
        </w:rPr>
        <w:t xml:space="preserve">.  </w:t>
      </w:r>
      <w:r w:rsidR="00DE48EF" w:rsidRPr="00910E94">
        <w:rPr>
          <w:rFonts w:ascii="Times New Roman" w:hAnsi="Times New Roman"/>
          <w:sz w:val="24"/>
          <w:lang w:val="es-ES_tradnl"/>
        </w:rPr>
        <w:t xml:space="preserve">Recomendamos que la OMPI siga analizando medios de limitar las demoras, tanto en los proyectos concretos como en la cartera en su </w:t>
      </w:r>
      <w:r w:rsidR="00DE48EF" w:rsidRPr="00910E94">
        <w:rPr>
          <w:rFonts w:ascii="Times New Roman" w:hAnsi="Times New Roman"/>
          <w:sz w:val="24"/>
          <w:lang w:val="es-ES_tradnl"/>
        </w:rPr>
        <w:lastRenderedPageBreak/>
        <w:t xml:space="preserve">conjunto, que afectan a la instauración del sistema de planificación de los recursos institucionales, de forma que el proyecto pueda concluirse </w:t>
      </w:r>
      <w:r w:rsidR="00A61D2F">
        <w:rPr>
          <w:rFonts w:ascii="Times New Roman" w:hAnsi="Times New Roman"/>
          <w:sz w:val="24"/>
          <w:lang w:val="es-ES_tradnl"/>
        </w:rPr>
        <w:t>con arreglo al</w:t>
      </w:r>
      <w:r w:rsidR="00DE48EF" w:rsidRPr="00910E94">
        <w:rPr>
          <w:rFonts w:ascii="Times New Roman" w:hAnsi="Times New Roman"/>
          <w:sz w:val="24"/>
          <w:lang w:val="es-ES_tradnl"/>
        </w:rPr>
        <w:t xml:space="preserve"> calendario revisado</w:t>
      </w:r>
      <w:r w:rsidR="00344EE2">
        <w:rPr>
          <w:rFonts w:ascii="Times New Roman" w:hAnsi="Times New Roman"/>
          <w:sz w:val="24"/>
          <w:lang w:val="es-ES_tradnl"/>
        </w:rPr>
        <w:t xml:space="preserve">.  </w:t>
      </w:r>
    </w:p>
    <w:p w:rsidR="00293561" w:rsidRPr="00910E94" w:rsidRDefault="00DE48EF" w:rsidP="00A76E18">
      <w:pPr>
        <w:pStyle w:val="ListParagraph"/>
        <w:numPr>
          <w:ilvl w:val="0"/>
          <w:numId w:val="2"/>
        </w:numPr>
        <w:spacing w:before="120" w:after="120" w:line="360" w:lineRule="auto"/>
        <w:ind w:left="0" w:firstLine="0"/>
        <w:contextualSpacing w:val="0"/>
        <w:jc w:val="both"/>
        <w:rPr>
          <w:rFonts w:ascii="Times New Roman" w:hAnsi="Times New Roman"/>
          <w:color w:val="000000"/>
          <w:sz w:val="24"/>
          <w:szCs w:val="24"/>
          <w:lang w:val="es-ES_tradnl"/>
        </w:rPr>
      </w:pPr>
      <w:r w:rsidRPr="00910E94">
        <w:rPr>
          <w:rFonts w:ascii="Times New Roman" w:hAnsi="Times New Roman"/>
          <w:sz w:val="24"/>
          <w:lang w:val="es-ES_tradnl"/>
        </w:rPr>
        <w:t>La OMPI no dispone de un sistema de gestión de documentos para los proyectos desarrollados mediante el sistema</w:t>
      </w:r>
      <w:r w:rsidR="00A61D2F">
        <w:rPr>
          <w:rFonts w:ascii="Times New Roman" w:hAnsi="Times New Roman"/>
          <w:sz w:val="24"/>
          <w:lang w:val="es-ES_tradnl"/>
        </w:rPr>
        <w:t xml:space="preserve"> de</w:t>
      </w:r>
      <w:r w:rsidRPr="00910E94">
        <w:rPr>
          <w:rFonts w:ascii="Times New Roman" w:hAnsi="Times New Roman"/>
          <w:sz w:val="24"/>
          <w:lang w:val="es-ES_tradnl"/>
        </w:rPr>
        <w:t xml:space="preserve"> PRI</w:t>
      </w:r>
      <w:r w:rsidR="00344EE2">
        <w:rPr>
          <w:rFonts w:ascii="Times New Roman" w:hAnsi="Times New Roman"/>
          <w:sz w:val="24"/>
          <w:lang w:val="es-ES_tradnl"/>
        </w:rPr>
        <w:t xml:space="preserve">.  </w:t>
      </w:r>
      <w:r w:rsidRPr="00910E94">
        <w:rPr>
          <w:rFonts w:ascii="Times New Roman" w:hAnsi="Times New Roman"/>
          <w:sz w:val="24"/>
          <w:lang w:val="es-ES_tradnl"/>
        </w:rPr>
        <w:t>Ante la inexistencia de un medio para depositar los documentos relacionados con el proyecto, se recurre a la WIKI para compartir los documentos de gestión con el personal de la OMPI y con el Auditor</w:t>
      </w:r>
      <w:r w:rsidR="00344EE2">
        <w:rPr>
          <w:rFonts w:ascii="Times New Roman" w:hAnsi="Times New Roman"/>
          <w:sz w:val="24"/>
          <w:lang w:val="es-ES_tradnl"/>
        </w:rPr>
        <w:t xml:space="preserve">.  </w:t>
      </w:r>
      <w:r w:rsidRPr="00910E94">
        <w:rPr>
          <w:rFonts w:ascii="Times New Roman" w:hAnsi="Times New Roman"/>
          <w:sz w:val="24"/>
          <w:lang w:val="es-ES_tradnl"/>
        </w:rPr>
        <w:t>Algunos documentos no han sido publicados en la WIKI</w:t>
      </w:r>
      <w:r w:rsidR="00344EE2">
        <w:rPr>
          <w:rFonts w:ascii="Times New Roman" w:hAnsi="Times New Roman"/>
          <w:sz w:val="24"/>
          <w:lang w:val="es-ES_tradnl"/>
        </w:rPr>
        <w:t xml:space="preserve">.  </w:t>
      </w:r>
      <w:r w:rsidRPr="00910E94">
        <w:rPr>
          <w:rFonts w:ascii="Times New Roman" w:hAnsi="Times New Roman"/>
          <w:sz w:val="24"/>
          <w:lang w:val="es-ES_tradnl"/>
        </w:rPr>
        <w:t>Cuando el Auditor solicita documentos no disponibles en la WIKI, la OMPI los remite por correo electrónico o los incluye en la WIKI</w:t>
      </w:r>
      <w:r w:rsidR="00344EE2">
        <w:rPr>
          <w:rFonts w:ascii="Times New Roman" w:hAnsi="Times New Roman"/>
          <w:sz w:val="24"/>
          <w:lang w:val="es-ES_tradnl"/>
        </w:rPr>
        <w:t xml:space="preserve">.  </w:t>
      </w:r>
      <w:r w:rsidRPr="00910E94">
        <w:rPr>
          <w:rFonts w:ascii="Times New Roman" w:hAnsi="Times New Roman"/>
          <w:sz w:val="24"/>
          <w:lang w:val="es-ES_tradnl"/>
        </w:rPr>
        <w:t>Por consiguiente, recomendamos a la OMPI reforzar el sistema de gestión de documentos, de forma que los documentos sobre el proyecto se mantengan en un mismo lugar</w:t>
      </w:r>
      <w:r w:rsidR="00344EE2">
        <w:rPr>
          <w:rFonts w:ascii="Times New Roman" w:hAnsi="Times New Roman"/>
          <w:sz w:val="24"/>
          <w:lang w:val="es-ES_tradnl"/>
        </w:rPr>
        <w:t xml:space="preserve">.  </w:t>
      </w:r>
    </w:p>
    <w:p w:rsidR="00DE48EF" w:rsidRPr="00910E94" w:rsidRDefault="00DE48EF" w:rsidP="002D3C4F">
      <w:pPr>
        <w:pStyle w:val="ListParagraph"/>
        <w:numPr>
          <w:ilvl w:val="0"/>
          <w:numId w:val="2"/>
        </w:numPr>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Hemos advertido que la OMPI no ha facilitado detalles suficientes sobre los productos/servicios correspondientes a cada </w:t>
      </w:r>
      <w:r w:rsidR="00A61D2F">
        <w:rPr>
          <w:rFonts w:ascii="Times New Roman" w:hAnsi="Times New Roman"/>
          <w:sz w:val="24"/>
          <w:lang w:val="es-ES_tradnl"/>
        </w:rPr>
        <w:t>etapa</w:t>
      </w:r>
      <w:r w:rsidRPr="00910E94">
        <w:rPr>
          <w:rFonts w:ascii="Times New Roman" w:hAnsi="Times New Roman"/>
          <w:sz w:val="24"/>
          <w:lang w:val="es-ES_tradnl"/>
        </w:rPr>
        <w:t xml:space="preserve"> y el informe semanal sobre la marcha de los proyectos no recogía datos suficientes para hacer un seguimiento de la evolución de los problemas, los productos/servicios, las obligaciones contractuales y la revisión del desempeño contractual</w:t>
      </w:r>
      <w:r w:rsidR="00344EE2">
        <w:rPr>
          <w:rFonts w:ascii="Times New Roman" w:hAnsi="Times New Roman"/>
          <w:sz w:val="24"/>
          <w:lang w:val="es-ES_tradnl"/>
        </w:rPr>
        <w:t xml:space="preserve">.  </w:t>
      </w:r>
      <w:r w:rsidRPr="00910E94">
        <w:rPr>
          <w:rFonts w:ascii="Times New Roman" w:hAnsi="Times New Roman"/>
          <w:sz w:val="24"/>
          <w:lang w:val="es-ES_tradnl"/>
        </w:rPr>
        <w:t>Exhortamos a la OMPI a que refuerce sus mecanismos de seguimiento y gestión de contratos con vistas a lograr una entrega sin demora de los pro</w:t>
      </w:r>
      <w:r w:rsidR="00A61D2F">
        <w:rPr>
          <w:rFonts w:ascii="Times New Roman" w:hAnsi="Times New Roman"/>
          <w:sz w:val="24"/>
          <w:lang w:val="es-ES_tradnl"/>
        </w:rPr>
        <w:t>ductos/servicios conforme a las etapas prevista</w:t>
      </w:r>
      <w:r w:rsidRPr="00910E94">
        <w:rPr>
          <w:rFonts w:ascii="Times New Roman" w:hAnsi="Times New Roman"/>
          <w:sz w:val="24"/>
          <w:lang w:val="es-ES_tradnl"/>
        </w:rPr>
        <w:t>s y mejore la documentación relativa a la modificación de contratos.</w:t>
      </w:r>
    </w:p>
    <w:p w:rsidR="00DE48EF" w:rsidRPr="00910E94" w:rsidRDefault="00DE48EF" w:rsidP="002D3C4F">
      <w:pPr>
        <w:pStyle w:val="ListParagraph"/>
        <w:numPr>
          <w:ilvl w:val="0"/>
          <w:numId w:val="2"/>
        </w:numPr>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Hemos verificado el informe semanal sobre la marcha del proyecto de PRI de recursos humanos - fase I y hemos detectado que varios problemas estuvieron pendientes </w:t>
      </w:r>
      <w:r w:rsidR="00A61D2F">
        <w:rPr>
          <w:rFonts w:ascii="Times New Roman" w:hAnsi="Times New Roman"/>
          <w:sz w:val="24"/>
          <w:lang w:val="es-ES_tradnl"/>
        </w:rPr>
        <w:t xml:space="preserve">de resolver </w:t>
      </w:r>
      <w:r w:rsidRPr="00910E94">
        <w:rPr>
          <w:rFonts w:ascii="Times New Roman" w:hAnsi="Times New Roman"/>
          <w:sz w:val="24"/>
          <w:lang w:val="es-ES_tradnl"/>
        </w:rPr>
        <w:t>durante un período de hasta 83 semanas</w:t>
      </w:r>
      <w:r w:rsidR="00344EE2">
        <w:rPr>
          <w:rFonts w:ascii="Times New Roman" w:hAnsi="Times New Roman"/>
          <w:sz w:val="24"/>
          <w:lang w:val="es-ES_tradnl"/>
        </w:rPr>
        <w:t xml:space="preserve">.  </w:t>
      </w:r>
      <w:r w:rsidRPr="00910E94">
        <w:rPr>
          <w:rFonts w:ascii="Times New Roman" w:hAnsi="Times New Roman"/>
          <w:sz w:val="24"/>
          <w:lang w:val="es-ES_tradnl"/>
        </w:rPr>
        <w:t>Asimismo, la Oficina de gestión del proyecto y los equipos del proyecto no estaban efectuando ningún análisis de sensibilidad de los problemas a fin de comprender su importancia en la gestión del proyecto en su conjunto y establecer las prioridades de su subsanación</w:t>
      </w:r>
      <w:r w:rsidR="00344EE2">
        <w:rPr>
          <w:rFonts w:ascii="Times New Roman" w:hAnsi="Times New Roman"/>
          <w:sz w:val="24"/>
          <w:lang w:val="es-ES_tradnl"/>
        </w:rPr>
        <w:t xml:space="preserve">.  </w:t>
      </w:r>
      <w:r w:rsidRPr="00910E94">
        <w:rPr>
          <w:rFonts w:ascii="Times New Roman" w:hAnsi="Times New Roman"/>
          <w:sz w:val="24"/>
          <w:lang w:val="es-ES_tradnl"/>
        </w:rPr>
        <w:t>Conviene que la OMPI estudie realizar un análisis de sensibilidad de los problemas planteados durante la reunión de la Oficina de gestión del proyecto y la junta del proyecto en función de su gravedad.</w:t>
      </w:r>
    </w:p>
    <w:p w:rsidR="00DE48EF" w:rsidRPr="00910E94" w:rsidRDefault="00DE48EF" w:rsidP="002D3C4F">
      <w:pPr>
        <w:pStyle w:val="ListParagraph"/>
        <w:numPr>
          <w:ilvl w:val="0"/>
          <w:numId w:val="2"/>
        </w:numPr>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El informe sobre la marcha de la instauración del sistema de PRI que se presenta anualmente al PBC contiene los gastos totales correspondientes a los </w:t>
      </w:r>
      <w:r w:rsidR="00A61D2F">
        <w:rPr>
          <w:rFonts w:ascii="Times New Roman" w:hAnsi="Times New Roman"/>
          <w:sz w:val="24"/>
          <w:lang w:val="es-ES_tradnl"/>
        </w:rPr>
        <w:t>asociados encargados de</w:t>
      </w:r>
      <w:r w:rsidRPr="00910E94">
        <w:rPr>
          <w:rFonts w:ascii="Times New Roman" w:hAnsi="Times New Roman"/>
          <w:sz w:val="24"/>
          <w:lang w:val="es-ES_tradnl"/>
        </w:rPr>
        <w:t xml:space="preserve"> la ejecución</w:t>
      </w:r>
      <w:r w:rsidR="00344EE2">
        <w:rPr>
          <w:rFonts w:ascii="Times New Roman" w:hAnsi="Times New Roman"/>
          <w:sz w:val="24"/>
          <w:lang w:val="es-ES_tradnl"/>
        </w:rPr>
        <w:t xml:space="preserve">.  </w:t>
      </w:r>
      <w:r w:rsidRPr="00910E94">
        <w:rPr>
          <w:rFonts w:ascii="Times New Roman" w:hAnsi="Times New Roman"/>
          <w:sz w:val="24"/>
          <w:lang w:val="es-ES_tradnl"/>
        </w:rPr>
        <w:t>Hemos advertido que no se ofrecen datos acerca de la evaluación de sus resultados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Conviene que la OMPI estudie presentar </w:t>
      </w:r>
      <w:r w:rsidR="00A61D2F" w:rsidRPr="00910E94">
        <w:rPr>
          <w:rFonts w:ascii="Times New Roman" w:hAnsi="Times New Roman"/>
          <w:sz w:val="24"/>
          <w:lang w:val="es-ES_tradnl"/>
        </w:rPr>
        <w:t xml:space="preserve">a las Asambleas de los Estados miembros </w:t>
      </w:r>
      <w:r w:rsidRPr="00910E94">
        <w:rPr>
          <w:rFonts w:ascii="Times New Roman" w:hAnsi="Times New Roman"/>
          <w:sz w:val="24"/>
          <w:lang w:val="es-ES_tradnl"/>
        </w:rPr>
        <w:t xml:space="preserve">información sobre la evaluación de los resultados de los </w:t>
      </w:r>
      <w:r w:rsidR="00EF169C">
        <w:rPr>
          <w:rFonts w:ascii="Times New Roman" w:hAnsi="Times New Roman"/>
          <w:sz w:val="24"/>
          <w:lang w:val="es-ES_tradnl"/>
        </w:rPr>
        <w:t>asociados</w:t>
      </w:r>
      <w:r w:rsidRPr="00910E94">
        <w:rPr>
          <w:rFonts w:ascii="Times New Roman" w:hAnsi="Times New Roman"/>
          <w:sz w:val="24"/>
          <w:lang w:val="es-ES_tradnl"/>
        </w:rPr>
        <w:t xml:space="preserve"> externos</w:t>
      </w:r>
      <w:r w:rsidR="00EF169C">
        <w:rPr>
          <w:rFonts w:ascii="Times New Roman" w:hAnsi="Times New Roman"/>
          <w:sz w:val="24"/>
          <w:lang w:val="es-ES_tradnl"/>
        </w:rPr>
        <w:t xml:space="preserve"> </w:t>
      </w:r>
      <w:r w:rsidR="00EF169C">
        <w:rPr>
          <w:rFonts w:ascii="Times New Roman" w:hAnsi="Times New Roman"/>
          <w:sz w:val="24"/>
          <w:lang w:val="es-ES_tradnl"/>
        </w:rPr>
        <w:lastRenderedPageBreak/>
        <w:t>encargados de la ejecución</w:t>
      </w:r>
      <w:r w:rsidRPr="00910E94">
        <w:rPr>
          <w:rFonts w:ascii="Times New Roman" w:hAnsi="Times New Roman"/>
          <w:sz w:val="24"/>
          <w:lang w:val="es-ES_tradnl"/>
        </w:rPr>
        <w:t>, en el marco del informe sobre la marcha de la instauración de un sistema global e integrado de planificación d</w:t>
      </w:r>
      <w:r w:rsidR="004A14D2" w:rsidRPr="00910E94">
        <w:rPr>
          <w:rFonts w:ascii="Times New Roman" w:hAnsi="Times New Roman"/>
          <w:sz w:val="24"/>
          <w:lang w:val="es-ES_tradnl"/>
        </w:rPr>
        <w:t>e los recursos institucionales.</w:t>
      </w:r>
    </w:p>
    <w:p w:rsidR="00B051D5" w:rsidRPr="00910E94" w:rsidRDefault="003E2AB6" w:rsidP="00101066">
      <w:pPr>
        <w:keepNext/>
        <w:spacing w:before="240" w:after="240" w:line="360" w:lineRule="auto"/>
        <w:jc w:val="both"/>
        <w:rPr>
          <w:rFonts w:ascii="Times New Roman" w:hAnsi="Times New Roman" w:cs="Times New Roman"/>
          <w:b/>
          <w:color w:val="1F497D"/>
          <w:sz w:val="24"/>
          <w:szCs w:val="24"/>
          <w:lang w:val="es-ES_tradnl"/>
        </w:rPr>
      </w:pPr>
      <w:r w:rsidRPr="00910E94">
        <w:rPr>
          <w:rFonts w:ascii="Times New Roman" w:hAnsi="Times New Roman"/>
          <w:b/>
          <w:color w:val="1F497D"/>
          <w:sz w:val="24"/>
          <w:lang w:val="es-ES_tradnl"/>
        </w:rPr>
        <w:t>Departamento de gestión de recursos humanos</w:t>
      </w:r>
    </w:p>
    <w:p w:rsidR="006A5021" w:rsidRPr="00910E94" w:rsidRDefault="006A5021" w:rsidP="006A5021">
      <w:pPr>
        <w:pStyle w:val="ListParagraph"/>
        <w:numPr>
          <w:ilvl w:val="0"/>
          <w:numId w:val="2"/>
        </w:numPr>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comprobado que la OMPI proporciona subsidios para las primas de seguros de accidentes no laborales</w:t>
      </w:r>
      <w:r w:rsidR="00344EE2">
        <w:rPr>
          <w:rFonts w:ascii="Times New Roman" w:hAnsi="Times New Roman"/>
          <w:sz w:val="24"/>
          <w:lang w:val="es-ES_tradnl"/>
        </w:rPr>
        <w:t xml:space="preserve">.  </w:t>
      </w:r>
      <w:r w:rsidRPr="00910E94">
        <w:rPr>
          <w:rFonts w:ascii="Times New Roman" w:hAnsi="Times New Roman"/>
          <w:sz w:val="24"/>
          <w:lang w:val="es-ES_tradnl"/>
        </w:rPr>
        <w:t>Aunque somos conscientes de que se trata una medida de protección social del personal, consideramos que tales pagos no encuentran fundamento en ninguna disposición explícita del Reglamento</w:t>
      </w:r>
      <w:r w:rsidR="00344EE2">
        <w:rPr>
          <w:rFonts w:ascii="Times New Roman" w:hAnsi="Times New Roman"/>
          <w:sz w:val="24"/>
          <w:lang w:val="es-ES_tradnl"/>
        </w:rPr>
        <w:t xml:space="preserve">.  </w:t>
      </w:r>
      <w:r w:rsidRPr="00910E94">
        <w:rPr>
          <w:rFonts w:ascii="Times New Roman" w:hAnsi="Times New Roman"/>
          <w:sz w:val="24"/>
          <w:lang w:val="es-ES_tradnl"/>
        </w:rPr>
        <w:t>Por lo tanto, conviene que la OMPI interrumpa los subsidios para primas de seguros de accidentes no laborales.</w:t>
      </w:r>
    </w:p>
    <w:p w:rsidR="00293561" w:rsidRPr="00910E94" w:rsidRDefault="006A5021" w:rsidP="004A14D2">
      <w:pPr>
        <w:pStyle w:val="ListParagraph"/>
        <w:numPr>
          <w:ilvl w:val="0"/>
          <w:numId w:val="2"/>
        </w:numPr>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cuantía de las prestaciones familiares se calcula sobre la base de la escala de sueldos aplicable en Ginebra, con independencia del lugar de trabajo del cónyuge, pese a que el Reglamento dispone otra cosa</w:t>
      </w:r>
      <w:r w:rsidR="00344EE2">
        <w:rPr>
          <w:rFonts w:ascii="Times New Roman" w:hAnsi="Times New Roman"/>
          <w:sz w:val="24"/>
          <w:lang w:val="es-ES_tradnl"/>
        </w:rPr>
        <w:t xml:space="preserve">.  </w:t>
      </w:r>
      <w:r w:rsidRPr="00910E94">
        <w:rPr>
          <w:rFonts w:ascii="Times New Roman" w:hAnsi="Times New Roman"/>
          <w:sz w:val="24"/>
          <w:lang w:val="es-ES_tradnl"/>
        </w:rPr>
        <w:t>Hemos recomendado revisar la práctica de calcular el límite de los ingresos profesionales brutos a efectos de la prestación por cónyuge a cargo a fin de que se atenga al Estatuto y Reglamento del Personal.</w:t>
      </w:r>
    </w:p>
    <w:p w:rsidR="006A5021" w:rsidRPr="00910E94" w:rsidRDefault="006A5021" w:rsidP="006A5021">
      <w:pPr>
        <w:pStyle w:val="ListParagraph"/>
        <w:numPr>
          <w:ilvl w:val="0"/>
          <w:numId w:val="2"/>
        </w:numPr>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En lo que respecta al subsidio de alquiler, es preciso que lo dispuesto en las órdenes de servicio se cumpla dentro del plazo prescrito.</w:t>
      </w:r>
    </w:p>
    <w:p w:rsidR="006A5021" w:rsidRPr="00910E94" w:rsidRDefault="006A5021" w:rsidP="006A5021">
      <w:pPr>
        <w:pStyle w:val="ListParagraph"/>
        <w:numPr>
          <w:ilvl w:val="0"/>
          <w:numId w:val="2"/>
        </w:numPr>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percibido que no se están siguiendo las disposiciones de la normativa pertinente en lo que respecta a la prima de idiomas</w:t>
      </w:r>
      <w:r w:rsidR="00344EE2">
        <w:rPr>
          <w:rFonts w:ascii="Times New Roman" w:hAnsi="Times New Roman"/>
          <w:sz w:val="24"/>
          <w:lang w:val="es-ES_tradnl"/>
        </w:rPr>
        <w:t xml:space="preserve">.  </w:t>
      </w:r>
      <w:r w:rsidRPr="00910E94">
        <w:rPr>
          <w:rFonts w:ascii="Times New Roman" w:hAnsi="Times New Roman"/>
          <w:sz w:val="24"/>
          <w:lang w:val="es-ES_tradnl"/>
        </w:rPr>
        <w:t>Conviene que la OMPI realice exámenes adicionales para comprobar el mantenimiento de la competencia lingüística de los miembros del personal beneficiarios de primas de idiomas, revisando la continuidad de dicha prima en caso de traslado o designación para un nuevo puesto que requiera un dominio pleno del idioma.</w:t>
      </w:r>
    </w:p>
    <w:p w:rsidR="006A5021" w:rsidRPr="00910E94" w:rsidRDefault="006A5021" w:rsidP="006A5021">
      <w:pPr>
        <w:pStyle w:val="ListParagraph"/>
        <w:numPr>
          <w:ilvl w:val="0"/>
          <w:numId w:val="2"/>
        </w:numPr>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detectado que, en lo que respecta a las horas extraordinarias, no se cumplen los requisitos de las órdenes de servicio</w:t>
      </w:r>
      <w:r w:rsidR="00344EE2">
        <w:rPr>
          <w:rFonts w:ascii="Times New Roman" w:hAnsi="Times New Roman"/>
          <w:sz w:val="24"/>
          <w:lang w:val="es-ES_tradnl"/>
        </w:rPr>
        <w:t xml:space="preserve">.  </w:t>
      </w:r>
      <w:r w:rsidRPr="00910E94">
        <w:rPr>
          <w:rFonts w:ascii="Times New Roman" w:hAnsi="Times New Roman"/>
          <w:sz w:val="24"/>
          <w:lang w:val="es-ES_tradnl"/>
        </w:rPr>
        <w:t>Recomendamos reforzar los controles internos a fin de garantizar el cumplimiento pleno de los requisitos de las órdenes de servicio relativas a horas extraordinarias.</w:t>
      </w:r>
    </w:p>
    <w:p w:rsidR="006A5021" w:rsidRPr="00910E94" w:rsidRDefault="006A5021" w:rsidP="004A14D2">
      <w:pPr>
        <w:pStyle w:val="ListParagraph"/>
        <w:numPr>
          <w:ilvl w:val="0"/>
          <w:numId w:val="2"/>
        </w:numPr>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observado que no se ha respetado ni la letra ni el espíritu de las normas relativas al pago de subsidios por funciones especiales</w:t>
      </w:r>
      <w:r w:rsidR="00344EE2">
        <w:rPr>
          <w:rFonts w:ascii="Times New Roman" w:hAnsi="Times New Roman"/>
          <w:sz w:val="24"/>
          <w:lang w:val="es-ES_tradnl"/>
        </w:rPr>
        <w:t xml:space="preserve">.  </w:t>
      </w:r>
      <w:r w:rsidRPr="00910E94">
        <w:rPr>
          <w:rFonts w:ascii="Times New Roman" w:hAnsi="Times New Roman"/>
          <w:sz w:val="24"/>
          <w:lang w:val="es-ES_tradnl"/>
        </w:rPr>
        <w:t>La OMPI ha de atenerse a las cláusulas</w:t>
      </w:r>
      <w:r w:rsidR="004A14D2" w:rsidRPr="00910E94">
        <w:rPr>
          <w:rFonts w:ascii="Times New Roman" w:hAnsi="Times New Roman"/>
          <w:sz w:val="24"/>
          <w:lang w:val="es-ES_tradnl"/>
        </w:rPr>
        <w:t> 3.11 y </w:t>
      </w:r>
      <w:r w:rsidRPr="00910E94">
        <w:rPr>
          <w:rFonts w:ascii="Times New Roman" w:hAnsi="Times New Roman"/>
          <w:sz w:val="24"/>
          <w:lang w:val="es-ES_tradnl"/>
        </w:rPr>
        <w:t>3.22 para autorizar, en circunstancias excepcionales, una prórroga del subsidio por funciones especia</w:t>
      </w:r>
      <w:r w:rsidR="004A14D2" w:rsidRPr="00910E94">
        <w:rPr>
          <w:rFonts w:ascii="Times New Roman" w:hAnsi="Times New Roman"/>
          <w:sz w:val="24"/>
          <w:lang w:val="es-ES_tradnl"/>
        </w:rPr>
        <w:t>les después de transcurridos 12 </w:t>
      </w:r>
      <w:r w:rsidRPr="00910E94">
        <w:rPr>
          <w:rFonts w:ascii="Times New Roman" w:hAnsi="Times New Roman"/>
          <w:sz w:val="24"/>
          <w:lang w:val="es-ES_tradnl"/>
        </w:rPr>
        <w:t>meses</w:t>
      </w:r>
      <w:r w:rsidR="00AB18E9">
        <w:rPr>
          <w:rFonts w:ascii="Times New Roman" w:hAnsi="Times New Roman"/>
          <w:sz w:val="24"/>
          <w:lang w:val="es-ES_tradnl"/>
        </w:rPr>
        <w:t>.</w:t>
      </w:r>
    </w:p>
    <w:p w:rsidR="00B051D5" w:rsidRPr="00910E94" w:rsidRDefault="00B051D5" w:rsidP="006A5021">
      <w:pPr>
        <w:pStyle w:val="ListParagraph"/>
        <w:spacing w:before="120" w:after="120" w:line="360" w:lineRule="auto"/>
        <w:ind w:left="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 </w:t>
      </w:r>
    </w:p>
    <w:p w:rsidR="00DB5B5B" w:rsidRPr="00910E94" w:rsidRDefault="00DB5B5B" w:rsidP="00101066">
      <w:pPr>
        <w:pStyle w:val="ListParagraph"/>
        <w:keepNext/>
        <w:spacing w:before="240" w:after="240" w:line="360" w:lineRule="auto"/>
        <w:ind w:left="0"/>
        <w:contextualSpacing w:val="0"/>
        <w:jc w:val="both"/>
        <w:rPr>
          <w:rFonts w:ascii="Times New Roman" w:hAnsi="Times New Roman" w:cs="Times New Roman"/>
          <w:b/>
          <w:bCs/>
          <w:color w:val="1F497D"/>
          <w:sz w:val="24"/>
          <w:szCs w:val="24"/>
          <w:lang w:val="es-ES_tradnl"/>
        </w:rPr>
      </w:pPr>
      <w:r w:rsidRPr="00910E94">
        <w:rPr>
          <w:rFonts w:ascii="Times New Roman" w:hAnsi="Times New Roman"/>
          <w:b/>
          <w:color w:val="1F497D"/>
          <w:sz w:val="24"/>
          <w:lang w:val="es-ES_tradnl"/>
        </w:rPr>
        <w:lastRenderedPageBreak/>
        <w:t>Introducción</w:t>
      </w:r>
    </w:p>
    <w:p w:rsidR="00DB5B5B" w:rsidRPr="00910E94" w:rsidRDefault="00DB5B5B" w:rsidP="00101066">
      <w:pPr>
        <w:keepNext/>
        <w:spacing w:before="240" w:after="240" w:line="360" w:lineRule="auto"/>
        <w:jc w:val="both"/>
        <w:rPr>
          <w:rFonts w:ascii="Times New Roman" w:hAnsi="Times New Roman" w:cs="Times New Roman"/>
          <w:b/>
          <w:color w:val="1F497D"/>
          <w:sz w:val="24"/>
          <w:szCs w:val="24"/>
          <w:lang w:val="es-ES_tradnl"/>
        </w:rPr>
      </w:pPr>
      <w:r w:rsidRPr="00910E94">
        <w:rPr>
          <w:rFonts w:ascii="Times New Roman" w:hAnsi="Times New Roman"/>
          <w:b/>
          <w:color w:val="1F497D"/>
          <w:sz w:val="24"/>
          <w:lang w:val="es-ES_tradnl"/>
        </w:rPr>
        <w:t>Alcance y enfoque de la auditoría</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Las auditorías de la Organización Mundial de la Propiedad Intelectual (OMPI) correspondientes a los ejercicios </w:t>
      </w:r>
      <w:r w:rsidR="00CC3D7A" w:rsidRPr="00910E94">
        <w:rPr>
          <w:rFonts w:ascii="Times New Roman" w:hAnsi="Times New Roman"/>
          <w:sz w:val="24"/>
          <w:lang w:val="es-ES_tradnl"/>
        </w:rPr>
        <w:t>de 2012 a </w:t>
      </w:r>
      <w:r w:rsidRPr="00910E94">
        <w:rPr>
          <w:rFonts w:ascii="Times New Roman" w:hAnsi="Times New Roman"/>
          <w:sz w:val="24"/>
          <w:lang w:val="es-ES_tradnl"/>
        </w:rPr>
        <w:t>2017 fueron encomendadas al Contralor y Auditor General de la India por aprobación de la Asamblea General de la OMPI en su cuadragésimo período de sesiones (20º ordinario), ce</w:t>
      </w:r>
      <w:r w:rsidR="00CC3D7A" w:rsidRPr="00910E94">
        <w:rPr>
          <w:rFonts w:ascii="Times New Roman" w:hAnsi="Times New Roman"/>
          <w:sz w:val="24"/>
          <w:lang w:val="es-ES_tradnl"/>
        </w:rPr>
        <w:t>lebrado del 26 de septiembre al </w:t>
      </w:r>
      <w:r w:rsidRPr="00910E94">
        <w:rPr>
          <w:rFonts w:ascii="Times New Roman" w:hAnsi="Times New Roman"/>
          <w:sz w:val="24"/>
          <w:lang w:val="es-ES_tradnl"/>
        </w:rPr>
        <w:t xml:space="preserve">5 de octubre </w:t>
      </w:r>
      <w:r w:rsidR="00CC3D7A" w:rsidRPr="00910E94">
        <w:rPr>
          <w:rFonts w:ascii="Times New Roman" w:hAnsi="Times New Roman"/>
          <w:sz w:val="24"/>
          <w:lang w:val="es-ES_tradnl"/>
        </w:rPr>
        <w:t>de 20</w:t>
      </w:r>
      <w:r w:rsidRPr="00910E94">
        <w:rPr>
          <w:rFonts w:ascii="Times New Roman" w:hAnsi="Times New Roman"/>
          <w:sz w:val="24"/>
          <w:lang w:val="es-ES_tradnl"/>
        </w:rPr>
        <w:t>11</w:t>
      </w:r>
      <w:r w:rsidR="00344EE2">
        <w:rPr>
          <w:rFonts w:ascii="Times New Roman" w:hAnsi="Times New Roman"/>
          <w:sz w:val="24"/>
          <w:lang w:val="es-ES_tradnl"/>
        </w:rPr>
        <w:t xml:space="preserve">.  </w:t>
      </w:r>
      <w:r w:rsidRPr="00910E94">
        <w:rPr>
          <w:rFonts w:ascii="Times New Roman" w:hAnsi="Times New Roman"/>
          <w:sz w:val="24"/>
          <w:lang w:val="es-ES_tradnl"/>
        </w:rPr>
        <w:t>El alcance de la auditoría gua</w:t>
      </w:r>
      <w:r w:rsidR="00CC3D7A" w:rsidRPr="00910E94">
        <w:rPr>
          <w:rFonts w:ascii="Times New Roman" w:hAnsi="Times New Roman"/>
          <w:sz w:val="24"/>
          <w:lang w:val="es-ES_tradnl"/>
        </w:rPr>
        <w:t>rda conformidad con el artículo </w:t>
      </w:r>
      <w:r w:rsidRPr="00910E94">
        <w:rPr>
          <w:rFonts w:ascii="Times New Roman" w:hAnsi="Times New Roman"/>
          <w:sz w:val="24"/>
          <w:lang w:val="es-ES_tradnl"/>
        </w:rPr>
        <w:t>8.10 del Reglamento Financiero y la Reglamentación Financiera y los principios que se exponen en su Anexo.</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bCs/>
          <w:iCs/>
          <w:sz w:val="24"/>
          <w:szCs w:val="24"/>
          <w:lang w:val="es-ES_tradnl"/>
        </w:rPr>
      </w:pPr>
      <w:r w:rsidRPr="00910E94">
        <w:rPr>
          <w:rFonts w:ascii="Times New Roman" w:hAnsi="Times New Roman"/>
          <w:sz w:val="24"/>
          <w:lang w:val="es-ES_tradnl"/>
        </w:rPr>
        <w:t xml:space="preserve">La auditoría de la OMPI del ejercicio financiero </w:t>
      </w:r>
      <w:r w:rsidR="00CC3D7A" w:rsidRPr="00910E94">
        <w:rPr>
          <w:rFonts w:ascii="Times New Roman" w:hAnsi="Times New Roman"/>
          <w:sz w:val="24"/>
          <w:lang w:val="es-ES_tradnl"/>
        </w:rPr>
        <w:t>de 20</w:t>
      </w:r>
      <w:r w:rsidRPr="00910E94">
        <w:rPr>
          <w:rFonts w:ascii="Times New Roman" w:hAnsi="Times New Roman"/>
          <w:sz w:val="24"/>
          <w:lang w:val="es-ES_tradnl"/>
        </w:rPr>
        <w:t>14 se llevó a cabo siguiendo un plan de auditoría concebido a partir del análisis de riesgos de la OMPI que efectuamos</w:t>
      </w:r>
      <w:r w:rsidR="00344EE2">
        <w:rPr>
          <w:rFonts w:ascii="Times New Roman" w:hAnsi="Times New Roman"/>
          <w:sz w:val="24"/>
          <w:lang w:val="es-ES_tradnl"/>
        </w:rPr>
        <w:t xml:space="preserve">.  </w:t>
      </w:r>
      <w:r w:rsidRPr="00910E94">
        <w:rPr>
          <w:rFonts w:ascii="Times New Roman" w:hAnsi="Times New Roman"/>
          <w:sz w:val="24"/>
          <w:lang w:val="es-ES_tradnl"/>
        </w:rPr>
        <w:t>Nuestra labor comprendió la auditoría de los estados financieros de la OMPI, del «Sistema de planificación de los recursos institucionales» y del Departamento de Gestión de Recursos Humanos</w:t>
      </w:r>
      <w:r w:rsidR="00344EE2">
        <w:rPr>
          <w:rFonts w:ascii="Times New Roman" w:hAnsi="Times New Roman"/>
          <w:sz w:val="24"/>
          <w:lang w:val="es-ES_tradnl"/>
        </w:rPr>
        <w:t xml:space="preserve">.  </w:t>
      </w:r>
      <w:r w:rsidRPr="00910E94">
        <w:rPr>
          <w:rFonts w:ascii="Times New Roman" w:hAnsi="Times New Roman"/>
          <w:sz w:val="24"/>
          <w:lang w:val="es-ES_tradnl"/>
        </w:rPr>
        <w:t>Cuando ha sido necesario, hemos confiado en la profesionalidad de la labor efectuada en materia de auditoría interna</w:t>
      </w:r>
      <w:r w:rsidR="00AB18E9">
        <w:rPr>
          <w:rFonts w:ascii="Times New Roman" w:hAnsi="Times New Roman"/>
          <w:sz w:val="24"/>
          <w:lang w:val="es-ES_tradnl"/>
        </w:rPr>
        <w:t>.</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bCs/>
          <w:iCs/>
          <w:sz w:val="24"/>
          <w:szCs w:val="24"/>
          <w:lang w:val="es-ES_tradnl"/>
        </w:rPr>
      </w:pPr>
      <w:r w:rsidRPr="00910E94">
        <w:rPr>
          <w:rFonts w:ascii="Times New Roman" w:hAnsi="Times New Roman"/>
          <w:sz w:val="24"/>
          <w:lang w:val="es-ES_tradnl"/>
        </w:rPr>
        <w:t>Las principales conclusiones de dichas auditorías se examinaron con la Administración, a la que le fueron transmitidas posteriormente por medio de cartas sobre asuntos de gestión</w:t>
      </w:r>
      <w:r w:rsidR="00344EE2">
        <w:rPr>
          <w:rFonts w:ascii="Times New Roman" w:hAnsi="Times New Roman"/>
          <w:sz w:val="24"/>
          <w:lang w:val="es-ES_tradnl"/>
        </w:rPr>
        <w:t xml:space="preserve">.  </w:t>
      </w:r>
      <w:r w:rsidRPr="00910E94">
        <w:rPr>
          <w:rFonts w:ascii="Times New Roman" w:hAnsi="Times New Roman"/>
          <w:sz w:val="24"/>
          <w:lang w:val="es-ES_tradnl"/>
        </w:rPr>
        <w:t>En el presente informe se recogen debidamente las conclusiones más significativas.</w:t>
      </w:r>
    </w:p>
    <w:p w:rsidR="00DB5B5B" w:rsidRPr="00910E94" w:rsidRDefault="00DB5B5B" w:rsidP="00101066">
      <w:pPr>
        <w:keepNext/>
        <w:spacing w:before="240" w:after="240" w:line="360" w:lineRule="auto"/>
        <w:jc w:val="both"/>
        <w:rPr>
          <w:rFonts w:ascii="Times New Roman" w:hAnsi="Times New Roman" w:cs="Times New Roman"/>
          <w:b/>
          <w:color w:val="1F497D"/>
          <w:sz w:val="24"/>
          <w:szCs w:val="24"/>
          <w:lang w:val="es-ES_tradnl"/>
        </w:rPr>
      </w:pPr>
      <w:r w:rsidRPr="00910E94">
        <w:rPr>
          <w:rFonts w:ascii="Times New Roman" w:hAnsi="Times New Roman"/>
          <w:b/>
          <w:color w:val="1F497D"/>
          <w:sz w:val="24"/>
          <w:lang w:val="es-ES_tradnl"/>
        </w:rPr>
        <w:t>Normas de auditoría</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La auditoría se llevó a cabo con arreglo a las Normas Internacionales de Auditoría, elaboradas por la Federación Internacional de Expertos Contables y aprobadas por el Grupo de Auditores Externos de las Naciones Unidas, los organismos especializados de las NN.UU</w:t>
      </w:r>
      <w:r w:rsidR="00344EE2">
        <w:rPr>
          <w:rFonts w:ascii="Times New Roman" w:hAnsi="Times New Roman"/>
          <w:sz w:val="24"/>
          <w:lang w:val="es-ES_tradnl"/>
        </w:rPr>
        <w:t xml:space="preserve">.  </w:t>
      </w:r>
      <w:r w:rsidRPr="00910E94">
        <w:rPr>
          <w:rFonts w:ascii="Times New Roman" w:hAnsi="Times New Roman"/>
          <w:sz w:val="24"/>
          <w:lang w:val="es-ES_tradnl"/>
        </w:rPr>
        <w:t>y el Organismo Internacional de la Energía Atómica (OIEA), las normas de auditoría de la Organización Internacional de las Entidades Fiscaliz</w:t>
      </w:r>
      <w:r w:rsidR="00CC3D7A" w:rsidRPr="00910E94">
        <w:rPr>
          <w:rFonts w:ascii="Times New Roman" w:hAnsi="Times New Roman"/>
          <w:sz w:val="24"/>
          <w:lang w:val="es-ES_tradnl"/>
        </w:rPr>
        <w:t>adoras Superiores y el artículo </w:t>
      </w:r>
      <w:r w:rsidRPr="00910E94">
        <w:rPr>
          <w:rFonts w:ascii="Times New Roman" w:hAnsi="Times New Roman"/>
          <w:sz w:val="24"/>
          <w:lang w:val="es-ES_tradnl"/>
        </w:rPr>
        <w:t>8.10 del Reglamento Financiero y la Reglamentación Financiera de la OMPI y el mandato adicional por el que se rigen las auditorías en la OMPI, como se dispone en el Anexo del Reglamento Financiero y la Reglamentación Financiera.</w:t>
      </w:r>
    </w:p>
    <w:p w:rsidR="00DB5B5B" w:rsidRPr="00910E94" w:rsidRDefault="00DB5B5B" w:rsidP="00101066">
      <w:pPr>
        <w:keepNext/>
        <w:spacing w:before="240" w:after="240" w:line="360" w:lineRule="auto"/>
        <w:jc w:val="both"/>
        <w:rPr>
          <w:rFonts w:ascii="Times New Roman" w:hAnsi="Times New Roman" w:cs="Times New Roman"/>
          <w:b/>
          <w:color w:val="1F497D"/>
          <w:sz w:val="24"/>
          <w:szCs w:val="24"/>
          <w:lang w:val="es-ES_tradnl"/>
        </w:rPr>
      </w:pPr>
      <w:r w:rsidRPr="00910E94">
        <w:rPr>
          <w:rFonts w:ascii="Times New Roman" w:hAnsi="Times New Roman"/>
          <w:b/>
          <w:color w:val="1F497D"/>
          <w:sz w:val="24"/>
          <w:lang w:val="es-ES_tradnl"/>
        </w:rPr>
        <w:lastRenderedPageBreak/>
        <w:t>Gestión financiera</w:t>
      </w:r>
    </w:p>
    <w:p w:rsidR="00F35E65" w:rsidRPr="00AB18E9" w:rsidRDefault="00DB5B5B" w:rsidP="00CC3D7A">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Para llevar a cabo la auditoría se estudiaron los estados financieros a fin de comprobar que no hubiera errores de contenido y si se cumplían los requisitos de las IPSAS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OMPI adoptó las IPSAS </w:t>
      </w:r>
      <w:r w:rsidR="00CC3D7A" w:rsidRPr="00910E94">
        <w:rPr>
          <w:rFonts w:ascii="Times New Roman" w:hAnsi="Times New Roman"/>
          <w:sz w:val="24"/>
          <w:lang w:val="es-ES_tradnl"/>
        </w:rPr>
        <w:t>en 20</w:t>
      </w:r>
      <w:r w:rsidRPr="00910E94">
        <w:rPr>
          <w:rFonts w:ascii="Times New Roman" w:hAnsi="Times New Roman"/>
          <w:sz w:val="24"/>
          <w:lang w:val="es-ES_tradnl"/>
        </w:rPr>
        <w:t xml:space="preserve">10 y en el curso </w:t>
      </w:r>
      <w:r w:rsidR="00CC3D7A" w:rsidRPr="00910E94">
        <w:rPr>
          <w:rFonts w:ascii="Times New Roman" w:hAnsi="Times New Roman"/>
          <w:sz w:val="24"/>
          <w:lang w:val="es-ES_tradnl"/>
        </w:rPr>
        <w:t>de 2013 adoptó las Normas IPSAS 28, 29 y </w:t>
      </w:r>
      <w:r w:rsidRPr="00910E94">
        <w:rPr>
          <w:rFonts w:ascii="Times New Roman" w:hAnsi="Times New Roman"/>
          <w:sz w:val="24"/>
          <w:lang w:val="es-ES_tradnl"/>
        </w:rPr>
        <w:t>30 relativas a los Instrumentos Financiero</w:t>
      </w:r>
      <w:r w:rsidRPr="00AB18E9">
        <w:rPr>
          <w:rFonts w:ascii="Times New Roman" w:hAnsi="Times New Roman"/>
          <w:sz w:val="24"/>
          <w:lang w:val="es-ES_tradnl"/>
        </w:rPr>
        <w:t>s</w:t>
      </w:r>
      <w:r w:rsidR="00AB18E9">
        <w:rPr>
          <w:rFonts w:ascii="Times New Roman" w:hAnsi="Times New Roman"/>
          <w:sz w:val="24"/>
          <w:lang w:val="es-ES_tradnl"/>
        </w:rPr>
        <w:t>.</w:t>
      </w:r>
    </w:p>
    <w:p w:rsidR="00DB5B5B" w:rsidRPr="00910E94" w:rsidRDefault="00DB5B5B" w:rsidP="00101066">
      <w:pPr>
        <w:keepNext/>
        <w:spacing w:before="240" w:after="240" w:line="360" w:lineRule="auto"/>
        <w:jc w:val="both"/>
        <w:rPr>
          <w:rFonts w:ascii="Times New Roman" w:hAnsi="Times New Roman" w:cs="Times New Roman"/>
          <w:b/>
          <w:color w:val="1F497D"/>
          <w:sz w:val="24"/>
          <w:szCs w:val="24"/>
          <w:lang w:val="es-ES_tradnl"/>
        </w:rPr>
      </w:pPr>
      <w:r w:rsidRPr="00910E94">
        <w:rPr>
          <w:rFonts w:ascii="Times New Roman" w:hAnsi="Times New Roman"/>
          <w:b/>
          <w:color w:val="1F497D"/>
          <w:sz w:val="24"/>
          <w:lang w:val="es-ES_tradnl"/>
        </w:rPr>
        <w:t xml:space="preserve">Dictamen de auditoría acerca de los estados financieros </w:t>
      </w:r>
      <w:r w:rsidR="00CC3D7A" w:rsidRPr="00910E94">
        <w:rPr>
          <w:rFonts w:ascii="Times New Roman" w:hAnsi="Times New Roman"/>
          <w:b/>
          <w:color w:val="1F497D"/>
          <w:sz w:val="24"/>
          <w:lang w:val="es-ES_tradnl"/>
        </w:rPr>
        <w:t>de 20</w:t>
      </w:r>
      <w:r w:rsidRPr="00910E94">
        <w:rPr>
          <w:rFonts w:ascii="Times New Roman" w:hAnsi="Times New Roman"/>
          <w:b/>
          <w:color w:val="1F497D"/>
          <w:sz w:val="24"/>
          <w:lang w:val="es-ES_tradnl"/>
        </w:rPr>
        <w:t>14</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b/>
          <w:bCs/>
          <w:sz w:val="24"/>
          <w:szCs w:val="24"/>
          <w:lang w:val="es-ES_tradnl"/>
        </w:rPr>
      </w:pPr>
      <w:r w:rsidRPr="00910E94">
        <w:rPr>
          <w:rFonts w:ascii="Times New Roman" w:hAnsi="Times New Roman"/>
          <w:sz w:val="24"/>
          <w:lang w:val="es-ES_tradnl"/>
        </w:rPr>
        <w:t xml:space="preserve">Según lo dispuesto en los mandatos del Auditor Externo, se me pide que emita un dictamen acerca de los estados financieros de la OMPI del ejercicio concluido el 31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14</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auditoría de los estados financieros correspondientes al ejercicio financiero </w:t>
      </w:r>
      <w:r w:rsidR="00CC3D7A" w:rsidRPr="00910E94">
        <w:rPr>
          <w:rFonts w:ascii="Times New Roman" w:hAnsi="Times New Roman"/>
          <w:sz w:val="24"/>
          <w:lang w:val="es-ES_tradnl"/>
        </w:rPr>
        <w:t>de 20</w:t>
      </w:r>
      <w:r w:rsidRPr="00910E94">
        <w:rPr>
          <w:rFonts w:ascii="Times New Roman" w:hAnsi="Times New Roman"/>
          <w:sz w:val="24"/>
          <w:lang w:val="es-ES_tradnl"/>
        </w:rPr>
        <w:t>14 no reveló deficiencias ni errores que a mi entender sean sustanciales en cuanto a la exactitud, exhaustividad y validez de los estados financieros en su conjunto</w:t>
      </w:r>
      <w:r w:rsidR="00344EE2">
        <w:rPr>
          <w:rFonts w:ascii="Times New Roman" w:hAnsi="Times New Roman"/>
          <w:sz w:val="24"/>
          <w:lang w:val="es-ES_tradnl"/>
        </w:rPr>
        <w:t xml:space="preserve">.  </w:t>
      </w:r>
      <w:r w:rsidRPr="00910E94">
        <w:rPr>
          <w:rFonts w:ascii="Times New Roman" w:hAnsi="Times New Roman"/>
          <w:sz w:val="24"/>
          <w:lang w:val="es-ES_tradnl"/>
        </w:rPr>
        <w:t xml:space="preserve">Por ende, emito un dictamen de auditoría sin reservas sobre los estados financieros de la OMPI correspondientes al ejercicio financiero concluido el 31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14</w:t>
      </w:r>
      <w:r w:rsidR="00AB18E9">
        <w:rPr>
          <w:rFonts w:ascii="Times New Roman" w:hAnsi="Times New Roman"/>
          <w:sz w:val="24"/>
          <w:lang w:val="es-ES_tradnl"/>
        </w:rPr>
        <w:t>.</w:t>
      </w:r>
    </w:p>
    <w:p w:rsidR="00DB5B5B" w:rsidRPr="00910E94" w:rsidRDefault="00DB5B5B" w:rsidP="00101066">
      <w:pPr>
        <w:keepNext/>
        <w:spacing w:before="240" w:after="240" w:line="360" w:lineRule="auto"/>
        <w:jc w:val="both"/>
        <w:rPr>
          <w:rFonts w:ascii="Times New Roman" w:hAnsi="Times New Roman" w:cs="Times New Roman"/>
          <w:b/>
          <w:bCs/>
          <w:color w:val="1F497D"/>
          <w:sz w:val="28"/>
          <w:szCs w:val="28"/>
          <w:lang w:val="es-ES_tradnl"/>
        </w:rPr>
      </w:pPr>
      <w:r w:rsidRPr="00910E94">
        <w:rPr>
          <w:rFonts w:ascii="Times New Roman" w:hAnsi="Times New Roman"/>
          <w:b/>
          <w:color w:val="1F497D"/>
          <w:sz w:val="28"/>
          <w:lang w:val="es-ES_tradnl"/>
        </w:rPr>
        <w:t>Principales indicadores financieros</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A continuación se exponen los principales indicadores financieros que merecen la atención de los Estados miembros</w:t>
      </w:r>
      <w:r w:rsidR="00EC215B">
        <w:rPr>
          <w:rFonts w:ascii="Times New Roman" w:hAnsi="Times New Roman"/>
          <w:sz w:val="24"/>
          <w:lang w:val="es-ES_tradnl"/>
        </w:rPr>
        <w:t>:</w:t>
      </w:r>
    </w:p>
    <w:p w:rsidR="00DB5B5B" w:rsidRPr="00910E94" w:rsidRDefault="00DB5B5B" w:rsidP="00101066">
      <w:pPr>
        <w:pStyle w:val="Default"/>
        <w:keepNext/>
        <w:autoSpaceDE/>
        <w:autoSpaceDN/>
        <w:adjustRightInd/>
        <w:spacing w:before="240" w:after="240" w:line="360" w:lineRule="auto"/>
        <w:jc w:val="both"/>
        <w:rPr>
          <w:rFonts w:ascii="Times New Roman" w:hAnsi="Times New Roman" w:cs="Times New Roman"/>
          <w:b/>
          <w:bCs/>
          <w:lang w:val="es-ES_tradnl"/>
        </w:rPr>
      </w:pPr>
      <w:r w:rsidRPr="00910E94">
        <w:rPr>
          <w:rFonts w:ascii="Times New Roman" w:hAnsi="Times New Roman"/>
          <w:b/>
          <w:color w:val="1F497D"/>
          <w:lang w:val="es-ES_tradnl"/>
        </w:rPr>
        <w:t>Superávit/déficit operativo</w:t>
      </w:r>
      <w:r w:rsidRPr="00910E94">
        <w:rPr>
          <w:rFonts w:ascii="Times New Roman" w:hAnsi="Times New Roman"/>
          <w:b/>
          <w:lang w:val="es-ES_tradnl"/>
        </w:rPr>
        <w:t xml:space="preserve"> </w:t>
      </w:r>
    </w:p>
    <w:p w:rsidR="00DB5B5B"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El superávit / déficit es la diferencia entre los ingresos y los gastos de la OMPI a lo larg</w:t>
      </w:r>
      <w:r w:rsidR="004A14D2" w:rsidRPr="00910E94">
        <w:rPr>
          <w:rFonts w:ascii="Times New Roman" w:hAnsi="Times New Roman"/>
          <w:sz w:val="24"/>
          <w:lang w:val="es-ES_tradnl"/>
        </w:rPr>
        <w:t>o del año</w:t>
      </w:r>
      <w:r w:rsidR="00344EE2">
        <w:rPr>
          <w:rFonts w:ascii="Times New Roman" w:hAnsi="Times New Roman"/>
          <w:sz w:val="24"/>
          <w:lang w:val="es-ES_tradnl"/>
        </w:rPr>
        <w:t xml:space="preserve">.  </w:t>
      </w:r>
      <w:r w:rsidR="004A14D2" w:rsidRPr="00910E94">
        <w:rPr>
          <w:rFonts w:ascii="Times New Roman" w:hAnsi="Times New Roman"/>
          <w:sz w:val="24"/>
          <w:lang w:val="es-ES_tradnl"/>
        </w:rPr>
        <w:t>El superávit del año 2014 ascendió a </w:t>
      </w:r>
      <w:r w:rsidRPr="00910E94">
        <w:rPr>
          <w:rFonts w:ascii="Times New Roman" w:hAnsi="Times New Roman"/>
          <w:sz w:val="24"/>
          <w:lang w:val="es-ES_tradnl"/>
        </w:rPr>
        <w:t xml:space="preserve">37 millones de francos suizos, es decir, registró un incremento del 145% en comparación con el superávit </w:t>
      </w:r>
      <w:r w:rsidR="00CC3D7A" w:rsidRPr="00910E94">
        <w:rPr>
          <w:rFonts w:ascii="Times New Roman" w:hAnsi="Times New Roman"/>
          <w:sz w:val="24"/>
          <w:lang w:val="es-ES_tradnl"/>
        </w:rPr>
        <w:t>de 20</w:t>
      </w:r>
      <w:r w:rsidRPr="00910E94">
        <w:rPr>
          <w:rFonts w:ascii="Times New Roman" w:hAnsi="Times New Roman"/>
          <w:sz w:val="24"/>
          <w:lang w:val="es-ES_tradnl"/>
        </w:rPr>
        <w:t>13 y del</w:t>
      </w:r>
      <w:r w:rsidR="004A14D2" w:rsidRPr="00910E94">
        <w:rPr>
          <w:rFonts w:ascii="Times New Roman" w:hAnsi="Times New Roman"/>
          <w:sz w:val="24"/>
          <w:lang w:val="es-ES_tradnl"/>
        </w:rPr>
        <w:t> 89,7% con respecto a </w:t>
      </w:r>
      <w:r w:rsidRPr="00910E94">
        <w:rPr>
          <w:rFonts w:ascii="Times New Roman" w:hAnsi="Times New Roman"/>
          <w:sz w:val="24"/>
          <w:lang w:val="es-ES_tradnl"/>
        </w:rPr>
        <w:t>2012.</w:t>
      </w:r>
    </w:p>
    <w:p w:rsidR="00DB5B5B" w:rsidRPr="00910E94" w:rsidRDefault="00CB5489" w:rsidP="00CB5489">
      <w:pPr>
        <w:spacing w:after="0" w:line="240" w:lineRule="auto"/>
        <w:jc w:val="center"/>
        <w:rPr>
          <w:rFonts w:ascii="Times New Roman" w:hAnsi="Times New Roman" w:cs="Times New Roman"/>
          <w:sz w:val="24"/>
          <w:szCs w:val="24"/>
          <w:lang w:val="es-ES_tradnl"/>
        </w:rPr>
      </w:pPr>
      <w:r w:rsidRPr="00910E94">
        <w:rPr>
          <w:noProof/>
          <w:lang w:val="en-US" w:eastAsia="en-US" w:bidi="ar-SA"/>
        </w:rPr>
        <w:lastRenderedPageBreak/>
        <w:drawing>
          <wp:inline distT="0" distB="0" distL="0" distR="0" wp14:anchorId="0475F7E3" wp14:editId="3CB37C62">
            <wp:extent cx="4579620" cy="27508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p w:rsidR="00DB5B5B" w:rsidRPr="00910E94" w:rsidRDefault="00DB5B5B" w:rsidP="00DB5B5B">
      <w:pPr>
        <w:spacing w:before="120" w:after="120" w:line="360" w:lineRule="auto"/>
        <w:ind w:left="357"/>
        <w:jc w:val="both"/>
        <w:rPr>
          <w:rFonts w:ascii="Times New Roman" w:hAnsi="Times New Roman" w:cs="Times New Roman"/>
          <w:sz w:val="24"/>
          <w:szCs w:val="24"/>
          <w:lang w:val="es-ES_tradnl"/>
        </w:rPr>
      </w:pPr>
    </w:p>
    <w:p w:rsidR="00F35E65" w:rsidRPr="00910E94" w:rsidRDefault="00DB5B5B" w:rsidP="004B531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Hemos constatado que la mejoría del rendimiento financiero en el ejercicio 2014 frente a los años 2013 y 2012 obedeció principalmente a las actividades de la Unión del Tratado de Cooperación en materia de</w:t>
      </w:r>
      <w:r w:rsidR="004A14D2" w:rsidRPr="00910E94">
        <w:rPr>
          <w:rFonts w:ascii="Times New Roman" w:hAnsi="Times New Roman"/>
          <w:sz w:val="24"/>
          <w:lang w:val="es-ES_tradnl"/>
        </w:rPr>
        <w:t xml:space="preserve"> Patentes, que constituyeron un </w:t>
      </w:r>
      <w:r w:rsidRPr="00910E94">
        <w:rPr>
          <w:rFonts w:ascii="Times New Roman" w:hAnsi="Times New Roman"/>
          <w:sz w:val="24"/>
          <w:lang w:val="es-ES_tradnl"/>
        </w:rPr>
        <w:t xml:space="preserve">76% de los ingresos totales de la OMPI </w:t>
      </w:r>
      <w:r w:rsidR="00CC3D7A" w:rsidRPr="00910E94">
        <w:rPr>
          <w:rFonts w:ascii="Times New Roman" w:hAnsi="Times New Roman"/>
          <w:sz w:val="24"/>
          <w:lang w:val="es-ES_tradnl"/>
        </w:rPr>
        <w:t>en 20</w:t>
      </w:r>
      <w:r w:rsidRPr="00910E94">
        <w:rPr>
          <w:rFonts w:ascii="Times New Roman" w:hAnsi="Times New Roman"/>
          <w:sz w:val="24"/>
          <w:lang w:val="es-ES_tradnl"/>
        </w:rPr>
        <w:t>14.</w:t>
      </w:r>
    </w:p>
    <w:p w:rsidR="003A2CDF" w:rsidRPr="00910E94" w:rsidRDefault="003A2CDF" w:rsidP="003A2CDF">
      <w:pPr>
        <w:pStyle w:val="ListParagraph"/>
        <w:autoSpaceDE w:val="0"/>
        <w:autoSpaceDN w:val="0"/>
        <w:adjustRightInd w:val="0"/>
        <w:spacing w:before="120" w:after="120" w:line="360" w:lineRule="auto"/>
        <w:contextualSpacing w:val="0"/>
        <w:rPr>
          <w:rFonts w:ascii="Times New Roman" w:hAnsi="Times New Roman" w:cs="Times New Roman"/>
          <w:sz w:val="24"/>
          <w:szCs w:val="24"/>
          <w:lang w:val="es-ES_tradnl"/>
        </w:rPr>
      </w:pPr>
    </w:p>
    <w:p w:rsidR="00CB5489" w:rsidRPr="00910E94" w:rsidRDefault="00CB5489" w:rsidP="00CB5489">
      <w:pPr>
        <w:spacing w:after="0" w:line="240" w:lineRule="auto"/>
        <w:jc w:val="center"/>
        <w:rPr>
          <w:rFonts w:ascii="Times New Roman" w:hAnsi="Times New Roman" w:cs="Times New Roman"/>
          <w:b/>
          <w:color w:val="1F497D"/>
          <w:sz w:val="24"/>
          <w:szCs w:val="24"/>
          <w:lang w:val="es-ES_tradnl"/>
        </w:rPr>
      </w:pPr>
      <w:r w:rsidRPr="00910E94">
        <w:rPr>
          <w:rFonts w:ascii="Times New Roman" w:hAnsi="Times New Roman" w:cs="Times New Roman"/>
          <w:b/>
          <w:noProof/>
          <w:color w:val="1F497D"/>
          <w:sz w:val="24"/>
          <w:szCs w:val="24"/>
          <w:lang w:val="en-US" w:eastAsia="en-US" w:bidi="ar-SA"/>
        </w:rPr>
        <w:drawing>
          <wp:inline distT="0" distB="0" distL="0" distR="0" wp14:anchorId="4CB788ED" wp14:editId="380CD752">
            <wp:extent cx="4579620" cy="27432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pic:spPr>
                </pic:pic>
              </a:graphicData>
            </a:graphic>
          </wp:inline>
        </w:drawing>
      </w:r>
    </w:p>
    <w:p w:rsidR="00DB5B5B" w:rsidRPr="00910E94" w:rsidRDefault="00DB5B5B" w:rsidP="00101066">
      <w:pPr>
        <w:pStyle w:val="Default"/>
        <w:keepNext/>
        <w:autoSpaceDE/>
        <w:autoSpaceDN/>
        <w:adjustRightInd/>
        <w:spacing w:before="240" w:after="240" w:line="360" w:lineRule="auto"/>
        <w:jc w:val="both"/>
        <w:rPr>
          <w:rFonts w:ascii="Times New Roman" w:hAnsi="Times New Roman" w:cs="Times New Roman"/>
          <w:b/>
          <w:bCs/>
          <w:color w:val="1F497D"/>
          <w:lang w:val="es-ES_tradnl"/>
        </w:rPr>
      </w:pPr>
      <w:r w:rsidRPr="00910E94">
        <w:rPr>
          <w:rFonts w:ascii="Times New Roman" w:hAnsi="Times New Roman"/>
          <w:b/>
          <w:color w:val="1F497D"/>
          <w:lang w:val="es-ES_tradnl"/>
        </w:rPr>
        <w:t>Análisis por segmentos</w:t>
      </w:r>
    </w:p>
    <w:p w:rsidR="00DB5B5B" w:rsidRPr="00910E94" w:rsidRDefault="00DB5B5B" w:rsidP="00F35E65">
      <w:pPr>
        <w:pStyle w:val="ListParagraph"/>
        <w:numPr>
          <w:ilvl w:val="0"/>
          <w:numId w:val="4"/>
        </w:numPr>
        <w:autoSpaceDE w:val="0"/>
        <w:autoSpaceDN w:val="0"/>
        <w:adjustRightInd w:val="0"/>
        <w:spacing w:after="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A continuación se indican los ingresos, gastos y superávit/déficit en los distintos segmentos</w:t>
      </w:r>
      <w:r w:rsidR="007E561D" w:rsidRPr="00910E94">
        <w:rPr>
          <w:rStyle w:val="FootnoteReference"/>
          <w:rFonts w:ascii="Times New Roman" w:hAnsi="Times New Roman" w:cs="Times New Roman"/>
          <w:sz w:val="24"/>
          <w:szCs w:val="24"/>
          <w:lang w:val="es-ES_tradnl"/>
        </w:rPr>
        <w:sym w:font="Symbol" w:char="F0A7"/>
      </w:r>
      <w:r w:rsidR="00EC215B">
        <w:rPr>
          <w:rFonts w:ascii="Times New Roman" w:hAnsi="Times New Roman"/>
          <w:sz w:val="24"/>
          <w:lang w:val="es-ES_tradnl"/>
        </w:rPr>
        <w:t xml:space="preserve">:  </w:t>
      </w:r>
    </w:p>
    <w:p w:rsidR="00DB5B5B" w:rsidRPr="00910E94" w:rsidRDefault="00DB5B5B" w:rsidP="00F35E65">
      <w:pPr>
        <w:pStyle w:val="Default"/>
        <w:jc w:val="center"/>
        <w:rPr>
          <w:rFonts w:ascii="Times New Roman" w:hAnsi="Times New Roman" w:cs="Times New Roman"/>
          <w:b/>
          <w:i/>
          <w:color w:val="auto"/>
          <w:lang w:val="es-ES_tradnl"/>
        </w:rPr>
      </w:pPr>
    </w:p>
    <w:p w:rsidR="00DB5B5B" w:rsidRPr="00910E94" w:rsidRDefault="00DB5B5B" w:rsidP="00DB5B5B">
      <w:pPr>
        <w:pStyle w:val="Default"/>
        <w:jc w:val="right"/>
        <w:rPr>
          <w:rFonts w:ascii="Times New Roman" w:hAnsi="Times New Roman" w:cs="Times New Roman"/>
          <w:b/>
          <w:color w:val="auto"/>
          <w:lang w:val="es-ES_tradnl"/>
        </w:rPr>
      </w:pPr>
      <w:r w:rsidRPr="00910E94">
        <w:rPr>
          <w:rFonts w:ascii="Times New Roman" w:hAnsi="Times New Roman"/>
          <w:b/>
          <w:i/>
          <w:color w:val="auto"/>
          <w:lang w:val="es-ES_tradnl"/>
        </w:rPr>
        <w:lastRenderedPageBreak/>
        <w:footnoteReference w:customMarkFollows="1" w:id="1"/>
        <w:t xml:space="preserve"> (en miles de francos suizos)</w:t>
      </w: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9"/>
        <w:gridCol w:w="1961"/>
        <w:gridCol w:w="1400"/>
        <w:gridCol w:w="1120"/>
        <w:gridCol w:w="1087"/>
        <w:gridCol w:w="1012"/>
        <w:gridCol w:w="1216"/>
      </w:tblGrid>
      <w:tr w:rsidR="00DB5B5B" w:rsidRPr="00910E94" w:rsidTr="00E562B7">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Año 2014</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Segmento</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Financiación por contribuciones</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Unión del PCT</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Unión de Madrid</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Unión de La Haya</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Unión de Lisboa</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Cuentas especiales</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Ingresos</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18.817</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281.318</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57.285</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3.927</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764</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8.069</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Gastos</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17.560</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242.133</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57.330</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7.322</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792</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8.069</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1.257</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39.185</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- 45</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- 3.395</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-28</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0</w:t>
            </w:r>
          </w:p>
        </w:tc>
      </w:tr>
      <w:tr w:rsidR="00DB5B5B" w:rsidRPr="00910E94" w:rsidTr="00E562B7">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Año 2013</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Ingresos</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19.277</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261.181</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58.456</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4.531</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1.308</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6.858</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Gastos</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19.068</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242.349</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59.749</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7.603</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852</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6.858</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209</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18.832</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- 1.293</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- 3.072</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456</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0</w:t>
            </w:r>
          </w:p>
        </w:tc>
      </w:tr>
      <w:tr w:rsidR="00DB5B5B" w:rsidRPr="00910E94" w:rsidTr="00E562B7">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Año 2012</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Ingresos</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18.631</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253.183</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54.329</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3.442</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390</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7.021</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Gastos</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18.414</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232.104</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56.159</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6.854</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734</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7.021</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217</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21.079</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- 1.830</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- 3.412</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- 344</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0</w:t>
            </w:r>
          </w:p>
        </w:tc>
      </w:tr>
      <w:tr w:rsidR="00DB5B5B" w:rsidRPr="00910E94" w:rsidTr="00E562B7">
        <w:trPr>
          <w:trHeight w:val="257"/>
        </w:trPr>
        <w:tc>
          <w:tcPr>
            <w:tcW w:w="9536" w:type="dxa"/>
            <w:gridSpan w:val="7"/>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
                <w:bCs/>
                <w:color w:val="000000"/>
                <w:sz w:val="24"/>
                <w:szCs w:val="24"/>
                <w:lang w:val="es-ES_tradnl"/>
              </w:rPr>
            </w:pPr>
            <w:r w:rsidRPr="00910E94">
              <w:rPr>
                <w:rFonts w:ascii="Times New Roman" w:hAnsi="Times New Roman"/>
                <w:b/>
                <w:color w:val="000000"/>
                <w:sz w:val="24"/>
                <w:lang w:val="es-ES_tradnl"/>
              </w:rPr>
              <w:t>Año 2011</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Ingresos</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18.080</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210.345</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53.731</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3.260</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215</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7.506</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Gastos</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18.954</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234.316</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57.838</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5.981</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752</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7.506</w:t>
            </w:r>
          </w:p>
        </w:tc>
      </w:tr>
      <w:tr w:rsidR="00DB5B5B" w:rsidRPr="00910E94" w:rsidTr="00E562B7">
        <w:trPr>
          <w:trHeight w:val="257"/>
        </w:trPr>
        <w:tc>
          <w:tcPr>
            <w:tcW w:w="1819"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Superávit/déficit</w:t>
            </w:r>
          </w:p>
        </w:tc>
        <w:tc>
          <w:tcPr>
            <w:tcW w:w="1961"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xml:space="preserve">   - 874</w:t>
            </w:r>
          </w:p>
        </w:tc>
        <w:tc>
          <w:tcPr>
            <w:tcW w:w="140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-23.971</w:t>
            </w:r>
          </w:p>
        </w:tc>
        <w:tc>
          <w:tcPr>
            <w:tcW w:w="1120"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hanging="33"/>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- 4.107</w:t>
            </w:r>
          </w:p>
        </w:tc>
        <w:tc>
          <w:tcPr>
            <w:tcW w:w="108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- 2.721</w:t>
            </w:r>
          </w:p>
        </w:tc>
        <w:tc>
          <w:tcPr>
            <w:tcW w:w="1012"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- 537</w:t>
            </w:r>
          </w:p>
        </w:tc>
        <w:tc>
          <w:tcPr>
            <w:tcW w:w="1137" w:type="dxa"/>
            <w:tcBorders>
              <w:top w:val="single" w:sz="4" w:space="0" w:color="auto"/>
              <w:left w:val="single" w:sz="4" w:space="0" w:color="auto"/>
              <w:bottom w:val="single" w:sz="4" w:space="0" w:color="auto"/>
              <w:right w:val="single" w:sz="4" w:space="0" w:color="auto"/>
            </w:tcBorders>
            <w:noWrap/>
            <w:vAlign w:val="center"/>
          </w:tcPr>
          <w:p w:rsidR="00DB5B5B" w:rsidRPr="00910E94" w:rsidRDefault="00DB5B5B" w:rsidP="00E562B7">
            <w:pPr>
              <w:spacing w:after="0" w:line="240" w:lineRule="auto"/>
              <w:ind w:left="-74"/>
              <w:jc w:val="center"/>
              <w:rPr>
                <w:rFonts w:ascii="Times New Roman" w:hAnsi="Times New Roman" w:cs="Times New Roman"/>
                <w:bCs/>
                <w:color w:val="000000"/>
                <w:sz w:val="24"/>
                <w:szCs w:val="24"/>
                <w:lang w:val="es-ES_tradnl"/>
              </w:rPr>
            </w:pPr>
            <w:r w:rsidRPr="00910E94">
              <w:rPr>
                <w:rFonts w:ascii="Times New Roman" w:hAnsi="Times New Roman"/>
                <w:color w:val="000000"/>
                <w:sz w:val="24"/>
                <w:lang w:val="es-ES_tradnl"/>
              </w:rPr>
              <w:t>0</w:t>
            </w:r>
          </w:p>
        </w:tc>
      </w:tr>
    </w:tbl>
    <w:p w:rsidR="00F35E65" w:rsidRPr="00910E94" w:rsidRDefault="00F35E65" w:rsidP="00DB5B5B">
      <w:pPr>
        <w:autoSpaceDE w:val="0"/>
        <w:autoSpaceDN w:val="0"/>
        <w:adjustRightInd w:val="0"/>
        <w:spacing w:after="0" w:line="240" w:lineRule="auto"/>
        <w:jc w:val="both"/>
        <w:rPr>
          <w:rFonts w:ascii="Times New Roman" w:hAnsi="Times New Roman" w:cs="Times New Roman"/>
          <w:b/>
          <w:color w:val="1F497D"/>
          <w:sz w:val="24"/>
          <w:szCs w:val="24"/>
          <w:lang w:val="es-ES_tradnl"/>
        </w:rPr>
      </w:pP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color w:val="000000"/>
          <w:sz w:val="24"/>
          <w:lang w:val="es-ES_tradnl"/>
        </w:rPr>
        <w:t xml:space="preserve">El total de ingresos de la Unión del PCT equivale a un 106% del superávit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 xml:space="preserve">14 (124,5% </w:t>
      </w:r>
      <w:r w:rsidR="00CC3D7A" w:rsidRPr="00910E94">
        <w:rPr>
          <w:rFonts w:ascii="Times New Roman" w:hAnsi="Times New Roman"/>
          <w:color w:val="000000"/>
          <w:sz w:val="24"/>
          <w:lang w:val="es-ES_tradnl"/>
        </w:rPr>
        <w:t>en 20</w:t>
      </w:r>
      <w:r w:rsidRPr="00910E94">
        <w:rPr>
          <w:rFonts w:ascii="Times New Roman" w:hAnsi="Times New Roman"/>
          <w:sz w:val="24"/>
          <w:lang w:val="es-ES_tradnl"/>
        </w:rPr>
        <w:t>13</w:t>
      </w:r>
      <w:r w:rsidRPr="00910E94">
        <w:rPr>
          <w:rFonts w:ascii="Times New Roman" w:hAnsi="Times New Roman"/>
          <w:color w:val="000000"/>
          <w:sz w:val="24"/>
          <w:lang w:val="es-ES_tradnl"/>
        </w:rPr>
        <w:t>)</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Así pues, el principal factor que influyó en el superávit/déficit de la OMPI fue el superávit/déficit del rendimiento del PCT.</w:t>
      </w:r>
    </w:p>
    <w:p w:rsidR="00DB5B5B" w:rsidRPr="00910E94" w:rsidRDefault="00CC3D7A"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color w:val="000000"/>
          <w:sz w:val="24"/>
          <w:lang w:val="es-ES_tradnl"/>
        </w:rPr>
        <w:t>En 20</w:t>
      </w:r>
      <w:r w:rsidR="00DB5B5B" w:rsidRPr="00910E94">
        <w:rPr>
          <w:rFonts w:ascii="Times New Roman" w:hAnsi="Times New Roman"/>
          <w:color w:val="000000"/>
          <w:sz w:val="24"/>
          <w:lang w:val="es-ES_tradnl"/>
        </w:rPr>
        <w:t>14, los gastos disminuyeron un 1%, mientras que los ingresos crecieron un</w:t>
      </w:r>
      <w:r w:rsidR="004A14D2" w:rsidRPr="00910E94">
        <w:rPr>
          <w:rFonts w:ascii="Times New Roman" w:hAnsi="Times New Roman"/>
          <w:color w:val="000000"/>
          <w:sz w:val="24"/>
          <w:lang w:val="es-ES_tradnl"/>
        </w:rPr>
        <w:t> 5,28% con respecto a </w:t>
      </w:r>
      <w:r w:rsidR="00DB5B5B" w:rsidRPr="00910E94">
        <w:rPr>
          <w:rFonts w:ascii="Times New Roman" w:hAnsi="Times New Roman"/>
          <w:color w:val="000000"/>
          <w:sz w:val="24"/>
          <w:lang w:val="es-ES_tradnl"/>
        </w:rPr>
        <w:t>201</w:t>
      </w:r>
      <w:r w:rsidR="004A14D2" w:rsidRPr="00910E94">
        <w:rPr>
          <w:rFonts w:ascii="Times New Roman" w:hAnsi="Times New Roman"/>
          <w:color w:val="000000"/>
          <w:sz w:val="24"/>
          <w:lang w:val="es-ES_tradnl"/>
        </w:rPr>
        <w:t>3, obteniéndose un superávit de </w:t>
      </w:r>
      <w:r w:rsidR="00DB5B5B" w:rsidRPr="00910E94">
        <w:rPr>
          <w:rFonts w:ascii="Times New Roman" w:hAnsi="Times New Roman"/>
          <w:color w:val="000000"/>
          <w:sz w:val="24"/>
          <w:lang w:val="es-ES_tradnl"/>
        </w:rPr>
        <w:t>37</w:t>
      </w:r>
      <w:r w:rsidR="004A14D2" w:rsidRPr="00910E94">
        <w:rPr>
          <w:rFonts w:ascii="Times New Roman" w:hAnsi="Times New Roman"/>
          <w:color w:val="000000"/>
          <w:sz w:val="24"/>
          <w:lang w:val="es-ES_tradnl"/>
        </w:rPr>
        <w:t> millones de francos suizos, un </w:t>
      </w:r>
      <w:r w:rsidR="00DB5B5B" w:rsidRPr="00910E94">
        <w:rPr>
          <w:rFonts w:ascii="Times New Roman" w:hAnsi="Times New Roman"/>
          <w:color w:val="000000"/>
          <w:sz w:val="24"/>
          <w:lang w:val="es-ES_tradnl"/>
        </w:rPr>
        <w:t xml:space="preserve">145% más que </w:t>
      </w:r>
      <w:r w:rsidRPr="00910E94">
        <w:rPr>
          <w:rFonts w:ascii="Times New Roman" w:hAnsi="Times New Roman"/>
          <w:color w:val="000000"/>
          <w:sz w:val="24"/>
          <w:lang w:val="es-ES_tradnl"/>
        </w:rPr>
        <w:t>en 20</w:t>
      </w:r>
      <w:r w:rsidR="00DB5B5B" w:rsidRPr="00910E94">
        <w:rPr>
          <w:rFonts w:ascii="Times New Roman" w:hAnsi="Times New Roman"/>
          <w:color w:val="000000"/>
          <w:sz w:val="24"/>
          <w:lang w:val="es-ES_tradnl"/>
        </w:rPr>
        <w:t>13.</w:t>
      </w:r>
    </w:p>
    <w:p w:rsidR="00DB5B5B" w:rsidRPr="00910E94" w:rsidRDefault="00DB5B5B" w:rsidP="00101066">
      <w:pPr>
        <w:pStyle w:val="Default"/>
        <w:keepNext/>
        <w:autoSpaceDE/>
        <w:autoSpaceDN/>
        <w:adjustRightInd/>
        <w:spacing w:before="240" w:after="240" w:line="360" w:lineRule="auto"/>
        <w:jc w:val="both"/>
        <w:rPr>
          <w:rFonts w:ascii="Times New Roman" w:hAnsi="Times New Roman" w:cs="Times New Roman"/>
          <w:b/>
          <w:color w:val="1F497D"/>
          <w:lang w:val="es-ES_tradnl"/>
        </w:rPr>
      </w:pPr>
      <w:r w:rsidRPr="00910E94">
        <w:rPr>
          <w:rFonts w:ascii="Times New Roman" w:hAnsi="Times New Roman"/>
          <w:b/>
          <w:color w:val="1F497D"/>
          <w:lang w:val="es-ES_tradnl"/>
        </w:rPr>
        <w:t xml:space="preserve">Ingresos </w:t>
      </w:r>
    </w:p>
    <w:p w:rsidR="00DB5B5B" w:rsidRPr="00910E94" w:rsidRDefault="004A14D2"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color w:val="000000"/>
          <w:sz w:val="24"/>
          <w:lang w:val="es-ES_tradnl"/>
        </w:rPr>
        <w:t>En el ejercicio </w:t>
      </w:r>
      <w:r w:rsidR="00DB5B5B" w:rsidRPr="00910E94">
        <w:rPr>
          <w:rFonts w:ascii="Times New Roman" w:hAnsi="Times New Roman"/>
          <w:color w:val="000000"/>
          <w:sz w:val="24"/>
          <w:lang w:val="es-ES_tradnl"/>
        </w:rPr>
        <w:t>2014, la OMPI registró</w:t>
      </w:r>
      <w:r w:rsidRPr="00910E94">
        <w:rPr>
          <w:rFonts w:ascii="Times New Roman" w:hAnsi="Times New Roman"/>
          <w:color w:val="000000"/>
          <w:sz w:val="24"/>
          <w:lang w:val="es-ES_tradnl"/>
        </w:rPr>
        <w:t xml:space="preserve"> unos ingresos totales de 370,2 </w:t>
      </w:r>
      <w:r w:rsidR="00DB5B5B" w:rsidRPr="00910E94">
        <w:rPr>
          <w:rFonts w:ascii="Times New Roman" w:hAnsi="Times New Roman"/>
          <w:color w:val="000000"/>
          <w:sz w:val="24"/>
          <w:lang w:val="es-ES_tradnl"/>
        </w:rPr>
        <w:t xml:space="preserve">millones </w:t>
      </w:r>
      <w:r w:rsidRPr="00910E94">
        <w:rPr>
          <w:rFonts w:ascii="Times New Roman" w:hAnsi="Times New Roman"/>
          <w:color w:val="000000"/>
          <w:sz w:val="24"/>
          <w:lang w:val="es-ES_tradnl"/>
        </w:rPr>
        <w:t>de francos suizos, superando en 18,6 </w:t>
      </w:r>
      <w:r w:rsidR="00DB5B5B" w:rsidRPr="00910E94">
        <w:rPr>
          <w:rFonts w:ascii="Times New Roman" w:hAnsi="Times New Roman"/>
          <w:color w:val="000000"/>
          <w:sz w:val="24"/>
          <w:lang w:val="es-ES_tradnl"/>
        </w:rPr>
        <w:t xml:space="preserve">millones de francos suizos los ingresos totales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13, que fueron de 351,6 </w:t>
      </w:r>
      <w:r w:rsidR="00DB5B5B" w:rsidRPr="00910E94">
        <w:rPr>
          <w:rFonts w:ascii="Times New Roman" w:hAnsi="Times New Roman"/>
          <w:color w:val="000000"/>
          <w:sz w:val="24"/>
          <w:lang w:val="es-ES_tradnl"/>
        </w:rPr>
        <w:t>millones de francos suizos.</w:t>
      </w:r>
    </w:p>
    <w:p w:rsidR="00CB5489" w:rsidRPr="00910E94" w:rsidRDefault="00CB5489" w:rsidP="00CB5489">
      <w:pPr>
        <w:pStyle w:val="ListParagraph"/>
        <w:autoSpaceDE w:val="0"/>
        <w:autoSpaceDN w:val="0"/>
        <w:adjustRightInd w:val="0"/>
        <w:spacing w:before="120" w:after="120" w:line="360" w:lineRule="auto"/>
        <w:ind w:left="0"/>
        <w:contextualSpacing w:val="0"/>
        <w:jc w:val="center"/>
        <w:rPr>
          <w:rFonts w:ascii="Times New Roman" w:hAnsi="Times New Roman" w:cs="Times New Roman"/>
          <w:color w:val="000000"/>
          <w:sz w:val="24"/>
          <w:szCs w:val="24"/>
          <w:lang w:val="es-ES_tradnl"/>
        </w:rPr>
      </w:pPr>
      <w:r w:rsidRPr="00910E94">
        <w:rPr>
          <w:rFonts w:ascii="Times New Roman" w:hAnsi="Times New Roman" w:cs="Times New Roman"/>
          <w:noProof/>
          <w:color w:val="000000"/>
          <w:sz w:val="24"/>
          <w:szCs w:val="24"/>
          <w:lang w:val="en-US" w:eastAsia="en-US" w:bidi="ar-SA"/>
        </w:rPr>
        <w:lastRenderedPageBreak/>
        <w:drawing>
          <wp:inline distT="0" distB="0" distL="0" distR="0" wp14:anchorId="5FAD3BDB" wp14:editId="13DE1CF3">
            <wp:extent cx="4594860" cy="2819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94860" cy="2819400"/>
                    </a:xfrm>
                    <a:prstGeom prst="rect">
                      <a:avLst/>
                    </a:prstGeom>
                    <a:noFill/>
                  </pic:spPr>
                </pic:pic>
              </a:graphicData>
            </a:graphic>
          </wp:inline>
        </w:drawing>
      </w:r>
    </w:p>
    <w:p w:rsidR="00DB5B5B" w:rsidRPr="00910E94" w:rsidRDefault="00DB5B5B" w:rsidP="00DB5B5B">
      <w:pPr>
        <w:autoSpaceDE w:val="0"/>
        <w:autoSpaceDN w:val="0"/>
        <w:adjustRightInd w:val="0"/>
        <w:spacing w:after="0" w:line="240" w:lineRule="auto"/>
        <w:jc w:val="center"/>
        <w:rPr>
          <w:rFonts w:ascii="Times New Roman" w:hAnsi="Times New Roman" w:cs="Times New Roman"/>
          <w:color w:val="000000"/>
          <w:sz w:val="24"/>
          <w:szCs w:val="24"/>
          <w:lang w:val="es-ES_tradnl"/>
        </w:rPr>
      </w:pPr>
      <w:r w:rsidRPr="00910E94">
        <w:rPr>
          <w:lang w:val="es-ES_tradnl"/>
        </w:rPr>
        <w:t xml:space="preserve"> </w:t>
      </w:r>
    </w:p>
    <w:p w:rsidR="00DB5B5B"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sz w:val="24"/>
          <w:lang w:val="es-ES_tradnl"/>
        </w:rPr>
        <w:t xml:space="preserve">Como se muestra en el gráfico, la mayor fuente de ingresos </w:t>
      </w:r>
      <w:r w:rsidR="00CC3D7A" w:rsidRPr="00910E94">
        <w:rPr>
          <w:rFonts w:ascii="Times New Roman" w:hAnsi="Times New Roman"/>
          <w:sz w:val="24"/>
          <w:lang w:val="es-ES_tradnl"/>
        </w:rPr>
        <w:t>en 20</w:t>
      </w:r>
      <w:r w:rsidRPr="00910E94">
        <w:rPr>
          <w:rFonts w:ascii="Times New Roman" w:hAnsi="Times New Roman"/>
          <w:color w:val="000000"/>
          <w:sz w:val="24"/>
          <w:lang w:val="es-ES_tradnl"/>
        </w:rPr>
        <w:t>14 fue la Unión del PCT, representando un</w:t>
      </w:r>
      <w:r w:rsidR="004A14D2" w:rsidRPr="00910E94">
        <w:rPr>
          <w:rFonts w:ascii="Times New Roman" w:hAnsi="Times New Roman"/>
          <w:color w:val="000000"/>
          <w:sz w:val="24"/>
          <w:lang w:val="es-ES_tradnl"/>
        </w:rPr>
        <w:t> </w:t>
      </w:r>
      <w:r w:rsidRPr="00910E94">
        <w:rPr>
          <w:rFonts w:ascii="Times New Roman" w:hAnsi="Times New Roman"/>
          <w:color w:val="000000"/>
          <w:sz w:val="24"/>
          <w:lang w:val="es-ES_tradnl"/>
        </w:rPr>
        <w:t>76% del total de ingresos</w:t>
      </w:r>
      <w:r w:rsidR="00344EE2">
        <w:rPr>
          <w:rFonts w:ascii="Times New Roman" w:hAnsi="Times New Roman"/>
          <w:color w:val="000000"/>
          <w:sz w:val="24"/>
          <w:lang w:val="es-ES_tradnl"/>
        </w:rPr>
        <w:t xml:space="preserve">.  </w:t>
      </w:r>
      <w:r w:rsidR="00CC3D7A" w:rsidRPr="00910E94">
        <w:rPr>
          <w:rFonts w:ascii="Times New Roman" w:hAnsi="Times New Roman"/>
          <w:color w:val="000000"/>
          <w:sz w:val="24"/>
          <w:lang w:val="es-ES_tradnl"/>
        </w:rPr>
        <w:t>En 20</w:t>
      </w:r>
      <w:r w:rsidRPr="00910E94">
        <w:rPr>
          <w:rFonts w:ascii="Times New Roman" w:hAnsi="Times New Roman"/>
          <w:color w:val="000000"/>
          <w:sz w:val="24"/>
          <w:lang w:val="es-ES_tradnl"/>
        </w:rPr>
        <w:t>14, los ingresos procedentes de</w:t>
      </w:r>
      <w:r w:rsidR="004A14D2" w:rsidRPr="00910E94">
        <w:rPr>
          <w:rFonts w:ascii="Times New Roman" w:hAnsi="Times New Roman"/>
          <w:color w:val="000000"/>
          <w:sz w:val="24"/>
          <w:lang w:val="es-ES_tradnl"/>
        </w:rPr>
        <w:t xml:space="preserve"> la Unión del PCT aumentaron un 7,7% con respecto a </w:t>
      </w:r>
      <w:r w:rsidRPr="00910E94">
        <w:rPr>
          <w:rFonts w:ascii="Times New Roman" w:hAnsi="Times New Roman"/>
          <w:color w:val="000000"/>
          <w:sz w:val="24"/>
          <w:lang w:val="es-ES_tradnl"/>
        </w:rPr>
        <w:t>2013</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El volumen de actividad en el marco del PCT siguió aumentando</w:t>
      </w:r>
      <w:r w:rsidR="00EC215B">
        <w:rPr>
          <w:rFonts w:ascii="Times New Roman" w:hAnsi="Times New Roman"/>
          <w:color w:val="000000"/>
          <w:sz w:val="24"/>
          <w:lang w:val="es-ES_tradnl"/>
        </w:rPr>
        <w:t xml:space="preserve">:  </w:t>
      </w:r>
      <w:r w:rsidR="00CC3D7A" w:rsidRPr="00910E94">
        <w:rPr>
          <w:rFonts w:ascii="Times New Roman" w:hAnsi="Times New Roman"/>
          <w:color w:val="000000"/>
          <w:sz w:val="24"/>
          <w:lang w:val="es-ES_tradnl"/>
        </w:rPr>
        <w:t>en 20</w:t>
      </w:r>
      <w:r w:rsidRPr="00910E94">
        <w:rPr>
          <w:rFonts w:ascii="Times New Roman" w:hAnsi="Times New Roman"/>
          <w:color w:val="000000"/>
          <w:sz w:val="24"/>
          <w:lang w:val="es-ES_tradnl"/>
        </w:rPr>
        <w:t>14 se pres</w:t>
      </w:r>
      <w:r w:rsidR="004A14D2" w:rsidRPr="00910E94">
        <w:rPr>
          <w:rFonts w:ascii="Times New Roman" w:hAnsi="Times New Roman"/>
          <w:color w:val="000000"/>
          <w:sz w:val="24"/>
          <w:lang w:val="es-ES_tradnl"/>
        </w:rPr>
        <w:t>entaron aproximadamente 214.900 solicitudes frente a las </w:t>
      </w:r>
      <w:r w:rsidRPr="00910E94">
        <w:rPr>
          <w:rFonts w:ascii="Times New Roman" w:hAnsi="Times New Roman"/>
          <w:color w:val="000000"/>
          <w:sz w:val="24"/>
          <w:lang w:val="es-ES_tradnl"/>
        </w:rPr>
        <w:t xml:space="preserve">205.270 solicitudes presentadas </w:t>
      </w:r>
      <w:r w:rsidR="00CC3D7A" w:rsidRPr="00910E94">
        <w:rPr>
          <w:rFonts w:ascii="Times New Roman" w:hAnsi="Times New Roman"/>
          <w:color w:val="000000"/>
          <w:sz w:val="24"/>
          <w:lang w:val="es-ES_tradnl"/>
        </w:rPr>
        <w:t>en 20</w:t>
      </w:r>
      <w:r w:rsidR="004A14D2" w:rsidRPr="00910E94">
        <w:rPr>
          <w:rFonts w:ascii="Times New Roman" w:hAnsi="Times New Roman"/>
          <w:color w:val="000000"/>
          <w:sz w:val="24"/>
          <w:lang w:val="es-ES_tradnl"/>
        </w:rPr>
        <w:t>13 y las </w:t>
      </w:r>
      <w:r w:rsidRPr="00910E94">
        <w:rPr>
          <w:rFonts w:ascii="Times New Roman" w:hAnsi="Times New Roman"/>
          <w:color w:val="000000"/>
          <w:sz w:val="24"/>
          <w:lang w:val="es-ES_tradnl"/>
        </w:rPr>
        <w:t xml:space="preserve">195.334 presentadas </w:t>
      </w:r>
      <w:r w:rsidR="00CC3D7A" w:rsidRPr="00910E94">
        <w:rPr>
          <w:rFonts w:ascii="Times New Roman" w:hAnsi="Times New Roman"/>
          <w:color w:val="000000"/>
          <w:sz w:val="24"/>
          <w:lang w:val="es-ES_tradnl"/>
        </w:rPr>
        <w:t>en 20</w:t>
      </w:r>
      <w:r w:rsidRPr="00910E94">
        <w:rPr>
          <w:rFonts w:ascii="Times New Roman" w:hAnsi="Times New Roman"/>
          <w:color w:val="000000"/>
          <w:sz w:val="24"/>
          <w:lang w:val="es-ES_tradnl"/>
        </w:rPr>
        <w:t>12.</w:t>
      </w:r>
    </w:p>
    <w:p w:rsidR="003A2CDF" w:rsidRPr="00910E94" w:rsidRDefault="00DB5B5B" w:rsidP="003A2CDF">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color w:val="000000"/>
          <w:sz w:val="24"/>
          <w:lang w:val="es-ES_tradnl"/>
        </w:rPr>
        <w:t xml:space="preserve">Los ingresos de la Unión de Madrid </w:t>
      </w:r>
      <w:r w:rsidRPr="00910E94">
        <w:rPr>
          <w:rFonts w:ascii="Times New Roman" w:hAnsi="Times New Roman"/>
          <w:sz w:val="24"/>
          <w:lang w:val="es-ES_tradnl"/>
        </w:rPr>
        <w:t>representaron la segunda mayor fuente de ingresos de la</w:t>
      </w:r>
      <w:r w:rsidR="004A14D2" w:rsidRPr="00910E94">
        <w:rPr>
          <w:rFonts w:ascii="Times New Roman" w:hAnsi="Times New Roman"/>
          <w:sz w:val="24"/>
          <w:lang w:val="es-ES_tradnl"/>
        </w:rPr>
        <w:t xml:space="preserve"> Organización, representando el </w:t>
      </w:r>
      <w:r w:rsidRPr="00910E94">
        <w:rPr>
          <w:rFonts w:ascii="Times New Roman" w:hAnsi="Times New Roman"/>
          <w:sz w:val="24"/>
          <w:lang w:val="es-ES_tradnl"/>
        </w:rPr>
        <w:t>15,5% del total de ingresos</w:t>
      </w:r>
      <w:r w:rsidR="00344EE2">
        <w:rPr>
          <w:rFonts w:ascii="Times New Roman" w:hAnsi="Times New Roman"/>
          <w:sz w:val="24"/>
          <w:lang w:val="es-ES_tradnl"/>
        </w:rPr>
        <w:t xml:space="preserve">.  </w:t>
      </w:r>
      <w:r w:rsidRPr="00910E94">
        <w:rPr>
          <w:rFonts w:ascii="Times New Roman" w:hAnsi="Times New Roman"/>
          <w:sz w:val="24"/>
          <w:lang w:val="es-ES_tradnl"/>
        </w:rPr>
        <w:t>Los ingresos procedentes de la Un</w:t>
      </w:r>
      <w:r w:rsidR="004A14D2" w:rsidRPr="00910E94">
        <w:rPr>
          <w:rFonts w:ascii="Times New Roman" w:hAnsi="Times New Roman"/>
          <w:sz w:val="24"/>
          <w:lang w:val="es-ES_tradnl"/>
        </w:rPr>
        <w:t>ión de Madrid aumentaron un 2% con respecto a </w:t>
      </w:r>
      <w:r w:rsidRPr="00910E94">
        <w:rPr>
          <w:rFonts w:ascii="Times New Roman" w:hAnsi="Times New Roman"/>
          <w:sz w:val="24"/>
          <w:lang w:val="es-ES_tradnl"/>
        </w:rPr>
        <w:t>2013</w:t>
      </w:r>
      <w:r w:rsidR="00344EE2">
        <w:rPr>
          <w:rFonts w:ascii="Times New Roman" w:hAnsi="Times New Roman"/>
          <w:sz w:val="24"/>
          <w:lang w:val="es-ES_tradnl"/>
        </w:rPr>
        <w:t xml:space="preserve">.  </w:t>
      </w:r>
      <w:r w:rsidR="00CC3D7A" w:rsidRPr="00910E94">
        <w:rPr>
          <w:rFonts w:ascii="Times New Roman" w:hAnsi="Times New Roman"/>
          <w:sz w:val="24"/>
          <w:lang w:val="es-ES_tradnl"/>
        </w:rPr>
        <w:t>En 20</w:t>
      </w:r>
      <w:r w:rsidR="004A14D2" w:rsidRPr="00910E94">
        <w:rPr>
          <w:rFonts w:ascii="Times New Roman" w:hAnsi="Times New Roman"/>
          <w:sz w:val="24"/>
          <w:lang w:val="es-ES_tradnl"/>
        </w:rPr>
        <w:t>13, crecieron un </w:t>
      </w:r>
      <w:r w:rsidRPr="00910E94">
        <w:rPr>
          <w:rFonts w:ascii="Times New Roman" w:hAnsi="Times New Roman"/>
          <w:sz w:val="24"/>
          <w:lang w:val="es-ES_tradnl"/>
        </w:rPr>
        <w:t>7,6% respecto a</w:t>
      </w:r>
      <w:r w:rsidR="004A14D2" w:rsidRPr="00910E94">
        <w:rPr>
          <w:rFonts w:ascii="Times New Roman" w:hAnsi="Times New Roman"/>
          <w:sz w:val="24"/>
          <w:lang w:val="es-ES_tradnl"/>
        </w:rPr>
        <w:t> </w:t>
      </w:r>
      <w:r w:rsidRPr="00910E94">
        <w:rPr>
          <w:rFonts w:ascii="Times New Roman" w:hAnsi="Times New Roman"/>
          <w:sz w:val="24"/>
          <w:lang w:val="es-ES_tradnl"/>
        </w:rPr>
        <w:t>2012</w:t>
      </w:r>
      <w:r w:rsidR="00344EE2">
        <w:rPr>
          <w:rFonts w:ascii="Times New Roman" w:hAnsi="Times New Roman"/>
          <w:sz w:val="24"/>
          <w:lang w:val="es-ES_tradnl"/>
        </w:rPr>
        <w:t xml:space="preserve">.  </w:t>
      </w:r>
      <w:r w:rsidRPr="00910E94">
        <w:rPr>
          <w:rFonts w:ascii="Times New Roman" w:hAnsi="Times New Roman"/>
          <w:sz w:val="24"/>
          <w:lang w:val="es-ES_tradnl"/>
        </w:rPr>
        <w:t>Los ingresos procedentes de la Unió</w:t>
      </w:r>
      <w:r w:rsidR="004A14D2" w:rsidRPr="00910E94">
        <w:rPr>
          <w:rFonts w:ascii="Times New Roman" w:hAnsi="Times New Roman"/>
          <w:sz w:val="24"/>
          <w:lang w:val="es-ES_tradnl"/>
        </w:rPr>
        <w:t>n de La Haya cayeron en 604.000 </w:t>
      </w:r>
      <w:r w:rsidRPr="00910E94">
        <w:rPr>
          <w:rFonts w:ascii="Times New Roman" w:hAnsi="Times New Roman"/>
          <w:sz w:val="24"/>
          <w:lang w:val="es-ES_tradnl"/>
        </w:rPr>
        <w:t xml:space="preserve">francos suizos </w:t>
      </w:r>
      <w:r w:rsidR="00CC3D7A" w:rsidRPr="00910E94">
        <w:rPr>
          <w:rFonts w:ascii="Times New Roman" w:hAnsi="Times New Roman"/>
          <w:sz w:val="24"/>
          <w:lang w:val="es-ES_tradnl"/>
        </w:rPr>
        <w:t>en 20</w:t>
      </w:r>
      <w:r w:rsidRPr="00910E94">
        <w:rPr>
          <w:rFonts w:ascii="Times New Roman" w:hAnsi="Times New Roman"/>
          <w:sz w:val="24"/>
          <w:lang w:val="es-ES_tradnl"/>
        </w:rPr>
        <w:t>14 con respecto al año precedente.</w:t>
      </w:r>
    </w:p>
    <w:p w:rsidR="00DB5B5B" w:rsidRPr="00910E94" w:rsidRDefault="004A14D2"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sz w:val="24"/>
          <w:lang w:val="es-ES_tradnl"/>
        </w:rPr>
        <w:t>Los ingresos de 17,9 </w:t>
      </w:r>
      <w:r w:rsidR="00DB5B5B" w:rsidRPr="00910E94">
        <w:rPr>
          <w:rFonts w:ascii="Times New Roman" w:hAnsi="Times New Roman"/>
          <w:sz w:val="24"/>
          <w:lang w:val="es-ES_tradnl"/>
        </w:rPr>
        <w:t>millones de francos suizos procedentes de las contribucio</w:t>
      </w:r>
      <w:r w:rsidRPr="00910E94">
        <w:rPr>
          <w:rFonts w:ascii="Times New Roman" w:hAnsi="Times New Roman"/>
          <w:sz w:val="24"/>
          <w:lang w:val="es-ES_tradnl"/>
        </w:rPr>
        <w:t>nes obligatorias representan el </w:t>
      </w:r>
      <w:r w:rsidR="00DB5B5B" w:rsidRPr="00910E94">
        <w:rPr>
          <w:rFonts w:ascii="Times New Roman" w:hAnsi="Times New Roman"/>
          <w:sz w:val="24"/>
          <w:lang w:val="es-ES_tradnl"/>
        </w:rPr>
        <w:t>4,8% del total de ingresos, y los ingresos de 8,9 millones de francos suizos procedentes de las contribuciones voluntarias recibidas en la partida de cu</w:t>
      </w:r>
      <w:r w:rsidRPr="00910E94">
        <w:rPr>
          <w:rFonts w:ascii="Times New Roman" w:hAnsi="Times New Roman"/>
          <w:sz w:val="24"/>
          <w:lang w:val="es-ES_tradnl"/>
        </w:rPr>
        <w:t>entas especiales representan el </w:t>
      </w:r>
      <w:r w:rsidR="00DB5B5B" w:rsidRPr="00910E94">
        <w:rPr>
          <w:rFonts w:ascii="Times New Roman" w:hAnsi="Times New Roman"/>
          <w:sz w:val="24"/>
          <w:lang w:val="es-ES_tradnl"/>
        </w:rPr>
        <w:t>2,4% del total de ingresos.</w:t>
      </w:r>
    </w:p>
    <w:p w:rsidR="00DB5B5B" w:rsidRPr="00910E94" w:rsidRDefault="00DB5B5B" w:rsidP="00101066">
      <w:pPr>
        <w:pStyle w:val="Default"/>
        <w:keepNext/>
        <w:autoSpaceDE/>
        <w:autoSpaceDN/>
        <w:adjustRightInd/>
        <w:spacing w:before="240" w:after="240" w:line="360" w:lineRule="auto"/>
        <w:jc w:val="both"/>
        <w:rPr>
          <w:rFonts w:ascii="Times New Roman" w:hAnsi="Times New Roman" w:cs="Times New Roman"/>
          <w:b/>
          <w:color w:val="1F497D"/>
          <w:lang w:val="es-ES_tradnl"/>
        </w:rPr>
      </w:pPr>
      <w:r w:rsidRPr="00910E94">
        <w:rPr>
          <w:rFonts w:ascii="Times New Roman" w:hAnsi="Times New Roman"/>
          <w:b/>
          <w:color w:val="1F497D"/>
          <w:lang w:val="es-ES_tradnl"/>
        </w:rPr>
        <w:t xml:space="preserve">Gastos </w:t>
      </w:r>
    </w:p>
    <w:p w:rsidR="00DB5B5B" w:rsidRPr="00910E94" w:rsidRDefault="00CC3D7A"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sz w:val="24"/>
          <w:lang w:val="es-ES_tradnl"/>
        </w:rPr>
        <w:t>En 20</w:t>
      </w:r>
      <w:r w:rsidR="00DB5B5B" w:rsidRPr="00910E94">
        <w:rPr>
          <w:rFonts w:ascii="Times New Roman" w:hAnsi="Times New Roman"/>
          <w:sz w:val="24"/>
          <w:lang w:val="es-ES_tradnl"/>
        </w:rPr>
        <w:t xml:space="preserve">14, los gastos </w:t>
      </w:r>
      <w:r w:rsidR="004A14D2" w:rsidRPr="00910E94">
        <w:rPr>
          <w:rFonts w:ascii="Times New Roman" w:hAnsi="Times New Roman"/>
          <w:sz w:val="24"/>
          <w:lang w:val="es-ES_tradnl"/>
        </w:rPr>
        <w:t>de la OMPI se situaron en 333,2 </w:t>
      </w:r>
      <w:r w:rsidR="00DB5B5B" w:rsidRPr="00910E94">
        <w:rPr>
          <w:rFonts w:ascii="Times New Roman" w:hAnsi="Times New Roman"/>
          <w:sz w:val="24"/>
          <w:lang w:val="es-ES_tradnl"/>
        </w:rPr>
        <w:t>millones de francos suizos, o</w:t>
      </w:r>
      <w:r w:rsidR="004A14D2" w:rsidRPr="00910E94">
        <w:rPr>
          <w:rFonts w:ascii="Times New Roman" w:hAnsi="Times New Roman"/>
          <w:sz w:val="24"/>
          <w:lang w:val="es-ES_tradnl"/>
        </w:rPr>
        <w:t>bservándose una disminución del </w:t>
      </w:r>
      <w:r w:rsidR="00DB5B5B" w:rsidRPr="00910E94">
        <w:rPr>
          <w:rFonts w:ascii="Times New Roman" w:hAnsi="Times New Roman"/>
          <w:sz w:val="24"/>
          <w:lang w:val="es-ES_tradnl"/>
        </w:rPr>
        <w:t xml:space="preserve">1% en comparación con el total de gastos </w:t>
      </w:r>
      <w:r w:rsidRPr="00910E94">
        <w:rPr>
          <w:rFonts w:ascii="Times New Roman" w:hAnsi="Times New Roman"/>
          <w:sz w:val="24"/>
          <w:lang w:val="es-ES_tradnl"/>
        </w:rPr>
        <w:t>de 20</w:t>
      </w:r>
      <w:r w:rsidR="00DB5B5B" w:rsidRPr="00910E94">
        <w:rPr>
          <w:rFonts w:ascii="Times New Roman" w:hAnsi="Times New Roman"/>
          <w:sz w:val="24"/>
          <w:lang w:val="es-ES_tradnl"/>
        </w:rPr>
        <w:t>13, es decir, 336,5</w:t>
      </w:r>
      <w:r w:rsidR="004A14D2" w:rsidRPr="00910E94">
        <w:rPr>
          <w:rFonts w:ascii="Times New Roman" w:hAnsi="Times New Roman"/>
          <w:sz w:val="24"/>
          <w:lang w:val="es-ES_tradnl"/>
        </w:rPr>
        <w:t> </w:t>
      </w:r>
      <w:r w:rsidR="00DB5B5B" w:rsidRPr="00910E94">
        <w:rPr>
          <w:rFonts w:ascii="Times New Roman" w:hAnsi="Times New Roman"/>
          <w:sz w:val="24"/>
          <w:lang w:val="es-ES_tradnl"/>
        </w:rPr>
        <w:t>millones de francos suizos.</w:t>
      </w:r>
    </w:p>
    <w:p w:rsidR="00DB5B5B"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color w:val="000000"/>
          <w:sz w:val="24"/>
          <w:lang w:val="es-ES_tradnl"/>
        </w:rPr>
        <w:lastRenderedPageBreak/>
        <w:t xml:space="preserve">Reflejando la naturaleza de la labor realizada por la Organización, la porción mayor de gastos de la Organización </w:t>
      </w:r>
      <w:r w:rsidR="00CC3D7A" w:rsidRPr="00910E94">
        <w:rPr>
          <w:rFonts w:ascii="Times New Roman" w:hAnsi="Times New Roman"/>
          <w:color w:val="000000"/>
          <w:sz w:val="24"/>
          <w:lang w:val="es-ES_tradnl"/>
        </w:rPr>
        <w:t>en 20</w:t>
      </w:r>
      <w:r w:rsidRPr="00910E94">
        <w:rPr>
          <w:rFonts w:ascii="Times New Roman" w:hAnsi="Times New Roman"/>
          <w:color w:val="000000"/>
          <w:sz w:val="24"/>
          <w:lang w:val="es-ES_tradnl"/>
        </w:rPr>
        <w:t>14 fueron los gastos de personal, que totalizaron 216,4</w:t>
      </w:r>
      <w:r w:rsidR="004A14D2" w:rsidRPr="00910E94">
        <w:rPr>
          <w:rFonts w:ascii="Times New Roman" w:hAnsi="Times New Roman"/>
          <w:color w:val="000000"/>
          <w:sz w:val="24"/>
          <w:lang w:val="es-ES_tradnl"/>
        </w:rPr>
        <w:t> </w:t>
      </w:r>
      <w:r w:rsidRPr="00910E94">
        <w:rPr>
          <w:rFonts w:ascii="Times New Roman" w:hAnsi="Times New Roman"/>
          <w:color w:val="000000"/>
          <w:sz w:val="24"/>
          <w:lang w:val="es-ES_tradnl"/>
        </w:rPr>
        <w:t>millones de fra</w:t>
      </w:r>
      <w:r w:rsidR="004A14D2" w:rsidRPr="00910E94">
        <w:rPr>
          <w:rFonts w:ascii="Times New Roman" w:hAnsi="Times New Roman"/>
          <w:color w:val="000000"/>
          <w:sz w:val="24"/>
          <w:lang w:val="es-ES_tradnl"/>
        </w:rPr>
        <w:t>ncos suizos, lo que equivale al </w:t>
      </w:r>
      <w:r w:rsidRPr="00910E94">
        <w:rPr>
          <w:rFonts w:ascii="Times New Roman" w:hAnsi="Times New Roman"/>
          <w:color w:val="000000"/>
          <w:sz w:val="24"/>
          <w:lang w:val="es-ES_tradnl"/>
        </w:rPr>
        <w:t>64,9% del total de gastos</w:t>
      </w:r>
      <w:r w:rsidR="00344EE2">
        <w:rPr>
          <w:rFonts w:ascii="Times New Roman" w:hAnsi="Times New Roman"/>
          <w:sz w:val="24"/>
          <w:lang w:val="es-ES_tradnl"/>
        </w:rPr>
        <w:t xml:space="preserve">.  </w:t>
      </w:r>
      <w:r w:rsidRPr="00910E94">
        <w:rPr>
          <w:rFonts w:ascii="Times New Roman" w:hAnsi="Times New Roman"/>
          <w:sz w:val="24"/>
          <w:lang w:val="es-ES_tradnl"/>
        </w:rPr>
        <w:t>En los gastos de personal se observa un aumento del 1,1% en comparación con 2013</w:t>
      </w:r>
      <w:r w:rsidR="00344EE2">
        <w:rPr>
          <w:rFonts w:ascii="Times New Roman" w:hAnsi="Times New Roman"/>
          <w:sz w:val="24"/>
          <w:lang w:val="es-ES_tradnl"/>
        </w:rPr>
        <w:t xml:space="preserve">.  </w:t>
      </w:r>
    </w:p>
    <w:p w:rsidR="00DB5B5B"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color w:val="000000"/>
          <w:sz w:val="24"/>
          <w:lang w:val="es-ES_tradnl"/>
        </w:rPr>
        <w:t xml:space="preserve">Los servicios contractuales continuaron siendo el segundo gasto más importante de la OMPI </w:t>
      </w:r>
      <w:r w:rsidR="00CC3D7A" w:rsidRPr="00910E94">
        <w:rPr>
          <w:rFonts w:ascii="Times New Roman" w:hAnsi="Times New Roman"/>
          <w:color w:val="000000"/>
          <w:sz w:val="24"/>
          <w:lang w:val="es-ES_tradnl"/>
        </w:rPr>
        <w:t>en 20</w:t>
      </w:r>
      <w:r w:rsidRPr="00910E94">
        <w:rPr>
          <w:rFonts w:ascii="Times New Roman" w:hAnsi="Times New Roman"/>
          <w:color w:val="000000"/>
          <w:sz w:val="24"/>
          <w:lang w:val="es-ES_tradnl"/>
        </w:rPr>
        <w:t>14, por un monto de 63,6 millones de francos suizos, lo que supone un</w:t>
      </w:r>
      <w:r w:rsidR="004A14D2" w:rsidRPr="00910E94">
        <w:rPr>
          <w:rFonts w:ascii="Times New Roman" w:hAnsi="Times New Roman"/>
          <w:color w:val="000000"/>
          <w:sz w:val="24"/>
          <w:lang w:val="es-ES_tradnl"/>
        </w:rPr>
        <w:t> </w:t>
      </w:r>
      <w:r w:rsidRPr="00910E94">
        <w:rPr>
          <w:rFonts w:ascii="Times New Roman" w:hAnsi="Times New Roman"/>
          <w:color w:val="000000"/>
          <w:sz w:val="24"/>
          <w:lang w:val="es-ES_tradnl"/>
        </w:rPr>
        <w:t>19,1% del total de gastos</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Los gastos por servicios c</w:t>
      </w:r>
      <w:r w:rsidR="004A14D2" w:rsidRPr="00910E94">
        <w:rPr>
          <w:rFonts w:ascii="Times New Roman" w:hAnsi="Times New Roman"/>
          <w:color w:val="000000"/>
          <w:sz w:val="24"/>
          <w:lang w:val="es-ES_tradnl"/>
        </w:rPr>
        <w:t>ontractuales se han reducido un 2,2% frente a </w:t>
      </w:r>
      <w:r w:rsidRPr="00910E94">
        <w:rPr>
          <w:rFonts w:ascii="Times New Roman" w:hAnsi="Times New Roman"/>
          <w:color w:val="000000"/>
          <w:sz w:val="24"/>
          <w:lang w:val="es-ES_tradnl"/>
        </w:rPr>
        <w:t>2013</w:t>
      </w:r>
      <w:r w:rsidR="00344EE2">
        <w:rPr>
          <w:rFonts w:ascii="Times New Roman" w:hAnsi="Times New Roman"/>
          <w:color w:val="000000"/>
          <w:sz w:val="24"/>
          <w:lang w:val="es-ES_tradnl"/>
        </w:rPr>
        <w:t xml:space="preserve">.  </w:t>
      </w:r>
    </w:p>
    <w:p w:rsidR="00DB5B5B"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color w:val="000000"/>
          <w:sz w:val="24"/>
          <w:lang w:val="es-ES_tradnl"/>
        </w:rPr>
        <w:t xml:space="preserve">Los gastos de operación </w:t>
      </w:r>
      <w:r w:rsidR="00CC3D7A" w:rsidRPr="00910E94">
        <w:rPr>
          <w:rFonts w:ascii="Times New Roman" w:hAnsi="Times New Roman"/>
          <w:color w:val="000000"/>
          <w:sz w:val="24"/>
          <w:lang w:val="es-ES_tradnl"/>
        </w:rPr>
        <w:t>de 20</w:t>
      </w:r>
      <w:r w:rsidR="004A14D2" w:rsidRPr="00910E94">
        <w:rPr>
          <w:rFonts w:ascii="Times New Roman" w:hAnsi="Times New Roman"/>
          <w:color w:val="000000"/>
          <w:sz w:val="24"/>
          <w:lang w:val="es-ES_tradnl"/>
        </w:rPr>
        <w:t>14 ascendieron a 20,9 </w:t>
      </w:r>
      <w:r w:rsidRPr="00910E94">
        <w:rPr>
          <w:rFonts w:ascii="Times New Roman" w:hAnsi="Times New Roman"/>
          <w:color w:val="000000"/>
          <w:sz w:val="24"/>
          <w:lang w:val="es-ES_tradnl"/>
        </w:rPr>
        <w:t>millones de francos suizos, representando un</w:t>
      </w:r>
      <w:r w:rsidR="004A14D2" w:rsidRPr="00910E94">
        <w:rPr>
          <w:rFonts w:ascii="Times New Roman" w:hAnsi="Times New Roman"/>
          <w:color w:val="000000"/>
          <w:sz w:val="24"/>
          <w:lang w:val="es-ES_tradnl"/>
        </w:rPr>
        <w:t> </w:t>
      </w:r>
      <w:r w:rsidRPr="00910E94">
        <w:rPr>
          <w:rFonts w:ascii="Times New Roman" w:hAnsi="Times New Roman"/>
          <w:color w:val="000000"/>
          <w:sz w:val="24"/>
          <w:lang w:val="es-ES_tradnl"/>
        </w:rPr>
        <w:t>6,3% del total de gastos soportados por la OMPI</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Los gastos de operación se redujeron en un</w:t>
      </w:r>
      <w:r w:rsidR="004A14D2" w:rsidRPr="00910E94">
        <w:rPr>
          <w:rFonts w:ascii="Times New Roman" w:hAnsi="Times New Roman"/>
          <w:color w:val="000000"/>
          <w:sz w:val="24"/>
          <w:lang w:val="es-ES_tradnl"/>
        </w:rPr>
        <w:t> 1,3% con respecto a </w:t>
      </w:r>
      <w:r w:rsidRPr="00910E94">
        <w:rPr>
          <w:rFonts w:ascii="Times New Roman" w:hAnsi="Times New Roman"/>
          <w:color w:val="000000"/>
          <w:sz w:val="24"/>
          <w:lang w:val="es-ES_tradnl"/>
        </w:rPr>
        <w:t>2013</w:t>
      </w:r>
      <w:r w:rsidR="00344EE2">
        <w:rPr>
          <w:rFonts w:ascii="Times New Roman" w:hAnsi="Times New Roman"/>
          <w:color w:val="000000"/>
          <w:sz w:val="24"/>
          <w:lang w:val="es-ES_tradnl"/>
        </w:rPr>
        <w:t xml:space="preserve">.  </w:t>
      </w:r>
    </w:p>
    <w:p w:rsidR="00DB5B5B"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color w:val="000000"/>
          <w:sz w:val="24"/>
          <w:lang w:val="es-ES_tradnl"/>
        </w:rPr>
        <w:t xml:space="preserve">Los gastos de viajes y becas ascendieron a 15,4 millones de francos suizos </w:t>
      </w:r>
      <w:r w:rsidR="00CC3D7A" w:rsidRPr="00910E94">
        <w:rPr>
          <w:rFonts w:ascii="Times New Roman" w:hAnsi="Times New Roman"/>
          <w:color w:val="000000"/>
          <w:sz w:val="24"/>
          <w:lang w:val="es-ES_tradnl"/>
        </w:rPr>
        <w:t>en 20</w:t>
      </w:r>
      <w:r w:rsidRPr="00910E94">
        <w:rPr>
          <w:rFonts w:ascii="Times New Roman" w:hAnsi="Times New Roman"/>
          <w:color w:val="000000"/>
          <w:sz w:val="24"/>
          <w:lang w:val="es-ES_tradnl"/>
        </w:rPr>
        <w:t>14 y suponen el</w:t>
      </w:r>
      <w:r w:rsidR="004A14D2" w:rsidRPr="00910E94">
        <w:rPr>
          <w:rFonts w:ascii="Times New Roman" w:hAnsi="Times New Roman"/>
          <w:color w:val="000000"/>
          <w:sz w:val="24"/>
          <w:lang w:val="es-ES_tradnl"/>
        </w:rPr>
        <w:t> </w:t>
      </w:r>
      <w:r w:rsidRPr="00910E94">
        <w:rPr>
          <w:rFonts w:ascii="Times New Roman" w:hAnsi="Times New Roman"/>
          <w:color w:val="000000"/>
          <w:sz w:val="24"/>
          <w:lang w:val="es-ES_tradnl"/>
        </w:rPr>
        <w:t>4,6% del total de gastos</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Estos gastos han descen</w:t>
      </w:r>
      <w:r w:rsidR="004A14D2" w:rsidRPr="00910E94">
        <w:rPr>
          <w:rFonts w:ascii="Times New Roman" w:hAnsi="Times New Roman"/>
          <w:color w:val="000000"/>
          <w:sz w:val="24"/>
          <w:lang w:val="es-ES_tradnl"/>
        </w:rPr>
        <w:t>dido un 20% con respecto al año </w:t>
      </w:r>
      <w:r w:rsidRPr="00910E94">
        <w:rPr>
          <w:rFonts w:ascii="Times New Roman" w:hAnsi="Times New Roman"/>
          <w:color w:val="000000"/>
          <w:sz w:val="24"/>
          <w:lang w:val="es-ES_tradnl"/>
        </w:rPr>
        <w:t>2013.</w:t>
      </w:r>
    </w:p>
    <w:p w:rsidR="00DB5B5B"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color w:val="000000"/>
          <w:sz w:val="24"/>
          <w:szCs w:val="24"/>
          <w:lang w:val="es-ES_tradnl"/>
        </w:rPr>
      </w:pPr>
      <w:r w:rsidRPr="00910E94">
        <w:rPr>
          <w:rFonts w:ascii="Times New Roman" w:hAnsi="Times New Roman"/>
          <w:color w:val="000000"/>
          <w:sz w:val="24"/>
          <w:lang w:val="es-ES_tradnl"/>
        </w:rPr>
        <w:t>En el año 2014, los gastos de suministro y material fueron de 1,8 millones de francos suizos</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Se han reducido un</w:t>
      </w:r>
      <w:r w:rsidR="004A14D2" w:rsidRPr="00910E94">
        <w:rPr>
          <w:rFonts w:ascii="Times New Roman" w:hAnsi="Times New Roman"/>
          <w:color w:val="000000"/>
          <w:sz w:val="24"/>
          <w:lang w:val="es-ES_tradnl"/>
        </w:rPr>
        <w:t> </w:t>
      </w:r>
      <w:r w:rsidRPr="00910E94">
        <w:rPr>
          <w:rFonts w:ascii="Times New Roman" w:hAnsi="Times New Roman"/>
          <w:color w:val="000000"/>
          <w:sz w:val="24"/>
          <w:lang w:val="es-ES_tradnl"/>
        </w:rPr>
        <w:t>44,8% en comparación con el año 2013</w:t>
      </w:r>
      <w:r w:rsidR="00344EE2">
        <w:rPr>
          <w:rFonts w:ascii="Times New Roman" w:hAnsi="Times New Roman"/>
          <w:color w:val="000000"/>
          <w:sz w:val="24"/>
          <w:lang w:val="es-ES_tradnl"/>
        </w:rPr>
        <w:t xml:space="preserve">.  </w:t>
      </w:r>
    </w:p>
    <w:p w:rsidR="00DB5B5B" w:rsidRPr="00910E94" w:rsidRDefault="00DB5B5B" w:rsidP="00101066">
      <w:pPr>
        <w:pStyle w:val="Default"/>
        <w:keepNext/>
        <w:autoSpaceDE/>
        <w:autoSpaceDN/>
        <w:adjustRightInd/>
        <w:spacing w:before="240" w:after="240" w:line="360" w:lineRule="auto"/>
        <w:jc w:val="both"/>
        <w:rPr>
          <w:rFonts w:ascii="Times New Roman" w:hAnsi="Times New Roman" w:cs="Times New Roman"/>
          <w:b/>
          <w:color w:val="1F497D"/>
          <w:lang w:val="es-ES_tradnl"/>
        </w:rPr>
      </w:pPr>
      <w:r w:rsidRPr="00910E94">
        <w:rPr>
          <w:rFonts w:ascii="Times New Roman" w:hAnsi="Times New Roman"/>
          <w:b/>
          <w:color w:val="1F497D"/>
          <w:lang w:val="es-ES_tradnl"/>
        </w:rPr>
        <w:t>Situación financiera</w:t>
      </w:r>
    </w:p>
    <w:p w:rsidR="00F35E65"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bCs/>
          <w:sz w:val="24"/>
          <w:szCs w:val="24"/>
          <w:lang w:val="es-ES_tradnl"/>
        </w:rPr>
      </w:pPr>
      <w:r w:rsidRPr="00910E94">
        <w:rPr>
          <w:rFonts w:ascii="Times New Roman" w:hAnsi="Times New Roman"/>
          <w:sz w:val="24"/>
          <w:lang w:val="es-ES_tradnl"/>
        </w:rPr>
        <w:t>Al 31 de</w:t>
      </w:r>
      <w:r w:rsidR="003C43E1" w:rsidRPr="00910E94">
        <w:rPr>
          <w:rFonts w:ascii="Times New Roman" w:hAnsi="Times New Roman"/>
          <w:sz w:val="24"/>
          <w:lang w:val="es-ES_tradnl"/>
        </w:rPr>
        <w:t xml:space="preserve"> </w:t>
      </w:r>
      <w:r w:rsidRPr="00910E94">
        <w:rPr>
          <w:rFonts w:ascii="Times New Roman" w:hAnsi="Times New Roman"/>
          <w:sz w:val="24"/>
          <w:lang w:val="es-ES_tradnl"/>
        </w:rPr>
        <w:t>diciembre</w:t>
      </w:r>
      <w:r w:rsidR="003C43E1" w:rsidRPr="00910E94">
        <w:rPr>
          <w:rFonts w:ascii="Times New Roman" w:hAnsi="Times New Roman"/>
          <w:sz w:val="24"/>
          <w:lang w:val="es-ES_tradnl"/>
        </w:rPr>
        <w:t xml:space="preserve"> </w:t>
      </w:r>
      <w:r w:rsidR="00CC3D7A" w:rsidRPr="00910E94">
        <w:rPr>
          <w:rFonts w:ascii="Times New Roman" w:hAnsi="Times New Roman"/>
          <w:sz w:val="24"/>
          <w:lang w:val="es-ES_tradnl"/>
        </w:rPr>
        <w:t>de 20</w:t>
      </w:r>
      <w:r w:rsidRPr="00910E94">
        <w:rPr>
          <w:rFonts w:ascii="Times New Roman" w:hAnsi="Times New Roman"/>
          <w:sz w:val="24"/>
          <w:lang w:val="es-ES_tradnl"/>
        </w:rPr>
        <w:t>14, la</w:t>
      </w:r>
      <w:r w:rsidR="003C43E1" w:rsidRPr="00910E94">
        <w:rPr>
          <w:rFonts w:ascii="Times New Roman" w:hAnsi="Times New Roman"/>
          <w:sz w:val="24"/>
          <w:lang w:val="es-ES_tradnl"/>
        </w:rPr>
        <w:t xml:space="preserve"> </w:t>
      </w:r>
      <w:r w:rsidRPr="00910E94">
        <w:rPr>
          <w:rFonts w:ascii="Times New Roman" w:hAnsi="Times New Roman"/>
          <w:sz w:val="24"/>
          <w:lang w:val="es-ES_tradnl"/>
        </w:rPr>
        <w:t>Organización</w:t>
      </w:r>
      <w:r w:rsidR="003C43E1" w:rsidRPr="00910E94">
        <w:rPr>
          <w:rFonts w:ascii="Times New Roman" w:hAnsi="Times New Roman"/>
          <w:sz w:val="24"/>
          <w:lang w:val="es-ES_tradnl"/>
        </w:rPr>
        <w:t xml:space="preserve"> </w:t>
      </w:r>
      <w:r w:rsidRPr="00910E94">
        <w:rPr>
          <w:rFonts w:ascii="Times New Roman" w:hAnsi="Times New Roman"/>
          <w:sz w:val="24"/>
          <w:lang w:val="es-ES_tradnl"/>
        </w:rPr>
        <w:t>contaba</w:t>
      </w:r>
      <w:r w:rsidR="003C43E1" w:rsidRPr="00910E94">
        <w:rPr>
          <w:rFonts w:ascii="Times New Roman" w:hAnsi="Times New Roman"/>
          <w:sz w:val="24"/>
          <w:lang w:val="es-ES_tradnl"/>
        </w:rPr>
        <w:t xml:space="preserve"> </w:t>
      </w:r>
      <w:r w:rsidRPr="00910E94">
        <w:rPr>
          <w:rFonts w:ascii="Times New Roman" w:hAnsi="Times New Roman"/>
          <w:sz w:val="24"/>
          <w:lang w:val="es-ES_tradnl"/>
        </w:rPr>
        <w:t>con</w:t>
      </w:r>
      <w:r w:rsidR="003C43E1" w:rsidRPr="00910E94">
        <w:rPr>
          <w:rFonts w:ascii="Times New Roman" w:hAnsi="Times New Roman"/>
          <w:sz w:val="24"/>
          <w:lang w:val="es-ES_tradnl"/>
        </w:rPr>
        <w:t xml:space="preserve"> </w:t>
      </w:r>
      <w:r w:rsidRPr="00910E94">
        <w:rPr>
          <w:rFonts w:ascii="Times New Roman" w:hAnsi="Times New Roman"/>
          <w:sz w:val="24"/>
          <w:lang w:val="es-ES_tradnl"/>
        </w:rPr>
        <w:t>unos</w:t>
      </w:r>
      <w:r w:rsidR="003C43E1" w:rsidRPr="00910E94">
        <w:rPr>
          <w:rFonts w:ascii="Times New Roman" w:hAnsi="Times New Roman"/>
          <w:sz w:val="24"/>
          <w:lang w:val="es-ES_tradnl"/>
        </w:rPr>
        <w:t xml:space="preserve"> </w:t>
      </w:r>
      <w:r w:rsidRPr="00910E94">
        <w:rPr>
          <w:rFonts w:ascii="Times New Roman" w:hAnsi="Times New Roman"/>
          <w:sz w:val="24"/>
          <w:lang w:val="es-ES_tradnl"/>
        </w:rPr>
        <w:t>activos</w:t>
      </w:r>
      <w:r w:rsidR="003C43E1" w:rsidRPr="00910E94">
        <w:rPr>
          <w:rFonts w:ascii="Times New Roman" w:hAnsi="Times New Roman"/>
          <w:sz w:val="24"/>
          <w:lang w:val="es-ES_tradnl"/>
        </w:rPr>
        <w:t xml:space="preserve"> </w:t>
      </w:r>
      <w:r w:rsidR="004A14D2" w:rsidRPr="00910E94">
        <w:rPr>
          <w:rFonts w:ascii="Times New Roman" w:hAnsi="Times New Roman"/>
          <w:sz w:val="24"/>
          <w:lang w:val="es-ES_tradnl"/>
        </w:rPr>
        <w:t>netos de 245,8 </w:t>
      </w:r>
      <w:r w:rsidRPr="00910E94">
        <w:rPr>
          <w:rFonts w:ascii="Times New Roman" w:hAnsi="Times New Roman"/>
          <w:sz w:val="24"/>
          <w:lang w:val="es-ES_tradnl"/>
        </w:rPr>
        <w:t>millones de francos suizos, con un total de activos de</w:t>
      </w:r>
      <w:r w:rsidR="004A14D2" w:rsidRPr="00910E94">
        <w:rPr>
          <w:rFonts w:ascii="Times New Roman" w:hAnsi="Times New Roman"/>
          <w:sz w:val="24"/>
          <w:lang w:val="es-ES_tradnl"/>
        </w:rPr>
        <w:t> 969,4 </w:t>
      </w:r>
      <w:r w:rsidRPr="00910E94">
        <w:rPr>
          <w:rFonts w:ascii="Times New Roman" w:hAnsi="Times New Roman"/>
          <w:sz w:val="24"/>
          <w:lang w:val="es-ES_tradnl"/>
        </w:rPr>
        <w:t>millones de francos suizos y un total de pasivos de</w:t>
      </w:r>
      <w:r w:rsidR="004A14D2" w:rsidRPr="00910E94">
        <w:rPr>
          <w:rFonts w:ascii="Times New Roman" w:hAnsi="Times New Roman"/>
          <w:sz w:val="24"/>
          <w:lang w:val="es-ES_tradnl"/>
        </w:rPr>
        <w:t> 723,6 </w:t>
      </w:r>
      <w:r w:rsidRPr="00910E94">
        <w:rPr>
          <w:rFonts w:ascii="Times New Roman" w:hAnsi="Times New Roman"/>
          <w:sz w:val="24"/>
          <w:lang w:val="es-ES_tradnl"/>
        </w:rPr>
        <w:t>millones de francos suizos</w:t>
      </w:r>
      <w:r w:rsidR="00344EE2">
        <w:rPr>
          <w:rFonts w:ascii="Times New Roman" w:hAnsi="Times New Roman"/>
          <w:sz w:val="24"/>
          <w:lang w:val="es-ES_tradnl"/>
        </w:rPr>
        <w:t xml:space="preserve">.  </w:t>
      </w:r>
      <w:r w:rsidRPr="00910E94">
        <w:rPr>
          <w:rFonts w:ascii="Times New Roman" w:hAnsi="Times New Roman"/>
          <w:sz w:val="24"/>
          <w:lang w:val="es-ES_tradnl"/>
        </w:rPr>
        <w:t>Lo</w:t>
      </w:r>
      <w:r w:rsidR="004A14D2" w:rsidRPr="00910E94">
        <w:rPr>
          <w:rFonts w:ascii="Times New Roman" w:hAnsi="Times New Roman"/>
          <w:sz w:val="24"/>
          <w:lang w:val="es-ES_tradnl"/>
        </w:rPr>
        <w:t>s activos netos han aumentado a 245,8 </w:t>
      </w:r>
      <w:r w:rsidRPr="00910E94">
        <w:rPr>
          <w:rFonts w:ascii="Times New Roman" w:hAnsi="Times New Roman"/>
          <w:sz w:val="24"/>
          <w:lang w:val="es-ES_tradnl"/>
        </w:rPr>
        <w:t xml:space="preserve">millones de francos suizos a finales </w:t>
      </w:r>
      <w:r w:rsidR="00CC3D7A" w:rsidRPr="00910E94">
        <w:rPr>
          <w:rFonts w:ascii="Times New Roman" w:hAnsi="Times New Roman"/>
          <w:sz w:val="24"/>
          <w:lang w:val="es-ES_tradnl"/>
        </w:rPr>
        <w:t>de 20</w:t>
      </w:r>
      <w:r w:rsidR="004A14D2" w:rsidRPr="00910E94">
        <w:rPr>
          <w:rFonts w:ascii="Times New Roman" w:hAnsi="Times New Roman"/>
          <w:sz w:val="24"/>
          <w:lang w:val="es-ES_tradnl"/>
        </w:rPr>
        <w:t>14, lo que contrasta con los 208,8 </w:t>
      </w:r>
      <w:r w:rsidRPr="00910E94">
        <w:rPr>
          <w:rFonts w:ascii="Times New Roman" w:hAnsi="Times New Roman"/>
          <w:sz w:val="24"/>
          <w:lang w:val="es-ES_tradnl"/>
        </w:rPr>
        <w:t xml:space="preserve">millones de francos suizos de finales </w:t>
      </w:r>
      <w:r w:rsidR="00CC3D7A" w:rsidRPr="00910E94">
        <w:rPr>
          <w:rFonts w:ascii="Times New Roman" w:hAnsi="Times New Roman"/>
          <w:sz w:val="24"/>
          <w:lang w:val="es-ES_tradnl"/>
        </w:rPr>
        <w:t>de 20</w:t>
      </w:r>
      <w:r w:rsidRPr="00910E94">
        <w:rPr>
          <w:rFonts w:ascii="Times New Roman" w:hAnsi="Times New Roman"/>
          <w:sz w:val="24"/>
          <w:lang w:val="es-ES_tradnl"/>
        </w:rPr>
        <w:t>13, debido al superávit de</w:t>
      </w:r>
      <w:r w:rsidR="004A14D2" w:rsidRPr="00910E94">
        <w:rPr>
          <w:rFonts w:ascii="Times New Roman" w:hAnsi="Times New Roman"/>
          <w:sz w:val="24"/>
          <w:lang w:val="es-ES_tradnl"/>
        </w:rPr>
        <w:t> 37,0 </w:t>
      </w:r>
      <w:r w:rsidRPr="00910E94">
        <w:rPr>
          <w:rFonts w:ascii="Times New Roman" w:hAnsi="Times New Roman"/>
          <w:sz w:val="24"/>
          <w:lang w:val="es-ES_tradnl"/>
        </w:rPr>
        <w:t xml:space="preserve">millones de francos suizos </w:t>
      </w:r>
      <w:r w:rsidR="00CC3D7A" w:rsidRPr="00910E94">
        <w:rPr>
          <w:rFonts w:ascii="Times New Roman" w:hAnsi="Times New Roman"/>
          <w:sz w:val="24"/>
          <w:lang w:val="es-ES_tradnl"/>
        </w:rPr>
        <w:t>de 20</w:t>
      </w:r>
      <w:r w:rsidRPr="00910E94">
        <w:rPr>
          <w:rFonts w:ascii="Times New Roman" w:hAnsi="Times New Roman"/>
          <w:sz w:val="24"/>
          <w:lang w:val="es-ES_tradnl"/>
        </w:rPr>
        <w:t>14</w:t>
      </w:r>
      <w:r w:rsidR="00344EE2">
        <w:rPr>
          <w:rFonts w:ascii="Times New Roman" w:hAnsi="Times New Roman"/>
          <w:sz w:val="24"/>
          <w:lang w:val="es-ES_tradnl"/>
        </w:rPr>
        <w:t xml:space="preserve">.  </w:t>
      </w:r>
    </w:p>
    <w:p w:rsidR="00DB5B5B" w:rsidRPr="00910E94" w:rsidRDefault="00DB5B5B" w:rsidP="00DB5B5B">
      <w:pPr>
        <w:autoSpaceDE w:val="0"/>
        <w:autoSpaceDN w:val="0"/>
        <w:adjustRightInd w:val="0"/>
        <w:spacing w:after="0" w:line="240" w:lineRule="auto"/>
        <w:jc w:val="both"/>
        <w:rPr>
          <w:rFonts w:ascii="Times New Roman" w:hAnsi="Times New Roman" w:cs="Times New Roman"/>
          <w:bCs/>
          <w:sz w:val="24"/>
          <w:szCs w:val="24"/>
          <w:lang w:val="es-ES_tradnl"/>
        </w:rPr>
      </w:pPr>
    </w:p>
    <w:p w:rsidR="00CB5489" w:rsidRPr="00910E94" w:rsidRDefault="00CB5489" w:rsidP="00CB5489">
      <w:pPr>
        <w:autoSpaceDE w:val="0"/>
        <w:autoSpaceDN w:val="0"/>
        <w:adjustRightInd w:val="0"/>
        <w:spacing w:after="0" w:line="240" w:lineRule="auto"/>
        <w:jc w:val="center"/>
        <w:rPr>
          <w:rFonts w:ascii="Times New Roman" w:hAnsi="Times New Roman" w:cs="Times New Roman"/>
          <w:b/>
          <w:color w:val="1F497D"/>
          <w:sz w:val="24"/>
          <w:szCs w:val="24"/>
          <w:lang w:val="es-ES_tradnl"/>
        </w:rPr>
      </w:pPr>
      <w:r w:rsidRPr="00910E94">
        <w:rPr>
          <w:rFonts w:ascii="Times New Roman" w:hAnsi="Times New Roman" w:cs="Times New Roman"/>
          <w:b/>
          <w:noProof/>
          <w:color w:val="1F497D"/>
          <w:sz w:val="24"/>
          <w:szCs w:val="24"/>
          <w:lang w:val="en-US" w:eastAsia="en-US" w:bidi="ar-SA"/>
        </w:rPr>
        <w:lastRenderedPageBreak/>
        <w:drawing>
          <wp:inline distT="0" distB="0" distL="0" distR="0" wp14:anchorId="04B369BA" wp14:editId="71EBC382">
            <wp:extent cx="4579620" cy="2743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pic:spPr>
                </pic:pic>
              </a:graphicData>
            </a:graphic>
          </wp:inline>
        </w:drawing>
      </w:r>
    </w:p>
    <w:p w:rsidR="00DB5B5B" w:rsidRPr="00910E94" w:rsidRDefault="00DB5B5B" w:rsidP="00101066">
      <w:pPr>
        <w:pStyle w:val="Default"/>
        <w:keepNext/>
        <w:autoSpaceDE/>
        <w:autoSpaceDN/>
        <w:adjustRightInd/>
        <w:spacing w:before="120" w:after="120" w:line="360" w:lineRule="auto"/>
        <w:jc w:val="both"/>
        <w:rPr>
          <w:rFonts w:ascii="Times New Roman" w:hAnsi="Times New Roman" w:cs="Times New Roman"/>
          <w:b/>
          <w:color w:val="1F497D"/>
          <w:lang w:val="es-ES_tradnl"/>
        </w:rPr>
      </w:pPr>
      <w:r w:rsidRPr="00910E94">
        <w:rPr>
          <w:rFonts w:ascii="Times New Roman" w:hAnsi="Times New Roman"/>
          <w:b/>
          <w:color w:val="1F497D"/>
          <w:lang w:val="es-ES_tradnl"/>
        </w:rPr>
        <w:t>Ejecución del presupuesto</w:t>
      </w:r>
    </w:p>
    <w:p w:rsidR="00DB5B5B"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La OMPI prepara un presupuesto bienal</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El 12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13, las Asambleas de los Estados miembros de la OMPI aprobaron el presupuesto bienal de 674 millones de francos suizos para el período</w:t>
      </w:r>
      <w:r w:rsidR="004A14D2" w:rsidRPr="00910E94">
        <w:rPr>
          <w:rFonts w:ascii="Times New Roman" w:hAnsi="Times New Roman"/>
          <w:sz w:val="24"/>
          <w:lang w:val="es-ES_tradnl"/>
        </w:rPr>
        <w:t> </w:t>
      </w:r>
      <w:r w:rsidRPr="00910E94">
        <w:rPr>
          <w:rFonts w:ascii="Times New Roman" w:hAnsi="Times New Roman"/>
          <w:sz w:val="24"/>
          <w:lang w:val="es-ES_tradnl"/>
        </w:rPr>
        <w:t>2014-2015</w:t>
      </w:r>
      <w:r w:rsidR="00344EE2">
        <w:rPr>
          <w:rFonts w:ascii="Times New Roman" w:hAnsi="Times New Roman"/>
          <w:sz w:val="24"/>
          <w:lang w:val="es-ES_tradnl"/>
        </w:rPr>
        <w:t xml:space="preserve">.  </w:t>
      </w:r>
      <w:r w:rsidRPr="00910E94">
        <w:rPr>
          <w:rFonts w:ascii="Times New Roman" w:hAnsi="Times New Roman"/>
          <w:sz w:val="24"/>
          <w:lang w:val="es-ES_tradnl"/>
        </w:rPr>
        <w:t>Según el presupuesto anual formulado por la OMPI con arreglo a los requisitos de las IPSAS, el total de ingresos presupuestados para</w:t>
      </w:r>
      <w:r w:rsidR="00CC3D7A" w:rsidRPr="00910E94">
        <w:rPr>
          <w:rFonts w:ascii="Times New Roman" w:hAnsi="Times New Roman"/>
          <w:sz w:val="24"/>
          <w:lang w:val="es-ES_tradnl"/>
        </w:rPr>
        <w:t> </w:t>
      </w:r>
      <w:r w:rsidRPr="00910E94">
        <w:rPr>
          <w:rFonts w:ascii="Times New Roman" w:hAnsi="Times New Roman"/>
          <w:sz w:val="24"/>
          <w:lang w:val="es-ES_tradnl"/>
        </w:rPr>
        <w:t>2014 era de</w:t>
      </w:r>
      <w:r w:rsidR="004A14D2" w:rsidRPr="00910E94">
        <w:rPr>
          <w:rFonts w:ascii="Times New Roman" w:hAnsi="Times New Roman"/>
          <w:sz w:val="24"/>
          <w:lang w:val="es-ES_tradnl"/>
        </w:rPr>
        <w:t> 351,3 </w:t>
      </w:r>
      <w:r w:rsidRPr="00910E94">
        <w:rPr>
          <w:rFonts w:ascii="Times New Roman" w:hAnsi="Times New Roman"/>
          <w:sz w:val="24"/>
          <w:lang w:val="es-ES_tradnl"/>
        </w:rPr>
        <w:t>millones de francos suizos</w:t>
      </w:r>
      <w:r w:rsidR="00344EE2">
        <w:rPr>
          <w:rFonts w:ascii="Times New Roman" w:hAnsi="Times New Roman"/>
          <w:sz w:val="24"/>
          <w:lang w:val="es-ES_tradnl"/>
        </w:rPr>
        <w:t xml:space="preserve">.  </w:t>
      </w:r>
      <w:r w:rsidR="00CC3D7A" w:rsidRPr="00910E94">
        <w:rPr>
          <w:rFonts w:ascii="Times New Roman" w:hAnsi="Times New Roman"/>
          <w:sz w:val="24"/>
          <w:lang w:val="es-ES_tradnl"/>
        </w:rPr>
        <w:t>En 20</w:t>
      </w:r>
      <w:r w:rsidRPr="00910E94">
        <w:rPr>
          <w:rFonts w:ascii="Times New Roman" w:hAnsi="Times New Roman"/>
          <w:sz w:val="24"/>
          <w:lang w:val="es-ES_tradnl"/>
        </w:rPr>
        <w:t>14, el total de ingresos reales fue de</w:t>
      </w:r>
      <w:r w:rsidR="00CC3D7A" w:rsidRPr="00910E94">
        <w:rPr>
          <w:rFonts w:ascii="Times New Roman" w:hAnsi="Times New Roman"/>
          <w:sz w:val="24"/>
          <w:lang w:val="es-ES_tradnl"/>
        </w:rPr>
        <w:t> </w:t>
      </w:r>
      <w:r w:rsidRPr="00910E94">
        <w:rPr>
          <w:rFonts w:ascii="Times New Roman" w:hAnsi="Times New Roman"/>
          <w:sz w:val="24"/>
          <w:lang w:val="es-ES_tradnl"/>
        </w:rPr>
        <w:t>378,7</w:t>
      </w:r>
      <w:r w:rsidR="00CC3D7A" w:rsidRPr="00910E94">
        <w:rPr>
          <w:rFonts w:ascii="Times New Roman" w:hAnsi="Times New Roman"/>
          <w:sz w:val="24"/>
          <w:lang w:val="es-ES_tradnl"/>
        </w:rPr>
        <w:t> </w:t>
      </w:r>
      <w:r w:rsidRPr="00910E94">
        <w:rPr>
          <w:rFonts w:ascii="Times New Roman" w:hAnsi="Times New Roman"/>
          <w:sz w:val="24"/>
          <w:lang w:val="es-ES_tradnl"/>
        </w:rPr>
        <w:t xml:space="preserve">millones </w:t>
      </w:r>
      <w:r w:rsidR="00CC3D7A" w:rsidRPr="00910E94">
        <w:rPr>
          <w:rFonts w:ascii="Times New Roman" w:hAnsi="Times New Roman"/>
          <w:sz w:val="24"/>
          <w:lang w:val="es-ES_tradnl"/>
        </w:rPr>
        <w:t>de francos suizos, superando en 27,4 </w:t>
      </w:r>
      <w:r w:rsidRPr="00910E94">
        <w:rPr>
          <w:rFonts w:ascii="Times New Roman" w:hAnsi="Times New Roman"/>
          <w:sz w:val="24"/>
          <w:lang w:val="es-ES_tradnl"/>
        </w:rPr>
        <w:t>millones de francos suizos las estimaciones presupuestarias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El total de gastos </w:t>
      </w:r>
      <w:r w:rsidR="004A14D2" w:rsidRPr="00910E94">
        <w:rPr>
          <w:rFonts w:ascii="Times New Roman" w:hAnsi="Times New Roman"/>
          <w:sz w:val="24"/>
          <w:lang w:val="es-ES_tradnl"/>
        </w:rPr>
        <w:t>para el bienio ascendió a 308,8 </w:t>
      </w:r>
      <w:r w:rsidRPr="00910E94">
        <w:rPr>
          <w:rFonts w:ascii="Times New Roman" w:hAnsi="Times New Roman"/>
          <w:sz w:val="24"/>
          <w:lang w:val="es-ES_tradnl"/>
        </w:rPr>
        <w:t>millones de francos suizos, cifra inferior en</w:t>
      </w:r>
      <w:r w:rsidR="00CC3D7A" w:rsidRPr="00910E94">
        <w:rPr>
          <w:rFonts w:ascii="Times New Roman" w:hAnsi="Times New Roman"/>
          <w:sz w:val="24"/>
          <w:lang w:val="es-ES_tradnl"/>
        </w:rPr>
        <w:t> 28,2 </w:t>
      </w:r>
      <w:r w:rsidRPr="00910E94">
        <w:rPr>
          <w:rFonts w:ascii="Times New Roman" w:hAnsi="Times New Roman"/>
          <w:sz w:val="24"/>
          <w:lang w:val="es-ES_tradnl"/>
        </w:rPr>
        <w:t>millones de francos suizos a la estimación presupuestaria.</w:t>
      </w:r>
    </w:p>
    <w:p w:rsidR="00DB5B5B" w:rsidRPr="00910E94" w:rsidRDefault="00DB5B5B" w:rsidP="004B5314">
      <w:pPr>
        <w:pStyle w:val="Default"/>
        <w:keepNext/>
        <w:autoSpaceDE/>
        <w:autoSpaceDN/>
        <w:adjustRightInd/>
        <w:spacing w:before="120" w:after="120" w:line="360" w:lineRule="auto"/>
        <w:jc w:val="both"/>
        <w:rPr>
          <w:rFonts w:ascii="Times New Roman" w:hAnsi="Times New Roman" w:cs="Times New Roman"/>
          <w:b/>
          <w:color w:val="1F497D"/>
          <w:lang w:val="es-ES_tradnl"/>
        </w:rPr>
      </w:pPr>
      <w:r w:rsidRPr="00910E94">
        <w:rPr>
          <w:rFonts w:ascii="Times New Roman" w:hAnsi="Times New Roman"/>
          <w:b/>
          <w:color w:val="1F497D"/>
          <w:lang w:val="es-ES_tradnl"/>
        </w:rPr>
        <w:t xml:space="preserve">Mejoras introducidas en los estados financieros </w:t>
      </w:r>
      <w:r w:rsidR="00CC3D7A" w:rsidRPr="00910E94">
        <w:rPr>
          <w:rFonts w:ascii="Times New Roman" w:hAnsi="Times New Roman"/>
          <w:b/>
          <w:color w:val="1F497D"/>
          <w:lang w:val="es-ES_tradnl"/>
        </w:rPr>
        <w:t>de 20</w:t>
      </w:r>
      <w:r w:rsidRPr="00910E94">
        <w:rPr>
          <w:rFonts w:ascii="Times New Roman" w:hAnsi="Times New Roman"/>
          <w:b/>
          <w:color w:val="1F497D"/>
          <w:lang w:val="es-ES_tradnl"/>
        </w:rPr>
        <w:t>14 como consecuencia de la auditoría externa</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Agradecemos los cambios y mejoras introducidos por la Administración en los estados financiero</w:t>
      </w:r>
      <w:r w:rsidR="00CC3D7A" w:rsidRPr="00910E94">
        <w:rPr>
          <w:rFonts w:ascii="Times New Roman" w:hAnsi="Times New Roman"/>
          <w:sz w:val="24"/>
          <w:lang w:val="es-ES_tradnl"/>
        </w:rPr>
        <w:t>s correspondientes al ejercicio </w:t>
      </w:r>
      <w:r w:rsidRPr="00910E94">
        <w:rPr>
          <w:rFonts w:ascii="Times New Roman" w:hAnsi="Times New Roman"/>
          <w:sz w:val="24"/>
          <w:lang w:val="es-ES_tradnl"/>
        </w:rPr>
        <w:t>2014, basándose en las observaciones del Auditor Externo</w:t>
      </w:r>
      <w:r w:rsidR="00344EE2">
        <w:rPr>
          <w:rFonts w:ascii="Times New Roman" w:hAnsi="Times New Roman"/>
          <w:sz w:val="24"/>
          <w:lang w:val="es-ES_tradnl"/>
        </w:rPr>
        <w:t xml:space="preserve">.  </w:t>
      </w:r>
      <w:r w:rsidRPr="00910E94">
        <w:rPr>
          <w:rFonts w:ascii="Times New Roman" w:hAnsi="Times New Roman"/>
          <w:sz w:val="24"/>
          <w:lang w:val="es-ES_tradnl"/>
        </w:rPr>
        <w:t xml:space="preserve">A continuación se indican </w:t>
      </w:r>
      <w:r w:rsidR="00EC215B">
        <w:rPr>
          <w:rFonts w:ascii="Times New Roman" w:hAnsi="Times New Roman"/>
          <w:sz w:val="24"/>
          <w:lang w:val="es-ES_tradnl"/>
        </w:rPr>
        <w:t>algunas mejoras significativas:</w:t>
      </w:r>
    </w:p>
    <w:p w:rsidR="00F35E65" w:rsidRPr="00910E94" w:rsidRDefault="00DB5B5B" w:rsidP="00CC3D7A">
      <w:pPr>
        <w:numPr>
          <w:ilvl w:val="0"/>
          <w:numId w:val="3"/>
        </w:numPr>
        <w:spacing w:before="120" w:after="120" w:line="360" w:lineRule="auto"/>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Los costos financieros soportados </w:t>
      </w:r>
      <w:r w:rsidR="00CC3D7A" w:rsidRPr="00910E94">
        <w:rPr>
          <w:rFonts w:ascii="Times New Roman" w:hAnsi="Times New Roman"/>
          <w:sz w:val="24"/>
          <w:lang w:val="es-ES_tradnl"/>
        </w:rPr>
        <w:t>en 20</w:t>
      </w:r>
      <w:r w:rsidRPr="00910E94">
        <w:rPr>
          <w:rFonts w:ascii="Times New Roman" w:hAnsi="Times New Roman"/>
          <w:sz w:val="24"/>
          <w:lang w:val="es-ES_tradnl"/>
        </w:rPr>
        <w:t>14, por un monto de</w:t>
      </w:r>
      <w:r w:rsidR="00CC3D7A" w:rsidRPr="00910E94">
        <w:rPr>
          <w:rFonts w:ascii="Times New Roman" w:hAnsi="Times New Roman"/>
          <w:sz w:val="24"/>
          <w:lang w:val="es-ES_tradnl"/>
        </w:rPr>
        <w:t> 3,26 </w:t>
      </w:r>
      <w:r w:rsidRPr="00910E94">
        <w:rPr>
          <w:rFonts w:ascii="Times New Roman" w:hAnsi="Times New Roman"/>
          <w:sz w:val="24"/>
          <w:lang w:val="es-ES_tradnl"/>
        </w:rPr>
        <w:t>millones de francos suizos, se recogen separadamente en un epígrafe del estado de resultados, t</w:t>
      </w:r>
      <w:r w:rsidR="00CC3D7A" w:rsidRPr="00910E94">
        <w:rPr>
          <w:rFonts w:ascii="Times New Roman" w:hAnsi="Times New Roman"/>
          <w:sz w:val="24"/>
          <w:lang w:val="es-ES_tradnl"/>
        </w:rPr>
        <w:t>al como se exige en el apartado </w:t>
      </w:r>
      <w:r w:rsidR="0019694A">
        <w:rPr>
          <w:rFonts w:ascii="Times New Roman" w:hAnsi="Times New Roman"/>
          <w:sz w:val="24"/>
          <w:lang w:val="es-ES_tradnl"/>
        </w:rPr>
        <w:t>102 de la norma</w:t>
      </w:r>
      <w:r w:rsidRPr="00910E94">
        <w:rPr>
          <w:rFonts w:ascii="Times New Roman" w:hAnsi="Times New Roman"/>
          <w:sz w:val="24"/>
          <w:lang w:val="es-ES_tradnl"/>
        </w:rPr>
        <w:t xml:space="preserve"> IPSAS</w:t>
      </w:r>
      <w:r w:rsidR="00CC3D7A" w:rsidRPr="00910E94">
        <w:rPr>
          <w:rFonts w:ascii="Times New Roman" w:hAnsi="Times New Roman"/>
          <w:sz w:val="24"/>
          <w:lang w:val="es-ES_tradnl"/>
        </w:rPr>
        <w:t> </w:t>
      </w:r>
      <w:r w:rsidRPr="00910E94">
        <w:rPr>
          <w:rFonts w:ascii="Times New Roman" w:hAnsi="Times New Roman"/>
          <w:sz w:val="24"/>
          <w:lang w:val="es-ES_tradnl"/>
        </w:rPr>
        <w:t>1.</w:t>
      </w:r>
    </w:p>
    <w:p w:rsidR="003A2CDF" w:rsidRPr="00910E94" w:rsidRDefault="00DB5B5B" w:rsidP="004A14D2">
      <w:pPr>
        <w:numPr>
          <w:ilvl w:val="0"/>
          <w:numId w:val="3"/>
        </w:numPr>
        <w:spacing w:before="120" w:after="120" w:line="360" w:lineRule="auto"/>
        <w:jc w:val="both"/>
        <w:rPr>
          <w:rFonts w:ascii="Times New Roman" w:hAnsi="Times New Roman" w:cs="Times New Roman"/>
          <w:sz w:val="24"/>
          <w:szCs w:val="24"/>
          <w:lang w:val="es-ES_tradnl"/>
        </w:rPr>
      </w:pPr>
      <w:r w:rsidRPr="00910E94">
        <w:rPr>
          <w:rFonts w:ascii="Times New Roman" w:hAnsi="Times New Roman"/>
          <w:sz w:val="24"/>
          <w:lang w:val="es-ES_tradnl"/>
        </w:rPr>
        <w:t>Las fluctuaciones de los tipos de cambio produjeron una ganancia de</w:t>
      </w:r>
      <w:r w:rsidR="004A14D2" w:rsidRPr="00910E94">
        <w:rPr>
          <w:rFonts w:ascii="Times New Roman" w:hAnsi="Times New Roman"/>
          <w:sz w:val="24"/>
          <w:lang w:val="es-ES_tradnl"/>
        </w:rPr>
        <w:t> 2,14 </w:t>
      </w:r>
      <w:r w:rsidRPr="00910E94">
        <w:rPr>
          <w:rFonts w:ascii="Times New Roman" w:hAnsi="Times New Roman"/>
          <w:sz w:val="24"/>
          <w:lang w:val="es-ES_tradnl"/>
        </w:rPr>
        <w:t>millones de francos suizos sobre el efectivo y los equivalentes de efectivo, que se hizo constar en el estado de flujos de efectivo, s</w:t>
      </w:r>
      <w:r w:rsidR="00CC3D7A" w:rsidRPr="00910E94">
        <w:rPr>
          <w:rFonts w:ascii="Times New Roman" w:hAnsi="Times New Roman"/>
          <w:sz w:val="24"/>
          <w:lang w:val="es-ES_tradnl"/>
        </w:rPr>
        <w:t>egún lo previsto en el apartado 39 de la</w:t>
      </w:r>
      <w:r w:rsidR="0019694A">
        <w:rPr>
          <w:rFonts w:ascii="Times New Roman" w:hAnsi="Times New Roman"/>
          <w:sz w:val="24"/>
          <w:lang w:val="es-ES_tradnl"/>
        </w:rPr>
        <w:t xml:space="preserve"> norma </w:t>
      </w:r>
      <w:r w:rsidR="00CC3D7A" w:rsidRPr="00910E94">
        <w:rPr>
          <w:rFonts w:ascii="Times New Roman" w:hAnsi="Times New Roman"/>
          <w:sz w:val="24"/>
          <w:lang w:val="es-ES_tradnl"/>
        </w:rPr>
        <w:t>IPSAS </w:t>
      </w:r>
      <w:r w:rsidRPr="00910E94">
        <w:rPr>
          <w:rFonts w:ascii="Times New Roman" w:hAnsi="Times New Roman"/>
          <w:sz w:val="24"/>
          <w:lang w:val="es-ES_tradnl"/>
        </w:rPr>
        <w:t>2.</w:t>
      </w:r>
    </w:p>
    <w:p w:rsidR="00DB5B5B" w:rsidRPr="00910E94" w:rsidRDefault="00DB5B5B" w:rsidP="00CC3D7A">
      <w:pPr>
        <w:numPr>
          <w:ilvl w:val="0"/>
          <w:numId w:val="3"/>
        </w:numPr>
        <w:spacing w:before="120" w:after="120" w:line="360" w:lineRule="auto"/>
        <w:jc w:val="both"/>
        <w:rPr>
          <w:rFonts w:ascii="Times New Roman" w:hAnsi="Times New Roman" w:cs="Times New Roman"/>
          <w:sz w:val="24"/>
          <w:szCs w:val="24"/>
          <w:lang w:val="es-ES_tradnl"/>
        </w:rPr>
      </w:pPr>
      <w:r w:rsidRPr="00910E94">
        <w:rPr>
          <w:rFonts w:ascii="Times New Roman" w:hAnsi="Times New Roman"/>
          <w:sz w:val="24"/>
          <w:lang w:val="es-ES_tradnl"/>
        </w:rPr>
        <w:lastRenderedPageBreak/>
        <w:t>Fue</w:t>
      </w:r>
      <w:r w:rsidR="00CC3D7A" w:rsidRPr="00910E94">
        <w:rPr>
          <w:rFonts w:ascii="Times New Roman" w:hAnsi="Times New Roman"/>
          <w:sz w:val="24"/>
          <w:lang w:val="es-ES_tradnl"/>
        </w:rPr>
        <w:t>ron dados de baja en libros 219 </w:t>
      </w:r>
      <w:r w:rsidRPr="00910E94">
        <w:rPr>
          <w:rFonts w:ascii="Times New Roman" w:hAnsi="Times New Roman"/>
          <w:sz w:val="24"/>
          <w:lang w:val="es-ES_tradnl"/>
        </w:rPr>
        <w:t xml:space="preserve">artículos del inventario, con un </w:t>
      </w:r>
      <w:r w:rsidR="00CC3D7A" w:rsidRPr="00910E94">
        <w:rPr>
          <w:rFonts w:ascii="Times New Roman" w:hAnsi="Times New Roman"/>
          <w:sz w:val="24"/>
          <w:lang w:val="es-ES_tradnl"/>
        </w:rPr>
        <w:t>valor de adquisición de 759.439 </w:t>
      </w:r>
      <w:r w:rsidRPr="00910E94">
        <w:rPr>
          <w:rFonts w:ascii="Times New Roman" w:hAnsi="Times New Roman"/>
          <w:sz w:val="24"/>
          <w:lang w:val="es-ES_tradnl"/>
        </w:rPr>
        <w:t>CHF y un valor d</w:t>
      </w:r>
      <w:r w:rsidR="00CC3D7A" w:rsidRPr="00910E94">
        <w:rPr>
          <w:rFonts w:ascii="Times New Roman" w:hAnsi="Times New Roman"/>
          <w:sz w:val="24"/>
          <w:lang w:val="es-ES_tradnl"/>
        </w:rPr>
        <w:t>espués de amortización de 5.656 </w:t>
      </w:r>
      <w:r w:rsidRPr="00910E94">
        <w:rPr>
          <w:rFonts w:ascii="Times New Roman" w:hAnsi="Times New Roman"/>
          <w:sz w:val="24"/>
          <w:lang w:val="es-ES_tradnl"/>
        </w:rPr>
        <w:t>CHF.</w:t>
      </w:r>
    </w:p>
    <w:p w:rsidR="00DB5B5B" w:rsidRPr="00910E94" w:rsidRDefault="00DB5B5B" w:rsidP="00DB5B5B">
      <w:pPr>
        <w:numPr>
          <w:ilvl w:val="0"/>
          <w:numId w:val="3"/>
        </w:numPr>
        <w:spacing w:before="120" w:after="120" w:line="360" w:lineRule="auto"/>
        <w:jc w:val="both"/>
        <w:rPr>
          <w:rFonts w:ascii="Times New Roman" w:hAnsi="Times New Roman" w:cs="Times New Roman"/>
          <w:sz w:val="24"/>
          <w:szCs w:val="24"/>
          <w:lang w:val="es-ES_tradnl"/>
        </w:rPr>
      </w:pPr>
      <w:r w:rsidRPr="00910E94">
        <w:rPr>
          <w:rFonts w:ascii="Times New Roman" w:hAnsi="Times New Roman"/>
          <w:sz w:val="24"/>
          <w:lang w:val="es-ES_tradnl"/>
        </w:rPr>
        <w:t>Se revisó la valoración de los impuestos de los EE.UU</w:t>
      </w:r>
      <w:r w:rsidR="00344EE2">
        <w:rPr>
          <w:rFonts w:ascii="Times New Roman" w:hAnsi="Times New Roman"/>
          <w:sz w:val="24"/>
          <w:lang w:val="es-ES_tradnl"/>
        </w:rPr>
        <w:t xml:space="preserve">.  </w:t>
      </w:r>
      <w:r w:rsidRPr="00910E94">
        <w:rPr>
          <w:rFonts w:ascii="Times New Roman" w:hAnsi="Times New Roman"/>
          <w:sz w:val="24"/>
          <w:lang w:val="es-ES_tradnl"/>
        </w:rPr>
        <w:t>reembolsables por cobrar (transacciones con contraprestación) con el fin de fijar su valo</w:t>
      </w:r>
      <w:r w:rsidR="00CC3D7A" w:rsidRPr="00910E94">
        <w:rPr>
          <w:rFonts w:ascii="Times New Roman" w:hAnsi="Times New Roman"/>
          <w:sz w:val="24"/>
          <w:lang w:val="es-ES_tradnl"/>
        </w:rPr>
        <w:t xml:space="preserve">r razonable con arreglo a </w:t>
      </w:r>
      <w:r w:rsidR="0019694A">
        <w:rPr>
          <w:rFonts w:ascii="Times New Roman" w:hAnsi="Times New Roman"/>
          <w:sz w:val="24"/>
          <w:lang w:val="es-ES_tradnl"/>
        </w:rPr>
        <w:t xml:space="preserve">la norma </w:t>
      </w:r>
      <w:r w:rsidR="00CC3D7A" w:rsidRPr="00910E94">
        <w:rPr>
          <w:rFonts w:ascii="Times New Roman" w:hAnsi="Times New Roman"/>
          <w:sz w:val="24"/>
          <w:lang w:val="es-ES_tradnl"/>
        </w:rPr>
        <w:t>IPSAS 30, y una parte (3,39 </w:t>
      </w:r>
      <w:r w:rsidRPr="00910E94">
        <w:rPr>
          <w:rFonts w:ascii="Times New Roman" w:hAnsi="Times New Roman"/>
          <w:sz w:val="24"/>
          <w:lang w:val="es-ES_tradnl"/>
        </w:rPr>
        <w:t>millones de francos suizos) fue clasificada como activos no corrientes.</w:t>
      </w:r>
      <w:r w:rsidRPr="00910E94">
        <w:rPr>
          <w:lang w:val="es-ES_tradnl"/>
        </w:rPr>
        <w:tab/>
      </w:r>
    </w:p>
    <w:p w:rsidR="00DB5B5B" w:rsidRPr="00910E94" w:rsidRDefault="00DB5B5B" w:rsidP="00101066">
      <w:pPr>
        <w:keepNext/>
        <w:tabs>
          <w:tab w:val="left" w:pos="851"/>
        </w:tabs>
        <w:spacing w:before="360" w:after="360" w:line="360" w:lineRule="auto"/>
        <w:jc w:val="both"/>
        <w:rPr>
          <w:rFonts w:ascii="Times New Roman" w:hAnsi="Times New Roman" w:cs="Times New Roman"/>
          <w:b/>
          <w:bCs/>
          <w:color w:val="1F497D"/>
          <w:sz w:val="32"/>
          <w:szCs w:val="32"/>
          <w:lang w:val="es-ES_tradnl"/>
        </w:rPr>
      </w:pPr>
      <w:r w:rsidRPr="00910E94">
        <w:rPr>
          <w:rFonts w:ascii="Times New Roman" w:hAnsi="Times New Roman"/>
          <w:b/>
          <w:color w:val="1F497D"/>
          <w:sz w:val="32"/>
          <w:lang w:val="es-ES_tradnl"/>
        </w:rPr>
        <w:t>Conclusiones de la auditoría</w:t>
      </w:r>
    </w:p>
    <w:p w:rsidR="00564ABB" w:rsidRPr="00910E94" w:rsidRDefault="00564ABB" w:rsidP="00101066">
      <w:pPr>
        <w:keepNext/>
        <w:tabs>
          <w:tab w:val="left" w:pos="851"/>
        </w:tabs>
        <w:spacing w:before="120" w:after="120" w:line="360" w:lineRule="auto"/>
        <w:jc w:val="both"/>
        <w:rPr>
          <w:rFonts w:ascii="Times New Roman" w:hAnsi="Times New Roman" w:cs="Times New Roman"/>
          <w:b/>
          <w:bCs/>
          <w:color w:val="1F497D"/>
          <w:sz w:val="28"/>
          <w:szCs w:val="28"/>
          <w:lang w:val="es-ES_tradnl"/>
        </w:rPr>
      </w:pPr>
      <w:r w:rsidRPr="00910E94">
        <w:rPr>
          <w:rFonts w:ascii="Times New Roman" w:hAnsi="Times New Roman"/>
          <w:b/>
          <w:color w:val="1F497D"/>
          <w:sz w:val="28"/>
          <w:lang w:val="es-ES_tradnl"/>
        </w:rPr>
        <w:t>Asuntos financieros</w:t>
      </w:r>
    </w:p>
    <w:p w:rsidR="00DB5B5B" w:rsidRPr="00910E94" w:rsidRDefault="00DB5B5B" w:rsidP="00101066">
      <w:pPr>
        <w:pStyle w:val="Default"/>
        <w:keepNext/>
        <w:autoSpaceDE/>
        <w:autoSpaceDN/>
        <w:adjustRightInd/>
        <w:spacing w:before="120" w:after="120" w:line="360" w:lineRule="auto"/>
        <w:jc w:val="both"/>
        <w:rPr>
          <w:rFonts w:ascii="Times New Roman" w:eastAsia="Calibri" w:hAnsi="Times New Roman" w:cs="Times New Roman"/>
          <w:b/>
          <w:color w:val="17365D"/>
          <w:lang w:val="es-ES_tradnl"/>
        </w:rPr>
      </w:pPr>
      <w:r w:rsidRPr="00910E94">
        <w:rPr>
          <w:rFonts w:ascii="Times New Roman" w:hAnsi="Times New Roman"/>
          <w:b/>
          <w:color w:val="17365D"/>
          <w:lang w:val="es-ES_tradnl"/>
        </w:rPr>
        <w:t>Cuentas por cobrar, anticipos y pagos por adelantado</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El saldo de la cuenta de impuestos de los EE.UU</w:t>
      </w:r>
      <w:r w:rsidR="00344EE2">
        <w:rPr>
          <w:rFonts w:ascii="Times New Roman" w:hAnsi="Times New Roman"/>
          <w:sz w:val="24"/>
          <w:lang w:val="es-ES_tradnl"/>
        </w:rPr>
        <w:t xml:space="preserve">.  </w:t>
      </w:r>
      <w:r w:rsidRPr="00910E94">
        <w:rPr>
          <w:rFonts w:ascii="Times New Roman" w:hAnsi="Times New Roman"/>
          <w:sz w:val="24"/>
          <w:lang w:val="es-ES_tradnl"/>
        </w:rPr>
        <w:t>reembolsables comprende los impuestos sobre la renta de los empleados de la OMPI que trabajan en los Estados Unidos de América, abonados por la OMPI en nombre de tales empleados y posteriormente reembolsados por los EE.UU</w:t>
      </w:r>
      <w:r w:rsidR="00344EE2">
        <w:rPr>
          <w:rFonts w:ascii="Times New Roman" w:hAnsi="Times New Roman"/>
          <w:sz w:val="24"/>
          <w:lang w:val="es-ES_tradnl"/>
        </w:rPr>
        <w:t xml:space="preserve">.  </w:t>
      </w:r>
      <w:r w:rsidRPr="00910E94">
        <w:rPr>
          <w:rFonts w:ascii="Times New Roman" w:hAnsi="Times New Roman"/>
          <w:sz w:val="24"/>
          <w:lang w:val="es-ES_tradnl"/>
        </w:rPr>
        <w:t>con arreglo a un convenio firmado entre la OMPI y los EE.UU</w:t>
      </w:r>
      <w:r w:rsidR="00344EE2">
        <w:rPr>
          <w:rFonts w:ascii="Times New Roman" w:hAnsi="Times New Roman"/>
          <w:sz w:val="24"/>
          <w:lang w:val="es-ES_tradnl"/>
        </w:rPr>
        <w:t xml:space="preserve">.  </w:t>
      </w:r>
    </w:p>
    <w:p w:rsidR="00DB5B5B" w:rsidRPr="00910E94" w:rsidRDefault="004A14D2"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Entre 2002 y </w:t>
      </w:r>
      <w:r w:rsidR="00DB5B5B" w:rsidRPr="00910E94">
        <w:rPr>
          <w:rFonts w:ascii="Times New Roman" w:hAnsi="Times New Roman"/>
          <w:sz w:val="24"/>
          <w:lang w:val="es-ES_tradnl"/>
        </w:rPr>
        <w:t>2014, la OMPI presentó a los EE.UU</w:t>
      </w:r>
      <w:r w:rsidR="00344EE2">
        <w:rPr>
          <w:rFonts w:ascii="Times New Roman" w:hAnsi="Times New Roman"/>
          <w:sz w:val="24"/>
          <w:lang w:val="es-ES_tradnl"/>
        </w:rPr>
        <w:t xml:space="preserve">.  </w:t>
      </w:r>
      <w:r w:rsidR="00DB5B5B" w:rsidRPr="00910E94">
        <w:rPr>
          <w:rFonts w:ascii="Times New Roman" w:hAnsi="Times New Roman"/>
          <w:sz w:val="24"/>
          <w:lang w:val="es-ES_tradnl"/>
        </w:rPr>
        <w:t>solicitudes por un to</w:t>
      </w:r>
      <w:r w:rsidRPr="00910E94">
        <w:rPr>
          <w:rFonts w:ascii="Times New Roman" w:hAnsi="Times New Roman"/>
          <w:sz w:val="24"/>
          <w:lang w:val="es-ES_tradnl"/>
        </w:rPr>
        <w:t>tal de 7.166.818 </w:t>
      </w:r>
      <w:r w:rsidR="00DB5B5B" w:rsidRPr="00910E94">
        <w:rPr>
          <w:rFonts w:ascii="Times New Roman" w:hAnsi="Times New Roman"/>
          <w:sz w:val="24"/>
          <w:lang w:val="es-ES_tradnl"/>
        </w:rPr>
        <w:t>dólares de los EE.UU</w:t>
      </w:r>
      <w:r w:rsidR="00344EE2">
        <w:rPr>
          <w:rFonts w:ascii="Times New Roman" w:hAnsi="Times New Roman"/>
          <w:sz w:val="24"/>
          <w:lang w:val="es-ES_tradnl"/>
        </w:rPr>
        <w:t xml:space="preserve">.  </w:t>
      </w:r>
      <w:r w:rsidR="00DB5B5B" w:rsidRPr="00910E94">
        <w:rPr>
          <w:rFonts w:ascii="Times New Roman" w:hAnsi="Times New Roman"/>
          <w:sz w:val="24"/>
          <w:lang w:val="es-ES_tradnl"/>
        </w:rPr>
        <w:t>pidiendo el reembolso de los impuestos abonados en nombre de sus empl</w:t>
      </w:r>
      <w:r w:rsidRPr="00910E94">
        <w:rPr>
          <w:rFonts w:ascii="Times New Roman" w:hAnsi="Times New Roman"/>
          <w:sz w:val="24"/>
          <w:lang w:val="es-ES_tradnl"/>
        </w:rPr>
        <w:t>eados, recibiendo un importe de </w:t>
      </w:r>
      <w:r w:rsidR="00DB5B5B" w:rsidRPr="00910E94">
        <w:rPr>
          <w:rFonts w:ascii="Times New Roman" w:hAnsi="Times New Roman"/>
          <w:sz w:val="24"/>
          <w:lang w:val="es-ES_tradnl"/>
        </w:rPr>
        <w:t>3.170.887</w:t>
      </w:r>
      <w:r w:rsidRPr="00910E94">
        <w:rPr>
          <w:rFonts w:ascii="Times New Roman" w:hAnsi="Times New Roman"/>
          <w:sz w:val="24"/>
          <w:lang w:val="es-ES_tradnl"/>
        </w:rPr>
        <w:t> </w:t>
      </w:r>
      <w:r w:rsidR="00DB0571">
        <w:rPr>
          <w:rFonts w:ascii="Times New Roman" w:hAnsi="Times New Roman"/>
          <w:sz w:val="24"/>
          <w:lang w:val="es-ES_tradnl"/>
        </w:rPr>
        <w:t>dólares de los EE.UU</w:t>
      </w:r>
      <w:r w:rsidR="00344EE2">
        <w:rPr>
          <w:rFonts w:ascii="Times New Roman" w:hAnsi="Times New Roman"/>
          <w:sz w:val="24"/>
          <w:lang w:val="es-ES_tradnl"/>
        </w:rPr>
        <w:t xml:space="preserve">.  </w:t>
      </w:r>
      <w:r w:rsidR="00DB5B5B" w:rsidRPr="00910E94">
        <w:rPr>
          <w:rFonts w:ascii="Times New Roman" w:hAnsi="Times New Roman"/>
          <w:sz w:val="24"/>
          <w:lang w:val="es-ES_tradnl"/>
        </w:rPr>
        <w:t>(44,2%)</w:t>
      </w:r>
      <w:r w:rsidR="00344EE2">
        <w:rPr>
          <w:rFonts w:ascii="Times New Roman" w:hAnsi="Times New Roman"/>
          <w:sz w:val="24"/>
          <w:lang w:val="es-ES_tradnl"/>
        </w:rPr>
        <w:t xml:space="preserve">.  </w:t>
      </w:r>
      <w:r w:rsidR="00DB5B5B" w:rsidRPr="00910E94">
        <w:rPr>
          <w:rFonts w:ascii="Times New Roman" w:hAnsi="Times New Roman"/>
          <w:sz w:val="24"/>
          <w:lang w:val="es-ES_tradnl"/>
        </w:rPr>
        <w:t>La OMPI no ha podido conciliar los reembolsos con las solicitudes, ya que las autoridades fiscales estadounidenses no ofrecen datos desglosados por año y perceptor del pago</w:t>
      </w:r>
      <w:r w:rsidR="00344EE2">
        <w:rPr>
          <w:rFonts w:ascii="Times New Roman" w:hAnsi="Times New Roman"/>
          <w:sz w:val="24"/>
          <w:lang w:val="es-ES_tradnl"/>
        </w:rPr>
        <w:t xml:space="preserve">.  </w:t>
      </w:r>
      <w:r w:rsidR="00DB5B5B" w:rsidRPr="00910E94">
        <w:rPr>
          <w:rFonts w:ascii="Times New Roman" w:hAnsi="Times New Roman"/>
          <w:sz w:val="24"/>
          <w:lang w:val="es-ES_tradnl"/>
        </w:rPr>
        <w:t>El examen de la correspondencia mantenida con las autoridades fiscales de los EE.UU</w:t>
      </w:r>
      <w:r w:rsidR="00344EE2">
        <w:rPr>
          <w:rFonts w:ascii="Times New Roman" w:hAnsi="Times New Roman"/>
          <w:sz w:val="24"/>
          <w:lang w:val="es-ES_tradnl"/>
        </w:rPr>
        <w:t xml:space="preserve">.  </w:t>
      </w:r>
      <w:r w:rsidR="00DB5B5B" w:rsidRPr="00910E94">
        <w:rPr>
          <w:rFonts w:ascii="Times New Roman" w:hAnsi="Times New Roman"/>
          <w:sz w:val="24"/>
          <w:lang w:val="es-ES_tradnl"/>
        </w:rPr>
        <w:t>pone de manif</w:t>
      </w:r>
      <w:r w:rsidR="009D339D" w:rsidRPr="00910E94">
        <w:rPr>
          <w:rFonts w:ascii="Times New Roman" w:hAnsi="Times New Roman"/>
          <w:sz w:val="24"/>
          <w:lang w:val="es-ES_tradnl"/>
        </w:rPr>
        <w:t>i</w:t>
      </w:r>
      <w:r w:rsidR="00DB5B5B" w:rsidRPr="00910E94">
        <w:rPr>
          <w:rFonts w:ascii="Times New Roman" w:hAnsi="Times New Roman"/>
          <w:sz w:val="24"/>
          <w:lang w:val="es-ES_tradnl"/>
        </w:rPr>
        <w:t>esto que en algunos casos éstas se han opuesto a las solicitudes de reembolso de la OMPI.</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La OMPI comunicó que no tiene motivos para creer que el reembolso de estas cantidades sea dudoso</w:t>
      </w:r>
      <w:r w:rsidR="00344EE2">
        <w:rPr>
          <w:rFonts w:ascii="Times New Roman" w:hAnsi="Times New Roman"/>
          <w:sz w:val="24"/>
          <w:lang w:val="es-ES_tradnl"/>
        </w:rPr>
        <w:t xml:space="preserve">.  </w:t>
      </w:r>
    </w:p>
    <w:p w:rsidR="00F35E65" w:rsidRPr="00910E94" w:rsidRDefault="00DB5B5B"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bCs/>
          <w:sz w:val="24"/>
          <w:szCs w:val="24"/>
          <w:lang w:val="es-ES_tradnl"/>
        </w:rPr>
      </w:pPr>
      <w:r w:rsidRPr="00910E94">
        <w:rPr>
          <w:rFonts w:ascii="Times New Roman" w:hAnsi="Times New Roman"/>
          <w:sz w:val="24"/>
          <w:lang w:val="es-ES_tradnl"/>
        </w:rPr>
        <w:t>A nuestro juicio, sería conveniente agilizar el proceso de conciliación con las autoridades fiscales de los EE.UU.</w:t>
      </w:r>
    </w:p>
    <w:p w:rsidR="00DB5B5B" w:rsidRPr="00910E94" w:rsidRDefault="00DB5B5B" w:rsidP="00101066">
      <w:pPr>
        <w:pStyle w:val="Default"/>
        <w:keepNext/>
        <w:spacing w:before="120" w:after="120" w:line="360" w:lineRule="auto"/>
        <w:jc w:val="both"/>
        <w:rPr>
          <w:rFonts w:ascii="Times New Roman" w:eastAsia="Calibri" w:hAnsi="Times New Roman" w:cs="Times New Roman"/>
          <w:b/>
          <w:bCs/>
          <w:color w:val="auto"/>
          <w:lang w:val="es-ES_tradnl"/>
        </w:rPr>
      </w:pPr>
      <w:r w:rsidRPr="00910E94">
        <w:rPr>
          <w:rFonts w:ascii="Times New Roman" w:hAnsi="Times New Roman"/>
          <w:b/>
          <w:color w:val="auto"/>
          <w:lang w:val="es-ES_tradnl"/>
        </w:rPr>
        <w:t>Recomendación 1</w:t>
      </w:r>
    </w:p>
    <w:p w:rsidR="004B5314" w:rsidRPr="00910E94" w:rsidRDefault="00DB5B5B" w:rsidP="00DB5B5B">
      <w:pPr>
        <w:pStyle w:val="Default"/>
        <w:spacing w:before="120" w:after="120" w:line="360" w:lineRule="auto"/>
        <w:jc w:val="both"/>
        <w:rPr>
          <w:rFonts w:ascii="Times New Roman" w:hAnsi="Times New Roman"/>
          <w:b/>
          <w:color w:val="auto"/>
          <w:lang w:val="es-ES_tradnl"/>
        </w:rPr>
      </w:pPr>
      <w:r w:rsidRPr="00910E94">
        <w:rPr>
          <w:rFonts w:ascii="Times New Roman" w:hAnsi="Times New Roman"/>
          <w:b/>
          <w:color w:val="auto"/>
          <w:lang w:val="es-ES_tradnl"/>
        </w:rPr>
        <w:t>Conviene que la OMPI agilice el proceso de conciliación de las solicitudes pendientes ante las autoridades fiscales de los EE.UU.</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lastRenderedPageBreak/>
        <w:t>Tras aceptar esta recomendación, la OMPI declaró que el proceso de conciliación sólo podrá llevarse a cabo si las autoridades fiscales de los EE.UU</w:t>
      </w:r>
      <w:r w:rsidR="00344EE2">
        <w:rPr>
          <w:rFonts w:ascii="Times New Roman" w:hAnsi="Times New Roman"/>
          <w:sz w:val="24"/>
          <w:lang w:val="es-ES_tradnl"/>
        </w:rPr>
        <w:t xml:space="preserve">.  </w:t>
      </w:r>
      <w:r w:rsidRPr="00910E94">
        <w:rPr>
          <w:rFonts w:ascii="Times New Roman" w:hAnsi="Times New Roman"/>
          <w:sz w:val="24"/>
          <w:lang w:val="es-ES_tradnl"/>
        </w:rPr>
        <w:t>están en condiciones de ofrecer información suficiente acerca de los reembolsos efectuados a la Organización.</w:t>
      </w:r>
    </w:p>
    <w:p w:rsidR="00DB5B5B" w:rsidRPr="00910E94" w:rsidRDefault="00DB5B5B" w:rsidP="00101066">
      <w:pPr>
        <w:pStyle w:val="Default"/>
        <w:keepNext/>
        <w:autoSpaceDE/>
        <w:autoSpaceDN/>
        <w:adjustRightInd/>
        <w:spacing w:before="120" w:after="120" w:line="360" w:lineRule="auto"/>
        <w:jc w:val="both"/>
        <w:rPr>
          <w:rFonts w:ascii="Times New Roman" w:hAnsi="Times New Roman" w:cs="Times New Roman"/>
          <w:b/>
          <w:bCs/>
          <w:color w:val="1F497D"/>
          <w:lang w:val="es-ES_tradnl"/>
        </w:rPr>
      </w:pPr>
      <w:r w:rsidRPr="00910E94">
        <w:rPr>
          <w:rFonts w:ascii="Times New Roman" w:hAnsi="Times New Roman"/>
          <w:b/>
          <w:color w:val="1F497D"/>
          <w:lang w:val="es-ES_tradnl"/>
        </w:rPr>
        <w:t>No divulgación de activos patrimoniales</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Conforme al Marco de Políticas de las Naciones Unidas sobre las IPSAS, si bien las NN.UU</w:t>
      </w:r>
      <w:r w:rsidR="00344EE2">
        <w:rPr>
          <w:rFonts w:ascii="Times New Roman" w:hAnsi="Times New Roman"/>
          <w:sz w:val="24"/>
          <w:lang w:val="es-ES_tradnl"/>
        </w:rPr>
        <w:t xml:space="preserve">.  </w:t>
      </w:r>
      <w:r w:rsidRPr="00910E94">
        <w:rPr>
          <w:rFonts w:ascii="Times New Roman" w:hAnsi="Times New Roman"/>
          <w:sz w:val="24"/>
          <w:lang w:val="es-ES_tradnl"/>
        </w:rPr>
        <w:t>no han de reconocer los activos patrimoniales, harán constar una descripción detallada de los activos patrimoniales significativos en las notas sobre los estados financieros</w:t>
      </w:r>
      <w:r w:rsidR="00344EE2">
        <w:rPr>
          <w:rFonts w:ascii="Times New Roman" w:hAnsi="Times New Roman"/>
          <w:sz w:val="24"/>
          <w:lang w:val="es-ES_tradnl"/>
        </w:rPr>
        <w:t xml:space="preserve">.  </w:t>
      </w:r>
    </w:p>
    <w:p w:rsidR="00DB5B5B" w:rsidRPr="00910E94" w:rsidRDefault="00DB5B5B"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Hemos advertido que la OMPI no ha hecho constar, en los estados financieros, información sobre activos patrimoniales, en particular sobre </w:t>
      </w:r>
      <w:r w:rsidR="00693071" w:rsidRPr="00910E94">
        <w:rPr>
          <w:rFonts w:ascii="Times New Roman" w:hAnsi="Times New Roman"/>
          <w:sz w:val="24"/>
          <w:lang w:val="es-ES_tradnl"/>
        </w:rPr>
        <w:t>“</w:t>
      </w:r>
      <w:r w:rsidRPr="00910E94">
        <w:rPr>
          <w:rFonts w:ascii="Times New Roman" w:hAnsi="Times New Roman"/>
          <w:sz w:val="24"/>
          <w:lang w:val="es-ES_tradnl"/>
        </w:rPr>
        <w:t>obras de arte</w:t>
      </w:r>
      <w:r w:rsidR="00693071" w:rsidRPr="00910E94">
        <w:rPr>
          <w:rFonts w:ascii="Times New Roman" w:hAnsi="Times New Roman"/>
          <w:sz w:val="24"/>
          <w:lang w:val="es-ES_tradnl"/>
        </w:rPr>
        <w:t>”</w:t>
      </w:r>
      <w:r w:rsidR="00344EE2">
        <w:rPr>
          <w:rFonts w:ascii="Times New Roman" w:hAnsi="Times New Roman"/>
          <w:sz w:val="24"/>
          <w:lang w:val="es-ES_tradnl"/>
        </w:rPr>
        <w:t xml:space="preserve">.  </w:t>
      </w:r>
      <w:r w:rsidRPr="00910E94">
        <w:rPr>
          <w:rFonts w:ascii="Times New Roman" w:hAnsi="Times New Roman"/>
          <w:sz w:val="24"/>
          <w:lang w:val="es-ES_tradnl"/>
        </w:rPr>
        <w:t xml:space="preserve">Asimismo observamos que las verificaciones físicas realizadas </w:t>
      </w:r>
      <w:r w:rsidR="00CC3D7A" w:rsidRPr="00910E94">
        <w:rPr>
          <w:rFonts w:ascii="Times New Roman" w:hAnsi="Times New Roman"/>
          <w:sz w:val="24"/>
          <w:lang w:val="es-ES_tradnl"/>
        </w:rPr>
        <w:t>en 20</w:t>
      </w:r>
      <w:r w:rsidRPr="00910E94">
        <w:rPr>
          <w:rFonts w:ascii="Times New Roman" w:hAnsi="Times New Roman"/>
          <w:sz w:val="24"/>
          <w:lang w:val="es-ES_tradnl"/>
        </w:rPr>
        <w:t>14 detectaron la ausencia de</w:t>
      </w:r>
      <w:r w:rsidR="004A14D2" w:rsidRPr="00910E94">
        <w:rPr>
          <w:rFonts w:ascii="Times New Roman" w:hAnsi="Times New Roman"/>
          <w:sz w:val="24"/>
          <w:lang w:val="es-ES_tradnl"/>
        </w:rPr>
        <w:t> 13 </w:t>
      </w:r>
      <w:r w:rsidRPr="00910E94">
        <w:rPr>
          <w:rFonts w:ascii="Times New Roman" w:hAnsi="Times New Roman"/>
          <w:sz w:val="24"/>
          <w:lang w:val="es-ES_tradnl"/>
        </w:rPr>
        <w:t xml:space="preserve">objetos clasificados como </w:t>
      </w:r>
      <w:r w:rsidR="00693071" w:rsidRPr="00910E94">
        <w:rPr>
          <w:rFonts w:ascii="Times New Roman" w:hAnsi="Times New Roman"/>
          <w:sz w:val="24"/>
          <w:lang w:val="es-ES_tradnl"/>
        </w:rPr>
        <w:t>“</w:t>
      </w:r>
      <w:r w:rsidRPr="00910E94">
        <w:rPr>
          <w:rFonts w:ascii="Times New Roman" w:hAnsi="Times New Roman"/>
          <w:sz w:val="24"/>
          <w:lang w:val="es-ES_tradnl"/>
        </w:rPr>
        <w:t>obras de arte</w:t>
      </w:r>
      <w:r w:rsidR="00693071" w:rsidRPr="00910E94">
        <w:rPr>
          <w:rFonts w:ascii="Times New Roman" w:hAnsi="Times New Roman"/>
          <w:sz w:val="24"/>
          <w:lang w:val="es-ES_tradnl"/>
        </w:rPr>
        <w:t>”</w:t>
      </w:r>
      <w:r w:rsidRPr="00910E94">
        <w:rPr>
          <w:rFonts w:ascii="Times New Roman" w:hAnsi="Times New Roman"/>
          <w:sz w:val="24"/>
          <w:lang w:val="es-ES_tradnl"/>
        </w:rPr>
        <w:t xml:space="preserve"> (cuatro de ellos probablemente se encontrarían en las salas, pero no fue posible acceder a los armarios cerrados con llave)</w:t>
      </w:r>
      <w:r w:rsidR="00344EE2">
        <w:rPr>
          <w:rFonts w:ascii="Times New Roman" w:hAnsi="Times New Roman"/>
          <w:sz w:val="24"/>
          <w:lang w:val="es-ES_tradnl"/>
        </w:rPr>
        <w:t xml:space="preserve">.  </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eastAsia="Calibri" w:hAnsi="Times New Roman" w:cs="Times New Roman"/>
          <w:lang w:val="es-ES_tradnl"/>
        </w:rPr>
      </w:pPr>
      <w:r w:rsidRPr="00910E94">
        <w:rPr>
          <w:rFonts w:ascii="Times New Roman" w:hAnsi="Times New Roman"/>
          <w:sz w:val="24"/>
          <w:lang w:val="es-ES_tradnl"/>
        </w:rPr>
        <w:t>La OMPI señaló que las IPSAS no exigen divulgar los activos patrimoniales que no se han reconocido en los estados financieros</w:t>
      </w:r>
      <w:r w:rsidR="00344EE2">
        <w:rPr>
          <w:rFonts w:ascii="Times New Roman" w:hAnsi="Times New Roman"/>
          <w:sz w:val="24"/>
          <w:lang w:val="es-ES_tradnl"/>
        </w:rPr>
        <w:t xml:space="preserve">.  </w:t>
      </w:r>
      <w:r w:rsidRPr="00910E94">
        <w:rPr>
          <w:rFonts w:ascii="Times New Roman" w:hAnsi="Times New Roman"/>
          <w:sz w:val="24"/>
          <w:lang w:val="es-ES_tradnl"/>
        </w:rPr>
        <w:t>Por otra parte, conforme a las actuales directrices del Grupo de Trabajo de las Naciones Unidas sobre activos patrimoniales, no hay que reconocerlos en los estados financieros</w:t>
      </w:r>
      <w:r w:rsidR="00344EE2">
        <w:rPr>
          <w:rFonts w:ascii="Times New Roman" w:hAnsi="Times New Roman"/>
          <w:sz w:val="24"/>
          <w:lang w:val="es-ES_tradnl"/>
        </w:rPr>
        <w:t xml:space="preserve">.  </w:t>
      </w:r>
    </w:p>
    <w:p w:rsidR="00DB5B5B" w:rsidRPr="00910E94" w:rsidRDefault="00DB5B5B" w:rsidP="004B5314">
      <w:pPr>
        <w:pStyle w:val="Default"/>
        <w:keepNext/>
        <w:spacing w:before="120" w:after="120" w:line="360" w:lineRule="auto"/>
        <w:jc w:val="both"/>
        <w:rPr>
          <w:rFonts w:ascii="Times New Roman" w:eastAsia="Calibri" w:hAnsi="Times New Roman" w:cs="Times New Roman"/>
          <w:b/>
          <w:bCs/>
          <w:color w:val="auto"/>
          <w:lang w:val="es-ES_tradnl"/>
        </w:rPr>
      </w:pPr>
      <w:r w:rsidRPr="00910E94">
        <w:rPr>
          <w:rFonts w:ascii="Times New Roman" w:hAnsi="Times New Roman"/>
          <w:b/>
          <w:color w:val="auto"/>
          <w:lang w:val="es-ES_tradnl"/>
        </w:rPr>
        <w:t>Recomendación 2</w:t>
      </w:r>
    </w:p>
    <w:p w:rsidR="00DB5B5B" w:rsidRPr="00910E94" w:rsidRDefault="00DB5B5B" w:rsidP="004B5314">
      <w:pPr>
        <w:pStyle w:val="Default"/>
        <w:keepNext/>
        <w:spacing w:before="120" w:after="120" w:line="360" w:lineRule="auto"/>
        <w:jc w:val="both"/>
        <w:rPr>
          <w:rFonts w:ascii="Times New Roman" w:eastAsia="Calibri" w:hAnsi="Times New Roman" w:cs="Times New Roman"/>
          <w:b/>
          <w:lang w:val="es-ES_tradnl"/>
        </w:rPr>
      </w:pPr>
      <w:r w:rsidRPr="00910E94">
        <w:rPr>
          <w:rFonts w:ascii="Times New Roman" w:hAnsi="Times New Roman"/>
          <w:b/>
          <w:lang w:val="es-ES_tradnl"/>
        </w:rPr>
        <w:t>Conviene que la OMPI haga constar los datos de los activos patrimoniales, incluidas las obras de arte, en las notas de los estados financieros y adopte medidas para reforzar los sistemas de seguridad a fin de prevenir nuevas pérdidas de tales activos.</w:t>
      </w:r>
    </w:p>
    <w:p w:rsidR="00F35E65" w:rsidRPr="00910E94" w:rsidRDefault="00DB5B5B"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La OMPI aceptó esta recomendación y propuso debatir la cuestión de los activos patrimoniales en la próxima reunión del Grupo de Trabajo de las Naciones Unidas que se celebrará en octubre </w:t>
      </w:r>
      <w:r w:rsidR="00CC3D7A" w:rsidRPr="00910E94">
        <w:rPr>
          <w:rFonts w:ascii="Times New Roman" w:hAnsi="Times New Roman"/>
          <w:sz w:val="24"/>
          <w:lang w:val="es-ES_tradnl"/>
        </w:rPr>
        <w:t>de 20</w:t>
      </w:r>
      <w:r w:rsidRPr="00910E94">
        <w:rPr>
          <w:rFonts w:ascii="Times New Roman" w:hAnsi="Times New Roman"/>
          <w:sz w:val="24"/>
          <w:lang w:val="es-ES_tradnl"/>
        </w:rPr>
        <w:t>15</w:t>
      </w:r>
      <w:r w:rsidR="00344EE2">
        <w:rPr>
          <w:rFonts w:ascii="Times New Roman" w:hAnsi="Times New Roman"/>
          <w:sz w:val="24"/>
          <w:lang w:val="es-ES_tradnl"/>
        </w:rPr>
        <w:t xml:space="preserve">.  </w:t>
      </w:r>
      <w:r w:rsidRPr="00910E94">
        <w:rPr>
          <w:rFonts w:ascii="Times New Roman" w:hAnsi="Times New Roman"/>
          <w:sz w:val="24"/>
          <w:lang w:val="es-ES_tradnl"/>
        </w:rPr>
        <w:t xml:space="preserve">A continuación, se examinará la posibilidad de dejar constancia más detalladamente en los estados financieros </w:t>
      </w:r>
      <w:r w:rsidR="00CC3D7A" w:rsidRPr="00910E94">
        <w:rPr>
          <w:rFonts w:ascii="Times New Roman" w:hAnsi="Times New Roman"/>
          <w:sz w:val="24"/>
          <w:lang w:val="es-ES_tradnl"/>
        </w:rPr>
        <w:t>de 20</w:t>
      </w:r>
      <w:r w:rsidRPr="00910E94">
        <w:rPr>
          <w:rFonts w:ascii="Times New Roman" w:hAnsi="Times New Roman"/>
          <w:sz w:val="24"/>
          <w:lang w:val="es-ES_tradnl"/>
        </w:rPr>
        <w:t>15</w:t>
      </w:r>
      <w:r w:rsidR="00344EE2">
        <w:rPr>
          <w:rFonts w:ascii="Times New Roman" w:hAnsi="Times New Roman"/>
          <w:sz w:val="24"/>
          <w:lang w:val="es-ES_tradnl"/>
        </w:rPr>
        <w:t xml:space="preserve">.  </w:t>
      </w:r>
      <w:r w:rsidRPr="00910E94">
        <w:rPr>
          <w:rFonts w:ascii="Times New Roman" w:hAnsi="Times New Roman"/>
          <w:sz w:val="24"/>
          <w:lang w:val="es-ES_tradnl"/>
        </w:rPr>
        <w:t>Añadió que, tras la publicación de una nueva orden de servicio sobre gestión de activos, la División de Infraestructura de Locales será responsable de recopilar las obras de arte y se adoptarán varias medidas, entre ellas el reforzamiento de los sistemas de seguridad.</w:t>
      </w:r>
    </w:p>
    <w:p w:rsidR="00DB5B5B" w:rsidRPr="00910E94" w:rsidRDefault="00DB5B5B" w:rsidP="004B5314">
      <w:pPr>
        <w:pStyle w:val="Default"/>
        <w:keepNext/>
        <w:spacing w:before="120" w:after="120" w:line="360" w:lineRule="auto"/>
        <w:jc w:val="both"/>
        <w:rPr>
          <w:rFonts w:ascii="Times New Roman" w:eastAsia="Calibri" w:hAnsi="Times New Roman" w:cs="Times New Roman"/>
          <w:b/>
          <w:bCs/>
          <w:color w:val="1F497D"/>
          <w:lang w:val="es-ES_tradnl"/>
        </w:rPr>
      </w:pPr>
      <w:r w:rsidRPr="00910E94">
        <w:rPr>
          <w:rFonts w:ascii="Times New Roman" w:hAnsi="Times New Roman"/>
          <w:b/>
          <w:color w:val="1F497D"/>
          <w:lang w:val="es-ES_tradnl"/>
        </w:rPr>
        <w:t xml:space="preserve">Conciliación del estado comparativo de importes presupuestados y reales y del estado de rendimiento financiero </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El estado financiero V, que forma parte de los estados financieros anuale</w:t>
      </w:r>
      <w:r w:rsidR="004A14D2" w:rsidRPr="00910E94">
        <w:rPr>
          <w:rFonts w:ascii="Times New Roman" w:hAnsi="Times New Roman"/>
          <w:sz w:val="24"/>
          <w:lang w:val="es-ES_tradnl"/>
        </w:rPr>
        <w:t>s de la OMPI correspondientes a </w:t>
      </w:r>
      <w:r w:rsidRPr="00910E94">
        <w:rPr>
          <w:rFonts w:ascii="Times New Roman" w:hAnsi="Times New Roman"/>
          <w:sz w:val="24"/>
          <w:lang w:val="es-ES_tradnl"/>
        </w:rPr>
        <w:t>2014,</w:t>
      </w:r>
      <w:r w:rsidR="003C43E1" w:rsidRPr="00910E94">
        <w:rPr>
          <w:rFonts w:ascii="Times New Roman" w:hAnsi="Times New Roman"/>
          <w:sz w:val="24"/>
          <w:lang w:val="es-ES_tradnl"/>
        </w:rPr>
        <w:t xml:space="preserve"> </w:t>
      </w:r>
      <w:r w:rsidRPr="00910E94">
        <w:rPr>
          <w:rFonts w:ascii="Times New Roman" w:hAnsi="Times New Roman"/>
          <w:sz w:val="24"/>
          <w:lang w:val="es-ES_tradnl"/>
        </w:rPr>
        <w:t>ofrece una comparación entre importes presupuestados y reales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Se </w:t>
      </w:r>
      <w:r w:rsidRPr="00910E94">
        <w:rPr>
          <w:rFonts w:ascii="Times New Roman" w:hAnsi="Times New Roman"/>
          <w:sz w:val="24"/>
          <w:lang w:val="es-ES_tradnl"/>
        </w:rPr>
        <w:lastRenderedPageBreak/>
        <w:t>han producido desviaciones significativas entre los importes presupuestados y reales en muchas partidas de gastos e ingresos</w:t>
      </w:r>
      <w:r w:rsidR="00344EE2">
        <w:rPr>
          <w:rFonts w:ascii="Times New Roman" w:hAnsi="Times New Roman"/>
          <w:sz w:val="24"/>
          <w:lang w:val="es-ES_tradnl"/>
        </w:rPr>
        <w:t xml:space="preserve">.  </w:t>
      </w:r>
    </w:p>
    <w:p w:rsidR="00DB5B5B" w:rsidRPr="00910E94" w:rsidRDefault="00CC3D7A" w:rsidP="004B531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El apartado 14, letra c), de la</w:t>
      </w:r>
      <w:r w:rsidR="0082164D">
        <w:rPr>
          <w:rFonts w:ascii="Times New Roman" w:hAnsi="Times New Roman"/>
          <w:sz w:val="24"/>
          <w:lang w:val="es-ES_tradnl"/>
        </w:rPr>
        <w:t xml:space="preserve"> norma</w:t>
      </w:r>
      <w:r w:rsidRPr="00910E94">
        <w:rPr>
          <w:rFonts w:ascii="Times New Roman" w:hAnsi="Times New Roman"/>
          <w:sz w:val="24"/>
          <w:lang w:val="es-ES_tradnl"/>
        </w:rPr>
        <w:t xml:space="preserve"> IPSAS </w:t>
      </w:r>
      <w:r w:rsidR="00DB5B5B" w:rsidRPr="00910E94">
        <w:rPr>
          <w:rFonts w:ascii="Times New Roman" w:hAnsi="Times New Roman"/>
          <w:sz w:val="24"/>
          <w:lang w:val="es-ES_tradnl"/>
        </w:rPr>
        <w:t>24 exige que la comparación entre los importes presupuestados y reales presentará separadamente, para cada nivel de supervisión legislativa, por medio de una nota informativa, una explicación de las diferencias sustanciales entre el presupuesto para el que la entidad tiene la obligación pública de rendir cuentas y los importes reales, a menos que esta explicación se incluya en otros documentos públicos emitidos junto con los estados financieros y se haga una referencia a esos documentos en las notas.</w:t>
      </w:r>
    </w:p>
    <w:p w:rsidR="00DB5B5B" w:rsidRPr="00910E94" w:rsidRDefault="00CC3D7A"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Conforme a la nota </w:t>
      </w:r>
      <w:r w:rsidR="00DB5B5B" w:rsidRPr="00910E94">
        <w:rPr>
          <w:rFonts w:ascii="Times New Roman" w:hAnsi="Times New Roman"/>
          <w:sz w:val="24"/>
          <w:lang w:val="es-ES_tradnl"/>
        </w:rPr>
        <w:t xml:space="preserve">22, el informe sobre el rendimiento de los programas </w:t>
      </w:r>
      <w:r w:rsidRPr="00910E94">
        <w:rPr>
          <w:rFonts w:ascii="Times New Roman" w:hAnsi="Times New Roman"/>
          <w:sz w:val="24"/>
          <w:lang w:val="es-ES_tradnl"/>
        </w:rPr>
        <w:t>de 20</w:t>
      </w:r>
      <w:r w:rsidR="00DB5B5B" w:rsidRPr="00910E94">
        <w:rPr>
          <w:rFonts w:ascii="Times New Roman" w:hAnsi="Times New Roman"/>
          <w:sz w:val="24"/>
          <w:lang w:val="es-ES_tradnl"/>
        </w:rPr>
        <w:t>14 ofrece una explicación de los cambios producidos entre el presupuesto inicial y el final después de las transferencias, y las diferencias sustanciales entre los importes presupuestados y los reales</w:t>
      </w:r>
      <w:r w:rsidR="00344EE2">
        <w:rPr>
          <w:rFonts w:ascii="Times New Roman" w:hAnsi="Times New Roman"/>
          <w:sz w:val="24"/>
          <w:lang w:val="es-ES_tradnl"/>
        </w:rPr>
        <w:t xml:space="preserve">.  </w:t>
      </w:r>
      <w:r w:rsidR="00DB5B5B" w:rsidRPr="00910E94">
        <w:rPr>
          <w:rFonts w:ascii="Times New Roman" w:hAnsi="Times New Roman"/>
          <w:sz w:val="24"/>
          <w:lang w:val="es-ES_tradnl"/>
        </w:rPr>
        <w:t xml:space="preserve">Hemos observado que el informe sobre el rendimiento de los programas </w:t>
      </w:r>
      <w:r w:rsidRPr="00910E94">
        <w:rPr>
          <w:rFonts w:ascii="Times New Roman" w:hAnsi="Times New Roman"/>
          <w:sz w:val="24"/>
          <w:lang w:val="es-ES_tradnl"/>
        </w:rPr>
        <w:t>de 20</w:t>
      </w:r>
      <w:r w:rsidR="00DB5B5B" w:rsidRPr="00910E94">
        <w:rPr>
          <w:rFonts w:ascii="Times New Roman" w:hAnsi="Times New Roman"/>
          <w:sz w:val="24"/>
          <w:lang w:val="es-ES_tradnl"/>
        </w:rPr>
        <w:t>14 no fue elaborado hasta el momento de la auditoría</w:t>
      </w:r>
      <w:r w:rsidR="00344EE2">
        <w:rPr>
          <w:rFonts w:ascii="Times New Roman" w:hAnsi="Times New Roman"/>
          <w:sz w:val="24"/>
          <w:lang w:val="es-ES_tradnl"/>
        </w:rPr>
        <w:t xml:space="preserve">.  </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La OMPI señaló que los estados financieros auditados finales se presentan, por lo general, al PBC al mismo tiempo que el informe sobre el rendimiento de los programas y no es necesario repetir esa información en ambos documentos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OMPI comunicó que </w:t>
      </w:r>
      <w:r w:rsidR="00CC3D7A" w:rsidRPr="00910E94">
        <w:rPr>
          <w:rFonts w:ascii="Times New Roman" w:hAnsi="Times New Roman"/>
          <w:sz w:val="24"/>
          <w:lang w:val="es-ES_tradnl"/>
        </w:rPr>
        <w:t>en 20</w:t>
      </w:r>
      <w:r w:rsidRPr="00910E94">
        <w:rPr>
          <w:rFonts w:ascii="Times New Roman" w:hAnsi="Times New Roman"/>
          <w:sz w:val="24"/>
          <w:lang w:val="es-ES_tradnl"/>
        </w:rPr>
        <w:t>15 está previsto presentar el informe sobre el rendimiento de los programas en la sesión de julio del PBC, es decir con anterioridad a la formulación de los estados financieros.</w:t>
      </w:r>
    </w:p>
    <w:p w:rsidR="00DB5B5B" w:rsidRPr="00910E94" w:rsidRDefault="00DB5B5B" w:rsidP="00101066">
      <w:pPr>
        <w:pStyle w:val="Default"/>
        <w:keepNext/>
        <w:spacing w:before="120" w:after="120" w:line="360" w:lineRule="auto"/>
        <w:jc w:val="both"/>
        <w:rPr>
          <w:rFonts w:ascii="Times New Roman" w:eastAsia="Calibri" w:hAnsi="Times New Roman" w:cs="Times New Roman"/>
          <w:b/>
          <w:bCs/>
          <w:color w:val="auto"/>
          <w:lang w:val="es-ES_tradnl"/>
        </w:rPr>
      </w:pPr>
      <w:r w:rsidRPr="00910E94">
        <w:rPr>
          <w:rFonts w:ascii="Times New Roman" w:hAnsi="Times New Roman"/>
          <w:b/>
          <w:color w:val="auto"/>
          <w:lang w:val="es-ES_tradnl"/>
        </w:rPr>
        <w:t>Recomendación</w:t>
      </w:r>
      <w:r w:rsidR="00101066" w:rsidRPr="00910E94">
        <w:rPr>
          <w:rFonts w:ascii="Times New Roman" w:hAnsi="Times New Roman"/>
          <w:b/>
          <w:color w:val="auto"/>
          <w:lang w:val="es-ES_tradnl"/>
        </w:rPr>
        <w:t> </w:t>
      </w:r>
      <w:r w:rsidRPr="00910E94">
        <w:rPr>
          <w:rFonts w:ascii="Times New Roman" w:hAnsi="Times New Roman"/>
          <w:b/>
          <w:color w:val="auto"/>
          <w:lang w:val="es-ES_tradnl"/>
        </w:rPr>
        <w:t>3</w:t>
      </w:r>
    </w:p>
    <w:p w:rsidR="00DB5B5B" w:rsidRPr="00910E94" w:rsidRDefault="00DB5B5B" w:rsidP="004B5314">
      <w:pPr>
        <w:pStyle w:val="Default"/>
        <w:keepNext/>
        <w:spacing w:before="120" w:after="120" w:line="360" w:lineRule="auto"/>
        <w:jc w:val="both"/>
        <w:rPr>
          <w:rFonts w:ascii="Times New Roman" w:eastAsia="Calibri" w:hAnsi="Times New Roman" w:cs="Times New Roman"/>
          <w:b/>
          <w:lang w:val="es-ES_tradnl"/>
        </w:rPr>
      </w:pPr>
      <w:r w:rsidRPr="00910E94">
        <w:rPr>
          <w:rFonts w:ascii="Times New Roman" w:hAnsi="Times New Roman"/>
          <w:b/>
          <w:lang w:val="es-ES_tradnl"/>
        </w:rPr>
        <w:t>Conviene que la OMPI estudie elaborar el informe sobre el rendimiento de los programas antes de la finalización de la auditoría financiera o proporcione una explicación de las diferencias entre los importes presupuestados y reales en los estados financie</w:t>
      </w:r>
      <w:r w:rsidR="00101066" w:rsidRPr="00910E94">
        <w:rPr>
          <w:rFonts w:ascii="Times New Roman" w:hAnsi="Times New Roman"/>
          <w:b/>
          <w:lang w:val="es-ES_tradnl"/>
        </w:rPr>
        <w:t xml:space="preserve">ros de conformidad con la </w:t>
      </w:r>
      <w:r w:rsidR="0082164D">
        <w:rPr>
          <w:rFonts w:ascii="Times New Roman" w:hAnsi="Times New Roman"/>
          <w:b/>
          <w:lang w:val="es-ES_tradnl"/>
        </w:rPr>
        <w:t xml:space="preserve">norma </w:t>
      </w:r>
      <w:r w:rsidR="00101066" w:rsidRPr="00910E94">
        <w:rPr>
          <w:rFonts w:ascii="Times New Roman" w:hAnsi="Times New Roman"/>
          <w:b/>
          <w:lang w:val="es-ES_tradnl"/>
        </w:rPr>
        <w:t>IPSAS </w:t>
      </w:r>
      <w:r w:rsidRPr="00910E94">
        <w:rPr>
          <w:rFonts w:ascii="Times New Roman" w:hAnsi="Times New Roman"/>
          <w:b/>
          <w:lang w:val="es-ES_tradnl"/>
        </w:rPr>
        <w:t>24.</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La OMPI declaró que, en el futuro, se dará a conocer, en el marco de la auditoría, el borrador de las explicaciones sobre los recursos elaboradas para el informe sobre el rendimiento de los programas.</w:t>
      </w:r>
    </w:p>
    <w:p w:rsidR="00DB5B5B" w:rsidRPr="00910E94" w:rsidRDefault="00DB5B5B" w:rsidP="004B5314">
      <w:pPr>
        <w:pStyle w:val="Default"/>
        <w:keepNext/>
        <w:spacing w:before="120" w:after="120" w:line="360" w:lineRule="auto"/>
        <w:jc w:val="both"/>
        <w:rPr>
          <w:rFonts w:ascii="Times New Roman" w:hAnsi="Times New Roman" w:cs="Times New Roman"/>
          <w:lang w:val="es-ES_tradnl"/>
        </w:rPr>
      </w:pPr>
      <w:r w:rsidRPr="00910E94">
        <w:rPr>
          <w:rFonts w:ascii="Times New Roman" w:hAnsi="Times New Roman"/>
          <w:b/>
          <w:color w:val="1F497D"/>
          <w:lang w:val="es-ES_tradnl"/>
        </w:rPr>
        <w:t xml:space="preserve">Demoras en la recepción de las tasas </w:t>
      </w:r>
    </w:p>
    <w:p w:rsidR="00DB5B5B" w:rsidRPr="00910E94" w:rsidRDefault="00101066"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Con arreglo a los párrafos 272 y </w:t>
      </w:r>
      <w:r w:rsidR="00DB5B5B" w:rsidRPr="00910E94">
        <w:rPr>
          <w:rFonts w:ascii="Times New Roman" w:hAnsi="Times New Roman"/>
          <w:sz w:val="24"/>
          <w:lang w:val="es-ES_tradnl"/>
        </w:rPr>
        <w:t xml:space="preserve">273 de las Directrices de la OMPI para la tramitación de solicitudes internacionales por las Oficinas receptoras del Tratado de Cooperación en materia de Patentes, en su versión vigente el 1 de julio </w:t>
      </w:r>
      <w:r w:rsidR="00CC3D7A" w:rsidRPr="00910E94">
        <w:rPr>
          <w:rFonts w:ascii="Times New Roman" w:hAnsi="Times New Roman"/>
          <w:sz w:val="24"/>
          <w:lang w:val="es-ES_tradnl"/>
        </w:rPr>
        <w:t>de 20</w:t>
      </w:r>
      <w:r w:rsidR="00DB5B5B" w:rsidRPr="00910E94">
        <w:rPr>
          <w:rFonts w:ascii="Times New Roman" w:hAnsi="Times New Roman"/>
          <w:sz w:val="24"/>
          <w:lang w:val="es-ES_tradnl"/>
        </w:rPr>
        <w:t xml:space="preserve">13, interpretados a la luz de la </w:t>
      </w:r>
      <w:r w:rsidR="00DB5B5B" w:rsidRPr="00910E94">
        <w:rPr>
          <w:rFonts w:ascii="Times New Roman" w:hAnsi="Times New Roman"/>
          <w:sz w:val="24"/>
          <w:lang w:val="es-ES_tradnl"/>
        </w:rPr>
        <w:lastRenderedPageBreak/>
        <w:t>regla</w:t>
      </w:r>
      <w:r w:rsidRPr="00910E94">
        <w:rPr>
          <w:rFonts w:ascii="Times New Roman" w:hAnsi="Times New Roman"/>
          <w:sz w:val="24"/>
          <w:lang w:val="es-ES_tradnl"/>
        </w:rPr>
        <w:t> </w:t>
      </w:r>
      <w:r w:rsidR="00DB5B5B" w:rsidRPr="00910E94">
        <w:rPr>
          <w:rFonts w:ascii="Times New Roman" w:hAnsi="Times New Roman"/>
          <w:sz w:val="24"/>
          <w:lang w:val="es-ES_tradnl"/>
        </w:rPr>
        <w:t>15.2.c) y</w:t>
      </w:r>
      <w:r w:rsidRPr="00910E94">
        <w:rPr>
          <w:rFonts w:ascii="Times New Roman" w:hAnsi="Times New Roman"/>
          <w:sz w:val="24"/>
          <w:lang w:val="es-ES_tradnl"/>
        </w:rPr>
        <w:t> d) y la regla 16.1.c) y </w:t>
      </w:r>
      <w:r w:rsidR="00DB5B5B" w:rsidRPr="00910E94">
        <w:rPr>
          <w:rFonts w:ascii="Times New Roman" w:hAnsi="Times New Roman"/>
          <w:sz w:val="24"/>
          <w:lang w:val="es-ES_tradnl"/>
        </w:rPr>
        <w:t>d) del Reglamento del PCT, las Oficinas receptoras, esto es las oficinas de propiedad intelectual</w:t>
      </w:r>
      <w:r w:rsidR="0082164D">
        <w:rPr>
          <w:rFonts w:ascii="Times New Roman" w:hAnsi="Times New Roman"/>
          <w:sz w:val="24"/>
          <w:lang w:val="es-ES_tradnl"/>
        </w:rPr>
        <w:t xml:space="preserve"> (OPI)</w:t>
      </w:r>
      <w:r w:rsidR="00DB5B5B" w:rsidRPr="00910E94">
        <w:rPr>
          <w:rFonts w:ascii="Times New Roman" w:hAnsi="Times New Roman"/>
          <w:sz w:val="24"/>
          <w:lang w:val="es-ES_tradnl"/>
        </w:rPr>
        <w:t>, deberán transferir mensualmente a la Oficina Internacional y a la Administración encargada de la búsqueda internacional respectivamente, los importes recibidos en concepto de tasas de presentación de solicitudes internacionales y tasas de búsqueda durante el mes precedente</w:t>
      </w:r>
      <w:r w:rsidR="00344EE2">
        <w:rPr>
          <w:rFonts w:ascii="Times New Roman" w:hAnsi="Times New Roman"/>
          <w:sz w:val="24"/>
          <w:lang w:val="es-ES_tradnl"/>
        </w:rPr>
        <w:t xml:space="preserve">.  </w:t>
      </w:r>
      <w:r w:rsidR="00DB5B5B" w:rsidRPr="00910E94">
        <w:rPr>
          <w:rFonts w:ascii="Times New Roman" w:hAnsi="Times New Roman"/>
          <w:sz w:val="24"/>
          <w:lang w:val="es-ES_tradnl"/>
        </w:rPr>
        <w:t>Al transferir la tasa de presentación de solicitud internacional, las oficinas de propiedad intelectual deberán comunicar, por correo, fax o por medios electrónicos, a la Oficina Internacional el número de solicitud internacional, el nombre del solicitante y el importe total de la tasa de presentación de solicitud internacional.</w:t>
      </w:r>
    </w:p>
    <w:p w:rsidR="00DB5B5B" w:rsidRPr="00910E94" w:rsidRDefault="00DB5B5B" w:rsidP="004B531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Hemos detectado que las disposiciones antes citadas no han sido seguidas por la Oficina Estatal de Propiedad Intelectual </w:t>
      </w:r>
      <w:r w:rsidR="0082164D">
        <w:rPr>
          <w:rFonts w:ascii="Times New Roman" w:hAnsi="Times New Roman"/>
          <w:sz w:val="24"/>
          <w:lang w:val="es-ES_tradnl"/>
        </w:rPr>
        <w:t>(SIPO) de</w:t>
      </w:r>
      <w:r w:rsidR="00101066" w:rsidRPr="00910E94">
        <w:rPr>
          <w:rFonts w:ascii="Times New Roman" w:hAnsi="Times New Roman"/>
          <w:sz w:val="24"/>
          <w:lang w:val="es-ES_tradnl"/>
        </w:rPr>
        <w:t xml:space="preserve"> China, produciéndose </w:t>
      </w:r>
      <w:r w:rsidR="00CC3D7A" w:rsidRPr="00910E94">
        <w:rPr>
          <w:rFonts w:ascii="Times New Roman" w:hAnsi="Times New Roman"/>
          <w:sz w:val="24"/>
          <w:lang w:val="es-ES_tradnl"/>
        </w:rPr>
        <w:t>en 20</w:t>
      </w:r>
      <w:r w:rsidRPr="00910E94">
        <w:rPr>
          <w:rFonts w:ascii="Times New Roman" w:hAnsi="Times New Roman"/>
          <w:sz w:val="24"/>
          <w:lang w:val="es-ES_tradnl"/>
        </w:rPr>
        <w:t>14 demoras significativas de entre tres y doce meses en la recepción de las tasas de la SIPO</w:t>
      </w:r>
      <w:r w:rsidR="00344EE2">
        <w:rPr>
          <w:rFonts w:ascii="Times New Roman" w:hAnsi="Times New Roman"/>
          <w:sz w:val="24"/>
          <w:lang w:val="es-ES_tradnl"/>
        </w:rPr>
        <w:t xml:space="preserve">.  </w:t>
      </w:r>
      <w:r w:rsidRPr="00910E94">
        <w:rPr>
          <w:rFonts w:ascii="Times New Roman" w:hAnsi="Times New Roman"/>
          <w:sz w:val="24"/>
          <w:lang w:val="es-ES_tradnl"/>
        </w:rPr>
        <w:t>Últimam</w:t>
      </w:r>
      <w:r w:rsidR="003C43E1" w:rsidRPr="00910E94">
        <w:rPr>
          <w:rFonts w:ascii="Times New Roman" w:hAnsi="Times New Roman"/>
          <w:sz w:val="24"/>
          <w:lang w:val="es-ES_tradnl"/>
        </w:rPr>
        <w:t xml:space="preserve">ente se han conseguido algunas </w:t>
      </w:r>
      <w:r w:rsidRPr="00910E94">
        <w:rPr>
          <w:rFonts w:ascii="Times New Roman" w:hAnsi="Times New Roman"/>
          <w:sz w:val="24"/>
          <w:lang w:val="es-ES_tradnl"/>
        </w:rPr>
        <w:t>mejoras en la recepción de las tasas de la SIPO, si bien aún se registran demoras medias superiores a tres meses</w:t>
      </w:r>
      <w:r w:rsidR="00344EE2">
        <w:rPr>
          <w:rFonts w:ascii="Times New Roman" w:hAnsi="Times New Roman"/>
          <w:sz w:val="24"/>
          <w:lang w:val="es-ES_tradnl"/>
        </w:rPr>
        <w:t xml:space="preserve">.  </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La OMPI señaló que, desde hace tiempo, la Oficina Internacional mantiene contactos regulares con la Oficina Estatal de Propiedad Intelectual (SIPO) acerca de la puntualidad de las transferencias de las tasas de presentación de solicitudes internacionales y las tasas de tramitación.</w:t>
      </w:r>
    </w:p>
    <w:p w:rsidR="00DB5B5B" w:rsidRPr="00910E94" w:rsidRDefault="00DB5B5B" w:rsidP="004B5314">
      <w:pPr>
        <w:keepNext/>
        <w:autoSpaceDE w:val="0"/>
        <w:autoSpaceDN w:val="0"/>
        <w:adjustRightInd w:val="0"/>
        <w:spacing w:before="120" w:after="120" w:line="360" w:lineRule="auto"/>
        <w:jc w:val="both"/>
        <w:rPr>
          <w:rFonts w:ascii="Times New Roman" w:hAnsi="Times New Roman" w:cs="Times New Roman"/>
          <w:b/>
          <w:bCs/>
          <w:sz w:val="24"/>
          <w:szCs w:val="24"/>
          <w:lang w:val="es-ES_tradnl"/>
        </w:rPr>
      </w:pPr>
      <w:r w:rsidRPr="00910E94">
        <w:rPr>
          <w:rFonts w:ascii="Times New Roman" w:hAnsi="Times New Roman"/>
          <w:b/>
          <w:sz w:val="24"/>
          <w:lang w:val="es-ES_tradnl"/>
        </w:rPr>
        <w:t>Recomendación 4</w:t>
      </w:r>
    </w:p>
    <w:p w:rsidR="00DB5B5B" w:rsidRPr="00910E94" w:rsidRDefault="00DB5B5B" w:rsidP="004B5314">
      <w:pPr>
        <w:keepNext/>
        <w:autoSpaceDE w:val="0"/>
        <w:autoSpaceDN w:val="0"/>
        <w:adjustRightInd w:val="0"/>
        <w:spacing w:before="120" w:after="120" w:line="360" w:lineRule="auto"/>
        <w:jc w:val="both"/>
        <w:rPr>
          <w:rFonts w:ascii="Times New Roman" w:hAnsi="Times New Roman" w:cs="Times New Roman"/>
          <w:b/>
          <w:sz w:val="24"/>
          <w:szCs w:val="24"/>
          <w:lang w:val="es-ES_tradnl"/>
        </w:rPr>
      </w:pPr>
      <w:r w:rsidRPr="00910E94">
        <w:rPr>
          <w:rFonts w:ascii="Times New Roman" w:hAnsi="Times New Roman"/>
          <w:b/>
          <w:sz w:val="24"/>
          <w:lang w:val="es-ES_tradnl"/>
        </w:rPr>
        <w:t>Conviene que la Oficina Internacional redoble sus esfuerzos para recibir sin demora las tasas de las oficinas de propiedad intelectual</w:t>
      </w:r>
      <w:r w:rsidR="00344EE2">
        <w:rPr>
          <w:rFonts w:ascii="Times New Roman" w:hAnsi="Times New Roman"/>
          <w:b/>
          <w:sz w:val="24"/>
          <w:lang w:val="es-ES_tradnl"/>
        </w:rPr>
        <w:t xml:space="preserve">.  </w:t>
      </w:r>
    </w:p>
    <w:p w:rsidR="00DB5B5B" w:rsidRPr="00910E94" w:rsidRDefault="00DB5B5B"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b/>
          <w:sz w:val="24"/>
          <w:szCs w:val="24"/>
          <w:lang w:val="es-ES_tradnl"/>
        </w:rPr>
      </w:pPr>
      <w:r w:rsidRPr="00910E94">
        <w:rPr>
          <w:rFonts w:ascii="Times New Roman" w:hAnsi="Times New Roman"/>
          <w:sz w:val="24"/>
          <w:lang w:val="es-ES_tradnl"/>
        </w:rPr>
        <w:t xml:space="preserve">La OMPI aceptó la recomendación e indicó que la SIPO ha logrado avances constantes a este respecto y desde comienzos </w:t>
      </w:r>
      <w:r w:rsidR="00CC3D7A" w:rsidRPr="00910E94">
        <w:rPr>
          <w:rFonts w:ascii="Times New Roman" w:hAnsi="Times New Roman"/>
          <w:sz w:val="24"/>
          <w:lang w:val="es-ES_tradnl"/>
        </w:rPr>
        <w:t>de 20</w:t>
      </w:r>
      <w:r w:rsidRPr="00910E94">
        <w:rPr>
          <w:rFonts w:ascii="Times New Roman" w:hAnsi="Times New Roman"/>
          <w:sz w:val="24"/>
          <w:lang w:val="es-ES_tradnl"/>
        </w:rPr>
        <w:t>15, el tiempo medio de transferencia de las tasas se ha reducido a tres meses, lo que supone una mejora notable con respecto al mismo período del año 2014</w:t>
      </w:r>
      <w:r w:rsidR="00344EE2">
        <w:rPr>
          <w:rFonts w:ascii="Times New Roman" w:hAnsi="Times New Roman"/>
          <w:sz w:val="24"/>
          <w:lang w:val="es-ES_tradnl"/>
        </w:rPr>
        <w:t xml:space="preserve">.  </w:t>
      </w:r>
      <w:r w:rsidRPr="00910E94">
        <w:rPr>
          <w:rFonts w:ascii="Times New Roman" w:hAnsi="Times New Roman"/>
          <w:sz w:val="24"/>
          <w:lang w:val="es-ES_tradnl"/>
        </w:rPr>
        <w:t>Añadió que la Oficina Internacional está comprometida a seguir trabajando con la SIPO en esta cuestión y cabe esperar nuevos avances en un futuro próximo</w:t>
      </w:r>
      <w:r w:rsidR="00344EE2">
        <w:rPr>
          <w:rFonts w:ascii="Times New Roman" w:hAnsi="Times New Roman"/>
          <w:sz w:val="24"/>
          <w:lang w:val="es-ES_tradnl"/>
        </w:rPr>
        <w:t xml:space="preserve">.  </w:t>
      </w:r>
    </w:p>
    <w:p w:rsidR="00DC5084" w:rsidRPr="00910E94" w:rsidRDefault="00C910BF" w:rsidP="00101066">
      <w:pPr>
        <w:pStyle w:val="Default"/>
        <w:keepNext/>
        <w:autoSpaceDE/>
        <w:autoSpaceDN/>
        <w:adjustRightInd/>
        <w:spacing w:before="360" w:after="360" w:line="360" w:lineRule="auto"/>
        <w:rPr>
          <w:rFonts w:ascii="Times New Roman" w:hAnsi="Times New Roman" w:cs="Times New Roman"/>
          <w:b/>
          <w:color w:val="1F497D"/>
          <w:sz w:val="28"/>
          <w:szCs w:val="28"/>
          <w:lang w:val="es-ES_tradnl"/>
        </w:rPr>
      </w:pPr>
      <w:r w:rsidRPr="00910E94">
        <w:rPr>
          <w:rFonts w:ascii="Times New Roman" w:hAnsi="Times New Roman"/>
          <w:b/>
          <w:color w:val="1F497D"/>
          <w:sz w:val="28"/>
          <w:lang w:val="es-ES_tradnl"/>
        </w:rPr>
        <w:t xml:space="preserve">Sistema de planificación de los recursos institucionales </w:t>
      </w:r>
    </w:p>
    <w:p w:rsidR="002E55C1" w:rsidRPr="00910E94" w:rsidRDefault="00DD15B9" w:rsidP="00101066">
      <w:pPr>
        <w:keepNext/>
        <w:spacing w:before="120" w:after="120" w:line="360" w:lineRule="auto"/>
        <w:rPr>
          <w:rFonts w:ascii="Times New Roman" w:hAnsi="Times New Roman"/>
          <w:b/>
          <w:color w:val="17365D"/>
          <w:sz w:val="24"/>
          <w:szCs w:val="24"/>
          <w:lang w:val="es-ES_tradnl"/>
        </w:rPr>
      </w:pPr>
      <w:r w:rsidRPr="00910E94">
        <w:rPr>
          <w:rFonts w:ascii="Times New Roman" w:hAnsi="Times New Roman"/>
          <w:b/>
          <w:color w:val="17365D"/>
          <w:sz w:val="24"/>
          <w:lang w:val="es-ES_tradnl"/>
        </w:rPr>
        <w:t>Antecedentes</w:t>
      </w:r>
    </w:p>
    <w:p w:rsidR="00E835E0"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La OMPI optó </w:t>
      </w:r>
      <w:r w:rsidR="00CC3D7A" w:rsidRPr="00910E94">
        <w:rPr>
          <w:rFonts w:ascii="Times New Roman" w:hAnsi="Times New Roman"/>
          <w:sz w:val="24"/>
          <w:lang w:val="es-ES_tradnl"/>
        </w:rPr>
        <w:t>en 20</w:t>
      </w:r>
      <w:r w:rsidRPr="00910E94">
        <w:rPr>
          <w:rFonts w:ascii="Times New Roman" w:hAnsi="Times New Roman"/>
          <w:sz w:val="24"/>
          <w:lang w:val="es-ES_tradnl"/>
        </w:rPr>
        <w:t xml:space="preserve">03 por instaurar gradualmente el sistema de planificación de los recursos institucionales, y los Estados miembros aprobaron la ejecución del proyecto del </w:t>
      </w:r>
      <w:r w:rsidRPr="00910E94">
        <w:rPr>
          <w:rFonts w:ascii="Times New Roman" w:hAnsi="Times New Roman"/>
          <w:sz w:val="24"/>
          <w:lang w:val="es-ES_tradnl"/>
        </w:rPr>
        <w:lastRenderedPageBreak/>
        <w:t>sistema automatizado de gestión de la información (AIMS) para hacer frente a las necesidades de presentación de información financiera y presupuestaria de la OMPI.</w:t>
      </w:r>
    </w:p>
    <w:p w:rsidR="002E55C1" w:rsidRPr="00910E94" w:rsidRDefault="002E55C1" w:rsidP="00E835E0">
      <w:pPr>
        <w:pStyle w:val="ListParagraph"/>
        <w:autoSpaceDE w:val="0"/>
        <w:autoSpaceDN w:val="0"/>
        <w:adjustRightInd w:val="0"/>
        <w:spacing w:before="120" w:after="120" w:line="360" w:lineRule="auto"/>
        <w:ind w:left="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El sistema AIMS se terminó a tiempo respetando los importes presupuestados, y ha estado en funcionamiento efectivo des</w:t>
      </w:r>
      <w:r w:rsidR="00CC3D7A" w:rsidRPr="00910E94">
        <w:rPr>
          <w:rFonts w:ascii="Times New Roman" w:hAnsi="Times New Roman"/>
          <w:sz w:val="24"/>
          <w:lang w:val="es-ES_tradnl"/>
        </w:rPr>
        <w:t>de 20</w:t>
      </w:r>
      <w:r w:rsidRPr="00910E94">
        <w:rPr>
          <w:rFonts w:ascii="Times New Roman" w:hAnsi="Times New Roman"/>
          <w:sz w:val="24"/>
          <w:lang w:val="es-ES_tradnl"/>
        </w:rPr>
        <w:t>04</w:t>
      </w:r>
      <w:r w:rsidR="00344EE2">
        <w:rPr>
          <w:rFonts w:ascii="Times New Roman" w:hAnsi="Times New Roman"/>
          <w:sz w:val="24"/>
          <w:lang w:val="es-ES_tradnl"/>
        </w:rPr>
        <w:t xml:space="preserve">.  </w:t>
      </w:r>
      <w:r w:rsidR="00CC3D7A" w:rsidRPr="00910E94">
        <w:rPr>
          <w:rFonts w:ascii="Times New Roman" w:hAnsi="Times New Roman"/>
          <w:sz w:val="24"/>
          <w:lang w:val="es-ES_tradnl"/>
        </w:rPr>
        <w:t>En 20</w:t>
      </w:r>
      <w:r w:rsidRPr="00910E94">
        <w:rPr>
          <w:rFonts w:ascii="Times New Roman" w:hAnsi="Times New Roman"/>
          <w:sz w:val="24"/>
          <w:lang w:val="es-ES_tradnl"/>
        </w:rPr>
        <w:t>08, los Estados miembros aprobaron el Reglamento Financiero y la Reglamentación Financiera, así como el proyecto de Normas Internacionales de Contabilidad del Sector Público (IPSAS) que comprendía la instalación de los módulos de adquisiciones y de gestión de activos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El sistema del Reglamento Financiero y la Reglamentación Financiera-IPSAS se puso en marcha en enero </w:t>
      </w:r>
      <w:r w:rsidR="00CC3D7A" w:rsidRPr="00910E94">
        <w:rPr>
          <w:rFonts w:ascii="Times New Roman" w:hAnsi="Times New Roman"/>
          <w:sz w:val="24"/>
          <w:lang w:val="es-ES_tradnl"/>
        </w:rPr>
        <w:t>de 20</w:t>
      </w:r>
      <w:r w:rsidRPr="00910E94">
        <w:rPr>
          <w:rFonts w:ascii="Times New Roman" w:hAnsi="Times New Roman"/>
          <w:sz w:val="24"/>
          <w:lang w:val="es-ES_tradnl"/>
        </w:rPr>
        <w:t>10.</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En la cuadragésima octava serie de reuniones de las Asambleas, celebrada en septiembre </w:t>
      </w:r>
      <w:r w:rsidR="00CC3D7A" w:rsidRPr="00910E94">
        <w:rPr>
          <w:rFonts w:ascii="Times New Roman" w:hAnsi="Times New Roman"/>
          <w:sz w:val="24"/>
          <w:lang w:val="es-ES_tradnl"/>
        </w:rPr>
        <w:t>de 20</w:t>
      </w:r>
      <w:r w:rsidRPr="00910E94">
        <w:rPr>
          <w:rFonts w:ascii="Times New Roman" w:hAnsi="Times New Roman"/>
          <w:sz w:val="24"/>
          <w:lang w:val="es-ES_tradnl"/>
        </w:rPr>
        <w:t xml:space="preserve">10, se aprobó la instauración de un sistema global integrado de planificación de </w:t>
      </w:r>
      <w:r w:rsidR="0082164D">
        <w:rPr>
          <w:rFonts w:ascii="Times New Roman" w:hAnsi="Times New Roman"/>
          <w:sz w:val="24"/>
          <w:lang w:val="es-ES_tradnl"/>
        </w:rPr>
        <w:t xml:space="preserve">los </w:t>
      </w:r>
      <w:r w:rsidRPr="00910E94">
        <w:rPr>
          <w:rFonts w:ascii="Times New Roman" w:hAnsi="Times New Roman"/>
          <w:sz w:val="24"/>
          <w:lang w:val="es-ES_tradnl"/>
        </w:rPr>
        <w:t>recursos institucionales (PRI) con miras a:</w:t>
      </w:r>
    </w:p>
    <w:p w:rsidR="002E55C1" w:rsidRPr="00910E94" w:rsidRDefault="002E55C1" w:rsidP="00694AD7">
      <w:pPr>
        <w:pStyle w:val="ListParagraph"/>
        <w:numPr>
          <w:ilvl w:val="0"/>
          <w:numId w:val="21"/>
        </w:numPr>
        <w:spacing w:before="120" w:after="120" w:line="360" w:lineRule="auto"/>
        <w:jc w:val="both"/>
        <w:rPr>
          <w:rFonts w:ascii="Times New Roman" w:hAnsi="Times New Roman"/>
          <w:sz w:val="24"/>
          <w:szCs w:val="24"/>
          <w:lang w:val="es-ES_tradnl"/>
        </w:rPr>
      </w:pPr>
      <w:r w:rsidRPr="00910E94">
        <w:rPr>
          <w:rFonts w:ascii="Times New Roman" w:hAnsi="Times New Roman"/>
          <w:sz w:val="24"/>
          <w:lang w:val="es-ES_tradnl"/>
        </w:rPr>
        <w:t>Modernizar las funciones esenciales en materia de administración, gestión y prestación de servicios;</w:t>
      </w:r>
    </w:p>
    <w:p w:rsidR="00731870" w:rsidRPr="00910E94" w:rsidRDefault="002E55C1" w:rsidP="002E55C1">
      <w:pPr>
        <w:pStyle w:val="ListParagraph"/>
        <w:numPr>
          <w:ilvl w:val="0"/>
          <w:numId w:val="7"/>
        </w:numPr>
        <w:spacing w:before="120" w:after="120" w:line="360" w:lineRule="auto"/>
        <w:ind w:left="709" w:hanging="369"/>
        <w:jc w:val="both"/>
        <w:rPr>
          <w:rFonts w:ascii="Times New Roman" w:hAnsi="Times New Roman"/>
          <w:sz w:val="24"/>
          <w:szCs w:val="24"/>
          <w:lang w:val="es-ES_tradnl"/>
        </w:rPr>
      </w:pPr>
      <w:r w:rsidRPr="00910E94">
        <w:rPr>
          <w:rFonts w:ascii="Times New Roman" w:hAnsi="Times New Roman"/>
          <w:sz w:val="24"/>
          <w:lang w:val="es-ES_tradnl"/>
        </w:rPr>
        <w:t>Mejorar la eficiencia y productividad de los procesos de administración y gestión;</w:t>
      </w:r>
    </w:p>
    <w:p w:rsidR="002E55C1" w:rsidRPr="00910E94" w:rsidRDefault="002E55C1" w:rsidP="002E55C1">
      <w:pPr>
        <w:pStyle w:val="ListParagraph"/>
        <w:numPr>
          <w:ilvl w:val="0"/>
          <w:numId w:val="7"/>
        </w:numPr>
        <w:spacing w:before="120" w:after="120" w:line="360" w:lineRule="auto"/>
        <w:ind w:left="709" w:hanging="369"/>
        <w:jc w:val="both"/>
        <w:rPr>
          <w:rFonts w:ascii="Times New Roman" w:hAnsi="Times New Roman"/>
          <w:sz w:val="24"/>
          <w:szCs w:val="24"/>
          <w:lang w:val="es-ES_tradnl"/>
        </w:rPr>
      </w:pPr>
      <w:r w:rsidRPr="00910E94">
        <w:rPr>
          <w:rFonts w:ascii="Times New Roman" w:hAnsi="Times New Roman"/>
          <w:sz w:val="24"/>
          <w:lang w:val="es-ES_tradnl"/>
        </w:rPr>
        <w:t>Mejorar la capacidad de brindar una mejor información a los Estados miembros, las partes interesadas y a la Administración.</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instauración del sistema de PRI se lleva a cabo mediante una cartera de proyectos interrelacionados</w:t>
      </w:r>
      <w:r w:rsidR="00344EE2">
        <w:rPr>
          <w:rFonts w:ascii="Times New Roman" w:hAnsi="Times New Roman"/>
          <w:sz w:val="24"/>
          <w:lang w:val="es-ES_tradnl"/>
        </w:rPr>
        <w:t xml:space="preserve">.  </w:t>
      </w:r>
      <w:r w:rsidRPr="00910E94">
        <w:rPr>
          <w:rFonts w:ascii="Times New Roman" w:hAnsi="Times New Roman"/>
          <w:sz w:val="24"/>
          <w:lang w:val="es-ES_tradnl"/>
        </w:rPr>
        <w:t>Con el primer conjunto de proyectos se ofrece a la OMPI un conjunto completo de herramientas para fortalecer la gestión de los recursos humanos, que abarca la gestión de puestos, beneficios y prestaciones, gestión de nóminas, contratación de personal, gestión del desempeño, y formación y perfeccionamiento del personal.</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Con el segundo conjunto de proyectos se ofrece a la OMPI un conjunto de herramientas para reforzar la gestión por resultados, que abarca la planificación bienal, el plan de trabajo anual, el seguimiento de la ejecución, y la evaluación y presentación de informes sobre el rendimiento</w:t>
      </w:r>
      <w:r w:rsidR="00344EE2">
        <w:rPr>
          <w:rFonts w:ascii="Times New Roman" w:hAnsi="Times New Roman"/>
          <w:sz w:val="24"/>
          <w:lang w:val="es-ES_tradnl"/>
        </w:rPr>
        <w:t xml:space="preserve">.  </w:t>
      </w:r>
      <w:r w:rsidRPr="00910E94">
        <w:rPr>
          <w:rFonts w:ascii="Times New Roman" w:hAnsi="Times New Roman"/>
          <w:sz w:val="24"/>
          <w:lang w:val="es-ES_tradnl"/>
        </w:rPr>
        <w:t>Se introducirá un sistema analítico de inteligencia institucional que respalde la gestión del rendimiento institucional</w:t>
      </w:r>
      <w:r w:rsidR="00344EE2">
        <w:rPr>
          <w:rFonts w:ascii="Times New Roman" w:hAnsi="Times New Roman"/>
          <w:sz w:val="24"/>
          <w:lang w:val="es-ES_tradnl"/>
        </w:rPr>
        <w:t xml:space="preserve">.  </w:t>
      </w:r>
      <w:r w:rsidRPr="00910E94">
        <w:rPr>
          <w:rFonts w:ascii="Times New Roman" w:hAnsi="Times New Roman"/>
          <w:sz w:val="24"/>
          <w:lang w:val="es-ES_tradnl"/>
        </w:rPr>
        <w:t>Los progresos que se vayan realizando en unos y otros proyectos redundarán en una mayor disponibilidad de datos en el sistema de PRI y la herramienta de inteligencia institucional mejorará progresivamente la presentación de informes a los Estados miembros, la Administración y el personal acerca del rendimiento, los resultados y los recursos humanos y financieros de la Organización.</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En el marco del tercer conjunto de proyectos se refuerzan los sistemas existentes de finanzas, compras y viajes, mediante cambios y modernización de la configuración así como </w:t>
      </w:r>
      <w:r w:rsidRPr="00910E94">
        <w:rPr>
          <w:rFonts w:ascii="Times New Roman" w:hAnsi="Times New Roman"/>
          <w:sz w:val="24"/>
          <w:lang w:val="es-ES_tradnl"/>
        </w:rPr>
        <w:lastRenderedPageBreak/>
        <w:t>mejoras que permitan la introducción de nuevas funciones, el perfeccionamiento de la gestión de actividades y la introducción de nuevos módulos.</w:t>
      </w:r>
    </w:p>
    <w:p w:rsidR="00E835E0" w:rsidRPr="00910E94" w:rsidRDefault="002E55C1"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En el marco del cuarto conjunto de proyectos se sientan las bases de un sistema mejorado de gestión de las relaciones con los clientes y se respaldarán con ese fin proyectos como herramientas de listas de correo, bases de datos de contactos, gestión de acceso y analítica de clientes.</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El sistema de PRI es un elemento catalizador y un requisito</w:t>
      </w:r>
      <w:r w:rsidR="003C43E1" w:rsidRPr="00910E94">
        <w:rPr>
          <w:rFonts w:ascii="Times New Roman" w:hAnsi="Times New Roman"/>
          <w:sz w:val="24"/>
          <w:lang w:val="es-ES_tradnl"/>
        </w:rPr>
        <w:t xml:space="preserve"> </w:t>
      </w:r>
      <w:r w:rsidRPr="00910E94">
        <w:rPr>
          <w:rFonts w:ascii="Times New Roman" w:hAnsi="Times New Roman"/>
          <w:sz w:val="24"/>
          <w:lang w:val="es-ES_tradnl"/>
        </w:rPr>
        <w:t>indispensable de la modernización de los procesos operativos administrativos y de gestión de la OMPI</w:t>
      </w:r>
      <w:r w:rsidR="00344EE2">
        <w:rPr>
          <w:rFonts w:ascii="Times New Roman" w:hAnsi="Times New Roman"/>
          <w:sz w:val="24"/>
          <w:lang w:val="es-ES_tradnl"/>
        </w:rPr>
        <w:t xml:space="preserve">.  </w:t>
      </w:r>
      <w:r w:rsidRPr="00910E94">
        <w:rPr>
          <w:rFonts w:ascii="Times New Roman" w:hAnsi="Times New Roman"/>
          <w:sz w:val="24"/>
          <w:lang w:val="es-ES_tradnl"/>
        </w:rPr>
        <w:t>Este sistema:</w:t>
      </w:r>
    </w:p>
    <w:p w:rsidR="002E55C1" w:rsidRPr="00910E94" w:rsidRDefault="002E55C1" w:rsidP="002E55C1">
      <w:pPr>
        <w:numPr>
          <w:ilvl w:val="0"/>
          <w:numId w:val="9"/>
        </w:numPr>
        <w:spacing w:before="120" w:after="120" w:line="360" w:lineRule="auto"/>
        <w:contextualSpacing/>
        <w:jc w:val="both"/>
        <w:rPr>
          <w:rFonts w:ascii="Times New Roman" w:hAnsi="Times New Roman"/>
          <w:sz w:val="24"/>
          <w:szCs w:val="24"/>
          <w:lang w:val="es-ES_tradnl"/>
        </w:rPr>
      </w:pPr>
      <w:r w:rsidRPr="00910E94">
        <w:rPr>
          <w:rFonts w:ascii="Times New Roman" w:hAnsi="Times New Roman"/>
          <w:sz w:val="24"/>
          <w:lang w:val="es-ES_tradnl"/>
        </w:rPr>
        <w:t>introduce la automatización y la integración horizontal necesarias para impulsar la productividad y mejorar la eficiencia, dotando a los procesos de mayor flexibilidad y mayores utilidades de apoyo a las actividades;</w:t>
      </w:r>
    </w:p>
    <w:p w:rsidR="002E55C1" w:rsidRPr="00910E94" w:rsidRDefault="002E55C1" w:rsidP="002E55C1">
      <w:pPr>
        <w:numPr>
          <w:ilvl w:val="0"/>
          <w:numId w:val="9"/>
        </w:numPr>
        <w:spacing w:before="120" w:after="120" w:line="360" w:lineRule="auto"/>
        <w:contextualSpacing/>
        <w:jc w:val="both"/>
        <w:rPr>
          <w:rFonts w:ascii="Times New Roman" w:hAnsi="Times New Roman"/>
          <w:sz w:val="24"/>
          <w:szCs w:val="24"/>
          <w:lang w:val="es-ES_tradnl"/>
        </w:rPr>
      </w:pPr>
      <w:r w:rsidRPr="00910E94">
        <w:rPr>
          <w:rFonts w:ascii="Times New Roman" w:hAnsi="Times New Roman"/>
          <w:sz w:val="24"/>
          <w:lang w:val="es-ES_tradnl"/>
        </w:rPr>
        <w:t>modernizar las funciones esenciales de la OMPI en materia de administración, gestión y prestación de servicios;</w:t>
      </w:r>
    </w:p>
    <w:p w:rsidR="002E55C1" w:rsidRPr="00910E94" w:rsidRDefault="002E55C1" w:rsidP="002E55C1">
      <w:pPr>
        <w:numPr>
          <w:ilvl w:val="0"/>
          <w:numId w:val="9"/>
        </w:numPr>
        <w:spacing w:before="120" w:after="120" w:line="360" w:lineRule="auto"/>
        <w:contextualSpacing/>
        <w:jc w:val="both"/>
        <w:rPr>
          <w:rFonts w:ascii="Times New Roman" w:hAnsi="Times New Roman"/>
          <w:sz w:val="24"/>
          <w:szCs w:val="24"/>
          <w:lang w:val="es-ES_tradnl"/>
        </w:rPr>
      </w:pPr>
      <w:r w:rsidRPr="00910E94">
        <w:rPr>
          <w:rFonts w:ascii="Times New Roman" w:hAnsi="Times New Roman"/>
          <w:sz w:val="24"/>
          <w:lang w:val="es-ES_tradnl"/>
        </w:rPr>
        <w:t>mejorar la capacidad de brindar una mejor información sobre el rendimiento y la utilización de los recursos a los Estados miembros y a la Administración;</w:t>
      </w:r>
    </w:p>
    <w:p w:rsidR="00731870" w:rsidRPr="00910E94" w:rsidRDefault="002E55C1" w:rsidP="00101066">
      <w:pPr>
        <w:numPr>
          <w:ilvl w:val="0"/>
          <w:numId w:val="9"/>
        </w:numPr>
        <w:spacing w:before="120" w:after="120" w:line="360" w:lineRule="auto"/>
        <w:contextualSpacing/>
        <w:jc w:val="both"/>
        <w:rPr>
          <w:rFonts w:ascii="Times New Roman" w:hAnsi="Times New Roman"/>
          <w:sz w:val="24"/>
          <w:szCs w:val="24"/>
          <w:lang w:val="es-ES_tradnl"/>
        </w:rPr>
      </w:pPr>
      <w:r w:rsidRPr="00910E94">
        <w:rPr>
          <w:rFonts w:ascii="Times New Roman" w:hAnsi="Times New Roman"/>
          <w:sz w:val="24"/>
          <w:lang w:val="es-ES_tradnl"/>
        </w:rPr>
        <w:t>contribuir a asegurar el cumplimiento del marco reglamentario haciendo cumplir el sistema de responsabilidades, rendición de cuentas y facultades.</w:t>
      </w:r>
    </w:p>
    <w:p w:rsidR="002E55C1" w:rsidRPr="00910E94" w:rsidRDefault="002E55C1" w:rsidP="00625E68">
      <w:pPr>
        <w:spacing w:before="120" w:after="120" w:line="360" w:lineRule="auto"/>
        <w:rPr>
          <w:rFonts w:ascii="Times New Roman" w:hAnsi="Times New Roman"/>
          <w:b/>
          <w:color w:val="002060"/>
          <w:sz w:val="24"/>
          <w:szCs w:val="24"/>
          <w:lang w:val="es-ES_tradnl"/>
        </w:rPr>
      </w:pPr>
      <w:r w:rsidRPr="00910E94">
        <w:rPr>
          <w:rFonts w:ascii="Times New Roman" w:hAnsi="Times New Roman"/>
          <w:b/>
          <w:color w:val="17365D"/>
          <w:sz w:val="24"/>
          <w:lang w:val="es-ES_tradnl"/>
        </w:rPr>
        <w:t>Auditoría interna y validación y verificación independientes</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La instauración del sistema de PRI fue auditada por la División de Auditoría y Supervisión Internas (DASI) </w:t>
      </w:r>
      <w:r w:rsidR="00CC3D7A" w:rsidRPr="00910E94">
        <w:rPr>
          <w:rFonts w:ascii="Times New Roman" w:hAnsi="Times New Roman"/>
          <w:sz w:val="24"/>
          <w:lang w:val="es-ES_tradnl"/>
        </w:rPr>
        <w:t>en 20</w:t>
      </w:r>
      <w:r w:rsidRPr="00910E94">
        <w:rPr>
          <w:rFonts w:ascii="Times New Roman" w:hAnsi="Times New Roman"/>
          <w:sz w:val="24"/>
          <w:lang w:val="es-ES_tradnl"/>
        </w:rPr>
        <w:t>13-14</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DASI llevó a cabo una </w:t>
      </w:r>
      <w:r w:rsidR="00693071" w:rsidRPr="00910E94">
        <w:rPr>
          <w:rFonts w:ascii="Times New Roman" w:hAnsi="Times New Roman"/>
          <w:sz w:val="24"/>
          <w:lang w:val="es-ES_tradnl"/>
        </w:rPr>
        <w:t>“</w:t>
      </w:r>
      <w:r w:rsidRPr="00910E94">
        <w:rPr>
          <w:rFonts w:ascii="Times New Roman" w:hAnsi="Times New Roman"/>
          <w:sz w:val="24"/>
          <w:lang w:val="es-ES_tradnl"/>
        </w:rPr>
        <w:t>Revisión del sistema de migración de datos al nuevo sistema de gestión de los recursos humanos</w:t>
      </w:r>
      <w:r w:rsidR="00693071" w:rsidRPr="00910E94">
        <w:rPr>
          <w:rFonts w:ascii="Times New Roman" w:hAnsi="Times New Roman"/>
          <w:sz w:val="24"/>
          <w:lang w:val="es-ES_tradnl"/>
        </w:rPr>
        <w:t>”</w:t>
      </w:r>
      <w:r w:rsidRPr="00910E94">
        <w:rPr>
          <w:rFonts w:ascii="Times New Roman" w:hAnsi="Times New Roman"/>
          <w:sz w:val="24"/>
          <w:lang w:val="es-ES_tradnl"/>
        </w:rPr>
        <w:t xml:space="preserve"> y formuló dos recomendaciones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OMPI confirmó que tales recomendaciones fueron aplicadas en julio </w:t>
      </w:r>
      <w:r w:rsidR="00CC3D7A" w:rsidRPr="00910E94">
        <w:rPr>
          <w:rFonts w:ascii="Times New Roman" w:hAnsi="Times New Roman"/>
          <w:sz w:val="24"/>
          <w:lang w:val="es-ES_tradnl"/>
        </w:rPr>
        <w:t>de 20</w:t>
      </w:r>
      <w:r w:rsidRPr="00910E94">
        <w:rPr>
          <w:rFonts w:ascii="Times New Roman" w:hAnsi="Times New Roman"/>
          <w:sz w:val="24"/>
          <w:lang w:val="es-ES_tradnl"/>
        </w:rPr>
        <w:t xml:space="preserve">14 y fueron dadas por </w:t>
      </w:r>
      <w:r w:rsidR="0082164D">
        <w:rPr>
          <w:rFonts w:ascii="Times New Roman" w:hAnsi="Times New Roman"/>
          <w:sz w:val="24"/>
          <w:lang w:val="es-ES_tradnl"/>
        </w:rPr>
        <w:t>concluidas</w:t>
      </w:r>
      <w:r w:rsidRPr="00910E94">
        <w:rPr>
          <w:rFonts w:ascii="Times New Roman" w:hAnsi="Times New Roman"/>
          <w:sz w:val="24"/>
          <w:lang w:val="es-ES_tradnl"/>
        </w:rPr>
        <w:t xml:space="preserve"> por la División de Supervisión Interna.</w:t>
      </w:r>
    </w:p>
    <w:p w:rsidR="002E55C1" w:rsidRPr="00910E94" w:rsidRDefault="002E55C1"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olor w:val="0000FF"/>
          <w:sz w:val="24"/>
          <w:szCs w:val="24"/>
          <w:lang w:val="es-ES_tradnl"/>
        </w:rPr>
      </w:pPr>
      <w:r w:rsidRPr="00910E94">
        <w:rPr>
          <w:rFonts w:ascii="Times New Roman" w:hAnsi="Times New Roman"/>
          <w:sz w:val="24"/>
          <w:lang w:val="es-ES_tradnl"/>
        </w:rPr>
        <w:t xml:space="preserve">La OMPI contrató a un proveedor de servicios externos, Gartner Consulting, a fin de que efectuara un examen de verificación y validación independiente del sistema de PRI en el segundo semestre </w:t>
      </w:r>
      <w:r w:rsidR="00CC3D7A" w:rsidRPr="00910E94">
        <w:rPr>
          <w:rFonts w:ascii="Times New Roman" w:hAnsi="Times New Roman"/>
          <w:sz w:val="24"/>
          <w:lang w:val="es-ES_tradnl"/>
        </w:rPr>
        <w:t>de 20</w:t>
      </w:r>
      <w:r w:rsidR="004A14D2" w:rsidRPr="00910E94">
        <w:rPr>
          <w:rFonts w:ascii="Times New Roman" w:hAnsi="Times New Roman"/>
          <w:sz w:val="24"/>
          <w:lang w:val="es-ES_tradnl"/>
        </w:rPr>
        <w:t>13</w:t>
      </w:r>
      <w:r w:rsidR="00344EE2">
        <w:rPr>
          <w:rFonts w:ascii="Times New Roman" w:hAnsi="Times New Roman"/>
          <w:sz w:val="24"/>
          <w:lang w:val="es-ES_tradnl"/>
        </w:rPr>
        <w:t xml:space="preserve">.  </w:t>
      </w:r>
      <w:r w:rsidRPr="00910E94">
        <w:rPr>
          <w:rFonts w:ascii="Times New Roman" w:hAnsi="Times New Roman"/>
          <w:sz w:val="24"/>
          <w:lang w:val="es-ES_tradnl"/>
        </w:rPr>
        <w:t>En dicho examen, que se desarrolló durante un período de seis semanas, se propusieron</w:t>
      </w:r>
      <w:r w:rsidR="004A14D2" w:rsidRPr="00910E94">
        <w:rPr>
          <w:rFonts w:ascii="Times New Roman" w:hAnsi="Times New Roman"/>
          <w:sz w:val="24"/>
          <w:lang w:val="es-ES_tradnl"/>
        </w:rPr>
        <w:t> 58 </w:t>
      </w:r>
      <w:r w:rsidRPr="00910E94">
        <w:rPr>
          <w:rFonts w:ascii="Times New Roman" w:hAnsi="Times New Roman"/>
          <w:sz w:val="24"/>
          <w:lang w:val="es-ES_tradnl"/>
        </w:rPr>
        <w:t>recomendaciones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OMPI indicó que todas las recomendaciones fueron aplicadas en abril </w:t>
      </w:r>
      <w:r w:rsidR="00CC3D7A" w:rsidRPr="00910E94">
        <w:rPr>
          <w:rFonts w:ascii="Times New Roman" w:hAnsi="Times New Roman"/>
          <w:sz w:val="24"/>
          <w:lang w:val="es-ES_tradnl"/>
        </w:rPr>
        <w:t>de 20</w:t>
      </w:r>
      <w:r w:rsidRPr="00910E94">
        <w:rPr>
          <w:rFonts w:ascii="Times New Roman" w:hAnsi="Times New Roman"/>
          <w:sz w:val="24"/>
          <w:lang w:val="es-ES_tradnl"/>
        </w:rPr>
        <w:t>14</w:t>
      </w:r>
      <w:r w:rsidRPr="00910E94">
        <w:rPr>
          <w:rFonts w:ascii="Times New Roman" w:hAnsi="Times New Roman"/>
          <w:color w:val="0000FF"/>
          <w:sz w:val="24"/>
          <w:lang w:val="es-ES_tradnl"/>
        </w:rPr>
        <w:t>.</w:t>
      </w:r>
    </w:p>
    <w:p w:rsidR="002E55C1" w:rsidRPr="00910E94" w:rsidRDefault="002E55C1" w:rsidP="002E55C1">
      <w:pPr>
        <w:pStyle w:val="Heading1"/>
        <w:spacing w:before="120" w:line="360" w:lineRule="auto"/>
        <w:contextualSpacing/>
        <w:rPr>
          <w:rFonts w:ascii="Times New Roman" w:hAnsi="Times New Roman"/>
          <w:b/>
          <w:color w:val="002060"/>
          <w:sz w:val="24"/>
          <w:szCs w:val="24"/>
          <w:lang w:val="es-ES_tradnl"/>
        </w:rPr>
      </w:pPr>
      <w:r w:rsidRPr="00910E94">
        <w:rPr>
          <w:rFonts w:ascii="Times New Roman" w:hAnsi="Times New Roman"/>
          <w:b/>
          <w:color w:val="002060"/>
          <w:sz w:val="24"/>
          <w:lang w:val="es-ES_tradnl"/>
        </w:rPr>
        <w:lastRenderedPageBreak/>
        <w:t xml:space="preserve">Situación actual de la instauración del sistema de PRI </w:t>
      </w:r>
    </w:p>
    <w:p w:rsidR="003436FF" w:rsidRPr="00910E94" w:rsidRDefault="002E55C1"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ha iniciado la instauración de un sistema de planificación de los recursos institucionales (PRI) con cuatro conjuntos de proyectos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Según el proyecto inicial, la implantación del sistema de PRI debía terminar a final </w:t>
      </w:r>
      <w:r w:rsidR="00CC3D7A" w:rsidRPr="00910E94">
        <w:rPr>
          <w:rFonts w:ascii="Times New Roman" w:hAnsi="Times New Roman"/>
          <w:sz w:val="24"/>
          <w:lang w:val="es-ES_tradnl"/>
        </w:rPr>
        <w:t>de 20</w:t>
      </w:r>
      <w:r w:rsidRPr="00910E94">
        <w:rPr>
          <w:rFonts w:ascii="Times New Roman" w:hAnsi="Times New Roman"/>
          <w:sz w:val="24"/>
          <w:lang w:val="es-ES_tradnl"/>
        </w:rPr>
        <w:t>15</w:t>
      </w:r>
      <w:r w:rsidR="00344EE2">
        <w:rPr>
          <w:rFonts w:ascii="Times New Roman" w:hAnsi="Times New Roman"/>
          <w:sz w:val="24"/>
          <w:lang w:val="es-ES_tradnl"/>
        </w:rPr>
        <w:t xml:space="preserve">.  </w:t>
      </w:r>
      <w:r w:rsidRPr="00910E94">
        <w:rPr>
          <w:rFonts w:ascii="Times New Roman" w:hAnsi="Times New Roman"/>
          <w:sz w:val="24"/>
          <w:lang w:val="es-ES_tradnl"/>
        </w:rPr>
        <w:t>A continuación se muestra la situación actual de los proyectos de la cartera.</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376"/>
        <w:gridCol w:w="3241"/>
        <w:gridCol w:w="1356"/>
        <w:gridCol w:w="1924"/>
      </w:tblGrid>
      <w:tr w:rsidR="002E55C1" w:rsidRPr="00910E94" w:rsidTr="00495D62">
        <w:trPr>
          <w:jc w:val="center"/>
        </w:trPr>
        <w:tc>
          <w:tcPr>
            <w:tcW w:w="2376" w:type="dxa"/>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b/>
                <w:bCs/>
                <w:sz w:val="24"/>
                <w:szCs w:val="24"/>
                <w:lang w:val="es-ES_tradnl"/>
              </w:rPr>
            </w:pPr>
            <w:r w:rsidRPr="00910E94">
              <w:rPr>
                <w:rFonts w:ascii="Times New Roman" w:hAnsi="Times New Roman"/>
                <w:b/>
                <w:kern w:val="24"/>
                <w:sz w:val="24"/>
                <w:lang w:val="es-ES_tradnl"/>
              </w:rPr>
              <w:t>Serie</w:t>
            </w:r>
          </w:p>
        </w:tc>
        <w:tc>
          <w:tcPr>
            <w:tcW w:w="3241" w:type="dxa"/>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b/>
                <w:bCs/>
                <w:sz w:val="24"/>
                <w:szCs w:val="24"/>
                <w:lang w:val="es-ES_tradnl"/>
              </w:rPr>
            </w:pPr>
            <w:r w:rsidRPr="00910E94">
              <w:rPr>
                <w:rFonts w:ascii="Times New Roman" w:hAnsi="Times New Roman"/>
                <w:b/>
                <w:kern w:val="24"/>
                <w:sz w:val="24"/>
                <w:lang w:val="es-ES_tradnl"/>
              </w:rPr>
              <w:t>Proyecto</w:t>
            </w:r>
          </w:p>
        </w:tc>
        <w:tc>
          <w:tcPr>
            <w:tcW w:w="1356" w:type="dxa"/>
          </w:tcPr>
          <w:p w:rsidR="002E55C1" w:rsidRPr="00910E94" w:rsidRDefault="002E55C1" w:rsidP="00E562B7">
            <w:pPr>
              <w:spacing w:before="120" w:after="0" w:line="240" w:lineRule="auto"/>
              <w:contextualSpacing/>
              <w:jc w:val="center"/>
              <w:rPr>
                <w:rFonts w:ascii="Times New Roman" w:hAnsi="Times New Roman"/>
                <w:b/>
                <w:bCs/>
                <w:kern w:val="24"/>
                <w:sz w:val="24"/>
                <w:szCs w:val="24"/>
                <w:lang w:val="es-ES_tradnl"/>
              </w:rPr>
            </w:pPr>
            <w:r w:rsidRPr="00910E94">
              <w:rPr>
                <w:rFonts w:ascii="Times New Roman" w:hAnsi="Times New Roman"/>
                <w:b/>
                <w:kern w:val="24"/>
                <w:sz w:val="24"/>
                <w:lang w:val="es-ES_tradnl"/>
              </w:rPr>
              <w:t>Objetivo inicial</w:t>
            </w:r>
          </w:p>
        </w:tc>
        <w:tc>
          <w:tcPr>
            <w:tcW w:w="1924" w:type="dxa"/>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b/>
                <w:bCs/>
                <w:sz w:val="24"/>
                <w:szCs w:val="24"/>
                <w:lang w:val="es-ES_tradnl"/>
              </w:rPr>
            </w:pPr>
            <w:r w:rsidRPr="00910E94">
              <w:rPr>
                <w:rFonts w:ascii="Times New Roman" w:hAnsi="Times New Roman"/>
                <w:b/>
                <w:kern w:val="24"/>
                <w:sz w:val="24"/>
                <w:lang w:val="es-ES_tradnl"/>
              </w:rPr>
              <w:t>Situación</w:t>
            </w:r>
          </w:p>
        </w:tc>
      </w:tr>
      <w:tr w:rsidR="002E55C1" w:rsidRPr="00910E94" w:rsidTr="00495D62">
        <w:trPr>
          <w:jc w:val="center"/>
        </w:trPr>
        <w:tc>
          <w:tcPr>
            <w:tcW w:w="2376" w:type="dxa"/>
            <w:tcBorders>
              <w:top w:val="single" w:sz="8" w:space="0" w:color="000000"/>
              <w:left w:val="single" w:sz="8" w:space="0" w:color="000000"/>
              <w:bottom w:val="single" w:sz="8" w:space="0" w:color="000000"/>
            </w:tcBorders>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Oficina de Administración del Proyecto</w:t>
            </w:r>
          </w:p>
        </w:tc>
        <w:tc>
          <w:tcPr>
            <w:tcW w:w="3241" w:type="dxa"/>
            <w:tcBorders>
              <w:top w:val="single" w:sz="8" w:space="0" w:color="000000"/>
              <w:bottom w:val="single" w:sz="8" w:space="0" w:color="000000"/>
            </w:tcBorders>
            <w:vAlign w:val="center"/>
            <w:hideMark/>
          </w:tcPr>
          <w:p w:rsidR="002E55C1" w:rsidRPr="00910E94" w:rsidRDefault="002E55C1" w:rsidP="00E562B7">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Documento de enfoque</w:t>
            </w:r>
          </w:p>
        </w:tc>
        <w:tc>
          <w:tcPr>
            <w:tcW w:w="1356" w:type="dxa"/>
            <w:tcBorders>
              <w:top w:val="single" w:sz="8" w:space="0" w:color="000000"/>
              <w:bottom w:val="single" w:sz="8" w:space="0" w:color="000000"/>
            </w:tcBorders>
          </w:tcPr>
          <w:p w:rsidR="002E55C1" w:rsidRPr="00910E94" w:rsidRDefault="002E55C1" w:rsidP="00E562B7">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2T 2011</w:t>
            </w:r>
          </w:p>
        </w:tc>
        <w:tc>
          <w:tcPr>
            <w:tcW w:w="1924" w:type="dxa"/>
            <w:tcBorders>
              <w:top w:val="single" w:sz="8" w:space="0" w:color="000000"/>
              <w:bottom w:val="single" w:sz="8" w:space="0" w:color="000000"/>
              <w:right w:val="single" w:sz="8" w:space="0" w:color="000000"/>
            </w:tcBorders>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Finalizado</w:t>
            </w:r>
          </w:p>
        </w:tc>
      </w:tr>
      <w:tr w:rsidR="002E55C1" w:rsidRPr="00910E94" w:rsidTr="00495D62">
        <w:trPr>
          <w:jc w:val="center"/>
        </w:trPr>
        <w:tc>
          <w:tcPr>
            <w:tcW w:w="2376" w:type="dxa"/>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RH</w:t>
            </w:r>
          </w:p>
        </w:tc>
        <w:tc>
          <w:tcPr>
            <w:tcW w:w="3241" w:type="dxa"/>
            <w:vAlign w:val="center"/>
            <w:hideMark/>
          </w:tcPr>
          <w:p w:rsidR="002E55C1" w:rsidRPr="00910E94" w:rsidRDefault="002E55C1" w:rsidP="00E562B7">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Módulos principales de RR.HH</w:t>
            </w:r>
            <w:r w:rsidR="00344EE2">
              <w:rPr>
                <w:rFonts w:ascii="Times New Roman" w:hAnsi="Times New Roman"/>
                <w:color w:val="000000"/>
                <w:kern w:val="24"/>
                <w:sz w:val="24"/>
                <w:lang w:val="es-ES_tradnl"/>
              </w:rPr>
              <w:t xml:space="preserve">.  </w:t>
            </w:r>
            <w:r w:rsidRPr="00910E94">
              <w:rPr>
                <w:rFonts w:ascii="Times New Roman" w:hAnsi="Times New Roman"/>
                <w:color w:val="000000"/>
                <w:kern w:val="24"/>
                <w:sz w:val="24"/>
                <w:lang w:val="es-ES_tradnl"/>
              </w:rPr>
              <w:t>/ nóminas</w:t>
            </w:r>
          </w:p>
        </w:tc>
        <w:tc>
          <w:tcPr>
            <w:tcW w:w="1356" w:type="dxa"/>
          </w:tcPr>
          <w:p w:rsidR="002E55C1" w:rsidRPr="00910E94" w:rsidRDefault="002E55C1" w:rsidP="00E562B7">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2T 2012</w:t>
            </w:r>
          </w:p>
        </w:tc>
        <w:tc>
          <w:tcPr>
            <w:tcW w:w="1924" w:type="dxa"/>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servicio</w:t>
            </w:r>
            <w:r w:rsidRPr="00910E94">
              <w:rPr>
                <w:rStyle w:val="FootnoteReference"/>
                <w:rFonts w:ascii="Times New Roman" w:hAnsi="Times New Roman"/>
                <w:sz w:val="24"/>
                <w:szCs w:val="24"/>
                <w:lang w:val="es-ES_tradnl"/>
              </w:rPr>
              <w:sym w:font="Symbol" w:char="F0B7"/>
            </w:r>
          </w:p>
        </w:tc>
      </w:tr>
      <w:tr w:rsidR="002E55C1" w:rsidRPr="00910E94" w:rsidTr="00495D62">
        <w:trPr>
          <w:jc w:val="center"/>
        </w:trPr>
        <w:tc>
          <w:tcPr>
            <w:tcW w:w="2376" w:type="dxa"/>
            <w:tcBorders>
              <w:top w:val="single" w:sz="8" w:space="0" w:color="000000"/>
              <w:left w:val="single" w:sz="8" w:space="0" w:color="000000"/>
              <w:bottom w:val="single" w:sz="8" w:space="0" w:color="000000"/>
            </w:tcBorders>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footnoteReference w:customMarkFollows="1" w:id="2"/>
              <w:t>RH</w:t>
            </w:r>
          </w:p>
        </w:tc>
        <w:tc>
          <w:tcPr>
            <w:tcW w:w="3241" w:type="dxa"/>
            <w:tcBorders>
              <w:top w:val="single" w:sz="8" w:space="0" w:color="000000"/>
              <w:bottom w:val="single" w:sz="8" w:space="0" w:color="000000"/>
            </w:tcBorders>
            <w:vAlign w:val="center"/>
            <w:hideMark/>
          </w:tcPr>
          <w:p w:rsidR="002E55C1" w:rsidRPr="00910E94" w:rsidRDefault="002E55C1" w:rsidP="00E562B7">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Contratación</w:t>
            </w:r>
          </w:p>
        </w:tc>
        <w:tc>
          <w:tcPr>
            <w:tcW w:w="1356" w:type="dxa"/>
            <w:tcBorders>
              <w:top w:val="single" w:sz="8" w:space="0" w:color="000000"/>
              <w:bottom w:val="single" w:sz="8" w:space="0" w:color="000000"/>
            </w:tcBorders>
          </w:tcPr>
          <w:p w:rsidR="002E55C1" w:rsidRPr="00910E94" w:rsidRDefault="002E55C1" w:rsidP="00E562B7">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1T 2015</w:t>
            </w:r>
          </w:p>
        </w:tc>
        <w:tc>
          <w:tcPr>
            <w:tcW w:w="1924" w:type="dxa"/>
            <w:tcBorders>
              <w:top w:val="single" w:sz="8" w:space="0" w:color="000000"/>
              <w:bottom w:val="single" w:sz="8" w:space="0" w:color="000000"/>
              <w:right w:val="single" w:sz="8" w:space="0" w:color="000000"/>
            </w:tcBorders>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curso</w:t>
            </w:r>
          </w:p>
        </w:tc>
      </w:tr>
      <w:tr w:rsidR="002E55C1" w:rsidRPr="00910E94" w:rsidTr="00495D62">
        <w:trPr>
          <w:jc w:val="center"/>
        </w:trPr>
        <w:tc>
          <w:tcPr>
            <w:tcW w:w="2376" w:type="dxa"/>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RH</w:t>
            </w:r>
          </w:p>
        </w:tc>
        <w:tc>
          <w:tcPr>
            <w:tcW w:w="3241" w:type="dxa"/>
            <w:vAlign w:val="center"/>
            <w:hideMark/>
          </w:tcPr>
          <w:p w:rsidR="002E55C1" w:rsidRPr="00910E94" w:rsidRDefault="002E55C1" w:rsidP="00E562B7">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Autoservicio</w:t>
            </w:r>
          </w:p>
        </w:tc>
        <w:tc>
          <w:tcPr>
            <w:tcW w:w="1356" w:type="dxa"/>
          </w:tcPr>
          <w:p w:rsidR="002E55C1" w:rsidRPr="00910E94" w:rsidRDefault="002E55C1" w:rsidP="00E562B7">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1T 2015</w:t>
            </w:r>
          </w:p>
        </w:tc>
        <w:tc>
          <w:tcPr>
            <w:tcW w:w="1924" w:type="dxa"/>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curso</w:t>
            </w:r>
          </w:p>
        </w:tc>
      </w:tr>
      <w:tr w:rsidR="002E55C1" w:rsidRPr="00910E94" w:rsidTr="00495D62">
        <w:trPr>
          <w:jc w:val="center"/>
        </w:trPr>
        <w:tc>
          <w:tcPr>
            <w:tcW w:w="2376" w:type="dxa"/>
            <w:tcBorders>
              <w:top w:val="single" w:sz="8" w:space="0" w:color="000000"/>
              <w:left w:val="single" w:sz="8" w:space="0" w:color="000000"/>
              <w:bottom w:val="single" w:sz="8" w:space="0" w:color="000000"/>
            </w:tcBorders>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RH</w:t>
            </w:r>
          </w:p>
        </w:tc>
        <w:tc>
          <w:tcPr>
            <w:tcW w:w="3241" w:type="dxa"/>
            <w:tcBorders>
              <w:top w:val="single" w:sz="8" w:space="0" w:color="000000"/>
              <w:bottom w:val="single" w:sz="8" w:space="0" w:color="000000"/>
            </w:tcBorders>
            <w:vAlign w:val="center"/>
            <w:hideMark/>
          </w:tcPr>
          <w:p w:rsidR="002E55C1" w:rsidRPr="00910E94" w:rsidRDefault="002E55C1" w:rsidP="00E562B7">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Gestión del desempeño y formación</w:t>
            </w:r>
          </w:p>
        </w:tc>
        <w:tc>
          <w:tcPr>
            <w:tcW w:w="1356" w:type="dxa"/>
            <w:tcBorders>
              <w:top w:val="single" w:sz="8" w:space="0" w:color="000000"/>
              <w:bottom w:val="single" w:sz="8" w:space="0" w:color="000000"/>
            </w:tcBorders>
          </w:tcPr>
          <w:p w:rsidR="002E55C1" w:rsidRPr="00910E94" w:rsidRDefault="002E55C1" w:rsidP="00E562B7">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1T 2013 a 1T 2014</w:t>
            </w:r>
          </w:p>
        </w:tc>
        <w:tc>
          <w:tcPr>
            <w:tcW w:w="1924" w:type="dxa"/>
            <w:tcBorders>
              <w:top w:val="single" w:sz="8" w:space="0" w:color="000000"/>
              <w:bottom w:val="single" w:sz="8" w:space="0" w:color="000000"/>
              <w:right w:val="single" w:sz="8" w:space="0" w:color="000000"/>
            </w:tcBorders>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Planificado</w:t>
            </w:r>
          </w:p>
        </w:tc>
      </w:tr>
      <w:tr w:rsidR="002E55C1" w:rsidRPr="00910E94" w:rsidTr="00495D62">
        <w:trPr>
          <w:jc w:val="center"/>
        </w:trPr>
        <w:tc>
          <w:tcPr>
            <w:tcW w:w="2376" w:type="dxa"/>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RH</w:t>
            </w:r>
          </w:p>
        </w:tc>
        <w:tc>
          <w:tcPr>
            <w:tcW w:w="3241" w:type="dxa"/>
            <w:vAlign w:val="center"/>
            <w:hideMark/>
          </w:tcPr>
          <w:p w:rsidR="002E55C1" w:rsidRPr="00910E94" w:rsidRDefault="002E55C1" w:rsidP="00E562B7">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Protección social del personal</w:t>
            </w:r>
          </w:p>
        </w:tc>
        <w:tc>
          <w:tcPr>
            <w:tcW w:w="1356" w:type="dxa"/>
          </w:tcPr>
          <w:p w:rsidR="002E55C1" w:rsidRPr="00910E94" w:rsidRDefault="002E55C1" w:rsidP="00E562B7">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3T 2015</w:t>
            </w:r>
          </w:p>
        </w:tc>
        <w:tc>
          <w:tcPr>
            <w:tcW w:w="1924" w:type="dxa"/>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Planificado</w:t>
            </w:r>
          </w:p>
        </w:tc>
      </w:tr>
      <w:tr w:rsidR="002E55C1" w:rsidRPr="00910E94" w:rsidTr="00495D62">
        <w:trPr>
          <w:jc w:val="center"/>
        </w:trPr>
        <w:tc>
          <w:tcPr>
            <w:tcW w:w="2376" w:type="dxa"/>
            <w:tcBorders>
              <w:top w:val="single" w:sz="8" w:space="0" w:color="000000"/>
              <w:left w:val="single" w:sz="8" w:space="0" w:color="000000"/>
              <w:bottom w:val="single" w:sz="8" w:space="0" w:color="000000"/>
            </w:tcBorders>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AIMS</w:t>
            </w:r>
          </w:p>
        </w:tc>
        <w:tc>
          <w:tcPr>
            <w:tcW w:w="3241" w:type="dxa"/>
            <w:tcBorders>
              <w:top w:val="single" w:sz="8" w:space="0" w:color="000000"/>
              <w:bottom w:val="single" w:sz="8" w:space="0" w:color="000000"/>
            </w:tcBorders>
            <w:vAlign w:val="center"/>
            <w:hideMark/>
          </w:tcPr>
          <w:p w:rsidR="002E55C1" w:rsidRPr="00910E94" w:rsidRDefault="002E55C1" w:rsidP="00E562B7">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Actualización PeopleSoft 9.1</w:t>
            </w:r>
          </w:p>
        </w:tc>
        <w:tc>
          <w:tcPr>
            <w:tcW w:w="1356" w:type="dxa"/>
            <w:tcBorders>
              <w:top w:val="single" w:sz="8" w:space="0" w:color="000000"/>
              <w:bottom w:val="single" w:sz="8" w:space="0" w:color="000000"/>
            </w:tcBorders>
          </w:tcPr>
          <w:p w:rsidR="002E55C1" w:rsidRPr="00910E94" w:rsidRDefault="002E55C1" w:rsidP="00E562B7">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4T 2013</w:t>
            </w:r>
          </w:p>
        </w:tc>
        <w:tc>
          <w:tcPr>
            <w:tcW w:w="1924" w:type="dxa"/>
            <w:tcBorders>
              <w:top w:val="single" w:sz="8" w:space="0" w:color="000000"/>
              <w:bottom w:val="single" w:sz="8" w:space="0" w:color="000000"/>
              <w:right w:val="single" w:sz="8" w:space="0" w:color="000000"/>
            </w:tcBorders>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servicio</w:t>
            </w:r>
          </w:p>
        </w:tc>
      </w:tr>
      <w:tr w:rsidR="002E55C1" w:rsidRPr="00910E94" w:rsidTr="00495D62">
        <w:trPr>
          <w:jc w:val="center"/>
        </w:trPr>
        <w:tc>
          <w:tcPr>
            <w:tcW w:w="2376" w:type="dxa"/>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AIMS</w:t>
            </w:r>
          </w:p>
        </w:tc>
        <w:tc>
          <w:tcPr>
            <w:tcW w:w="3241" w:type="dxa"/>
            <w:vAlign w:val="center"/>
            <w:hideMark/>
          </w:tcPr>
          <w:p w:rsidR="002E55C1" w:rsidRPr="00910E94" w:rsidRDefault="002E55C1" w:rsidP="00E562B7">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Actualización PeopleSoft 9.2</w:t>
            </w:r>
          </w:p>
        </w:tc>
        <w:tc>
          <w:tcPr>
            <w:tcW w:w="1356" w:type="dxa"/>
          </w:tcPr>
          <w:p w:rsidR="002E55C1" w:rsidRPr="00910E94" w:rsidRDefault="002E55C1" w:rsidP="00E562B7">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4T 2013</w:t>
            </w:r>
          </w:p>
        </w:tc>
        <w:tc>
          <w:tcPr>
            <w:tcW w:w="1924" w:type="dxa"/>
            <w:vAlign w:val="center"/>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Iniciación</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AIMS</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Herramienta de reservas en línea</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4T 2013</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servicio (en estabilización)</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Gestión del rendimiento institucional</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Planificación bienal (14/15)</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1T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servicio</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Gestión del rendimiento institucional</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Plan de trabajo anual</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1T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servicio</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Gestión del rendimiento institucional</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Seguimiento y evaluación</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1T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servicio</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Gestión del rendimiento institucional</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Planificación bienal (16/17)</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1T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curso</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Gestión del rendimiento institucional</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Gestión del riesgo institucional</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1T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servicio (en estabilización)</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Gestión del rendimiento institucional</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Inteligencia institucional</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1T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En curso</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Gestión de relaciones con clientes</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Almacén de datos de clientes</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4T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Ideación</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lastRenderedPageBreak/>
              <w:t>Gestión de relaciones con clientes</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Transición de servicios de conferencias</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4T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Ideación</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Gestión de relaciones con clientes</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Transición del Departamento de Seguridad y Vigilancia</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4T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Ideación</w:t>
            </w:r>
          </w:p>
        </w:tc>
      </w:tr>
      <w:tr w:rsidR="00495D62" w:rsidRPr="00910E94" w:rsidTr="00495D62">
        <w:trPr>
          <w:jc w:val="center"/>
        </w:trPr>
        <w:tc>
          <w:tcPr>
            <w:tcW w:w="2376"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Gestión de relaciones con clientes</w:t>
            </w:r>
          </w:p>
        </w:tc>
        <w:tc>
          <w:tcPr>
            <w:tcW w:w="3241" w:type="dxa"/>
            <w:vAlign w:val="center"/>
          </w:tcPr>
          <w:p w:rsidR="00495D62" w:rsidRPr="00910E94" w:rsidRDefault="00495D62" w:rsidP="00CC3D7A">
            <w:pPr>
              <w:spacing w:before="120" w:after="0" w:line="240" w:lineRule="auto"/>
              <w:contextualSpacing/>
              <w:rPr>
                <w:rFonts w:ascii="Times New Roman" w:hAnsi="Times New Roman"/>
                <w:sz w:val="24"/>
                <w:szCs w:val="24"/>
                <w:lang w:val="es-ES_tradnl"/>
              </w:rPr>
            </w:pPr>
            <w:r w:rsidRPr="00910E94">
              <w:rPr>
                <w:rFonts w:ascii="Times New Roman" w:hAnsi="Times New Roman"/>
                <w:color w:val="000000"/>
                <w:kern w:val="24"/>
                <w:sz w:val="24"/>
                <w:lang w:val="es-ES_tradnl"/>
              </w:rPr>
              <w:t>Información financiera de clientes</w:t>
            </w:r>
          </w:p>
        </w:tc>
        <w:tc>
          <w:tcPr>
            <w:tcW w:w="1356" w:type="dxa"/>
          </w:tcPr>
          <w:p w:rsidR="00495D62" w:rsidRPr="00910E94" w:rsidRDefault="00495D62" w:rsidP="00CC3D7A">
            <w:pPr>
              <w:spacing w:before="120" w:after="0" w:line="240" w:lineRule="auto"/>
              <w:contextualSpacing/>
              <w:jc w:val="center"/>
              <w:rPr>
                <w:rFonts w:ascii="Times New Roman" w:hAnsi="Times New Roman"/>
                <w:color w:val="000000"/>
                <w:kern w:val="24"/>
                <w:sz w:val="24"/>
                <w:szCs w:val="24"/>
                <w:lang w:val="es-ES_tradnl"/>
              </w:rPr>
            </w:pPr>
            <w:r w:rsidRPr="00910E94">
              <w:rPr>
                <w:rFonts w:ascii="Times New Roman" w:hAnsi="Times New Roman"/>
                <w:color w:val="000000"/>
                <w:kern w:val="24"/>
                <w:sz w:val="24"/>
                <w:lang w:val="es-ES_tradnl"/>
              </w:rPr>
              <w:t>4T 2015</w:t>
            </w:r>
          </w:p>
        </w:tc>
        <w:tc>
          <w:tcPr>
            <w:tcW w:w="1924" w:type="dxa"/>
            <w:vAlign w:val="center"/>
          </w:tcPr>
          <w:p w:rsidR="00495D62" w:rsidRPr="00910E94" w:rsidRDefault="00495D62" w:rsidP="00CC3D7A">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color w:val="000000"/>
                <w:kern w:val="24"/>
                <w:sz w:val="24"/>
                <w:lang w:val="es-ES_tradnl"/>
              </w:rPr>
              <w:t>Ideación</w:t>
            </w:r>
          </w:p>
        </w:tc>
      </w:tr>
    </w:tbl>
    <w:p w:rsidR="00495D62" w:rsidRPr="00910E94" w:rsidRDefault="00495D62" w:rsidP="00E562B7">
      <w:pPr>
        <w:spacing w:before="120" w:after="0" w:line="240" w:lineRule="auto"/>
        <w:contextualSpacing/>
        <w:jc w:val="center"/>
        <w:rPr>
          <w:rFonts w:ascii="Times New Roman" w:hAnsi="Times New Roman"/>
          <w:color w:val="000000"/>
          <w:kern w:val="24"/>
          <w:sz w:val="24"/>
          <w:szCs w:val="24"/>
          <w:lang w:val="es-ES_tradnl"/>
        </w:rPr>
      </w:pPr>
    </w:p>
    <w:p w:rsidR="002E55C1" w:rsidRPr="00910E94" w:rsidRDefault="002E55C1" w:rsidP="00981E67">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De la actual situación de la cartera de proyectos se desprende que, entre los 19 proyectos enumerados en la PRI, uno se ha finalizado, siete se han puesto en marcha, de los cuales dos están en proceso de estabilización y cuatro están en curso, de ellos dos no han alcanzado aún la fase de análisis de deficiencias y por la División de Infraestructura de Locales, tres proyectos están en fase de planificación/iniciación y cuatro se encuentran únicamente en fase de ideación</w:t>
      </w:r>
      <w:r w:rsidR="00344EE2">
        <w:rPr>
          <w:rFonts w:ascii="Times New Roman" w:hAnsi="Times New Roman"/>
          <w:sz w:val="24"/>
          <w:lang w:val="es-ES_tradnl"/>
        </w:rPr>
        <w:t xml:space="preserve">.  </w:t>
      </w:r>
    </w:p>
    <w:p w:rsidR="002E55C1" w:rsidRPr="00910E94" w:rsidRDefault="002E55C1"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Según el calendario revisado facilitado a los Estados miembros en el informe sobre la marcha de la instauración del sistema de PRI (</w:t>
      </w:r>
      <w:r w:rsidRPr="00910E94">
        <w:rPr>
          <w:rFonts w:ascii="Times New Roman" w:hAnsi="Times New Roman"/>
          <w:b/>
          <w:i/>
          <w:sz w:val="24"/>
          <w:lang w:val="es-ES_tradnl"/>
        </w:rPr>
        <w:t>Anexo</w:t>
      </w:r>
      <w:r w:rsidR="004A14D2" w:rsidRPr="00910E94">
        <w:rPr>
          <w:rFonts w:ascii="Times New Roman" w:hAnsi="Times New Roman"/>
          <w:b/>
          <w:i/>
          <w:sz w:val="24"/>
          <w:lang w:val="es-ES_tradnl"/>
        </w:rPr>
        <w:t> </w:t>
      </w:r>
      <w:r w:rsidRPr="00910E94">
        <w:rPr>
          <w:rFonts w:ascii="Times New Roman" w:hAnsi="Times New Roman"/>
          <w:b/>
          <w:i/>
          <w:sz w:val="24"/>
          <w:lang w:val="es-ES_tradnl"/>
        </w:rPr>
        <w:t>I</w:t>
      </w:r>
      <w:r w:rsidRPr="00910E94">
        <w:rPr>
          <w:rFonts w:ascii="Times New Roman" w:hAnsi="Times New Roman"/>
          <w:sz w:val="24"/>
          <w:lang w:val="es-ES_tradnl"/>
        </w:rPr>
        <w:t xml:space="preserve">), el sistema de PRI quedará terminado para el segundo trimestre </w:t>
      </w:r>
      <w:r w:rsidR="00CC3D7A" w:rsidRPr="00910E94">
        <w:rPr>
          <w:rFonts w:ascii="Times New Roman" w:hAnsi="Times New Roman"/>
          <w:sz w:val="24"/>
          <w:lang w:val="es-ES_tradnl"/>
        </w:rPr>
        <w:t>de 20</w:t>
      </w:r>
      <w:r w:rsidRPr="00910E94">
        <w:rPr>
          <w:rFonts w:ascii="Times New Roman" w:hAnsi="Times New Roman"/>
          <w:sz w:val="24"/>
          <w:lang w:val="es-ES_tradnl"/>
        </w:rPr>
        <w:t>16</w:t>
      </w:r>
      <w:r w:rsidR="00344EE2">
        <w:rPr>
          <w:rFonts w:ascii="Times New Roman" w:hAnsi="Times New Roman"/>
          <w:sz w:val="24"/>
          <w:lang w:val="es-ES_tradnl"/>
        </w:rPr>
        <w:t xml:space="preserve">.  </w:t>
      </w:r>
      <w:r w:rsidRPr="00910E94">
        <w:rPr>
          <w:rFonts w:ascii="Times New Roman" w:hAnsi="Times New Roman"/>
          <w:sz w:val="24"/>
          <w:lang w:val="es-ES_tradnl"/>
        </w:rPr>
        <w:t xml:space="preserve">Dado que se han producido retrasos en la finalización de algunos proyectos y teniendo en cuenta la interconexión de los proyectos que integran el sistema de PRI, no ha sido posible evaluar los beneficios globales que la OMPI ha obtenido del sistema </w:t>
      </w:r>
      <w:r w:rsidR="004644EE">
        <w:rPr>
          <w:rFonts w:ascii="Times New Roman" w:hAnsi="Times New Roman"/>
          <w:sz w:val="24"/>
          <w:lang w:val="es-ES_tradnl"/>
        </w:rPr>
        <w:t xml:space="preserve">de </w:t>
      </w:r>
      <w:r w:rsidRPr="00910E94">
        <w:rPr>
          <w:rFonts w:ascii="Times New Roman" w:hAnsi="Times New Roman"/>
          <w:sz w:val="24"/>
          <w:lang w:val="es-ES_tradnl"/>
        </w:rPr>
        <w:t>PRI</w:t>
      </w:r>
      <w:r w:rsidR="00344EE2">
        <w:rPr>
          <w:rFonts w:ascii="Times New Roman" w:hAnsi="Times New Roman"/>
          <w:sz w:val="24"/>
          <w:lang w:val="es-ES_tradnl"/>
        </w:rPr>
        <w:t xml:space="preserve">.  </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indicó que no es posible evaluar los beneficios globales derivados del sistema de PRI, ya que la cartera de proyectos está aún en curso de desarrollo.</w:t>
      </w:r>
    </w:p>
    <w:p w:rsidR="002E55C1" w:rsidRPr="00910E94" w:rsidRDefault="002E55C1" w:rsidP="00101066">
      <w:pPr>
        <w:keepNext/>
        <w:spacing w:before="120" w:line="360" w:lineRule="auto"/>
        <w:jc w:val="both"/>
        <w:rPr>
          <w:rFonts w:ascii="Times New Roman" w:hAnsi="Times New Roman"/>
          <w:b/>
          <w:sz w:val="24"/>
          <w:szCs w:val="24"/>
          <w:lang w:val="es-ES_tradnl"/>
        </w:rPr>
      </w:pPr>
      <w:r w:rsidRPr="00910E94">
        <w:rPr>
          <w:rFonts w:ascii="Times New Roman" w:hAnsi="Times New Roman"/>
          <w:b/>
          <w:sz w:val="24"/>
          <w:lang w:val="es-ES_tradnl"/>
        </w:rPr>
        <w:t>Recomendación 5</w:t>
      </w:r>
    </w:p>
    <w:p w:rsidR="00731870" w:rsidRPr="00910E94" w:rsidRDefault="002E55C1" w:rsidP="00101066">
      <w:pPr>
        <w:spacing w:before="120" w:line="360" w:lineRule="auto"/>
        <w:jc w:val="both"/>
        <w:rPr>
          <w:rFonts w:ascii="Times New Roman" w:hAnsi="Times New Roman"/>
          <w:b/>
          <w:sz w:val="24"/>
          <w:lang w:val="es-ES_tradnl"/>
        </w:rPr>
      </w:pPr>
      <w:r w:rsidRPr="00910E94">
        <w:rPr>
          <w:rFonts w:ascii="Times New Roman" w:hAnsi="Times New Roman"/>
          <w:b/>
          <w:sz w:val="24"/>
          <w:lang w:val="es-ES_tradnl"/>
        </w:rPr>
        <w:t xml:space="preserve">Conviene que la OMPI siga analizando medios de limitar las demoras, tanto en los proyectos concretos como en la cartera en su conjunto, que afectan a la instauración del sistema de planificación de los recursos institucionales, de forma que el proyecto pueda concluirse </w:t>
      </w:r>
      <w:r w:rsidR="006E075E">
        <w:rPr>
          <w:rFonts w:ascii="Times New Roman" w:hAnsi="Times New Roman"/>
          <w:b/>
          <w:sz w:val="24"/>
          <w:lang w:val="es-ES_tradnl"/>
        </w:rPr>
        <w:t>con arreglo</w:t>
      </w:r>
      <w:r w:rsidRPr="00910E94">
        <w:rPr>
          <w:rFonts w:ascii="Times New Roman" w:hAnsi="Times New Roman"/>
          <w:b/>
          <w:sz w:val="24"/>
          <w:lang w:val="es-ES_tradnl"/>
        </w:rPr>
        <w:t xml:space="preserve"> </w:t>
      </w:r>
      <w:r w:rsidR="006E075E">
        <w:rPr>
          <w:rFonts w:ascii="Times New Roman" w:hAnsi="Times New Roman"/>
          <w:b/>
          <w:sz w:val="24"/>
          <w:lang w:val="es-ES_tradnl"/>
        </w:rPr>
        <w:t>a</w:t>
      </w:r>
      <w:r w:rsidRPr="00910E94">
        <w:rPr>
          <w:rFonts w:ascii="Times New Roman" w:hAnsi="Times New Roman"/>
          <w:b/>
          <w:sz w:val="24"/>
          <w:lang w:val="es-ES_tradnl"/>
        </w:rPr>
        <w:t xml:space="preserve">l calendario revisado, que se presentará a los Estados miembros en septiembre </w:t>
      </w:r>
      <w:r w:rsidR="00CC3D7A" w:rsidRPr="00910E94">
        <w:rPr>
          <w:rFonts w:ascii="Times New Roman" w:hAnsi="Times New Roman"/>
          <w:b/>
          <w:sz w:val="24"/>
          <w:lang w:val="es-ES_tradnl"/>
        </w:rPr>
        <w:t>de 20</w:t>
      </w:r>
      <w:r w:rsidRPr="00910E94">
        <w:rPr>
          <w:rFonts w:ascii="Times New Roman" w:hAnsi="Times New Roman"/>
          <w:b/>
          <w:sz w:val="24"/>
          <w:lang w:val="es-ES_tradnl"/>
        </w:rPr>
        <w:t>15.</w:t>
      </w:r>
    </w:p>
    <w:p w:rsidR="002E55C1" w:rsidRPr="00DB0571" w:rsidRDefault="004644EE"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Pr>
          <w:rFonts w:ascii="Times New Roman" w:hAnsi="Times New Roman"/>
          <w:sz w:val="24"/>
          <w:lang w:val="es-ES_tradnl"/>
        </w:rPr>
        <w:t xml:space="preserve">La </w:t>
      </w:r>
      <w:r w:rsidR="002E55C1" w:rsidRPr="00910E94">
        <w:rPr>
          <w:rFonts w:ascii="Times New Roman" w:hAnsi="Times New Roman"/>
          <w:sz w:val="24"/>
          <w:lang w:val="es-ES_tradnl"/>
        </w:rPr>
        <w:t>OMPI admitió la necesidad de limitar las demoras</w:t>
      </w:r>
      <w:r w:rsidR="00344EE2">
        <w:rPr>
          <w:rFonts w:ascii="Times New Roman" w:hAnsi="Times New Roman"/>
          <w:sz w:val="24"/>
          <w:lang w:val="es-ES_tradnl"/>
        </w:rPr>
        <w:t xml:space="preserve">.  </w:t>
      </w:r>
      <w:r w:rsidR="002E55C1" w:rsidRPr="00910E94">
        <w:rPr>
          <w:rFonts w:ascii="Times New Roman" w:hAnsi="Times New Roman"/>
          <w:sz w:val="24"/>
          <w:lang w:val="es-ES_tradnl"/>
        </w:rPr>
        <w:t>Tras reconocer los tres condicionantes de la gestión del proyecto, a saber, costo, calidad y tiempo, se ha dado prioridad a la calidad y el costo, por encima del tiempo, especialmente en el proyecto relativo a las nóminas, que requiere una precisión del</w:t>
      </w:r>
      <w:r w:rsidR="004A14D2" w:rsidRPr="00910E94">
        <w:rPr>
          <w:rFonts w:ascii="Times New Roman" w:hAnsi="Times New Roman"/>
          <w:sz w:val="24"/>
          <w:lang w:val="es-ES_tradnl"/>
        </w:rPr>
        <w:t> </w:t>
      </w:r>
      <w:r w:rsidR="002E55C1" w:rsidRPr="00910E94">
        <w:rPr>
          <w:rFonts w:ascii="Times New Roman" w:hAnsi="Times New Roman"/>
          <w:sz w:val="24"/>
          <w:lang w:val="es-ES_tradnl"/>
        </w:rPr>
        <w:t>100%</w:t>
      </w:r>
      <w:r w:rsidR="00344EE2">
        <w:rPr>
          <w:rFonts w:ascii="Times New Roman" w:hAnsi="Times New Roman"/>
          <w:sz w:val="24"/>
          <w:lang w:val="es-ES_tradnl"/>
        </w:rPr>
        <w:t xml:space="preserve">.  </w:t>
      </w:r>
      <w:r w:rsidR="002E55C1" w:rsidRPr="00910E94">
        <w:rPr>
          <w:rFonts w:ascii="Times New Roman" w:hAnsi="Times New Roman"/>
          <w:sz w:val="24"/>
          <w:lang w:val="es-ES_tradnl"/>
        </w:rPr>
        <w:t>La OMPI afirmó que facilitará a los Estados miembros un nuevo calendario actualizado a través del informe sobre la marcha de la instauración del sistema de PRI e intentará ejecutar el proyecto conforme al calendario actualizad</w:t>
      </w:r>
      <w:r w:rsidR="002E55C1" w:rsidRPr="00DB0571">
        <w:rPr>
          <w:rFonts w:ascii="Times New Roman" w:hAnsi="Times New Roman"/>
          <w:sz w:val="24"/>
          <w:lang w:val="es-ES_tradnl"/>
        </w:rPr>
        <w:t>o.</w:t>
      </w:r>
    </w:p>
    <w:p w:rsidR="002E55C1" w:rsidRPr="00910E94" w:rsidRDefault="002E55C1" w:rsidP="002E55C1">
      <w:pPr>
        <w:pStyle w:val="Heading1"/>
        <w:spacing w:before="120" w:after="120" w:line="360" w:lineRule="auto"/>
        <w:contextualSpacing/>
        <w:rPr>
          <w:rFonts w:ascii="Times New Roman" w:hAnsi="Times New Roman"/>
          <w:b/>
          <w:color w:val="002060"/>
          <w:sz w:val="24"/>
          <w:szCs w:val="24"/>
          <w:lang w:val="es-ES_tradnl"/>
        </w:rPr>
      </w:pPr>
      <w:r w:rsidRPr="00910E94">
        <w:rPr>
          <w:rFonts w:ascii="Times New Roman" w:hAnsi="Times New Roman"/>
          <w:b/>
          <w:color w:val="002060"/>
          <w:sz w:val="24"/>
          <w:lang w:val="es-ES_tradnl"/>
        </w:rPr>
        <w:lastRenderedPageBreak/>
        <w:t xml:space="preserve">Documentación </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Hemos observado que la OMPI no dispone de un sistema de gestión de documentos para los proyectos desarrollados mediante el </w:t>
      </w:r>
      <w:r w:rsidR="004644EE">
        <w:rPr>
          <w:rFonts w:ascii="Times New Roman" w:hAnsi="Times New Roman"/>
          <w:sz w:val="24"/>
          <w:lang w:val="es-ES_tradnl"/>
        </w:rPr>
        <w:t>sistema de PRI</w:t>
      </w:r>
      <w:r w:rsidR="00344EE2">
        <w:rPr>
          <w:rFonts w:ascii="Times New Roman" w:hAnsi="Times New Roman"/>
          <w:sz w:val="24"/>
          <w:lang w:val="es-ES_tradnl"/>
        </w:rPr>
        <w:t xml:space="preserve">.  </w:t>
      </w:r>
      <w:r w:rsidRPr="00910E94">
        <w:rPr>
          <w:rFonts w:ascii="Times New Roman" w:hAnsi="Times New Roman"/>
          <w:sz w:val="24"/>
          <w:lang w:val="es-ES_tradnl"/>
        </w:rPr>
        <w:t>Ante la inexistencia de un medio para depositar los documentos relacionados con el proyecto, se recurre a la WIKI para compartir los documentos de gestión con el personal de la OMPI y con el Auditor</w:t>
      </w:r>
      <w:r w:rsidR="00344EE2">
        <w:rPr>
          <w:rFonts w:ascii="Times New Roman" w:hAnsi="Times New Roman"/>
          <w:sz w:val="24"/>
          <w:lang w:val="es-ES_tradnl"/>
        </w:rPr>
        <w:t xml:space="preserve">.  </w:t>
      </w:r>
      <w:r w:rsidRPr="00910E94">
        <w:rPr>
          <w:rFonts w:ascii="Times New Roman" w:hAnsi="Times New Roman"/>
          <w:sz w:val="24"/>
          <w:lang w:val="es-ES_tradnl"/>
        </w:rPr>
        <w:t>Algunos documentos no han sido publicados en la WIKI</w:t>
      </w:r>
      <w:r w:rsidR="00344EE2">
        <w:rPr>
          <w:rFonts w:ascii="Times New Roman" w:hAnsi="Times New Roman"/>
          <w:sz w:val="24"/>
          <w:lang w:val="es-ES_tradnl"/>
        </w:rPr>
        <w:t xml:space="preserve">.  </w:t>
      </w:r>
      <w:r w:rsidRPr="00910E94">
        <w:rPr>
          <w:rFonts w:ascii="Times New Roman" w:hAnsi="Times New Roman"/>
          <w:sz w:val="24"/>
          <w:lang w:val="es-ES_tradnl"/>
        </w:rPr>
        <w:t>Cuando el Auditor solicita documentos no disponibles en la WIKI, la OMPI los remite por correo electrónico o los incluye en la WIKI.</w:t>
      </w:r>
    </w:p>
    <w:p w:rsidR="00731870" w:rsidRPr="00910E94" w:rsidRDefault="002E55C1"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olor w:val="000000"/>
          <w:sz w:val="24"/>
          <w:szCs w:val="24"/>
          <w:lang w:val="es-ES_tradnl"/>
        </w:rPr>
      </w:pPr>
      <w:r w:rsidRPr="00910E94">
        <w:rPr>
          <w:rFonts w:ascii="Times New Roman" w:hAnsi="Times New Roman"/>
          <w:sz w:val="24"/>
          <w:lang w:val="es-ES_tradnl"/>
        </w:rPr>
        <w:t>La OMPI señaló que, ante la falta de un sistema de gestión de documentos, actualmente la Ofici</w:t>
      </w:r>
      <w:r w:rsidR="009D339D" w:rsidRPr="00910E94">
        <w:rPr>
          <w:rFonts w:ascii="Times New Roman" w:hAnsi="Times New Roman"/>
          <w:sz w:val="24"/>
          <w:lang w:val="es-ES_tradnl"/>
        </w:rPr>
        <w:t>na de Gestión de Proyectos de P</w:t>
      </w:r>
      <w:r w:rsidRPr="00910E94">
        <w:rPr>
          <w:rFonts w:ascii="Times New Roman" w:hAnsi="Times New Roman"/>
          <w:sz w:val="24"/>
          <w:lang w:val="es-ES_tradnl"/>
        </w:rPr>
        <w:t>R</w:t>
      </w:r>
      <w:r w:rsidR="009D339D" w:rsidRPr="00910E94">
        <w:rPr>
          <w:rFonts w:ascii="Times New Roman" w:hAnsi="Times New Roman"/>
          <w:sz w:val="24"/>
          <w:lang w:val="es-ES_tradnl"/>
        </w:rPr>
        <w:t>I</w:t>
      </w:r>
      <w:r w:rsidRPr="00910E94">
        <w:rPr>
          <w:rFonts w:ascii="Times New Roman" w:hAnsi="Times New Roman"/>
          <w:sz w:val="24"/>
          <w:lang w:val="es-ES_tradnl"/>
        </w:rPr>
        <w:t xml:space="preserve"> y los distintos equipos de proyecto utilizan</w:t>
      </w:r>
      <w:r w:rsidRPr="00910E94">
        <w:rPr>
          <w:rFonts w:ascii="Times New Roman" w:hAnsi="Times New Roman"/>
          <w:color w:val="000000"/>
          <w:sz w:val="24"/>
          <w:lang w:val="es-ES_tradnl"/>
        </w:rPr>
        <w:t xml:space="preserve"> las herramientas disponibles, en particular el sistema de presentación y la WIKI con objeto de garantizar que los documentos han sido presentados y pueden ser consultados por los usuarios.</w:t>
      </w:r>
    </w:p>
    <w:p w:rsidR="002E55C1" w:rsidRPr="00910E94" w:rsidRDefault="00E648F9" w:rsidP="002E55C1">
      <w:pPr>
        <w:spacing w:before="120" w:line="360" w:lineRule="auto"/>
        <w:contextualSpacing/>
        <w:jc w:val="both"/>
        <w:rPr>
          <w:rFonts w:ascii="Times New Roman" w:hAnsi="Times New Roman"/>
          <w:b/>
          <w:sz w:val="24"/>
          <w:szCs w:val="24"/>
          <w:lang w:val="es-ES_tradnl"/>
        </w:rPr>
      </w:pPr>
      <w:r w:rsidRPr="00910E94">
        <w:rPr>
          <w:rFonts w:ascii="Times New Roman" w:hAnsi="Times New Roman"/>
          <w:b/>
          <w:sz w:val="24"/>
          <w:lang w:val="es-ES_tradnl"/>
        </w:rPr>
        <w:t>Recomendación 6</w:t>
      </w:r>
    </w:p>
    <w:p w:rsidR="002E55C1" w:rsidRPr="00910E94" w:rsidRDefault="002E55C1" w:rsidP="002E55C1">
      <w:pPr>
        <w:pStyle w:val="ListParagraph"/>
        <w:spacing w:before="120" w:line="360" w:lineRule="auto"/>
        <w:ind w:left="0"/>
        <w:contextualSpacing w:val="0"/>
        <w:jc w:val="both"/>
        <w:rPr>
          <w:rFonts w:ascii="Times New Roman" w:eastAsia="Calibri" w:hAnsi="Times New Roman"/>
          <w:b/>
          <w:color w:val="000000"/>
          <w:sz w:val="24"/>
          <w:szCs w:val="24"/>
          <w:lang w:val="es-ES_tradnl"/>
        </w:rPr>
      </w:pPr>
      <w:r w:rsidRPr="00910E94">
        <w:rPr>
          <w:rFonts w:ascii="Times New Roman" w:hAnsi="Times New Roman"/>
          <w:b/>
          <w:color w:val="000000"/>
          <w:sz w:val="24"/>
          <w:lang w:val="es-ES_tradnl"/>
        </w:rPr>
        <w:t>Conviene que la OMPI refuerce el sistema de gestión de documentos, de forma que los documentos sobre el proyecto se mantengan en un mismo lugar.</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olor w:val="000000"/>
          <w:sz w:val="24"/>
          <w:szCs w:val="24"/>
          <w:lang w:val="es-ES_tradnl"/>
        </w:rPr>
      </w:pPr>
      <w:r w:rsidRPr="00910E94">
        <w:rPr>
          <w:rFonts w:ascii="Times New Roman" w:hAnsi="Times New Roman"/>
          <w:sz w:val="24"/>
          <w:lang w:val="es-ES_tradnl"/>
        </w:rPr>
        <w:t>La OMPI aceptó la recomendación</w:t>
      </w:r>
      <w:r w:rsidR="00344EE2">
        <w:rPr>
          <w:rFonts w:ascii="Times New Roman" w:hAnsi="Times New Roman"/>
          <w:sz w:val="24"/>
          <w:lang w:val="es-ES_tradnl"/>
        </w:rPr>
        <w:t xml:space="preserve">.  </w:t>
      </w:r>
      <w:r w:rsidRPr="00910E94">
        <w:rPr>
          <w:rFonts w:ascii="Times New Roman" w:hAnsi="Times New Roman"/>
          <w:sz w:val="24"/>
          <w:lang w:val="es-ES_tradnl"/>
        </w:rPr>
        <w:t xml:space="preserve">Declaró que, si bien el sistema y las herramientas actuales de documentación sirven a este fin, la Organización se beneficiaría de un </w:t>
      </w:r>
      <w:r w:rsidRPr="00910E94">
        <w:rPr>
          <w:rFonts w:ascii="Times New Roman" w:hAnsi="Times New Roman"/>
          <w:color w:val="000000"/>
          <w:sz w:val="24"/>
          <w:lang w:val="es-ES_tradnl"/>
        </w:rPr>
        <w:t>sistema de gestión de contenidos institucionales</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Actualmente, en el marco de la iniciativa de gestión de contenidos institucionales se están identificando los elementos de alta prioridad y la OMPI aprovechará la oportunidad para evaluar si la cartera de PRI podría ser una de las primeras en beneficiarse del sistema de gestión de contenidos institucionales que se prevé instaurar.</w:t>
      </w:r>
    </w:p>
    <w:p w:rsidR="002E55C1" w:rsidRPr="00910E94" w:rsidRDefault="002E55C1" w:rsidP="002E55C1">
      <w:pPr>
        <w:pStyle w:val="Heading1"/>
        <w:spacing w:before="120" w:line="360" w:lineRule="auto"/>
        <w:contextualSpacing/>
        <w:rPr>
          <w:rFonts w:ascii="Times New Roman" w:hAnsi="Times New Roman"/>
          <w:b/>
          <w:color w:val="002060"/>
          <w:sz w:val="24"/>
          <w:szCs w:val="24"/>
          <w:lang w:val="es-ES_tradnl"/>
        </w:rPr>
      </w:pPr>
      <w:r w:rsidRPr="00910E94">
        <w:rPr>
          <w:rFonts w:ascii="Times New Roman" w:hAnsi="Times New Roman"/>
          <w:b/>
          <w:color w:val="002060"/>
          <w:sz w:val="24"/>
          <w:lang w:val="es-ES_tradnl"/>
        </w:rPr>
        <w:t>Cálculo de los costos de los elementos</w:t>
      </w:r>
    </w:p>
    <w:p w:rsidR="00731870" w:rsidRPr="00910E94" w:rsidRDefault="002E55C1"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A continuación se indican el desglose de los costos y el costo estimado al final del proyecto:</w:t>
      </w:r>
    </w:p>
    <w:p w:rsidR="002E55C1" w:rsidRPr="00910E94" w:rsidRDefault="002E55C1" w:rsidP="00101066">
      <w:pPr>
        <w:keepNext/>
        <w:spacing w:after="0" w:line="360" w:lineRule="auto"/>
        <w:contextualSpacing/>
        <w:jc w:val="right"/>
        <w:rPr>
          <w:rFonts w:ascii="Times New Roman" w:hAnsi="Times New Roman"/>
          <w:b/>
          <w:i/>
          <w:sz w:val="24"/>
          <w:szCs w:val="24"/>
          <w:lang w:val="es-ES_tradnl"/>
        </w:rPr>
      </w:pPr>
      <w:r w:rsidRPr="00910E94">
        <w:rPr>
          <w:rFonts w:ascii="Times New Roman" w:hAnsi="Times New Roman"/>
          <w:b/>
          <w:i/>
          <w:sz w:val="24"/>
          <w:lang w:val="es-ES_tradnl"/>
        </w:rPr>
        <w:t>(Costo en CHF)</w:t>
      </w:r>
    </w:p>
    <w:tbl>
      <w:tblPr>
        <w:tblW w:w="5097" w:type="pct"/>
        <w:tblLayout w:type="fixed"/>
        <w:tblLook w:val="04A0" w:firstRow="1" w:lastRow="0" w:firstColumn="1" w:lastColumn="0" w:noHBand="0" w:noVBand="1"/>
      </w:tblPr>
      <w:tblGrid>
        <w:gridCol w:w="3794"/>
        <w:gridCol w:w="1860"/>
        <w:gridCol w:w="1967"/>
        <w:gridCol w:w="1801"/>
      </w:tblGrid>
      <w:tr w:rsidR="002E55C1" w:rsidRPr="00910E94" w:rsidTr="00101066">
        <w:trPr>
          <w:trHeight w:val="255"/>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b/>
                <w:bCs/>
                <w:sz w:val="24"/>
                <w:szCs w:val="24"/>
                <w:lang w:val="es-ES_tradnl"/>
              </w:rPr>
            </w:pPr>
            <w:r w:rsidRPr="00910E94">
              <w:rPr>
                <w:rFonts w:ascii="Times New Roman" w:hAnsi="Times New Roman"/>
                <w:b/>
                <w:sz w:val="24"/>
                <w:lang w:val="es-ES_tradnl"/>
              </w:rPr>
              <w:t>Elemento</w:t>
            </w:r>
          </w:p>
        </w:tc>
        <w:tc>
          <w:tcPr>
            <w:tcW w:w="987" w:type="pct"/>
            <w:tcBorders>
              <w:top w:val="single" w:sz="4" w:space="0" w:color="auto"/>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b/>
                <w:bCs/>
                <w:sz w:val="24"/>
                <w:szCs w:val="24"/>
                <w:lang w:val="es-ES_tradnl"/>
              </w:rPr>
            </w:pPr>
            <w:r w:rsidRPr="00910E94">
              <w:rPr>
                <w:rFonts w:ascii="Times New Roman" w:hAnsi="Times New Roman"/>
                <w:b/>
                <w:sz w:val="24"/>
                <w:lang w:val="es-ES_tradnl"/>
              </w:rPr>
              <w:t xml:space="preserve">Costo </w:t>
            </w:r>
            <w:r w:rsidR="009D339D" w:rsidRPr="00910E94">
              <w:rPr>
                <w:rFonts w:ascii="Times New Roman" w:hAnsi="Times New Roman"/>
                <w:b/>
                <w:sz w:val="24"/>
                <w:lang w:val="es-ES_tradnl"/>
              </w:rPr>
              <w:t>presupuestado</w:t>
            </w:r>
          </w:p>
        </w:tc>
        <w:tc>
          <w:tcPr>
            <w:tcW w:w="1044" w:type="pct"/>
            <w:tcBorders>
              <w:top w:val="single" w:sz="4" w:space="0" w:color="auto"/>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b/>
                <w:bCs/>
                <w:sz w:val="24"/>
                <w:szCs w:val="24"/>
                <w:lang w:val="es-ES_tradnl"/>
              </w:rPr>
            </w:pPr>
            <w:r w:rsidRPr="00910E94">
              <w:rPr>
                <w:rFonts w:ascii="Times New Roman" w:hAnsi="Times New Roman"/>
                <w:b/>
                <w:sz w:val="24"/>
                <w:lang w:val="es-ES_tradnl"/>
              </w:rPr>
              <w:t>Costo estimado al final del proyecto</w:t>
            </w:r>
          </w:p>
        </w:tc>
        <w:tc>
          <w:tcPr>
            <w:tcW w:w="956" w:type="pct"/>
            <w:tcBorders>
              <w:top w:val="single" w:sz="4" w:space="0" w:color="auto"/>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b/>
                <w:bCs/>
                <w:sz w:val="24"/>
                <w:szCs w:val="24"/>
                <w:lang w:val="es-ES_tradnl"/>
              </w:rPr>
            </w:pPr>
            <w:r w:rsidRPr="00910E94">
              <w:rPr>
                <w:rFonts w:ascii="Times New Roman" w:hAnsi="Times New Roman"/>
                <w:b/>
                <w:sz w:val="24"/>
                <w:lang w:val="es-ES_tradnl"/>
              </w:rPr>
              <w:t xml:space="preserve">% del costo </w:t>
            </w:r>
            <w:r w:rsidR="009D339D" w:rsidRPr="00910E94">
              <w:rPr>
                <w:rFonts w:ascii="Times New Roman" w:hAnsi="Times New Roman"/>
                <w:b/>
                <w:sz w:val="24"/>
                <w:lang w:val="es-ES_tradnl"/>
              </w:rPr>
              <w:t>presupuestado</w:t>
            </w:r>
          </w:p>
        </w:tc>
      </w:tr>
      <w:tr w:rsidR="002E55C1" w:rsidRPr="00910E94" w:rsidTr="00101066">
        <w:trPr>
          <w:trHeight w:val="255"/>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Alojamiento de aplicaciones</w:t>
            </w:r>
          </w:p>
        </w:tc>
        <w:tc>
          <w:tcPr>
            <w:tcW w:w="987"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1.383.360</w:t>
            </w:r>
          </w:p>
        </w:tc>
        <w:tc>
          <w:tcPr>
            <w:tcW w:w="1044"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674.911</w:t>
            </w:r>
          </w:p>
        </w:tc>
        <w:tc>
          <w:tcPr>
            <w:tcW w:w="956"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48,79</w:t>
            </w:r>
          </w:p>
        </w:tc>
      </w:tr>
      <w:tr w:rsidR="002E55C1" w:rsidRPr="00910E94" w:rsidTr="00101066">
        <w:trPr>
          <w:trHeight w:val="255"/>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Compra y mantenimiento de programas informáticos</w:t>
            </w:r>
          </w:p>
        </w:tc>
        <w:tc>
          <w:tcPr>
            <w:tcW w:w="987"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3.989.738</w:t>
            </w:r>
          </w:p>
        </w:tc>
        <w:tc>
          <w:tcPr>
            <w:tcW w:w="1044"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3.095.862</w:t>
            </w:r>
          </w:p>
        </w:tc>
        <w:tc>
          <w:tcPr>
            <w:tcW w:w="956"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77,60</w:t>
            </w:r>
          </w:p>
        </w:tc>
      </w:tr>
      <w:tr w:rsidR="002E55C1" w:rsidRPr="00910E94" w:rsidTr="00101066">
        <w:trPr>
          <w:trHeight w:val="255"/>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Personal de proyectos</w:t>
            </w:r>
          </w:p>
        </w:tc>
        <w:tc>
          <w:tcPr>
            <w:tcW w:w="987"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5.564.680</w:t>
            </w:r>
          </w:p>
        </w:tc>
        <w:tc>
          <w:tcPr>
            <w:tcW w:w="1044"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8.772.279</w:t>
            </w:r>
          </w:p>
        </w:tc>
        <w:tc>
          <w:tcPr>
            <w:tcW w:w="956"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157,64</w:t>
            </w:r>
          </w:p>
        </w:tc>
      </w:tr>
      <w:tr w:rsidR="002E55C1" w:rsidRPr="00910E94" w:rsidTr="00101066">
        <w:trPr>
          <w:trHeight w:val="255"/>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 xml:space="preserve">Recursos asignados a la </w:t>
            </w:r>
            <w:r w:rsidRPr="00910E94">
              <w:rPr>
                <w:rFonts w:ascii="Times New Roman" w:hAnsi="Times New Roman"/>
                <w:sz w:val="24"/>
                <w:lang w:val="es-ES_tradnl"/>
              </w:rPr>
              <w:lastRenderedPageBreak/>
              <w:t>participación de usuarios</w:t>
            </w:r>
          </w:p>
        </w:tc>
        <w:tc>
          <w:tcPr>
            <w:tcW w:w="987"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lastRenderedPageBreak/>
              <w:t>2.703.800</w:t>
            </w:r>
          </w:p>
        </w:tc>
        <w:tc>
          <w:tcPr>
            <w:tcW w:w="1044"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1.912.510</w:t>
            </w:r>
          </w:p>
        </w:tc>
        <w:tc>
          <w:tcPr>
            <w:tcW w:w="956"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70,73</w:t>
            </w:r>
          </w:p>
        </w:tc>
      </w:tr>
      <w:tr w:rsidR="002E55C1" w:rsidRPr="00910E94" w:rsidTr="00101066">
        <w:trPr>
          <w:trHeight w:val="255"/>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910E94" w:rsidRDefault="00EF169C" w:rsidP="00EF169C">
            <w:pPr>
              <w:spacing w:before="120" w:after="0" w:line="240" w:lineRule="auto"/>
              <w:contextualSpacing/>
              <w:jc w:val="center"/>
              <w:rPr>
                <w:rFonts w:ascii="Times New Roman" w:hAnsi="Times New Roman"/>
                <w:sz w:val="24"/>
                <w:szCs w:val="24"/>
                <w:lang w:val="es-ES_tradnl"/>
              </w:rPr>
            </w:pPr>
            <w:r>
              <w:rPr>
                <w:rFonts w:ascii="Times New Roman" w:hAnsi="Times New Roman"/>
                <w:sz w:val="24"/>
                <w:lang w:val="es-ES_tradnl"/>
              </w:rPr>
              <w:lastRenderedPageBreak/>
              <w:t>Asociado</w:t>
            </w:r>
            <w:r w:rsidR="002E55C1" w:rsidRPr="00910E94">
              <w:rPr>
                <w:rFonts w:ascii="Times New Roman" w:hAnsi="Times New Roman"/>
                <w:sz w:val="24"/>
                <w:lang w:val="es-ES_tradnl"/>
              </w:rPr>
              <w:t xml:space="preserve"> externo </w:t>
            </w:r>
            <w:r>
              <w:rPr>
                <w:rFonts w:ascii="Times New Roman" w:hAnsi="Times New Roman"/>
                <w:sz w:val="24"/>
                <w:lang w:val="es-ES_tradnl"/>
              </w:rPr>
              <w:t xml:space="preserve">encargado de </w:t>
            </w:r>
            <w:r w:rsidR="002E55C1" w:rsidRPr="00910E94">
              <w:rPr>
                <w:rFonts w:ascii="Times New Roman" w:hAnsi="Times New Roman"/>
                <w:sz w:val="24"/>
                <w:lang w:val="es-ES_tradnl"/>
              </w:rPr>
              <w:t>la ejecución</w:t>
            </w:r>
          </w:p>
        </w:tc>
        <w:tc>
          <w:tcPr>
            <w:tcW w:w="987"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9.896.109</w:t>
            </w:r>
          </w:p>
        </w:tc>
        <w:tc>
          <w:tcPr>
            <w:tcW w:w="1044"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10.199.546</w:t>
            </w:r>
          </w:p>
        </w:tc>
        <w:tc>
          <w:tcPr>
            <w:tcW w:w="956"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103,07</w:t>
            </w:r>
          </w:p>
        </w:tc>
      </w:tr>
      <w:tr w:rsidR="002E55C1" w:rsidRPr="00910E94" w:rsidTr="00101066">
        <w:trPr>
          <w:trHeight w:val="255"/>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Formación</w:t>
            </w:r>
          </w:p>
        </w:tc>
        <w:tc>
          <w:tcPr>
            <w:tcW w:w="987"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1.253.780</w:t>
            </w:r>
          </w:p>
        </w:tc>
        <w:tc>
          <w:tcPr>
            <w:tcW w:w="1044"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474.673</w:t>
            </w:r>
          </w:p>
        </w:tc>
        <w:tc>
          <w:tcPr>
            <w:tcW w:w="956"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37,86</w:t>
            </w:r>
          </w:p>
        </w:tc>
      </w:tr>
      <w:tr w:rsidR="002E55C1" w:rsidRPr="00910E94" w:rsidTr="00101066">
        <w:trPr>
          <w:trHeight w:val="255"/>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Comunicaciones y otros</w:t>
            </w:r>
          </w:p>
        </w:tc>
        <w:tc>
          <w:tcPr>
            <w:tcW w:w="987"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550.000</w:t>
            </w:r>
          </w:p>
        </w:tc>
        <w:tc>
          <w:tcPr>
            <w:tcW w:w="1044"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208.916</w:t>
            </w:r>
          </w:p>
        </w:tc>
        <w:tc>
          <w:tcPr>
            <w:tcW w:w="956"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sz w:val="24"/>
                <w:szCs w:val="24"/>
                <w:lang w:val="es-ES_tradnl"/>
              </w:rPr>
            </w:pPr>
            <w:r w:rsidRPr="00910E94">
              <w:rPr>
                <w:rFonts w:ascii="Times New Roman" w:hAnsi="Times New Roman"/>
                <w:sz w:val="24"/>
                <w:lang w:val="es-ES_tradnl"/>
              </w:rPr>
              <w:t>37,98</w:t>
            </w:r>
          </w:p>
        </w:tc>
      </w:tr>
      <w:tr w:rsidR="002E55C1" w:rsidRPr="00910E94" w:rsidTr="00101066">
        <w:trPr>
          <w:trHeight w:val="255"/>
        </w:trPr>
        <w:tc>
          <w:tcPr>
            <w:tcW w:w="20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b/>
                <w:bCs/>
                <w:sz w:val="24"/>
                <w:szCs w:val="24"/>
                <w:lang w:val="es-ES_tradnl"/>
              </w:rPr>
            </w:pPr>
            <w:r w:rsidRPr="00910E94">
              <w:rPr>
                <w:rFonts w:ascii="Times New Roman" w:hAnsi="Times New Roman"/>
                <w:b/>
                <w:sz w:val="24"/>
                <w:lang w:val="es-ES_tradnl"/>
              </w:rPr>
              <w:t>Total general</w:t>
            </w:r>
          </w:p>
        </w:tc>
        <w:tc>
          <w:tcPr>
            <w:tcW w:w="987"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b/>
                <w:sz w:val="24"/>
                <w:szCs w:val="24"/>
                <w:lang w:val="es-ES_tradnl"/>
              </w:rPr>
            </w:pPr>
            <w:r w:rsidRPr="00910E94">
              <w:rPr>
                <w:rFonts w:ascii="Times New Roman" w:hAnsi="Times New Roman"/>
                <w:b/>
                <w:sz w:val="24"/>
                <w:lang w:val="es-ES_tradnl"/>
              </w:rPr>
              <w:t>25.341.467</w:t>
            </w:r>
          </w:p>
        </w:tc>
        <w:tc>
          <w:tcPr>
            <w:tcW w:w="1044"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b/>
                <w:sz w:val="24"/>
                <w:szCs w:val="24"/>
                <w:lang w:val="es-ES_tradnl"/>
              </w:rPr>
            </w:pPr>
            <w:r w:rsidRPr="00910E94">
              <w:rPr>
                <w:rFonts w:ascii="Times New Roman" w:hAnsi="Times New Roman"/>
                <w:b/>
                <w:sz w:val="24"/>
                <w:lang w:val="es-ES_tradnl"/>
              </w:rPr>
              <w:t>25.338.698</w:t>
            </w:r>
          </w:p>
        </w:tc>
        <w:tc>
          <w:tcPr>
            <w:tcW w:w="956" w:type="pct"/>
            <w:tcBorders>
              <w:top w:val="nil"/>
              <w:left w:val="nil"/>
              <w:bottom w:val="single" w:sz="4" w:space="0" w:color="auto"/>
              <w:right w:val="single" w:sz="4" w:space="0" w:color="auto"/>
            </w:tcBorders>
            <w:shd w:val="clear" w:color="auto" w:fill="auto"/>
            <w:noWrap/>
            <w:vAlign w:val="bottom"/>
            <w:hideMark/>
          </w:tcPr>
          <w:p w:rsidR="002E55C1" w:rsidRPr="00910E94" w:rsidRDefault="002E55C1" w:rsidP="00E562B7">
            <w:pPr>
              <w:spacing w:before="120" w:after="0" w:line="240" w:lineRule="auto"/>
              <w:contextualSpacing/>
              <w:jc w:val="center"/>
              <w:rPr>
                <w:rFonts w:ascii="Times New Roman" w:hAnsi="Times New Roman"/>
                <w:b/>
                <w:sz w:val="24"/>
                <w:szCs w:val="24"/>
                <w:lang w:val="es-ES_tradnl"/>
              </w:rPr>
            </w:pPr>
            <w:r w:rsidRPr="00910E94">
              <w:rPr>
                <w:rFonts w:ascii="Times New Roman" w:hAnsi="Times New Roman"/>
                <w:b/>
                <w:sz w:val="24"/>
                <w:lang w:val="es-ES_tradnl"/>
              </w:rPr>
              <w:t>99,99</w:t>
            </w:r>
          </w:p>
        </w:tc>
      </w:tr>
    </w:tbl>
    <w:p w:rsidR="002E55C1" w:rsidRPr="00910E94" w:rsidRDefault="002E55C1" w:rsidP="002E55C1">
      <w:pPr>
        <w:spacing w:before="120" w:line="360" w:lineRule="auto"/>
        <w:contextualSpacing/>
        <w:jc w:val="both"/>
        <w:rPr>
          <w:rFonts w:ascii="Times New Roman" w:hAnsi="Times New Roman"/>
          <w:sz w:val="24"/>
          <w:szCs w:val="24"/>
          <w:lang w:val="es-ES_tradnl"/>
        </w:rPr>
      </w:pPr>
    </w:p>
    <w:p w:rsidR="002E55C1" w:rsidRPr="00910E94" w:rsidRDefault="002E55C1" w:rsidP="00981E67">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Al aprobar el proyecto de PRI, los Estados miembros mostraron su preocupación por su costo global</w:t>
      </w:r>
      <w:r w:rsidR="00344EE2">
        <w:rPr>
          <w:rFonts w:ascii="Times New Roman" w:hAnsi="Times New Roman"/>
          <w:sz w:val="24"/>
          <w:lang w:val="es-ES_tradnl"/>
        </w:rPr>
        <w:t xml:space="preserve">.  </w:t>
      </w:r>
      <w:r w:rsidRPr="00910E94">
        <w:rPr>
          <w:rFonts w:ascii="Times New Roman" w:hAnsi="Times New Roman"/>
          <w:sz w:val="24"/>
          <w:lang w:val="es-ES_tradnl"/>
        </w:rPr>
        <w:t>Solicitaron que los informes que facilite la OMPI describan las medidas específicas adoptadas para contener los costos del proyecto</w:t>
      </w:r>
      <w:r w:rsidR="00344EE2">
        <w:rPr>
          <w:rFonts w:ascii="Times New Roman" w:hAnsi="Times New Roman"/>
          <w:sz w:val="24"/>
          <w:lang w:val="es-ES_tradnl"/>
        </w:rPr>
        <w:t xml:space="preserve">.  </w:t>
      </w:r>
      <w:r w:rsidRPr="00910E94">
        <w:rPr>
          <w:rFonts w:ascii="Times New Roman" w:hAnsi="Times New Roman"/>
          <w:sz w:val="24"/>
          <w:lang w:val="es-ES_tradnl"/>
        </w:rPr>
        <w:t xml:space="preserve">Uno de los aspectos del costo global que interesó especialmente a los Estados miembros fue el importe que se destinaría al personal del proyecto, al personal complementario y al </w:t>
      </w:r>
      <w:r w:rsidR="00EF169C">
        <w:rPr>
          <w:rFonts w:ascii="Times New Roman" w:hAnsi="Times New Roman"/>
          <w:sz w:val="24"/>
          <w:lang w:val="es-ES_tradnl"/>
        </w:rPr>
        <w:t>asociado externo encargado de</w:t>
      </w:r>
      <w:r w:rsidRPr="00910E94">
        <w:rPr>
          <w:rFonts w:ascii="Times New Roman" w:hAnsi="Times New Roman"/>
          <w:sz w:val="24"/>
          <w:lang w:val="es-ES_tradnl"/>
        </w:rPr>
        <w:t xml:space="preserve"> la ejecución.</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observado que:</w:t>
      </w:r>
    </w:p>
    <w:p w:rsidR="002E55C1" w:rsidRPr="00910E94" w:rsidRDefault="002E55C1" w:rsidP="004A14D2">
      <w:pPr>
        <w:numPr>
          <w:ilvl w:val="0"/>
          <w:numId w:val="13"/>
        </w:numPr>
        <w:spacing w:before="120" w:after="120" w:line="360" w:lineRule="auto"/>
        <w:jc w:val="both"/>
        <w:rPr>
          <w:rFonts w:ascii="Times New Roman" w:hAnsi="Times New Roman"/>
          <w:sz w:val="24"/>
          <w:szCs w:val="24"/>
          <w:lang w:val="es-ES_tradnl"/>
        </w:rPr>
      </w:pPr>
      <w:r w:rsidRPr="00910E94">
        <w:rPr>
          <w:rFonts w:ascii="Times New Roman" w:hAnsi="Times New Roman"/>
          <w:sz w:val="24"/>
          <w:lang w:val="es-ES_tradnl"/>
        </w:rPr>
        <w:t xml:space="preserve">El costo del personal del proyecto, del personal complementario y del </w:t>
      </w:r>
      <w:r w:rsidR="00EF169C">
        <w:rPr>
          <w:rFonts w:ascii="Times New Roman" w:hAnsi="Times New Roman"/>
          <w:sz w:val="24"/>
          <w:lang w:val="es-ES_tradnl"/>
        </w:rPr>
        <w:t>asociado externo encargado de</w:t>
      </w:r>
      <w:r w:rsidRPr="00910E94">
        <w:rPr>
          <w:rFonts w:ascii="Times New Roman" w:hAnsi="Times New Roman"/>
          <w:sz w:val="24"/>
          <w:lang w:val="es-ES_tradnl"/>
        </w:rPr>
        <w:t xml:space="preserve"> la ejecución sería de un</w:t>
      </w:r>
      <w:r w:rsidR="004A14D2" w:rsidRPr="00910E94">
        <w:rPr>
          <w:rFonts w:ascii="Times New Roman" w:hAnsi="Times New Roman"/>
          <w:sz w:val="24"/>
          <w:lang w:val="es-ES_tradnl"/>
        </w:rPr>
        <w:t> </w:t>
      </w:r>
      <w:r w:rsidRPr="00910E94">
        <w:rPr>
          <w:rFonts w:ascii="Times New Roman" w:hAnsi="Times New Roman"/>
          <w:sz w:val="24"/>
          <w:lang w:val="es-ES_tradnl"/>
        </w:rPr>
        <w:t>82,42%</w:t>
      </w:r>
      <w:r w:rsidRPr="00910E94">
        <w:rPr>
          <w:rFonts w:ascii="Times New Roman" w:hAnsi="Times New Roman"/>
          <w:i/>
          <w:sz w:val="24"/>
          <w:lang w:val="es-ES_tradnl"/>
        </w:rPr>
        <w:t xml:space="preserve"> </w:t>
      </w:r>
      <w:r w:rsidRPr="00910E94">
        <w:rPr>
          <w:rFonts w:ascii="Times New Roman" w:hAnsi="Times New Roman"/>
          <w:sz w:val="24"/>
          <w:lang w:val="es-ES_tradnl"/>
        </w:rPr>
        <w:t>fre</w:t>
      </w:r>
      <w:r w:rsidR="004A14D2" w:rsidRPr="00910E94">
        <w:rPr>
          <w:rFonts w:ascii="Times New Roman" w:hAnsi="Times New Roman"/>
          <w:sz w:val="24"/>
          <w:lang w:val="es-ES_tradnl"/>
        </w:rPr>
        <w:t>nte a la estimación inicial del </w:t>
      </w:r>
      <w:r w:rsidRPr="00910E94">
        <w:rPr>
          <w:rFonts w:ascii="Times New Roman" w:hAnsi="Times New Roman"/>
          <w:sz w:val="24"/>
          <w:lang w:val="es-ES_tradnl"/>
        </w:rPr>
        <w:t>71,68</w:t>
      </w:r>
      <w:r w:rsidRPr="00910E94">
        <w:rPr>
          <w:rFonts w:ascii="Times New Roman" w:hAnsi="Times New Roman"/>
          <w:i/>
          <w:sz w:val="24"/>
          <w:lang w:val="es-ES_tradnl"/>
        </w:rPr>
        <w:t>%</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Estas estimaciones se basan en la hipótesis de que todos los proyectos estarán finalizados en el segundo trimestre </w:t>
      </w:r>
      <w:r w:rsidR="00CC3D7A" w:rsidRPr="00910E94">
        <w:rPr>
          <w:rFonts w:ascii="Times New Roman" w:hAnsi="Times New Roman"/>
          <w:sz w:val="24"/>
          <w:lang w:val="es-ES_tradnl"/>
        </w:rPr>
        <w:t>de 20</w:t>
      </w:r>
      <w:r w:rsidRPr="00910E94">
        <w:rPr>
          <w:rFonts w:ascii="Times New Roman" w:hAnsi="Times New Roman"/>
          <w:sz w:val="24"/>
          <w:lang w:val="es-ES_tradnl"/>
        </w:rPr>
        <w:t>16</w:t>
      </w:r>
      <w:r w:rsidR="00344EE2">
        <w:rPr>
          <w:rFonts w:ascii="Times New Roman" w:hAnsi="Times New Roman"/>
          <w:sz w:val="24"/>
          <w:lang w:val="es-ES_tradnl"/>
        </w:rPr>
        <w:t xml:space="preserve">.  </w:t>
      </w:r>
    </w:p>
    <w:p w:rsidR="00731870" w:rsidRPr="00910E94" w:rsidRDefault="002E55C1" w:rsidP="00495D62">
      <w:pPr>
        <w:spacing w:before="120" w:line="360" w:lineRule="auto"/>
        <w:ind w:left="720"/>
        <w:jc w:val="both"/>
        <w:rPr>
          <w:rFonts w:ascii="Times New Roman" w:hAnsi="Times New Roman"/>
          <w:sz w:val="24"/>
          <w:lang w:val="es-ES_tradnl"/>
        </w:rPr>
      </w:pPr>
      <w:r w:rsidRPr="00910E94">
        <w:rPr>
          <w:rFonts w:ascii="Times New Roman" w:hAnsi="Times New Roman"/>
          <w:sz w:val="24"/>
          <w:lang w:val="es-ES_tradnl"/>
        </w:rPr>
        <w:t xml:space="preserve">La OMPI señaló que si bien no se prevé que la estimación relativa al </w:t>
      </w:r>
      <w:r w:rsidR="00EF169C">
        <w:rPr>
          <w:rFonts w:ascii="Times New Roman" w:hAnsi="Times New Roman"/>
          <w:sz w:val="24"/>
          <w:lang w:val="es-ES_tradnl"/>
        </w:rPr>
        <w:t>asociado externo encargado de</w:t>
      </w:r>
      <w:r w:rsidRPr="00910E94">
        <w:rPr>
          <w:rFonts w:ascii="Times New Roman" w:hAnsi="Times New Roman"/>
          <w:sz w:val="24"/>
          <w:lang w:val="es-ES_tradnl"/>
        </w:rPr>
        <w:t xml:space="preserve"> la ejecución supere las predic</w:t>
      </w:r>
      <w:r w:rsidR="004644EE">
        <w:rPr>
          <w:rFonts w:ascii="Times New Roman" w:hAnsi="Times New Roman"/>
          <w:sz w:val="24"/>
          <w:lang w:val="es-ES_tradnl"/>
        </w:rPr>
        <w:t>ciones iniciales, los costos de</w:t>
      </w:r>
      <w:r w:rsidRPr="00910E94">
        <w:rPr>
          <w:rFonts w:ascii="Times New Roman" w:hAnsi="Times New Roman"/>
          <w:sz w:val="24"/>
          <w:lang w:val="es-ES_tradnl"/>
        </w:rPr>
        <w:t xml:space="preserve"> personal del proyecto podrían superarlas como consecuencia de un mayor uso de los recursos internos para realizar actividades tales como formación y comunicación, tal como se comunicó previamente a los Estados miembros en el informe sobre la marcha de la instauración del sistema de PRI </w:t>
      </w:r>
      <w:r w:rsidR="00CC3D7A" w:rsidRPr="00910E94">
        <w:rPr>
          <w:rFonts w:ascii="Times New Roman" w:hAnsi="Times New Roman"/>
          <w:sz w:val="24"/>
          <w:lang w:val="es-ES_tradnl"/>
        </w:rPr>
        <w:t>de 20</w:t>
      </w:r>
      <w:r w:rsidRPr="00910E94">
        <w:rPr>
          <w:rFonts w:ascii="Times New Roman" w:hAnsi="Times New Roman"/>
          <w:sz w:val="24"/>
          <w:lang w:val="es-ES_tradnl"/>
        </w:rPr>
        <w:t>14</w:t>
      </w:r>
      <w:r w:rsidR="00344EE2">
        <w:rPr>
          <w:rFonts w:ascii="Times New Roman" w:hAnsi="Times New Roman"/>
          <w:sz w:val="24"/>
          <w:lang w:val="es-ES_tradnl"/>
        </w:rPr>
        <w:t xml:space="preserve">.  </w:t>
      </w:r>
      <w:r w:rsidRPr="00910E94">
        <w:rPr>
          <w:rFonts w:ascii="Times New Roman" w:hAnsi="Times New Roman"/>
          <w:sz w:val="24"/>
          <w:lang w:val="es-ES_tradnl"/>
        </w:rPr>
        <w:t>Agregó que los costos de personal (interno y externo) aumentan constantemente, mientras que los costos de la tecnología, como los equipos y programas informáticos, que normalmente eran elevados, son ahora significativamente menores</w:t>
      </w:r>
      <w:r w:rsidR="00344EE2">
        <w:rPr>
          <w:rFonts w:ascii="Times New Roman" w:hAnsi="Times New Roman"/>
          <w:sz w:val="24"/>
          <w:lang w:val="es-ES_tradnl"/>
        </w:rPr>
        <w:t xml:space="preserve">.  </w:t>
      </w:r>
      <w:r w:rsidRPr="00910E94">
        <w:rPr>
          <w:rFonts w:ascii="Times New Roman" w:hAnsi="Times New Roman"/>
          <w:sz w:val="24"/>
          <w:lang w:val="es-ES_tradnl"/>
        </w:rPr>
        <w:t>En consecuencia, la proporción de los costos totales asignados al personal en un proyecto de ejecución es ahora considerablemente superior que en el pasado.</w:t>
      </w:r>
    </w:p>
    <w:p w:rsidR="002E55C1" w:rsidRPr="00910E94" w:rsidRDefault="002E55C1" w:rsidP="002E55C1">
      <w:pPr>
        <w:numPr>
          <w:ilvl w:val="0"/>
          <w:numId w:val="13"/>
        </w:numPr>
        <w:spacing w:before="120" w:after="120" w:line="360" w:lineRule="auto"/>
        <w:jc w:val="both"/>
        <w:rPr>
          <w:rFonts w:ascii="Times New Roman" w:hAnsi="Times New Roman"/>
          <w:sz w:val="24"/>
          <w:szCs w:val="24"/>
          <w:lang w:val="es-ES_tradnl"/>
        </w:rPr>
      </w:pPr>
      <w:r w:rsidRPr="00910E94">
        <w:rPr>
          <w:rFonts w:ascii="Times New Roman" w:hAnsi="Times New Roman"/>
          <w:sz w:val="24"/>
          <w:lang w:val="es-ES_tradnl"/>
        </w:rPr>
        <w:t xml:space="preserve">En el proyecto en curso del sistema de PRI, se conseguirán también ahorros en </w:t>
      </w:r>
      <w:r w:rsidR="00693071" w:rsidRPr="00910E94">
        <w:rPr>
          <w:rFonts w:ascii="Times New Roman" w:hAnsi="Times New Roman"/>
          <w:sz w:val="24"/>
          <w:lang w:val="es-ES_tradnl"/>
        </w:rPr>
        <w:t>“</w:t>
      </w:r>
      <w:r w:rsidRPr="00910E94">
        <w:rPr>
          <w:rFonts w:ascii="Times New Roman" w:hAnsi="Times New Roman"/>
          <w:sz w:val="24"/>
          <w:lang w:val="es-ES_tradnl"/>
        </w:rPr>
        <w:t>formación</w:t>
      </w:r>
      <w:r w:rsidR="00693071" w:rsidRPr="00910E94">
        <w:rPr>
          <w:rFonts w:ascii="Times New Roman" w:hAnsi="Times New Roman"/>
          <w:sz w:val="24"/>
          <w:lang w:val="es-ES_tradnl"/>
        </w:rPr>
        <w:t>”</w:t>
      </w:r>
      <w:r w:rsidRPr="00910E94">
        <w:rPr>
          <w:rFonts w:ascii="Times New Roman" w:hAnsi="Times New Roman"/>
          <w:sz w:val="24"/>
          <w:lang w:val="es-ES_tradnl"/>
        </w:rPr>
        <w:t xml:space="preserve"> (62,14%) y en </w:t>
      </w:r>
      <w:r w:rsidR="00693071" w:rsidRPr="00910E94">
        <w:rPr>
          <w:rFonts w:ascii="Times New Roman" w:hAnsi="Times New Roman"/>
          <w:sz w:val="24"/>
          <w:lang w:val="es-ES_tradnl"/>
        </w:rPr>
        <w:t>“</w:t>
      </w:r>
      <w:r w:rsidRPr="00910E94">
        <w:rPr>
          <w:rFonts w:ascii="Times New Roman" w:hAnsi="Times New Roman"/>
          <w:sz w:val="24"/>
          <w:lang w:val="es-ES_tradnl"/>
        </w:rPr>
        <w:t>comunicación y otros</w:t>
      </w:r>
      <w:r w:rsidR="00693071" w:rsidRPr="00910E94">
        <w:rPr>
          <w:rFonts w:ascii="Times New Roman" w:hAnsi="Times New Roman"/>
          <w:sz w:val="24"/>
          <w:lang w:val="es-ES_tradnl"/>
        </w:rPr>
        <w:t>”</w:t>
      </w:r>
      <w:r w:rsidRPr="00910E94">
        <w:rPr>
          <w:rFonts w:ascii="Times New Roman" w:hAnsi="Times New Roman"/>
          <w:sz w:val="24"/>
          <w:lang w:val="es-ES_tradnl"/>
        </w:rPr>
        <w:t xml:space="preserve"> (62,02%)</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OMPI logró también ahorros en </w:t>
      </w:r>
      <w:r w:rsidR="00693071" w:rsidRPr="00910E94">
        <w:rPr>
          <w:rFonts w:ascii="Times New Roman" w:hAnsi="Times New Roman"/>
          <w:sz w:val="24"/>
          <w:lang w:val="es-ES_tradnl"/>
        </w:rPr>
        <w:t>“</w:t>
      </w:r>
      <w:r w:rsidRPr="00910E94">
        <w:rPr>
          <w:rFonts w:ascii="Times New Roman" w:hAnsi="Times New Roman"/>
          <w:sz w:val="24"/>
          <w:lang w:val="es-ES_tradnl"/>
        </w:rPr>
        <w:t>formación</w:t>
      </w:r>
      <w:r w:rsidR="00693071" w:rsidRPr="00910E94">
        <w:rPr>
          <w:rFonts w:ascii="Times New Roman" w:hAnsi="Times New Roman"/>
          <w:sz w:val="24"/>
          <w:lang w:val="es-ES_tradnl"/>
        </w:rPr>
        <w:t>”</w:t>
      </w:r>
      <w:r w:rsidRPr="00910E94">
        <w:rPr>
          <w:rFonts w:ascii="Times New Roman" w:hAnsi="Times New Roman"/>
          <w:sz w:val="24"/>
          <w:lang w:val="es-ES_tradnl"/>
        </w:rPr>
        <w:t xml:space="preserve"> (75,5%) y en </w:t>
      </w:r>
      <w:r w:rsidR="00693071" w:rsidRPr="00910E94">
        <w:rPr>
          <w:rFonts w:ascii="Times New Roman" w:hAnsi="Times New Roman"/>
          <w:sz w:val="24"/>
          <w:lang w:val="es-ES_tradnl"/>
        </w:rPr>
        <w:t>“</w:t>
      </w:r>
      <w:r w:rsidRPr="00910E94">
        <w:rPr>
          <w:rFonts w:ascii="Times New Roman" w:hAnsi="Times New Roman"/>
          <w:sz w:val="24"/>
          <w:lang w:val="es-ES_tradnl"/>
        </w:rPr>
        <w:t>comunicación y otros</w:t>
      </w:r>
      <w:r w:rsidR="00693071" w:rsidRPr="00910E94">
        <w:rPr>
          <w:rFonts w:ascii="Times New Roman" w:hAnsi="Times New Roman"/>
          <w:sz w:val="24"/>
          <w:lang w:val="es-ES_tradnl"/>
        </w:rPr>
        <w:t>”</w:t>
      </w:r>
      <w:r w:rsidRPr="00910E94">
        <w:rPr>
          <w:rFonts w:ascii="Times New Roman" w:hAnsi="Times New Roman"/>
          <w:sz w:val="24"/>
          <w:lang w:val="es-ES_tradnl"/>
        </w:rPr>
        <w:t xml:space="preserve"> (60,9%) al ejecutar un proyecto anterior,  a saber</w:t>
      </w:r>
      <w:r w:rsidR="009D339D" w:rsidRPr="00910E94">
        <w:rPr>
          <w:rFonts w:ascii="Times New Roman" w:hAnsi="Times New Roman"/>
          <w:sz w:val="24"/>
          <w:lang w:val="es-ES_tradnl"/>
        </w:rPr>
        <w:t xml:space="preserve"> los</w:t>
      </w:r>
      <w:r w:rsidRPr="00910E94">
        <w:rPr>
          <w:rFonts w:ascii="Times New Roman" w:hAnsi="Times New Roman"/>
          <w:sz w:val="24"/>
          <w:lang w:val="es-ES_tradnl"/>
        </w:rPr>
        <w:t xml:space="preserve"> módulos de T.I</w:t>
      </w:r>
      <w:r w:rsidR="00344EE2">
        <w:rPr>
          <w:rFonts w:ascii="Times New Roman" w:hAnsi="Times New Roman"/>
          <w:sz w:val="24"/>
          <w:lang w:val="es-ES_tradnl"/>
        </w:rPr>
        <w:t xml:space="preserve">.  </w:t>
      </w:r>
      <w:r w:rsidRPr="00910E94">
        <w:rPr>
          <w:rFonts w:ascii="Times New Roman" w:hAnsi="Times New Roman"/>
          <w:sz w:val="24"/>
          <w:lang w:val="es-ES_tradnl"/>
        </w:rPr>
        <w:t>destinado</w:t>
      </w:r>
      <w:r w:rsidR="009D339D" w:rsidRPr="00910E94">
        <w:rPr>
          <w:rFonts w:ascii="Times New Roman" w:hAnsi="Times New Roman"/>
          <w:sz w:val="24"/>
          <w:lang w:val="es-ES_tradnl"/>
        </w:rPr>
        <w:t>s</w:t>
      </w:r>
      <w:r w:rsidRPr="00910E94">
        <w:rPr>
          <w:rFonts w:ascii="Times New Roman" w:hAnsi="Times New Roman"/>
          <w:sz w:val="24"/>
          <w:lang w:val="es-ES_tradnl"/>
        </w:rPr>
        <w:t xml:space="preserve"> a determinar el </w:t>
      </w:r>
      <w:r w:rsidRPr="00910E94">
        <w:rPr>
          <w:rFonts w:ascii="Times New Roman" w:hAnsi="Times New Roman"/>
          <w:sz w:val="24"/>
          <w:lang w:val="es-ES_tradnl"/>
        </w:rPr>
        <w:lastRenderedPageBreak/>
        <w:t>cumplimiento del proyecto del Reglamento Financiero y la Reglamentación Financiera-IPSAS</w:t>
      </w:r>
      <w:r w:rsidR="00344EE2">
        <w:rPr>
          <w:rFonts w:ascii="Times New Roman" w:hAnsi="Times New Roman"/>
          <w:sz w:val="24"/>
          <w:lang w:val="es-ES_tradnl"/>
        </w:rPr>
        <w:t xml:space="preserve">.  </w:t>
      </w:r>
      <w:r w:rsidRPr="00910E94">
        <w:rPr>
          <w:rFonts w:ascii="Times New Roman" w:hAnsi="Times New Roman"/>
          <w:sz w:val="24"/>
          <w:lang w:val="es-ES_tradnl"/>
        </w:rPr>
        <w:t>Ello indica que la metodología de cálculo de costos adoptada para computar los costos de cada elemento debe ser revisada</w:t>
      </w:r>
      <w:r w:rsidR="00344EE2">
        <w:rPr>
          <w:rFonts w:ascii="Times New Roman" w:hAnsi="Times New Roman"/>
          <w:sz w:val="24"/>
          <w:lang w:val="es-ES_tradnl"/>
        </w:rPr>
        <w:t xml:space="preserve">.  </w:t>
      </w:r>
    </w:p>
    <w:p w:rsidR="002E55C1" w:rsidRPr="00910E94" w:rsidRDefault="002E55C1" w:rsidP="00495D62">
      <w:pPr>
        <w:pStyle w:val="ListParagraph"/>
        <w:spacing w:before="120" w:after="120" w:line="360" w:lineRule="auto"/>
        <w:ind w:left="709"/>
        <w:contextualSpacing w:val="0"/>
        <w:jc w:val="both"/>
        <w:rPr>
          <w:rFonts w:ascii="Times New Roman" w:hAnsi="Times New Roman"/>
          <w:sz w:val="24"/>
          <w:szCs w:val="24"/>
          <w:lang w:val="es-ES_tradnl"/>
        </w:rPr>
      </w:pPr>
      <w:r w:rsidRPr="00910E94">
        <w:rPr>
          <w:rFonts w:ascii="Times New Roman" w:hAnsi="Times New Roman"/>
          <w:sz w:val="24"/>
          <w:lang w:val="es-ES_tradnl"/>
        </w:rPr>
        <w:t>La OMPI dijo que ha revisado los importes presupuestados y reales conforme al Reglamento Financiero y la Reglamentación Financiera-IPSAS para entender los ahorros y pretende aplicarlos a las estimaciones presupuestarias de la cartera de PRI, velando por no presuponer que tales ahorros siempre se producirán necesariamente</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En las hipótesis iniciales de planificación de la formación se suponía una determinada combinación de </w:t>
      </w:r>
      <w:r w:rsidR="004644EE">
        <w:rPr>
          <w:rFonts w:ascii="Times New Roman" w:hAnsi="Times New Roman"/>
          <w:sz w:val="24"/>
          <w:lang w:val="es-ES_tradnl"/>
        </w:rPr>
        <w:t>actividades de formación interna</w:t>
      </w:r>
      <w:r w:rsidRPr="00910E94">
        <w:rPr>
          <w:rFonts w:ascii="Times New Roman" w:hAnsi="Times New Roman"/>
          <w:sz w:val="24"/>
          <w:lang w:val="es-ES_tradnl"/>
        </w:rPr>
        <w:t xml:space="preserve"> y ext</w:t>
      </w:r>
      <w:r w:rsidR="004644EE">
        <w:rPr>
          <w:rFonts w:ascii="Times New Roman" w:hAnsi="Times New Roman"/>
          <w:sz w:val="24"/>
          <w:lang w:val="es-ES_tradnl"/>
        </w:rPr>
        <w:t>erna</w:t>
      </w:r>
      <w:r w:rsidRPr="00910E94">
        <w:rPr>
          <w:rFonts w:ascii="Times New Roman" w:hAnsi="Times New Roman"/>
          <w:sz w:val="24"/>
          <w:lang w:val="es-ES_tradnl"/>
        </w:rPr>
        <w:t>, y la OMPI se ha esforzado por ofrecer la mayoría de la formación a través de recursos internos</w:t>
      </w:r>
      <w:r w:rsidR="00344EE2">
        <w:rPr>
          <w:rFonts w:ascii="Times New Roman" w:hAnsi="Times New Roman"/>
          <w:sz w:val="24"/>
          <w:lang w:val="es-ES_tradnl"/>
        </w:rPr>
        <w:t xml:space="preserve">.  </w:t>
      </w:r>
      <w:r w:rsidR="004644EE">
        <w:rPr>
          <w:rFonts w:ascii="Times New Roman" w:hAnsi="Times New Roman"/>
          <w:sz w:val="24"/>
          <w:lang w:val="es-ES_tradnl"/>
        </w:rPr>
        <w:t>Los costos de estas actividades de formación interna</w:t>
      </w:r>
      <w:r w:rsidRPr="00910E94">
        <w:rPr>
          <w:rFonts w:ascii="Times New Roman" w:hAnsi="Times New Roman"/>
          <w:sz w:val="24"/>
          <w:lang w:val="es-ES_tradnl"/>
        </w:rPr>
        <w:t xml:space="preserve"> no se imputaron al presupuesto de formación, ya que </w:t>
      </w:r>
      <w:r w:rsidR="009D7E04" w:rsidRPr="00910E94">
        <w:rPr>
          <w:rFonts w:ascii="Times New Roman" w:hAnsi="Times New Roman"/>
          <w:sz w:val="24"/>
          <w:lang w:val="es-ES_tradnl"/>
        </w:rPr>
        <w:t>los empleados que los impartieron</w:t>
      </w:r>
      <w:r w:rsidRPr="00910E94">
        <w:rPr>
          <w:rFonts w:ascii="Times New Roman" w:hAnsi="Times New Roman"/>
          <w:sz w:val="24"/>
          <w:lang w:val="es-ES_tradnl"/>
        </w:rPr>
        <w:t xml:space="preserve"> estaba</w:t>
      </w:r>
      <w:r w:rsidR="009D7E04" w:rsidRPr="00910E94">
        <w:rPr>
          <w:rFonts w:ascii="Times New Roman" w:hAnsi="Times New Roman"/>
          <w:sz w:val="24"/>
          <w:lang w:val="es-ES_tradnl"/>
        </w:rPr>
        <w:t>n</w:t>
      </w:r>
      <w:r w:rsidRPr="00910E94">
        <w:rPr>
          <w:rFonts w:ascii="Times New Roman" w:hAnsi="Times New Roman"/>
          <w:sz w:val="24"/>
          <w:lang w:val="es-ES_tradnl"/>
        </w:rPr>
        <w:t xml:space="preserve"> asignado</w:t>
      </w:r>
      <w:r w:rsidR="009D7E04" w:rsidRPr="00910E94">
        <w:rPr>
          <w:rFonts w:ascii="Times New Roman" w:hAnsi="Times New Roman"/>
          <w:sz w:val="24"/>
          <w:lang w:val="es-ES_tradnl"/>
        </w:rPr>
        <w:t>s</w:t>
      </w:r>
      <w:r w:rsidRPr="00910E94">
        <w:rPr>
          <w:rFonts w:ascii="Times New Roman" w:hAnsi="Times New Roman"/>
          <w:sz w:val="24"/>
          <w:lang w:val="es-ES_tradnl"/>
        </w:rPr>
        <w:t xml:space="preserve"> al personal del proyecto, conforme a las prácticas contables habituales de la OMPI</w:t>
      </w:r>
      <w:r w:rsidR="00344EE2">
        <w:rPr>
          <w:rFonts w:ascii="Times New Roman" w:hAnsi="Times New Roman"/>
          <w:sz w:val="24"/>
          <w:lang w:val="es-ES_tradnl"/>
        </w:rPr>
        <w:t xml:space="preserve">.  </w:t>
      </w:r>
      <w:r w:rsidRPr="00910E94">
        <w:rPr>
          <w:rFonts w:ascii="Times New Roman" w:hAnsi="Times New Roman"/>
          <w:sz w:val="24"/>
          <w:lang w:val="es-ES_tradnl"/>
        </w:rPr>
        <w:t>Añadió que la metodología de cálculo de costos ha demostrado su solidez y se ha aplicado para calcular los fondos de los que es necesario disponer para ejecutar un proyecto, y no para determinar la forma en que se prestarán efectivamente los servicios</w:t>
      </w:r>
      <w:r w:rsidR="00344EE2">
        <w:rPr>
          <w:rFonts w:ascii="Times New Roman" w:hAnsi="Times New Roman"/>
          <w:sz w:val="24"/>
          <w:lang w:val="es-ES_tradnl"/>
        </w:rPr>
        <w:t xml:space="preserve">.  </w:t>
      </w:r>
      <w:r w:rsidRPr="00910E94">
        <w:rPr>
          <w:rFonts w:ascii="Times New Roman" w:hAnsi="Times New Roman"/>
          <w:sz w:val="24"/>
          <w:lang w:val="es-ES_tradnl"/>
        </w:rPr>
        <w:t>Al final de cada proyecto, la OMPI recapituló sobre las lecciones aprendidas.</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Valoramos los esfuerzos de la OMPI por controlar los costos de formación</w:t>
      </w:r>
      <w:r w:rsidR="00344EE2">
        <w:rPr>
          <w:rFonts w:ascii="Times New Roman" w:hAnsi="Times New Roman"/>
          <w:sz w:val="24"/>
          <w:lang w:val="es-ES_tradnl"/>
        </w:rPr>
        <w:t xml:space="preserve">.  </w:t>
      </w:r>
      <w:r w:rsidRPr="00910E94">
        <w:rPr>
          <w:rFonts w:ascii="Times New Roman" w:hAnsi="Times New Roman"/>
          <w:sz w:val="24"/>
          <w:lang w:val="es-ES_tradnl"/>
        </w:rPr>
        <w:t xml:space="preserve">No obstante, habida cuenta de la previsión de que se superen los costos relacionados con el personal del proyecto y el </w:t>
      </w:r>
      <w:r w:rsidR="00EF169C">
        <w:rPr>
          <w:rFonts w:ascii="Times New Roman" w:hAnsi="Times New Roman"/>
          <w:sz w:val="24"/>
          <w:lang w:val="es-ES_tradnl"/>
        </w:rPr>
        <w:t>asociado externo encargado de</w:t>
      </w:r>
      <w:r w:rsidRPr="00910E94">
        <w:rPr>
          <w:rFonts w:ascii="Times New Roman" w:hAnsi="Times New Roman"/>
          <w:sz w:val="24"/>
          <w:lang w:val="es-ES_tradnl"/>
        </w:rPr>
        <w:t xml:space="preserve"> la ejecución, y se consigan ahorros en </w:t>
      </w:r>
      <w:r w:rsidR="00693071" w:rsidRPr="00910E94">
        <w:rPr>
          <w:rFonts w:ascii="Times New Roman" w:hAnsi="Times New Roman"/>
          <w:sz w:val="24"/>
          <w:lang w:val="es-ES_tradnl"/>
        </w:rPr>
        <w:t>“</w:t>
      </w:r>
      <w:r w:rsidRPr="00910E94">
        <w:rPr>
          <w:rFonts w:ascii="Times New Roman" w:hAnsi="Times New Roman"/>
          <w:sz w:val="24"/>
          <w:lang w:val="es-ES_tradnl"/>
        </w:rPr>
        <w:t>formación</w:t>
      </w:r>
      <w:r w:rsidR="00693071" w:rsidRPr="00910E94">
        <w:rPr>
          <w:rFonts w:ascii="Times New Roman" w:hAnsi="Times New Roman"/>
          <w:sz w:val="24"/>
          <w:lang w:val="es-ES_tradnl"/>
        </w:rPr>
        <w:t>”</w:t>
      </w:r>
      <w:r w:rsidRPr="00910E94">
        <w:rPr>
          <w:rFonts w:ascii="Times New Roman" w:hAnsi="Times New Roman"/>
          <w:sz w:val="24"/>
          <w:lang w:val="es-ES_tradnl"/>
        </w:rPr>
        <w:t xml:space="preserve"> y </w:t>
      </w:r>
      <w:r w:rsidR="00693071" w:rsidRPr="00910E94">
        <w:rPr>
          <w:rFonts w:ascii="Times New Roman" w:hAnsi="Times New Roman"/>
          <w:sz w:val="24"/>
          <w:lang w:val="es-ES_tradnl"/>
        </w:rPr>
        <w:t>“</w:t>
      </w:r>
      <w:r w:rsidRPr="00910E94">
        <w:rPr>
          <w:rFonts w:ascii="Times New Roman" w:hAnsi="Times New Roman"/>
          <w:sz w:val="24"/>
          <w:lang w:val="es-ES_tradnl"/>
        </w:rPr>
        <w:t>comunicación y otros</w:t>
      </w:r>
      <w:r w:rsidR="00693071" w:rsidRPr="00910E94">
        <w:rPr>
          <w:rFonts w:ascii="Times New Roman" w:hAnsi="Times New Roman"/>
          <w:sz w:val="24"/>
          <w:lang w:val="es-ES_tradnl"/>
        </w:rPr>
        <w:t>”</w:t>
      </w:r>
      <w:r w:rsidRPr="00910E94">
        <w:rPr>
          <w:rFonts w:ascii="Times New Roman" w:hAnsi="Times New Roman"/>
          <w:sz w:val="24"/>
          <w:lang w:val="es-ES_tradnl"/>
        </w:rPr>
        <w:t>, consideramos que es preciso revisar la metodología de cálculo de costos</w:t>
      </w:r>
      <w:r w:rsidR="00344EE2">
        <w:rPr>
          <w:rFonts w:ascii="Times New Roman" w:hAnsi="Times New Roman"/>
          <w:sz w:val="24"/>
          <w:lang w:val="es-ES_tradnl"/>
        </w:rPr>
        <w:t xml:space="preserve">.  </w:t>
      </w:r>
    </w:p>
    <w:p w:rsidR="002E55C1" w:rsidRPr="00910E94" w:rsidRDefault="002E55C1" w:rsidP="00101066">
      <w:pPr>
        <w:pStyle w:val="Default"/>
        <w:keepNext/>
        <w:spacing w:line="360" w:lineRule="auto"/>
        <w:jc w:val="both"/>
        <w:rPr>
          <w:rFonts w:ascii="Times New Roman" w:hAnsi="Times New Roman" w:cs="Times New Roman"/>
          <w:lang w:val="es-ES_tradnl"/>
        </w:rPr>
      </w:pPr>
      <w:r w:rsidRPr="00910E94">
        <w:rPr>
          <w:rFonts w:ascii="Times New Roman" w:hAnsi="Times New Roman"/>
          <w:b/>
          <w:lang w:val="es-ES_tradnl"/>
        </w:rPr>
        <w:t>Recomendación 7</w:t>
      </w:r>
    </w:p>
    <w:p w:rsidR="002E55C1" w:rsidRPr="00910E94" w:rsidRDefault="002E55C1" w:rsidP="002E55C1">
      <w:pPr>
        <w:spacing w:before="120" w:line="360" w:lineRule="auto"/>
        <w:jc w:val="both"/>
        <w:rPr>
          <w:rFonts w:ascii="Times New Roman" w:hAnsi="Times New Roman"/>
          <w:b/>
          <w:sz w:val="24"/>
          <w:szCs w:val="24"/>
          <w:lang w:val="es-ES_tradnl"/>
        </w:rPr>
      </w:pPr>
      <w:r w:rsidRPr="00910E94">
        <w:rPr>
          <w:rFonts w:ascii="Times New Roman" w:hAnsi="Times New Roman"/>
          <w:b/>
          <w:sz w:val="24"/>
          <w:lang w:val="es-ES_tradnl"/>
        </w:rPr>
        <w:t>Conviene que la OMPI adopte medidas para reforzar su metodología de cálculo de costos, de forma que no se registren divergencias importantes entre los costos presupuestados y reales de cada uno de los elementos de una cartera concreta</w:t>
      </w:r>
      <w:r w:rsidR="00344EE2">
        <w:rPr>
          <w:rFonts w:ascii="Times New Roman" w:hAnsi="Times New Roman"/>
          <w:b/>
          <w:sz w:val="24"/>
          <w:lang w:val="es-ES_tradnl"/>
        </w:rPr>
        <w:t xml:space="preserve">.  </w:t>
      </w:r>
    </w:p>
    <w:p w:rsidR="002E55C1" w:rsidRPr="00910E94" w:rsidRDefault="002E55C1" w:rsidP="00495D6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declaró que presentará a los Estados miembros un presupuesto revisado de la cartera, por conjunto de proyectos y elementos de costos, en el informe sobre la marcha de la instauración del sistema de PRI</w:t>
      </w:r>
      <w:r w:rsidR="00344EE2">
        <w:rPr>
          <w:rFonts w:ascii="Times New Roman" w:hAnsi="Times New Roman"/>
          <w:sz w:val="24"/>
          <w:lang w:val="es-ES_tradnl"/>
        </w:rPr>
        <w:t xml:space="preserve">.  </w:t>
      </w:r>
      <w:r w:rsidRPr="00910E94">
        <w:rPr>
          <w:rFonts w:ascii="Times New Roman" w:hAnsi="Times New Roman"/>
          <w:sz w:val="24"/>
          <w:lang w:val="es-ES_tradnl"/>
        </w:rPr>
        <w:t>Tras aceptar que las divergencias importantes han de analizarse, la OMPI afirmó que siempre existirán diferencias entre los costos presupuestados y reales, especialmente en un proyecto plurianual como la PRI</w:t>
      </w:r>
      <w:r w:rsidRPr="00910E94">
        <w:rPr>
          <w:rFonts w:ascii="Times New Roman" w:hAnsi="Times New Roman"/>
          <w:color w:val="7030A0"/>
          <w:sz w:val="24"/>
          <w:lang w:val="es-ES_tradnl"/>
        </w:rPr>
        <w:t xml:space="preserve"> </w:t>
      </w:r>
      <w:r w:rsidRPr="00910E94">
        <w:rPr>
          <w:rFonts w:ascii="Times New Roman" w:hAnsi="Times New Roman"/>
          <w:sz w:val="24"/>
          <w:lang w:val="es-ES_tradnl"/>
        </w:rPr>
        <w:t xml:space="preserve">y, en la actualidad, el proyecto global relativo a la cartera de PRI no presenta divergencias importantes entre costos </w:t>
      </w:r>
      <w:r w:rsidRPr="00910E94">
        <w:rPr>
          <w:rFonts w:ascii="Times New Roman" w:hAnsi="Times New Roman"/>
          <w:sz w:val="24"/>
          <w:lang w:val="es-ES_tradnl"/>
        </w:rPr>
        <w:lastRenderedPageBreak/>
        <w:t>presupuestados y reales, y se hace todo lo posible para reducir al mínimo, en la medida de lo posible, tales divergencias</w:t>
      </w:r>
      <w:r w:rsidR="00344EE2">
        <w:rPr>
          <w:rFonts w:ascii="Times New Roman" w:hAnsi="Times New Roman"/>
          <w:sz w:val="24"/>
          <w:lang w:val="es-ES_tradnl"/>
        </w:rPr>
        <w:t xml:space="preserve">.  </w:t>
      </w:r>
    </w:p>
    <w:p w:rsidR="002E55C1" w:rsidRPr="00910E94" w:rsidRDefault="002E55C1" w:rsidP="00101066">
      <w:pPr>
        <w:pStyle w:val="Default"/>
        <w:keepNext/>
        <w:spacing w:line="360" w:lineRule="auto"/>
        <w:rPr>
          <w:rFonts w:ascii="Times New Roman" w:hAnsi="Times New Roman" w:cs="Times New Roman"/>
          <w:b/>
          <w:color w:val="002060"/>
          <w:lang w:val="es-ES_tradnl"/>
        </w:rPr>
      </w:pPr>
      <w:r w:rsidRPr="00910E94">
        <w:rPr>
          <w:rFonts w:ascii="Times New Roman" w:hAnsi="Times New Roman"/>
          <w:b/>
          <w:color w:val="002060"/>
          <w:lang w:val="es-ES_tradnl"/>
        </w:rPr>
        <w:t>Estructura de gobernanza global</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En el informe sobre la marcha de la instauración de un sistema de PRI (WO/PBC/18/12), la OMPI hizo notar que el enfoque adoptado para la instauración incluiría la revisión proactiva y la mitigación de los principales riesgos a través de una gobernanza firme de la cartera y la adopción de las mejores prácticas</w:t>
      </w:r>
      <w:r w:rsidR="00344EE2">
        <w:rPr>
          <w:rFonts w:ascii="Times New Roman" w:hAnsi="Times New Roman"/>
          <w:sz w:val="24"/>
          <w:lang w:val="es-ES_tradnl"/>
        </w:rPr>
        <w:t xml:space="preserve">.  </w:t>
      </w:r>
      <w:r w:rsidRPr="00910E94">
        <w:rPr>
          <w:rFonts w:ascii="Times New Roman" w:hAnsi="Times New Roman"/>
          <w:sz w:val="24"/>
          <w:lang w:val="es-ES_tradnl"/>
        </w:rPr>
        <w:t>La metodología de gestión de proyectos PRINCE2, aplicada por la OMPI para la gestión del proyecto, también insiste en establecer y mantener una herramienta de planificación y control común.</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observado que:</w:t>
      </w:r>
    </w:p>
    <w:p w:rsidR="002E55C1" w:rsidRPr="00910E94" w:rsidRDefault="002E55C1" w:rsidP="00101066">
      <w:pPr>
        <w:numPr>
          <w:ilvl w:val="0"/>
          <w:numId w:val="12"/>
        </w:numPr>
        <w:spacing w:before="120" w:after="120" w:line="360" w:lineRule="auto"/>
        <w:contextualSpacing/>
        <w:jc w:val="both"/>
        <w:rPr>
          <w:rFonts w:ascii="Times New Roman" w:hAnsi="Times New Roman"/>
          <w:sz w:val="24"/>
          <w:szCs w:val="24"/>
          <w:lang w:val="es-ES_tradnl"/>
        </w:rPr>
      </w:pPr>
      <w:r w:rsidRPr="00910E94">
        <w:rPr>
          <w:rFonts w:ascii="Times New Roman" w:hAnsi="Times New Roman"/>
          <w:sz w:val="24"/>
          <w:lang w:val="es-ES_tradnl"/>
        </w:rPr>
        <w:t xml:space="preserve"> En enero </w:t>
      </w:r>
      <w:r w:rsidR="00CC3D7A" w:rsidRPr="00910E94">
        <w:rPr>
          <w:rFonts w:ascii="Times New Roman" w:hAnsi="Times New Roman"/>
          <w:sz w:val="24"/>
          <w:lang w:val="es-ES_tradnl"/>
        </w:rPr>
        <w:t>de 20</w:t>
      </w:r>
      <w:r w:rsidRPr="00910E94">
        <w:rPr>
          <w:rFonts w:ascii="Times New Roman" w:hAnsi="Times New Roman"/>
          <w:sz w:val="24"/>
          <w:lang w:val="es-ES_tradnl"/>
        </w:rPr>
        <w:t>14, la OMPI estableció una estrategia común de instauración.</w:t>
      </w:r>
    </w:p>
    <w:p w:rsidR="00981E67" w:rsidRPr="00910E94" w:rsidRDefault="002E55C1" w:rsidP="00101066">
      <w:pPr>
        <w:pStyle w:val="ListParagraph"/>
        <w:numPr>
          <w:ilvl w:val="0"/>
          <w:numId w:val="8"/>
        </w:numPr>
        <w:spacing w:before="120" w:after="120" w:line="360" w:lineRule="auto"/>
        <w:jc w:val="both"/>
        <w:rPr>
          <w:rFonts w:ascii="Times New Roman" w:hAnsi="Times New Roman"/>
          <w:sz w:val="24"/>
          <w:szCs w:val="24"/>
          <w:lang w:val="es-ES_tradnl"/>
        </w:rPr>
      </w:pPr>
      <w:r w:rsidRPr="00910E94">
        <w:rPr>
          <w:rFonts w:ascii="Times New Roman" w:hAnsi="Times New Roman"/>
          <w:sz w:val="24"/>
          <w:lang w:val="es-ES_tradnl"/>
        </w:rPr>
        <w:t xml:space="preserve">La Junta de la Cartera de AIMS celebró su primera reunión en marzo </w:t>
      </w:r>
      <w:r w:rsidR="00CC3D7A" w:rsidRPr="00910E94">
        <w:rPr>
          <w:rFonts w:ascii="Times New Roman" w:hAnsi="Times New Roman"/>
          <w:sz w:val="24"/>
          <w:lang w:val="es-ES_tradnl"/>
        </w:rPr>
        <w:t>de 20</w:t>
      </w:r>
      <w:r w:rsidRPr="00910E94">
        <w:rPr>
          <w:rFonts w:ascii="Times New Roman" w:hAnsi="Times New Roman"/>
          <w:sz w:val="24"/>
          <w:lang w:val="es-ES_tradnl"/>
        </w:rPr>
        <w:t xml:space="preserve">14 y el Comité Directivo de AIMS se reunió por primera vez en junio </w:t>
      </w:r>
      <w:r w:rsidR="00CC3D7A" w:rsidRPr="00910E94">
        <w:rPr>
          <w:rFonts w:ascii="Times New Roman" w:hAnsi="Times New Roman"/>
          <w:sz w:val="24"/>
          <w:lang w:val="es-ES_tradnl"/>
        </w:rPr>
        <w:t>de 20</w:t>
      </w:r>
      <w:r w:rsidRPr="00910E94">
        <w:rPr>
          <w:rFonts w:ascii="Times New Roman" w:hAnsi="Times New Roman"/>
          <w:sz w:val="24"/>
          <w:lang w:val="es-ES_tradnl"/>
        </w:rPr>
        <w:t>14.</w:t>
      </w:r>
    </w:p>
    <w:p w:rsidR="002E55C1" w:rsidRPr="00910E94" w:rsidRDefault="002E55C1" w:rsidP="00101066">
      <w:pPr>
        <w:pStyle w:val="ListParagraph"/>
        <w:numPr>
          <w:ilvl w:val="0"/>
          <w:numId w:val="8"/>
        </w:numPr>
        <w:spacing w:before="120" w:after="120" w:line="360" w:lineRule="auto"/>
        <w:jc w:val="both"/>
        <w:rPr>
          <w:rFonts w:ascii="Times New Roman" w:hAnsi="Times New Roman"/>
          <w:sz w:val="24"/>
          <w:szCs w:val="24"/>
          <w:lang w:val="es-ES_tradnl"/>
        </w:rPr>
      </w:pPr>
      <w:r w:rsidRPr="00910E94">
        <w:rPr>
          <w:rFonts w:ascii="Times New Roman" w:hAnsi="Times New Roman"/>
          <w:sz w:val="24"/>
          <w:lang w:val="es-ES_tradnl"/>
        </w:rPr>
        <w:t xml:space="preserve">Con objeto de gestionar los cambios de los proyectos, se implantó una estrategia formal de gestión de cambios en octubre </w:t>
      </w:r>
      <w:r w:rsidR="00CC3D7A" w:rsidRPr="00910E94">
        <w:rPr>
          <w:rFonts w:ascii="Times New Roman" w:hAnsi="Times New Roman"/>
          <w:sz w:val="24"/>
          <w:lang w:val="es-ES_tradnl"/>
        </w:rPr>
        <w:t>de 20</w:t>
      </w:r>
      <w:r w:rsidRPr="00910E94">
        <w:rPr>
          <w:rFonts w:ascii="Times New Roman" w:hAnsi="Times New Roman"/>
          <w:sz w:val="24"/>
          <w:lang w:val="es-ES_tradnl"/>
        </w:rPr>
        <w:t>14.</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En los documentos de iniciación del proyecto hemos advertido asimismo que distintos proyectos han seguido diferentes métodos de planificación, control de calidad y gestión, en particular en lo que respecta a estrategia de gestión de calidad, estrategia de gestión de riesgos, planes por etapas y límites de tolerancia</w:t>
      </w:r>
      <w:r w:rsidR="00344EE2">
        <w:rPr>
          <w:rFonts w:ascii="Times New Roman" w:hAnsi="Times New Roman"/>
          <w:sz w:val="24"/>
          <w:lang w:val="es-ES_tradnl"/>
        </w:rPr>
        <w:t xml:space="preserve">.  </w:t>
      </w:r>
      <w:r w:rsidRPr="00910E94">
        <w:rPr>
          <w:rFonts w:ascii="Times New Roman" w:hAnsi="Times New Roman"/>
          <w:sz w:val="24"/>
          <w:lang w:val="es-ES_tradnl"/>
        </w:rPr>
        <w:t>Por ejemplo, las expectativas y criterios en materia de calidad se definieron con detalle en el documento de iniciación del proyecto de recursos humanos, pero no en el documento de iniciación del proyecto de gestión del rendimiento institucional</w:t>
      </w:r>
      <w:r w:rsidR="00344EE2">
        <w:rPr>
          <w:rFonts w:ascii="Times New Roman" w:hAnsi="Times New Roman"/>
          <w:sz w:val="24"/>
          <w:lang w:val="es-ES_tradnl"/>
        </w:rPr>
        <w:t xml:space="preserve">.  </w:t>
      </w:r>
      <w:r w:rsidRPr="00910E94">
        <w:rPr>
          <w:rFonts w:ascii="Times New Roman" w:hAnsi="Times New Roman"/>
          <w:sz w:val="24"/>
          <w:lang w:val="es-ES_tradnl"/>
        </w:rPr>
        <w:t>Del mismo modo, el mecanismo de control de calidad fue definido detalladamente en el documento de iniciación del proyecto relativo a las nóminas de recursos humanos, pero no fue abordado en los documentos de iniciación de los proyectos de gestión del rendimiento institucional y de la herramienta de reservas por Internet.</w:t>
      </w:r>
    </w:p>
    <w:p w:rsidR="00731870" w:rsidRPr="00910E94" w:rsidRDefault="002E55C1"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señaló que la metodología común de gestión de proyectos es PRINCE2, que siempre ha sido seguida por la cartera</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En el marco de la revisión realizada </w:t>
      </w:r>
      <w:r w:rsidR="00CC3D7A" w:rsidRPr="00910E94">
        <w:rPr>
          <w:rFonts w:ascii="Times New Roman" w:hAnsi="Times New Roman"/>
          <w:sz w:val="24"/>
          <w:lang w:val="es-ES_tradnl"/>
        </w:rPr>
        <w:t>en 20</w:t>
      </w:r>
      <w:r w:rsidRPr="00910E94">
        <w:rPr>
          <w:rFonts w:ascii="Times New Roman" w:hAnsi="Times New Roman"/>
          <w:sz w:val="24"/>
          <w:lang w:val="es-ES_tradnl"/>
        </w:rPr>
        <w:t>13, la OMPI perfeccionó la metodología PRINCE2, a fin de adaptarla más específicamente a la cartera de PRI</w:t>
      </w:r>
      <w:r w:rsidR="00344EE2">
        <w:rPr>
          <w:rFonts w:ascii="Times New Roman" w:hAnsi="Times New Roman"/>
          <w:sz w:val="24"/>
          <w:lang w:val="es-ES_tradnl"/>
        </w:rPr>
        <w:t xml:space="preserve">.  </w:t>
      </w:r>
      <w:r w:rsidRPr="00910E94">
        <w:rPr>
          <w:rFonts w:ascii="Times New Roman" w:hAnsi="Times New Roman"/>
          <w:sz w:val="24"/>
          <w:lang w:val="es-ES_tradnl"/>
        </w:rPr>
        <w:t xml:space="preserve">Al comienzo </w:t>
      </w:r>
      <w:r w:rsidR="00CC3D7A" w:rsidRPr="00910E94">
        <w:rPr>
          <w:rFonts w:ascii="Times New Roman" w:hAnsi="Times New Roman"/>
          <w:sz w:val="24"/>
          <w:lang w:val="es-ES_tradnl"/>
        </w:rPr>
        <w:t>de 20</w:t>
      </w:r>
      <w:r w:rsidRPr="00910E94">
        <w:rPr>
          <w:rFonts w:ascii="Times New Roman" w:hAnsi="Times New Roman"/>
          <w:sz w:val="24"/>
          <w:lang w:val="es-ES_tradnl"/>
        </w:rPr>
        <w:t>14, PRINCE2 pasó a ser la metodología de ejecución y supervisión común</w:t>
      </w:r>
      <w:r w:rsidR="00344EE2">
        <w:rPr>
          <w:rFonts w:ascii="Times New Roman" w:hAnsi="Times New Roman"/>
          <w:sz w:val="24"/>
          <w:lang w:val="es-ES_tradnl"/>
        </w:rPr>
        <w:t xml:space="preserve">.  </w:t>
      </w:r>
      <w:r w:rsidRPr="00910E94">
        <w:rPr>
          <w:rFonts w:ascii="Times New Roman" w:hAnsi="Times New Roman"/>
          <w:sz w:val="24"/>
          <w:lang w:val="es-ES_tradnl"/>
        </w:rPr>
        <w:t>Tras las revisiones y recomendaciones de Gartner, cabe apreciar un fortalecimiento de la estructura de gobernanza y del enfoque común.</w:t>
      </w:r>
    </w:p>
    <w:p w:rsidR="002E55C1" w:rsidRPr="00910E94" w:rsidRDefault="002E55C1" w:rsidP="002E55C1">
      <w:pPr>
        <w:pStyle w:val="Heading1"/>
        <w:spacing w:before="120" w:line="360" w:lineRule="auto"/>
        <w:contextualSpacing/>
        <w:rPr>
          <w:rFonts w:ascii="Times New Roman" w:hAnsi="Times New Roman"/>
          <w:b/>
          <w:color w:val="002060"/>
          <w:sz w:val="24"/>
          <w:szCs w:val="24"/>
          <w:lang w:val="es-ES_tradnl"/>
        </w:rPr>
      </w:pPr>
      <w:r w:rsidRPr="00910E94">
        <w:rPr>
          <w:rFonts w:ascii="Times New Roman" w:hAnsi="Times New Roman"/>
          <w:b/>
          <w:color w:val="002060"/>
          <w:sz w:val="24"/>
          <w:lang w:val="es-ES_tradnl"/>
        </w:rPr>
        <w:lastRenderedPageBreak/>
        <w:t>Módulo de auditoría</w:t>
      </w:r>
    </w:p>
    <w:p w:rsidR="002E55C1" w:rsidRPr="00910E94" w:rsidRDefault="002E55C1"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Una de las ventajas que se esperaba obtener del módulo de operaciones (versión</w:t>
      </w:r>
      <w:r w:rsidR="004A14D2" w:rsidRPr="00910E94">
        <w:rPr>
          <w:rFonts w:ascii="Times New Roman" w:hAnsi="Times New Roman"/>
          <w:sz w:val="24"/>
          <w:lang w:val="es-ES_tradnl"/>
        </w:rPr>
        <w:t> </w:t>
      </w:r>
      <w:r w:rsidRPr="00910E94">
        <w:rPr>
          <w:rFonts w:ascii="Times New Roman" w:hAnsi="Times New Roman"/>
          <w:sz w:val="24"/>
          <w:lang w:val="es-ES_tradnl"/>
        </w:rPr>
        <w:t xml:space="preserve">1.2 </w:t>
      </w:r>
      <w:r w:rsidR="00CC3D7A" w:rsidRPr="00910E94">
        <w:rPr>
          <w:rFonts w:ascii="Times New Roman" w:hAnsi="Times New Roman"/>
          <w:sz w:val="24"/>
          <w:lang w:val="es-ES_tradnl"/>
        </w:rPr>
        <w:t>de 20</w:t>
      </w:r>
      <w:r w:rsidRPr="00910E94">
        <w:rPr>
          <w:rFonts w:ascii="Times New Roman" w:hAnsi="Times New Roman"/>
          <w:sz w:val="24"/>
          <w:lang w:val="es-ES_tradnl"/>
        </w:rPr>
        <w:t>14) de la cartera de AIMS consistía en cumplir las exigencias en materia de controles internos, seguridad de datos, confidencialidad y registro de las operaciones</w:t>
      </w:r>
      <w:r w:rsidR="00344EE2">
        <w:rPr>
          <w:rFonts w:ascii="Times New Roman" w:hAnsi="Times New Roman"/>
          <w:sz w:val="24"/>
          <w:lang w:val="es-ES_tradnl"/>
        </w:rPr>
        <w:t xml:space="preserve">.  </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detectado que no está previsto ningún módulo de auditoría en el sistema de PRI</w:t>
      </w:r>
      <w:r w:rsidR="00344EE2">
        <w:rPr>
          <w:rFonts w:ascii="Times New Roman" w:hAnsi="Times New Roman"/>
          <w:sz w:val="24"/>
          <w:lang w:val="es-ES_tradnl"/>
        </w:rPr>
        <w:t xml:space="preserve">.  </w:t>
      </w:r>
      <w:r w:rsidRPr="00910E94">
        <w:rPr>
          <w:rFonts w:ascii="Times New Roman" w:hAnsi="Times New Roman"/>
          <w:sz w:val="24"/>
          <w:lang w:val="es-ES_tradnl"/>
        </w:rPr>
        <w:t>La División de Auditoría y Supervisión Internas extrae datos de las bases de datos (tablas) y utiliza la herramienta ACL para la auditoría</w:t>
      </w:r>
      <w:r w:rsidR="00344EE2">
        <w:rPr>
          <w:rFonts w:ascii="Times New Roman" w:hAnsi="Times New Roman"/>
          <w:sz w:val="24"/>
          <w:lang w:val="es-ES_tradnl"/>
        </w:rPr>
        <w:t xml:space="preserve">.  </w:t>
      </w:r>
      <w:r w:rsidRPr="00910E94">
        <w:rPr>
          <w:rFonts w:ascii="Times New Roman" w:hAnsi="Times New Roman"/>
          <w:sz w:val="24"/>
          <w:lang w:val="es-ES_tradnl"/>
        </w:rPr>
        <w:t>La OMPI está implantando una herramienta de gestión de inteligencia institucional que funcionará como un sistema de gestión de la información, lo cual podría constituir una herramienta útil para la DASI y cualquier examinador externo, siempre que se respeten las exigencias en materia de auditoría a la hora de elaborar la herramienta de presentación de información de inteligencia institucional</w:t>
      </w:r>
      <w:r w:rsidR="00344EE2">
        <w:rPr>
          <w:rFonts w:ascii="Times New Roman" w:hAnsi="Times New Roman"/>
          <w:sz w:val="24"/>
          <w:lang w:val="es-ES_tradnl"/>
        </w:rPr>
        <w:t xml:space="preserve">.  </w:t>
      </w:r>
    </w:p>
    <w:p w:rsidR="00981E67" w:rsidRPr="00910E94" w:rsidRDefault="002E55C1" w:rsidP="00495D6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indicó que las comunicaciones entre la DASI y el equipo de PRI de la OMPI acerca de las exigencias de auditoría son un proceso continuo</w:t>
      </w:r>
      <w:r w:rsidR="00344EE2">
        <w:rPr>
          <w:rFonts w:ascii="Times New Roman" w:hAnsi="Times New Roman"/>
          <w:sz w:val="24"/>
          <w:lang w:val="es-ES_tradnl"/>
        </w:rPr>
        <w:t xml:space="preserve">.  </w:t>
      </w:r>
      <w:r w:rsidRPr="00910E94">
        <w:rPr>
          <w:rFonts w:ascii="Times New Roman" w:hAnsi="Times New Roman"/>
          <w:sz w:val="24"/>
          <w:lang w:val="es-ES_tradnl"/>
        </w:rPr>
        <w:t>Mediante los contactos mantenidos entre la DASI y el equipo del proyecto de inteligencia institucional, la OMPI podrá conocer las exigencias de auditoría de la DASI, para a continuación incorporarlas y proporcionarlas a la DASI y a las demás partes interesadas.</w:t>
      </w:r>
    </w:p>
    <w:p w:rsidR="002E55C1" w:rsidRPr="00910E94" w:rsidRDefault="002E55C1" w:rsidP="00101066">
      <w:pPr>
        <w:keepNext/>
        <w:spacing w:before="120" w:line="360" w:lineRule="auto"/>
        <w:contextualSpacing/>
        <w:jc w:val="both"/>
        <w:rPr>
          <w:rFonts w:ascii="Times New Roman" w:hAnsi="Times New Roman"/>
          <w:b/>
          <w:sz w:val="24"/>
          <w:szCs w:val="24"/>
          <w:lang w:val="es-ES_tradnl"/>
        </w:rPr>
      </w:pPr>
      <w:r w:rsidRPr="00910E94">
        <w:rPr>
          <w:rFonts w:ascii="Times New Roman" w:hAnsi="Times New Roman"/>
          <w:b/>
          <w:sz w:val="24"/>
          <w:lang w:val="es-ES_tradnl"/>
        </w:rPr>
        <w:t>Recomendación 8</w:t>
      </w:r>
    </w:p>
    <w:p w:rsidR="002E55C1" w:rsidRPr="00910E94" w:rsidRDefault="002E55C1" w:rsidP="002E55C1">
      <w:pPr>
        <w:spacing w:line="360" w:lineRule="auto"/>
        <w:jc w:val="both"/>
        <w:rPr>
          <w:rFonts w:ascii="Times New Roman" w:hAnsi="Times New Roman"/>
          <w:b/>
          <w:sz w:val="24"/>
          <w:szCs w:val="24"/>
          <w:lang w:val="es-ES_tradnl"/>
        </w:rPr>
      </w:pPr>
      <w:r w:rsidRPr="00910E94">
        <w:rPr>
          <w:rFonts w:ascii="Times New Roman" w:hAnsi="Times New Roman"/>
          <w:b/>
          <w:sz w:val="24"/>
          <w:lang w:val="es-ES_tradnl"/>
        </w:rPr>
        <w:t>Conviene que la OMPI siga en contacto con las diversas partes interesadas y elabore un plan de acción sujeto a plazos a fin de producir informes personalizados o sobre las excepciones.</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aceptó la recomendación</w:t>
      </w:r>
      <w:r w:rsidR="00344EE2">
        <w:rPr>
          <w:rFonts w:ascii="Times New Roman" w:hAnsi="Times New Roman"/>
          <w:sz w:val="24"/>
          <w:lang w:val="es-ES_tradnl"/>
        </w:rPr>
        <w:t xml:space="preserve">.  </w:t>
      </w:r>
      <w:r w:rsidRPr="00910E94">
        <w:rPr>
          <w:rFonts w:ascii="Times New Roman" w:hAnsi="Times New Roman"/>
          <w:sz w:val="24"/>
          <w:lang w:val="es-ES_tradnl"/>
        </w:rPr>
        <w:t>En el marco de las actividades que se están desarrollando en materia de inteligencia institucional, se celebra una reunión mensual con las partes interesadas con objeto de identificar, conocer y priorizar las exigencias en materia de presentación de información</w:t>
      </w:r>
      <w:r w:rsidR="00344EE2">
        <w:rPr>
          <w:rFonts w:ascii="Times New Roman" w:hAnsi="Times New Roman"/>
          <w:sz w:val="24"/>
          <w:lang w:val="es-ES_tradnl"/>
        </w:rPr>
        <w:t xml:space="preserve">.  </w:t>
      </w:r>
    </w:p>
    <w:p w:rsidR="002E55C1" w:rsidRPr="00910E94" w:rsidRDefault="002E55C1" w:rsidP="002E55C1">
      <w:pPr>
        <w:pStyle w:val="Heading1"/>
        <w:spacing w:before="120" w:line="360" w:lineRule="auto"/>
        <w:contextualSpacing/>
        <w:rPr>
          <w:rFonts w:ascii="Times New Roman" w:hAnsi="Times New Roman"/>
          <w:b/>
          <w:color w:val="002060"/>
          <w:sz w:val="24"/>
          <w:szCs w:val="24"/>
          <w:lang w:val="es-ES_tradnl"/>
        </w:rPr>
      </w:pPr>
      <w:r w:rsidRPr="00910E94">
        <w:rPr>
          <w:rFonts w:ascii="Times New Roman" w:hAnsi="Times New Roman"/>
          <w:b/>
          <w:color w:val="002060"/>
          <w:sz w:val="24"/>
          <w:lang w:val="es-ES_tradnl"/>
        </w:rPr>
        <w:t>Gestión de contratos</w:t>
      </w:r>
    </w:p>
    <w:p w:rsidR="00DB0571"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lang w:val="es-ES_tradnl"/>
        </w:rPr>
      </w:pPr>
      <w:r w:rsidRPr="00910E94">
        <w:rPr>
          <w:rFonts w:ascii="Times New Roman" w:hAnsi="Times New Roman"/>
          <w:sz w:val="24"/>
          <w:lang w:val="es-ES_tradnl"/>
        </w:rPr>
        <w:t>En virtud del contrato celebrado entre la OMPI y Cedar Consulting (UK) Limited (</w:t>
      </w:r>
      <w:r w:rsidR="00EF169C">
        <w:rPr>
          <w:rFonts w:ascii="Times New Roman" w:hAnsi="Times New Roman"/>
          <w:sz w:val="24"/>
          <w:lang w:val="es-ES_tradnl"/>
        </w:rPr>
        <w:t>asociado externo encargado de</w:t>
      </w:r>
      <w:r w:rsidRPr="00910E94">
        <w:rPr>
          <w:rFonts w:ascii="Times New Roman" w:hAnsi="Times New Roman"/>
          <w:sz w:val="24"/>
          <w:lang w:val="es-ES_tradnl"/>
        </w:rPr>
        <w:t xml:space="preserve"> la ejecución), el sistema de los módulos principales de gestión de los recursos humanos y de nóminas debía instalarse en los 15 meses siguientes al 1 de agosto </w:t>
      </w:r>
      <w:r w:rsidR="00CC3D7A" w:rsidRPr="00910E94">
        <w:rPr>
          <w:rFonts w:ascii="Times New Roman" w:hAnsi="Times New Roman"/>
          <w:sz w:val="24"/>
          <w:lang w:val="es-ES_tradnl"/>
        </w:rPr>
        <w:t>de 20</w:t>
      </w:r>
      <w:r w:rsidRPr="00910E94">
        <w:rPr>
          <w:rFonts w:ascii="Times New Roman" w:hAnsi="Times New Roman"/>
          <w:sz w:val="24"/>
          <w:lang w:val="es-ES_tradnl"/>
        </w:rPr>
        <w:t>12, por un importe de 1.997.925 francos suizos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Sin embargo, se produjo un retraso de más de 11 meses en la conclusión de la fase final, así como demoras de entre dos y </w:t>
      </w:r>
      <w:r w:rsidRPr="00910E94">
        <w:rPr>
          <w:rFonts w:ascii="Times New Roman" w:hAnsi="Times New Roman"/>
          <w:sz w:val="24"/>
          <w:lang w:val="es-ES_tradnl"/>
        </w:rPr>
        <w:lastRenderedPageBreak/>
        <w:t>ocho meses en la conclusión de las distintas fases, tal como se desprende de la siguiente tabla:</w:t>
      </w:r>
    </w:p>
    <w:p w:rsidR="00E24DBD" w:rsidRPr="00910E94" w:rsidRDefault="00E24DBD" w:rsidP="00DB0571">
      <w:pPr>
        <w:pStyle w:val="ListParagraph"/>
        <w:autoSpaceDE w:val="0"/>
        <w:autoSpaceDN w:val="0"/>
        <w:adjustRightInd w:val="0"/>
        <w:spacing w:before="120" w:after="120" w:line="360" w:lineRule="auto"/>
        <w:ind w:left="0"/>
        <w:contextualSpacing w:val="0"/>
        <w:jc w:val="both"/>
        <w:rPr>
          <w:rFonts w:ascii="Times New Roman" w:hAnsi="Times New Roman"/>
          <w:sz w:val="24"/>
          <w:szCs w:val="24"/>
          <w:lang w:val="es-ES_tradnl"/>
        </w:rPr>
      </w:pPr>
    </w:p>
    <w:tbl>
      <w:tblPr>
        <w:tblW w:w="4525" w:type="pct"/>
        <w:jc w:val="center"/>
        <w:tblLook w:val="04A0" w:firstRow="1" w:lastRow="0" w:firstColumn="1" w:lastColumn="0" w:noHBand="0" w:noVBand="1"/>
      </w:tblPr>
      <w:tblGrid>
        <w:gridCol w:w="2959"/>
        <w:gridCol w:w="2364"/>
        <w:gridCol w:w="1668"/>
        <w:gridCol w:w="1374"/>
      </w:tblGrid>
      <w:tr w:rsidR="002E55C1" w:rsidRPr="00910E94" w:rsidTr="00E70FD5">
        <w:trPr>
          <w:trHeight w:val="677"/>
          <w:tblHeader/>
          <w:jc w:val="center"/>
        </w:trPr>
        <w:tc>
          <w:tcPr>
            <w:tcW w:w="176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2E55C1" w:rsidRPr="00910E94" w:rsidRDefault="007B0295" w:rsidP="00E562B7">
            <w:pPr>
              <w:spacing w:before="120" w:after="0" w:line="240" w:lineRule="auto"/>
              <w:contextualSpacing/>
              <w:jc w:val="center"/>
              <w:rPr>
                <w:rFonts w:ascii="Times New Roman" w:hAnsi="Times New Roman"/>
                <w:b/>
                <w:color w:val="000000"/>
                <w:sz w:val="24"/>
                <w:szCs w:val="24"/>
                <w:lang w:val="es-ES_tradnl"/>
              </w:rPr>
            </w:pPr>
            <w:r>
              <w:rPr>
                <w:rFonts w:ascii="Times New Roman" w:hAnsi="Times New Roman"/>
                <w:b/>
                <w:color w:val="000000"/>
                <w:sz w:val="24"/>
                <w:lang w:val="es-ES_tradnl"/>
              </w:rPr>
              <w:t>Fase/Etapa</w:t>
            </w:r>
          </w:p>
        </w:tc>
        <w:tc>
          <w:tcPr>
            <w:tcW w:w="1413" w:type="pct"/>
            <w:tcBorders>
              <w:top w:val="single" w:sz="8" w:space="0" w:color="auto"/>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b/>
                <w:color w:val="000000"/>
                <w:sz w:val="24"/>
                <w:szCs w:val="24"/>
                <w:lang w:val="es-ES_tradnl"/>
              </w:rPr>
            </w:pPr>
            <w:r w:rsidRPr="00910E94">
              <w:rPr>
                <w:rFonts w:ascii="Times New Roman" w:hAnsi="Times New Roman"/>
                <w:b/>
                <w:color w:val="000000"/>
                <w:sz w:val="24"/>
                <w:lang w:val="es-ES_tradnl"/>
              </w:rPr>
              <w:t>Marco temporal previsto</w:t>
            </w:r>
          </w:p>
        </w:tc>
        <w:tc>
          <w:tcPr>
            <w:tcW w:w="997" w:type="pct"/>
            <w:tcBorders>
              <w:top w:val="single" w:sz="8" w:space="0" w:color="auto"/>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b/>
                <w:color w:val="000000"/>
                <w:sz w:val="24"/>
                <w:szCs w:val="24"/>
                <w:lang w:val="es-ES_tradnl"/>
              </w:rPr>
            </w:pPr>
            <w:r w:rsidRPr="00910E94">
              <w:rPr>
                <w:rFonts w:ascii="Times New Roman" w:hAnsi="Times New Roman"/>
                <w:b/>
                <w:color w:val="000000"/>
                <w:sz w:val="24"/>
                <w:lang w:val="es-ES_tradnl"/>
              </w:rPr>
              <w:t>Finalización real</w:t>
            </w:r>
          </w:p>
        </w:tc>
        <w:tc>
          <w:tcPr>
            <w:tcW w:w="821" w:type="pct"/>
            <w:tcBorders>
              <w:top w:val="single" w:sz="8" w:space="0" w:color="auto"/>
              <w:left w:val="nil"/>
              <w:bottom w:val="single" w:sz="4" w:space="0" w:color="auto"/>
              <w:right w:val="single" w:sz="8"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b/>
                <w:color w:val="000000"/>
                <w:sz w:val="24"/>
                <w:szCs w:val="24"/>
                <w:lang w:val="es-ES_tradnl"/>
              </w:rPr>
            </w:pPr>
            <w:r w:rsidRPr="00910E94">
              <w:rPr>
                <w:rFonts w:ascii="Times New Roman" w:hAnsi="Times New Roman"/>
                <w:b/>
                <w:color w:val="000000"/>
                <w:sz w:val="24"/>
                <w:lang w:val="es-ES_tradnl"/>
              </w:rPr>
              <w:t>Retraso (en meses)</w:t>
            </w:r>
          </w:p>
        </w:tc>
      </w:tr>
      <w:tr w:rsidR="002E55C1" w:rsidRPr="00910E94" w:rsidTr="00E70FD5">
        <w:trPr>
          <w:trHeight w:val="689"/>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Iniciación y movilización</w:t>
            </w:r>
          </w:p>
        </w:tc>
        <w:tc>
          <w:tcPr>
            <w:tcW w:w="1413"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 xml:space="preserve">Julio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 xml:space="preserve">12 a agosto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12</w:t>
            </w:r>
          </w:p>
        </w:tc>
        <w:tc>
          <w:tcPr>
            <w:tcW w:w="997"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5.11.2012</w:t>
            </w:r>
          </w:p>
        </w:tc>
        <w:tc>
          <w:tcPr>
            <w:tcW w:w="821" w:type="pct"/>
            <w:tcBorders>
              <w:top w:val="nil"/>
              <w:left w:val="nil"/>
              <w:bottom w:val="single" w:sz="4" w:space="0" w:color="auto"/>
              <w:right w:val="single" w:sz="8"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2</w:t>
            </w:r>
          </w:p>
        </w:tc>
      </w:tr>
      <w:tr w:rsidR="002E55C1" w:rsidRPr="00910E94" w:rsidTr="00E70FD5">
        <w:trPr>
          <w:trHeight w:val="804"/>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 xml:space="preserve">Definición y diseño </w:t>
            </w:r>
          </w:p>
          <w:p w:rsidR="002E55C1" w:rsidRPr="00910E94" w:rsidRDefault="002E55C1" w:rsidP="00E562B7">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(Parte 1)</w:t>
            </w:r>
          </w:p>
        </w:tc>
        <w:tc>
          <w:tcPr>
            <w:tcW w:w="1413"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 xml:space="preserve">Agosto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 xml:space="preserve">12 a octubre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12</w:t>
            </w:r>
          </w:p>
        </w:tc>
        <w:tc>
          <w:tcPr>
            <w:tcW w:w="997"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19.12.2012</w:t>
            </w:r>
          </w:p>
        </w:tc>
        <w:tc>
          <w:tcPr>
            <w:tcW w:w="821" w:type="pct"/>
            <w:tcBorders>
              <w:top w:val="nil"/>
              <w:left w:val="nil"/>
              <w:bottom w:val="single" w:sz="4" w:space="0" w:color="auto"/>
              <w:right w:val="single" w:sz="8"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2</w:t>
            </w:r>
          </w:p>
        </w:tc>
      </w:tr>
      <w:tr w:rsidR="002E55C1" w:rsidRPr="00910E94" w:rsidTr="00E70FD5">
        <w:trPr>
          <w:trHeight w:val="804"/>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Definición y diseño</w:t>
            </w:r>
          </w:p>
          <w:p w:rsidR="002E55C1" w:rsidRPr="00910E94" w:rsidRDefault="002E55C1" w:rsidP="00E562B7">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(Parte 2)</w:t>
            </w:r>
          </w:p>
        </w:tc>
        <w:tc>
          <w:tcPr>
            <w:tcW w:w="1413"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 xml:space="preserve">Octubre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 xml:space="preserve">12 a diciembre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12</w:t>
            </w:r>
          </w:p>
        </w:tc>
        <w:tc>
          <w:tcPr>
            <w:tcW w:w="997"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5.04.2013</w:t>
            </w:r>
          </w:p>
        </w:tc>
        <w:tc>
          <w:tcPr>
            <w:tcW w:w="821" w:type="pct"/>
            <w:tcBorders>
              <w:top w:val="nil"/>
              <w:left w:val="nil"/>
              <w:bottom w:val="single" w:sz="4" w:space="0" w:color="auto"/>
              <w:right w:val="single" w:sz="8"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4</w:t>
            </w:r>
          </w:p>
        </w:tc>
      </w:tr>
      <w:tr w:rsidR="002E55C1" w:rsidRPr="00910E94" w:rsidTr="00E70FD5">
        <w:trPr>
          <w:trHeight w:val="677"/>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2E55C1" w:rsidRPr="00910E94" w:rsidRDefault="002E55C1" w:rsidP="00101066">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Construcción y prueba de unidad (parte 1)</w:t>
            </w:r>
          </w:p>
        </w:tc>
        <w:tc>
          <w:tcPr>
            <w:tcW w:w="1413"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 xml:space="preserve">Diciembre a enero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13</w:t>
            </w:r>
          </w:p>
        </w:tc>
        <w:tc>
          <w:tcPr>
            <w:tcW w:w="997"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29.04.2013</w:t>
            </w:r>
          </w:p>
        </w:tc>
        <w:tc>
          <w:tcPr>
            <w:tcW w:w="821" w:type="pct"/>
            <w:tcBorders>
              <w:top w:val="nil"/>
              <w:left w:val="nil"/>
              <w:bottom w:val="single" w:sz="4" w:space="0" w:color="auto"/>
              <w:right w:val="single" w:sz="8"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3</w:t>
            </w:r>
          </w:p>
        </w:tc>
      </w:tr>
      <w:tr w:rsidR="002E55C1" w:rsidRPr="00910E94" w:rsidTr="00E70FD5">
        <w:trPr>
          <w:trHeight w:val="689"/>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2E55C1" w:rsidRPr="00910E94" w:rsidRDefault="002E55C1" w:rsidP="00101066">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Construcción y prueba de unidad (parte 2)</w:t>
            </w:r>
          </w:p>
        </w:tc>
        <w:tc>
          <w:tcPr>
            <w:tcW w:w="1413"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 xml:space="preserve">Enero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 xml:space="preserve">13 a abril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13</w:t>
            </w:r>
          </w:p>
        </w:tc>
        <w:tc>
          <w:tcPr>
            <w:tcW w:w="997"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5.07.2013</w:t>
            </w:r>
          </w:p>
        </w:tc>
        <w:tc>
          <w:tcPr>
            <w:tcW w:w="821" w:type="pct"/>
            <w:tcBorders>
              <w:top w:val="nil"/>
              <w:left w:val="nil"/>
              <w:bottom w:val="single" w:sz="4" w:space="0" w:color="auto"/>
              <w:right w:val="single" w:sz="8"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3</w:t>
            </w:r>
          </w:p>
        </w:tc>
      </w:tr>
      <w:tr w:rsidR="002E55C1" w:rsidRPr="00910E94" w:rsidTr="00E70FD5">
        <w:trPr>
          <w:trHeight w:val="677"/>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Prueba de sistema</w:t>
            </w:r>
          </w:p>
        </w:tc>
        <w:tc>
          <w:tcPr>
            <w:tcW w:w="1413"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 xml:space="preserve">Abril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 xml:space="preserve">13 a junio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13</w:t>
            </w:r>
          </w:p>
        </w:tc>
        <w:tc>
          <w:tcPr>
            <w:tcW w:w="997"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2.02.2014</w:t>
            </w:r>
          </w:p>
        </w:tc>
        <w:tc>
          <w:tcPr>
            <w:tcW w:w="821" w:type="pct"/>
            <w:tcBorders>
              <w:top w:val="nil"/>
              <w:left w:val="nil"/>
              <w:bottom w:val="single" w:sz="4" w:space="0" w:color="auto"/>
              <w:right w:val="single" w:sz="8"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7</w:t>
            </w:r>
          </w:p>
        </w:tc>
      </w:tr>
      <w:tr w:rsidR="002E55C1" w:rsidRPr="00910E94" w:rsidTr="00E70FD5">
        <w:trPr>
          <w:trHeight w:val="689"/>
          <w:tblHeader/>
          <w:jc w:val="center"/>
        </w:trPr>
        <w:tc>
          <w:tcPr>
            <w:tcW w:w="1769" w:type="pct"/>
            <w:tcBorders>
              <w:top w:val="nil"/>
              <w:left w:val="single" w:sz="8" w:space="0" w:color="auto"/>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Aceptación e implantación</w:t>
            </w:r>
          </w:p>
        </w:tc>
        <w:tc>
          <w:tcPr>
            <w:tcW w:w="1413"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 xml:space="preserve">Junio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 xml:space="preserve">13 a agosto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13</w:t>
            </w:r>
          </w:p>
        </w:tc>
        <w:tc>
          <w:tcPr>
            <w:tcW w:w="997" w:type="pct"/>
            <w:tcBorders>
              <w:top w:val="nil"/>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17.04.2014</w:t>
            </w:r>
          </w:p>
        </w:tc>
        <w:tc>
          <w:tcPr>
            <w:tcW w:w="821" w:type="pct"/>
            <w:tcBorders>
              <w:top w:val="nil"/>
              <w:left w:val="nil"/>
              <w:bottom w:val="single" w:sz="4" w:space="0" w:color="auto"/>
              <w:right w:val="single" w:sz="8"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8</w:t>
            </w:r>
          </w:p>
        </w:tc>
      </w:tr>
      <w:tr w:rsidR="002E55C1" w:rsidRPr="00910E94" w:rsidTr="00E70FD5">
        <w:trPr>
          <w:trHeight w:val="689"/>
          <w:tblHeader/>
          <w:jc w:val="center"/>
        </w:trPr>
        <w:tc>
          <w:tcPr>
            <w:tcW w:w="1769"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rPr>
                <w:rFonts w:ascii="Times New Roman" w:hAnsi="Times New Roman"/>
                <w:color w:val="000000"/>
                <w:sz w:val="24"/>
                <w:szCs w:val="24"/>
                <w:lang w:val="es-ES_tradnl"/>
              </w:rPr>
            </w:pPr>
            <w:r w:rsidRPr="00910E94">
              <w:rPr>
                <w:rFonts w:ascii="Times New Roman" w:hAnsi="Times New Roman"/>
                <w:color w:val="000000"/>
                <w:sz w:val="24"/>
                <w:lang w:val="es-ES_tradnl"/>
              </w:rPr>
              <w:t>Garantía</w:t>
            </w:r>
          </w:p>
        </w:tc>
        <w:tc>
          <w:tcPr>
            <w:tcW w:w="1413" w:type="pct"/>
            <w:tcBorders>
              <w:top w:val="single" w:sz="4" w:space="0" w:color="auto"/>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 xml:space="preserve">Agosto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 xml:space="preserve">13 a octubre </w:t>
            </w:r>
            <w:r w:rsidR="00CC3D7A" w:rsidRPr="00910E94">
              <w:rPr>
                <w:rFonts w:ascii="Times New Roman" w:hAnsi="Times New Roman"/>
                <w:color w:val="000000"/>
                <w:sz w:val="24"/>
                <w:lang w:val="es-ES_tradnl"/>
              </w:rPr>
              <w:t>de 20</w:t>
            </w:r>
            <w:r w:rsidRPr="00910E94">
              <w:rPr>
                <w:rFonts w:ascii="Times New Roman" w:hAnsi="Times New Roman"/>
                <w:color w:val="000000"/>
                <w:sz w:val="24"/>
                <w:lang w:val="es-ES_tradnl"/>
              </w:rPr>
              <w:t>13</w:t>
            </w:r>
          </w:p>
        </w:tc>
        <w:tc>
          <w:tcPr>
            <w:tcW w:w="997" w:type="pct"/>
            <w:tcBorders>
              <w:top w:val="single" w:sz="4" w:space="0" w:color="auto"/>
              <w:left w:val="nil"/>
              <w:bottom w:val="single" w:sz="4" w:space="0" w:color="auto"/>
              <w:right w:val="single" w:sz="4"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9.10.2014</w:t>
            </w:r>
          </w:p>
        </w:tc>
        <w:tc>
          <w:tcPr>
            <w:tcW w:w="821" w:type="pct"/>
            <w:tcBorders>
              <w:top w:val="single" w:sz="4" w:space="0" w:color="auto"/>
              <w:left w:val="nil"/>
              <w:bottom w:val="single" w:sz="4" w:space="0" w:color="auto"/>
              <w:right w:val="single" w:sz="8" w:space="0" w:color="auto"/>
            </w:tcBorders>
            <w:shd w:val="clear" w:color="auto" w:fill="auto"/>
            <w:vAlign w:val="center"/>
            <w:hideMark/>
          </w:tcPr>
          <w:p w:rsidR="002E55C1" w:rsidRPr="00910E94" w:rsidRDefault="002E55C1" w:rsidP="00E562B7">
            <w:pPr>
              <w:spacing w:before="120" w:after="0" w:line="240" w:lineRule="auto"/>
              <w:contextualSpacing/>
              <w:jc w:val="center"/>
              <w:rPr>
                <w:rFonts w:ascii="Times New Roman" w:hAnsi="Times New Roman"/>
                <w:color w:val="000000"/>
                <w:sz w:val="24"/>
                <w:szCs w:val="24"/>
                <w:lang w:val="es-ES_tradnl"/>
              </w:rPr>
            </w:pPr>
            <w:r w:rsidRPr="00910E94">
              <w:rPr>
                <w:rFonts w:ascii="Times New Roman" w:hAnsi="Times New Roman"/>
                <w:color w:val="000000"/>
                <w:sz w:val="24"/>
                <w:lang w:val="es-ES_tradnl"/>
              </w:rPr>
              <w:t>11</w:t>
            </w:r>
          </w:p>
        </w:tc>
      </w:tr>
    </w:tbl>
    <w:p w:rsidR="002E55C1" w:rsidRPr="00910E94" w:rsidRDefault="002E55C1"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Por estos trabajos, la OMPI efectuó un pago de</w:t>
      </w:r>
      <w:r w:rsidR="004A14D2" w:rsidRPr="00910E94">
        <w:rPr>
          <w:rFonts w:ascii="Times New Roman" w:hAnsi="Times New Roman"/>
          <w:sz w:val="24"/>
          <w:lang w:val="es-ES_tradnl"/>
        </w:rPr>
        <w:t> </w:t>
      </w:r>
      <w:r w:rsidRPr="00910E94">
        <w:rPr>
          <w:rFonts w:ascii="Times New Roman" w:hAnsi="Times New Roman"/>
          <w:sz w:val="24"/>
          <w:lang w:val="es-ES_tradnl"/>
        </w:rPr>
        <w:t>2.</w:t>
      </w:r>
      <w:r w:rsidR="004A14D2" w:rsidRPr="00910E94">
        <w:rPr>
          <w:rFonts w:ascii="Times New Roman" w:hAnsi="Times New Roman"/>
          <w:sz w:val="24"/>
          <w:lang w:val="es-ES_tradnl"/>
        </w:rPr>
        <w:t>505.517,50 </w:t>
      </w:r>
      <w:r w:rsidRPr="00910E94">
        <w:rPr>
          <w:rFonts w:ascii="Times New Roman" w:hAnsi="Times New Roman"/>
          <w:sz w:val="24"/>
          <w:lang w:val="es-ES_tradnl"/>
        </w:rPr>
        <w:t>francos suizos al proveedor, lo que supone un incremento d</w:t>
      </w:r>
      <w:r w:rsidR="004A14D2" w:rsidRPr="00910E94">
        <w:rPr>
          <w:rFonts w:ascii="Times New Roman" w:hAnsi="Times New Roman"/>
          <w:sz w:val="24"/>
          <w:lang w:val="es-ES_tradnl"/>
        </w:rPr>
        <w:t>e 507.592,50 francos suizos (un </w:t>
      </w:r>
      <w:r w:rsidRPr="00910E94">
        <w:rPr>
          <w:rFonts w:ascii="Times New Roman" w:hAnsi="Times New Roman"/>
          <w:sz w:val="24"/>
          <w:lang w:val="es-ES_tradnl"/>
        </w:rPr>
        <w:t>25,41%</w:t>
      </w:r>
      <w:r w:rsidRPr="00910E94">
        <w:rPr>
          <w:rFonts w:ascii="Times New Roman" w:hAnsi="Times New Roman"/>
          <w:i/>
          <w:sz w:val="24"/>
          <w:lang w:val="es-ES_tradnl"/>
        </w:rPr>
        <w:t>)</w:t>
      </w:r>
      <w:r w:rsidRPr="00910E94">
        <w:rPr>
          <w:rFonts w:ascii="Times New Roman" w:hAnsi="Times New Roman"/>
          <w:sz w:val="24"/>
          <w:lang w:val="es-ES_tradnl"/>
        </w:rPr>
        <w:t xml:space="preserve"> con respecto al importe contractual</w:t>
      </w:r>
      <w:r w:rsidR="00344EE2">
        <w:rPr>
          <w:rFonts w:ascii="Times New Roman" w:hAnsi="Times New Roman"/>
          <w:sz w:val="24"/>
          <w:lang w:val="es-ES_tradnl"/>
        </w:rPr>
        <w:t xml:space="preserve">.  </w:t>
      </w:r>
      <w:r w:rsidRPr="00910E94">
        <w:rPr>
          <w:rFonts w:ascii="Times New Roman" w:hAnsi="Times New Roman"/>
          <w:sz w:val="24"/>
          <w:lang w:val="es-ES_tradnl"/>
        </w:rPr>
        <w:t>El pago adicional se desglosa del siguiente modo:</w:t>
      </w:r>
    </w:p>
    <w:tbl>
      <w:tblPr>
        <w:tblW w:w="3575" w:type="pct"/>
        <w:tblInd w:w="1242" w:type="dxa"/>
        <w:tblCellMar>
          <w:left w:w="0" w:type="dxa"/>
          <w:right w:w="0" w:type="dxa"/>
        </w:tblCellMar>
        <w:tblLook w:val="04A0" w:firstRow="1" w:lastRow="0" w:firstColumn="1" w:lastColumn="0" w:noHBand="0" w:noVBand="1"/>
      </w:tblPr>
      <w:tblGrid>
        <w:gridCol w:w="3718"/>
        <w:gridCol w:w="2891"/>
      </w:tblGrid>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Finalidad</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Pago adicional (en CHF)</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rPr>
                <w:rFonts w:ascii="Times New Roman" w:hAnsi="Times New Roman"/>
                <w:sz w:val="24"/>
                <w:szCs w:val="24"/>
                <w:lang w:val="es-ES_tradnl"/>
              </w:rPr>
            </w:pPr>
            <w:r w:rsidRPr="00910E94">
              <w:rPr>
                <w:rFonts w:ascii="Times New Roman" w:hAnsi="Times New Roman"/>
                <w:sz w:val="24"/>
                <w:lang w:val="es-ES_tradnl"/>
              </w:rPr>
              <w:t>Prototipo ACNUR</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98.922,50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rPr>
                <w:rFonts w:ascii="Times New Roman" w:hAnsi="Times New Roman"/>
                <w:sz w:val="24"/>
                <w:szCs w:val="24"/>
                <w:lang w:val="es-ES_tradnl"/>
              </w:rPr>
            </w:pPr>
            <w:r w:rsidRPr="00910E94">
              <w:rPr>
                <w:rFonts w:ascii="Times New Roman" w:hAnsi="Times New Roman"/>
                <w:sz w:val="24"/>
                <w:lang w:val="es-ES_tradnl"/>
              </w:rPr>
              <w:t>Formación sobre nóminas</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13.600,00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7B0295" w:rsidP="00E562B7">
            <w:pPr>
              <w:spacing w:after="0" w:line="240" w:lineRule="auto"/>
              <w:rPr>
                <w:rFonts w:ascii="Times New Roman" w:hAnsi="Times New Roman"/>
                <w:sz w:val="24"/>
                <w:szCs w:val="24"/>
                <w:lang w:val="es-ES_tradnl"/>
              </w:rPr>
            </w:pPr>
            <w:r>
              <w:rPr>
                <w:rFonts w:ascii="Times New Roman" w:hAnsi="Times New Roman"/>
                <w:sz w:val="24"/>
                <w:lang w:val="es-ES_tradnl"/>
              </w:rPr>
              <w:t>Etapa</w:t>
            </w:r>
            <w:r w:rsidR="002E55C1" w:rsidRPr="00910E94">
              <w:rPr>
                <w:rFonts w:ascii="Times New Roman" w:hAnsi="Times New Roman"/>
                <w:sz w:val="24"/>
                <w:lang w:val="es-ES_tradnl"/>
              </w:rPr>
              <w:t xml:space="preserve"> CR 1</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20.396,00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7B0295" w:rsidP="00E562B7">
            <w:pPr>
              <w:spacing w:after="0" w:line="240" w:lineRule="auto"/>
              <w:rPr>
                <w:rFonts w:ascii="Times New Roman" w:hAnsi="Times New Roman"/>
                <w:sz w:val="24"/>
                <w:szCs w:val="24"/>
                <w:lang w:val="es-ES_tradnl"/>
              </w:rPr>
            </w:pPr>
            <w:r>
              <w:rPr>
                <w:rFonts w:ascii="Times New Roman" w:hAnsi="Times New Roman"/>
                <w:sz w:val="24"/>
                <w:lang w:val="es-ES_tradnl"/>
              </w:rPr>
              <w:t>Etapa</w:t>
            </w:r>
            <w:r w:rsidR="002E55C1" w:rsidRPr="00910E94">
              <w:rPr>
                <w:rFonts w:ascii="Times New Roman" w:hAnsi="Times New Roman"/>
                <w:sz w:val="24"/>
                <w:lang w:val="es-ES_tradnl"/>
              </w:rPr>
              <w:t xml:space="preserve"> CR 2 e hito CR 3</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47.734,00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rPr>
                <w:rFonts w:ascii="Times New Roman" w:hAnsi="Times New Roman"/>
                <w:sz w:val="24"/>
                <w:szCs w:val="24"/>
                <w:lang w:val="es-ES_tradnl"/>
              </w:rPr>
            </w:pPr>
            <w:r w:rsidRPr="00910E94">
              <w:rPr>
                <w:rFonts w:ascii="Times New Roman" w:hAnsi="Times New Roman"/>
                <w:sz w:val="24"/>
                <w:lang w:val="es-ES_tradnl"/>
              </w:rPr>
              <w:t>Material de formación</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52.500,00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rPr>
                <w:rFonts w:ascii="Times New Roman" w:hAnsi="Times New Roman"/>
                <w:sz w:val="24"/>
                <w:szCs w:val="24"/>
                <w:lang w:val="es-ES_tradnl"/>
              </w:rPr>
            </w:pPr>
            <w:r w:rsidRPr="00910E94">
              <w:rPr>
                <w:rFonts w:ascii="Times New Roman" w:hAnsi="Times New Roman"/>
                <w:sz w:val="24"/>
                <w:lang w:val="es-ES_tradnl"/>
              </w:rPr>
              <w:t>Interfaz de proveedor</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3.750,00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rPr>
                <w:rFonts w:ascii="Times New Roman" w:hAnsi="Times New Roman"/>
                <w:sz w:val="24"/>
                <w:szCs w:val="24"/>
                <w:lang w:val="es-ES_tradnl"/>
              </w:rPr>
            </w:pPr>
            <w:r w:rsidRPr="00910E94">
              <w:rPr>
                <w:rFonts w:ascii="Times New Roman" w:hAnsi="Times New Roman"/>
                <w:sz w:val="24"/>
                <w:lang w:val="es-ES_tradnl"/>
              </w:rPr>
              <w:t>Seguridad</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16.100,00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7B0295" w:rsidP="00E562B7">
            <w:pPr>
              <w:spacing w:after="0" w:line="240" w:lineRule="auto"/>
              <w:rPr>
                <w:rFonts w:ascii="Times New Roman" w:hAnsi="Times New Roman"/>
                <w:sz w:val="24"/>
                <w:szCs w:val="24"/>
                <w:lang w:val="es-ES_tradnl"/>
              </w:rPr>
            </w:pPr>
            <w:r>
              <w:rPr>
                <w:rFonts w:ascii="Times New Roman" w:hAnsi="Times New Roman"/>
                <w:sz w:val="24"/>
                <w:lang w:val="es-ES_tradnl"/>
              </w:rPr>
              <w:t>Etapa</w:t>
            </w:r>
            <w:r w:rsidR="002E55C1" w:rsidRPr="00910E94">
              <w:rPr>
                <w:rFonts w:ascii="Times New Roman" w:hAnsi="Times New Roman"/>
                <w:sz w:val="24"/>
                <w:lang w:val="es-ES_tradnl"/>
              </w:rPr>
              <w:t xml:space="preserve"> CR 4</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22.035,00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rPr>
                <w:rFonts w:ascii="Times New Roman" w:hAnsi="Times New Roman"/>
                <w:sz w:val="24"/>
                <w:szCs w:val="24"/>
                <w:lang w:val="es-ES_tradnl"/>
              </w:rPr>
            </w:pPr>
            <w:r w:rsidRPr="00910E94">
              <w:rPr>
                <w:rFonts w:ascii="Times New Roman" w:hAnsi="Times New Roman"/>
                <w:sz w:val="24"/>
                <w:lang w:val="es-ES_tradnl"/>
              </w:rPr>
              <w:t>Apoyo tras la entrada en servicio</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60.000,00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rPr>
                <w:rFonts w:ascii="Times New Roman" w:hAnsi="Times New Roman"/>
                <w:sz w:val="24"/>
                <w:szCs w:val="24"/>
                <w:lang w:val="es-ES_tradnl"/>
              </w:rPr>
            </w:pPr>
            <w:r w:rsidRPr="00910E94">
              <w:rPr>
                <w:rFonts w:ascii="Times New Roman" w:hAnsi="Times New Roman"/>
                <w:sz w:val="24"/>
                <w:lang w:val="es-ES_tradnl"/>
              </w:rPr>
              <w:t>Tras CR</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157.155,00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rPr>
                <w:rFonts w:ascii="Times New Roman" w:hAnsi="Times New Roman"/>
                <w:sz w:val="24"/>
                <w:szCs w:val="24"/>
                <w:lang w:val="es-ES_tradnl"/>
              </w:rPr>
            </w:pPr>
            <w:r w:rsidRPr="00910E94">
              <w:rPr>
                <w:rFonts w:ascii="Times New Roman" w:hAnsi="Times New Roman"/>
                <w:sz w:val="24"/>
                <w:lang w:val="es-ES_tradnl"/>
              </w:rPr>
              <w:t>Director de transición</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sz w:val="24"/>
                <w:szCs w:val="24"/>
                <w:lang w:val="es-ES_tradnl"/>
              </w:rPr>
            </w:pPr>
            <w:r w:rsidRPr="00910E94">
              <w:rPr>
                <w:rFonts w:ascii="Times New Roman" w:hAnsi="Times New Roman"/>
                <w:sz w:val="24"/>
                <w:lang w:val="es-ES_tradnl"/>
              </w:rPr>
              <w:t>15.400,00</w:t>
            </w:r>
          </w:p>
        </w:tc>
      </w:tr>
      <w:tr w:rsidR="002E55C1" w:rsidRPr="00910E94" w:rsidTr="00E562B7">
        <w:tc>
          <w:tcPr>
            <w:tcW w:w="28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line="240" w:lineRule="auto"/>
              <w:jc w:val="center"/>
              <w:rPr>
                <w:rFonts w:ascii="Times New Roman" w:hAnsi="Times New Roman"/>
                <w:sz w:val="24"/>
                <w:szCs w:val="24"/>
                <w:lang w:val="es-ES_tradnl"/>
              </w:rPr>
            </w:pPr>
            <w:r w:rsidRPr="00910E94">
              <w:rPr>
                <w:rFonts w:ascii="Times New Roman" w:hAnsi="Times New Roman"/>
                <w:b/>
                <w:sz w:val="24"/>
                <w:lang w:val="es-ES_tradnl"/>
              </w:rPr>
              <w:t>Pago adicional total</w:t>
            </w:r>
          </w:p>
        </w:tc>
        <w:tc>
          <w:tcPr>
            <w:tcW w:w="218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E55C1" w:rsidRPr="00910E94" w:rsidRDefault="002E55C1" w:rsidP="00E562B7">
            <w:pPr>
              <w:spacing w:after="0" w:line="240" w:lineRule="auto"/>
              <w:jc w:val="right"/>
              <w:rPr>
                <w:rFonts w:ascii="Times New Roman" w:hAnsi="Times New Roman"/>
                <w:b/>
                <w:sz w:val="24"/>
                <w:szCs w:val="24"/>
                <w:lang w:val="es-ES_tradnl"/>
              </w:rPr>
            </w:pPr>
            <w:r w:rsidRPr="00910E94">
              <w:rPr>
                <w:rFonts w:ascii="Times New Roman" w:hAnsi="Times New Roman"/>
                <w:b/>
                <w:sz w:val="24"/>
                <w:lang w:val="es-ES_tradnl"/>
              </w:rPr>
              <w:t>507.592,50</w:t>
            </w:r>
          </w:p>
        </w:tc>
      </w:tr>
    </w:tbl>
    <w:p w:rsidR="002E55C1" w:rsidRPr="00DB0571" w:rsidRDefault="002E55C1" w:rsidP="002E55C1">
      <w:pPr>
        <w:pStyle w:val="Default"/>
        <w:rPr>
          <w:color w:val="auto"/>
          <w:lang w:val="es-ES_tradnl"/>
        </w:rPr>
      </w:pPr>
    </w:p>
    <w:p w:rsidR="00E24DBD" w:rsidRPr="00910E94" w:rsidRDefault="002E55C1" w:rsidP="00DB0571">
      <w:pPr>
        <w:pStyle w:val="ListParagraph"/>
        <w:keepNext/>
        <w:keepLines/>
        <w:numPr>
          <w:ilvl w:val="0"/>
          <w:numId w:val="4"/>
        </w:numPr>
        <w:autoSpaceDE w:val="0"/>
        <w:autoSpaceDN w:val="0"/>
        <w:adjustRightInd w:val="0"/>
        <w:spacing w:before="120" w:after="120" w:line="360" w:lineRule="auto"/>
        <w:ind w:left="0" w:firstLine="0"/>
        <w:contextualSpacing w:val="0"/>
        <w:rPr>
          <w:rFonts w:ascii="Times New Roman" w:hAnsi="Times New Roman"/>
          <w:sz w:val="24"/>
          <w:szCs w:val="24"/>
          <w:lang w:val="es-ES_tradnl"/>
        </w:rPr>
      </w:pPr>
      <w:r w:rsidRPr="00910E94">
        <w:rPr>
          <w:rFonts w:ascii="Times New Roman" w:hAnsi="Times New Roman"/>
          <w:sz w:val="24"/>
          <w:lang w:val="es-ES_tradnl"/>
        </w:rPr>
        <w:lastRenderedPageBreak/>
        <w:t>Hemos observado que:</w:t>
      </w:r>
    </w:p>
    <w:p w:rsidR="002E55C1" w:rsidRPr="00910E94" w:rsidRDefault="002E55C1" w:rsidP="00DB0571">
      <w:pPr>
        <w:pStyle w:val="ListParagraph"/>
        <w:keepNext/>
        <w:keepLines/>
        <w:numPr>
          <w:ilvl w:val="0"/>
          <w:numId w:val="14"/>
        </w:numPr>
        <w:spacing w:before="120" w:after="120" w:line="360" w:lineRule="auto"/>
        <w:ind w:left="714" w:hanging="357"/>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Dado que el motivo del retraso no se hizo constar en ningún documento de finalización, no está claro si la demora fue atribuible al </w:t>
      </w:r>
      <w:r w:rsidR="00EF169C">
        <w:rPr>
          <w:rFonts w:ascii="Times New Roman" w:hAnsi="Times New Roman"/>
          <w:sz w:val="24"/>
          <w:lang w:val="es-ES_tradnl"/>
        </w:rPr>
        <w:t>asociado encargado de</w:t>
      </w:r>
      <w:r w:rsidRPr="00910E94">
        <w:rPr>
          <w:rFonts w:ascii="Times New Roman" w:hAnsi="Times New Roman"/>
          <w:sz w:val="24"/>
          <w:lang w:val="es-ES_tradnl"/>
        </w:rPr>
        <w:t xml:space="preserve"> la ejecución o a la OMPI.</w:t>
      </w:r>
    </w:p>
    <w:p w:rsidR="002E55C1" w:rsidRPr="00910E94" w:rsidRDefault="002E55C1" w:rsidP="002E55C1">
      <w:pPr>
        <w:pStyle w:val="ListParagraph"/>
        <w:numPr>
          <w:ilvl w:val="0"/>
          <w:numId w:val="14"/>
        </w:numPr>
        <w:spacing w:before="120" w:after="120" w:line="360" w:lineRule="auto"/>
        <w:ind w:left="709" w:hanging="357"/>
        <w:contextualSpacing w:val="0"/>
        <w:jc w:val="both"/>
        <w:rPr>
          <w:rFonts w:ascii="Times New Roman" w:hAnsi="Times New Roman"/>
          <w:sz w:val="24"/>
          <w:szCs w:val="24"/>
          <w:lang w:val="es-ES_tradnl"/>
        </w:rPr>
      </w:pPr>
      <w:r w:rsidRPr="00910E94">
        <w:rPr>
          <w:rFonts w:ascii="Times New Roman" w:hAnsi="Times New Roman"/>
          <w:sz w:val="24"/>
          <w:lang w:val="es-ES_tradnl"/>
        </w:rPr>
        <w:t>Para estos trabajos, la OMPI elaboró documentos de trabajo separados, salvo en lo que respecta al apoyo tras la entrada en servicio y al prototipo ACNUR y, en consecuencia, se abonó el pago al proveedor</w:t>
      </w:r>
      <w:r w:rsidR="00344EE2">
        <w:rPr>
          <w:rFonts w:ascii="Times New Roman" w:hAnsi="Times New Roman"/>
          <w:sz w:val="24"/>
          <w:lang w:val="es-ES_tradnl"/>
        </w:rPr>
        <w:t xml:space="preserve">.  </w:t>
      </w:r>
      <w:r w:rsidRPr="00910E94">
        <w:rPr>
          <w:rFonts w:ascii="Times New Roman" w:hAnsi="Times New Roman"/>
          <w:sz w:val="24"/>
          <w:lang w:val="es-ES_tradnl"/>
        </w:rPr>
        <w:t>La OMPI afirmó que el prototipo ACNUR fue realizado como un trabajo independiente antes del contrato referente al proyecto de módulos principales de recursos humanos y nóminas, y no debería incluirse en el pago que se efectuó adicionalmente al previsto en el contrato.</w:t>
      </w:r>
    </w:p>
    <w:p w:rsidR="002E55C1" w:rsidRPr="00910E94" w:rsidRDefault="002E55C1" w:rsidP="004A14D2">
      <w:pPr>
        <w:pStyle w:val="ListParagraph"/>
        <w:numPr>
          <w:ilvl w:val="0"/>
          <w:numId w:val="14"/>
        </w:numPr>
        <w:spacing w:before="120" w:after="120" w:line="360" w:lineRule="auto"/>
        <w:ind w:left="714" w:hanging="357"/>
        <w:contextualSpacing w:val="0"/>
        <w:jc w:val="both"/>
        <w:rPr>
          <w:rFonts w:ascii="Times New Roman" w:hAnsi="Times New Roman"/>
          <w:sz w:val="24"/>
          <w:szCs w:val="24"/>
          <w:lang w:val="es-ES_tradnl"/>
        </w:rPr>
      </w:pPr>
      <w:r w:rsidRPr="00910E94">
        <w:rPr>
          <w:rFonts w:ascii="Times New Roman" w:hAnsi="Times New Roman"/>
          <w:sz w:val="24"/>
          <w:lang w:val="es-ES_tradnl"/>
        </w:rPr>
        <w:t>De los siete productos/servicios definidos en el contrato, para dos de ellos no se llevó a cabo un documento de finalización (</w:t>
      </w:r>
      <w:r w:rsidR="00693071" w:rsidRPr="00910E94">
        <w:rPr>
          <w:rFonts w:ascii="Times New Roman" w:hAnsi="Times New Roman"/>
          <w:sz w:val="24"/>
          <w:lang w:val="es-ES_tradnl"/>
        </w:rPr>
        <w:t>“</w:t>
      </w:r>
      <w:r w:rsidRPr="00910E94">
        <w:rPr>
          <w:rFonts w:ascii="Times New Roman" w:hAnsi="Times New Roman"/>
          <w:sz w:val="24"/>
          <w:lang w:val="es-ES_tradnl"/>
        </w:rPr>
        <w:t>aportaciones a la elaboración del material de formación</w:t>
      </w:r>
      <w:r w:rsidR="00693071" w:rsidRPr="00910E94">
        <w:rPr>
          <w:rFonts w:ascii="Times New Roman" w:hAnsi="Times New Roman"/>
          <w:sz w:val="24"/>
          <w:lang w:val="es-ES_tradnl"/>
        </w:rPr>
        <w:t>”</w:t>
      </w:r>
      <w:r w:rsidRPr="00910E94">
        <w:rPr>
          <w:rFonts w:ascii="Times New Roman" w:hAnsi="Times New Roman"/>
          <w:sz w:val="24"/>
          <w:lang w:val="es-ES_tradnl"/>
        </w:rPr>
        <w:t xml:space="preserve"> y </w:t>
      </w:r>
      <w:r w:rsidR="00693071" w:rsidRPr="00910E94">
        <w:rPr>
          <w:rFonts w:ascii="Times New Roman" w:hAnsi="Times New Roman"/>
          <w:sz w:val="24"/>
          <w:lang w:val="es-ES_tradnl"/>
        </w:rPr>
        <w:t>“</w:t>
      </w:r>
      <w:r w:rsidRPr="00910E94">
        <w:rPr>
          <w:rFonts w:ascii="Times New Roman" w:hAnsi="Times New Roman"/>
          <w:sz w:val="24"/>
          <w:lang w:val="es-ES_tradnl"/>
        </w:rPr>
        <w:t>apoyo a las prue</w:t>
      </w:r>
      <w:r w:rsidR="004A14D2" w:rsidRPr="00910E94">
        <w:rPr>
          <w:rFonts w:ascii="Times New Roman" w:hAnsi="Times New Roman"/>
          <w:sz w:val="24"/>
          <w:lang w:val="es-ES_tradnl"/>
        </w:rPr>
        <w:t>bas de integración</w:t>
      </w:r>
      <w:r w:rsidR="00693071" w:rsidRPr="00910E94">
        <w:rPr>
          <w:rFonts w:ascii="Times New Roman" w:hAnsi="Times New Roman"/>
          <w:sz w:val="24"/>
          <w:lang w:val="es-ES_tradnl"/>
        </w:rPr>
        <w:t>”</w:t>
      </w:r>
      <w:r w:rsidR="007B0295">
        <w:rPr>
          <w:rFonts w:ascii="Times New Roman" w:hAnsi="Times New Roman"/>
          <w:sz w:val="24"/>
          <w:lang w:val="es-ES_tradnl"/>
        </w:rPr>
        <w:t xml:space="preserve">) en la etapa </w:t>
      </w:r>
      <w:r w:rsidRPr="00910E94">
        <w:rPr>
          <w:rFonts w:ascii="Times New Roman" w:hAnsi="Times New Roman"/>
          <w:sz w:val="24"/>
          <w:lang w:val="es-ES_tradnl"/>
        </w:rPr>
        <w:t>5, constru</w:t>
      </w:r>
      <w:r w:rsidR="004A14D2" w:rsidRPr="00910E94">
        <w:rPr>
          <w:rFonts w:ascii="Times New Roman" w:hAnsi="Times New Roman"/>
          <w:sz w:val="24"/>
          <w:lang w:val="es-ES_tradnl"/>
        </w:rPr>
        <w:t>cción y prueba de unidad (parte </w:t>
      </w:r>
      <w:r w:rsidRPr="00910E94">
        <w:rPr>
          <w:rFonts w:ascii="Times New Roman" w:hAnsi="Times New Roman"/>
          <w:sz w:val="24"/>
          <w:lang w:val="es-ES_tradnl"/>
        </w:rPr>
        <w:t>2)</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En cuanto a las </w:t>
      </w:r>
      <w:r w:rsidR="00693071" w:rsidRPr="00910E94">
        <w:rPr>
          <w:rFonts w:ascii="Times New Roman" w:hAnsi="Times New Roman"/>
          <w:sz w:val="24"/>
          <w:lang w:val="es-ES_tradnl"/>
        </w:rPr>
        <w:t>“</w:t>
      </w:r>
      <w:r w:rsidRPr="00910E94">
        <w:rPr>
          <w:rFonts w:ascii="Times New Roman" w:hAnsi="Times New Roman"/>
          <w:sz w:val="24"/>
          <w:lang w:val="es-ES_tradnl"/>
        </w:rPr>
        <w:t>aportaciones a la elaboración del material de formación</w:t>
      </w:r>
      <w:r w:rsidR="00693071" w:rsidRPr="00910E94">
        <w:rPr>
          <w:rFonts w:ascii="Times New Roman" w:hAnsi="Times New Roman"/>
          <w:sz w:val="24"/>
          <w:lang w:val="es-ES_tradnl"/>
        </w:rPr>
        <w:t>”</w:t>
      </w:r>
      <w:r w:rsidRPr="00910E94">
        <w:rPr>
          <w:rFonts w:ascii="Times New Roman" w:hAnsi="Times New Roman"/>
          <w:sz w:val="24"/>
          <w:lang w:val="es-ES_tradnl"/>
        </w:rPr>
        <w:t>, la OMPI indicó que no pudo entregar el material de formación como consecuencia de las limitaciones de recursos internos y, por tanto, el proveedor no pudo realizar aportaciones a su elaboración</w:t>
      </w:r>
      <w:r w:rsidR="00344EE2">
        <w:rPr>
          <w:rFonts w:ascii="Times New Roman" w:hAnsi="Times New Roman"/>
          <w:sz w:val="24"/>
          <w:lang w:val="es-ES_tradnl"/>
        </w:rPr>
        <w:t xml:space="preserve">.  </w:t>
      </w:r>
      <w:r w:rsidRPr="00910E94">
        <w:rPr>
          <w:rFonts w:ascii="Times New Roman" w:hAnsi="Times New Roman"/>
          <w:sz w:val="24"/>
          <w:lang w:val="es-ES_tradnl"/>
        </w:rPr>
        <w:t>En consecuencia, se creó una tarea específica a fin de elaborar el material de formación, con un costo de</w:t>
      </w:r>
      <w:r w:rsidR="004A14D2" w:rsidRPr="00910E94">
        <w:rPr>
          <w:rFonts w:ascii="Times New Roman" w:hAnsi="Times New Roman"/>
          <w:sz w:val="24"/>
          <w:lang w:val="es-ES_tradnl"/>
        </w:rPr>
        <w:t> 66.100 </w:t>
      </w:r>
      <w:r w:rsidRPr="00910E94">
        <w:rPr>
          <w:rFonts w:ascii="Times New Roman" w:hAnsi="Times New Roman"/>
          <w:sz w:val="24"/>
          <w:lang w:val="es-ES_tradnl"/>
        </w:rPr>
        <w:t>francos suizos</w:t>
      </w:r>
      <w:r w:rsidR="00344EE2">
        <w:rPr>
          <w:rFonts w:ascii="Times New Roman" w:hAnsi="Times New Roman"/>
          <w:sz w:val="24"/>
          <w:lang w:val="es-ES_tradnl"/>
        </w:rPr>
        <w:t xml:space="preserve">.  </w:t>
      </w:r>
      <w:r w:rsidRPr="00910E94">
        <w:rPr>
          <w:rFonts w:ascii="Times New Roman" w:hAnsi="Times New Roman"/>
          <w:sz w:val="24"/>
          <w:lang w:val="es-ES_tradnl"/>
        </w:rPr>
        <w:t>La OMPI confirmó que esta tarea ha sido</w:t>
      </w:r>
      <w:r w:rsidR="004A14D2" w:rsidRPr="00910E94">
        <w:rPr>
          <w:rFonts w:ascii="Times New Roman" w:hAnsi="Times New Roman"/>
          <w:sz w:val="24"/>
          <w:lang w:val="es-ES_tradnl"/>
        </w:rPr>
        <w:t xml:space="preserve"> terminada con un costo real de 52.500 </w:t>
      </w:r>
      <w:r w:rsidRPr="00910E94">
        <w:rPr>
          <w:rFonts w:ascii="Times New Roman" w:hAnsi="Times New Roman"/>
          <w:sz w:val="24"/>
          <w:lang w:val="es-ES_tradnl"/>
        </w:rPr>
        <w:t>francos suizos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El </w:t>
      </w:r>
      <w:r w:rsidR="00693071" w:rsidRPr="00910E94">
        <w:rPr>
          <w:rFonts w:ascii="Times New Roman" w:hAnsi="Times New Roman"/>
          <w:sz w:val="24"/>
          <w:lang w:val="es-ES_tradnl"/>
        </w:rPr>
        <w:t>“</w:t>
      </w:r>
      <w:r w:rsidRPr="00910E94">
        <w:rPr>
          <w:rFonts w:ascii="Times New Roman" w:hAnsi="Times New Roman"/>
          <w:sz w:val="24"/>
          <w:lang w:val="es-ES_tradnl"/>
        </w:rPr>
        <w:t>apoyo a las pruebas de integración</w:t>
      </w:r>
      <w:r w:rsidR="00693071" w:rsidRPr="00910E94">
        <w:rPr>
          <w:rFonts w:ascii="Times New Roman" w:hAnsi="Times New Roman"/>
          <w:sz w:val="24"/>
          <w:lang w:val="es-ES_tradnl"/>
        </w:rPr>
        <w:t>”</w:t>
      </w:r>
      <w:r w:rsidRPr="00910E94">
        <w:rPr>
          <w:rFonts w:ascii="Times New Roman" w:hAnsi="Times New Roman"/>
          <w:sz w:val="24"/>
          <w:lang w:val="es-ES_tradnl"/>
        </w:rPr>
        <w:t xml:space="preserve"> no deber</w:t>
      </w:r>
      <w:r w:rsidR="004A14D2" w:rsidRPr="00910E94">
        <w:rPr>
          <w:rFonts w:ascii="Times New Roman" w:hAnsi="Times New Roman"/>
          <w:sz w:val="24"/>
          <w:lang w:val="es-ES_tradnl"/>
        </w:rPr>
        <w:t>ía haber formado parte de</w:t>
      </w:r>
      <w:r w:rsidR="007B0295">
        <w:rPr>
          <w:rFonts w:ascii="Times New Roman" w:hAnsi="Times New Roman"/>
          <w:sz w:val="24"/>
          <w:lang w:val="es-ES_tradnl"/>
        </w:rPr>
        <w:t xml:space="preserve"> </w:t>
      </w:r>
      <w:r w:rsidR="004A14D2" w:rsidRPr="00910E94">
        <w:rPr>
          <w:rFonts w:ascii="Times New Roman" w:hAnsi="Times New Roman"/>
          <w:sz w:val="24"/>
          <w:lang w:val="es-ES_tradnl"/>
        </w:rPr>
        <w:t>l</w:t>
      </w:r>
      <w:r w:rsidR="007B0295">
        <w:rPr>
          <w:rFonts w:ascii="Times New Roman" w:hAnsi="Times New Roman"/>
          <w:sz w:val="24"/>
          <w:lang w:val="es-ES_tradnl"/>
        </w:rPr>
        <w:t>a etapa</w:t>
      </w:r>
      <w:r w:rsidR="004A14D2" w:rsidRPr="00910E94">
        <w:rPr>
          <w:rFonts w:ascii="Times New Roman" w:hAnsi="Times New Roman"/>
          <w:sz w:val="24"/>
          <w:lang w:val="es-ES_tradnl"/>
        </w:rPr>
        <w:t xml:space="preserve"> </w:t>
      </w:r>
      <w:r w:rsidRPr="00910E94">
        <w:rPr>
          <w:rFonts w:ascii="Times New Roman" w:hAnsi="Times New Roman"/>
          <w:sz w:val="24"/>
          <w:lang w:val="es-ES_tradnl"/>
        </w:rPr>
        <w:t>5, que se refiere a construcción y prueba de unidad, y no a la prueba de integración</w:t>
      </w:r>
      <w:r w:rsidR="00344EE2">
        <w:rPr>
          <w:rFonts w:ascii="Times New Roman" w:hAnsi="Times New Roman"/>
          <w:sz w:val="24"/>
          <w:lang w:val="es-ES_tradnl"/>
        </w:rPr>
        <w:t xml:space="preserve">.  </w:t>
      </w:r>
      <w:r w:rsidRPr="00910E94">
        <w:rPr>
          <w:rFonts w:ascii="Times New Roman" w:hAnsi="Times New Roman"/>
          <w:sz w:val="24"/>
          <w:lang w:val="es-ES_tradnl"/>
        </w:rPr>
        <w:t>Posteriormente, este elemento</w:t>
      </w:r>
      <w:r w:rsidR="007B0295">
        <w:rPr>
          <w:rFonts w:ascii="Times New Roman" w:hAnsi="Times New Roman"/>
          <w:sz w:val="24"/>
          <w:lang w:val="es-ES_tradnl"/>
        </w:rPr>
        <w:t xml:space="preserve"> se incorporó como producto en </w:t>
      </w:r>
      <w:r w:rsidRPr="00910E94">
        <w:rPr>
          <w:rFonts w:ascii="Times New Roman" w:hAnsi="Times New Roman"/>
          <w:sz w:val="24"/>
          <w:lang w:val="es-ES_tradnl"/>
        </w:rPr>
        <w:t>l</w:t>
      </w:r>
      <w:r w:rsidR="007B0295">
        <w:rPr>
          <w:rFonts w:ascii="Times New Roman" w:hAnsi="Times New Roman"/>
          <w:sz w:val="24"/>
          <w:lang w:val="es-ES_tradnl"/>
        </w:rPr>
        <w:t>a etapa</w:t>
      </w:r>
      <w:r w:rsidRPr="00910E94">
        <w:rPr>
          <w:rFonts w:ascii="Times New Roman" w:hAnsi="Times New Roman"/>
          <w:sz w:val="24"/>
          <w:lang w:val="es-ES_tradnl"/>
        </w:rPr>
        <w:t xml:space="preserve"> 6.</w:t>
      </w:r>
    </w:p>
    <w:p w:rsidR="002E55C1" w:rsidRPr="00910E94" w:rsidRDefault="002E55C1" w:rsidP="004A14D2">
      <w:pPr>
        <w:pStyle w:val="ListParagraph"/>
        <w:numPr>
          <w:ilvl w:val="0"/>
          <w:numId w:val="14"/>
        </w:numPr>
        <w:spacing w:before="120" w:after="120" w:line="360" w:lineRule="auto"/>
        <w:ind w:left="714" w:hanging="357"/>
        <w:contextualSpacing w:val="0"/>
        <w:jc w:val="both"/>
        <w:rPr>
          <w:rFonts w:ascii="Times New Roman" w:hAnsi="Times New Roman"/>
          <w:sz w:val="24"/>
          <w:szCs w:val="24"/>
          <w:lang w:val="es-ES_tradnl"/>
        </w:rPr>
      </w:pPr>
      <w:r w:rsidRPr="00910E94">
        <w:rPr>
          <w:rFonts w:ascii="Times New Roman" w:hAnsi="Times New Roman"/>
          <w:sz w:val="24"/>
          <w:lang w:val="es-ES_tradnl"/>
        </w:rPr>
        <w:t>De los cinco productos/servicios cuy</w:t>
      </w:r>
      <w:r w:rsidR="007B0295">
        <w:rPr>
          <w:rFonts w:ascii="Times New Roman" w:hAnsi="Times New Roman"/>
          <w:sz w:val="24"/>
          <w:lang w:val="es-ES_tradnl"/>
        </w:rPr>
        <w:t xml:space="preserve">a finalización fue aprobada en </w:t>
      </w:r>
      <w:r w:rsidRPr="00910E94">
        <w:rPr>
          <w:rFonts w:ascii="Times New Roman" w:hAnsi="Times New Roman"/>
          <w:sz w:val="24"/>
          <w:lang w:val="es-ES_tradnl"/>
        </w:rPr>
        <w:t>l</w:t>
      </w:r>
      <w:r w:rsidR="007B0295">
        <w:rPr>
          <w:rFonts w:ascii="Times New Roman" w:hAnsi="Times New Roman"/>
          <w:sz w:val="24"/>
          <w:lang w:val="es-ES_tradnl"/>
        </w:rPr>
        <w:t>a etapa</w:t>
      </w:r>
      <w:r w:rsidRPr="00910E94">
        <w:rPr>
          <w:rFonts w:ascii="Times New Roman" w:hAnsi="Times New Roman"/>
          <w:sz w:val="24"/>
          <w:lang w:val="es-ES_tradnl"/>
        </w:rPr>
        <w:t xml:space="preserve"> 5, uno de ellos estaba terminado y los demás fueron aprobados antes de que el proveedor los concluyera.</w:t>
      </w:r>
    </w:p>
    <w:p w:rsidR="002E55C1" w:rsidRPr="00910E94" w:rsidRDefault="002E55C1" w:rsidP="002E55C1">
      <w:pPr>
        <w:pStyle w:val="ListParagraph"/>
        <w:numPr>
          <w:ilvl w:val="0"/>
          <w:numId w:val="14"/>
        </w:numPr>
        <w:spacing w:before="120" w:after="120" w:line="360" w:lineRule="auto"/>
        <w:ind w:left="72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La OMPI efectuó un pago de 16.100 francos suizos al proveedor, creando una tarea independiente relativa a la </w:t>
      </w:r>
      <w:r w:rsidR="00693071" w:rsidRPr="00910E94">
        <w:rPr>
          <w:rFonts w:ascii="Times New Roman" w:hAnsi="Times New Roman"/>
          <w:sz w:val="24"/>
          <w:lang w:val="es-ES_tradnl"/>
        </w:rPr>
        <w:t>“</w:t>
      </w:r>
      <w:r w:rsidRPr="00910E94">
        <w:rPr>
          <w:rFonts w:ascii="Times New Roman" w:hAnsi="Times New Roman"/>
          <w:sz w:val="24"/>
          <w:lang w:val="es-ES_tradnl"/>
        </w:rPr>
        <w:t>seguridad, construcción</w:t>
      </w:r>
      <w:r w:rsidR="004A14D2" w:rsidRPr="00910E94">
        <w:rPr>
          <w:rFonts w:ascii="Times New Roman" w:hAnsi="Times New Roman"/>
          <w:sz w:val="24"/>
          <w:lang w:val="es-ES_tradnl"/>
        </w:rPr>
        <w:t xml:space="preserve"> y prueba de unidad</w:t>
      </w:r>
      <w:r w:rsidR="00693071" w:rsidRPr="00910E94">
        <w:rPr>
          <w:rFonts w:ascii="Times New Roman" w:hAnsi="Times New Roman"/>
          <w:sz w:val="24"/>
          <w:lang w:val="es-ES_tradnl"/>
        </w:rPr>
        <w:t>”</w:t>
      </w:r>
      <w:r w:rsidR="007B0295">
        <w:rPr>
          <w:rFonts w:ascii="Times New Roman" w:hAnsi="Times New Roman"/>
          <w:sz w:val="24"/>
          <w:lang w:val="es-ES_tradnl"/>
        </w:rPr>
        <w:t xml:space="preserve"> en </w:t>
      </w:r>
      <w:r w:rsidR="004A14D2" w:rsidRPr="00910E94">
        <w:rPr>
          <w:rFonts w:ascii="Times New Roman" w:hAnsi="Times New Roman"/>
          <w:sz w:val="24"/>
          <w:lang w:val="es-ES_tradnl"/>
        </w:rPr>
        <w:t>l</w:t>
      </w:r>
      <w:r w:rsidR="007B0295">
        <w:rPr>
          <w:rFonts w:ascii="Times New Roman" w:hAnsi="Times New Roman"/>
          <w:sz w:val="24"/>
          <w:lang w:val="es-ES_tradnl"/>
        </w:rPr>
        <w:t>a etapa</w:t>
      </w:r>
      <w:r w:rsidR="004A14D2" w:rsidRPr="00910E94">
        <w:rPr>
          <w:rFonts w:ascii="Times New Roman" w:hAnsi="Times New Roman"/>
          <w:sz w:val="24"/>
          <w:lang w:val="es-ES_tradnl"/>
        </w:rPr>
        <w:t xml:space="preserve"> </w:t>
      </w:r>
      <w:r w:rsidRPr="00910E94">
        <w:rPr>
          <w:rFonts w:ascii="Times New Roman" w:hAnsi="Times New Roman"/>
          <w:sz w:val="24"/>
          <w:lang w:val="es-ES_tradnl"/>
        </w:rPr>
        <w:t>7</w:t>
      </w:r>
      <w:r w:rsidR="00344EE2">
        <w:rPr>
          <w:rFonts w:ascii="Times New Roman" w:hAnsi="Times New Roman"/>
          <w:sz w:val="24"/>
          <w:lang w:val="es-ES_tradnl"/>
        </w:rPr>
        <w:t xml:space="preserve">.  </w:t>
      </w:r>
    </w:p>
    <w:p w:rsidR="002E55C1" w:rsidRPr="00910E94" w:rsidRDefault="002E55C1" w:rsidP="002E55C1">
      <w:pPr>
        <w:pStyle w:val="ListParagraph"/>
        <w:spacing w:before="120" w:line="360" w:lineRule="auto"/>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La OMPI contestó que, en virtud del contrato de precio fijo, el proveedor debía realizar y realizó el diseño funcional </w:t>
      </w:r>
      <w:r w:rsidR="004A14D2" w:rsidRPr="00910E94">
        <w:rPr>
          <w:rFonts w:ascii="Times New Roman" w:hAnsi="Times New Roman"/>
          <w:sz w:val="24"/>
          <w:lang w:val="es-ES_tradnl"/>
        </w:rPr>
        <w:t>y técnico de la seguridad (</w:t>
      </w:r>
      <w:r w:rsidR="007B0295">
        <w:rPr>
          <w:rFonts w:ascii="Times New Roman" w:hAnsi="Times New Roman"/>
          <w:sz w:val="24"/>
          <w:lang w:val="es-ES_tradnl"/>
        </w:rPr>
        <w:t>etapa</w:t>
      </w:r>
      <w:r w:rsidR="004A14D2" w:rsidRPr="00910E94">
        <w:rPr>
          <w:rFonts w:ascii="Times New Roman" w:hAnsi="Times New Roman"/>
          <w:sz w:val="24"/>
          <w:lang w:val="es-ES_tradnl"/>
        </w:rPr>
        <w:t> </w:t>
      </w:r>
      <w:r w:rsidRPr="00910E94">
        <w:rPr>
          <w:rFonts w:ascii="Times New Roman" w:hAnsi="Times New Roman"/>
          <w:sz w:val="24"/>
          <w:lang w:val="es-ES_tradnl"/>
        </w:rPr>
        <w:t>3)</w:t>
      </w:r>
      <w:r w:rsidR="00344EE2">
        <w:rPr>
          <w:rFonts w:ascii="Times New Roman" w:hAnsi="Times New Roman"/>
          <w:sz w:val="24"/>
          <w:lang w:val="es-ES_tradnl"/>
        </w:rPr>
        <w:t xml:space="preserve">.  </w:t>
      </w:r>
      <w:r w:rsidRPr="00910E94">
        <w:rPr>
          <w:rFonts w:ascii="Times New Roman" w:hAnsi="Times New Roman"/>
          <w:sz w:val="24"/>
          <w:lang w:val="es-ES_tradnl"/>
        </w:rPr>
        <w:t>OMPI fue responsable de la construcción, prueba de unidad y apoyo a la seguridad</w:t>
      </w:r>
      <w:r w:rsidR="00344EE2">
        <w:rPr>
          <w:rFonts w:ascii="Times New Roman" w:hAnsi="Times New Roman"/>
          <w:sz w:val="24"/>
          <w:lang w:val="es-ES_tradnl"/>
        </w:rPr>
        <w:t xml:space="preserve">.  </w:t>
      </w:r>
      <w:r w:rsidRPr="00910E94">
        <w:rPr>
          <w:rFonts w:ascii="Times New Roman" w:hAnsi="Times New Roman"/>
          <w:sz w:val="24"/>
          <w:lang w:val="es-ES_tradnl"/>
        </w:rPr>
        <w:t xml:space="preserve">Cuando la </w:t>
      </w:r>
      <w:r w:rsidRPr="00910E94">
        <w:rPr>
          <w:rFonts w:ascii="Times New Roman" w:hAnsi="Times New Roman"/>
          <w:sz w:val="24"/>
          <w:lang w:val="es-ES_tradnl"/>
        </w:rPr>
        <w:lastRenderedPageBreak/>
        <w:t>OMPI no pudo desempeñar su obligación, solicitó al vendedor, en un documento de trabajo independiente, que la llev</w:t>
      </w:r>
      <w:r w:rsidR="004A14D2" w:rsidRPr="00910E94">
        <w:rPr>
          <w:rFonts w:ascii="Times New Roman" w:hAnsi="Times New Roman"/>
          <w:sz w:val="24"/>
          <w:lang w:val="es-ES_tradnl"/>
        </w:rPr>
        <w:t>ara a cabo en el marco de</w:t>
      </w:r>
      <w:r w:rsidR="007B0295">
        <w:rPr>
          <w:rFonts w:ascii="Times New Roman" w:hAnsi="Times New Roman"/>
          <w:sz w:val="24"/>
          <w:lang w:val="es-ES_tradnl"/>
        </w:rPr>
        <w:t xml:space="preserve"> </w:t>
      </w:r>
      <w:r w:rsidR="004A14D2" w:rsidRPr="00910E94">
        <w:rPr>
          <w:rFonts w:ascii="Times New Roman" w:hAnsi="Times New Roman"/>
          <w:sz w:val="24"/>
          <w:lang w:val="es-ES_tradnl"/>
        </w:rPr>
        <w:t>l</w:t>
      </w:r>
      <w:r w:rsidR="007B0295">
        <w:rPr>
          <w:rFonts w:ascii="Times New Roman" w:hAnsi="Times New Roman"/>
          <w:sz w:val="24"/>
          <w:lang w:val="es-ES_tradnl"/>
        </w:rPr>
        <w:t>a</w:t>
      </w:r>
      <w:r w:rsidR="004A14D2" w:rsidRPr="00910E94">
        <w:rPr>
          <w:rFonts w:ascii="Times New Roman" w:hAnsi="Times New Roman"/>
          <w:sz w:val="24"/>
          <w:lang w:val="es-ES_tradnl"/>
        </w:rPr>
        <w:t xml:space="preserve"> </w:t>
      </w:r>
      <w:r w:rsidR="007B0295">
        <w:rPr>
          <w:rFonts w:ascii="Times New Roman" w:hAnsi="Times New Roman"/>
          <w:sz w:val="24"/>
          <w:lang w:val="es-ES_tradnl"/>
        </w:rPr>
        <w:t>etapa</w:t>
      </w:r>
      <w:r w:rsidR="004A14D2" w:rsidRPr="00910E94">
        <w:rPr>
          <w:rFonts w:ascii="Times New Roman" w:hAnsi="Times New Roman"/>
          <w:sz w:val="24"/>
          <w:lang w:val="es-ES_tradnl"/>
        </w:rPr>
        <w:t> </w:t>
      </w:r>
      <w:r w:rsidRPr="00910E94">
        <w:rPr>
          <w:rFonts w:ascii="Times New Roman" w:hAnsi="Times New Roman"/>
          <w:sz w:val="24"/>
          <w:lang w:val="es-ES_tradnl"/>
        </w:rPr>
        <w:t>7</w:t>
      </w:r>
      <w:r w:rsidR="00344EE2">
        <w:rPr>
          <w:rFonts w:ascii="Times New Roman" w:hAnsi="Times New Roman"/>
          <w:sz w:val="24"/>
          <w:lang w:val="es-ES_tradnl"/>
        </w:rPr>
        <w:t xml:space="preserve">.  </w:t>
      </w:r>
    </w:p>
    <w:p w:rsidR="002E55C1" w:rsidRPr="00910E94" w:rsidRDefault="002E55C1" w:rsidP="004A14D2">
      <w:pPr>
        <w:pStyle w:val="ListParagraph"/>
        <w:numPr>
          <w:ilvl w:val="0"/>
          <w:numId w:val="14"/>
        </w:numPr>
        <w:spacing w:before="120" w:after="120" w:line="360" w:lineRule="auto"/>
        <w:ind w:left="720"/>
        <w:contextualSpacing w:val="0"/>
        <w:jc w:val="both"/>
        <w:rPr>
          <w:rFonts w:ascii="Times New Roman" w:hAnsi="Times New Roman"/>
          <w:sz w:val="24"/>
          <w:szCs w:val="24"/>
          <w:lang w:val="es-ES_tradnl"/>
        </w:rPr>
      </w:pPr>
      <w:r w:rsidRPr="00910E94">
        <w:rPr>
          <w:rFonts w:ascii="Times New Roman" w:hAnsi="Times New Roman"/>
          <w:sz w:val="24"/>
          <w:lang w:val="es-ES_tradnl"/>
        </w:rPr>
        <w:t>La OMPI realizó un pago de</w:t>
      </w:r>
      <w:r w:rsidR="004A14D2" w:rsidRPr="00910E94">
        <w:rPr>
          <w:rFonts w:ascii="Times New Roman" w:hAnsi="Times New Roman"/>
          <w:sz w:val="24"/>
          <w:lang w:val="es-ES_tradnl"/>
        </w:rPr>
        <w:t> 157.155 </w:t>
      </w:r>
      <w:r w:rsidRPr="00910E94">
        <w:rPr>
          <w:rFonts w:ascii="Times New Roman" w:hAnsi="Times New Roman"/>
          <w:sz w:val="24"/>
          <w:lang w:val="es-ES_tradnl"/>
        </w:rPr>
        <w:t>francos suizos al proveedor por la modificac</w:t>
      </w:r>
      <w:r w:rsidR="007B0295">
        <w:rPr>
          <w:rFonts w:ascii="Times New Roman" w:hAnsi="Times New Roman"/>
          <w:sz w:val="24"/>
          <w:lang w:val="es-ES_tradnl"/>
        </w:rPr>
        <w:t>ión del ámbito de la</w:t>
      </w:r>
      <w:r w:rsidR="004A14D2" w:rsidRPr="00910E94">
        <w:rPr>
          <w:rFonts w:ascii="Times New Roman" w:hAnsi="Times New Roman"/>
          <w:sz w:val="24"/>
          <w:lang w:val="es-ES_tradnl"/>
        </w:rPr>
        <w:t xml:space="preserve">s </w:t>
      </w:r>
      <w:r w:rsidR="007B0295">
        <w:rPr>
          <w:rFonts w:ascii="Times New Roman" w:hAnsi="Times New Roman"/>
          <w:sz w:val="24"/>
          <w:lang w:val="es-ES_tradnl"/>
        </w:rPr>
        <w:t xml:space="preserve">etapas </w:t>
      </w:r>
      <w:r w:rsidR="004A14D2" w:rsidRPr="00910E94">
        <w:rPr>
          <w:rFonts w:ascii="Times New Roman" w:hAnsi="Times New Roman"/>
          <w:sz w:val="24"/>
          <w:lang w:val="es-ES_tradnl"/>
        </w:rPr>
        <w:t>6 y </w:t>
      </w:r>
      <w:r w:rsidRPr="00910E94">
        <w:rPr>
          <w:rFonts w:ascii="Times New Roman" w:hAnsi="Times New Roman"/>
          <w:sz w:val="24"/>
          <w:lang w:val="es-ES_tradnl"/>
        </w:rPr>
        <w:t>7</w:t>
      </w:r>
      <w:r w:rsidR="00344EE2">
        <w:rPr>
          <w:rFonts w:ascii="Times New Roman" w:hAnsi="Times New Roman"/>
          <w:sz w:val="24"/>
          <w:lang w:val="es-ES_tradnl"/>
        </w:rPr>
        <w:t xml:space="preserve">.  </w:t>
      </w:r>
      <w:r w:rsidRPr="00910E94">
        <w:rPr>
          <w:rFonts w:ascii="Times New Roman" w:hAnsi="Times New Roman"/>
          <w:sz w:val="24"/>
          <w:lang w:val="es-ES_tradnl"/>
        </w:rPr>
        <w:t>Con arreglo al contrato, el proveedor era responsable de efectuar un análisis de deficiencias, decidir la confirmación del alcance, comprender las necesidades institucionales,</w:t>
      </w:r>
      <w:r w:rsidR="00495D62" w:rsidRPr="00910E94">
        <w:rPr>
          <w:rFonts w:ascii="Times New Roman" w:hAnsi="Times New Roman"/>
          <w:sz w:val="24"/>
          <w:lang w:val="es-ES_tradnl"/>
        </w:rPr>
        <w:t xml:space="preserve"> </w:t>
      </w:r>
      <w:r w:rsidRPr="00910E94">
        <w:rPr>
          <w:rFonts w:ascii="Times New Roman" w:hAnsi="Times New Roman"/>
          <w:sz w:val="24"/>
          <w:lang w:val="es-ES_tradnl"/>
        </w:rPr>
        <w:t>determinar la conversión de datos y definir la interfaz del módulo de recursos humanos con el sistema</w:t>
      </w:r>
      <w:r w:rsidR="00344EE2">
        <w:rPr>
          <w:rFonts w:ascii="Times New Roman" w:hAnsi="Times New Roman"/>
          <w:sz w:val="24"/>
          <w:lang w:val="es-ES_tradnl"/>
        </w:rPr>
        <w:t xml:space="preserve">.  </w:t>
      </w:r>
      <w:r w:rsidRPr="00910E94">
        <w:rPr>
          <w:rFonts w:ascii="Times New Roman" w:hAnsi="Times New Roman"/>
          <w:sz w:val="24"/>
          <w:lang w:val="es-ES_tradnl"/>
        </w:rPr>
        <w:t>Hemos detectado que la factura correspondiente a la primera solicitud de cambio fue emitida en el mismo día en que se realizó la aprobación de la finalizaci</w:t>
      </w:r>
      <w:r w:rsidR="003C43E1" w:rsidRPr="00910E94">
        <w:rPr>
          <w:rFonts w:ascii="Times New Roman" w:hAnsi="Times New Roman"/>
          <w:sz w:val="24"/>
          <w:lang w:val="es-ES_tradnl"/>
        </w:rPr>
        <w:t>ón del diseño técnico (</w:t>
      </w:r>
      <w:r w:rsidR="007B0295">
        <w:rPr>
          <w:rFonts w:ascii="Times New Roman" w:hAnsi="Times New Roman"/>
          <w:sz w:val="24"/>
          <w:lang w:val="es-ES_tradnl"/>
        </w:rPr>
        <w:t>etapa</w:t>
      </w:r>
      <w:r w:rsidR="004A14D2" w:rsidRPr="00910E94">
        <w:rPr>
          <w:rFonts w:ascii="Times New Roman" w:hAnsi="Times New Roman"/>
          <w:sz w:val="24"/>
          <w:lang w:val="es-ES_tradnl"/>
        </w:rPr>
        <w:t> </w:t>
      </w:r>
      <w:r w:rsidR="003C43E1" w:rsidRPr="00910E94">
        <w:rPr>
          <w:rFonts w:ascii="Times New Roman" w:hAnsi="Times New Roman"/>
          <w:sz w:val="24"/>
          <w:lang w:val="es-ES_tradnl"/>
        </w:rPr>
        <w:t>3)</w:t>
      </w:r>
      <w:r w:rsidR="00344EE2">
        <w:rPr>
          <w:rFonts w:ascii="Times New Roman" w:hAnsi="Times New Roman"/>
          <w:sz w:val="24"/>
          <w:lang w:val="es-ES_tradnl"/>
        </w:rPr>
        <w:t xml:space="preserve">.  </w:t>
      </w:r>
      <w:r w:rsidRPr="00910E94">
        <w:rPr>
          <w:rFonts w:ascii="Times New Roman" w:hAnsi="Times New Roman"/>
          <w:sz w:val="24"/>
          <w:lang w:val="es-ES_tradnl"/>
        </w:rPr>
        <w:t>Ello indica que las necesidades institucionales no fueron captadas por completo durante el análisis de deficiencias y posteriormente las necesidades institucionales adicionales fueron cobradas a la OMPI como solicitudes de cambio, por las que la O</w:t>
      </w:r>
      <w:r w:rsidR="004A14D2" w:rsidRPr="00910E94">
        <w:rPr>
          <w:rFonts w:ascii="Times New Roman" w:hAnsi="Times New Roman"/>
          <w:sz w:val="24"/>
          <w:lang w:val="es-ES_tradnl"/>
        </w:rPr>
        <w:t>MPI abonó un importe de 90.165 </w:t>
      </w:r>
      <w:r w:rsidRPr="00910E94">
        <w:rPr>
          <w:rFonts w:ascii="Times New Roman" w:hAnsi="Times New Roman"/>
          <w:sz w:val="24"/>
          <w:lang w:val="es-ES_tradnl"/>
        </w:rPr>
        <w:t>francos suizos.</w:t>
      </w:r>
    </w:p>
    <w:p w:rsidR="00B94BDB" w:rsidRPr="00910E94" w:rsidRDefault="002E55C1" w:rsidP="004A14D2">
      <w:pPr>
        <w:pStyle w:val="Default"/>
        <w:spacing w:line="360" w:lineRule="auto"/>
        <w:ind w:left="709"/>
        <w:jc w:val="both"/>
        <w:rPr>
          <w:rFonts w:ascii="Times New Roman" w:hAnsi="Times New Roman" w:cs="Times New Roman"/>
          <w:color w:val="auto"/>
          <w:lang w:val="es-ES_tradnl"/>
        </w:rPr>
      </w:pPr>
      <w:r w:rsidRPr="00910E94">
        <w:rPr>
          <w:rFonts w:ascii="Times New Roman" w:hAnsi="Times New Roman"/>
          <w:color w:val="auto"/>
          <w:lang w:val="es-ES_tradnl"/>
        </w:rPr>
        <w:t>La OMPI respondió que, durante la evaluación de las necesidades y el análisis de deficiencias, se identificaron una serie de necesidades que no estaban incluidas en el precio fijo inicial</w:t>
      </w:r>
      <w:r w:rsidR="00344EE2">
        <w:rPr>
          <w:rFonts w:ascii="Times New Roman" w:hAnsi="Times New Roman"/>
          <w:color w:val="auto"/>
          <w:lang w:val="es-ES_tradnl"/>
        </w:rPr>
        <w:t xml:space="preserve">.  </w:t>
      </w:r>
      <w:r w:rsidRPr="00910E94">
        <w:rPr>
          <w:rFonts w:ascii="Times New Roman" w:hAnsi="Times New Roman"/>
          <w:color w:val="auto"/>
          <w:lang w:val="es-ES_tradnl"/>
        </w:rPr>
        <w:t>Las necesidades adicionales fueron debatidas e incluidas en el diseño técnico</w:t>
      </w:r>
      <w:r w:rsidR="00344EE2">
        <w:rPr>
          <w:rFonts w:ascii="Times New Roman" w:hAnsi="Times New Roman"/>
          <w:color w:val="auto"/>
          <w:lang w:val="es-ES_tradnl"/>
        </w:rPr>
        <w:t xml:space="preserve">.  </w:t>
      </w:r>
      <w:r w:rsidRPr="00910E94">
        <w:rPr>
          <w:rFonts w:ascii="Times New Roman" w:hAnsi="Times New Roman"/>
          <w:color w:val="auto"/>
          <w:lang w:val="es-ES_tradnl"/>
        </w:rPr>
        <w:t>Una vez que la OMPI confirmó el diseño técnico, se emitió una factura por solicitud de cambio</w:t>
      </w:r>
      <w:r w:rsidR="00344EE2">
        <w:rPr>
          <w:rFonts w:ascii="Times New Roman" w:hAnsi="Times New Roman"/>
          <w:color w:val="auto"/>
          <w:lang w:val="es-ES_tradnl"/>
        </w:rPr>
        <w:t xml:space="preserve">.  </w:t>
      </w:r>
      <w:r w:rsidRPr="00910E94">
        <w:rPr>
          <w:rFonts w:ascii="Times New Roman" w:hAnsi="Times New Roman"/>
          <w:color w:val="auto"/>
          <w:lang w:val="es-ES_tradnl"/>
        </w:rPr>
        <w:t xml:space="preserve">En consecuencia, la fecha de la factura de la solicitud </w:t>
      </w:r>
      <w:r w:rsidR="007B0295">
        <w:rPr>
          <w:rFonts w:ascii="Times New Roman" w:hAnsi="Times New Roman"/>
          <w:color w:val="auto"/>
          <w:lang w:val="es-ES_tradnl"/>
        </w:rPr>
        <w:t xml:space="preserve">de cambio se corresponde con la etapa </w:t>
      </w:r>
      <w:r w:rsidRPr="00910E94">
        <w:rPr>
          <w:rFonts w:ascii="Times New Roman" w:hAnsi="Times New Roman"/>
          <w:color w:val="auto"/>
          <w:lang w:val="es-ES_tradnl"/>
        </w:rPr>
        <w:t>de diseño técnico, puesto que se realizaron conjuntamente y no porque no se hubieran captado completamente las necesidades.</w:t>
      </w:r>
    </w:p>
    <w:p w:rsidR="002E55C1" w:rsidRPr="00910E94" w:rsidRDefault="002E55C1" w:rsidP="002E00A9">
      <w:pPr>
        <w:pStyle w:val="ListParagraph"/>
        <w:numPr>
          <w:ilvl w:val="0"/>
          <w:numId w:val="14"/>
        </w:numPr>
        <w:spacing w:before="120" w:after="120" w:line="360" w:lineRule="auto"/>
        <w:ind w:left="720"/>
        <w:contextualSpacing w:val="0"/>
        <w:jc w:val="both"/>
        <w:rPr>
          <w:rFonts w:ascii="Times New Roman" w:hAnsi="Times New Roman"/>
          <w:sz w:val="24"/>
          <w:szCs w:val="24"/>
          <w:lang w:val="es-ES_tradnl"/>
        </w:rPr>
      </w:pPr>
      <w:r w:rsidRPr="00910E94">
        <w:rPr>
          <w:rFonts w:ascii="Times New Roman" w:hAnsi="Times New Roman"/>
          <w:sz w:val="24"/>
          <w:lang w:val="es-ES_tradnl"/>
        </w:rPr>
        <w:t>En el mecanismo de seguimiento, es decir el informe semanal sobre la marcha de los proyectos, no se incluían datos suficientes para hacer un seguimiento de la evolución de los problemas, los productos/servicios, las obligaciones contractuales y la revisión del desempeño contractual</w:t>
      </w:r>
      <w:r w:rsidR="00344EE2">
        <w:rPr>
          <w:rFonts w:ascii="Times New Roman" w:hAnsi="Times New Roman"/>
          <w:sz w:val="24"/>
          <w:lang w:val="es-ES_tradnl"/>
        </w:rPr>
        <w:t xml:space="preserve">.  </w:t>
      </w:r>
    </w:p>
    <w:p w:rsidR="00E24DBD" w:rsidRPr="00910E94" w:rsidRDefault="002E55C1"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contestó que se aprobó la finalización cuando algunos problemas seguían pendientes, ya que en los grandes proyectos no es frecuente que se pase limpiamente de una fase a la siguiente sin que quede algún problema pendiente</w:t>
      </w:r>
      <w:r w:rsidR="00344EE2">
        <w:rPr>
          <w:rFonts w:ascii="Times New Roman" w:hAnsi="Times New Roman"/>
          <w:sz w:val="24"/>
          <w:lang w:val="es-ES_tradnl"/>
        </w:rPr>
        <w:t xml:space="preserve">.  </w:t>
      </w:r>
      <w:r w:rsidRPr="00910E94">
        <w:rPr>
          <w:rFonts w:ascii="Times New Roman" w:hAnsi="Times New Roman"/>
          <w:sz w:val="24"/>
          <w:lang w:val="es-ES_tradnl"/>
        </w:rPr>
        <w:t>Los problemas fueron objeto del seguimiento apropiado a fin de asegurar su resolución en las fases ulteriores</w:t>
      </w:r>
      <w:r w:rsidR="00344EE2">
        <w:rPr>
          <w:rFonts w:ascii="Times New Roman" w:hAnsi="Times New Roman"/>
          <w:sz w:val="24"/>
          <w:lang w:val="es-ES_tradnl"/>
        </w:rPr>
        <w:t xml:space="preserve">.  </w:t>
      </w:r>
      <w:r w:rsidRPr="00910E94">
        <w:rPr>
          <w:rFonts w:ascii="Times New Roman" w:hAnsi="Times New Roman"/>
          <w:sz w:val="24"/>
          <w:lang w:val="es-ES_tradnl"/>
        </w:rPr>
        <w:t>Tras aceptar que disponer de una documentación formal relativa a una modificación contractual constituiría una mejora, la OMPI afirmó que analizará las formas de perfeccionar el mecanismo de seguimiento de los productos contratados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Añadió que </w:t>
      </w:r>
      <w:r w:rsidR="004A14D2" w:rsidRPr="00910E94">
        <w:rPr>
          <w:rFonts w:ascii="Times New Roman" w:hAnsi="Times New Roman"/>
          <w:sz w:val="24"/>
          <w:lang w:val="es-ES_tradnl"/>
        </w:rPr>
        <w:t>el problema específico de</w:t>
      </w:r>
      <w:r w:rsidR="007B0295">
        <w:rPr>
          <w:rFonts w:ascii="Times New Roman" w:hAnsi="Times New Roman"/>
          <w:sz w:val="24"/>
          <w:lang w:val="es-ES_tradnl"/>
        </w:rPr>
        <w:t xml:space="preserve"> </w:t>
      </w:r>
      <w:r w:rsidR="004A14D2" w:rsidRPr="00910E94">
        <w:rPr>
          <w:rFonts w:ascii="Times New Roman" w:hAnsi="Times New Roman"/>
          <w:sz w:val="24"/>
          <w:lang w:val="es-ES_tradnl"/>
        </w:rPr>
        <w:t>l</w:t>
      </w:r>
      <w:r w:rsidR="007B0295">
        <w:rPr>
          <w:rFonts w:ascii="Times New Roman" w:hAnsi="Times New Roman"/>
          <w:sz w:val="24"/>
          <w:lang w:val="es-ES_tradnl"/>
        </w:rPr>
        <w:t>a etapa</w:t>
      </w:r>
      <w:r w:rsidR="004A14D2" w:rsidRPr="00910E94">
        <w:rPr>
          <w:rFonts w:ascii="Times New Roman" w:hAnsi="Times New Roman"/>
          <w:sz w:val="24"/>
          <w:lang w:val="es-ES_tradnl"/>
        </w:rPr>
        <w:t> </w:t>
      </w:r>
      <w:r w:rsidRPr="00910E94">
        <w:rPr>
          <w:rFonts w:ascii="Times New Roman" w:hAnsi="Times New Roman"/>
          <w:sz w:val="24"/>
          <w:lang w:val="es-ES_tradnl"/>
        </w:rPr>
        <w:t xml:space="preserve">5, en el proyecto de módulos principales de recursos humanos y de nóminas, se </w:t>
      </w:r>
      <w:r w:rsidRPr="00910E94">
        <w:rPr>
          <w:rFonts w:ascii="Times New Roman" w:hAnsi="Times New Roman"/>
          <w:sz w:val="24"/>
          <w:lang w:val="es-ES_tradnl"/>
        </w:rPr>
        <w:lastRenderedPageBreak/>
        <w:t>derivó de un error del contrato inicial, ya que las pruebas de integració</w:t>
      </w:r>
      <w:r w:rsidR="007B0295">
        <w:rPr>
          <w:rFonts w:ascii="Times New Roman" w:hAnsi="Times New Roman"/>
          <w:sz w:val="24"/>
          <w:lang w:val="es-ES_tradnl"/>
        </w:rPr>
        <w:t xml:space="preserve">n deberían haberse incluido en </w:t>
      </w:r>
      <w:r w:rsidRPr="00910E94">
        <w:rPr>
          <w:rFonts w:ascii="Times New Roman" w:hAnsi="Times New Roman"/>
          <w:sz w:val="24"/>
          <w:lang w:val="es-ES_tradnl"/>
        </w:rPr>
        <w:t>l</w:t>
      </w:r>
      <w:r w:rsidR="007B0295">
        <w:rPr>
          <w:rFonts w:ascii="Times New Roman" w:hAnsi="Times New Roman"/>
          <w:sz w:val="24"/>
          <w:lang w:val="es-ES_tradnl"/>
        </w:rPr>
        <w:t>a</w:t>
      </w:r>
      <w:r w:rsidR="004A14D2" w:rsidRPr="00910E94">
        <w:rPr>
          <w:rFonts w:ascii="Times New Roman" w:hAnsi="Times New Roman"/>
          <w:sz w:val="24"/>
          <w:lang w:val="es-ES_tradnl"/>
        </w:rPr>
        <w:t xml:space="preserve"> </w:t>
      </w:r>
      <w:r w:rsidR="007B0295">
        <w:rPr>
          <w:rFonts w:ascii="Times New Roman" w:hAnsi="Times New Roman"/>
          <w:sz w:val="24"/>
          <w:lang w:val="es-ES_tradnl"/>
        </w:rPr>
        <w:t>etapa</w:t>
      </w:r>
      <w:r w:rsidR="004A14D2" w:rsidRPr="00910E94">
        <w:rPr>
          <w:rFonts w:ascii="Times New Roman" w:hAnsi="Times New Roman"/>
          <w:sz w:val="24"/>
          <w:lang w:val="es-ES_tradnl"/>
        </w:rPr>
        <w:t xml:space="preserve"> 6, en lugar de en l</w:t>
      </w:r>
      <w:r w:rsidR="007B0295">
        <w:rPr>
          <w:rFonts w:ascii="Times New Roman" w:hAnsi="Times New Roman"/>
          <w:sz w:val="24"/>
          <w:lang w:val="es-ES_tradnl"/>
        </w:rPr>
        <w:t xml:space="preserve">a etapa </w:t>
      </w:r>
      <w:r w:rsidRPr="00910E94">
        <w:rPr>
          <w:rFonts w:ascii="Times New Roman" w:hAnsi="Times New Roman"/>
          <w:sz w:val="24"/>
          <w:lang w:val="es-ES_tradnl"/>
        </w:rPr>
        <w:t>5</w:t>
      </w:r>
      <w:r w:rsidR="00344EE2">
        <w:rPr>
          <w:rFonts w:ascii="Times New Roman" w:hAnsi="Times New Roman"/>
          <w:sz w:val="24"/>
          <w:lang w:val="es-ES_tradnl"/>
        </w:rPr>
        <w:t xml:space="preserve">.  </w:t>
      </w:r>
      <w:r w:rsidRPr="00910E94">
        <w:rPr>
          <w:rFonts w:ascii="Times New Roman" w:hAnsi="Times New Roman"/>
          <w:sz w:val="24"/>
          <w:lang w:val="es-ES_tradnl"/>
        </w:rPr>
        <w:t>Durante la ejecución, se reconoció y garantizó que este punto fuera controlado, ejecutado y pagado con cargo a</w:t>
      </w:r>
      <w:r w:rsidR="007B0295">
        <w:rPr>
          <w:rFonts w:ascii="Times New Roman" w:hAnsi="Times New Roman"/>
          <w:sz w:val="24"/>
          <w:lang w:val="es-ES_tradnl"/>
        </w:rPr>
        <w:t xml:space="preserve"> </w:t>
      </w:r>
      <w:r w:rsidRPr="00910E94">
        <w:rPr>
          <w:rFonts w:ascii="Times New Roman" w:hAnsi="Times New Roman"/>
          <w:sz w:val="24"/>
          <w:lang w:val="es-ES_tradnl"/>
        </w:rPr>
        <w:t>l</w:t>
      </w:r>
      <w:r w:rsidR="007B0295">
        <w:rPr>
          <w:rFonts w:ascii="Times New Roman" w:hAnsi="Times New Roman"/>
          <w:sz w:val="24"/>
          <w:lang w:val="es-ES_tradnl"/>
        </w:rPr>
        <w:t>a etapa correcta</w:t>
      </w:r>
      <w:r w:rsidR="00344EE2">
        <w:rPr>
          <w:rFonts w:ascii="Times New Roman" w:hAnsi="Times New Roman"/>
          <w:sz w:val="24"/>
          <w:lang w:val="es-ES_tradnl"/>
        </w:rPr>
        <w:t xml:space="preserve">.  </w:t>
      </w:r>
      <w:r w:rsidRPr="00910E94">
        <w:rPr>
          <w:rFonts w:ascii="Times New Roman" w:hAnsi="Times New Roman"/>
          <w:sz w:val="24"/>
          <w:lang w:val="es-ES_tradnl"/>
        </w:rPr>
        <w:t>Sin embargo, debería haberse modificado el contrato para reflejar esta circunstancia</w:t>
      </w:r>
      <w:r w:rsidR="00344EE2">
        <w:rPr>
          <w:rFonts w:ascii="Times New Roman" w:hAnsi="Times New Roman"/>
          <w:sz w:val="24"/>
          <w:lang w:val="es-ES_tradnl"/>
        </w:rPr>
        <w:t xml:space="preserve">.  </w:t>
      </w:r>
      <w:r w:rsidRPr="00910E94">
        <w:rPr>
          <w:rFonts w:ascii="Times New Roman" w:hAnsi="Times New Roman"/>
          <w:sz w:val="24"/>
          <w:lang w:val="es-ES_tradnl"/>
        </w:rPr>
        <w:t>La OMPI mantuvo que la gestión de productos es realizada por los directores de proyecto con vistas a garantizar que los productos internos y externos sean controlados y ejecutados con arreglo a los planes y obligaciones contractuales, de modo que sólo se efectúen los pagos a los proveedores cuando éstos han cumplido sus obligaciones contractuales.</w:t>
      </w:r>
    </w:p>
    <w:p w:rsidR="002E55C1" w:rsidRPr="00910E94" w:rsidRDefault="00E648F9" w:rsidP="00101066">
      <w:pPr>
        <w:keepNext/>
        <w:spacing w:before="120" w:line="360" w:lineRule="auto"/>
        <w:jc w:val="both"/>
        <w:rPr>
          <w:rFonts w:ascii="Times New Roman" w:hAnsi="Times New Roman"/>
          <w:b/>
          <w:sz w:val="24"/>
          <w:szCs w:val="24"/>
          <w:lang w:val="es-ES_tradnl"/>
        </w:rPr>
      </w:pPr>
      <w:r w:rsidRPr="00910E94">
        <w:rPr>
          <w:rFonts w:ascii="Times New Roman" w:hAnsi="Times New Roman"/>
          <w:b/>
          <w:sz w:val="24"/>
          <w:lang w:val="es-ES_tradnl"/>
        </w:rPr>
        <w:t>Recomendación 9</w:t>
      </w:r>
    </w:p>
    <w:p w:rsidR="002E55C1" w:rsidRPr="00910E94" w:rsidRDefault="002E55C1" w:rsidP="002E55C1">
      <w:pPr>
        <w:pStyle w:val="ListParagraph"/>
        <w:spacing w:before="120" w:line="360" w:lineRule="auto"/>
        <w:ind w:left="0"/>
        <w:contextualSpacing w:val="0"/>
        <w:jc w:val="both"/>
        <w:rPr>
          <w:rFonts w:ascii="Times New Roman" w:eastAsia="Calibri" w:hAnsi="Times New Roman"/>
          <w:b/>
          <w:sz w:val="24"/>
          <w:szCs w:val="24"/>
          <w:lang w:val="es-ES_tradnl"/>
        </w:rPr>
      </w:pPr>
      <w:r w:rsidRPr="00910E94">
        <w:rPr>
          <w:rFonts w:ascii="Times New Roman" w:hAnsi="Times New Roman"/>
          <w:b/>
          <w:sz w:val="24"/>
          <w:lang w:val="es-ES_tradnl"/>
        </w:rPr>
        <w:t>Conviene que la OMPI refuerce sus mecanismos de seguimiento y gestión de contratos con vistas a lograr una entrega sin demora de los p</w:t>
      </w:r>
      <w:r w:rsidR="007B0295">
        <w:rPr>
          <w:rFonts w:ascii="Times New Roman" w:hAnsi="Times New Roman"/>
          <w:b/>
          <w:sz w:val="24"/>
          <w:lang w:val="es-ES_tradnl"/>
        </w:rPr>
        <w:t>roductos/servicios conforme a la</w:t>
      </w:r>
      <w:r w:rsidRPr="00910E94">
        <w:rPr>
          <w:rFonts w:ascii="Times New Roman" w:hAnsi="Times New Roman"/>
          <w:b/>
          <w:sz w:val="24"/>
          <w:lang w:val="es-ES_tradnl"/>
        </w:rPr>
        <w:t xml:space="preserve">s </w:t>
      </w:r>
      <w:r w:rsidR="007B0295">
        <w:rPr>
          <w:rFonts w:ascii="Times New Roman" w:hAnsi="Times New Roman"/>
          <w:b/>
          <w:sz w:val="24"/>
          <w:lang w:val="es-ES_tradnl"/>
        </w:rPr>
        <w:t>etapas prevista</w:t>
      </w:r>
      <w:r w:rsidRPr="00910E94">
        <w:rPr>
          <w:rFonts w:ascii="Times New Roman" w:hAnsi="Times New Roman"/>
          <w:b/>
          <w:sz w:val="24"/>
          <w:lang w:val="es-ES_tradnl"/>
        </w:rPr>
        <w:t>s y mejore la documentación relativa a la modificación de contratos.</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Tras aceptar la recomendación, la OMPI declaró que garantizará que cualesquiera modificaciones futuras en los productos/servici</w:t>
      </w:r>
      <w:r w:rsidR="007B0295">
        <w:rPr>
          <w:rFonts w:ascii="Times New Roman" w:hAnsi="Times New Roman"/>
          <w:sz w:val="24"/>
          <w:lang w:val="es-ES_tradnl"/>
        </w:rPr>
        <w:t>os contratados con arreglo a una</w:t>
      </w:r>
      <w:r w:rsidRPr="00910E94">
        <w:rPr>
          <w:rFonts w:ascii="Times New Roman" w:hAnsi="Times New Roman"/>
          <w:sz w:val="24"/>
          <w:lang w:val="es-ES_tradnl"/>
        </w:rPr>
        <w:t xml:space="preserve">s </w:t>
      </w:r>
      <w:r w:rsidR="007B0295">
        <w:rPr>
          <w:rFonts w:ascii="Times New Roman" w:hAnsi="Times New Roman"/>
          <w:sz w:val="24"/>
          <w:lang w:val="es-ES_tradnl"/>
        </w:rPr>
        <w:t>etapas prefijada</w:t>
      </w:r>
      <w:r w:rsidRPr="00910E94">
        <w:rPr>
          <w:rFonts w:ascii="Times New Roman" w:hAnsi="Times New Roman"/>
          <w:sz w:val="24"/>
          <w:lang w:val="es-ES_tradnl"/>
        </w:rPr>
        <w:t>s queden documentadas y reflejadas en un contrato revisado con el proveedor</w:t>
      </w:r>
      <w:r w:rsidR="00344EE2">
        <w:rPr>
          <w:rFonts w:ascii="Times New Roman" w:hAnsi="Times New Roman"/>
          <w:sz w:val="24"/>
          <w:lang w:val="es-ES_tradnl"/>
        </w:rPr>
        <w:t xml:space="preserve">.  </w:t>
      </w:r>
    </w:p>
    <w:p w:rsidR="002E55C1" w:rsidRPr="00910E94" w:rsidRDefault="002E55C1" w:rsidP="002E55C1">
      <w:pPr>
        <w:pStyle w:val="Heading1"/>
        <w:spacing w:before="120" w:line="360" w:lineRule="auto"/>
        <w:contextualSpacing/>
        <w:rPr>
          <w:rFonts w:ascii="Times New Roman" w:hAnsi="Times New Roman"/>
          <w:b/>
          <w:color w:val="002060"/>
          <w:sz w:val="24"/>
          <w:szCs w:val="24"/>
          <w:lang w:val="es-ES_tradnl"/>
        </w:rPr>
      </w:pPr>
      <w:r w:rsidRPr="00910E94">
        <w:rPr>
          <w:rFonts w:ascii="Times New Roman" w:hAnsi="Times New Roman"/>
          <w:b/>
          <w:color w:val="002060"/>
          <w:sz w:val="24"/>
          <w:lang w:val="es-ES_tradnl"/>
        </w:rPr>
        <w:t>Metodología de gestión de proyecto PRINCE2</w:t>
      </w:r>
    </w:p>
    <w:p w:rsidR="002E55C1" w:rsidRPr="00910E94" w:rsidRDefault="002E55C1" w:rsidP="00B94BDB">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ha seguido la metodología de gestión de proyecto PRINCE2 para la instauración del sistema de PRI</w:t>
      </w:r>
      <w:r w:rsidR="00344EE2">
        <w:rPr>
          <w:rFonts w:ascii="Times New Roman" w:hAnsi="Times New Roman"/>
          <w:sz w:val="24"/>
          <w:lang w:val="es-ES_tradnl"/>
        </w:rPr>
        <w:t xml:space="preserve">.  </w:t>
      </w:r>
      <w:r w:rsidRPr="00910E94">
        <w:rPr>
          <w:rFonts w:ascii="Times New Roman" w:hAnsi="Times New Roman"/>
          <w:sz w:val="24"/>
          <w:lang w:val="es-ES_tradnl"/>
        </w:rPr>
        <w:t>Según la metodología de gestión de proyecto PRINCE2, el plan por etapas constituye un elemento esencial</w:t>
      </w:r>
      <w:r w:rsidR="00344EE2">
        <w:rPr>
          <w:rFonts w:ascii="Times New Roman" w:hAnsi="Times New Roman"/>
          <w:sz w:val="24"/>
          <w:lang w:val="es-ES_tradnl"/>
        </w:rPr>
        <w:t xml:space="preserve">.  </w:t>
      </w:r>
      <w:r w:rsidRPr="00910E94">
        <w:rPr>
          <w:rFonts w:ascii="Times New Roman" w:hAnsi="Times New Roman"/>
          <w:sz w:val="24"/>
          <w:lang w:val="es-ES_tradnl"/>
        </w:rPr>
        <w:t>Constituirá la base del control cotidiano del director del proyecto</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junta del proyecto (en el caso de la OMPI, la </w:t>
      </w:r>
      <w:r w:rsidR="007B0295">
        <w:rPr>
          <w:rFonts w:ascii="Times New Roman" w:hAnsi="Times New Roman"/>
          <w:sz w:val="24"/>
          <w:lang w:val="es-ES_tradnl"/>
        </w:rPr>
        <w:t>Junta de la Cartera</w:t>
      </w:r>
      <w:r w:rsidRPr="00910E94">
        <w:rPr>
          <w:rFonts w:ascii="Times New Roman" w:hAnsi="Times New Roman"/>
          <w:sz w:val="24"/>
          <w:lang w:val="es-ES_tradnl"/>
        </w:rPr>
        <w:t xml:space="preserve"> de PRI) es responsable de la revisión y aprobación de los planes por etapas</w:t>
      </w:r>
      <w:r w:rsidR="00344EE2">
        <w:rPr>
          <w:rFonts w:ascii="Times New Roman" w:hAnsi="Times New Roman"/>
          <w:sz w:val="24"/>
          <w:lang w:val="es-ES_tradnl"/>
        </w:rPr>
        <w:t xml:space="preserve">.  </w:t>
      </w:r>
      <w:r w:rsidRPr="00910E94">
        <w:rPr>
          <w:rFonts w:ascii="Times New Roman" w:hAnsi="Times New Roman"/>
          <w:sz w:val="24"/>
          <w:lang w:val="es-ES_tradnl"/>
        </w:rPr>
        <w:t>La junta del proyecto aprueba todos los planes importantes y autoriza cualquier desviación significativa de los planes por etapas acordados</w:t>
      </w:r>
      <w:r w:rsidR="00344EE2">
        <w:rPr>
          <w:rFonts w:ascii="Times New Roman" w:hAnsi="Times New Roman"/>
          <w:sz w:val="24"/>
          <w:lang w:val="es-ES_tradnl"/>
        </w:rPr>
        <w:t xml:space="preserve">.  </w:t>
      </w:r>
      <w:r w:rsidRPr="00910E94">
        <w:rPr>
          <w:rFonts w:ascii="Times New Roman" w:hAnsi="Times New Roman"/>
          <w:sz w:val="24"/>
          <w:lang w:val="es-ES_tradnl"/>
        </w:rPr>
        <w:t>Es el órgano que aprueba la finalización de cada fase y autoriza el comienzo de la fase siguiente.</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examinado los documentos de iniciación de los proyectos de enfoque, recursos humanos fase I, inteligencia institucional directiva, herramientas para la gestión del riesgo institucional, la gestión del rendimiento institucional, reservas en línea y actualización de PeopleSoft 9.1, y hemos advertido que, salvo en los casos de gestión del rendimiento institucional e inteligencia institucional directiva, no se han definido fases o se han definido en una sola línea sin detallar los requisitos conforme a los cuales puede hacerse un seguimiento cotidiano.</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lastRenderedPageBreak/>
        <w:t xml:space="preserve">La OMPI declaró que PRINCE2 propugna la personalización y admite que, dependiendo del tamaño de un proyecto, pueden no ser necesarios </w:t>
      </w:r>
      <w:r w:rsidR="00693071" w:rsidRPr="00910E94">
        <w:rPr>
          <w:rFonts w:ascii="Times New Roman" w:hAnsi="Times New Roman"/>
          <w:sz w:val="24"/>
          <w:lang w:val="es-ES_tradnl"/>
        </w:rPr>
        <w:t>“</w:t>
      </w:r>
      <w:r w:rsidRPr="00910E94">
        <w:rPr>
          <w:rFonts w:ascii="Times New Roman" w:hAnsi="Times New Roman"/>
          <w:sz w:val="24"/>
          <w:lang w:val="es-ES_tradnl"/>
        </w:rPr>
        <w:t>productos de gestión</w:t>
      </w:r>
      <w:r w:rsidR="00693071" w:rsidRPr="00910E94">
        <w:rPr>
          <w:rFonts w:ascii="Times New Roman" w:hAnsi="Times New Roman"/>
          <w:sz w:val="24"/>
          <w:lang w:val="es-ES_tradnl"/>
        </w:rPr>
        <w:t>”</w:t>
      </w:r>
      <w:r w:rsidRPr="00910E94">
        <w:rPr>
          <w:rFonts w:ascii="Times New Roman" w:hAnsi="Times New Roman"/>
          <w:sz w:val="24"/>
          <w:lang w:val="es-ES_tradnl"/>
        </w:rPr>
        <w:t>, como el plan por etapas</w:t>
      </w:r>
      <w:r w:rsidR="00344EE2">
        <w:rPr>
          <w:rFonts w:ascii="Times New Roman" w:hAnsi="Times New Roman"/>
          <w:sz w:val="24"/>
          <w:lang w:val="es-ES_tradnl"/>
        </w:rPr>
        <w:t xml:space="preserve">.  </w:t>
      </w:r>
      <w:r w:rsidRPr="00910E94">
        <w:rPr>
          <w:rFonts w:ascii="Times New Roman" w:hAnsi="Times New Roman"/>
          <w:sz w:val="24"/>
          <w:lang w:val="es-ES_tradnl"/>
        </w:rPr>
        <w:t>Asimismo, dado que todos los proyectos y planes por etapas son aprobados por las correspondientes juntas de la estructura de gobernanza, no se estima que documentar esas decisiones añada valor a la gestión de la cartera</w:t>
      </w:r>
      <w:r w:rsidR="00344EE2">
        <w:rPr>
          <w:rFonts w:ascii="Times New Roman" w:hAnsi="Times New Roman"/>
          <w:sz w:val="24"/>
          <w:lang w:val="es-ES_tradnl"/>
        </w:rPr>
        <w:t xml:space="preserve">.  </w:t>
      </w:r>
    </w:p>
    <w:p w:rsidR="00E24DBD" w:rsidRPr="00910E94" w:rsidRDefault="002E55C1"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advertido que si bien PRINCE2 propugna la personalización, también indica que puede que no sea necesario un plan por etapas cuando exista una única etapa de ejecución</w:t>
      </w:r>
      <w:r w:rsidR="00344EE2">
        <w:rPr>
          <w:rFonts w:ascii="Times New Roman" w:hAnsi="Times New Roman"/>
          <w:sz w:val="24"/>
          <w:lang w:val="es-ES_tradnl"/>
        </w:rPr>
        <w:t xml:space="preserve">.  </w:t>
      </w:r>
      <w:r w:rsidRPr="00910E94">
        <w:rPr>
          <w:rFonts w:ascii="Times New Roman" w:hAnsi="Times New Roman"/>
          <w:sz w:val="24"/>
          <w:lang w:val="es-ES_tradnl"/>
        </w:rPr>
        <w:t>Asimismo, en nuestra opinión debe documentarse el proceso de personalización de un determinado proyecto.</w:t>
      </w:r>
    </w:p>
    <w:p w:rsidR="002E55C1" w:rsidRPr="00910E94" w:rsidRDefault="00E648F9" w:rsidP="00101066">
      <w:pPr>
        <w:keepNext/>
        <w:spacing w:before="120" w:line="360" w:lineRule="auto"/>
        <w:jc w:val="both"/>
        <w:rPr>
          <w:rFonts w:ascii="Times New Roman" w:hAnsi="Times New Roman"/>
          <w:b/>
          <w:sz w:val="24"/>
          <w:szCs w:val="24"/>
          <w:lang w:val="es-ES_tradnl"/>
        </w:rPr>
      </w:pPr>
      <w:r w:rsidRPr="00910E94">
        <w:rPr>
          <w:rFonts w:ascii="Times New Roman" w:hAnsi="Times New Roman"/>
          <w:b/>
          <w:sz w:val="24"/>
          <w:lang w:val="es-ES_tradnl"/>
        </w:rPr>
        <w:t>Recomendación 10</w:t>
      </w:r>
    </w:p>
    <w:p w:rsidR="002E55C1" w:rsidRPr="00910E94" w:rsidRDefault="002E55C1" w:rsidP="002E55C1">
      <w:pPr>
        <w:spacing w:before="120" w:line="360" w:lineRule="auto"/>
        <w:jc w:val="both"/>
        <w:rPr>
          <w:rFonts w:ascii="Times New Roman" w:hAnsi="Times New Roman"/>
          <w:b/>
          <w:sz w:val="24"/>
          <w:szCs w:val="24"/>
          <w:lang w:val="es-ES_tradnl"/>
        </w:rPr>
      </w:pPr>
      <w:r w:rsidRPr="00910E94">
        <w:rPr>
          <w:rFonts w:ascii="Times New Roman" w:hAnsi="Times New Roman"/>
          <w:b/>
          <w:color w:val="000000"/>
          <w:sz w:val="24"/>
          <w:lang w:val="es-ES_tradnl"/>
        </w:rPr>
        <w:t>Conviene que la OMPI estudie documentar, en el futuro, los motivos para no desarrollar planes por etapas</w:t>
      </w:r>
      <w:r w:rsidRPr="00910E94">
        <w:rPr>
          <w:rFonts w:ascii="Times New Roman" w:hAnsi="Times New Roman"/>
          <w:b/>
          <w:sz w:val="24"/>
          <w:lang w:val="es-ES_tradnl"/>
        </w:rPr>
        <w:t>.</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aceptó la recomendación y aseguró que, en los futuros documentos de iniciación de proyectos de PRI, documentará cualquier personalización, como la inexistencia de planes por etapas, que se introduzca en el proyecto.</w:t>
      </w:r>
    </w:p>
    <w:p w:rsidR="002E55C1" w:rsidRPr="00910E94" w:rsidRDefault="002E55C1" w:rsidP="002E55C1">
      <w:pPr>
        <w:pStyle w:val="Heading1"/>
        <w:spacing w:before="120" w:line="360" w:lineRule="auto"/>
        <w:contextualSpacing/>
        <w:rPr>
          <w:rFonts w:ascii="Times New Roman" w:hAnsi="Times New Roman"/>
          <w:b/>
          <w:color w:val="002060"/>
          <w:sz w:val="24"/>
          <w:szCs w:val="24"/>
          <w:lang w:val="es-ES_tradnl"/>
        </w:rPr>
      </w:pPr>
      <w:r w:rsidRPr="00910E94">
        <w:rPr>
          <w:rFonts w:ascii="Times New Roman" w:hAnsi="Times New Roman"/>
          <w:b/>
          <w:color w:val="002060"/>
          <w:sz w:val="24"/>
          <w:lang w:val="es-ES_tradnl"/>
        </w:rPr>
        <w:t>Límites de tolerancia e informe sobre excepciones</w:t>
      </w:r>
    </w:p>
    <w:p w:rsidR="00B94BDB" w:rsidRPr="00910E94" w:rsidRDefault="002E55C1"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Según la metodología de gestión del proyecto PRINCE2, el informe sobre excepciones constituye una herramienta esencial para la gestión del proyecto que permite apreciar las desviaciones con respecto a los límites de tolerancia</w:t>
      </w:r>
      <w:r w:rsidR="00344EE2">
        <w:rPr>
          <w:rFonts w:ascii="Times New Roman" w:hAnsi="Times New Roman"/>
          <w:sz w:val="24"/>
          <w:lang w:val="es-ES_tradnl"/>
        </w:rPr>
        <w:t xml:space="preserve">.  </w:t>
      </w:r>
      <w:r w:rsidRPr="00910E94">
        <w:rPr>
          <w:rFonts w:ascii="Times New Roman" w:hAnsi="Times New Roman"/>
          <w:sz w:val="24"/>
          <w:lang w:val="es-ES_tradnl"/>
        </w:rPr>
        <w:t>El informe sobre excepciones recoge una estimación de la desviación, ofrece un análisis de la excepción y de las opciones disponibles en lo sucesivo y señala la opción recomendada.</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examinado los documentos de iniciación de los proyectos de enfoque, recursos humanos fase I, inteligencia institucional directiva, herramientas para la gestión del riesgo institucional, la gestión del rendimiento institucional, reservas en línea y actualización de PeopleSoft 9.1, y hemos advertido que, salvo en los casos de la actualización de PeopleSoft 9.1 y la herramienta de reservas en línea, no se han establecido los límites de tolerancia</w:t>
      </w:r>
      <w:r w:rsidR="00344EE2">
        <w:rPr>
          <w:rFonts w:ascii="Times New Roman" w:hAnsi="Times New Roman"/>
          <w:sz w:val="24"/>
          <w:lang w:val="es-ES_tradnl"/>
        </w:rPr>
        <w:t xml:space="preserve">.  </w:t>
      </w:r>
      <w:r w:rsidRPr="00910E94">
        <w:rPr>
          <w:rFonts w:ascii="Times New Roman" w:hAnsi="Times New Roman"/>
          <w:sz w:val="24"/>
          <w:lang w:val="es-ES_tradnl"/>
        </w:rPr>
        <w:t xml:space="preserve">Por otra parte, no se presentó el informe sobre excepciones a la </w:t>
      </w:r>
      <w:r w:rsidR="007B0295">
        <w:rPr>
          <w:rFonts w:ascii="Times New Roman" w:hAnsi="Times New Roman"/>
          <w:sz w:val="24"/>
          <w:lang w:val="es-ES_tradnl"/>
        </w:rPr>
        <w:t>Junta de la Cartera</w:t>
      </w:r>
      <w:r w:rsidRPr="00910E94">
        <w:rPr>
          <w:rFonts w:ascii="Times New Roman" w:hAnsi="Times New Roman"/>
          <w:sz w:val="24"/>
          <w:lang w:val="es-ES_tradnl"/>
        </w:rPr>
        <w:t xml:space="preserve"> y del proyecto, salvo en el caso de la inteligencia institucional directiva.</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La OMPI hizo notar que todo proyecto es evaluado por la </w:t>
      </w:r>
      <w:r w:rsidR="007B0295">
        <w:rPr>
          <w:rFonts w:ascii="Times New Roman" w:hAnsi="Times New Roman"/>
          <w:sz w:val="24"/>
          <w:lang w:val="es-ES_tradnl"/>
        </w:rPr>
        <w:t>Junta de la Cartera</w:t>
      </w:r>
      <w:r w:rsidRPr="00910E94">
        <w:rPr>
          <w:rFonts w:ascii="Times New Roman" w:hAnsi="Times New Roman"/>
          <w:sz w:val="24"/>
          <w:lang w:val="es-ES_tradnl"/>
        </w:rPr>
        <w:t xml:space="preserve"> de AIMS, caso por caso, a fin de determinar si se aplicarán límites de tolerancia y su nivel, de forma que la inexistencia de límites de tolerancia significa en realidad que no se prevé </w:t>
      </w:r>
      <w:r w:rsidRPr="00910E94">
        <w:rPr>
          <w:rFonts w:ascii="Times New Roman" w:hAnsi="Times New Roman"/>
          <w:sz w:val="24"/>
          <w:lang w:val="es-ES_tradnl"/>
        </w:rPr>
        <w:lastRenderedPageBreak/>
        <w:t xml:space="preserve">flexibilidad en el proyecto, por lo que todas las amenazas deberán ser comunicadas </w:t>
      </w:r>
      <w:r w:rsidRPr="00910E94">
        <w:rPr>
          <w:rFonts w:ascii="Times New Roman" w:hAnsi="Times New Roman"/>
          <w:color w:val="000000"/>
          <w:sz w:val="24"/>
          <w:lang w:val="es-ES_tradnl"/>
        </w:rPr>
        <w:t>como excepciones</w:t>
      </w:r>
      <w:r w:rsidR="00344EE2">
        <w:rPr>
          <w:rFonts w:ascii="Times New Roman" w:hAnsi="Times New Roman"/>
          <w:color w:val="000000"/>
          <w:sz w:val="24"/>
          <w:lang w:val="es-ES_tradnl"/>
        </w:rPr>
        <w:t xml:space="preserve">.  </w:t>
      </w:r>
      <w:r w:rsidRPr="00910E94">
        <w:rPr>
          <w:rFonts w:ascii="Times New Roman" w:hAnsi="Times New Roman"/>
          <w:color w:val="000000"/>
          <w:sz w:val="24"/>
          <w:lang w:val="es-ES_tradnl"/>
        </w:rPr>
        <w:t>No es oportuno ni viable establecer un nivel fijo de tolerancias para todos los proyectos, con independencia de su tamaño, complejidad, riesgos, etc</w:t>
      </w:r>
      <w:r w:rsidR="00344EE2">
        <w:rPr>
          <w:rFonts w:ascii="Times New Roman" w:hAnsi="Times New Roman"/>
          <w:color w:val="000000"/>
          <w:sz w:val="24"/>
          <w:lang w:val="es-ES_tradnl"/>
        </w:rPr>
        <w:t xml:space="preserve">.  </w:t>
      </w:r>
      <w:r w:rsidRPr="00910E94">
        <w:rPr>
          <w:rFonts w:ascii="Times New Roman" w:hAnsi="Times New Roman"/>
          <w:sz w:val="24"/>
          <w:lang w:val="es-ES_tradnl"/>
        </w:rPr>
        <w:t>Si en un documento de iniciación del proyecto no se prevé ninguna tolerancia, ello significa de forma incuestionable que no se ha aprobado tolerancia alguna para el proyecto y que se espera que sea ejecutado ateniéndose al ámbito, plazo, costos, calidad, etc., que se definen en el documento de iniciación del proyecto aprobado</w:t>
      </w:r>
      <w:r w:rsidR="00344EE2">
        <w:rPr>
          <w:rFonts w:ascii="Times New Roman" w:hAnsi="Times New Roman"/>
          <w:sz w:val="24"/>
          <w:lang w:val="es-ES_tradnl"/>
        </w:rPr>
        <w:t xml:space="preserve">.  </w:t>
      </w:r>
      <w:r w:rsidRPr="00910E94">
        <w:rPr>
          <w:rFonts w:ascii="Times New Roman" w:hAnsi="Times New Roman"/>
          <w:sz w:val="24"/>
          <w:lang w:val="es-ES_tradnl"/>
        </w:rPr>
        <w:t xml:space="preserve">Por otra parte, en todos los proyectos iniciados desde que se puso en marcha la nueva estructura de gobernanza a comienzos </w:t>
      </w:r>
      <w:r w:rsidR="00CC3D7A" w:rsidRPr="00910E94">
        <w:rPr>
          <w:rFonts w:ascii="Times New Roman" w:hAnsi="Times New Roman"/>
          <w:sz w:val="24"/>
          <w:lang w:val="es-ES_tradnl"/>
        </w:rPr>
        <w:t>de 20</w:t>
      </w:r>
      <w:r w:rsidRPr="00910E94">
        <w:rPr>
          <w:rFonts w:ascii="Times New Roman" w:hAnsi="Times New Roman"/>
          <w:sz w:val="24"/>
          <w:lang w:val="es-ES_tradnl"/>
        </w:rPr>
        <w:t xml:space="preserve">14 se han establecido tolerancias aprobadas por la </w:t>
      </w:r>
      <w:r w:rsidR="007B0295">
        <w:rPr>
          <w:rFonts w:ascii="Times New Roman" w:hAnsi="Times New Roman"/>
          <w:sz w:val="24"/>
          <w:lang w:val="es-ES_tradnl"/>
        </w:rPr>
        <w:t>Junta de la Cartera</w:t>
      </w:r>
      <w:r w:rsidRPr="00910E94">
        <w:rPr>
          <w:rFonts w:ascii="Times New Roman" w:hAnsi="Times New Roman"/>
          <w:sz w:val="24"/>
          <w:lang w:val="es-ES_tradnl"/>
        </w:rPr>
        <w:t xml:space="preserve"> de AIMS</w:t>
      </w:r>
      <w:r w:rsidR="00344EE2">
        <w:rPr>
          <w:rFonts w:ascii="Times New Roman" w:hAnsi="Times New Roman"/>
          <w:sz w:val="24"/>
          <w:lang w:val="es-ES_tradnl"/>
        </w:rPr>
        <w:t xml:space="preserve">.  </w:t>
      </w:r>
    </w:p>
    <w:p w:rsidR="00E24DBD"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En nuestra opinión, en el supuesto de que la OMPI tenga previsto adoptar un nivel de tolerancia cero para un proyecto, el documento de iniciación del proyecto deberá hacerlo constar de forma inequívoca, con el fin de evitar cualquier ambigüedad a este respecto</w:t>
      </w:r>
      <w:r w:rsidR="00344EE2">
        <w:rPr>
          <w:rFonts w:ascii="Times New Roman" w:hAnsi="Times New Roman"/>
          <w:sz w:val="24"/>
          <w:lang w:val="es-ES_tradnl"/>
        </w:rPr>
        <w:t xml:space="preserve">.  </w:t>
      </w:r>
    </w:p>
    <w:p w:rsidR="002E55C1" w:rsidRPr="00910E94" w:rsidRDefault="002E55C1" w:rsidP="00101066">
      <w:pPr>
        <w:keepNext/>
        <w:spacing w:before="120" w:line="360" w:lineRule="auto"/>
        <w:jc w:val="both"/>
        <w:rPr>
          <w:rFonts w:ascii="Times New Roman" w:hAnsi="Times New Roman"/>
          <w:b/>
          <w:sz w:val="24"/>
          <w:szCs w:val="24"/>
          <w:lang w:val="es-ES_tradnl"/>
        </w:rPr>
      </w:pPr>
      <w:r w:rsidRPr="00910E94">
        <w:rPr>
          <w:rFonts w:ascii="Times New Roman" w:hAnsi="Times New Roman"/>
          <w:b/>
          <w:sz w:val="24"/>
          <w:lang w:val="es-ES_tradnl"/>
        </w:rPr>
        <w:t>Recomendación 11</w:t>
      </w:r>
    </w:p>
    <w:p w:rsidR="002E55C1" w:rsidRPr="00910E94" w:rsidRDefault="002E55C1" w:rsidP="002E55C1">
      <w:pPr>
        <w:pStyle w:val="ListParagraph"/>
        <w:spacing w:before="120" w:line="360" w:lineRule="auto"/>
        <w:ind w:left="0"/>
        <w:contextualSpacing w:val="0"/>
        <w:jc w:val="both"/>
        <w:rPr>
          <w:rFonts w:ascii="Times New Roman" w:eastAsia="Calibri" w:hAnsi="Times New Roman"/>
          <w:b/>
          <w:color w:val="000000"/>
          <w:sz w:val="24"/>
          <w:szCs w:val="24"/>
          <w:lang w:val="es-ES_tradnl"/>
        </w:rPr>
      </w:pPr>
      <w:r w:rsidRPr="00910E94">
        <w:rPr>
          <w:rFonts w:ascii="Times New Roman" w:hAnsi="Times New Roman"/>
          <w:b/>
          <w:color w:val="000000"/>
          <w:sz w:val="24"/>
          <w:lang w:val="es-ES_tradnl"/>
        </w:rPr>
        <w:t>Conviene que, de cara al futuro, la OMPI estudie definir los límites de tolerancia correspondientes a los proyectos y los diversos planes por etapas</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aceptó la recomendación y agregó que se harán constar todas las tolerancias en los futuros documentos de iniciación de proyectos de PRI.</w:t>
      </w:r>
    </w:p>
    <w:p w:rsidR="002E55C1" w:rsidRPr="00910E94" w:rsidRDefault="002E55C1" w:rsidP="00B94BDB">
      <w:pPr>
        <w:pStyle w:val="Heading1"/>
        <w:spacing w:before="120" w:line="360" w:lineRule="auto"/>
        <w:contextualSpacing/>
        <w:rPr>
          <w:rFonts w:ascii="Times New Roman" w:hAnsi="Times New Roman"/>
          <w:b/>
          <w:color w:val="002060"/>
          <w:sz w:val="24"/>
          <w:szCs w:val="24"/>
          <w:lang w:val="es-ES_tradnl"/>
        </w:rPr>
      </w:pPr>
      <w:r w:rsidRPr="00910E94">
        <w:rPr>
          <w:rFonts w:ascii="Times New Roman" w:hAnsi="Times New Roman"/>
          <w:b/>
          <w:color w:val="002060"/>
          <w:sz w:val="24"/>
          <w:lang w:val="es-ES_tradnl"/>
        </w:rPr>
        <w:t>Análisis de sensibilidad de los problemas que afectan a la ejecución del proyecto</w:t>
      </w:r>
    </w:p>
    <w:p w:rsidR="00B94BDB" w:rsidRPr="00910E94" w:rsidRDefault="002E55C1" w:rsidP="0010106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Para el seguimiento continuo de la evolución del proyecto, la Oficina de Gestión de Proyectos celebra reuniones semanales con el equipo del proyecto de que se trate</w:t>
      </w:r>
      <w:r w:rsidR="00344EE2">
        <w:rPr>
          <w:rFonts w:ascii="Times New Roman" w:hAnsi="Times New Roman"/>
          <w:sz w:val="24"/>
          <w:lang w:val="es-ES_tradnl"/>
        </w:rPr>
        <w:t xml:space="preserve">.  </w:t>
      </w:r>
      <w:r w:rsidRPr="00910E94">
        <w:rPr>
          <w:rFonts w:ascii="Times New Roman" w:hAnsi="Times New Roman"/>
          <w:sz w:val="24"/>
          <w:lang w:val="es-ES_tradnl"/>
        </w:rPr>
        <w:t>El acta de la reunión se plasma en el informe semanal sobre la marcha del proyecto y se incluye en la Wiki</w:t>
      </w:r>
      <w:r w:rsidR="00344EE2">
        <w:rPr>
          <w:rFonts w:ascii="Times New Roman" w:hAnsi="Times New Roman"/>
          <w:sz w:val="24"/>
          <w:lang w:val="es-ES_tradnl"/>
        </w:rPr>
        <w:t xml:space="preserve">.  </w:t>
      </w:r>
      <w:r w:rsidRPr="00910E94">
        <w:rPr>
          <w:rFonts w:ascii="Times New Roman" w:hAnsi="Times New Roman"/>
          <w:sz w:val="24"/>
          <w:lang w:val="es-ES_tradnl"/>
        </w:rPr>
        <w:t>Tiene cinco apartados, a saber actividades finalizadas - período anterior, actividades - no ajustadas al plan, actividades planeadas/período en curso-siguiente, problemas, cuestiones o inquietudes, y medidas de la Administración requeridas.</w:t>
      </w:r>
    </w:p>
    <w:p w:rsidR="002E55C1" w:rsidRPr="00910E94" w:rsidRDefault="002E55C1" w:rsidP="00E24DBD">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Hemos verificado el informe semanal sobre la marcha del proyecto de PRI de recursos humanos - fase I y hemos detectado que varios problemas estuvieron pendientes </w:t>
      </w:r>
      <w:r w:rsidR="007B0295">
        <w:rPr>
          <w:rFonts w:ascii="Times New Roman" w:hAnsi="Times New Roman"/>
          <w:sz w:val="24"/>
          <w:lang w:val="es-ES_tradnl"/>
        </w:rPr>
        <w:t xml:space="preserve">de solución </w:t>
      </w:r>
      <w:r w:rsidRPr="00910E94">
        <w:rPr>
          <w:rFonts w:ascii="Times New Roman" w:hAnsi="Times New Roman"/>
          <w:sz w:val="24"/>
          <w:lang w:val="es-ES_tradnl"/>
        </w:rPr>
        <w:t>durante un período de hasta 83 semanas</w:t>
      </w:r>
      <w:r w:rsidR="00344EE2">
        <w:rPr>
          <w:rFonts w:ascii="Times New Roman" w:hAnsi="Times New Roman"/>
          <w:sz w:val="24"/>
          <w:lang w:val="es-ES_tradnl"/>
        </w:rPr>
        <w:t xml:space="preserve">.  </w:t>
      </w:r>
      <w:r w:rsidRPr="00910E94">
        <w:rPr>
          <w:rFonts w:ascii="Times New Roman" w:hAnsi="Times New Roman"/>
          <w:sz w:val="24"/>
          <w:lang w:val="es-ES_tradnl"/>
        </w:rPr>
        <w:t>Asimismo, se apreció que la Oficina de gestión del proyecto y los equipos del proyecto no estaban efectuando ningún análisis de sensibilidad de los problemas a fin de comprender su importancia en la gestión del proyecto en su conjunto y establecer la prioridad de su subsanación cuando se han suscitado varios problemas.</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lastRenderedPageBreak/>
        <w:t>La OMPI aseguró que estudiará la utilización de una calificación de sensibilidad para cada problema, con miras a facilitar el establecimiento de prioridades y la aplicación de un procedimiento jerárquico para resolverlos.</w:t>
      </w:r>
    </w:p>
    <w:p w:rsidR="002E55C1" w:rsidRPr="00910E94" w:rsidRDefault="00E648F9" w:rsidP="00101066">
      <w:pPr>
        <w:keepNext/>
        <w:spacing w:before="120" w:line="360" w:lineRule="auto"/>
        <w:jc w:val="both"/>
        <w:rPr>
          <w:rFonts w:ascii="Times New Roman" w:hAnsi="Times New Roman"/>
          <w:b/>
          <w:sz w:val="24"/>
          <w:szCs w:val="24"/>
          <w:lang w:val="es-ES_tradnl"/>
        </w:rPr>
      </w:pPr>
      <w:r w:rsidRPr="00910E94">
        <w:rPr>
          <w:rFonts w:ascii="Times New Roman" w:hAnsi="Times New Roman"/>
          <w:b/>
          <w:sz w:val="24"/>
          <w:lang w:val="es-ES_tradnl"/>
        </w:rPr>
        <w:t>Recomendación 12</w:t>
      </w:r>
    </w:p>
    <w:p w:rsidR="002E55C1" w:rsidRPr="00910E94" w:rsidRDefault="002E55C1" w:rsidP="002E55C1">
      <w:pPr>
        <w:spacing w:before="120" w:line="360" w:lineRule="auto"/>
        <w:jc w:val="both"/>
        <w:rPr>
          <w:rFonts w:ascii="Times New Roman" w:hAnsi="Times New Roman"/>
          <w:b/>
          <w:sz w:val="24"/>
          <w:szCs w:val="24"/>
          <w:lang w:val="es-ES_tradnl"/>
        </w:rPr>
      </w:pPr>
      <w:r w:rsidRPr="00910E94">
        <w:rPr>
          <w:rFonts w:ascii="Times New Roman" w:hAnsi="Times New Roman"/>
          <w:b/>
          <w:sz w:val="24"/>
          <w:lang w:val="es-ES_tradnl"/>
        </w:rPr>
        <w:t>Conviene que la OMPI estudie realizar un análisis de sensibilidad de los problemas planteados durante la reunión de la Oficina de gestión del proyecto y la junta del proyecto en función de su gravedad.</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aceptó la recomendación</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En el futuro, en el informe mensual sobre la marcha de la </w:t>
      </w:r>
      <w:r w:rsidR="007B0295">
        <w:rPr>
          <w:rFonts w:ascii="Times New Roman" w:hAnsi="Times New Roman"/>
          <w:sz w:val="24"/>
          <w:lang w:val="es-ES_tradnl"/>
        </w:rPr>
        <w:t>cartera, se asignarán códigos de</w:t>
      </w:r>
      <w:r w:rsidRPr="00910E94">
        <w:rPr>
          <w:rFonts w:ascii="Times New Roman" w:hAnsi="Times New Roman"/>
          <w:sz w:val="24"/>
          <w:lang w:val="es-ES_tradnl"/>
        </w:rPr>
        <w:t xml:space="preserve"> colores a los problemas basándose en el análisis de sensibilidad, con objeto de facilitar a la </w:t>
      </w:r>
      <w:r w:rsidR="007B0295">
        <w:rPr>
          <w:rFonts w:ascii="Times New Roman" w:hAnsi="Times New Roman"/>
          <w:sz w:val="24"/>
          <w:lang w:val="es-ES_tradnl"/>
        </w:rPr>
        <w:t>Junta de la Cartera</w:t>
      </w:r>
      <w:r w:rsidRPr="00910E94">
        <w:rPr>
          <w:rFonts w:ascii="Times New Roman" w:hAnsi="Times New Roman"/>
          <w:sz w:val="24"/>
          <w:lang w:val="es-ES_tradnl"/>
        </w:rPr>
        <w:t xml:space="preserve"> y a otras personas la lectura del documento, con miras a establecer prioridades claras entre los problemas que requieren atención</w:t>
      </w:r>
      <w:r w:rsidR="00344EE2">
        <w:rPr>
          <w:rFonts w:ascii="Times New Roman" w:hAnsi="Times New Roman"/>
          <w:sz w:val="24"/>
          <w:lang w:val="es-ES_tradnl"/>
        </w:rPr>
        <w:t xml:space="preserve">.  </w:t>
      </w:r>
      <w:r w:rsidRPr="00910E94">
        <w:rPr>
          <w:rFonts w:ascii="Times New Roman" w:hAnsi="Times New Roman"/>
          <w:sz w:val="24"/>
          <w:lang w:val="es-ES_tradnl"/>
        </w:rPr>
        <w:t>Una vez que esta práctica haya sido establecida con éxito, la OMPI promoverá que, en los proyectos concretos, se lleve a cabo este mismo análisis de sensibilidad y se presente información acerca de los problemas específicos del proyecto.</w:t>
      </w:r>
    </w:p>
    <w:p w:rsidR="002E55C1" w:rsidRPr="00910E94" w:rsidRDefault="002E55C1" w:rsidP="002E55C1">
      <w:pPr>
        <w:pStyle w:val="Heading1"/>
        <w:spacing w:before="120" w:after="120" w:line="360" w:lineRule="auto"/>
        <w:rPr>
          <w:rFonts w:ascii="Times New Roman" w:hAnsi="Times New Roman"/>
          <w:b/>
          <w:color w:val="002060"/>
          <w:sz w:val="24"/>
          <w:szCs w:val="24"/>
          <w:lang w:val="es-ES_tradnl"/>
        </w:rPr>
      </w:pPr>
      <w:r w:rsidRPr="00910E94">
        <w:rPr>
          <w:rFonts w:ascii="Times New Roman" w:hAnsi="Times New Roman"/>
          <w:b/>
          <w:color w:val="002060"/>
          <w:sz w:val="24"/>
          <w:lang w:val="es-ES_tradnl"/>
        </w:rPr>
        <w:t>Sistema de gestión electrónica de documentos</w:t>
      </w:r>
    </w:p>
    <w:p w:rsidR="002E55C1" w:rsidRPr="00910E94" w:rsidRDefault="00CC3D7A"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En 20</w:t>
      </w:r>
      <w:r w:rsidR="002E55C1" w:rsidRPr="00910E94">
        <w:rPr>
          <w:rFonts w:ascii="Times New Roman" w:hAnsi="Times New Roman"/>
          <w:sz w:val="24"/>
          <w:lang w:val="es-ES_tradnl"/>
        </w:rPr>
        <w:t>11, la OMPI propuso instaurar el sistema de gestión electrónica de documentos para</w:t>
      </w:r>
      <w:r w:rsidR="007B0295">
        <w:rPr>
          <w:rFonts w:ascii="Times New Roman" w:hAnsi="Times New Roman"/>
          <w:sz w:val="24"/>
          <w:lang w:val="es-ES_tradnl"/>
        </w:rPr>
        <w:t xml:space="preserve"> la</w:t>
      </w:r>
      <w:r w:rsidR="002E55C1" w:rsidRPr="00910E94">
        <w:rPr>
          <w:rFonts w:ascii="Times New Roman" w:hAnsi="Times New Roman"/>
          <w:sz w:val="24"/>
          <w:lang w:val="es-ES_tradnl"/>
        </w:rPr>
        <w:t xml:space="preserve"> PRI</w:t>
      </w:r>
      <w:r w:rsidR="00344EE2">
        <w:rPr>
          <w:rFonts w:ascii="Times New Roman" w:hAnsi="Times New Roman"/>
          <w:sz w:val="24"/>
          <w:lang w:val="es-ES_tradnl"/>
        </w:rPr>
        <w:t xml:space="preserve">.  </w:t>
      </w:r>
      <w:r w:rsidR="002E55C1" w:rsidRPr="00910E94">
        <w:rPr>
          <w:rFonts w:ascii="Times New Roman" w:hAnsi="Times New Roman"/>
          <w:sz w:val="24"/>
          <w:lang w:val="es-ES_tradnl"/>
        </w:rPr>
        <w:t>La importancia del sistema de gestión electrónica de documentos se hizo constar en las hipótesis en las</w:t>
      </w:r>
      <w:r w:rsidR="003C43E1" w:rsidRPr="00910E94">
        <w:rPr>
          <w:rFonts w:ascii="Times New Roman" w:hAnsi="Times New Roman"/>
          <w:sz w:val="24"/>
          <w:lang w:val="es-ES_tradnl"/>
        </w:rPr>
        <w:t xml:space="preserve"> que se basan las estimaciones </w:t>
      </w:r>
      <w:r w:rsidR="002E55C1" w:rsidRPr="00910E94">
        <w:rPr>
          <w:rFonts w:ascii="Times New Roman" w:hAnsi="Times New Roman"/>
          <w:sz w:val="24"/>
          <w:lang w:val="es-ES_tradnl"/>
        </w:rPr>
        <w:t>sobre costos, del siguiente modo</w:t>
      </w:r>
      <w:r w:rsidR="00EC215B">
        <w:rPr>
          <w:rFonts w:ascii="Times New Roman" w:hAnsi="Times New Roman"/>
          <w:sz w:val="24"/>
          <w:lang w:val="es-ES_tradnl"/>
        </w:rPr>
        <w:t xml:space="preserve">:  </w:t>
      </w:r>
      <w:r w:rsidR="00693071" w:rsidRPr="00910E94">
        <w:rPr>
          <w:rFonts w:ascii="Times New Roman" w:hAnsi="Times New Roman"/>
          <w:sz w:val="24"/>
          <w:lang w:val="es-ES_tradnl"/>
        </w:rPr>
        <w:t>“</w:t>
      </w:r>
      <w:r w:rsidR="002E55C1" w:rsidRPr="00910E94">
        <w:rPr>
          <w:rFonts w:ascii="Times New Roman" w:hAnsi="Times New Roman"/>
          <w:sz w:val="24"/>
          <w:lang w:val="es-ES_tradnl"/>
        </w:rPr>
        <w:t>Se acordará un sistema estratégico de gestión electrónica de los documentos, y las partes de este sistema que presten apoyo a</w:t>
      </w:r>
      <w:r w:rsidR="007B0295">
        <w:rPr>
          <w:rFonts w:ascii="Times New Roman" w:hAnsi="Times New Roman"/>
          <w:sz w:val="24"/>
          <w:lang w:val="es-ES_tradnl"/>
        </w:rPr>
        <w:t xml:space="preserve"> </w:t>
      </w:r>
      <w:r w:rsidR="002E55C1" w:rsidRPr="00910E94">
        <w:rPr>
          <w:rFonts w:ascii="Times New Roman" w:hAnsi="Times New Roman"/>
          <w:sz w:val="24"/>
          <w:lang w:val="es-ES_tradnl"/>
        </w:rPr>
        <w:t>l</w:t>
      </w:r>
      <w:r w:rsidR="007B0295">
        <w:rPr>
          <w:rFonts w:ascii="Times New Roman" w:hAnsi="Times New Roman"/>
          <w:sz w:val="24"/>
          <w:lang w:val="es-ES_tradnl"/>
        </w:rPr>
        <w:t>a</w:t>
      </w:r>
      <w:r w:rsidR="002E55C1" w:rsidRPr="00910E94">
        <w:rPr>
          <w:rFonts w:ascii="Times New Roman" w:hAnsi="Times New Roman"/>
          <w:sz w:val="24"/>
          <w:lang w:val="es-ES_tradnl"/>
        </w:rPr>
        <w:t xml:space="preserve"> PRI se implantarán durante</w:t>
      </w:r>
      <w:r w:rsidR="004A14D2" w:rsidRPr="00910E94">
        <w:rPr>
          <w:rFonts w:ascii="Times New Roman" w:hAnsi="Times New Roman"/>
          <w:sz w:val="24"/>
          <w:lang w:val="es-ES_tradnl"/>
        </w:rPr>
        <w:t> </w:t>
      </w:r>
      <w:r w:rsidR="002E55C1" w:rsidRPr="00910E94">
        <w:rPr>
          <w:rFonts w:ascii="Times New Roman" w:hAnsi="Times New Roman"/>
          <w:sz w:val="24"/>
          <w:lang w:val="es-ES_tradnl"/>
        </w:rPr>
        <w:t>2011 como uno de los proyectos de cartera</w:t>
      </w:r>
      <w:r w:rsidR="00344EE2">
        <w:rPr>
          <w:rFonts w:ascii="Times New Roman" w:hAnsi="Times New Roman"/>
          <w:sz w:val="24"/>
          <w:lang w:val="es-ES_tradnl"/>
        </w:rPr>
        <w:t xml:space="preserve">.  </w:t>
      </w:r>
      <w:r w:rsidR="002E55C1" w:rsidRPr="00910E94">
        <w:rPr>
          <w:rFonts w:ascii="Times New Roman" w:hAnsi="Times New Roman"/>
          <w:sz w:val="24"/>
          <w:lang w:val="es-ES_tradnl"/>
        </w:rPr>
        <w:t>Así se ofrecerá una solución para los documentos en papel relacionados con el sistema de PRI, y abarcará la gestión, el flujo de trabajo y el almacenamiento fuera de</w:t>
      </w:r>
      <w:r w:rsidR="007B0295">
        <w:rPr>
          <w:rFonts w:ascii="Times New Roman" w:hAnsi="Times New Roman"/>
          <w:sz w:val="24"/>
          <w:lang w:val="es-ES_tradnl"/>
        </w:rPr>
        <w:t xml:space="preserve"> </w:t>
      </w:r>
      <w:r w:rsidR="002E55C1" w:rsidRPr="00910E94">
        <w:rPr>
          <w:rFonts w:ascii="Times New Roman" w:hAnsi="Times New Roman"/>
          <w:sz w:val="24"/>
          <w:lang w:val="es-ES_tradnl"/>
        </w:rPr>
        <w:t>l</w:t>
      </w:r>
      <w:r w:rsidR="007B0295">
        <w:rPr>
          <w:rFonts w:ascii="Times New Roman" w:hAnsi="Times New Roman"/>
          <w:sz w:val="24"/>
          <w:lang w:val="es-ES_tradnl"/>
        </w:rPr>
        <w:t>a</w:t>
      </w:r>
      <w:r w:rsidR="002E55C1" w:rsidRPr="00910E94">
        <w:rPr>
          <w:rFonts w:ascii="Times New Roman" w:hAnsi="Times New Roman"/>
          <w:sz w:val="24"/>
          <w:lang w:val="es-ES_tradnl"/>
        </w:rPr>
        <w:t xml:space="preserve"> PRI, mediante la herramienta de gestión de documentos especializada de la Organización</w:t>
      </w:r>
      <w:r w:rsidR="00344EE2">
        <w:rPr>
          <w:rFonts w:ascii="Times New Roman" w:hAnsi="Times New Roman"/>
          <w:sz w:val="24"/>
          <w:lang w:val="es-ES_tradnl"/>
        </w:rPr>
        <w:t xml:space="preserve">.  </w:t>
      </w:r>
      <w:r w:rsidR="002E55C1" w:rsidRPr="00910E94">
        <w:rPr>
          <w:rFonts w:ascii="Times New Roman" w:hAnsi="Times New Roman"/>
          <w:sz w:val="24"/>
          <w:lang w:val="es-ES_tradnl"/>
        </w:rPr>
        <w:t>La demora en la toma de decisiones o en la implantación del sistema de gestión electrónica de documentos</w:t>
      </w:r>
      <w:r w:rsidR="002E55C1" w:rsidRPr="00910E94">
        <w:rPr>
          <w:rFonts w:ascii="Times New Roman" w:hAnsi="Times New Roman"/>
          <w:b/>
          <w:sz w:val="24"/>
          <w:lang w:val="es-ES_tradnl"/>
        </w:rPr>
        <w:t xml:space="preserve"> </w:t>
      </w:r>
      <w:r w:rsidR="002E55C1" w:rsidRPr="00910E94">
        <w:rPr>
          <w:rFonts w:ascii="Times New Roman" w:hAnsi="Times New Roman"/>
          <w:sz w:val="24"/>
          <w:lang w:val="es-ES_tradnl"/>
        </w:rPr>
        <w:t>repercutirá sobre los plazos o costos de otros proyectos.</w:t>
      </w:r>
      <w:r w:rsidR="00693071" w:rsidRPr="00910E94">
        <w:rPr>
          <w:rFonts w:ascii="Times New Roman" w:hAnsi="Times New Roman"/>
          <w:sz w:val="24"/>
          <w:lang w:val="es-ES_tradnl"/>
        </w:rPr>
        <w:t>”</w:t>
      </w:r>
      <w:r w:rsidR="002E55C1" w:rsidRPr="00910E94">
        <w:rPr>
          <w:rFonts w:ascii="Times New Roman" w:hAnsi="Times New Roman"/>
          <w:sz w:val="24"/>
          <w:lang w:val="es-ES_tradnl"/>
        </w:rPr>
        <w:t xml:space="preserve"> El sistema de gestión electrónica de documentos figuraba como un costo en la mejora del sistema AIMS</w:t>
      </w:r>
      <w:r w:rsidR="00344EE2">
        <w:rPr>
          <w:rFonts w:ascii="Times New Roman" w:hAnsi="Times New Roman"/>
          <w:sz w:val="24"/>
          <w:lang w:val="es-ES_tradnl"/>
        </w:rPr>
        <w:t xml:space="preserve">.  </w:t>
      </w:r>
      <w:r w:rsidR="002E55C1" w:rsidRPr="00910E94">
        <w:rPr>
          <w:rFonts w:ascii="Times New Roman" w:hAnsi="Times New Roman"/>
          <w:sz w:val="24"/>
          <w:lang w:val="es-ES_tradnl"/>
        </w:rPr>
        <w:t xml:space="preserve">Posteriormente </w:t>
      </w:r>
      <w:r w:rsidRPr="00910E94">
        <w:rPr>
          <w:rFonts w:ascii="Times New Roman" w:hAnsi="Times New Roman"/>
          <w:sz w:val="24"/>
          <w:lang w:val="es-ES_tradnl"/>
        </w:rPr>
        <w:t>en 20</w:t>
      </w:r>
      <w:r w:rsidR="002E55C1" w:rsidRPr="00910E94">
        <w:rPr>
          <w:rFonts w:ascii="Times New Roman" w:hAnsi="Times New Roman"/>
          <w:sz w:val="24"/>
          <w:lang w:val="es-ES_tradnl"/>
        </w:rPr>
        <w:t xml:space="preserve">14, en el informe sobre la marcha del proyecto (WO/PBC/22/15) se </w:t>
      </w:r>
      <w:r w:rsidR="009D7E04" w:rsidRPr="00910E94">
        <w:rPr>
          <w:rFonts w:ascii="Times New Roman" w:hAnsi="Times New Roman"/>
          <w:sz w:val="24"/>
          <w:lang w:val="es-ES_tradnl"/>
        </w:rPr>
        <w:t>indicó</w:t>
      </w:r>
      <w:r w:rsidR="002E55C1" w:rsidRPr="00910E94">
        <w:rPr>
          <w:rFonts w:ascii="Times New Roman" w:hAnsi="Times New Roman"/>
          <w:sz w:val="24"/>
          <w:lang w:val="es-ES_tradnl"/>
        </w:rPr>
        <w:t xml:space="preserve"> que el sistema de gestión electrónica de documentos se instauraría en el marco de</w:t>
      </w:r>
      <w:r w:rsidR="009D7E04" w:rsidRPr="00910E94">
        <w:rPr>
          <w:rFonts w:ascii="Times New Roman" w:hAnsi="Times New Roman"/>
          <w:sz w:val="24"/>
          <w:lang w:val="es-ES_tradnl"/>
        </w:rPr>
        <w:t>l</w:t>
      </w:r>
      <w:r w:rsidR="002E55C1" w:rsidRPr="00910E94">
        <w:rPr>
          <w:rFonts w:ascii="Times New Roman" w:hAnsi="Times New Roman"/>
          <w:sz w:val="24"/>
          <w:lang w:val="es-ES_tradnl"/>
        </w:rPr>
        <w:t xml:space="preserve"> plan maestro de mejoras de infraestructura del Departamento de Tecnologías de la Información y las Comunicaciones.</w:t>
      </w:r>
    </w:p>
    <w:p w:rsidR="002E55C1" w:rsidRPr="00910E94" w:rsidRDefault="002E55C1" w:rsidP="00B94BDB">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lastRenderedPageBreak/>
        <w:t>En los informes sobre la marcha del proyecto remitidos a las Asambleas de los Estados miembros a través del PBC se mencionan los cambios de los distintos conjuntos de proyectos, si bien las nuevas dimensiones y el impacto de los cambios no se recogieron en el informe consolidado dirigido a las Asambleas de los Estados miembros</w:t>
      </w:r>
      <w:r w:rsidR="00344EE2">
        <w:rPr>
          <w:rFonts w:ascii="Times New Roman" w:hAnsi="Times New Roman"/>
          <w:sz w:val="24"/>
          <w:lang w:val="es-ES_tradnl"/>
        </w:rPr>
        <w:t xml:space="preserve">.  </w:t>
      </w:r>
      <w:r w:rsidRPr="00910E94">
        <w:rPr>
          <w:rFonts w:ascii="Times New Roman" w:hAnsi="Times New Roman"/>
          <w:sz w:val="24"/>
          <w:lang w:val="es-ES_tradnl"/>
        </w:rPr>
        <w:t>Por ejemplo, no se hicieron constar las repercusiones del retraso de la implantación del sistema de gestión electrónica de documentos en la cartera de PRI</w:t>
      </w:r>
      <w:r w:rsidR="00344EE2">
        <w:rPr>
          <w:rFonts w:ascii="Times New Roman" w:hAnsi="Times New Roman"/>
          <w:sz w:val="24"/>
          <w:lang w:val="es-ES_tradnl"/>
        </w:rPr>
        <w:t xml:space="preserve">.  </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aseguró que se considera que la cartera de PRI es uno de los proyectos de la OMPI más transparentes y que ha sido objeto de una información más exhaustiva</w:t>
      </w:r>
      <w:r w:rsidR="00344EE2">
        <w:rPr>
          <w:rFonts w:ascii="Times New Roman" w:hAnsi="Times New Roman"/>
          <w:sz w:val="24"/>
          <w:lang w:val="es-ES_tradnl"/>
        </w:rPr>
        <w:t xml:space="preserve">.  </w:t>
      </w:r>
      <w:r w:rsidRPr="00910E94">
        <w:rPr>
          <w:rFonts w:ascii="Times New Roman" w:hAnsi="Times New Roman"/>
          <w:sz w:val="24"/>
          <w:lang w:val="es-ES_tradnl"/>
        </w:rPr>
        <w:t>Normalmente, los sistemas de gestión electrónica de documentos no es implantan al mismo tiempo que la PRI</w:t>
      </w:r>
      <w:r w:rsidR="00344EE2">
        <w:rPr>
          <w:rFonts w:ascii="Times New Roman" w:hAnsi="Times New Roman"/>
          <w:sz w:val="24"/>
          <w:lang w:val="es-ES_tradnl"/>
        </w:rPr>
        <w:t xml:space="preserve">.  </w:t>
      </w:r>
      <w:r w:rsidRPr="00910E94">
        <w:rPr>
          <w:rFonts w:ascii="Times New Roman" w:hAnsi="Times New Roman"/>
          <w:sz w:val="24"/>
          <w:lang w:val="es-ES_tradnl"/>
        </w:rPr>
        <w:t>La mayoría de las organizaciones implantan uno de ellos y después el otro, para integrarlos posteriormente, en su caso, ya que con frecuencia ambos pueden coexistir sin una integración técnica específica.</w:t>
      </w:r>
    </w:p>
    <w:p w:rsidR="002E55C1" w:rsidRPr="00910E94" w:rsidRDefault="002E55C1" w:rsidP="002E55C1">
      <w:pPr>
        <w:pStyle w:val="Heading1"/>
        <w:spacing w:before="120" w:line="360" w:lineRule="auto"/>
        <w:contextualSpacing/>
        <w:rPr>
          <w:rFonts w:ascii="Times New Roman" w:hAnsi="Times New Roman"/>
          <w:b/>
          <w:color w:val="002060"/>
          <w:sz w:val="24"/>
          <w:szCs w:val="24"/>
          <w:lang w:val="es-ES_tradnl"/>
        </w:rPr>
      </w:pPr>
      <w:r w:rsidRPr="00910E94">
        <w:rPr>
          <w:rFonts w:ascii="Times New Roman" w:hAnsi="Times New Roman"/>
          <w:b/>
          <w:color w:val="002060"/>
          <w:sz w:val="24"/>
          <w:lang w:val="es-ES_tradnl"/>
        </w:rPr>
        <w:t xml:space="preserve">Presentación de información sobre la evaluación de los resultados del </w:t>
      </w:r>
      <w:r w:rsidR="00EF169C">
        <w:rPr>
          <w:rFonts w:ascii="Times New Roman" w:hAnsi="Times New Roman"/>
          <w:b/>
          <w:color w:val="002060"/>
          <w:sz w:val="24"/>
          <w:lang w:val="es-ES_tradnl"/>
        </w:rPr>
        <w:t>asociado externo encargado de</w:t>
      </w:r>
      <w:r w:rsidRPr="00910E94">
        <w:rPr>
          <w:rFonts w:ascii="Times New Roman" w:hAnsi="Times New Roman"/>
          <w:b/>
          <w:color w:val="002060"/>
          <w:sz w:val="24"/>
          <w:lang w:val="es-ES_tradnl"/>
        </w:rPr>
        <w:t xml:space="preserve"> la ejecución </w:t>
      </w:r>
    </w:p>
    <w:p w:rsidR="002E55C1" w:rsidRPr="00910E94" w:rsidRDefault="002E55C1"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El informe sobre la marcha de la instauración del sistema de PRI que se presenta anualmente al PBC contiene los gastos totales correspondientes a los </w:t>
      </w:r>
      <w:r w:rsidR="00EF169C">
        <w:rPr>
          <w:rFonts w:ascii="Times New Roman" w:hAnsi="Times New Roman"/>
          <w:sz w:val="24"/>
          <w:lang w:val="es-ES_tradnl"/>
        </w:rPr>
        <w:t>asociados encargados de</w:t>
      </w:r>
      <w:r w:rsidRPr="00910E94">
        <w:rPr>
          <w:rFonts w:ascii="Times New Roman" w:hAnsi="Times New Roman"/>
          <w:sz w:val="24"/>
          <w:lang w:val="es-ES_tradnl"/>
        </w:rPr>
        <w:t xml:space="preserve"> la ejecución</w:t>
      </w:r>
      <w:r w:rsidR="00344EE2">
        <w:rPr>
          <w:rFonts w:ascii="Times New Roman" w:hAnsi="Times New Roman"/>
          <w:sz w:val="24"/>
          <w:lang w:val="es-ES_tradnl"/>
        </w:rPr>
        <w:t xml:space="preserve">.  </w:t>
      </w:r>
      <w:r w:rsidRPr="00910E94">
        <w:rPr>
          <w:rFonts w:ascii="Times New Roman" w:hAnsi="Times New Roman"/>
          <w:sz w:val="24"/>
          <w:lang w:val="es-ES_tradnl"/>
        </w:rPr>
        <w:t>Hemos advertido que no se ofrecen datos acerca de la evaluación de sus resultados.</w:t>
      </w:r>
    </w:p>
    <w:p w:rsidR="002E55C1" w:rsidRPr="00910E94" w:rsidRDefault="00E648F9" w:rsidP="00101066">
      <w:pPr>
        <w:keepNext/>
        <w:spacing w:before="120" w:line="360" w:lineRule="auto"/>
        <w:jc w:val="both"/>
        <w:rPr>
          <w:rFonts w:ascii="Times New Roman" w:hAnsi="Times New Roman"/>
          <w:b/>
          <w:sz w:val="24"/>
          <w:szCs w:val="24"/>
          <w:lang w:val="es-ES_tradnl"/>
        </w:rPr>
      </w:pPr>
      <w:r w:rsidRPr="00910E94">
        <w:rPr>
          <w:rFonts w:ascii="Times New Roman" w:hAnsi="Times New Roman"/>
          <w:b/>
          <w:sz w:val="24"/>
          <w:lang w:val="es-ES_tradnl"/>
        </w:rPr>
        <w:t>Recomendación 13</w:t>
      </w:r>
    </w:p>
    <w:p w:rsidR="002E55C1" w:rsidRPr="00910E94" w:rsidRDefault="002E55C1" w:rsidP="002E55C1">
      <w:pPr>
        <w:spacing w:before="120" w:line="360" w:lineRule="auto"/>
        <w:jc w:val="both"/>
        <w:rPr>
          <w:rFonts w:ascii="Times New Roman" w:hAnsi="Times New Roman"/>
          <w:b/>
          <w:color w:val="365F91"/>
          <w:spacing w:val="-7"/>
          <w:sz w:val="24"/>
          <w:szCs w:val="24"/>
          <w:lang w:val="es-ES_tradnl"/>
        </w:rPr>
      </w:pPr>
      <w:r w:rsidRPr="00910E94">
        <w:rPr>
          <w:rFonts w:ascii="Times New Roman" w:hAnsi="Times New Roman"/>
          <w:b/>
          <w:sz w:val="24"/>
          <w:lang w:val="es-ES_tradnl"/>
        </w:rPr>
        <w:t xml:space="preserve">Conviene que la OMPI estudie presentar </w:t>
      </w:r>
      <w:r w:rsidR="007B0295" w:rsidRPr="00910E94">
        <w:rPr>
          <w:rFonts w:ascii="Times New Roman" w:hAnsi="Times New Roman"/>
          <w:b/>
          <w:sz w:val="24"/>
          <w:lang w:val="es-ES_tradnl"/>
        </w:rPr>
        <w:t xml:space="preserve">a las Asambleas de los Estados miembros </w:t>
      </w:r>
      <w:r w:rsidR="00575CF9" w:rsidRPr="00910E94">
        <w:rPr>
          <w:rFonts w:ascii="Times New Roman" w:hAnsi="Times New Roman"/>
          <w:b/>
          <w:sz w:val="24"/>
          <w:lang w:val="es-ES_tradnl"/>
        </w:rPr>
        <w:t xml:space="preserve">información </w:t>
      </w:r>
      <w:r w:rsidR="007B0295">
        <w:rPr>
          <w:rFonts w:ascii="Times New Roman" w:hAnsi="Times New Roman"/>
          <w:b/>
          <w:sz w:val="24"/>
          <w:lang w:val="es-ES_tradnl"/>
        </w:rPr>
        <w:t xml:space="preserve">sobre la </w:t>
      </w:r>
      <w:r w:rsidR="00164F98">
        <w:rPr>
          <w:rFonts w:ascii="Times New Roman" w:hAnsi="Times New Roman"/>
          <w:b/>
          <w:sz w:val="24"/>
          <w:lang w:val="es-ES_tradnl"/>
        </w:rPr>
        <w:t>evaluación</w:t>
      </w:r>
      <w:r w:rsidR="00164F98" w:rsidRPr="00910E94">
        <w:rPr>
          <w:rFonts w:ascii="Times New Roman" w:hAnsi="Times New Roman"/>
          <w:b/>
          <w:sz w:val="24"/>
          <w:lang w:val="es-ES_tradnl"/>
        </w:rPr>
        <w:t xml:space="preserve"> de</w:t>
      </w:r>
      <w:r w:rsidRPr="00910E94">
        <w:rPr>
          <w:rFonts w:ascii="Times New Roman" w:hAnsi="Times New Roman"/>
          <w:b/>
          <w:sz w:val="24"/>
          <w:lang w:val="es-ES_tradnl"/>
        </w:rPr>
        <w:t xml:space="preserve"> los resultados de los </w:t>
      </w:r>
      <w:r w:rsidR="00EF169C">
        <w:rPr>
          <w:rFonts w:ascii="Times New Roman" w:hAnsi="Times New Roman"/>
          <w:b/>
          <w:sz w:val="24"/>
          <w:lang w:val="es-ES_tradnl"/>
        </w:rPr>
        <w:t>asociados</w:t>
      </w:r>
      <w:r w:rsidRPr="00910E94">
        <w:rPr>
          <w:rFonts w:ascii="Times New Roman" w:hAnsi="Times New Roman"/>
          <w:b/>
          <w:sz w:val="24"/>
          <w:lang w:val="es-ES_tradnl"/>
        </w:rPr>
        <w:t xml:space="preserve"> externos </w:t>
      </w:r>
      <w:r w:rsidR="00EF169C">
        <w:rPr>
          <w:rFonts w:ascii="Times New Roman" w:hAnsi="Times New Roman"/>
          <w:b/>
          <w:sz w:val="24"/>
          <w:lang w:val="es-ES_tradnl"/>
        </w:rPr>
        <w:t xml:space="preserve">encargados de </w:t>
      </w:r>
      <w:r w:rsidRPr="00910E94">
        <w:rPr>
          <w:rFonts w:ascii="Times New Roman" w:hAnsi="Times New Roman"/>
          <w:b/>
          <w:sz w:val="24"/>
          <w:lang w:val="es-ES_tradnl"/>
        </w:rPr>
        <w:t>la ejecución, en el marco del informe sobre la marcha de la instauración de un sistema global e integrado de planificación de los recursos institucionales. </w:t>
      </w:r>
    </w:p>
    <w:p w:rsidR="00E24DBD" w:rsidRPr="00910E94" w:rsidRDefault="002E55C1" w:rsidP="00E24DBD">
      <w:pPr>
        <w:pStyle w:val="ListParagraph"/>
        <w:numPr>
          <w:ilvl w:val="0"/>
          <w:numId w:val="4"/>
        </w:numPr>
        <w:autoSpaceDE w:val="0"/>
        <w:autoSpaceDN w:val="0"/>
        <w:adjustRightInd w:val="0"/>
        <w:spacing w:before="120" w:after="120" w:line="360" w:lineRule="auto"/>
        <w:ind w:left="0" w:firstLine="0"/>
        <w:contextualSpacing w:val="0"/>
        <w:rPr>
          <w:rFonts w:ascii="Times New Roman" w:hAnsi="Times New Roman"/>
          <w:sz w:val="24"/>
          <w:szCs w:val="24"/>
          <w:lang w:val="es-ES_tradnl"/>
        </w:rPr>
      </w:pPr>
      <w:r w:rsidRPr="00910E94">
        <w:rPr>
          <w:rFonts w:ascii="Times New Roman" w:hAnsi="Times New Roman"/>
          <w:sz w:val="24"/>
          <w:lang w:val="es-ES_tradnl"/>
        </w:rPr>
        <w:t xml:space="preserve">La OMPI aceptó la recomendación y se comprometió a incluir, en el informe sobre la marcha de la instauración del sistema de PRI </w:t>
      </w:r>
      <w:r w:rsidR="00CC3D7A" w:rsidRPr="00910E94">
        <w:rPr>
          <w:rFonts w:ascii="Times New Roman" w:hAnsi="Times New Roman"/>
          <w:sz w:val="24"/>
          <w:lang w:val="es-ES_tradnl"/>
        </w:rPr>
        <w:t>de 20</w:t>
      </w:r>
      <w:r w:rsidRPr="00910E94">
        <w:rPr>
          <w:rFonts w:ascii="Times New Roman" w:hAnsi="Times New Roman"/>
          <w:sz w:val="24"/>
          <w:lang w:val="es-ES_tradnl"/>
        </w:rPr>
        <w:t xml:space="preserve">15, los resultados de los principales </w:t>
      </w:r>
      <w:r w:rsidR="00AF52D3">
        <w:rPr>
          <w:rFonts w:ascii="Times New Roman" w:hAnsi="Times New Roman"/>
          <w:sz w:val="24"/>
          <w:lang w:val="es-ES_tradnl"/>
        </w:rPr>
        <w:t>asociad</w:t>
      </w:r>
      <w:r w:rsidR="00EF169C">
        <w:rPr>
          <w:rFonts w:ascii="Times New Roman" w:hAnsi="Times New Roman"/>
          <w:sz w:val="24"/>
          <w:lang w:val="es-ES_tradnl"/>
        </w:rPr>
        <w:t>os</w:t>
      </w:r>
      <w:r w:rsidRPr="00910E94">
        <w:rPr>
          <w:rFonts w:ascii="Times New Roman" w:hAnsi="Times New Roman"/>
          <w:sz w:val="24"/>
          <w:lang w:val="es-ES_tradnl"/>
        </w:rPr>
        <w:t xml:space="preserve"> externos </w:t>
      </w:r>
      <w:r w:rsidR="00EF169C">
        <w:rPr>
          <w:rFonts w:ascii="Times New Roman" w:hAnsi="Times New Roman"/>
          <w:sz w:val="24"/>
          <w:lang w:val="es-ES_tradnl"/>
        </w:rPr>
        <w:t xml:space="preserve">encargados de </w:t>
      </w:r>
      <w:r w:rsidRPr="00910E94">
        <w:rPr>
          <w:rFonts w:ascii="Times New Roman" w:hAnsi="Times New Roman"/>
          <w:sz w:val="24"/>
          <w:lang w:val="es-ES_tradnl"/>
        </w:rPr>
        <w:t>la ejecución.</w:t>
      </w:r>
    </w:p>
    <w:p w:rsidR="00E56225" w:rsidRPr="00910E94" w:rsidRDefault="00E56225" w:rsidP="00101066">
      <w:pPr>
        <w:keepNext/>
        <w:spacing w:after="0" w:line="360" w:lineRule="auto"/>
        <w:rPr>
          <w:rFonts w:ascii="Times New Roman" w:hAnsi="Times New Roman"/>
          <w:b/>
          <w:color w:val="002060"/>
          <w:sz w:val="28"/>
          <w:szCs w:val="28"/>
          <w:lang w:val="es-ES_tradnl"/>
        </w:rPr>
      </w:pPr>
      <w:r w:rsidRPr="00910E94">
        <w:rPr>
          <w:rFonts w:ascii="Times New Roman" w:hAnsi="Times New Roman"/>
          <w:b/>
          <w:color w:val="002060"/>
          <w:sz w:val="28"/>
          <w:lang w:val="es-ES_tradnl"/>
        </w:rPr>
        <w:t>Departamento de gestión de recursos humanos</w:t>
      </w:r>
    </w:p>
    <w:p w:rsidR="00DD15B9" w:rsidRPr="00910E94" w:rsidRDefault="00DD15B9" w:rsidP="00101066">
      <w:pPr>
        <w:keepNext/>
        <w:spacing w:after="0"/>
        <w:rPr>
          <w:rFonts w:ascii="Times New Roman" w:hAnsi="Times New Roman"/>
          <w:b/>
          <w:color w:val="17365D"/>
          <w:sz w:val="24"/>
          <w:szCs w:val="24"/>
          <w:lang w:val="es-ES_tradnl"/>
        </w:rPr>
      </w:pPr>
      <w:r w:rsidRPr="00910E94">
        <w:rPr>
          <w:rFonts w:ascii="Times New Roman" w:hAnsi="Times New Roman"/>
          <w:b/>
          <w:color w:val="17365D"/>
          <w:sz w:val="24"/>
          <w:lang w:val="es-ES_tradnl"/>
        </w:rPr>
        <w:t>Antecedentes</w:t>
      </w:r>
    </w:p>
    <w:p w:rsidR="004C6755" w:rsidRPr="00910E94" w:rsidRDefault="004C6755"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El Departamento de Gestión de Recursos Humanos de la OMPI se encarga de garantizar que esta Organización cuente con los recursos humanos suficientes para cumplir su mandato, a través de la contratación de profesionales de todo el mundo, prestando unos </w:t>
      </w:r>
      <w:r w:rsidRPr="00910E94">
        <w:rPr>
          <w:rFonts w:ascii="Times New Roman" w:hAnsi="Times New Roman"/>
          <w:sz w:val="24"/>
          <w:lang w:val="es-ES_tradnl"/>
        </w:rPr>
        <w:lastRenderedPageBreak/>
        <w:t>servicios de recursos humanos orientados al cliente y eficientes, y creando un entorno de trabajo propicio con las mejores prácticas en materia laboral</w:t>
      </w:r>
      <w:r w:rsidR="00344EE2">
        <w:rPr>
          <w:rFonts w:ascii="Times New Roman" w:hAnsi="Times New Roman"/>
          <w:sz w:val="24"/>
          <w:lang w:val="es-ES_tradnl"/>
        </w:rPr>
        <w:t xml:space="preserve">.  </w:t>
      </w:r>
      <w:r w:rsidRPr="00910E94">
        <w:rPr>
          <w:rFonts w:ascii="Times New Roman" w:hAnsi="Times New Roman"/>
          <w:sz w:val="24"/>
          <w:lang w:val="es-ES_tradnl"/>
        </w:rPr>
        <w:t>La OMPI es una Organización basada en el conocimiento y, por tanto, los recursos humanos desempeñan un papel crucial</w:t>
      </w:r>
      <w:r w:rsidR="00344EE2">
        <w:rPr>
          <w:rFonts w:ascii="Times New Roman" w:hAnsi="Times New Roman"/>
          <w:sz w:val="24"/>
          <w:lang w:val="es-ES_tradnl"/>
        </w:rPr>
        <w:t xml:space="preserve">.  </w:t>
      </w:r>
      <w:r w:rsidRPr="00910E94">
        <w:rPr>
          <w:rFonts w:ascii="Times New Roman" w:hAnsi="Times New Roman"/>
          <w:sz w:val="24"/>
          <w:lang w:val="es-ES_tradnl"/>
        </w:rPr>
        <w:t>En el presupuesto por programas correspondiente al bienio</w:t>
      </w:r>
      <w:r w:rsidR="004A14D2" w:rsidRPr="00910E94">
        <w:rPr>
          <w:rFonts w:ascii="Times New Roman" w:hAnsi="Times New Roman"/>
          <w:sz w:val="24"/>
          <w:lang w:val="es-ES_tradnl"/>
        </w:rPr>
        <w:t> </w:t>
      </w:r>
      <w:r w:rsidRPr="00910E94">
        <w:rPr>
          <w:rFonts w:ascii="Times New Roman" w:hAnsi="Times New Roman"/>
          <w:sz w:val="24"/>
          <w:lang w:val="es-ES_tradnl"/>
        </w:rPr>
        <w:t>2014-15, el Departamento de Gestión de Recursos Humanos está comprendido en el prog</w:t>
      </w:r>
      <w:r w:rsidR="004A14D2" w:rsidRPr="00910E94">
        <w:rPr>
          <w:rFonts w:ascii="Times New Roman" w:hAnsi="Times New Roman"/>
          <w:sz w:val="24"/>
          <w:lang w:val="es-ES_tradnl"/>
        </w:rPr>
        <w:t>rama número </w:t>
      </w:r>
      <w:r w:rsidRPr="00910E94">
        <w:rPr>
          <w:rFonts w:ascii="Times New Roman" w:hAnsi="Times New Roman"/>
          <w:sz w:val="24"/>
          <w:lang w:val="es-ES_tradnl"/>
        </w:rPr>
        <w:t>23 y contribuye a la meta estratégica</w:t>
      </w:r>
      <w:r w:rsidR="004A14D2" w:rsidRPr="00910E94">
        <w:rPr>
          <w:rFonts w:ascii="Times New Roman" w:hAnsi="Times New Roman"/>
          <w:sz w:val="24"/>
          <w:lang w:val="es-ES_tradnl"/>
        </w:rPr>
        <w:t> </w:t>
      </w:r>
      <w:r w:rsidRPr="00910E94">
        <w:rPr>
          <w:rFonts w:ascii="Times New Roman" w:hAnsi="Times New Roman"/>
          <w:sz w:val="24"/>
          <w:lang w:val="es-ES_tradnl"/>
        </w:rPr>
        <w:t>IX de la OMPI</w:t>
      </w:r>
      <w:r w:rsidR="00EC215B">
        <w:rPr>
          <w:rFonts w:ascii="Times New Roman" w:hAnsi="Times New Roman"/>
          <w:sz w:val="24"/>
          <w:lang w:val="es-ES_tradnl"/>
        </w:rPr>
        <w:t xml:space="preserve">:  </w:t>
      </w:r>
      <w:r w:rsidRPr="00910E94">
        <w:rPr>
          <w:rFonts w:ascii="Times New Roman" w:hAnsi="Times New Roman"/>
          <w:sz w:val="24"/>
          <w:lang w:val="es-ES_tradnl"/>
        </w:rPr>
        <w:t>estructura</w:t>
      </w:r>
      <w:r w:rsidR="003C43E1" w:rsidRPr="00910E94">
        <w:rPr>
          <w:rFonts w:ascii="Times New Roman" w:hAnsi="Times New Roman"/>
          <w:sz w:val="24"/>
          <w:lang w:val="es-ES_tradnl"/>
        </w:rPr>
        <w:t xml:space="preserve"> </w:t>
      </w:r>
      <w:r w:rsidRPr="00910E94">
        <w:rPr>
          <w:rFonts w:ascii="Times New Roman" w:hAnsi="Times New Roman"/>
          <w:sz w:val="24"/>
          <w:lang w:val="es-ES_tradnl"/>
        </w:rPr>
        <w:t>eficiente de apoyo administrativo y financiero que facilite la ejecución de los programas de la OMPI.</w:t>
      </w:r>
    </w:p>
    <w:p w:rsidR="004C6755" w:rsidRPr="00910E94" w:rsidRDefault="004C6755" w:rsidP="00D344B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sección de planificación de recursos humanos se encarga de la contratación de personal, la clasificación de puestos y la descripción de los puestos</w:t>
      </w:r>
      <w:r w:rsidR="00344EE2">
        <w:rPr>
          <w:rFonts w:ascii="Times New Roman" w:hAnsi="Times New Roman"/>
          <w:sz w:val="24"/>
          <w:lang w:val="es-ES_tradnl"/>
        </w:rPr>
        <w:t xml:space="preserve">.  </w:t>
      </w:r>
      <w:r w:rsidRPr="00910E94">
        <w:rPr>
          <w:rFonts w:ascii="Times New Roman" w:hAnsi="Times New Roman"/>
          <w:sz w:val="24"/>
          <w:lang w:val="es-ES_tradnl"/>
        </w:rPr>
        <w:t>Las actividades de la sección de servicios de operaciones de recursos humanos comprenden beneficios y prestaciones, pensiones, seguros, asistencia médica y protección social</w:t>
      </w:r>
      <w:r w:rsidR="00344EE2">
        <w:rPr>
          <w:rFonts w:ascii="Times New Roman" w:hAnsi="Times New Roman"/>
          <w:sz w:val="24"/>
          <w:lang w:val="es-ES_tradnl"/>
        </w:rPr>
        <w:t xml:space="preserve">.  </w:t>
      </w:r>
      <w:r w:rsidRPr="00910E94">
        <w:rPr>
          <w:rFonts w:ascii="Times New Roman" w:hAnsi="Times New Roman"/>
          <w:sz w:val="24"/>
          <w:lang w:val="es-ES_tradnl"/>
        </w:rPr>
        <w:t>La sección de perfeccionamiento y desempeño se ocupa de la gestión del desempeño y la formación</w:t>
      </w:r>
      <w:r w:rsidR="00344EE2">
        <w:rPr>
          <w:rFonts w:ascii="Times New Roman" w:hAnsi="Times New Roman"/>
          <w:sz w:val="24"/>
          <w:lang w:val="es-ES_tradnl"/>
        </w:rPr>
        <w:t xml:space="preserve">.  </w:t>
      </w:r>
      <w:r w:rsidRPr="00910E94">
        <w:rPr>
          <w:rFonts w:ascii="Times New Roman" w:hAnsi="Times New Roman"/>
          <w:sz w:val="24"/>
          <w:lang w:val="es-ES_tradnl"/>
        </w:rPr>
        <w:t>Las actividades de la sección jurídica y de política comprenden la administración de justicia interna y la formulación de políticas de recursos humanos</w:t>
      </w:r>
      <w:r w:rsidR="00344EE2">
        <w:rPr>
          <w:rFonts w:ascii="Times New Roman" w:hAnsi="Times New Roman"/>
          <w:sz w:val="24"/>
          <w:lang w:val="es-ES_tradnl"/>
        </w:rPr>
        <w:t xml:space="preserve">.  </w:t>
      </w:r>
      <w:r w:rsidRPr="00910E94">
        <w:rPr>
          <w:rFonts w:ascii="Times New Roman" w:hAnsi="Times New Roman"/>
          <w:sz w:val="24"/>
          <w:lang w:val="es-ES_tradnl"/>
        </w:rPr>
        <w:t>La OMPI ha adoptado el régimen común de sueldos, prestaciones y otras condiciones de servicio de las Naciones Unidas, distribuido por la Comisión de Administración Pública Internacional.</w:t>
      </w:r>
    </w:p>
    <w:p w:rsidR="004C6755" w:rsidRPr="00910E94" w:rsidRDefault="004C6755" w:rsidP="00D344B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A continuación se desglosan los datos del </w:t>
      </w:r>
      <w:r w:rsidR="008C0D54">
        <w:rPr>
          <w:rFonts w:ascii="Times New Roman" w:hAnsi="Times New Roman"/>
          <w:sz w:val="24"/>
          <w:lang w:val="es-ES_tradnl"/>
        </w:rPr>
        <w:t>personal</w:t>
      </w:r>
      <w:r w:rsidRPr="00910E94">
        <w:rPr>
          <w:rFonts w:ascii="Times New Roman" w:hAnsi="Times New Roman"/>
          <w:sz w:val="24"/>
          <w:lang w:val="es-ES_tradnl"/>
        </w:rPr>
        <w:t xml:space="preserve"> de la OMPI por categorías y años: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992"/>
        <w:gridCol w:w="851"/>
        <w:gridCol w:w="850"/>
      </w:tblGrid>
      <w:tr w:rsidR="004C6755" w:rsidRPr="00910E94" w:rsidTr="004A14D2">
        <w:tc>
          <w:tcPr>
            <w:tcW w:w="6379" w:type="dxa"/>
          </w:tcPr>
          <w:p w:rsidR="004C6755" w:rsidRPr="00910E94" w:rsidRDefault="00144B29" w:rsidP="009811E5">
            <w:pPr>
              <w:spacing w:after="0" w:line="240" w:lineRule="auto"/>
              <w:rPr>
                <w:rFonts w:ascii="Times New Roman" w:hAnsi="Times New Roman"/>
                <w:b/>
                <w:sz w:val="24"/>
                <w:szCs w:val="24"/>
                <w:lang w:val="es-ES_tradnl"/>
              </w:rPr>
            </w:pPr>
            <w:r>
              <w:rPr>
                <w:rFonts w:ascii="Times New Roman" w:hAnsi="Times New Roman"/>
                <w:b/>
                <w:sz w:val="24"/>
                <w:lang w:val="es-ES_tradnl"/>
              </w:rPr>
              <w:t xml:space="preserve">Funcionarios </w:t>
            </w:r>
            <w:r w:rsidR="009811E5">
              <w:rPr>
                <w:rFonts w:ascii="Times New Roman" w:hAnsi="Times New Roman"/>
                <w:b/>
                <w:sz w:val="24"/>
                <w:lang w:val="es-ES_tradnl"/>
              </w:rPr>
              <w:t>en puestos</w:t>
            </w:r>
          </w:p>
        </w:tc>
        <w:tc>
          <w:tcPr>
            <w:tcW w:w="992"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2012</w:t>
            </w:r>
          </w:p>
        </w:tc>
        <w:tc>
          <w:tcPr>
            <w:tcW w:w="851"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2013</w:t>
            </w:r>
          </w:p>
        </w:tc>
        <w:tc>
          <w:tcPr>
            <w:tcW w:w="850"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2014</w:t>
            </w:r>
          </w:p>
        </w:tc>
      </w:tr>
      <w:tr w:rsidR="004C6755" w:rsidRPr="00910E94" w:rsidTr="004A14D2">
        <w:tc>
          <w:tcPr>
            <w:tcW w:w="6379" w:type="dxa"/>
          </w:tcPr>
          <w:p w:rsidR="004C6755" w:rsidRPr="00910E94" w:rsidRDefault="004C6755" w:rsidP="00CB7091">
            <w:pPr>
              <w:spacing w:after="0" w:line="240" w:lineRule="auto"/>
              <w:rPr>
                <w:rFonts w:ascii="Times New Roman" w:hAnsi="Times New Roman"/>
                <w:b/>
                <w:bCs/>
                <w:sz w:val="24"/>
                <w:szCs w:val="24"/>
                <w:lang w:val="es-ES_tradnl"/>
              </w:rPr>
            </w:pPr>
            <w:r w:rsidRPr="00910E94">
              <w:rPr>
                <w:rFonts w:ascii="Times New Roman" w:hAnsi="Times New Roman"/>
                <w:sz w:val="24"/>
                <w:lang w:val="es-ES_tradnl"/>
              </w:rPr>
              <w:t>Directores y categorías superiores</w:t>
            </w:r>
          </w:p>
        </w:tc>
        <w:tc>
          <w:tcPr>
            <w:tcW w:w="992"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63</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61</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64</w:t>
            </w:r>
          </w:p>
        </w:tc>
      </w:tr>
      <w:tr w:rsidR="004C6755" w:rsidRPr="00910E94" w:rsidTr="004A14D2">
        <w:tc>
          <w:tcPr>
            <w:tcW w:w="6379"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Profesional</w:t>
            </w:r>
          </w:p>
        </w:tc>
        <w:tc>
          <w:tcPr>
            <w:tcW w:w="992"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434</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429</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460</w:t>
            </w:r>
          </w:p>
        </w:tc>
      </w:tr>
      <w:tr w:rsidR="004C6755" w:rsidRPr="00910E94" w:rsidTr="004A14D2">
        <w:tc>
          <w:tcPr>
            <w:tcW w:w="6379"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Servicios generales</w:t>
            </w:r>
          </w:p>
        </w:tc>
        <w:tc>
          <w:tcPr>
            <w:tcW w:w="992"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497</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520</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531</w:t>
            </w:r>
          </w:p>
        </w:tc>
      </w:tr>
      <w:tr w:rsidR="004C6755" w:rsidRPr="00910E94" w:rsidTr="004A14D2">
        <w:tc>
          <w:tcPr>
            <w:tcW w:w="6379" w:type="dxa"/>
          </w:tcPr>
          <w:p w:rsidR="004C6755" w:rsidRPr="00910E94" w:rsidRDefault="004C6755" w:rsidP="00144B29">
            <w:pPr>
              <w:spacing w:after="0" w:line="240" w:lineRule="auto"/>
              <w:rPr>
                <w:rFonts w:ascii="Times New Roman" w:hAnsi="Times New Roman"/>
                <w:sz w:val="24"/>
                <w:szCs w:val="24"/>
                <w:lang w:val="es-ES_tradnl"/>
              </w:rPr>
            </w:pPr>
            <w:r w:rsidRPr="00910E94">
              <w:rPr>
                <w:rFonts w:ascii="Times New Roman" w:hAnsi="Times New Roman"/>
                <w:b/>
                <w:sz w:val="24"/>
                <w:lang w:val="es-ES_tradnl"/>
              </w:rPr>
              <w:t xml:space="preserve">Subtotal </w:t>
            </w:r>
            <w:r w:rsidR="00144B29">
              <w:rPr>
                <w:rFonts w:ascii="Times New Roman" w:hAnsi="Times New Roman"/>
                <w:b/>
                <w:sz w:val="24"/>
                <w:lang w:val="es-ES_tradnl"/>
              </w:rPr>
              <w:t xml:space="preserve">funcionarios </w:t>
            </w:r>
            <w:r w:rsidRPr="00910E94">
              <w:rPr>
                <w:rFonts w:ascii="Times New Roman" w:hAnsi="Times New Roman"/>
                <w:b/>
                <w:sz w:val="24"/>
                <w:lang w:val="es-ES_tradnl"/>
              </w:rPr>
              <w:t>en puestos presupuestarios</w:t>
            </w:r>
          </w:p>
        </w:tc>
        <w:tc>
          <w:tcPr>
            <w:tcW w:w="992"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b/>
                <w:sz w:val="24"/>
                <w:lang w:val="es-ES_tradnl"/>
              </w:rPr>
              <w:t>994</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b/>
                <w:sz w:val="24"/>
                <w:lang w:val="es-ES_tradnl"/>
              </w:rPr>
              <w:t>1010</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b/>
                <w:sz w:val="24"/>
                <w:lang w:val="es-ES_tradnl"/>
              </w:rPr>
              <w:t>1055</w:t>
            </w:r>
          </w:p>
        </w:tc>
      </w:tr>
      <w:tr w:rsidR="004C6755" w:rsidRPr="00910E94" w:rsidTr="004A14D2">
        <w:tc>
          <w:tcPr>
            <w:tcW w:w="6379" w:type="dxa"/>
          </w:tcPr>
          <w:p w:rsidR="004C6755" w:rsidRPr="00910E94" w:rsidRDefault="004C6755" w:rsidP="00CB7091">
            <w:pPr>
              <w:spacing w:after="0" w:line="240" w:lineRule="auto"/>
              <w:rPr>
                <w:rFonts w:ascii="Times New Roman" w:hAnsi="Times New Roman"/>
                <w:b/>
                <w:bCs/>
                <w:sz w:val="24"/>
                <w:szCs w:val="24"/>
                <w:lang w:val="es-ES_tradnl"/>
              </w:rPr>
            </w:pPr>
            <w:r w:rsidRPr="00910E94">
              <w:rPr>
                <w:rFonts w:ascii="Times New Roman" w:hAnsi="Times New Roman"/>
                <w:b/>
                <w:sz w:val="24"/>
                <w:lang w:val="es-ES_tradnl"/>
              </w:rPr>
              <w:t>Personal financiado con cargo a reservas y fondos fiduciarios</w:t>
            </w:r>
          </w:p>
        </w:tc>
        <w:tc>
          <w:tcPr>
            <w:tcW w:w="992"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b/>
                <w:sz w:val="24"/>
                <w:lang w:val="es-ES_tradnl"/>
              </w:rPr>
              <w:t>18</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b/>
                <w:sz w:val="24"/>
                <w:lang w:val="es-ES_tradnl"/>
              </w:rPr>
              <w:t>15</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b/>
                <w:sz w:val="24"/>
                <w:lang w:val="es-ES_tradnl"/>
              </w:rPr>
              <w:t>16</w:t>
            </w:r>
          </w:p>
        </w:tc>
      </w:tr>
      <w:tr w:rsidR="004C6755" w:rsidRPr="00910E94" w:rsidTr="004A14D2">
        <w:tc>
          <w:tcPr>
            <w:tcW w:w="6379" w:type="dxa"/>
          </w:tcPr>
          <w:p w:rsidR="004C6755" w:rsidRPr="00910E94" w:rsidRDefault="004C6755" w:rsidP="00144B29">
            <w:pPr>
              <w:spacing w:after="0" w:line="240" w:lineRule="auto"/>
              <w:rPr>
                <w:rFonts w:ascii="Times New Roman" w:hAnsi="Times New Roman"/>
                <w:sz w:val="24"/>
                <w:szCs w:val="24"/>
                <w:lang w:val="es-ES_tradnl"/>
              </w:rPr>
            </w:pPr>
            <w:r w:rsidRPr="00910E94">
              <w:rPr>
                <w:rFonts w:ascii="Times New Roman" w:hAnsi="Times New Roman"/>
                <w:b/>
                <w:sz w:val="24"/>
                <w:lang w:val="es-ES_tradnl"/>
              </w:rPr>
              <w:t xml:space="preserve">Total </w:t>
            </w:r>
            <w:r w:rsidR="00144B29">
              <w:rPr>
                <w:rFonts w:ascii="Times New Roman" w:hAnsi="Times New Roman"/>
                <w:b/>
                <w:sz w:val="24"/>
                <w:lang w:val="es-ES_tradnl"/>
              </w:rPr>
              <w:t xml:space="preserve">funcionarios </w:t>
            </w:r>
            <w:r w:rsidR="009811E5">
              <w:rPr>
                <w:rFonts w:ascii="Times New Roman" w:hAnsi="Times New Roman"/>
                <w:b/>
                <w:sz w:val="24"/>
                <w:lang w:val="es-ES_tradnl"/>
              </w:rPr>
              <w:t>en puestos</w:t>
            </w:r>
          </w:p>
        </w:tc>
        <w:tc>
          <w:tcPr>
            <w:tcW w:w="992"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b/>
                <w:sz w:val="24"/>
                <w:lang w:val="es-ES_tradnl"/>
              </w:rPr>
              <w:t>1012</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b/>
                <w:sz w:val="24"/>
                <w:lang w:val="es-ES_tradnl"/>
              </w:rPr>
              <w:t>1025</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b/>
                <w:sz w:val="24"/>
                <w:lang w:val="es-ES_tradnl"/>
              </w:rPr>
              <w:t>1071</w:t>
            </w:r>
          </w:p>
        </w:tc>
      </w:tr>
      <w:tr w:rsidR="004C6755" w:rsidRPr="00910E94" w:rsidTr="004A14D2">
        <w:tc>
          <w:tcPr>
            <w:tcW w:w="9072" w:type="dxa"/>
            <w:gridSpan w:val="4"/>
          </w:tcPr>
          <w:p w:rsidR="004C6755" w:rsidRPr="00910E94" w:rsidRDefault="00144B29" w:rsidP="00CB7091">
            <w:pPr>
              <w:spacing w:after="0" w:line="240" w:lineRule="auto"/>
              <w:rPr>
                <w:rFonts w:ascii="Times New Roman" w:hAnsi="Times New Roman"/>
                <w:b/>
                <w:bCs/>
                <w:sz w:val="24"/>
                <w:szCs w:val="24"/>
                <w:lang w:val="es-ES_tradnl"/>
              </w:rPr>
            </w:pPr>
            <w:r>
              <w:rPr>
                <w:rFonts w:ascii="Times New Roman" w:hAnsi="Times New Roman"/>
                <w:b/>
                <w:sz w:val="24"/>
                <w:lang w:val="es-ES_tradnl"/>
              </w:rPr>
              <w:t xml:space="preserve">Funcionarios </w:t>
            </w:r>
            <w:r w:rsidR="009811E5">
              <w:rPr>
                <w:rFonts w:ascii="Times New Roman" w:hAnsi="Times New Roman"/>
                <w:b/>
                <w:sz w:val="24"/>
                <w:lang w:val="es-ES_tradnl"/>
              </w:rPr>
              <w:t>temporal</w:t>
            </w:r>
            <w:r>
              <w:rPr>
                <w:rFonts w:ascii="Times New Roman" w:hAnsi="Times New Roman"/>
                <w:b/>
                <w:sz w:val="24"/>
                <w:lang w:val="es-ES_tradnl"/>
              </w:rPr>
              <w:t>es</w:t>
            </w:r>
          </w:p>
        </w:tc>
      </w:tr>
      <w:tr w:rsidR="004C6755" w:rsidRPr="00910E94" w:rsidTr="004A14D2">
        <w:tc>
          <w:tcPr>
            <w:tcW w:w="6379" w:type="dxa"/>
          </w:tcPr>
          <w:p w:rsidR="004C6755" w:rsidRPr="00910E94" w:rsidRDefault="009811E5" w:rsidP="00CB7091">
            <w:pPr>
              <w:spacing w:after="0" w:line="240" w:lineRule="auto"/>
              <w:rPr>
                <w:rFonts w:ascii="Times New Roman" w:hAnsi="Times New Roman"/>
                <w:b/>
                <w:bCs/>
                <w:sz w:val="24"/>
                <w:szCs w:val="24"/>
                <w:lang w:val="es-ES_tradnl"/>
              </w:rPr>
            </w:pPr>
            <w:r>
              <w:rPr>
                <w:rFonts w:ascii="Times New Roman" w:hAnsi="Times New Roman"/>
                <w:sz w:val="24"/>
                <w:lang w:val="es-ES_tradnl"/>
              </w:rPr>
              <w:t>Temporal</w:t>
            </w:r>
            <w:r w:rsidR="00EC215B">
              <w:rPr>
                <w:rFonts w:ascii="Times New Roman" w:hAnsi="Times New Roman"/>
                <w:sz w:val="24"/>
                <w:lang w:val="es-ES_tradnl"/>
              </w:rPr>
              <w:t xml:space="preserve">:  </w:t>
            </w:r>
            <w:r w:rsidR="004C6755" w:rsidRPr="00910E94">
              <w:rPr>
                <w:rFonts w:ascii="Times New Roman" w:hAnsi="Times New Roman"/>
                <w:sz w:val="24"/>
                <w:lang w:val="es-ES_tradnl"/>
              </w:rPr>
              <w:t>Profesional</w:t>
            </w:r>
          </w:p>
        </w:tc>
        <w:tc>
          <w:tcPr>
            <w:tcW w:w="992" w:type="dxa"/>
          </w:tcPr>
          <w:p w:rsidR="004C6755" w:rsidRPr="00910E94" w:rsidRDefault="004C6755" w:rsidP="00CB7091">
            <w:pPr>
              <w:spacing w:after="0" w:line="240" w:lineRule="auto"/>
              <w:rPr>
                <w:rFonts w:ascii="Times New Roman" w:hAnsi="Times New Roman"/>
                <w:b/>
                <w:bCs/>
                <w:sz w:val="24"/>
                <w:szCs w:val="24"/>
                <w:lang w:val="es-ES_tradnl"/>
              </w:rPr>
            </w:pPr>
            <w:r w:rsidRPr="00910E94">
              <w:rPr>
                <w:rFonts w:ascii="Times New Roman" w:hAnsi="Times New Roman"/>
                <w:b/>
                <w:sz w:val="24"/>
                <w:lang w:val="es-ES_tradnl"/>
              </w:rPr>
              <w:t>N</w:t>
            </w:r>
            <w:r w:rsidR="00344EE2">
              <w:rPr>
                <w:rFonts w:ascii="Times New Roman" w:hAnsi="Times New Roman"/>
                <w:b/>
                <w:sz w:val="24"/>
                <w:lang w:val="es-ES_tradnl"/>
              </w:rPr>
              <w:t xml:space="preserve">.  </w:t>
            </w:r>
            <w:r w:rsidRPr="00910E94">
              <w:rPr>
                <w:rFonts w:ascii="Times New Roman" w:hAnsi="Times New Roman"/>
                <w:b/>
                <w:sz w:val="24"/>
                <w:lang w:val="es-ES_tradnl"/>
              </w:rPr>
              <w:t>d.</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94</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85</w:t>
            </w:r>
          </w:p>
        </w:tc>
      </w:tr>
      <w:tr w:rsidR="004C6755" w:rsidRPr="00910E94" w:rsidTr="004A14D2">
        <w:tc>
          <w:tcPr>
            <w:tcW w:w="6379"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Servicios generales temporales</w:t>
            </w:r>
          </w:p>
        </w:tc>
        <w:tc>
          <w:tcPr>
            <w:tcW w:w="992" w:type="dxa"/>
          </w:tcPr>
          <w:p w:rsidR="004C6755" w:rsidRPr="00910E94" w:rsidRDefault="004C6755" w:rsidP="00CB7091">
            <w:pPr>
              <w:spacing w:after="0" w:line="240" w:lineRule="auto"/>
              <w:rPr>
                <w:rFonts w:ascii="Times New Roman" w:hAnsi="Times New Roman"/>
                <w:b/>
                <w:bCs/>
                <w:sz w:val="24"/>
                <w:szCs w:val="24"/>
                <w:lang w:val="es-ES_tradnl"/>
              </w:rPr>
            </w:pPr>
            <w:r w:rsidRPr="00910E94">
              <w:rPr>
                <w:rFonts w:ascii="Times New Roman" w:hAnsi="Times New Roman"/>
                <w:b/>
                <w:sz w:val="24"/>
                <w:lang w:val="es-ES_tradnl"/>
              </w:rPr>
              <w:t>N</w:t>
            </w:r>
            <w:r w:rsidR="00344EE2">
              <w:rPr>
                <w:rFonts w:ascii="Times New Roman" w:hAnsi="Times New Roman"/>
                <w:b/>
                <w:sz w:val="24"/>
                <w:lang w:val="es-ES_tradnl"/>
              </w:rPr>
              <w:t xml:space="preserve">.  </w:t>
            </w:r>
            <w:r w:rsidRPr="00910E94">
              <w:rPr>
                <w:rFonts w:ascii="Times New Roman" w:hAnsi="Times New Roman"/>
                <w:b/>
                <w:sz w:val="24"/>
                <w:lang w:val="es-ES_tradnl"/>
              </w:rPr>
              <w:t>d.</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100</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64</w:t>
            </w:r>
          </w:p>
        </w:tc>
      </w:tr>
      <w:tr w:rsidR="004C6755" w:rsidRPr="00910E94" w:rsidTr="004A14D2">
        <w:tc>
          <w:tcPr>
            <w:tcW w:w="6379" w:type="dxa"/>
          </w:tcPr>
          <w:p w:rsidR="004C6755" w:rsidRPr="00910E94" w:rsidRDefault="009811E5" w:rsidP="00144B29">
            <w:pPr>
              <w:spacing w:after="0" w:line="240" w:lineRule="auto"/>
              <w:rPr>
                <w:rFonts w:ascii="Times New Roman" w:hAnsi="Times New Roman"/>
                <w:b/>
                <w:sz w:val="24"/>
                <w:szCs w:val="24"/>
                <w:lang w:val="es-ES_tradnl"/>
              </w:rPr>
            </w:pPr>
            <w:r>
              <w:rPr>
                <w:rFonts w:ascii="Times New Roman" w:hAnsi="Times New Roman"/>
                <w:b/>
                <w:sz w:val="24"/>
                <w:lang w:val="es-ES_tradnl"/>
              </w:rPr>
              <w:t>Subtotal</w:t>
            </w:r>
            <w:r w:rsidR="00144B29">
              <w:rPr>
                <w:rFonts w:ascii="Times New Roman" w:hAnsi="Times New Roman"/>
                <w:b/>
                <w:sz w:val="24"/>
                <w:lang w:val="es-ES_tradnl"/>
              </w:rPr>
              <w:t xml:space="preserve"> funcionarios</w:t>
            </w:r>
            <w:r>
              <w:rPr>
                <w:rFonts w:ascii="Times New Roman" w:hAnsi="Times New Roman"/>
                <w:b/>
                <w:sz w:val="24"/>
                <w:lang w:val="es-ES_tradnl"/>
              </w:rPr>
              <w:t xml:space="preserve"> temporal</w:t>
            </w:r>
            <w:r w:rsidR="00144B29">
              <w:rPr>
                <w:rFonts w:ascii="Times New Roman" w:hAnsi="Times New Roman"/>
                <w:b/>
                <w:sz w:val="24"/>
                <w:lang w:val="es-ES_tradnl"/>
              </w:rPr>
              <w:t>es</w:t>
            </w:r>
          </w:p>
        </w:tc>
        <w:tc>
          <w:tcPr>
            <w:tcW w:w="992" w:type="dxa"/>
          </w:tcPr>
          <w:p w:rsidR="004C6755" w:rsidRPr="00910E94" w:rsidRDefault="004C6755" w:rsidP="00CB7091">
            <w:pPr>
              <w:spacing w:after="0" w:line="240" w:lineRule="auto"/>
              <w:rPr>
                <w:rFonts w:ascii="Times New Roman" w:hAnsi="Times New Roman"/>
                <w:b/>
                <w:bCs/>
                <w:sz w:val="24"/>
                <w:szCs w:val="24"/>
                <w:lang w:val="es-ES_tradnl"/>
              </w:rPr>
            </w:pPr>
            <w:r w:rsidRPr="00910E94">
              <w:rPr>
                <w:rFonts w:ascii="Times New Roman" w:hAnsi="Times New Roman"/>
                <w:b/>
                <w:sz w:val="24"/>
                <w:lang w:val="es-ES_tradnl"/>
              </w:rPr>
              <w:t>N</w:t>
            </w:r>
            <w:r w:rsidR="00344EE2">
              <w:rPr>
                <w:rFonts w:ascii="Times New Roman" w:hAnsi="Times New Roman"/>
                <w:b/>
                <w:sz w:val="24"/>
                <w:lang w:val="es-ES_tradnl"/>
              </w:rPr>
              <w:t xml:space="preserve">.  </w:t>
            </w:r>
            <w:r w:rsidRPr="00910E94">
              <w:rPr>
                <w:rFonts w:ascii="Times New Roman" w:hAnsi="Times New Roman"/>
                <w:b/>
                <w:sz w:val="24"/>
                <w:lang w:val="es-ES_tradnl"/>
              </w:rPr>
              <w:t>d.</w:t>
            </w:r>
          </w:p>
        </w:tc>
        <w:tc>
          <w:tcPr>
            <w:tcW w:w="851"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194</w:t>
            </w:r>
          </w:p>
        </w:tc>
        <w:tc>
          <w:tcPr>
            <w:tcW w:w="850"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149</w:t>
            </w:r>
          </w:p>
        </w:tc>
      </w:tr>
      <w:tr w:rsidR="004C6755" w:rsidRPr="00910E94" w:rsidTr="004A14D2">
        <w:tc>
          <w:tcPr>
            <w:tcW w:w="6379" w:type="dxa"/>
          </w:tcPr>
          <w:p w:rsidR="004C6755" w:rsidRPr="00910E94" w:rsidRDefault="004C6755" w:rsidP="00144B29">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 xml:space="preserve">Total </w:t>
            </w:r>
            <w:r w:rsidR="00144B29">
              <w:rPr>
                <w:rFonts w:ascii="Times New Roman" w:hAnsi="Times New Roman"/>
                <w:b/>
                <w:sz w:val="24"/>
                <w:lang w:val="es-ES_tradnl"/>
              </w:rPr>
              <w:t>funcionarios</w:t>
            </w:r>
          </w:p>
        </w:tc>
        <w:tc>
          <w:tcPr>
            <w:tcW w:w="992" w:type="dxa"/>
          </w:tcPr>
          <w:p w:rsidR="004C6755" w:rsidRPr="00910E94" w:rsidRDefault="004C6755" w:rsidP="00CB7091">
            <w:pPr>
              <w:spacing w:after="0" w:line="240" w:lineRule="auto"/>
              <w:rPr>
                <w:rFonts w:ascii="Times New Roman" w:hAnsi="Times New Roman"/>
                <w:b/>
                <w:bCs/>
                <w:sz w:val="24"/>
                <w:szCs w:val="24"/>
                <w:lang w:val="es-ES_tradnl"/>
              </w:rPr>
            </w:pPr>
            <w:r w:rsidRPr="00910E94">
              <w:rPr>
                <w:rFonts w:ascii="Times New Roman" w:hAnsi="Times New Roman"/>
                <w:b/>
                <w:sz w:val="24"/>
                <w:lang w:val="es-ES_tradnl"/>
              </w:rPr>
              <w:t>1012</w:t>
            </w:r>
          </w:p>
        </w:tc>
        <w:tc>
          <w:tcPr>
            <w:tcW w:w="851"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1219</w:t>
            </w:r>
          </w:p>
        </w:tc>
        <w:tc>
          <w:tcPr>
            <w:tcW w:w="850"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1220</w:t>
            </w:r>
          </w:p>
        </w:tc>
      </w:tr>
      <w:tr w:rsidR="004C6755" w:rsidRPr="00910E94" w:rsidTr="004A14D2">
        <w:tc>
          <w:tcPr>
            <w:tcW w:w="9072" w:type="dxa"/>
            <w:gridSpan w:val="4"/>
          </w:tcPr>
          <w:p w:rsidR="004C6755" w:rsidRPr="00910E94" w:rsidRDefault="004C6755" w:rsidP="009811E5">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 xml:space="preserve">Personal </w:t>
            </w:r>
            <w:r w:rsidR="009811E5">
              <w:rPr>
                <w:rFonts w:ascii="Times New Roman" w:hAnsi="Times New Roman"/>
                <w:b/>
                <w:sz w:val="24"/>
                <w:lang w:val="es-ES_tradnl"/>
              </w:rPr>
              <w:t>no funcionario</w:t>
            </w:r>
          </w:p>
        </w:tc>
      </w:tr>
      <w:tr w:rsidR="004C6755" w:rsidRPr="00910E94" w:rsidTr="004A14D2">
        <w:tc>
          <w:tcPr>
            <w:tcW w:w="6379"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Pasantes, becarios, traductores/revisores con contratos de corta duración</w:t>
            </w:r>
          </w:p>
        </w:tc>
        <w:tc>
          <w:tcPr>
            <w:tcW w:w="992"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230</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66</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64</w:t>
            </w:r>
          </w:p>
        </w:tc>
      </w:tr>
      <w:tr w:rsidR="004C6755" w:rsidRPr="00910E94" w:rsidTr="004A14D2">
        <w:tc>
          <w:tcPr>
            <w:tcW w:w="6379"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sz w:val="24"/>
                <w:lang w:val="es-ES_tradnl"/>
              </w:rPr>
              <w:t>Servicios contractuales individuales, personal temporal de agencias</w:t>
            </w:r>
          </w:p>
        </w:tc>
        <w:tc>
          <w:tcPr>
            <w:tcW w:w="992" w:type="dxa"/>
          </w:tcPr>
          <w:p w:rsidR="004C6755" w:rsidRPr="00910E94" w:rsidRDefault="004C6755" w:rsidP="00CB7091">
            <w:pPr>
              <w:spacing w:after="0" w:line="240" w:lineRule="auto"/>
              <w:rPr>
                <w:rFonts w:ascii="Times New Roman" w:hAnsi="Times New Roman"/>
                <w:b/>
                <w:bCs/>
                <w:sz w:val="24"/>
                <w:szCs w:val="24"/>
                <w:lang w:val="es-ES_tradnl"/>
              </w:rPr>
            </w:pPr>
            <w:r w:rsidRPr="00910E94">
              <w:rPr>
                <w:rFonts w:ascii="Times New Roman" w:hAnsi="Times New Roman"/>
                <w:b/>
                <w:sz w:val="24"/>
                <w:lang w:val="es-ES_tradnl"/>
              </w:rPr>
              <w:t>N</w:t>
            </w:r>
            <w:r w:rsidR="00344EE2">
              <w:rPr>
                <w:rFonts w:ascii="Times New Roman" w:hAnsi="Times New Roman"/>
                <w:b/>
                <w:sz w:val="24"/>
                <w:lang w:val="es-ES_tradnl"/>
              </w:rPr>
              <w:t xml:space="preserve">.  </w:t>
            </w:r>
            <w:r w:rsidRPr="00910E94">
              <w:rPr>
                <w:rFonts w:ascii="Times New Roman" w:hAnsi="Times New Roman"/>
                <w:b/>
                <w:sz w:val="24"/>
                <w:lang w:val="es-ES_tradnl"/>
              </w:rPr>
              <w:t>d.</w:t>
            </w:r>
          </w:p>
        </w:tc>
        <w:tc>
          <w:tcPr>
            <w:tcW w:w="85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11</w:t>
            </w:r>
          </w:p>
        </w:tc>
        <w:tc>
          <w:tcPr>
            <w:tcW w:w="850"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15</w:t>
            </w:r>
          </w:p>
        </w:tc>
      </w:tr>
      <w:tr w:rsidR="004C6755" w:rsidRPr="00910E94" w:rsidTr="004A14D2">
        <w:tc>
          <w:tcPr>
            <w:tcW w:w="6379" w:type="dxa"/>
          </w:tcPr>
          <w:p w:rsidR="004C6755" w:rsidRPr="00910E94" w:rsidRDefault="004C6755" w:rsidP="009811E5">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 xml:space="preserve">Subtotal personal no </w:t>
            </w:r>
            <w:r w:rsidR="009811E5">
              <w:rPr>
                <w:rFonts w:ascii="Times New Roman" w:hAnsi="Times New Roman"/>
                <w:b/>
                <w:sz w:val="24"/>
                <w:lang w:val="es-ES_tradnl"/>
              </w:rPr>
              <w:t>funcionario</w:t>
            </w:r>
          </w:p>
        </w:tc>
        <w:tc>
          <w:tcPr>
            <w:tcW w:w="992" w:type="dxa"/>
          </w:tcPr>
          <w:p w:rsidR="004C6755" w:rsidRPr="00910E94" w:rsidRDefault="004C6755" w:rsidP="00CB7091">
            <w:pPr>
              <w:spacing w:after="0" w:line="240" w:lineRule="auto"/>
              <w:rPr>
                <w:rFonts w:ascii="Times New Roman" w:hAnsi="Times New Roman"/>
                <w:b/>
                <w:bCs/>
                <w:sz w:val="24"/>
                <w:szCs w:val="24"/>
                <w:lang w:val="es-ES_tradnl"/>
              </w:rPr>
            </w:pPr>
            <w:r w:rsidRPr="00910E94">
              <w:rPr>
                <w:rFonts w:ascii="Times New Roman" w:hAnsi="Times New Roman"/>
                <w:b/>
                <w:sz w:val="24"/>
                <w:lang w:val="es-ES_tradnl"/>
              </w:rPr>
              <w:t>230</w:t>
            </w:r>
          </w:p>
        </w:tc>
        <w:tc>
          <w:tcPr>
            <w:tcW w:w="851"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77</w:t>
            </w:r>
          </w:p>
        </w:tc>
        <w:tc>
          <w:tcPr>
            <w:tcW w:w="850"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79</w:t>
            </w:r>
          </w:p>
        </w:tc>
      </w:tr>
      <w:tr w:rsidR="00495D62" w:rsidRPr="00910E94" w:rsidTr="004A14D2">
        <w:tc>
          <w:tcPr>
            <w:tcW w:w="6379" w:type="dxa"/>
          </w:tcPr>
          <w:p w:rsidR="00495D62" w:rsidRPr="00910E94" w:rsidRDefault="00495D62" w:rsidP="009811E5">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 xml:space="preserve">Total general del </w:t>
            </w:r>
            <w:r w:rsidR="009811E5">
              <w:rPr>
                <w:rFonts w:ascii="Times New Roman" w:hAnsi="Times New Roman"/>
                <w:b/>
                <w:sz w:val="24"/>
                <w:lang w:val="es-ES_tradnl"/>
              </w:rPr>
              <w:t xml:space="preserve">personal </w:t>
            </w:r>
            <w:r w:rsidRPr="00910E94">
              <w:rPr>
                <w:rFonts w:ascii="Times New Roman" w:hAnsi="Times New Roman"/>
                <w:b/>
                <w:sz w:val="24"/>
                <w:lang w:val="es-ES_tradnl"/>
              </w:rPr>
              <w:t>de la OMPI</w:t>
            </w:r>
          </w:p>
        </w:tc>
        <w:tc>
          <w:tcPr>
            <w:tcW w:w="992" w:type="dxa"/>
          </w:tcPr>
          <w:p w:rsidR="00495D62" w:rsidRPr="00910E94" w:rsidRDefault="00495D62" w:rsidP="00CC3D7A">
            <w:pPr>
              <w:spacing w:after="0" w:line="240" w:lineRule="auto"/>
              <w:rPr>
                <w:rFonts w:ascii="Times New Roman" w:hAnsi="Times New Roman"/>
                <w:b/>
                <w:bCs/>
                <w:sz w:val="24"/>
                <w:szCs w:val="24"/>
                <w:lang w:val="es-ES_tradnl"/>
              </w:rPr>
            </w:pPr>
            <w:r w:rsidRPr="00910E94">
              <w:rPr>
                <w:rFonts w:ascii="Times New Roman" w:hAnsi="Times New Roman"/>
                <w:b/>
                <w:sz w:val="24"/>
                <w:lang w:val="es-ES_tradnl"/>
              </w:rPr>
              <w:t>1242</w:t>
            </w:r>
          </w:p>
        </w:tc>
        <w:tc>
          <w:tcPr>
            <w:tcW w:w="851" w:type="dxa"/>
          </w:tcPr>
          <w:p w:rsidR="00495D62" w:rsidRPr="00910E94" w:rsidRDefault="00495D62" w:rsidP="00CC3D7A">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1296</w:t>
            </w:r>
          </w:p>
        </w:tc>
        <w:tc>
          <w:tcPr>
            <w:tcW w:w="850" w:type="dxa"/>
          </w:tcPr>
          <w:p w:rsidR="00495D62" w:rsidRPr="00910E94" w:rsidRDefault="00495D62" w:rsidP="00CC3D7A">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1299</w:t>
            </w:r>
          </w:p>
        </w:tc>
      </w:tr>
    </w:tbl>
    <w:p w:rsidR="00E24DBD" w:rsidRPr="00910E94" w:rsidRDefault="00E24DBD" w:rsidP="00CB7091">
      <w:pPr>
        <w:spacing w:after="0" w:line="240" w:lineRule="auto"/>
        <w:rPr>
          <w:rFonts w:ascii="Times New Roman" w:hAnsi="Times New Roman"/>
          <w:b/>
          <w:sz w:val="24"/>
          <w:szCs w:val="24"/>
          <w:lang w:val="es-ES_tradnl"/>
        </w:rPr>
      </w:pPr>
    </w:p>
    <w:p w:rsidR="004C6755" w:rsidRPr="00910E94" w:rsidRDefault="004C6755" w:rsidP="00D344B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lastRenderedPageBreak/>
        <w:t>A continuación se desglosan los datos de todas las contrataciones por categorías y años:</w:t>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559"/>
        <w:gridCol w:w="1559"/>
        <w:gridCol w:w="1559"/>
      </w:tblGrid>
      <w:tr w:rsidR="004C6755" w:rsidRPr="00910E94" w:rsidTr="00101066">
        <w:trPr>
          <w:trHeight w:val="397"/>
        </w:trPr>
        <w:tc>
          <w:tcPr>
            <w:tcW w:w="4111"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Categoría</w:t>
            </w:r>
          </w:p>
        </w:tc>
        <w:tc>
          <w:tcPr>
            <w:tcW w:w="1559" w:type="dxa"/>
          </w:tcPr>
          <w:p w:rsidR="004C6755" w:rsidRPr="00910E94" w:rsidRDefault="004C6755" w:rsidP="00CB7091">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2012</w:t>
            </w:r>
          </w:p>
        </w:tc>
        <w:tc>
          <w:tcPr>
            <w:tcW w:w="1559" w:type="dxa"/>
          </w:tcPr>
          <w:p w:rsidR="004C6755" w:rsidRPr="00910E94" w:rsidRDefault="004C6755" w:rsidP="00CB7091">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2013</w:t>
            </w:r>
          </w:p>
        </w:tc>
        <w:tc>
          <w:tcPr>
            <w:tcW w:w="1559" w:type="dxa"/>
          </w:tcPr>
          <w:p w:rsidR="004C6755" w:rsidRPr="00910E94" w:rsidRDefault="004C6755" w:rsidP="00CB7091">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2014</w:t>
            </w:r>
          </w:p>
        </w:tc>
      </w:tr>
      <w:tr w:rsidR="004C6755" w:rsidRPr="00910E94" w:rsidTr="00101066">
        <w:tc>
          <w:tcPr>
            <w:tcW w:w="8788" w:type="dxa"/>
            <w:gridSpan w:val="4"/>
          </w:tcPr>
          <w:p w:rsidR="004C6755" w:rsidRPr="00910E94" w:rsidRDefault="004C6755" w:rsidP="008C0D54">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 xml:space="preserve">Puestos de </w:t>
            </w:r>
            <w:r w:rsidR="008C0D54">
              <w:rPr>
                <w:rFonts w:ascii="Times New Roman" w:hAnsi="Times New Roman"/>
                <w:b/>
                <w:sz w:val="24"/>
                <w:lang w:val="es-ES_tradnl"/>
              </w:rPr>
              <w:t>plazo fijo</w:t>
            </w:r>
          </w:p>
        </w:tc>
      </w:tr>
      <w:tr w:rsidR="004C6755" w:rsidRPr="00910E94" w:rsidTr="00101066">
        <w:tc>
          <w:tcPr>
            <w:tcW w:w="4111" w:type="dxa"/>
          </w:tcPr>
          <w:p w:rsidR="004C6755" w:rsidRPr="00910E94" w:rsidRDefault="004C6755" w:rsidP="00D20DB9">
            <w:pPr>
              <w:spacing w:after="0" w:line="240" w:lineRule="auto"/>
              <w:rPr>
                <w:rFonts w:ascii="Times New Roman" w:hAnsi="Times New Roman"/>
                <w:sz w:val="24"/>
                <w:szCs w:val="24"/>
                <w:lang w:val="es-ES_tradnl"/>
              </w:rPr>
            </w:pPr>
            <w:r w:rsidRPr="00910E94">
              <w:rPr>
                <w:rFonts w:ascii="Times New Roman" w:hAnsi="Times New Roman"/>
                <w:sz w:val="24"/>
                <w:lang w:val="es-ES_tradnl"/>
              </w:rPr>
              <w:t xml:space="preserve">Profesional y </w:t>
            </w:r>
            <w:r w:rsidR="00D20DB9">
              <w:rPr>
                <w:rFonts w:ascii="Times New Roman" w:hAnsi="Times New Roman"/>
                <w:sz w:val="24"/>
                <w:lang w:val="es-ES_tradnl"/>
              </w:rPr>
              <w:t>superior</w:t>
            </w:r>
          </w:p>
        </w:tc>
        <w:tc>
          <w:tcPr>
            <w:tcW w:w="1559" w:type="dxa"/>
          </w:tcPr>
          <w:p w:rsidR="004C6755" w:rsidRPr="00910E94" w:rsidRDefault="004C6755" w:rsidP="00CB7091">
            <w:pPr>
              <w:spacing w:after="0" w:line="240" w:lineRule="auto"/>
              <w:jc w:val="center"/>
              <w:rPr>
                <w:rFonts w:ascii="Times New Roman" w:hAnsi="Times New Roman"/>
                <w:sz w:val="24"/>
                <w:szCs w:val="24"/>
                <w:lang w:val="es-ES_tradnl"/>
              </w:rPr>
            </w:pPr>
            <w:r w:rsidRPr="00910E94">
              <w:rPr>
                <w:rFonts w:ascii="Times New Roman" w:hAnsi="Times New Roman"/>
                <w:sz w:val="24"/>
                <w:lang w:val="es-ES_tradnl"/>
              </w:rPr>
              <w:t>36</w:t>
            </w:r>
          </w:p>
        </w:tc>
        <w:tc>
          <w:tcPr>
            <w:tcW w:w="1559" w:type="dxa"/>
          </w:tcPr>
          <w:p w:rsidR="004C6755" w:rsidRPr="00910E94" w:rsidRDefault="004C6755" w:rsidP="00CB7091">
            <w:pPr>
              <w:spacing w:after="0" w:line="240" w:lineRule="auto"/>
              <w:jc w:val="center"/>
              <w:rPr>
                <w:rFonts w:ascii="Times New Roman" w:hAnsi="Times New Roman"/>
                <w:sz w:val="24"/>
                <w:szCs w:val="24"/>
                <w:lang w:val="es-ES_tradnl"/>
              </w:rPr>
            </w:pPr>
            <w:r w:rsidRPr="00910E94">
              <w:rPr>
                <w:rFonts w:ascii="Times New Roman" w:hAnsi="Times New Roman"/>
                <w:sz w:val="24"/>
                <w:lang w:val="es-ES_tradnl"/>
              </w:rPr>
              <w:t>44</w:t>
            </w:r>
          </w:p>
        </w:tc>
        <w:tc>
          <w:tcPr>
            <w:tcW w:w="1559" w:type="dxa"/>
          </w:tcPr>
          <w:p w:rsidR="004C6755" w:rsidRPr="00910E94" w:rsidRDefault="004C6755" w:rsidP="00CB7091">
            <w:pPr>
              <w:spacing w:after="0" w:line="240" w:lineRule="auto"/>
              <w:jc w:val="center"/>
              <w:rPr>
                <w:rFonts w:ascii="Times New Roman" w:hAnsi="Times New Roman"/>
                <w:sz w:val="24"/>
                <w:szCs w:val="24"/>
                <w:lang w:val="es-ES_tradnl"/>
              </w:rPr>
            </w:pPr>
            <w:r w:rsidRPr="00910E94">
              <w:rPr>
                <w:rFonts w:ascii="Times New Roman" w:hAnsi="Times New Roman"/>
                <w:sz w:val="24"/>
                <w:lang w:val="es-ES_tradnl"/>
              </w:rPr>
              <w:t>58</w:t>
            </w:r>
          </w:p>
        </w:tc>
      </w:tr>
      <w:tr w:rsidR="004C6755" w:rsidRPr="00910E94" w:rsidTr="00101066">
        <w:tc>
          <w:tcPr>
            <w:tcW w:w="4111" w:type="dxa"/>
          </w:tcPr>
          <w:p w:rsidR="004C6755" w:rsidRPr="00910E94" w:rsidRDefault="004C6755" w:rsidP="00CB7091">
            <w:pPr>
              <w:spacing w:after="0" w:line="240" w:lineRule="auto"/>
              <w:rPr>
                <w:rFonts w:ascii="Times New Roman" w:hAnsi="Times New Roman"/>
                <w:sz w:val="24"/>
                <w:szCs w:val="24"/>
                <w:lang w:val="es-ES_tradnl"/>
              </w:rPr>
            </w:pPr>
            <w:r w:rsidRPr="00910E94">
              <w:rPr>
                <w:rFonts w:ascii="Times New Roman" w:hAnsi="Times New Roman"/>
                <w:sz w:val="24"/>
                <w:lang w:val="es-ES_tradnl"/>
              </w:rPr>
              <w:t xml:space="preserve">Servicios generales </w:t>
            </w:r>
          </w:p>
        </w:tc>
        <w:tc>
          <w:tcPr>
            <w:tcW w:w="1559" w:type="dxa"/>
          </w:tcPr>
          <w:p w:rsidR="004C6755" w:rsidRPr="00910E94" w:rsidRDefault="004C6755" w:rsidP="00CB7091">
            <w:pPr>
              <w:spacing w:after="0" w:line="240" w:lineRule="auto"/>
              <w:jc w:val="center"/>
              <w:rPr>
                <w:rFonts w:ascii="Times New Roman" w:hAnsi="Times New Roman"/>
                <w:sz w:val="24"/>
                <w:szCs w:val="24"/>
                <w:lang w:val="es-ES_tradnl"/>
              </w:rPr>
            </w:pPr>
            <w:r w:rsidRPr="00910E94">
              <w:rPr>
                <w:rFonts w:ascii="Times New Roman" w:hAnsi="Times New Roman"/>
                <w:sz w:val="24"/>
                <w:lang w:val="es-ES_tradnl"/>
              </w:rPr>
              <w:t>41</w:t>
            </w:r>
          </w:p>
        </w:tc>
        <w:tc>
          <w:tcPr>
            <w:tcW w:w="1559" w:type="dxa"/>
          </w:tcPr>
          <w:p w:rsidR="004C6755" w:rsidRPr="00910E94" w:rsidRDefault="004C6755" w:rsidP="00CB7091">
            <w:pPr>
              <w:spacing w:after="0" w:line="240" w:lineRule="auto"/>
              <w:jc w:val="center"/>
              <w:rPr>
                <w:rFonts w:ascii="Times New Roman" w:hAnsi="Times New Roman"/>
                <w:sz w:val="24"/>
                <w:szCs w:val="24"/>
                <w:lang w:val="es-ES_tradnl"/>
              </w:rPr>
            </w:pPr>
            <w:r w:rsidRPr="00910E94">
              <w:rPr>
                <w:rFonts w:ascii="Times New Roman" w:hAnsi="Times New Roman"/>
                <w:sz w:val="24"/>
                <w:lang w:val="es-ES_tradnl"/>
              </w:rPr>
              <w:t>21</w:t>
            </w:r>
          </w:p>
        </w:tc>
        <w:tc>
          <w:tcPr>
            <w:tcW w:w="1559" w:type="dxa"/>
          </w:tcPr>
          <w:p w:rsidR="004C6755" w:rsidRPr="00910E94" w:rsidRDefault="004C6755" w:rsidP="00CB7091">
            <w:pPr>
              <w:spacing w:after="0" w:line="240" w:lineRule="auto"/>
              <w:jc w:val="center"/>
              <w:rPr>
                <w:rFonts w:ascii="Times New Roman" w:hAnsi="Times New Roman"/>
                <w:sz w:val="24"/>
                <w:szCs w:val="24"/>
                <w:lang w:val="es-ES_tradnl"/>
              </w:rPr>
            </w:pPr>
            <w:r w:rsidRPr="00910E94">
              <w:rPr>
                <w:rFonts w:ascii="Times New Roman" w:hAnsi="Times New Roman"/>
                <w:sz w:val="24"/>
                <w:lang w:val="es-ES_tradnl"/>
              </w:rPr>
              <w:t>38</w:t>
            </w:r>
          </w:p>
        </w:tc>
      </w:tr>
      <w:tr w:rsidR="004C6755" w:rsidRPr="00910E94" w:rsidTr="00101066">
        <w:tc>
          <w:tcPr>
            <w:tcW w:w="4111" w:type="dxa"/>
          </w:tcPr>
          <w:p w:rsidR="004C6755" w:rsidRPr="00910E94" w:rsidRDefault="004C6755" w:rsidP="008C0D54">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 xml:space="preserve">Total puestos de </w:t>
            </w:r>
            <w:r w:rsidR="008C0D54">
              <w:rPr>
                <w:rFonts w:ascii="Times New Roman" w:hAnsi="Times New Roman"/>
                <w:b/>
                <w:sz w:val="24"/>
                <w:lang w:val="es-ES_tradnl"/>
              </w:rPr>
              <w:t>plazo fijo</w:t>
            </w:r>
          </w:p>
        </w:tc>
        <w:tc>
          <w:tcPr>
            <w:tcW w:w="1559" w:type="dxa"/>
          </w:tcPr>
          <w:p w:rsidR="004C6755" w:rsidRPr="00910E94" w:rsidRDefault="004C6755" w:rsidP="00CB7091">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77</w:t>
            </w:r>
          </w:p>
        </w:tc>
        <w:tc>
          <w:tcPr>
            <w:tcW w:w="1559" w:type="dxa"/>
          </w:tcPr>
          <w:p w:rsidR="004C6755" w:rsidRPr="00910E94" w:rsidRDefault="004C6755" w:rsidP="00CB7091">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65</w:t>
            </w:r>
          </w:p>
        </w:tc>
        <w:tc>
          <w:tcPr>
            <w:tcW w:w="1559" w:type="dxa"/>
          </w:tcPr>
          <w:p w:rsidR="004C6755" w:rsidRPr="00910E94" w:rsidRDefault="004C6755" w:rsidP="00CB7091">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96</w:t>
            </w:r>
          </w:p>
        </w:tc>
      </w:tr>
      <w:tr w:rsidR="004C6755" w:rsidRPr="00910E94" w:rsidTr="00101066">
        <w:tc>
          <w:tcPr>
            <w:tcW w:w="4111" w:type="dxa"/>
          </w:tcPr>
          <w:p w:rsidR="004C6755" w:rsidRPr="00910E94" w:rsidRDefault="004C6755" w:rsidP="00CB7091">
            <w:pPr>
              <w:spacing w:after="0" w:line="240" w:lineRule="auto"/>
              <w:rPr>
                <w:rFonts w:ascii="Times New Roman" w:hAnsi="Times New Roman"/>
                <w:b/>
                <w:sz w:val="24"/>
                <w:szCs w:val="24"/>
                <w:lang w:val="es-ES_tradnl"/>
              </w:rPr>
            </w:pPr>
            <w:r w:rsidRPr="00910E94">
              <w:rPr>
                <w:rFonts w:ascii="Times New Roman" w:hAnsi="Times New Roman"/>
                <w:b/>
                <w:sz w:val="24"/>
                <w:lang w:val="es-ES_tradnl"/>
              </w:rPr>
              <w:t>Puestos temporales</w:t>
            </w:r>
          </w:p>
        </w:tc>
        <w:tc>
          <w:tcPr>
            <w:tcW w:w="1559" w:type="dxa"/>
          </w:tcPr>
          <w:p w:rsidR="004C6755" w:rsidRPr="00910E94" w:rsidRDefault="004C6755" w:rsidP="00CB7091">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21</w:t>
            </w:r>
          </w:p>
        </w:tc>
        <w:tc>
          <w:tcPr>
            <w:tcW w:w="1559" w:type="dxa"/>
          </w:tcPr>
          <w:p w:rsidR="004C6755" w:rsidRPr="00910E94" w:rsidRDefault="004C6755" w:rsidP="00CB7091">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41</w:t>
            </w:r>
          </w:p>
        </w:tc>
        <w:tc>
          <w:tcPr>
            <w:tcW w:w="1559" w:type="dxa"/>
          </w:tcPr>
          <w:p w:rsidR="004C6755" w:rsidRPr="00910E94" w:rsidRDefault="004C6755" w:rsidP="00CB7091">
            <w:pPr>
              <w:spacing w:after="0" w:line="240" w:lineRule="auto"/>
              <w:jc w:val="center"/>
              <w:rPr>
                <w:rFonts w:ascii="Times New Roman" w:hAnsi="Times New Roman"/>
                <w:b/>
                <w:sz w:val="24"/>
                <w:szCs w:val="24"/>
                <w:lang w:val="es-ES_tradnl"/>
              </w:rPr>
            </w:pPr>
            <w:r w:rsidRPr="00910E94">
              <w:rPr>
                <w:rFonts w:ascii="Times New Roman" w:hAnsi="Times New Roman"/>
                <w:b/>
                <w:sz w:val="24"/>
                <w:lang w:val="es-ES_tradnl"/>
              </w:rPr>
              <w:t>37</w:t>
            </w:r>
          </w:p>
        </w:tc>
      </w:tr>
    </w:tbl>
    <w:p w:rsidR="00D74820" w:rsidRPr="00910E94" w:rsidRDefault="00CC3D7A"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En 20</w:t>
      </w:r>
      <w:r w:rsidR="004C6755" w:rsidRPr="00910E94">
        <w:rPr>
          <w:rFonts w:ascii="Times New Roman" w:hAnsi="Times New Roman"/>
          <w:sz w:val="24"/>
          <w:lang w:val="es-ES_tradnl"/>
        </w:rPr>
        <w:t>14 se registró una mayor actividad de contratación</w:t>
      </w:r>
      <w:r w:rsidR="004A14D2" w:rsidRPr="00910E94">
        <w:rPr>
          <w:rFonts w:ascii="Times New Roman" w:hAnsi="Times New Roman"/>
          <w:sz w:val="24"/>
          <w:lang w:val="es-ES_tradnl"/>
        </w:rPr>
        <w:t xml:space="preserve"> de personal en comparación con 2013, convocándose 96 </w:t>
      </w:r>
      <w:r w:rsidR="004C6755" w:rsidRPr="00910E94">
        <w:rPr>
          <w:rFonts w:ascii="Times New Roman" w:hAnsi="Times New Roman"/>
          <w:sz w:val="24"/>
          <w:lang w:val="es-ES_tradnl"/>
        </w:rPr>
        <w:t xml:space="preserve">concursos </w:t>
      </w:r>
      <w:r w:rsidR="004A14D2" w:rsidRPr="00910E94">
        <w:rPr>
          <w:rFonts w:ascii="Times New Roman" w:hAnsi="Times New Roman"/>
          <w:sz w:val="24"/>
          <w:lang w:val="es-ES_tradnl"/>
        </w:rPr>
        <w:t>para nombramientos ordinarios y </w:t>
      </w:r>
      <w:r w:rsidR="004C6755" w:rsidRPr="00910E94">
        <w:rPr>
          <w:rFonts w:ascii="Times New Roman" w:hAnsi="Times New Roman"/>
          <w:sz w:val="24"/>
          <w:lang w:val="es-ES_tradnl"/>
        </w:rPr>
        <w:t>37 para nombramientos temporales, lo que supone un incremento del</w:t>
      </w:r>
      <w:r w:rsidR="004A14D2" w:rsidRPr="00910E94">
        <w:rPr>
          <w:rFonts w:ascii="Times New Roman" w:hAnsi="Times New Roman"/>
          <w:sz w:val="24"/>
          <w:lang w:val="es-ES_tradnl"/>
        </w:rPr>
        <w:t> </w:t>
      </w:r>
      <w:r w:rsidR="004C6755" w:rsidRPr="00910E94">
        <w:rPr>
          <w:rFonts w:ascii="Times New Roman" w:hAnsi="Times New Roman"/>
          <w:sz w:val="24"/>
          <w:lang w:val="es-ES_tradnl"/>
        </w:rPr>
        <w:t xml:space="preserve">48% en los nombramientos </w:t>
      </w:r>
      <w:r w:rsidR="004A14D2" w:rsidRPr="00910E94">
        <w:rPr>
          <w:rFonts w:ascii="Times New Roman" w:hAnsi="Times New Roman"/>
          <w:sz w:val="24"/>
          <w:lang w:val="es-ES_tradnl"/>
        </w:rPr>
        <w:t>ordinarios y un descenso del </w:t>
      </w:r>
      <w:r w:rsidR="004C6755" w:rsidRPr="00910E94">
        <w:rPr>
          <w:rFonts w:ascii="Times New Roman" w:hAnsi="Times New Roman"/>
          <w:sz w:val="24"/>
          <w:lang w:val="es-ES_tradnl"/>
        </w:rPr>
        <w:t>10% en las contr</w:t>
      </w:r>
      <w:r w:rsidR="004A14D2" w:rsidRPr="00910E94">
        <w:rPr>
          <w:rFonts w:ascii="Times New Roman" w:hAnsi="Times New Roman"/>
          <w:sz w:val="24"/>
          <w:lang w:val="es-ES_tradnl"/>
        </w:rPr>
        <w:t>ataciones temporales</w:t>
      </w:r>
      <w:r w:rsidR="00344EE2">
        <w:rPr>
          <w:rFonts w:ascii="Times New Roman" w:hAnsi="Times New Roman"/>
          <w:sz w:val="24"/>
          <w:lang w:val="es-ES_tradnl"/>
        </w:rPr>
        <w:t xml:space="preserve">.  </w:t>
      </w:r>
      <w:r w:rsidR="004A14D2" w:rsidRPr="00910E94">
        <w:rPr>
          <w:rFonts w:ascii="Times New Roman" w:hAnsi="Times New Roman"/>
          <w:sz w:val="24"/>
          <w:lang w:val="es-ES_tradnl"/>
        </w:rPr>
        <w:t>De los 96 </w:t>
      </w:r>
      <w:r w:rsidR="004C6755" w:rsidRPr="00910E94">
        <w:rPr>
          <w:rFonts w:ascii="Times New Roman" w:hAnsi="Times New Roman"/>
          <w:sz w:val="24"/>
          <w:lang w:val="es-ES_tradnl"/>
        </w:rPr>
        <w:t>nombramientos ordinarios, 58</w:t>
      </w:r>
      <w:r w:rsidR="004A14D2" w:rsidRPr="00910E94">
        <w:rPr>
          <w:rFonts w:ascii="Times New Roman" w:hAnsi="Times New Roman"/>
          <w:sz w:val="24"/>
          <w:lang w:val="es-ES_tradnl"/>
        </w:rPr>
        <w:t> </w:t>
      </w:r>
      <w:r w:rsidR="004C6755" w:rsidRPr="00910E94">
        <w:rPr>
          <w:rFonts w:ascii="Times New Roman" w:hAnsi="Times New Roman"/>
          <w:sz w:val="24"/>
          <w:lang w:val="es-ES_tradnl"/>
        </w:rPr>
        <w:t xml:space="preserve">correspondieron a la categoría </w:t>
      </w:r>
      <w:r w:rsidR="00D20DB9">
        <w:rPr>
          <w:rFonts w:ascii="Times New Roman" w:hAnsi="Times New Roman"/>
          <w:sz w:val="24"/>
          <w:lang w:val="es-ES_tradnl"/>
        </w:rPr>
        <w:t>profesional</w:t>
      </w:r>
      <w:r w:rsidR="004C6755" w:rsidRPr="00910E94">
        <w:rPr>
          <w:rFonts w:ascii="Times New Roman" w:hAnsi="Times New Roman"/>
          <w:sz w:val="24"/>
          <w:lang w:val="es-ES_tradnl"/>
        </w:rPr>
        <w:t xml:space="preserve"> y </w:t>
      </w:r>
      <w:r w:rsidR="00D20DB9">
        <w:rPr>
          <w:rFonts w:ascii="Times New Roman" w:hAnsi="Times New Roman"/>
          <w:sz w:val="24"/>
          <w:lang w:val="es-ES_tradnl"/>
        </w:rPr>
        <w:t>superior</w:t>
      </w:r>
      <w:r w:rsidR="004C6755" w:rsidRPr="00910E94">
        <w:rPr>
          <w:rFonts w:ascii="Times New Roman" w:hAnsi="Times New Roman"/>
          <w:sz w:val="24"/>
          <w:lang w:val="es-ES_tradnl"/>
        </w:rPr>
        <w:t>, lo que represe</w:t>
      </w:r>
      <w:r w:rsidR="004A14D2" w:rsidRPr="00910E94">
        <w:rPr>
          <w:rFonts w:ascii="Times New Roman" w:hAnsi="Times New Roman"/>
          <w:sz w:val="24"/>
          <w:lang w:val="es-ES_tradnl"/>
        </w:rPr>
        <w:t>nta un aumento del 32% frente a </w:t>
      </w:r>
      <w:r w:rsidR="004C6755" w:rsidRPr="00910E94">
        <w:rPr>
          <w:rFonts w:ascii="Times New Roman" w:hAnsi="Times New Roman"/>
          <w:sz w:val="24"/>
          <w:lang w:val="es-ES_tradnl"/>
        </w:rPr>
        <w:t>2013</w:t>
      </w:r>
      <w:r w:rsidR="00344EE2">
        <w:rPr>
          <w:rFonts w:ascii="Times New Roman" w:hAnsi="Times New Roman"/>
          <w:sz w:val="24"/>
          <w:lang w:val="es-ES_tradnl"/>
        </w:rPr>
        <w:t xml:space="preserve">.  </w:t>
      </w:r>
      <w:r w:rsidR="004C6755" w:rsidRPr="00910E94">
        <w:rPr>
          <w:rFonts w:ascii="Times New Roman" w:hAnsi="Times New Roman"/>
          <w:sz w:val="24"/>
          <w:lang w:val="es-ES_tradnl"/>
        </w:rPr>
        <w:t>En la categoría de servi</w:t>
      </w:r>
      <w:r w:rsidR="004A14D2" w:rsidRPr="00910E94">
        <w:rPr>
          <w:rFonts w:ascii="Times New Roman" w:hAnsi="Times New Roman"/>
          <w:sz w:val="24"/>
          <w:lang w:val="es-ES_tradnl"/>
        </w:rPr>
        <w:t>cios generales se efectuaron 38 </w:t>
      </w:r>
      <w:r w:rsidR="004C6755" w:rsidRPr="00910E94">
        <w:rPr>
          <w:rFonts w:ascii="Times New Roman" w:hAnsi="Times New Roman"/>
          <w:sz w:val="24"/>
          <w:lang w:val="es-ES_tradnl"/>
        </w:rPr>
        <w:t>nombramientos, con lo que se produjo un in</w:t>
      </w:r>
      <w:r w:rsidR="004A14D2" w:rsidRPr="00910E94">
        <w:rPr>
          <w:rFonts w:ascii="Times New Roman" w:hAnsi="Times New Roman"/>
          <w:sz w:val="24"/>
          <w:lang w:val="es-ES_tradnl"/>
        </w:rPr>
        <w:t>cremento del 81% con respecto a </w:t>
      </w:r>
      <w:r w:rsidR="004C6755" w:rsidRPr="00910E94">
        <w:rPr>
          <w:rFonts w:ascii="Times New Roman" w:hAnsi="Times New Roman"/>
          <w:sz w:val="24"/>
          <w:lang w:val="es-ES_tradnl"/>
        </w:rPr>
        <w:t>2013, qu</w:t>
      </w:r>
      <w:r w:rsidR="004A14D2" w:rsidRPr="00910E94">
        <w:rPr>
          <w:rFonts w:ascii="Times New Roman" w:hAnsi="Times New Roman"/>
          <w:sz w:val="24"/>
          <w:lang w:val="es-ES_tradnl"/>
        </w:rPr>
        <w:t>e contrasta con el descenso del </w:t>
      </w:r>
      <w:r w:rsidR="004C6755" w:rsidRPr="00910E94">
        <w:rPr>
          <w:rFonts w:ascii="Times New Roman" w:hAnsi="Times New Roman"/>
          <w:sz w:val="24"/>
          <w:lang w:val="es-ES_tradnl"/>
        </w:rPr>
        <w:t xml:space="preserve">49% experimentado </w:t>
      </w:r>
      <w:r w:rsidRPr="00910E94">
        <w:rPr>
          <w:rFonts w:ascii="Times New Roman" w:hAnsi="Times New Roman"/>
          <w:sz w:val="24"/>
          <w:lang w:val="es-ES_tradnl"/>
        </w:rPr>
        <w:t>en 20</w:t>
      </w:r>
      <w:r w:rsidR="004C6755" w:rsidRPr="00910E94">
        <w:rPr>
          <w:rFonts w:ascii="Times New Roman" w:hAnsi="Times New Roman"/>
          <w:sz w:val="24"/>
          <w:lang w:val="es-ES_tradnl"/>
        </w:rPr>
        <w:t>13</w:t>
      </w:r>
      <w:r w:rsidR="00344EE2">
        <w:rPr>
          <w:rFonts w:ascii="Times New Roman" w:hAnsi="Times New Roman"/>
          <w:sz w:val="24"/>
          <w:lang w:val="es-ES_tradnl"/>
        </w:rPr>
        <w:t xml:space="preserve">.  </w:t>
      </w:r>
    </w:p>
    <w:p w:rsidR="004C6755" w:rsidRPr="00910E94" w:rsidRDefault="00D20DB9" w:rsidP="00B3220A">
      <w:pPr>
        <w:keepNext/>
        <w:spacing w:before="120" w:after="120" w:line="360" w:lineRule="auto"/>
        <w:rPr>
          <w:rFonts w:ascii="Times New Roman" w:hAnsi="Times New Roman"/>
          <w:b/>
          <w:color w:val="002060"/>
          <w:sz w:val="24"/>
          <w:szCs w:val="24"/>
          <w:lang w:val="es-ES_tradnl"/>
        </w:rPr>
      </w:pPr>
      <w:r>
        <w:rPr>
          <w:rFonts w:ascii="Times New Roman" w:hAnsi="Times New Roman"/>
          <w:b/>
          <w:color w:val="002060"/>
          <w:sz w:val="24"/>
          <w:lang w:val="es-ES_tradnl"/>
        </w:rPr>
        <w:t>Seguridad s</w:t>
      </w:r>
      <w:r w:rsidR="004C6755" w:rsidRPr="00910E94">
        <w:rPr>
          <w:rFonts w:ascii="Times New Roman" w:hAnsi="Times New Roman"/>
          <w:b/>
          <w:color w:val="002060"/>
          <w:sz w:val="24"/>
          <w:lang w:val="es-ES_tradnl"/>
        </w:rPr>
        <w:t>ocial</w:t>
      </w:r>
    </w:p>
    <w:p w:rsidR="004C6755" w:rsidRPr="00910E94" w:rsidRDefault="004C6755" w:rsidP="00D344B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El régimen común de sueldos, prestaciones y otras condiciones de servicio de las Naciones Unidas, distribuido por la CAPI en agosto </w:t>
      </w:r>
      <w:r w:rsidR="00CC3D7A" w:rsidRPr="00910E94">
        <w:rPr>
          <w:rFonts w:ascii="Times New Roman" w:hAnsi="Times New Roman"/>
          <w:sz w:val="24"/>
          <w:lang w:val="es-ES_tradnl"/>
        </w:rPr>
        <w:t>de 20</w:t>
      </w:r>
      <w:r w:rsidRPr="00910E94">
        <w:rPr>
          <w:rFonts w:ascii="Times New Roman" w:hAnsi="Times New Roman"/>
          <w:sz w:val="24"/>
          <w:lang w:val="es-ES_tradnl"/>
        </w:rPr>
        <w:t>12, constituye una referencia general para las organizaciones</w:t>
      </w:r>
      <w:r w:rsidR="00344EE2">
        <w:rPr>
          <w:rFonts w:ascii="Times New Roman" w:hAnsi="Times New Roman"/>
          <w:sz w:val="24"/>
          <w:lang w:val="es-ES_tradnl"/>
        </w:rPr>
        <w:t xml:space="preserve">.  </w:t>
      </w:r>
      <w:r w:rsidRPr="00910E94">
        <w:rPr>
          <w:rFonts w:ascii="Times New Roman" w:hAnsi="Times New Roman"/>
          <w:sz w:val="24"/>
          <w:lang w:val="es-ES_tradnl"/>
        </w:rPr>
        <w:t>En la sección relativa a seguridad social se prevé la concesión de una indemnización por muerte, enfermedad o lesión sufrida en el desempeño de la actividad profesional</w:t>
      </w:r>
      <w:r w:rsidR="00344EE2">
        <w:rPr>
          <w:rFonts w:ascii="Times New Roman" w:hAnsi="Times New Roman"/>
          <w:sz w:val="24"/>
          <w:lang w:val="es-ES_tradnl"/>
        </w:rPr>
        <w:t xml:space="preserve">.  </w:t>
      </w:r>
      <w:r w:rsidRPr="00910E94">
        <w:rPr>
          <w:rFonts w:ascii="Times New Roman" w:hAnsi="Times New Roman"/>
          <w:sz w:val="24"/>
          <w:lang w:val="es-ES_tradnl"/>
        </w:rPr>
        <w:t xml:space="preserve">Prevé asimismo que los costos de los planes colectivos de seguros de accidente deben ser sufragados íntegramente por los miembros del </w:t>
      </w:r>
      <w:r w:rsidR="004A14D2" w:rsidRPr="00910E94">
        <w:rPr>
          <w:rFonts w:ascii="Times New Roman" w:hAnsi="Times New Roman"/>
          <w:sz w:val="24"/>
          <w:lang w:val="es-ES_tradnl"/>
        </w:rPr>
        <w:t>personal</w:t>
      </w:r>
      <w:r w:rsidR="00344EE2">
        <w:rPr>
          <w:rFonts w:ascii="Times New Roman" w:hAnsi="Times New Roman"/>
          <w:sz w:val="24"/>
          <w:lang w:val="es-ES_tradnl"/>
        </w:rPr>
        <w:t xml:space="preserve">.  </w:t>
      </w:r>
      <w:r w:rsidR="004A14D2" w:rsidRPr="00910E94">
        <w:rPr>
          <w:rFonts w:ascii="Times New Roman" w:hAnsi="Times New Roman"/>
          <w:sz w:val="24"/>
          <w:lang w:val="es-ES_tradnl"/>
        </w:rPr>
        <w:t>Asimismo, la cláusula </w:t>
      </w:r>
      <w:r w:rsidRPr="00910E94">
        <w:rPr>
          <w:rFonts w:ascii="Times New Roman" w:hAnsi="Times New Roman"/>
          <w:sz w:val="24"/>
          <w:lang w:val="es-ES_tradnl"/>
        </w:rPr>
        <w:t>6.2 del Estatuto y Reglamento del Personal de la OMPI prevé el pago de indemnizaciones razonables en los casos de enfermedad, accidente o muerte imputables al desempeño de funciones oficiales.</w:t>
      </w:r>
    </w:p>
    <w:p w:rsidR="004C6755" w:rsidRPr="00910E94" w:rsidRDefault="004C6755" w:rsidP="004A14D2">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comprobado que la OMPI proporciona subsidios para las primas de seguros de accidentes no laborales</w:t>
      </w:r>
      <w:r w:rsidR="00344EE2">
        <w:rPr>
          <w:rFonts w:ascii="Times New Roman" w:hAnsi="Times New Roman"/>
          <w:sz w:val="24"/>
          <w:lang w:val="es-ES_tradnl"/>
        </w:rPr>
        <w:t xml:space="preserve">.  </w:t>
      </w:r>
      <w:r w:rsidRPr="00910E94">
        <w:rPr>
          <w:rFonts w:ascii="Times New Roman" w:hAnsi="Times New Roman"/>
          <w:sz w:val="24"/>
          <w:lang w:val="es-ES_tradnl"/>
        </w:rPr>
        <w:t>Los importes abonados en el per</w:t>
      </w:r>
      <w:r w:rsidR="00DB0571">
        <w:rPr>
          <w:rFonts w:ascii="Times New Roman" w:hAnsi="Times New Roman"/>
          <w:sz w:val="24"/>
          <w:lang w:val="es-ES_tradnl"/>
        </w:rPr>
        <w:t>íodo objeto de auditoría fueron </w:t>
      </w:r>
      <w:r w:rsidRPr="00910E94">
        <w:rPr>
          <w:rFonts w:ascii="Times New Roman" w:hAnsi="Times New Roman"/>
          <w:sz w:val="24"/>
          <w:lang w:val="es-ES_tradnl"/>
        </w:rPr>
        <w:t>79.686</w:t>
      </w:r>
      <w:r w:rsidR="00DB0571">
        <w:rPr>
          <w:rFonts w:ascii="Times New Roman" w:hAnsi="Times New Roman"/>
          <w:sz w:val="24"/>
          <w:lang w:val="es-ES_tradnl"/>
        </w:rPr>
        <w:t xml:space="preserve"> </w:t>
      </w:r>
      <w:r w:rsidRPr="00910E94">
        <w:rPr>
          <w:rFonts w:ascii="Times New Roman" w:hAnsi="Times New Roman"/>
          <w:sz w:val="24"/>
          <w:lang w:val="es-ES_tradnl"/>
        </w:rPr>
        <w:t xml:space="preserve">francos suizos </w:t>
      </w:r>
      <w:r w:rsidR="00CC3D7A" w:rsidRPr="00910E94">
        <w:rPr>
          <w:rFonts w:ascii="Times New Roman" w:hAnsi="Times New Roman"/>
          <w:sz w:val="24"/>
          <w:lang w:val="es-ES_tradnl"/>
        </w:rPr>
        <w:t>en 20</w:t>
      </w:r>
      <w:r w:rsidRPr="00910E94">
        <w:rPr>
          <w:rFonts w:ascii="Times New Roman" w:hAnsi="Times New Roman"/>
          <w:sz w:val="24"/>
          <w:lang w:val="es-ES_tradnl"/>
        </w:rPr>
        <w:t>12, 81.167</w:t>
      </w:r>
      <w:r w:rsidR="004A14D2" w:rsidRPr="00910E94">
        <w:rPr>
          <w:rFonts w:ascii="Times New Roman" w:hAnsi="Times New Roman"/>
          <w:sz w:val="24"/>
          <w:lang w:val="es-ES_tradnl"/>
        </w:rPr>
        <w:t> </w:t>
      </w:r>
      <w:r w:rsidRPr="00910E94">
        <w:rPr>
          <w:rFonts w:ascii="Times New Roman" w:hAnsi="Times New Roman"/>
          <w:sz w:val="24"/>
          <w:lang w:val="es-ES_tradnl"/>
        </w:rPr>
        <w:t xml:space="preserve">francos suizos </w:t>
      </w:r>
      <w:r w:rsidR="00CC3D7A" w:rsidRPr="00910E94">
        <w:rPr>
          <w:rFonts w:ascii="Times New Roman" w:hAnsi="Times New Roman"/>
          <w:sz w:val="24"/>
          <w:lang w:val="es-ES_tradnl"/>
        </w:rPr>
        <w:t>en 20</w:t>
      </w:r>
      <w:r w:rsidR="004A14D2" w:rsidRPr="00910E94">
        <w:rPr>
          <w:rFonts w:ascii="Times New Roman" w:hAnsi="Times New Roman"/>
          <w:sz w:val="24"/>
          <w:lang w:val="es-ES_tradnl"/>
        </w:rPr>
        <w:t>13 y </w:t>
      </w:r>
      <w:r w:rsidRPr="00910E94">
        <w:rPr>
          <w:rFonts w:ascii="Times New Roman" w:hAnsi="Times New Roman"/>
          <w:sz w:val="24"/>
          <w:lang w:val="es-ES_tradnl"/>
        </w:rPr>
        <w:t>81.889</w:t>
      </w:r>
      <w:r w:rsidR="004A14D2" w:rsidRPr="00910E94">
        <w:rPr>
          <w:rFonts w:ascii="Times New Roman" w:hAnsi="Times New Roman"/>
          <w:sz w:val="24"/>
          <w:lang w:val="es-ES_tradnl"/>
        </w:rPr>
        <w:t> </w:t>
      </w:r>
      <w:r w:rsidRPr="00910E94">
        <w:rPr>
          <w:rFonts w:ascii="Times New Roman" w:hAnsi="Times New Roman"/>
          <w:sz w:val="24"/>
          <w:lang w:val="es-ES_tradnl"/>
        </w:rPr>
        <w:t xml:space="preserve">francos suizos </w:t>
      </w:r>
      <w:r w:rsidR="00CC3D7A" w:rsidRPr="00910E94">
        <w:rPr>
          <w:rFonts w:ascii="Times New Roman" w:hAnsi="Times New Roman"/>
          <w:sz w:val="24"/>
          <w:lang w:val="es-ES_tradnl"/>
        </w:rPr>
        <w:t>en 20</w:t>
      </w:r>
      <w:r w:rsidRPr="00910E94">
        <w:rPr>
          <w:rFonts w:ascii="Times New Roman" w:hAnsi="Times New Roman"/>
          <w:sz w:val="24"/>
          <w:lang w:val="es-ES_tradnl"/>
        </w:rPr>
        <w:t>14</w:t>
      </w:r>
      <w:r w:rsidR="00344EE2">
        <w:rPr>
          <w:rFonts w:ascii="Times New Roman" w:hAnsi="Times New Roman"/>
          <w:sz w:val="24"/>
          <w:lang w:val="es-ES_tradnl"/>
        </w:rPr>
        <w:t xml:space="preserve">.  </w:t>
      </w:r>
      <w:r w:rsidRPr="00910E94">
        <w:rPr>
          <w:rFonts w:ascii="Times New Roman" w:hAnsi="Times New Roman"/>
          <w:sz w:val="24"/>
          <w:lang w:val="es-ES_tradnl"/>
        </w:rPr>
        <w:t>Aunque somos conscientes de que se trata una medida de protección social del personal, consideramos que tales pagos no encuentran fundamento en ninguna disposición explícita del Reglamento</w:t>
      </w:r>
      <w:r w:rsidR="00344EE2">
        <w:rPr>
          <w:rFonts w:ascii="Times New Roman" w:hAnsi="Times New Roman"/>
          <w:sz w:val="24"/>
          <w:lang w:val="es-ES_tradnl"/>
        </w:rPr>
        <w:t xml:space="preserve">.  </w:t>
      </w:r>
    </w:p>
    <w:p w:rsidR="004C6755" w:rsidRPr="00910E94" w:rsidRDefault="004C6755" w:rsidP="00D344B6">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lastRenderedPageBreak/>
        <w:t>La OMPI admitió que los subsidios a los seguros de accidentes no laborales que cubren al personal, jubilados y familiares, no forman parte del paquete de retribuciones de la CAPI</w:t>
      </w:r>
      <w:r w:rsidR="00344EE2">
        <w:rPr>
          <w:rFonts w:ascii="Times New Roman" w:hAnsi="Times New Roman"/>
          <w:sz w:val="24"/>
          <w:lang w:val="es-ES_tradnl"/>
        </w:rPr>
        <w:t xml:space="preserve">.  </w:t>
      </w:r>
    </w:p>
    <w:p w:rsidR="004C6755" w:rsidRPr="00910E94" w:rsidRDefault="004C6755" w:rsidP="00B3220A">
      <w:pPr>
        <w:keepNext/>
        <w:spacing w:before="120" w:after="120" w:line="360" w:lineRule="auto"/>
        <w:rPr>
          <w:rFonts w:ascii="Times New Roman" w:hAnsi="Times New Roman"/>
          <w:b/>
          <w:sz w:val="24"/>
          <w:szCs w:val="24"/>
          <w:lang w:val="es-ES_tradnl"/>
        </w:rPr>
      </w:pPr>
      <w:r w:rsidRPr="00910E94">
        <w:rPr>
          <w:rFonts w:ascii="Times New Roman" w:hAnsi="Times New Roman"/>
          <w:b/>
          <w:sz w:val="24"/>
          <w:lang w:val="es-ES_tradnl"/>
        </w:rPr>
        <w:t>Recomendación 14</w:t>
      </w:r>
    </w:p>
    <w:p w:rsidR="004C6755" w:rsidRPr="00910E94" w:rsidRDefault="004C6755" w:rsidP="004C6755">
      <w:pPr>
        <w:pStyle w:val="ListParagraph"/>
        <w:spacing w:before="120" w:after="120" w:line="360" w:lineRule="auto"/>
        <w:ind w:left="0"/>
        <w:contextualSpacing w:val="0"/>
        <w:jc w:val="both"/>
        <w:rPr>
          <w:rFonts w:ascii="Times New Roman" w:hAnsi="Times New Roman"/>
          <w:b/>
          <w:sz w:val="24"/>
          <w:szCs w:val="24"/>
          <w:lang w:val="es-ES_tradnl"/>
        </w:rPr>
      </w:pPr>
      <w:r w:rsidRPr="00910E94">
        <w:rPr>
          <w:rFonts w:ascii="Times New Roman" w:hAnsi="Times New Roman"/>
          <w:b/>
          <w:sz w:val="24"/>
          <w:lang w:val="es-ES_tradnl"/>
        </w:rPr>
        <w:t>Conviene que la OMPI interrumpa los subsidios para primas de seguros de accidentes no laborales.</w:t>
      </w:r>
    </w:p>
    <w:p w:rsidR="004C6755" w:rsidRPr="00910E94" w:rsidRDefault="004C6755" w:rsidP="00B3748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OMPI aceptó interrumpir los subsidios para primas de seguros de accidentes no laborales a partir del 1 de enero </w:t>
      </w:r>
      <w:r w:rsidR="00CC3D7A" w:rsidRPr="00910E94">
        <w:rPr>
          <w:rFonts w:ascii="Times New Roman" w:hAnsi="Times New Roman"/>
          <w:sz w:val="24"/>
          <w:lang w:val="es-ES_tradnl"/>
        </w:rPr>
        <w:t>de 20</w:t>
      </w:r>
      <w:r w:rsidRPr="00910E94">
        <w:rPr>
          <w:rFonts w:ascii="Times New Roman" w:hAnsi="Times New Roman"/>
          <w:sz w:val="24"/>
          <w:lang w:val="es-ES_tradnl"/>
        </w:rPr>
        <w:t>16</w:t>
      </w:r>
      <w:r w:rsidR="00344EE2">
        <w:rPr>
          <w:rFonts w:ascii="Times New Roman" w:hAnsi="Times New Roman"/>
          <w:sz w:val="24"/>
          <w:lang w:val="es-ES_tradnl"/>
        </w:rPr>
        <w:t xml:space="preserve">.  </w:t>
      </w:r>
    </w:p>
    <w:p w:rsidR="004C6755" w:rsidRPr="00910E94" w:rsidRDefault="004C6755" w:rsidP="00B3220A">
      <w:pPr>
        <w:keepNext/>
        <w:spacing w:before="120" w:after="120" w:line="360" w:lineRule="auto"/>
        <w:rPr>
          <w:rFonts w:ascii="Times New Roman" w:hAnsi="Times New Roman"/>
          <w:b/>
          <w:color w:val="002060"/>
          <w:sz w:val="24"/>
          <w:szCs w:val="24"/>
          <w:lang w:val="es-ES_tradnl"/>
        </w:rPr>
      </w:pPr>
      <w:r w:rsidRPr="00910E94">
        <w:rPr>
          <w:rFonts w:ascii="Times New Roman" w:hAnsi="Times New Roman"/>
          <w:b/>
          <w:color w:val="002060"/>
          <w:sz w:val="24"/>
          <w:lang w:val="es-ES_tradnl"/>
        </w:rPr>
        <w:t>Vacaciones en el país de origen</w:t>
      </w:r>
    </w:p>
    <w:p w:rsidR="004C6755" w:rsidRPr="00D20DB9" w:rsidRDefault="004A14D2" w:rsidP="008D05E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D20DB9">
        <w:rPr>
          <w:rFonts w:ascii="Times New Roman" w:hAnsi="Times New Roman"/>
          <w:sz w:val="24"/>
          <w:lang w:val="es-ES_tradnl"/>
        </w:rPr>
        <w:t>Con arreglo a la cláusula </w:t>
      </w:r>
      <w:r w:rsidR="004C6755" w:rsidRPr="00D20DB9">
        <w:rPr>
          <w:rFonts w:ascii="Times New Roman" w:hAnsi="Times New Roman"/>
          <w:sz w:val="24"/>
          <w:lang w:val="es-ES_tradnl"/>
        </w:rPr>
        <w:t>5.3 del Estatuto y Reglamento del Personal, los funcionarios que desempeñen sus funciones fuera de su país de origen tendrán derecho, una vez cada dos años, a tomar vacaciones en su país de origen por cuenta de la OMPI, utilizando los días acumulados de vacaciones anuales</w:t>
      </w:r>
      <w:r w:rsidR="00344EE2" w:rsidRPr="00D20DB9">
        <w:rPr>
          <w:rFonts w:ascii="Times New Roman" w:hAnsi="Times New Roman"/>
          <w:sz w:val="24"/>
          <w:lang w:val="es-ES_tradnl"/>
        </w:rPr>
        <w:t xml:space="preserve">.  </w:t>
      </w:r>
      <w:r w:rsidR="004C6755" w:rsidRPr="00D20DB9">
        <w:rPr>
          <w:rFonts w:ascii="Times New Roman" w:hAnsi="Times New Roman"/>
          <w:sz w:val="24"/>
          <w:lang w:val="es-ES_tradnl"/>
        </w:rPr>
        <w:t>El funcionario también puede aplazar las vacaciones en su país de origen, con ciertas condiciones.</w:t>
      </w:r>
    </w:p>
    <w:p w:rsidR="004C6755" w:rsidRPr="00910E94" w:rsidRDefault="004C6755" w:rsidP="00B3748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Hemos observado, según los datos disponibles en el sistema de gestión de la información, que no existe un límite máximo para el aplazamiento de las vacaciones en el país de origen</w:t>
      </w:r>
      <w:r w:rsidR="00344EE2">
        <w:rPr>
          <w:rFonts w:ascii="Times New Roman" w:hAnsi="Times New Roman"/>
          <w:sz w:val="24"/>
          <w:lang w:val="es-ES_tradnl"/>
        </w:rPr>
        <w:t xml:space="preserve">.  </w:t>
      </w:r>
      <w:r w:rsidRPr="00910E94">
        <w:rPr>
          <w:rFonts w:ascii="Times New Roman" w:hAnsi="Times New Roman"/>
          <w:sz w:val="24"/>
          <w:lang w:val="es-ES_tradnl"/>
        </w:rPr>
        <w:t xml:space="preserve">Mediante nuestros análisis </w:t>
      </w:r>
      <w:r w:rsidR="004A14D2" w:rsidRPr="00910E94">
        <w:rPr>
          <w:rFonts w:ascii="Times New Roman" w:hAnsi="Times New Roman"/>
          <w:sz w:val="24"/>
          <w:lang w:val="es-ES_tradnl"/>
        </w:rPr>
        <w:t>hemos comprobado que existen 37 </w:t>
      </w:r>
      <w:r w:rsidRPr="00910E94">
        <w:rPr>
          <w:rFonts w:ascii="Times New Roman" w:hAnsi="Times New Roman"/>
          <w:sz w:val="24"/>
          <w:lang w:val="es-ES_tradnl"/>
        </w:rPr>
        <w:t xml:space="preserve">casos en los que las vacaciones en el país de origen, devengadas </w:t>
      </w:r>
      <w:r w:rsidR="00CC3D7A" w:rsidRPr="00910E94">
        <w:rPr>
          <w:rFonts w:ascii="Times New Roman" w:hAnsi="Times New Roman"/>
          <w:sz w:val="24"/>
          <w:lang w:val="es-ES_tradnl"/>
        </w:rPr>
        <w:t>en 20</w:t>
      </w:r>
      <w:r w:rsidRPr="00910E94">
        <w:rPr>
          <w:rFonts w:ascii="Times New Roman" w:hAnsi="Times New Roman"/>
          <w:sz w:val="24"/>
          <w:lang w:val="es-ES_tradnl"/>
        </w:rPr>
        <w:t xml:space="preserve">01, han sido aplazadas y aún no han sido disfrutadas (marzo </w:t>
      </w:r>
      <w:r w:rsidR="00CC3D7A" w:rsidRPr="00910E94">
        <w:rPr>
          <w:rFonts w:ascii="Times New Roman" w:hAnsi="Times New Roman"/>
          <w:sz w:val="24"/>
          <w:lang w:val="es-ES_tradnl"/>
        </w:rPr>
        <w:t>de 20</w:t>
      </w:r>
      <w:r w:rsidRPr="00910E94">
        <w:rPr>
          <w:rFonts w:ascii="Times New Roman" w:hAnsi="Times New Roman"/>
          <w:sz w:val="24"/>
          <w:lang w:val="es-ES_tradnl"/>
        </w:rPr>
        <w:t>15)</w:t>
      </w:r>
      <w:r w:rsidR="00344EE2">
        <w:rPr>
          <w:rFonts w:ascii="Times New Roman" w:hAnsi="Times New Roman"/>
          <w:sz w:val="24"/>
          <w:lang w:val="es-ES_tradnl"/>
        </w:rPr>
        <w:t xml:space="preserve">.  </w:t>
      </w:r>
    </w:p>
    <w:p w:rsidR="004C6755" w:rsidRPr="00910E94" w:rsidRDefault="004C6755" w:rsidP="00B3748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declaró que el Estatuto y Reglamento del Personal, en su versión actualmente vigente, es suficiente para asegurar que un funcionario que aplace las vacaciones en el país de origen y finalmente no las disfrute antes de que adquirir derecho a las siguientes, pierda el viaje por vacaciones en el país de origen precedente</w:t>
      </w:r>
      <w:r w:rsidR="00344EE2">
        <w:rPr>
          <w:rFonts w:ascii="Times New Roman" w:hAnsi="Times New Roman"/>
          <w:sz w:val="24"/>
          <w:lang w:val="es-ES_tradnl"/>
        </w:rPr>
        <w:t xml:space="preserve">.  </w:t>
      </w:r>
    </w:p>
    <w:p w:rsidR="004C6755" w:rsidRPr="00910E94" w:rsidRDefault="004C6755" w:rsidP="00B3220A">
      <w:pPr>
        <w:keepNext/>
        <w:spacing w:before="120" w:after="120" w:line="360" w:lineRule="auto"/>
        <w:rPr>
          <w:rFonts w:ascii="Times New Roman" w:hAnsi="Times New Roman"/>
          <w:b/>
          <w:sz w:val="24"/>
          <w:szCs w:val="24"/>
          <w:lang w:val="es-ES_tradnl"/>
        </w:rPr>
      </w:pPr>
      <w:r w:rsidRPr="00910E94">
        <w:rPr>
          <w:rFonts w:ascii="Times New Roman" w:hAnsi="Times New Roman"/>
          <w:b/>
          <w:sz w:val="24"/>
          <w:lang w:val="es-ES_tradnl"/>
        </w:rPr>
        <w:t>Recomendación 15</w:t>
      </w:r>
    </w:p>
    <w:p w:rsidR="004C6755" w:rsidRPr="00910E94" w:rsidRDefault="004C6755" w:rsidP="004C6755">
      <w:pPr>
        <w:pStyle w:val="ListParagraph"/>
        <w:spacing w:before="120" w:after="120" w:line="360" w:lineRule="auto"/>
        <w:ind w:left="0"/>
        <w:contextualSpacing w:val="0"/>
        <w:jc w:val="both"/>
        <w:rPr>
          <w:rFonts w:ascii="Times New Roman" w:hAnsi="Times New Roman"/>
          <w:b/>
          <w:sz w:val="24"/>
          <w:szCs w:val="24"/>
          <w:lang w:val="es-ES_tradnl"/>
        </w:rPr>
      </w:pPr>
      <w:r w:rsidRPr="00910E94">
        <w:rPr>
          <w:rFonts w:ascii="Times New Roman" w:hAnsi="Times New Roman"/>
          <w:b/>
          <w:sz w:val="24"/>
          <w:lang w:val="es-ES_tradnl"/>
        </w:rPr>
        <w:t>Conviene que la OMPI agilice el proceso de actualización del sistema de T.I</w:t>
      </w:r>
      <w:r w:rsidR="00344EE2">
        <w:rPr>
          <w:rFonts w:ascii="Times New Roman" w:hAnsi="Times New Roman"/>
          <w:b/>
          <w:sz w:val="24"/>
          <w:lang w:val="es-ES_tradnl"/>
        </w:rPr>
        <w:t xml:space="preserve">.  </w:t>
      </w:r>
      <w:r w:rsidRPr="00910E94">
        <w:rPr>
          <w:rFonts w:ascii="Times New Roman" w:hAnsi="Times New Roman"/>
          <w:b/>
          <w:sz w:val="24"/>
          <w:lang w:val="es-ES_tradnl"/>
        </w:rPr>
        <w:t>para atenerse a las normas.</w:t>
      </w:r>
    </w:p>
    <w:p w:rsidR="004C6755" w:rsidRPr="00910E94" w:rsidRDefault="004C6755" w:rsidP="00374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aceptó la recomendación</w:t>
      </w:r>
      <w:r w:rsidR="00344EE2">
        <w:rPr>
          <w:rFonts w:ascii="Times New Roman" w:hAnsi="Times New Roman"/>
          <w:sz w:val="24"/>
          <w:lang w:val="es-ES_tradnl"/>
        </w:rPr>
        <w:t xml:space="preserve">.  </w:t>
      </w:r>
      <w:r w:rsidRPr="00910E94">
        <w:rPr>
          <w:rFonts w:ascii="Times New Roman" w:hAnsi="Times New Roman"/>
          <w:sz w:val="24"/>
          <w:lang w:val="es-ES_tradnl"/>
        </w:rPr>
        <w:t>Añadió que el sistema de PRI se configurará de forma que se perderán automáticamente todas las vacaciones en el país de origen que no hayan sido disfrutadas, a menos que exista una razón clara y documentada para prorrogar este derecho</w:t>
      </w:r>
      <w:r w:rsidR="003C43E1" w:rsidRPr="00910E94">
        <w:rPr>
          <w:rFonts w:ascii="Times New Roman" w:hAnsi="Times New Roman"/>
          <w:sz w:val="24"/>
          <w:lang w:val="es-ES_tradnl"/>
        </w:rPr>
        <w:t xml:space="preserve"> </w:t>
      </w:r>
      <w:r w:rsidRPr="00910E94">
        <w:rPr>
          <w:rFonts w:ascii="Times New Roman" w:hAnsi="Times New Roman"/>
          <w:sz w:val="24"/>
          <w:lang w:val="es-ES_tradnl"/>
        </w:rPr>
        <w:t xml:space="preserve"> a vacaciones.</w:t>
      </w:r>
    </w:p>
    <w:p w:rsidR="004C6755" w:rsidRPr="00910E94" w:rsidRDefault="004C6755" w:rsidP="00B3220A">
      <w:pPr>
        <w:keepNext/>
        <w:spacing w:before="120" w:after="120" w:line="360" w:lineRule="auto"/>
        <w:rPr>
          <w:rFonts w:ascii="Times New Roman" w:hAnsi="Times New Roman"/>
          <w:b/>
          <w:color w:val="002060"/>
          <w:sz w:val="24"/>
          <w:szCs w:val="24"/>
          <w:lang w:val="es-ES_tradnl"/>
        </w:rPr>
      </w:pPr>
      <w:r w:rsidRPr="00910E94">
        <w:rPr>
          <w:rFonts w:ascii="Times New Roman" w:hAnsi="Times New Roman"/>
          <w:b/>
          <w:color w:val="002060"/>
          <w:sz w:val="24"/>
          <w:lang w:val="es-ES_tradnl"/>
        </w:rPr>
        <w:lastRenderedPageBreak/>
        <w:t>Nombramientos</w:t>
      </w:r>
    </w:p>
    <w:p w:rsidR="004C6755" w:rsidRPr="00910E94" w:rsidRDefault="00CC3D7A" w:rsidP="004B531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Con arreglo al artículo 5 del anexo III </w:t>
      </w:r>
      <w:r w:rsidR="004C6755" w:rsidRPr="00910E94">
        <w:rPr>
          <w:rFonts w:ascii="Times New Roman" w:hAnsi="Times New Roman"/>
          <w:sz w:val="24"/>
          <w:lang w:val="es-ES_tradnl"/>
        </w:rPr>
        <w:t>del Estatuto y Reglamento del Per</w:t>
      </w:r>
      <w:r w:rsidRPr="00910E94">
        <w:rPr>
          <w:rFonts w:ascii="Times New Roman" w:hAnsi="Times New Roman"/>
          <w:sz w:val="24"/>
          <w:lang w:val="es-ES_tradnl"/>
        </w:rPr>
        <w:t>sonal y la orden de servicio nº </w:t>
      </w:r>
      <w:r w:rsidR="004C6755" w:rsidRPr="00910E94">
        <w:rPr>
          <w:rFonts w:ascii="Times New Roman" w:hAnsi="Times New Roman"/>
          <w:sz w:val="24"/>
          <w:lang w:val="es-ES_tradnl"/>
        </w:rPr>
        <w:t>11/2013 sobre procedimientos de selección para nombramientos temporales, los puestos temporales cuya duración prevista sea superior a seis meses se cubrirán mediante un proceso de selección por concurso, mediante la publicación de un anuncio de vacante para un puesto específico o mediante una combinación de ambos procedimientos</w:t>
      </w:r>
      <w:r w:rsidR="00344EE2">
        <w:rPr>
          <w:rFonts w:ascii="Times New Roman" w:hAnsi="Times New Roman"/>
          <w:sz w:val="24"/>
          <w:lang w:val="es-ES_tradnl"/>
        </w:rPr>
        <w:t xml:space="preserve">.  </w:t>
      </w:r>
      <w:r w:rsidR="004C6755" w:rsidRPr="00910E94">
        <w:rPr>
          <w:rFonts w:ascii="Times New Roman" w:hAnsi="Times New Roman"/>
          <w:sz w:val="24"/>
          <w:lang w:val="es-ES_tradnl"/>
        </w:rPr>
        <w:t>No obstante, el Director General puede autorizar una excepción al proceso de selección por concurso</w:t>
      </w:r>
      <w:r w:rsidR="003C43E1" w:rsidRPr="00910E94">
        <w:rPr>
          <w:rFonts w:ascii="Times New Roman" w:hAnsi="Times New Roman"/>
          <w:sz w:val="24"/>
          <w:lang w:val="es-ES_tradnl"/>
        </w:rPr>
        <w:t xml:space="preserve"> </w:t>
      </w:r>
      <w:r w:rsidR="004C6755" w:rsidRPr="00910E94">
        <w:rPr>
          <w:rFonts w:ascii="Times New Roman" w:hAnsi="Times New Roman"/>
          <w:sz w:val="24"/>
          <w:lang w:val="es-ES_tradnl"/>
        </w:rPr>
        <w:t>para nombramientos temporales si considera que ello favorece los intereses de la Organización.</w:t>
      </w:r>
    </w:p>
    <w:p w:rsidR="004C6755" w:rsidRPr="00910E94" w:rsidRDefault="004C6755" w:rsidP="00693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Con ocasión del examen de seis casos de nombramientos directos realizados </w:t>
      </w:r>
      <w:r w:rsidR="00CC3D7A" w:rsidRPr="00910E94">
        <w:rPr>
          <w:rFonts w:ascii="Times New Roman" w:hAnsi="Times New Roman"/>
          <w:sz w:val="24"/>
          <w:lang w:val="es-ES_tradnl"/>
        </w:rPr>
        <w:t>en 20</w:t>
      </w:r>
      <w:r w:rsidRPr="00910E94">
        <w:rPr>
          <w:rFonts w:ascii="Times New Roman" w:hAnsi="Times New Roman"/>
          <w:sz w:val="24"/>
          <w:lang w:val="es-ES_tradnl"/>
        </w:rPr>
        <w:t>12</w:t>
      </w:r>
      <w:r w:rsidR="00693071" w:rsidRPr="00910E94">
        <w:rPr>
          <w:rFonts w:ascii="Times New Roman" w:hAnsi="Times New Roman"/>
          <w:sz w:val="24"/>
          <w:lang w:val="es-ES_tradnl"/>
        </w:rPr>
        <w:noBreakHyphen/>
      </w:r>
      <w:r w:rsidRPr="00910E94">
        <w:rPr>
          <w:rFonts w:ascii="Times New Roman" w:hAnsi="Times New Roman"/>
          <w:sz w:val="24"/>
          <w:lang w:val="es-ES_tradnl"/>
        </w:rPr>
        <w:t>2014 al amparo de la facultad excepcional del Director General se detectaron los siguientes problemas</w:t>
      </w:r>
      <w:r w:rsidR="00344EE2">
        <w:rPr>
          <w:rFonts w:ascii="Times New Roman" w:hAnsi="Times New Roman"/>
          <w:sz w:val="24"/>
          <w:lang w:val="es-ES_tradnl"/>
        </w:rPr>
        <w:t xml:space="preserve">.  </w:t>
      </w:r>
    </w:p>
    <w:p w:rsidR="004C6755" w:rsidRPr="00910E94" w:rsidRDefault="009C736A" w:rsidP="005C206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Un funcionario fue designado para el grado</w:t>
      </w:r>
      <w:r w:rsidR="005C2064" w:rsidRPr="00910E94">
        <w:rPr>
          <w:rFonts w:ascii="Times New Roman" w:hAnsi="Times New Roman"/>
          <w:sz w:val="24"/>
          <w:lang w:val="es-ES_tradnl"/>
        </w:rPr>
        <w:t> </w:t>
      </w:r>
      <w:r w:rsidRPr="00910E94">
        <w:rPr>
          <w:rFonts w:ascii="Times New Roman" w:hAnsi="Times New Roman"/>
          <w:sz w:val="24"/>
          <w:lang w:val="es-ES_tradnl"/>
        </w:rPr>
        <w:t>P3, por una duración inicial de seis meses, mediante selección directa</w:t>
      </w:r>
      <w:r w:rsidR="00344EE2">
        <w:rPr>
          <w:rFonts w:ascii="Times New Roman" w:hAnsi="Times New Roman"/>
          <w:sz w:val="24"/>
          <w:lang w:val="es-ES_tradnl"/>
        </w:rPr>
        <w:t xml:space="preserve">.  </w:t>
      </w:r>
      <w:r w:rsidRPr="00910E94">
        <w:rPr>
          <w:rFonts w:ascii="Times New Roman" w:hAnsi="Times New Roman"/>
          <w:sz w:val="24"/>
          <w:lang w:val="es-ES_tradnl"/>
        </w:rPr>
        <w:t>Este nombramiento fue posteriormente prorrogado por otros seis meses, con la aprobación excepcional del Director General y sin convocar un proceso de concurso, aduciendo como motivo la exigencia de garantizar la continuidad de las actividades y la necesidad de remitir notificación con una antelación suficiente a un funcionario que había estado al servicio de la Organización durante más de siete años</w:t>
      </w:r>
      <w:r w:rsidR="00344EE2">
        <w:rPr>
          <w:rFonts w:ascii="Times New Roman" w:hAnsi="Times New Roman"/>
          <w:sz w:val="24"/>
          <w:lang w:val="es-ES_tradnl"/>
        </w:rPr>
        <w:t xml:space="preserve">.  </w:t>
      </w:r>
      <w:r w:rsidRPr="00910E94">
        <w:rPr>
          <w:rFonts w:ascii="Times New Roman" w:hAnsi="Times New Roman"/>
          <w:sz w:val="24"/>
          <w:lang w:val="es-ES_tradnl"/>
        </w:rPr>
        <w:t>Hemos apreciado que la descripción del puesto no fue clara, por lo que el proceso de concurso fue suspendido en un primer momento y posteriormente fue cancelado, a raíz de lo cual tuvieron que prorrogarse los nombramientos temporales</w:t>
      </w:r>
      <w:r w:rsidR="00344EE2">
        <w:rPr>
          <w:rFonts w:ascii="Times New Roman" w:hAnsi="Times New Roman"/>
          <w:sz w:val="24"/>
          <w:lang w:val="es-ES_tradnl"/>
        </w:rPr>
        <w:t xml:space="preserve">.  </w:t>
      </w:r>
    </w:p>
    <w:p w:rsidR="004C6755" w:rsidRPr="00910E94" w:rsidRDefault="004C6755" w:rsidP="00374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En otro caso, tres empleados fueron nombrados directamente en enero </w:t>
      </w:r>
      <w:r w:rsidR="00CC3D7A" w:rsidRPr="00910E94">
        <w:rPr>
          <w:rFonts w:ascii="Times New Roman" w:hAnsi="Times New Roman"/>
          <w:sz w:val="24"/>
          <w:lang w:val="es-ES_tradnl"/>
        </w:rPr>
        <w:t>de 20</w:t>
      </w:r>
      <w:r w:rsidRPr="00910E94">
        <w:rPr>
          <w:rFonts w:ascii="Times New Roman" w:hAnsi="Times New Roman"/>
          <w:sz w:val="24"/>
          <w:lang w:val="es-ES_tradnl"/>
        </w:rPr>
        <w:t>14 para puestos temporales de nueva creación</w:t>
      </w:r>
      <w:r w:rsidR="00344EE2">
        <w:rPr>
          <w:rFonts w:ascii="Times New Roman" w:hAnsi="Times New Roman"/>
          <w:sz w:val="24"/>
          <w:lang w:val="es-ES_tradnl"/>
        </w:rPr>
        <w:t xml:space="preserve">.  </w:t>
      </w:r>
      <w:r w:rsidRPr="00910E94">
        <w:rPr>
          <w:rFonts w:ascii="Times New Roman" w:hAnsi="Times New Roman"/>
          <w:sz w:val="24"/>
          <w:lang w:val="es-ES_tradnl"/>
        </w:rPr>
        <w:t xml:space="preserve">Posteriormente, se asignaron dos puestos fijos transformando los puestos temporales en permanentes, y se publicaron anuncios de </w:t>
      </w:r>
      <w:r w:rsidR="00910E94" w:rsidRPr="00910E94">
        <w:rPr>
          <w:rFonts w:ascii="Times New Roman" w:hAnsi="Times New Roman"/>
          <w:sz w:val="24"/>
          <w:lang w:val="es-ES_tradnl"/>
        </w:rPr>
        <w:t>vacantes</w:t>
      </w:r>
      <w:r w:rsidR="00344EE2">
        <w:rPr>
          <w:rFonts w:ascii="Times New Roman" w:hAnsi="Times New Roman"/>
          <w:sz w:val="24"/>
          <w:lang w:val="es-ES_tradnl"/>
        </w:rPr>
        <w:t xml:space="preserve">.  </w:t>
      </w:r>
      <w:r w:rsidRPr="00910E94">
        <w:rPr>
          <w:rFonts w:ascii="Times New Roman" w:hAnsi="Times New Roman"/>
          <w:sz w:val="24"/>
          <w:lang w:val="es-ES_tradnl"/>
        </w:rPr>
        <w:t>Se decidió que las prórrogas de los contratos estarán vinculadas a un proceso de selección y, en caso de que no se superara la selección, no se concederán nuevas prórrogas de los contratos</w:t>
      </w:r>
      <w:r w:rsidR="00344EE2">
        <w:rPr>
          <w:rFonts w:ascii="Times New Roman" w:hAnsi="Times New Roman"/>
          <w:sz w:val="24"/>
          <w:lang w:val="es-ES_tradnl"/>
        </w:rPr>
        <w:t xml:space="preserve">.  </w:t>
      </w:r>
      <w:r w:rsidRPr="00910E94">
        <w:rPr>
          <w:rFonts w:ascii="Times New Roman" w:hAnsi="Times New Roman"/>
          <w:sz w:val="24"/>
          <w:lang w:val="es-ES_tradnl"/>
        </w:rPr>
        <w:t>En el marco del concurso, una de estas personas fue seleccionada y nombrada</w:t>
      </w:r>
      <w:r w:rsidR="00344EE2">
        <w:rPr>
          <w:rFonts w:ascii="Times New Roman" w:hAnsi="Times New Roman"/>
          <w:sz w:val="24"/>
          <w:lang w:val="es-ES_tradnl"/>
        </w:rPr>
        <w:t xml:space="preserve">.  </w:t>
      </w:r>
      <w:r w:rsidRPr="00910E94">
        <w:rPr>
          <w:rFonts w:ascii="Times New Roman" w:hAnsi="Times New Roman"/>
          <w:sz w:val="24"/>
          <w:lang w:val="es-ES_tradnl"/>
        </w:rPr>
        <w:t>Aunque los otros dos funcionarios no superaron el concurso, sus nombramientos fueron prorrogados periódicamente</w:t>
      </w:r>
      <w:r w:rsidR="00344EE2">
        <w:rPr>
          <w:rFonts w:ascii="Times New Roman" w:hAnsi="Times New Roman"/>
          <w:sz w:val="24"/>
          <w:lang w:val="es-ES_tradnl"/>
        </w:rPr>
        <w:t xml:space="preserve">.  </w:t>
      </w:r>
      <w:r w:rsidRPr="00910E94">
        <w:rPr>
          <w:rFonts w:ascii="Times New Roman" w:hAnsi="Times New Roman"/>
          <w:sz w:val="24"/>
          <w:lang w:val="es-ES_tradnl"/>
        </w:rPr>
        <w:t>Entre tanto se revisó el perfil del puesto y fue modificada la descripción del mismo.</w:t>
      </w:r>
    </w:p>
    <w:p w:rsidR="008D05E4" w:rsidRPr="00910E94" w:rsidRDefault="008D05E4" w:rsidP="008D05E4">
      <w:pPr>
        <w:pStyle w:val="ListParagraph"/>
        <w:numPr>
          <w:ilvl w:val="0"/>
          <w:numId w:val="4"/>
        </w:numPr>
        <w:autoSpaceDE w:val="0"/>
        <w:autoSpaceDN w:val="0"/>
        <w:adjustRightInd w:val="0"/>
        <w:spacing w:before="120" w:after="120" w:line="360" w:lineRule="auto"/>
        <w:jc w:val="both"/>
        <w:rPr>
          <w:rFonts w:ascii="Times New Roman" w:hAnsi="Times New Roman"/>
          <w:sz w:val="24"/>
          <w:szCs w:val="24"/>
          <w:lang w:val="es-ES_tradnl"/>
        </w:rPr>
      </w:pPr>
      <w:r w:rsidRPr="00910E94">
        <w:rPr>
          <w:rFonts w:ascii="Times New Roman" w:hAnsi="Times New Roman"/>
          <w:sz w:val="24"/>
          <w:lang w:val="es-ES_tradnl"/>
        </w:rPr>
        <w:t>La OMPI contestó que:</w:t>
      </w:r>
    </w:p>
    <w:p w:rsidR="008D05E4" w:rsidRPr="00910E94" w:rsidRDefault="008D05E4" w:rsidP="00693071">
      <w:pPr>
        <w:numPr>
          <w:ilvl w:val="0"/>
          <w:numId w:val="25"/>
        </w:numPr>
        <w:spacing w:after="0" w:line="360" w:lineRule="auto"/>
        <w:ind w:left="720"/>
        <w:jc w:val="both"/>
        <w:rPr>
          <w:rFonts w:ascii="Times New Roman" w:hAnsi="Times New Roman"/>
          <w:sz w:val="24"/>
          <w:szCs w:val="24"/>
          <w:lang w:val="es-ES_tradnl"/>
        </w:rPr>
      </w:pPr>
      <w:r w:rsidRPr="00910E94">
        <w:rPr>
          <w:rFonts w:ascii="Times New Roman" w:hAnsi="Times New Roman"/>
          <w:sz w:val="24"/>
          <w:lang w:val="es-ES_tradnl"/>
        </w:rPr>
        <w:lastRenderedPageBreak/>
        <w:t>Los cuatro funcionarios con nombramiento temporal mencionados en la observación de la auditoría estaban comprendidos en el ámbito de aplicación de las medidas transitorias previstas en el Estatuto y Reglamento del Personal, por lo que no estaban sujetos a la duración límite de dos años, sino a un plazo límite de cinco años contados a partir del</w:t>
      </w:r>
      <w:r w:rsidR="00693071" w:rsidRPr="00910E94">
        <w:rPr>
          <w:rFonts w:ascii="Times New Roman" w:hAnsi="Times New Roman"/>
          <w:sz w:val="24"/>
          <w:lang w:val="es-ES_tradnl"/>
        </w:rPr>
        <w:t> </w:t>
      </w:r>
      <w:r w:rsidRPr="00910E94">
        <w:rPr>
          <w:rFonts w:ascii="Times New Roman" w:hAnsi="Times New Roman"/>
          <w:sz w:val="24"/>
          <w:lang w:val="es-ES_tradnl"/>
        </w:rPr>
        <w:t xml:space="preserve">1 de enero </w:t>
      </w:r>
      <w:r w:rsidR="00CC3D7A" w:rsidRPr="00910E94">
        <w:rPr>
          <w:rFonts w:ascii="Times New Roman" w:hAnsi="Times New Roman"/>
          <w:sz w:val="24"/>
          <w:lang w:val="es-ES_tradnl"/>
        </w:rPr>
        <w:t>de 20</w:t>
      </w:r>
      <w:r w:rsidRPr="00910E94">
        <w:rPr>
          <w:rFonts w:ascii="Times New Roman" w:hAnsi="Times New Roman"/>
          <w:sz w:val="24"/>
          <w:lang w:val="es-ES_tradnl"/>
        </w:rPr>
        <w:t>13.</w:t>
      </w:r>
    </w:p>
    <w:p w:rsidR="008D05E4" w:rsidRPr="00910E94" w:rsidRDefault="008D05E4" w:rsidP="00693071">
      <w:pPr>
        <w:numPr>
          <w:ilvl w:val="0"/>
          <w:numId w:val="25"/>
        </w:numPr>
        <w:spacing w:after="0" w:line="360" w:lineRule="auto"/>
        <w:ind w:left="720"/>
        <w:jc w:val="both"/>
        <w:rPr>
          <w:rFonts w:ascii="Times New Roman" w:hAnsi="Times New Roman"/>
          <w:sz w:val="24"/>
          <w:szCs w:val="24"/>
          <w:lang w:val="es-ES_tradnl"/>
        </w:rPr>
      </w:pPr>
      <w:r w:rsidRPr="00910E94">
        <w:rPr>
          <w:rFonts w:ascii="Times New Roman" w:hAnsi="Times New Roman"/>
          <w:sz w:val="24"/>
          <w:lang w:val="es-ES_tradnl"/>
        </w:rPr>
        <w:t>En estos cuatro casos, el Director General aprobó la regularización de las funciones que tales funcionarios con nombramiento temporal desempeñaban o desempeñan en la actualidad, después de que los Estados miembros autorizaran la regularización de</w:t>
      </w:r>
      <w:r w:rsidR="00693071" w:rsidRPr="00910E94">
        <w:rPr>
          <w:rFonts w:ascii="Times New Roman" w:hAnsi="Times New Roman"/>
          <w:sz w:val="24"/>
          <w:lang w:val="es-ES_tradnl"/>
        </w:rPr>
        <w:t> </w:t>
      </w:r>
      <w:r w:rsidRPr="00910E94">
        <w:rPr>
          <w:rFonts w:ascii="Times New Roman" w:hAnsi="Times New Roman"/>
          <w:sz w:val="24"/>
          <w:lang w:val="es-ES_tradnl"/>
        </w:rPr>
        <w:t>66</w:t>
      </w:r>
      <w:r w:rsidR="00693071" w:rsidRPr="00910E94">
        <w:rPr>
          <w:rFonts w:ascii="Times New Roman" w:hAnsi="Times New Roman"/>
          <w:sz w:val="24"/>
          <w:lang w:val="es-ES_tradnl"/>
        </w:rPr>
        <w:t> </w:t>
      </w:r>
      <w:r w:rsidRPr="00910E94">
        <w:rPr>
          <w:rFonts w:ascii="Times New Roman" w:hAnsi="Times New Roman"/>
          <w:sz w:val="24"/>
          <w:lang w:val="es-ES_tradnl"/>
        </w:rPr>
        <w:t>funciones temporales de la Organización que se consideraron de naturaleza permanente</w:t>
      </w:r>
      <w:r w:rsidR="00344EE2">
        <w:rPr>
          <w:rFonts w:ascii="Times New Roman" w:hAnsi="Times New Roman"/>
          <w:sz w:val="24"/>
          <w:lang w:val="es-ES_tradnl"/>
        </w:rPr>
        <w:t xml:space="preserve">.  </w:t>
      </w:r>
      <w:r w:rsidRPr="00910E94">
        <w:rPr>
          <w:rFonts w:ascii="Times New Roman" w:hAnsi="Times New Roman"/>
          <w:sz w:val="24"/>
          <w:lang w:val="es-ES_tradnl"/>
        </w:rPr>
        <w:t>La regularización de estas 66 funciones temporales autorizada por los Estados miembros ha incrementado significativamente el volumen de contratación de la sección de pl</w:t>
      </w:r>
      <w:r w:rsidR="003C43E1" w:rsidRPr="00910E94">
        <w:rPr>
          <w:rFonts w:ascii="Times New Roman" w:hAnsi="Times New Roman"/>
          <w:sz w:val="24"/>
          <w:lang w:val="es-ES_tradnl"/>
        </w:rPr>
        <w:t xml:space="preserve">anificación de recursos humanos </w:t>
      </w:r>
      <w:r w:rsidRPr="00910E94">
        <w:rPr>
          <w:rFonts w:ascii="Times New Roman" w:hAnsi="Times New Roman"/>
          <w:sz w:val="24"/>
          <w:lang w:val="es-ES_tradnl"/>
        </w:rPr>
        <w:t>(un aum</w:t>
      </w:r>
      <w:r w:rsidR="00693071" w:rsidRPr="00910E94">
        <w:rPr>
          <w:rFonts w:ascii="Times New Roman" w:hAnsi="Times New Roman"/>
          <w:sz w:val="24"/>
          <w:lang w:val="es-ES_tradnl"/>
        </w:rPr>
        <w:t>ento del 33% en comparación con </w:t>
      </w:r>
      <w:r w:rsidRPr="00910E94">
        <w:rPr>
          <w:rFonts w:ascii="Times New Roman" w:hAnsi="Times New Roman"/>
          <w:sz w:val="24"/>
          <w:lang w:val="es-ES_tradnl"/>
        </w:rPr>
        <w:t>2013)</w:t>
      </w:r>
      <w:r w:rsidR="00344EE2">
        <w:rPr>
          <w:rFonts w:ascii="Times New Roman" w:hAnsi="Times New Roman"/>
          <w:sz w:val="24"/>
          <w:lang w:val="es-ES_tradnl"/>
        </w:rPr>
        <w:t xml:space="preserve">.  </w:t>
      </w:r>
      <w:r w:rsidRPr="00910E94">
        <w:rPr>
          <w:rFonts w:ascii="Times New Roman" w:hAnsi="Times New Roman"/>
          <w:sz w:val="24"/>
          <w:lang w:val="es-ES_tradnl"/>
        </w:rPr>
        <w:t>Aunque se han desplegado todos los esfuerzos para priorizar</w:t>
      </w:r>
      <w:r w:rsidR="003C43E1" w:rsidRPr="00910E94">
        <w:rPr>
          <w:rFonts w:ascii="Times New Roman" w:hAnsi="Times New Roman"/>
          <w:sz w:val="24"/>
          <w:lang w:val="es-ES_tradnl"/>
        </w:rPr>
        <w:t xml:space="preserve"> </w:t>
      </w:r>
      <w:r w:rsidRPr="00910E94">
        <w:rPr>
          <w:rFonts w:ascii="Times New Roman" w:hAnsi="Times New Roman"/>
          <w:sz w:val="24"/>
          <w:lang w:val="es-ES_tradnl"/>
        </w:rPr>
        <w:t>el proceso de selección de este grupo, a fin de evitar prórrogas contractuales innecesarias y excepcionales, no siempre ha sido posible por el elevado número de selecciones</w:t>
      </w:r>
      <w:r w:rsidR="00344EE2">
        <w:rPr>
          <w:rFonts w:ascii="Times New Roman" w:hAnsi="Times New Roman"/>
          <w:sz w:val="24"/>
          <w:lang w:val="es-ES_tradnl"/>
        </w:rPr>
        <w:t xml:space="preserve">.  </w:t>
      </w:r>
      <w:r w:rsidRPr="00910E94">
        <w:rPr>
          <w:rFonts w:ascii="Times New Roman" w:hAnsi="Times New Roman"/>
          <w:sz w:val="24"/>
          <w:lang w:val="es-ES_tradnl"/>
        </w:rPr>
        <w:t>Al aprobar las prórrogas excepcionales de contratos, el Director General persigue también garantizar la continuidad de estas funciones hasta que sean regularizadas.</w:t>
      </w:r>
    </w:p>
    <w:p w:rsidR="008D05E4" w:rsidRPr="00910E94" w:rsidRDefault="008D05E4" w:rsidP="00E24DBD">
      <w:pPr>
        <w:numPr>
          <w:ilvl w:val="0"/>
          <w:numId w:val="25"/>
        </w:numPr>
        <w:spacing w:after="0" w:line="360" w:lineRule="auto"/>
        <w:ind w:left="720"/>
        <w:jc w:val="both"/>
        <w:rPr>
          <w:rFonts w:ascii="Times New Roman" w:hAnsi="Times New Roman"/>
          <w:sz w:val="24"/>
          <w:szCs w:val="24"/>
          <w:lang w:val="es-ES_tradnl"/>
        </w:rPr>
      </w:pPr>
      <w:r w:rsidRPr="00910E94">
        <w:rPr>
          <w:rFonts w:ascii="Times New Roman" w:hAnsi="Times New Roman"/>
          <w:sz w:val="24"/>
          <w:lang w:val="es-ES_tradnl"/>
        </w:rPr>
        <w:t>En cuanto al segund</w:t>
      </w:r>
      <w:r w:rsidR="00693071" w:rsidRPr="00910E94">
        <w:rPr>
          <w:rFonts w:ascii="Times New Roman" w:hAnsi="Times New Roman"/>
          <w:sz w:val="24"/>
          <w:lang w:val="es-ES_tradnl"/>
        </w:rPr>
        <w:t>o caso mencionado en el párrafo </w:t>
      </w:r>
      <w:r w:rsidRPr="00910E94">
        <w:rPr>
          <w:rFonts w:ascii="Times New Roman" w:hAnsi="Times New Roman"/>
          <w:sz w:val="24"/>
          <w:lang w:val="es-ES_tradnl"/>
        </w:rPr>
        <w:t>115, entre el primer anuncio y el segundo, los cambios registrados en las competencias lingüísticas de la División requerían una revisión de la descripción del puesto</w:t>
      </w:r>
      <w:r w:rsidR="00344EE2">
        <w:rPr>
          <w:rFonts w:ascii="Times New Roman" w:hAnsi="Times New Roman"/>
          <w:sz w:val="24"/>
          <w:lang w:val="es-ES_tradnl"/>
        </w:rPr>
        <w:t xml:space="preserve">.  </w:t>
      </w:r>
      <w:r w:rsidRPr="00910E94">
        <w:rPr>
          <w:rFonts w:ascii="Times New Roman" w:hAnsi="Times New Roman"/>
          <w:sz w:val="24"/>
          <w:lang w:val="es-ES_tradnl"/>
        </w:rPr>
        <w:t>Así pues, el problema no estriba en que la descripción del puesto no fuera exacta inicialmente</w:t>
      </w:r>
      <w:r w:rsidR="00344EE2">
        <w:rPr>
          <w:rFonts w:ascii="Times New Roman" w:hAnsi="Times New Roman"/>
          <w:sz w:val="24"/>
          <w:lang w:val="es-ES_tradnl"/>
        </w:rPr>
        <w:t xml:space="preserve">.  </w:t>
      </w:r>
      <w:r w:rsidRPr="00910E94">
        <w:rPr>
          <w:rFonts w:ascii="Times New Roman" w:hAnsi="Times New Roman"/>
          <w:sz w:val="24"/>
          <w:lang w:val="es-ES_tradnl"/>
        </w:rPr>
        <w:t>En el primer c</w:t>
      </w:r>
      <w:r w:rsidR="00693071" w:rsidRPr="00910E94">
        <w:rPr>
          <w:rFonts w:ascii="Times New Roman" w:hAnsi="Times New Roman"/>
          <w:sz w:val="24"/>
          <w:lang w:val="es-ES_tradnl"/>
        </w:rPr>
        <w:t>aso que se indica en el párrafo </w:t>
      </w:r>
      <w:r w:rsidRPr="00910E94">
        <w:rPr>
          <w:rFonts w:ascii="Times New Roman" w:hAnsi="Times New Roman"/>
          <w:sz w:val="24"/>
          <w:lang w:val="es-ES_tradnl"/>
        </w:rPr>
        <w:t>114, la descripción inicial se vio afectada por la adopción de una nueva política.</w:t>
      </w:r>
    </w:p>
    <w:p w:rsidR="004C6755" w:rsidRPr="00910E94" w:rsidRDefault="004C6755" w:rsidP="00F5293F">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En nuestra opinión, la continuidad del nombramiento de personas que no han superado el concurso contraviene el requisito establecido por la propia OMPI según el cual </w:t>
      </w:r>
      <w:r w:rsidR="00693071" w:rsidRPr="00910E94">
        <w:rPr>
          <w:rFonts w:ascii="Times New Roman" w:hAnsi="Times New Roman"/>
          <w:sz w:val="24"/>
          <w:lang w:val="es-ES_tradnl"/>
        </w:rPr>
        <w:t>“</w:t>
      </w:r>
      <w:r w:rsidRPr="00910E94">
        <w:rPr>
          <w:rFonts w:ascii="Times New Roman" w:hAnsi="Times New Roman"/>
          <w:sz w:val="24"/>
          <w:lang w:val="es-ES_tradnl"/>
        </w:rPr>
        <w:t>las prórrogas de los contratos estarán vinculadas a un proceso de selección y, en caso de que no se superara la selección, no se concederán nuevas prórrogas de los contratos</w:t>
      </w:r>
      <w:r w:rsidR="00693071" w:rsidRPr="00910E94">
        <w:rPr>
          <w:rFonts w:ascii="Times New Roman" w:hAnsi="Times New Roman"/>
          <w:sz w:val="24"/>
          <w:lang w:val="es-ES_tradnl"/>
        </w:rPr>
        <w:t>”</w:t>
      </w:r>
      <w:r w:rsidR="00344EE2">
        <w:rPr>
          <w:rFonts w:ascii="Times New Roman" w:hAnsi="Times New Roman"/>
          <w:sz w:val="24"/>
          <w:lang w:val="es-ES_tradnl"/>
        </w:rPr>
        <w:t xml:space="preserve">.  </w:t>
      </w:r>
      <w:r w:rsidRPr="00910E94">
        <w:rPr>
          <w:rFonts w:ascii="Times New Roman" w:hAnsi="Times New Roman"/>
          <w:sz w:val="24"/>
          <w:lang w:val="es-ES_tradnl"/>
        </w:rPr>
        <w:t>El límite de cinco años no sería aplicable en estos supuestos, ya que la prórroga se concedió a funcionarios que no superaron el proceso de selección por concurso.</w:t>
      </w:r>
    </w:p>
    <w:p w:rsidR="004C6755" w:rsidRPr="00910E94" w:rsidRDefault="004C6755" w:rsidP="00B3220A">
      <w:pPr>
        <w:keepNext/>
        <w:spacing w:before="120" w:after="120" w:line="360" w:lineRule="auto"/>
        <w:rPr>
          <w:rFonts w:ascii="Times New Roman" w:hAnsi="Times New Roman"/>
          <w:b/>
          <w:sz w:val="24"/>
          <w:szCs w:val="24"/>
          <w:lang w:val="es-ES_tradnl"/>
        </w:rPr>
      </w:pPr>
      <w:r w:rsidRPr="00910E94">
        <w:rPr>
          <w:rFonts w:ascii="Times New Roman" w:hAnsi="Times New Roman"/>
          <w:b/>
          <w:sz w:val="24"/>
          <w:lang w:val="es-ES_tradnl"/>
        </w:rPr>
        <w:t>Recomendación 16</w:t>
      </w:r>
    </w:p>
    <w:p w:rsidR="004C6755" w:rsidRPr="00910E94" w:rsidRDefault="004C6755" w:rsidP="004C6755">
      <w:pPr>
        <w:pStyle w:val="ListParagraph"/>
        <w:spacing w:before="120" w:after="120" w:line="360" w:lineRule="auto"/>
        <w:ind w:left="0"/>
        <w:contextualSpacing w:val="0"/>
        <w:jc w:val="both"/>
        <w:rPr>
          <w:rFonts w:ascii="Times New Roman" w:hAnsi="Times New Roman"/>
          <w:b/>
          <w:sz w:val="24"/>
          <w:szCs w:val="24"/>
          <w:lang w:val="es-ES_tradnl"/>
        </w:rPr>
      </w:pPr>
      <w:r w:rsidRPr="00910E94">
        <w:rPr>
          <w:rFonts w:ascii="Times New Roman" w:hAnsi="Times New Roman"/>
          <w:b/>
          <w:sz w:val="24"/>
          <w:lang w:val="es-ES_tradnl"/>
        </w:rPr>
        <w:t xml:space="preserve">Recomendamos que en los supuestos en que los nombramientos temporales se prorroguen sin convocar un concurso, con objeto de que pueda llevarse a cabo un </w:t>
      </w:r>
      <w:r w:rsidRPr="00910E94">
        <w:rPr>
          <w:rFonts w:ascii="Times New Roman" w:hAnsi="Times New Roman"/>
          <w:b/>
          <w:sz w:val="24"/>
          <w:lang w:val="es-ES_tradnl"/>
        </w:rPr>
        <w:lastRenderedPageBreak/>
        <w:t>concurso para un nombramiento de plazo fijo, se termine con prontitud el proceso para cubrir los puestos mediante selección por concurso, prestando la debida atención a la configuración de la descripción del puesto a fin de evitar demoras.</w:t>
      </w:r>
    </w:p>
    <w:p w:rsidR="004C6755" w:rsidRPr="00910E94" w:rsidRDefault="004C6755" w:rsidP="00F5293F">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contestó que el Departamento de Gestión de Recursos Humanos está llevando a cabo actualmente un examen de todas las descripciones de puestos de la Organización con objeto de garantizar que los deberes y responsabilidades de todos los puestos estén actualizados y reflejen con exactitud las exigencias del puesto</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OMPI comunicó que abandonará la práctica de prorrogar los nombramientos temporales durante períodos prolongados, una vez que finalice la fase transitoria y existan funcionarios con nombramiento temporal con el </w:t>
      </w:r>
      <w:r w:rsidR="00693071" w:rsidRPr="00910E94">
        <w:rPr>
          <w:rFonts w:ascii="Times New Roman" w:hAnsi="Times New Roman"/>
          <w:sz w:val="24"/>
          <w:lang w:val="es-ES_tradnl"/>
        </w:rPr>
        <w:t>límite de dos años a partir del </w:t>
      </w:r>
      <w:r w:rsidRPr="00910E94">
        <w:rPr>
          <w:rFonts w:ascii="Times New Roman" w:hAnsi="Times New Roman"/>
          <w:sz w:val="24"/>
          <w:lang w:val="es-ES_tradnl"/>
        </w:rPr>
        <w:t xml:space="preserve">31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17.</w:t>
      </w:r>
    </w:p>
    <w:p w:rsidR="004C6755" w:rsidRPr="00910E94" w:rsidRDefault="004C6755" w:rsidP="00B3220A">
      <w:pPr>
        <w:keepNext/>
        <w:spacing w:before="120" w:after="120" w:line="360" w:lineRule="auto"/>
        <w:rPr>
          <w:rFonts w:ascii="Times New Roman" w:hAnsi="Times New Roman"/>
          <w:b/>
          <w:color w:val="002060"/>
          <w:sz w:val="24"/>
          <w:szCs w:val="24"/>
          <w:lang w:val="es-ES_tradnl"/>
        </w:rPr>
      </w:pPr>
      <w:r w:rsidRPr="00910E94">
        <w:rPr>
          <w:rFonts w:ascii="Times New Roman" w:hAnsi="Times New Roman"/>
          <w:b/>
          <w:color w:val="002060"/>
          <w:sz w:val="24"/>
          <w:lang w:val="es-ES_tradnl"/>
        </w:rPr>
        <w:t>Prestaciones familiares</w:t>
      </w:r>
    </w:p>
    <w:p w:rsidR="004C6755" w:rsidRPr="00910E94" w:rsidRDefault="00693071" w:rsidP="004B531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Conforme a la cláusula </w:t>
      </w:r>
      <w:r w:rsidR="004C6755" w:rsidRPr="00910E94">
        <w:rPr>
          <w:rFonts w:ascii="Times New Roman" w:hAnsi="Times New Roman"/>
          <w:sz w:val="24"/>
          <w:lang w:val="es-ES_tradnl"/>
        </w:rPr>
        <w:t>3.2, los funcionarios tendrán derecho a percibir la remuneración según la tasa para funcionarios con familiares a cargo si tienen un cónyuge o al menos un hijo a cargo</w:t>
      </w:r>
      <w:r w:rsidR="00344EE2">
        <w:rPr>
          <w:rFonts w:ascii="Times New Roman" w:hAnsi="Times New Roman"/>
          <w:sz w:val="24"/>
          <w:lang w:val="es-ES_tradnl"/>
        </w:rPr>
        <w:t xml:space="preserve">.  </w:t>
      </w:r>
      <w:r w:rsidR="004C6755" w:rsidRPr="00910E94">
        <w:rPr>
          <w:rFonts w:ascii="Times New Roman" w:hAnsi="Times New Roman"/>
          <w:sz w:val="24"/>
          <w:lang w:val="es-ES_tradnl"/>
        </w:rPr>
        <w:t xml:space="preserve">Por </w:t>
      </w:r>
      <w:r w:rsidRPr="00910E94">
        <w:rPr>
          <w:rFonts w:ascii="Times New Roman" w:hAnsi="Times New Roman"/>
          <w:sz w:val="24"/>
          <w:lang w:val="es-ES_tradnl"/>
        </w:rPr>
        <w:t>“</w:t>
      </w:r>
      <w:r w:rsidR="004C6755" w:rsidRPr="00910E94">
        <w:rPr>
          <w:rFonts w:ascii="Times New Roman" w:hAnsi="Times New Roman"/>
          <w:sz w:val="24"/>
          <w:lang w:val="es-ES_tradnl"/>
        </w:rPr>
        <w:t>cónyuge a cargo</w:t>
      </w:r>
      <w:r w:rsidRPr="00910E94">
        <w:rPr>
          <w:rFonts w:ascii="Times New Roman" w:hAnsi="Times New Roman"/>
          <w:sz w:val="24"/>
          <w:lang w:val="es-ES_tradnl"/>
        </w:rPr>
        <w:t>”</w:t>
      </w:r>
      <w:r w:rsidR="004C6755" w:rsidRPr="00910E94">
        <w:rPr>
          <w:rFonts w:ascii="Times New Roman" w:hAnsi="Times New Roman"/>
          <w:sz w:val="24"/>
          <w:lang w:val="es-ES_tradnl"/>
        </w:rPr>
        <w:t xml:space="preserve"> se entenderá el cónyuge cuyos ingresos profesionales brutos anuales sean iguales o inferiores al sueldo bruto anual correspondie</w:t>
      </w:r>
      <w:r w:rsidRPr="00910E94">
        <w:rPr>
          <w:rFonts w:ascii="Times New Roman" w:hAnsi="Times New Roman"/>
          <w:sz w:val="24"/>
          <w:lang w:val="es-ES_tradnl"/>
        </w:rPr>
        <w:t>nte al primer escalón del grado </w:t>
      </w:r>
      <w:r w:rsidR="004C6755" w:rsidRPr="00910E94">
        <w:rPr>
          <w:rFonts w:ascii="Times New Roman" w:hAnsi="Times New Roman"/>
          <w:sz w:val="24"/>
          <w:lang w:val="es-ES_tradnl"/>
        </w:rPr>
        <w:t>G1 de la categoría de servicios generales que sea aplicable al lugar de trabajo del cónyuge y que esté en vigor el 1 de enero del año de que se trate</w:t>
      </w:r>
      <w:r w:rsidR="00344EE2">
        <w:rPr>
          <w:rFonts w:ascii="Times New Roman" w:hAnsi="Times New Roman"/>
          <w:sz w:val="24"/>
          <w:lang w:val="es-ES_tradnl"/>
        </w:rPr>
        <w:t xml:space="preserve">.  </w:t>
      </w:r>
      <w:r w:rsidR="004C6755" w:rsidRPr="00910E94">
        <w:rPr>
          <w:rFonts w:ascii="Times New Roman" w:hAnsi="Times New Roman"/>
          <w:sz w:val="24"/>
          <w:lang w:val="es-ES_tradnl"/>
        </w:rPr>
        <w:t>En el caso de los funcionarios de las categorías profesion</w:t>
      </w:r>
      <w:r w:rsidR="00D20DB9">
        <w:rPr>
          <w:rFonts w:ascii="Times New Roman" w:hAnsi="Times New Roman"/>
          <w:sz w:val="24"/>
          <w:lang w:val="es-ES_tradnl"/>
        </w:rPr>
        <w:t>al y superior</w:t>
      </w:r>
      <w:r w:rsidR="004C6755" w:rsidRPr="00910E94">
        <w:rPr>
          <w:rFonts w:ascii="Times New Roman" w:hAnsi="Times New Roman"/>
          <w:sz w:val="24"/>
          <w:lang w:val="es-ES_tradnl"/>
        </w:rPr>
        <w:t xml:space="preserve"> dichos ingresos profesionales brutos anuales no serán, en ningún lugar de trabajo, superiores al equivalente del sueldo bruto anual correspondie</w:t>
      </w:r>
      <w:r w:rsidRPr="00910E94">
        <w:rPr>
          <w:rFonts w:ascii="Times New Roman" w:hAnsi="Times New Roman"/>
          <w:sz w:val="24"/>
          <w:lang w:val="es-ES_tradnl"/>
        </w:rPr>
        <w:t>nte al primer escalón del grado </w:t>
      </w:r>
      <w:r w:rsidR="004C6755" w:rsidRPr="00910E94">
        <w:rPr>
          <w:rFonts w:ascii="Times New Roman" w:hAnsi="Times New Roman"/>
          <w:sz w:val="24"/>
          <w:lang w:val="es-ES_tradnl"/>
        </w:rPr>
        <w:t>G2 de la categoría de servicios generales que esté en vigor el 1 de enero del año de que se trate en Nueva York.</w:t>
      </w:r>
    </w:p>
    <w:p w:rsidR="004C6755" w:rsidRPr="00910E94" w:rsidRDefault="004C6755" w:rsidP="003C08B9">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emite órdenes de servicios cada año para determinar el límite de ingresos profesionales brutos que ha de tenerse en cuenta a efectos de prestación por cónyuge a cargo, especificándose una cantidad no superior al equivale</w:t>
      </w:r>
      <w:r w:rsidR="00693071" w:rsidRPr="00910E94">
        <w:rPr>
          <w:rFonts w:ascii="Times New Roman" w:hAnsi="Times New Roman"/>
          <w:sz w:val="24"/>
          <w:lang w:val="es-ES_tradnl"/>
        </w:rPr>
        <w:t>nte de 69.067 CHF para los años 2012, 2013 y </w:t>
      </w:r>
      <w:r w:rsidRPr="00910E94">
        <w:rPr>
          <w:rFonts w:ascii="Times New Roman" w:hAnsi="Times New Roman"/>
          <w:sz w:val="24"/>
          <w:lang w:val="es-ES_tradnl"/>
        </w:rPr>
        <w:t>2014.</w:t>
      </w:r>
    </w:p>
    <w:p w:rsidR="004C6755" w:rsidRPr="00910E94" w:rsidRDefault="004C6755" w:rsidP="003C08B9">
      <w:pPr>
        <w:pStyle w:val="ListParagraph"/>
        <w:numPr>
          <w:ilvl w:val="0"/>
          <w:numId w:val="4"/>
        </w:numPr>
        <w:autoSpaceDE w:val="0"/>
        <w:autoSpaceDN w:val="0"/>
        <w:adjustRightInd w:val="0"/>
        <w:spacing w:before="120" w:after="120" w:line="360" w:lineRule="auto"/>
        <w:ind w:left="0" w:firstLine="0"/>
        <w:contextualSpacing w:val="0"/>
        <w:jc w:val="both"/>
        <w:rPr>
          <w:lang w:val="es-ES_tradnl"/>
        </w:rPr>
      </w:pPr>
      <w:r w:rsidRPr="00910E94">
        <w:rPr>
          <w:rFonts w:ascii="Times New Roman" w:hAnsi="Times New Roman"/>
          <w:sz w:val="24"/>
          <w:lang w:val="es-ES_tradnl"/>
        </w:rPr>
        <w:t>Tras examinar diez casos seleccionados al azar hemos comprobado que, en dos casos, en los que los cónyuges trabajaban fuera de Ginebra, se había llevado a cabo la determinación sobre la base de la escala de sueldos aplicable en Ginebra, con independencia del lugar de trabajo del cónyuge</w:t>
      </w:r>
      <w:r w:rsidR="00344EE2">
        <w:rPr>
          <w:rFonts w:ascii="Times New Roman" w:hAnsi="Times New Roman"/>
          <w:sz w:val="24"/>
          <w:lang w:val="es-ES_tradnl"/>
        </w:rPr>
        <w:t xml:space="preserve">.  </w:t>
      </w:r>
    </w:p>
    <w:p w:rsidR="004C6755" w:rsidRPr="00910E94" w:rsidRDefault="004C6755" w:rsidP="00B3220A">
      <w:pPr>
        <w:keepNext/>
        <w:spacing w:before="120" w:after="120" w:line="360" w:lineRule="auto"/>
        <w:rPr>
          <w:rFonts w:ascii="Times New Roman" w:hAnsi="Times New Roman"/>
          <w:b/>
          <w:sz w:val="24"/>
          <w:szCs w:val="24"/>
          <w:lang w:val="es-ES_tradnl"/>
        </w:rPr>
      </w:pPr>
      <w:r w:rsidRPr="00910E94">
        <w:rPr>
          <w:rFonts w:ascii="Times New Roman" w:hAnsi="Times New Roman"/>
          <w:b/>
          <w:sz w:val="24"/>
          <w:lang w:val="es-ES_tradnl"/>
        </w:rPr>
        <w:lastRenderedPageBreak/>
        <w:t>Recomendación 17</w:t>
      </w:r>
    </w:p>
    <w:p w:rsidR="004C6755" w:rsidRPr="00910E94" w:rsidRDefault="004C6755" w:rsidP="004C6755">
      <w:pPr>
        <w:pStyle w:val="ListParagraph"/>
        <w:spacing w:before="120" w:after="120" w:line="360" w:lineRule="auto"/>
        <w:ind w:left="0"/>
        <w:contextualSpacing w:val="0"/>
        <w:jc w:val="both"/>
        <w:rPr>
          <w:rFonts w:ascii="Times New Roman" w:hAnsi="Times New Roman"/>
          <w:b/>
          <w:sz w:val="24"/>
          <w:szCs w:val="24"/>
          <w:lang w:val="es-ES_tradnl"/>
        </w:rPr>
      </w:pPr>
      <w:r w:rsidRPr="00910E94">
        <w:rPr>
          <w:rFonts w:ascii="Times New Roman" w:hAnsi="Times New Roman"/>
          <w:b/>
          <w:sz w:val="24"/>
          <w:lang w:val="es-ES_tradnl"/>
        </w:rPr>
        <w:t>La práctica de calcular el límite de los ingresos profesionales brutos que han de computarse a efectos de la prestación por cónyuge a cargo debería revisarse a fin de atenerse al Estatuto y Reglamento del Personal.</w:t>
      </w:r>
    </w:p>
    <w:p w:rsidR="004C6755" w:rsidRPr="00910E94" w:rsidRDefault="004C6755" w:rsidP="00693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aceptó la recomendación</w:t>
      </w:r>
      <w:r w:rsidR="00344EE2">
        <w:rPr>
          <w:rFonts w:ascii="Times New Roman" w:hAnsi="Times New Roman"/>
          <w:sz w:val="24"/>
          <w:lang w:val="es-ES_tradnl"/>
        </w:rPr>
        <w:t xml:space="preserve">.  </w:t>
      </w:r>
      <w:r w:rsidRPr="00910E94">
        <w:rPr>
          <w:rFonts w:ascii="Times New Roman" w:hAnsi="Times New Roman"/>
          <w:sz w:val="24"/>
          <w:lang w:val="es-ES_tradnl"/>
        </w:rPr>
        <w:t>Hizo constar que, a partir del</w:t>
      </w:r>
      <w:r w:rsidR="00693071" w:rsidRPr="00910E94">
        <w:rPr>
          <w:rFonts w:ascii="Times New Roman" w:hAnsi="Times New Roman"/>
          <w:sz w:val="24"/>
          <w:lang w:val="es-ES_tradnl"/>
        </w:rPr>
        <w:t> </w:t>
      </w:r>
      <w:r w:rsidRPr="00910E94">
        <w:rPr>
          <w:rFonts w:ascii="Times New Roman" w:hAnsi="Times New Roman"/>
          <w:sz w:val="24"/>
          <w:lang w:val="es-ES_tradnl"/>
        </w:rPr>
        <w:t xml:space="preserve">1 de enero </w:t>
      </w:r>
      <w:r w:rsidR="00CC3D7A" w:rsidRPr="00910E94">
        <w:rPr>
          <w:rFonts w:ascii="Times New Roman" w:hAnsi="Times New Roman"/>
          <w:sz w:val="24"/>
          <w:lang w:val="es-ES_tradnl"/>
        </w:rPr>
        <w:t>de 20</w:t>
      </w:r>
      <w:r w:rsidRPr="00910E94">
        <w:rPr>
          <w:rFonts w:ascii="Times New Roman" w:hAnsi="Times New Roman"/>
          <w:sz w:val="24"/>
          <w:lang w:val="es-ES_tradnl"/>
        </w:rPr>
        <w:t>16, la OMPI abandonará esta antigua práctica hoy vigente</w:t>
      </w:r>
      <w:r w:rsidR="00344EE2">
        <w:rPr>
          <w:rFonts w:ascii="Times New Roman" w:hAnsi="Times New Roman"/>
          <w:sz w:val="24"/>
          <w:lang w:val="es-ES_tradnl"/>
        </w:rPr>
        <w:t xml:space="preserve">.  </w:t>
      </w:r>
      <w:r w:rsidR="00D20DB9">
        <w:rPr>
          <w:rFonts w:ascii="Times New Roman" w:hAnsi="Times New Roman"/>
          <w:sz w:val="24"/>
          <w:lang w:val="es-ES_tradnl"/>
        </w:rPr>
        <w:t xml:space="preserve">Se determinará si se tiene derecho a </w:t>
      </w:r>
      <w:r w:rsidRPr="00910E94">
        <w:rPr>
          <w:rFonts w:ascii="Times New Roman" w:hAnsi="Times New Roman"/>
          <w:sz w:val="24"/>
          <w:lang w:val="es-ES_tradnl"/>
        </w:rPr>
        <w:t xml:space="preserve">las prestaciones por cónyuge a cargo </w:t>
      </w:r>
      <w:r w:rsidR="00D20DB9">
        <w:rPr>
          <w:rFonts w:ascii="Times New Roman" w:hAnsi="Times New Roman"/>
          <w:sz w:val="24"/>
          <w:lang w:val="es-ES_tradnl"/>
        </w:rPr>
        <w:t xml:space="preserve">sobre </w:t>
      </w:r>
      <w:r w:rsidRPr="00910E94">
        <w:rPr>
          <w:rFonts w:ascii="Times New Roman" w:hAnsi="Times New Roman"/>
          <w:sz w:val="24"/>
          <w:lang w:val="es-ES_tradnl"/>
        </w:rPr>
        <w:t>la base del lugar de trabajo del cónyuge, y no en función del lugar de destino del funcionario, de conformidad con el Estatuto y Reglamento del Personal.</w:t>
      </w:r>
    </w:p>
    <w:p w:rsidR="004C6755" w:rsidRPr="00910E94" w:rsidRDefault="004C6755" w:rsidP="00B3220A">
      <w:pPr>
        <w:keepNext/>
        <w:spacing w:before="120" w:after="120" w:line="360" w:lineRule="auto"/>
        <w:rPr>
          <w:rFonts w:ascii="Times New Roman" w:hAnsi="Times New Roman"/>
          <w:b/>
          <w:color w:val="002060"/>
          <w:sz w:val="24"/>
          <w:szCs w:val="24"/>
          <w:lang w:val="es-ES_tradnl"/>
        </w:rPr>
      </w:pPr>
      <w:r w:rsidRPr="00910E94">
        <w:rPr>
          <w:rFonts w:ascii="Times New Roman" w:hAnsi="Times New Roman"/>
          <w:b/>
          <w:color w:val="002060"/>
          <w:sz w:val="24"/>
          <w:lang w:val="es-ES_tradnl"/>
        </w:rPr>
        <w:t>Subsidio de alquiler</w:t>
      </w:r>
    </w:p>
    <w:p w:rsidR="004C6755" w:rsidRPr="00910E94" w:rsidRDefault="004C6755" w:rsidP="00693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orden de servicio 6/2013 establece que el subsidio de alquiler se abonará desde el primer día del contrato de arrendamiento o, si fuera anterior, desde el día siguiente a la finalización de un período de 30 días contados a partir del devengo de la prima por asignación</w:t>
      </w:r>
      <w:r w:rsidR="00344EE2">
        <w:rPr>
          <w:rFonts w:ascii="Times New Roman" w:hAnsi="Times New Roman"/>
          <w:sz w:val="24"/>
          <w:lang w:val="es-ES_tradnl"/>
        </w:rPr>
        <w:t xml:space="preserve">.  </w:t>
      </w:r>
      <w:r w:rsidRPr="00910E94">
        <w:rPr>
          <w:rFonts w:ascii="Times New Roman" w:hAnsi="Times New Roman"/>
          <w:sz w:val="24"/>
          <w:lang w:val="es-ES_tradnl"/>
        </w:rPr>
        <w:t>El subsidio de alquiler se concederá por un plazo máximo de</w:t>
      </w:r>
      <w:r w:rsidR="00693071" w:rsidRPr="00910E94">
        <w:rPr>
          <w:rFonts w:ascii="Times New Roman" w:hAnsi="Times New Roman"/>
          <w:sz w:val="24"/>
          <w:lang w:val="es-ES_tradnl"/>
        </w:rPr>
        <w:t> 12 </w:t>
      </w:r>
      <w:r w:rsidRPr="00910E94">
        <w:rPr>
          <w:rFonts w:ascii="Times New Roman" w:hAnsi="Times New Roman"/>
          <w:sz w:val="24"/>
          <w:lang w:val="es-ES_tradnl"/>
        </w:rPr>
        <w:t>meses cada vez</w:t>
      </w:r>
      <w:r w:rsidR="00344EE2">
        <w:rPr>
          <w:rFonts w:ascii="Times New Roman" w:hAnsi="Times New Roman"/>
          <w:sz w:val="24"/>
          <w:lang w:val="es-ES_tradnl"/>
        </w:rPr>
        <w:t xml:space="preserve">.  </w:t>
      </w:r>
      <w:r w:rsidRPr="00910E94">
        <w:rPr>
          <w:rFonts w:ascii="Times New Roman" w:hAnsi="Times New Roman"/>
          <w:sz w:val="24"/>
          <w:lang w:val="es-ES_tradnl"/>
        </w:rPr>
        <w:t>Deberá presentarse una nueva solicitud una vez al año y los funcionarios deberán indicar los cambios de las condiciones del arrendamiento o certificar que la información proporcionada anteriormente sigue siendo aplicable.</w:t>
      </w:r>
    </w:p>
    <w:p w:rsidR="00E24DBD" w:rsidRPr="00910E94" w:rsidRDefault="004C6755" w:rsidP="00B3220A">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Tras examinar diez casos, hemos llegado a la conclusión de que la orden de servicio no se ha seguido de forma sistemática, tal como se indica a continuación:</w:t>
      </w:r>
    </w:p>
    <w:p w:rsidR="0086384F" w:rsidRPr="00910E94" w:rsidRDefault="004C6755" w:rsidP="00693071">
      <w:pPr>
        <w:numPr>
          <w:ilvl w:val="0"/>
          <w:numId w:val="17"/>
        </w:numPr>
        <w:spacing w:line="360" w:lineRule="auto"/>
        <w:jc w:val="both"/>
        <w:rPr>
          <w:rFonts w:ascii="Times New Roman" w:hAnsi="Times New Roman"/>
          <w:sz w:val="24"/>
          <w:szCs w:val="24"/>
          <w:lang w:val="es-ES_tradnl"/>
        </w:rPr>
      </w:pPr>
      <w:r w:rsidRPr="00910E94">
        <w:rPr>
          <w:rFonts w:ascii="Times New Roman" w:hAnsi="Times New Roman"/>
          <w:sz w:val="24"/>
          <w:lang w:val="es-ES_tradnl"/>
        </w:rPr>
        <w:t>En ocho casos, los funcionarios no presentaron en plazo las nuevas solicit</w:t>
      </w:r>
      <w:r w:rsidR="00693071" w:rsidRPr="00910E94">
        <w:rPr>
          <w:rFonts w:ascii="Times New Roman" w:hAnsi="Times New Roman"/>
          <w:sz w:val="24"/>
          <w:lang w:val="es-ES_tradnl"/>
        </w:rPr>
        <w:t>udes anuales correspondientes a </w:t>
      </w:r>
      <w:r w:rsidRPr="00910E94">
        <w:rPr>
          <w:rFonts w:ascii="Times New Roman" w:hAnsi="Times New Roman"/>
          <w:sz w:val="24"/>
          <w:lang w:val="es-ES_tradnl"/>
        </w:rPr>
        <w:t>2012 y</w:t>
      </w:r>
      <w:r w:rsidR="00693071" w:rsidRPr="00910E94">
        <w:rPr>
          <w:rFonts w:ascii="Times New Roman" w:hAnsi="Times New Roman"/>
          <w:sz w:val="24"/>
          <w:lang w:val="es-ES_tradnl"/>
        </w:rPr>
        <w:t> </w:t>
      </w:r>
      <w:r w:rsidRPr="00910E94">
        <w:rPr>
          <w:rFonts w:ascii="Times New Roman" w:hAnsi="Times New Roman"/>
          <w:sz w:val="24"/>
          <w:lang w:val="es-ES_tradnl"/>
        </w:rPr>
        <w:t>2013 y no aportaron certificación alguna.</w:t>
      </w:r>
    </w:p>
    <w:p w:rsidR="004C6755" w:rsidRPr="00910E94" w:rsidRDefault="004C6755" w:rsidP="004C6755">
      <w:pPr>
        <w:numPr>
          <w:ilvl w:val="0"/>
          <w:numId w:val="17"/>
        </w:numPr>
        <w:spacing w:line="360" w:lineRule="auto"/>
        <w:jc w:val="both"/>
        <w:rPr>
          <w:rFonts w:ascii="Times New Roman" w:hAnsi="Times New Roman"/>
          <w:sz w:val="24"/>
          <w:szCs w:val="24"/>
          <w:lang w:val="es-ES_tradnl"/>
        </w:rPr>
      </w:pPr>
      <w:r w:rsidRPr="00910E94">
        <w:rPr>
          <w:rFonts w:ascii="Times New Roman" w:hAnsi="Times New Roman"/>
          <w:sz w:val="24"/>
          <w:lang w:val="es-ES_tradnl"/>
        </w:rPr>
        <w:t>En uno de los casos, aun cuando no se había celebrado ningún contrato de arrendamiento para el período comprendido entre el final del arrendamiento precedente y el comienzo del nuevo, se abonó el subsidio de alquiler por ese período.</w:t>
      </w:r>
    </w:p>
    <w:p w:rsidR="004C6755" w:rsidRPr="00910E94" w:rsidRDefault="004C6755" w:rsidP="004C6755">
      <w:pPr>
        <w:numPr>
          <w:ilvl w:val="0"/>
          <w:numId w:val="17"/>
        </w:numPr>
        <w:spacing w:line="360" w:lineRule="auto"/>
        <w:jc w:val="both"/>
        <w:rPr>
          <w:rFonts w:ascii="Times New Roman" w:hAnsi="Times New Roman"/>
          <w:sz w:val="24"/>
          <w:szCs w:val="24"/>
          <w:lang w:val="es-ES_tradnl"/>
        </w:rPr>
      </w:pPr>
      <w:r w:rsidRPr="00910E94">
        <w:rPr>
          <w:rFonts w:ascii="Times New Roman" w:hAnsi="Times New Roman"/>
          <w:sz w:val="24"/>
          <w:lang w:val="es-ES_tradnl"/>
        </w:rPr>
        <w:t xml:space="preserve">En dos casos, la documentación correspondiente a la prórroga del contrato de </w:t>
      </w:r>
      <w:r w:rsidR="009D7E04" w:rsidRPr="00910E94">
        <w:rPr>
          <w:rFonts w:ascii="Times New Roman" w:hAnsi="Times New Roman"/>
          <w:sz w:val="24"/>
          <w:lang w:val="es-ES_tradnl"/>
        </w:rPr>
        <w:t>arrendamiento</w:t>
      </w:r>
      <w:r w:rsidRPr="00910E94">
        <w:rPr>
          <w:rFonts w:ascii="Times New Roman" w:hAnsi="Times New Roman"/>
          <w:sz w:val="24"/>
          <w:lang w:val="es-ES_tradnl"/>
        </w:rPr>
        <w:t xml:space="preserve"> inicial o del contrato de arrendamiento subsiguiente no estaban disponibles en el expediente.</w:t>
      </w:r>
    </w:p>
    <w:p w:rsidR="004C6755" w:rsidRPr="00910E94" w:rsidRDefault="004C6755" w:rsidP="003C08B9">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La OMPI declaró que en junio </w:t>
      </w:r>
      <w:r w:rsidR="00CC3D7A" w:rsidRPr="00910E94">
        <w:rPr>
          <w:rFonts w:ascii="Times New Roman" w:hAnsi="Times New Roman"/>
          <w:sz w:val="24"/>
          <w:lang w:val="es-ES_tradnl"/>
        </w:rPr>
        <w:t>de 20</w:t>
      </w:r>
      <w:r w:rsidRPr="00910E94">
        <w:rPr>
          <w:rFonts w:ascii="Times New Roman" w:hAnsi="Times New Roman"/>
          <w:sz w:val="24"/>
          <w:lang w:val="es-ES_tradnl"/>
        </w:rPr>
        <w:t xml:space="preserve">14 se llevó a cabo un examen exhaustivo de todos los supuestos de subsidio de alquiler a fin de suplir la falta de examen anual de los subsidios de alquiler </w:t>
      </w:r>
      <w:r w:rsidR="00CC3D7A" w:rsidRPr="00910E94">
        <w:rPr>
          <w:rFonts w:ascii="Times New Roman" w:hAnsi="Times New Roman"/>
          <w:sz w:val="24"/>
          <w:lang w:val="es-ES_tradnl"/>
        </w:rPr>
        <w:t>en 20</w:t>
      </w:r>
      <w:r w:rsidR="00693071" w:rsidRPr="00910E94">
        <w:rPr>
          <w:rFonts w:ascii="Times New Roman" w:hAnsi="Times New Roman"/>
          <w:sz w:val="24"/>
          <w:lang w:val="es-ES_tradnl"/>
        </w:rPr>
        <w:t>12 y </w:t>
      </w:r>
      <w:r w:rsidRPr="00910E94">
        <w:rPr>
          <w:rFonts w:ascii="Times New Roman" w:hAnsi="Times New Roman"/>
          <w:sz w:val="24"/>
          <w:lang w:val="es-ES_tradnl"/>
        </w:rPr>
        <w:t>2013</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En marzo </w:t>
      </w:r>
      <w:r w:rsidR="00CC3D7A" w:rsidRPr="00910E94">
        <w:rPr>
          <w:rFonts w:ascii="Times New Roman" w:hAnsi="Times New Roman"/>
          <w:sz w:val="24"/>
          <w:lang w:val="es-ES_tradnl"/>
        </w:rPr>
        <w:t>de 20</w:t>
      </w:r>
      <w:r w:rsidRPr="00910E94">
        <w:rPr>
          <w:rFonts w:ascii="Times New Roman" w:hAnsi="Times New Roman"/>
          <w:sz w:val="24"/>
          <w:lang w:val="es-ES_tradnl"/>
        </w:rPr>
        <w:t xml:space="preserve">15, la totalidad de las nuevas solicitudes anuales </w:t>
      </w:r>
      <w:r w:rsidRPr="00910E94">
        <w:rPr>
          <w:rFonts w:ascii="Times New Roman" w:hAnsi="Times New Roman"/>
          <w:sz w:val="24"/>
          <w:lang w:val="es-ES_tradnl"/>
        </w:rPr>
        <w:lastRenderedPageBreak/>
        <w:t>de subsidios de alquiler fueron realizadas de conformidad con el Estatuto y Reglamento del Personal</w:t>
      </w:r>
      <w:r w:rsidR="00344EE2">
        <w:rPr>
          <w:rFonts w:ascii="Times New Roman" w:hAnsi="Times New Roman"/>
          <w:sz w:val="24"/>
          <w:lang w:val="es-ES_tradnl"/>
        </w:rPr>
        <w:t xml:space="preserve">.  </w:t>
      </w:r>
      <w:r w:rsidRPr="00910E94">
        <w:rPr>
          <w:rFonts w:ascii="Times New Roman" w:hAnsi="Times New Roman"/>
          <w:sz w:val="24"/>
          <w:lang w:val="es-ES_tradnl"/>
        </w:rPr>
        <w:t>Conforme al Código de obligaciones suizo, los contratos de arrendamiento se considerarán renovados tácitamente cada año, a menos que una de las partes remita una notificación en sentido contrario tres meses antes de la fecha del aniversario de la celebración del contrato de arrendamiento.</w:t>
      </w:r>
    </w:p>
    <w:p w:rsidR="004C6755" w:rsidRPr="00910E94" w:rsidRDefault="004C6755" w:rsidP="003C08B9">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Valoramos positivamente que en junio </w:t>
      </w:r>
      <w:r w:rsidR="00CC3D7A" w:rsidRPr="00910E94">
        <w:rPr>
          <w:rFonts w:ascii="Times New Roman" w:hAnsi="Times New Roman"/>
          <w:sz w:val="24"/>
          <w:lang w:val="es-ES_tradnl"/>
        </w:rPr>
        <w:t>de 20</w:t>
      </w:r>
      <w:r w:rsidRPr="00910E94">
        <w:rPr>
          <w:rFonts w:ascii="Times New Roman" w:hAnsi="Times New Roman"/>
          <w:sz w:val="24"/>
          <w:lang w:val="es-ES_tradnl"/>
        </w:rPr>
        <w:t>14 se llevara a cabo un examen exhaustivo de todos los supuestos de subsidio de alquiler y recomendamos a la OMPI que dicho examen siga realizándose periódicamente</w:t>
      </w:r>
      <w:r w:rsidR="00344EE2">
        <w:rPr>
          <w:rFonts w:ascii="Times New Roman" w:hAnsi="Times New Roman"/>
          <w:sz w:val="24"/>
          <w:lang w:val="es-ES_tradnl"/>
        </w:rPr>
        <w:t xml:space="preserve">.  </w:t>
      </w:r>
    </w:p>
    <w:p w:rsidR="004C6755" w:rsidRPr="00910E94" w:rsidRDefault="004C6755" w:rsidP="00B3220A">
      <w:pPr>
        <w:keepNext/>
        <w:spacing w:before="120" w:after="120" w:line="360" w:lineRule="auto"/>
        <w:rPr>
          <w:rFonts w:ascii="Times New Roman" w:hAnsi="Times New Roman"/>
          <w:b/>
          <w:sz w:val="24"/>
          <w:szCs w:val="24"/>
          <w:lang w:val="es-ES_tradnl"/>
        </w:rPr>
      </w:pPr>
      <w:r w:rsidRPr="00910E94">
        <w:rPr>
          <w:rFonts w:ascii="Times New Roman" w:hAnsi="Times New Roman"/>
          <w:b/>
          <w:sz w:val="24"/>
          <w:lang w:val="es-ES_tradnl"/>
        </w:rPr>
        <w:t>Recomendación 18</w:t>
      </w:r>
    </w:p>
    <w:p w:rsidR="004C6755" w:rsidRPr="00910E94" w:rsidRDefault="004C6755" w:rsidP="004C6755">
      <w:pPr>
        <w:pStyle w:val="ListParagraph"/>
        <w:spacing w:before="120" w:after="120" w:line="360" w:lineRule="auto"/>
        <w:ind w:left="0"/>
        <w:contextualSpacing w:val="0"/>
        <w:jc w:val="both"/>
        <w:rPr>
          <w:rFonts w:ascii="Times New Roman" w:hAnsi="Times New Roman"/>
          <w:b/>
          <w:sz w:val="24"/>
          <w:szCs w:val="24"/>
          <w:lang w:val="es-ES_tradnl"/>
        </w:rPr>
      </w:pPr>
      <w:r w:rsidRPr="00910E94">
        <w:rPr>
          <w:rFonts w:ascii="Times New Roman" w:hAnsi="Times New Roman"/>
          <w:b/>
          <w:sz w:val="24"/>
          <w:lang w:val="es-ES_tradnl"/>
        </w:rPr>
        <w:t>Las disposiciones de las órdenes de servicio relativas al subsidio de alquiler deben cumplirse en los plazos prescritos.</w:t>
      </w:r>
    </w:p>
    <w:p w:rsidR="004C6755" w:rsidRPr="00910E94" w:rsidRDefault="004C6755" w:rsidP="003C08B9">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mostró su acuerdo con la recomendación y señaló que el sistema de PRI se configurará de modo que el subsidio de alquiler cese automáticamente después de un año y los pagos ulteriores estarán supeditados a la presentación de una nueva solicitud plenamente documentada.</w:t>
      </w:r>
    </w:p>
    <w:p w:rsidR="004C6755" w:rsidRPr="00910E94" w:rsidRDefault="004C6755" w:rsidP="004C6755">
      <w:pPr>
        <w:spacing w:before="120" w:after="120" w:line="360" w:lineRule="auto"/>
        <w:rPr>
          <w:rFonts w:ascii="Times New Roman" w:hAnsi="Times New Roman"/>
          <w:b/>
          <w:color w:val="002060"/>
          <w:sz w:val="24"/>
          <w:szCs w:val="24"/>
          <w:lang w:val="es-ES_tradnl"/>
        </w:rPr>
      </w:pPr>
      <w:r w:rsidRPr="00910E94">
        <w:rPr>
          <w:rFonts w:ascii="Times New Roman" w:hAnsi="Times New Roman"/>
          <w:b/>
          <w:color w:val="002060"/>
          <w:sz w:val="24"/>
          <w:lang w:val="es-ES_tradnl"/>
        </w:rPr>
        <w:t>Prima de idiomas</w:t>
      </w:r>
    </w:p>
    <w:p w:rsidR="0086384F" w:rsidRPr="00910E94" w:rsidRDefault="00693071" w:rsidP="004B5314">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Con arreglo a la regla </w:t>
      </w:r>
      <w:r w:rsidR="004C6755" w:rsidRPr="00910E94">
        <w:rPr>
          <w:rFonts w:ascii="Times New Roman" w:hAnsi="Times New Roman"/>
          <w:sz w:val="24"/>
          <w:lang w:val="es-ES_tradnl"/>
        </w:rPr>
        <w:t>3.10.1, podrá pagarse una prima de idiomas pensionable a los funcionarios de la categoría de servicios generales que aprueben un examen y que demuestren competencia en uno o dos de los idiomas especificados</w:t>
      </w:r>
      <w:r w:rsidR="00344EE2">
        <w:rPr>
          <w:rFonts w:ascii="Times New Roman" w:hAnsi="Times New Roman"/>
          <w:sz w:val="24"/>
          <w:lang w:val="es-ES_tradnl"/>
        </w:rPr>
        <w:t xml:space="preserve">.  </w:t>
      </w:r>
      <w:r w:rsidR="004C6755" w:rsidRPr="00910E94">
        <w:rPr>
          <w:rFonts w:ascii="Times New Roman" w:hAnsi="Times New Roman"/>
          <w:sz w:val="24"/>
          <w:lang w:val="es-ES_tradnl"/>
        </w:rPr>
        <w:t>La lengua materna del funcionario y cualquier otro idioma en el que el funcionario debe ser plenamente competente según las condiciones de su nombramiento no se tomarán en consideración a efectos del pago de la prima de idiomas</w:t>
      </w:r>
      <w:r w:rsidR="00344EE2">
        <w:rPr>
          <w:rFonts w:ascii="Times New Roman" w:hAnsi="Times New Roman"/>
          <w:sz w:val="24"/>
          <w:lang w:val="es-ES_tradnl"/>
        </w:rPr>
        <w:t xml:space="preserve">.  </w:t>
      </w:r>
      <w:r w:rsidR="004C6755" w:rsidRPr="00910E94">
        <w:rPr>
          <w:rFonts w:ascii="Times New Roman" w:hAnsi="Times New Roman"/>
          <w:sz w:val="24"/>
          <w:lang w:val="es-ES_tradnl"/>
        </w:rPr>
        <w:t>Además, podrá exigirse a los funcionarios que perciben una prima de idiomas que se sometan a nuevos exámenes a intervalos no inferiores</w:t>
      </w:r>
      <w:r w:rsidR="003C43E1" w:rsidRPr="00910E94">
        <w:rPr>
          <w:rFonts w:ascii="Times New Roman" w:hAnsi="Times New Roman"/>
          <w:sz w:val="24"/>
          <w:lang w:val="es-ES_tradnl"/>
        </w:rPr>
        <w:t xml:space="preserve"> </w:t>
      </w:r>
      <w:r w:rsidR="004C6755" w:rsidRPr="00910E94">
        <w:rPr>
          <w:rFonts w:ascii="Times New Roman" w:hAnsi="Times New Roman"/>
          <w:sz w:val="24"/>
          <w:lang w:val="es-ES_tradnl"/>
        </w:rPr>
        <w:t>a cinco años con objeto de demostrar que continúan siendo competentes en los idiomas por los que perciben la prima.</w:t>
      </w:r>
    </w:p>
    <w:p w:rsidR="004C6755" w:rsidRPr="00910E94" w:rsidRDefault="004C6755" w:rsidP="003C08B9">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De entre los funcionarios que perciben primas de idiomas, hemos analizado ocho casos con miras a comprobar si tales funcionarios han sido sometidos a nuevos exámenes para demostrar el mantenimiento de la competencia lingüística</w:t>
      </w:r>
      <w:r w:rsidR="00344EE2">
        <w:rPr>
          <w:rFonts w:ascii="Times New Roman" w:hAnsi="Times New Roman"/>
          <w:sz w:val="24"/>
          <w:lang w:val="es-ES_tradnl"/>
        </w:rPr>
        <w:t xml:space="preserve">.  </w:t>
      </w:r>
      <w:r w:rsidRPr="00910E94">
        <w:rPr>
          <w:rFonts w:ascii="Times New Roman" w:hAnsi="Times New Roman"/>
          <w:sz w:val="24"/>
          <w:lang w:val="es-ES_tradnl"/>
        </w:rPr>
        <w:t>Asimismo, hemos buscado información sobre los casos en los que se realizó una revisión a efectos del mantenimiento de la prima de idiomas cuando el funcionario fue trasladado o nombrado para un nuevo puesto que exigía un excelente conocimiento de la lengua.</w:t>
      </w:r>
    </w:p>
    <w:p w:rsidR="004C6755" w:rsidRPr="00910E94" w:rsidRDefault="004C6755" w:rsidP="003C08B9">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lastRenderedPageBreak/>
        <w:t xml:space="preserve">La OMPI señaló que no insiste por el momento en la realización de nuevos exámenes para demostrar el mantenimiento del dominio lingüístico, ya que la regla utiliza la expresión </w:t>
      </w:r>
      <w:r w:rsidR="00693071" w:rsidRPr="00910E94">
        <w:rPr>
          <w:rFonts w:ascii="Times New Roman" w:hAnsi="Times New Roman"/>
          <w:sz w:val="24"/>
          <w:lang w:val="es-ES_tradnl"/>
        </w:rPr>
        <w:t>“</w:t>
      </w:r>
      <w:r w:rsidRPr="00910E94">
        <w:rPr>
          <w:rFonts w:ascii="Times New Roman" w:hAnsi="Times New Roman"/>
          <w:sz w:val="24"/>
          <w:lang w:val="es-ES_tradnl"/>
        </w:rPr>
        <w:t>podrá exigirse</w:t>
      </w:r>
      <w:r w:rsidR="00693071" w:rsidRPr="00910E94">
        <w:rPr>
          <w:rFonts w:ascii="Times New Roman" w:hAnsi="Times New Roman"/>
          <w:sz w:val="24"/>
          <w:lang w:val="es-ES_tradnl"/>
        </w:rPr>
        <w:t>”</w:t>
      </w:r>
      <w:r w:rsidRPr="00910E94">
        <w:rPr>
          <w:rFonts w:ascii="Times New Roman" w:hAnsi="Times New Roman"/>
          <w:sz w:val="24"/>
          <w:lang w:val="es-ES_tradnl"/>
        </w:rPr>
        <w:t>,</w:t>
      </w:r>
      <w:r w:rsidRPr="00910E94">
        <w:rPr>
          <w:rFonts w:ascii="Times New Roman" w:hAnsi="Times New Roman"/>
          <w:b/>
          <w:sz w:val="24"/>
          <w:lang w:val="es-ES_tradnl"/>
        </w:rPr>
        <w:t xml:space="preserve"> </w:t>
      </w:r>
      <w:r w:rsidRPr="00910E94">
        <w:rPr>
          <w:rFonts w:ascii="Times New Roman" w:hAnsi="Times New Roman"/>
          <w:sz w:val="24"/>
          <w:lang w:val="es-ES_tradnl"/>
        </w:rPr>
        <w:t>en el sentido de que no es obligatorio someterse a nuevos exámenes para que continúe abonándose la prima de idiomas</w:t>
      </w:r>
      <w:r w:rsidR="00344EE2">
        <w:rPr>
          <w:rFonts w:ascii="Times New Roman" w:hAnsi="Times New Roman"/>
          <w:sz w:val="24"/>
          <w:lang w:val="es-ES_tradnl"/>
        </w:rPr>
        <w:t xml:space="preserve">.  </w:t>
      </w:r>
      <w:r w:rsidRPr="00910E94">
        <w:rPr>
          <w:rFonts w:ascii="Times New Roman" w:hAnsi="Times New Roman"/>
          <w:sz w:val="24"/>
          <w:lang w:val="es-ES_tradnl"/>
        </w:rPr>
        <w:t>Aceptó que no se realizan revisiones cuando los funcionarios son trasladados o nombrados para un nuevo puesto que requiera un dominio pleno del idioma, y los funcionarios continúan percibiendo dicha prima.</w:t>
      </w:r>
    </w:p>
    <w:p w:rsidR="004C6755" w:rsidRPr="00910E94" w:rsidRDefault="004C6755" w:rsidP="003C08B9">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 xml:space="preserve">A nuestro juicio, el uso de la palabra </w:t>
      </w:r>
      <w:r w:rsidR="00693071" w:rsidRPr="00910E94">
        <w:rPr>
          <w:rFonts w:ascii="Times New Roman" w:hAnsi="Times New Roman"/>
          <w:sz w:val="24"/>
          <w:lang w:val="es-ES_tradnl"/>
        </w:rPr>
        <w:t>“</w:t>
      </w:r>
      <w:r w:rsidRPr="00910E94">
        <w:rPr>
          <w:rFonts w:ascii="Times New Roman" w:hAnsi="Times New Roman"/>
          <w:sz w:val="24"/>
          <w:lang w:val="es-ES_tradnl"/>
        </w:rPr>
        <w:t>podrá</w:t>
      </w:r>
      <w:r w:rsidR="00693071" w:rsidRPr="00910E94">
        <w:rPr>
          <w:rFonts w:ascii="Times New Roman" w:hAnsi="Times New Roman"/>
          <w:sz w:val="24"/>
          <w:lang w:val="es-ES_tradnl"/>
        </w:rPr>
        <w:t>”</w:t>
      </w:r>
      <w:r w:rsidRPr="00910E94">
        <w:rPr>
          <w:rFonts w:ascii="Times New Roman" w:hAnsi="Times New Roman"/>
          <w:sz w:val="24"/>
          <w:lang w:val="es-ES_tradnl"/>
        </w:rPr>
        <w:t xml:space="preserve"> en esta regla no confiere una facultad discrecional</w:t>
      </w:r>
      <w:r w:rsidR="00344EE2">
        <w:rPr>
          <w:rFonts w:ascii="Times New Roman" w:hAnsi="Times New Roman"/>
          <w:sz w:val="24"/>
          <w:lang w:val="es-ES_tradnl"/>
        </w:rPr>
        <w:t xml:space="preserve">.  </w:t>
      </w:r>
    </w:p>
    <w:p w:rsidR="004C6755" w:rsidRPr="00910E94" w:rsidRDefault="004C6755" w:rsidP="00B3220A">
      <w:pPr>
        <w:keepNext/>
        <w:spacing w:before="120" w:after="120" w:line="360" w:lineRule="auto"/>
        <w:rPr>
          <w:rFonts w:ascii="Times New Roman" w:hAnsi="Times New Roman"/>
          <w:b/>
          <w:sz w:val="24"/>
          <w:szCs w:val="24"/>
          <w:lang w:val="es-ES_tradnl"/>
        </w:rPr>
      </w:pPr>
      <w:r w:rsidRPr="00910E94">
        <w:rPr>
          <w:rFonts w:ascii="Times New Roman" w:hAnsi="Times New Roman"/>
          <w:b/>
          <w:sz w:val="24"/>
          <w:lang w:val="es-ES_tradnl"/>
        </w:rPr>
        <w:t>Recomendación 19</w:t>
      </w:r>
    </w:p>
    <w:p w:rsidR="004C6755" w:rsidRPr="00910E94" w:rsidRDefault="004C6755" w:rsidP="00B3220A">
      <w:pPr>
        <w:pStyle w:val="ListParagraph"/>
        <w:keepNext/>
        <w:spacing w:before="120" w:after="120" w:line="360" w:lineRule="auto"/>
        <w:ind w:left="0"/>
        <w:contextualSpacing w:val="0"/>
        <w:rPr>
          <w:rFonts w:ascii="Times New Roman" w:hAnsi="Times New Roman"/>
          <w:b/>
          <w:sz w:val="24"/>
          <w:szCs w:val="24"/>
          <w:lang w:val="es-ES_tradnl"/>
        </w:rPr>
      </w:pPr>
      <w:r w:rsidRPr="00910E94">
        <w:rPr>
          <w:rFonts w:ascii="Times New Roman" w:hAnsi="Times New Roman"/>
          <w:b/>
          <w:sz w:val="24"/>
          <w:lang w:val="es-ES_tradnl"/>
        </w:rPr>
        <w:t>Recomendamos:</w:t>
      </w:r>
    </w:p>
    <w:p w:rsidR="004C6755" w:rsidRPr="00910E94" w:rsidRDefault="004C6755" w:rsidP="004C6755">
      <w:pPr>
        <w:pStyle w:val="ListParagraph"/>
        <w:spacing w:before="120" w:after="120" w:line="360" w:lineRule="auto"/>
        <w:ind w:left="0"/>
        <w:contextualSpacing w:val="0"/>
        <w:jc w:val="both"/>
        <w:rPr>
          <w:rFonts w:ascii="Times New Roman" w:hAnsi="Times New Roman"/>
          <w:b/>
          <w:sz w:val="24"/>
          <w:szCs w:val="24"/>
          <w:lang w:val="es-ES_tradnl"/>
        </w:rPr>
      </w:pPr>
      <w:r w:rsidRPr="00910E94">
        <w:rPr>
          <w:rFonts w:ascii="Times New Roman" w:hAnsi="Times New Roman"/>
          <w:b/>
          <w:sz w:val="24"/>
          <w:lang w:val="es-ES_tradnl"/>
        </w:rPr>
        <w:t>a)</w:t>
      </w:r>
      <w:r w:rsidRPr="00910E94">
        <w:rPr>
          <w:rFonts w:ascii="Times New Roman" w:hAnsi="Times New Roman"/>
          <w:sz w:val="24"/>
          <w:lang w:val="es-ES_tradnl"/>
        </w:rPr>
        <w:t xml:space="preserve"> </w:t>
      </w:r>
      <w:r w:rsidRPr="00910E94">
        <w:rPr>
          <w:rFonts w:ascii="Times New Roman" w:hAnsi="Times New Roman"/>
          <w:b/>
          <w:sz w:val="24"/>
          <w:lang w:val="es-ES_tradnl"/>
        </w:rPr>
        <w:t>la realización de exámenes adicionales para comprobar el mantenimiento de la competencia lingüística de los miembros del personal beneficiarios de primas de idiomas</w:t>
      </w:r>
      <w:r w:rsidR="00AB18E9">
        <w:rPr>
          <w:rFonts w:ascii="Times New Roman" w:hAnsi="Times New Roman"/>
          <w:b/>
          <w:sz w:val="24"/>
          <w:lang w:val="es-ES_tradnl"/>
        </w:rPr>
        <w:t xml:space="preserve">;  </w:t>
      </w:r>
      <w:r w:rsidRPr="00910E94">
        <w:rPr>
          <w:rFonts w:ascii="Times New Roman" w:hAnsi="Times New Roman"/>
          <w:b/>
          <w:sz w:val="24"/>
          <w:lang w:val="es-ES_tradnl"/>
        </w:rPr>
        <w:t xml:space="preserve">y  </w:t>
      </w:r>
    </w:p>
    <w:p w:rsidR="004C6755" w:rsidRPr="00910E94" w:rsidRDefault="004C6755" w:rsidP="004C6755">
      <w:pPr>
        <w:pStyle w:val="ListParagraph"/>
        <w:spacing w:before="120" w:after="120" w:line="360" w:lineRule="auto"/>
        <w:ind w:left="0"/>
        <w:contextualSpacing w:val="0"/>
        <w:jc w:val="both"/>
        <w:rPr>
          <w:rFonts w:ascii="Times New Roman" w:hAnsi="Times New Roman"/>
          <w:sz w:val="24"/>
          <w:szCs w:val="24"/>
          <w:lang w:val="es-ES_tradnl"/>
        </w:rPr>
      </w:pPr>
      <w:r w:rsidRPr="00910E94">
        <w:rPr>
          <w:rFonts w:ascii="Times New Roman" w:hAnsi="Times New Roman"/>
          <w:b/>
          <w:sz w:val="24"/>
          <w:lang w:val="es-ES_tradnl"/>
        </w:rPr>
        <w:t>b) revisar la continuidad de la prima de idiomas en caso de traslado o designación para un nuevo puesto que requiera un dominio pleno del idioma.</w:t>
      </w:r>
    </w:p>
    <w:p w:rsidR="0086384F" w:rsidRPr="00910E94" w:rsidRDefault="004C6755" w:rsidP="00B3220A">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hizo constar que fomenta la movilidad lateral interna del personal, de forma que la retirada de la prima de idiomas en tales casos desincentivaría la búsqueda de oportunidades de traslado lateral por el personal y, además, la exigencia de nuevos exámenes de dominio lingüístico resulta costosa y gravosa desde un punto de vista administrativo</w:t>
      </w:r>
      <w:r w:rsidR="00344EE2">
        <w:rPr>
          <w:rFonts w:ascii="Times New Roman" w:hAnsi="Times New Roman"/>
          <w:sz w:val="24"/>
          <w:lang w:val="es-ES_tradnl"/>
        </w:rPr>
        <w:t xml:space="preserve">.  </w:t>
      </w:r>
      <w:r w:rsidRPr="00910E94">
        <w:rPr>
          <w:rFonts w:ascii="Times New Roman" w:hAnsi="Times New Roman"/>
          <w:sz w:val="24"/>
          <w:lang w:val="es-ES_tradnl"/>
        </w:rPr>
        <w:t>La OMPI confirmó que modificará sus normas y prácticas en materia de prima de idiomas, de conformidad con los resultados de la revisión del paquete de remuneraciones del sistema de las NN.UU., que podría exigir cambios en el Estatuto y Reglamento del personal.</w:t>
      </w:r>
    </w:p>
    <w:p w:rsidR="004C6755" w:rsidRPr="00910E94" w:rsidRDefault="004C6755" w:rsidP="00B3220A">
      <w:pPr>
        <w:keepNext/>
        <w:spacing w:before="120" w:after="120" w:line="360" w:lineRule="auto"/>
        <w:rPr>
          <w:rFonts w:ascii="Times New Roman" w:hAnsi="Times New Roman"/>
          <w:b/>
          <w:color w:val="002060"/>
          <w:sz w:val="24"/>
          <w:szCs w:val="24"/>
          <w:lang w:val="es-ES_tradnl"/>
        </w:rPr>
      </w:pPr>
      <w:r w:rsidRPr="00910E94">
        <w:rPr>
          <w:rFonts w:ascii="Times New Roman" w:hAnsi="Times New Roman"/>
          <w:b/>
          <w:color w:val="002060"/>
          <w:sz w:val="24"/>
          <w:lang w:val="es-ES_tradnl"/>
        </w:rPr>
        <w:t>Horas extraordinarias</w:t>
      </w:r>
    </w:p>
    <w:p w:rsidR="004C6755" w:rsidRPr="00910E94" w:rsidRDefault="004C6755" w:rsidP="00693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Los miembros del personal pertenecientes a la categoría de servicios generales que trabajen más horas de las previstas en la semana normal de trabajo tendrán derecho a tiempo libre compensatorio o a remuneración suplementaria</w:t>
      </w:r>
      <w:r w:rsidR="00344EE2">
        <w:rPr>
          <w:rFonts w:ascii="Times New Roman" w:hAnsi="Times New Roman"/>
          <w:sz w:val="24"/>
          <w:lang w:val="es-ES_tradnl"/>
        </w:rPr>
        <w:t xml:space="preserve">.  </w:t>
      </w:r>
      <w:r w:rsidRPr="00910E94">
        <w:rPr>
          <w:rFonts w:ascii="Times New Roman" w:hAnsi="Times New Roman"/>
          <w:sz w:val="24"/>
          <w:lang w:val="es-ES_tradnl"/>
        </w:rPr>
        <w:t>La regla</w:t>
      </w:r>
      <w:r w:rsidR="00693071" w:rsidRPr="00910E94">
        <w:rPr>
          <w:rFonts w:ascii="Times New Roman" w:hAnsi="Times New Roman"/>
          <w:sz w:val="24"/>
          <w:lang w:val="es-ES_tradnl"/>
        </w:rPr>
        <w:t> </w:t>
      </w:r>
      <w:r w:rsidRPr="00910E94">
        <w:rPr>
          <w:rFonts w:ascii="Times New Roman" w:hAnsi="Times New Roman"/>
          <w:sz w:val="24"/>
          <w:lang w:val="es-ES_tradnl"/>
        </w:rPr>
        <w:t>3.12.3 dispone que el tiempo libre se concederá tan pronto como las necesidades del servicio lo permitan y en todo caso dentro de los seis meses siguientes a la fecha en que se trabajaron las horas extraordinarias</w:t>
      </w:r>
      <w:r w:rsidR="00344EE2">
        <w:rPr>
          <w:rFonts w:ascii="Times New Roman" w:hAnsi="Times New Roman"/>
          <w:sz w:val="24"/>
          <w:lang w:val="es-ES_tradnl"/>
        </w:rPr>
        <w:t xml:space="preserve">.  </w:t>
      </w:r>
      <w:r w:rsidRPr="00910E94">
        <w:rPr>
          <w:rFonts w:ascii="Times New Roman" w:hAnsi="Times New Roman"/>
          <w:sz w:val="24"/>
          <w:lang w:val="es-ES_tradnl"/>
        </w:rPr>
        <w:t>Si el superior del funcionario certifica que las necesidades del servicio no permiten la concesión de tiempo libre compensatorio en el período prescrito de seis meses, las horas extraordinarias se compensarán mediante pago en efectivo</w:t>
      </w:r>
      <w:r w:rsidR="00344EE2">
        <w:rPr>
          <w:rFonts w:ascii="Times New Roman" w:hAnsi="Times New Roman"/>
          <w:sz w:val="24"/>
          <w:lang w:val="es-ES_tradnl"/>
        </w:rPr>
        <w:t xml:space="preserve">.  </w:t>
      </w:r>
      <w:r w:rsidRPr="00910E94">
        <w:rPr>
          <w:rFonts w:ascii="Times New Roman" w:hAnsi="Times New Roman"/>
          <w:sz w:val="24"/>
          <w:lang w:val="es-ES_tradnl"/>
        </w:rPr>
        <w:t>La orden de servicio</w:t>
      </w:r>
      <w:r w:rsidR="00693071" w:rsidRPr="00910E94">
        <w:rPr>
          <w:rFonts w:ascii="Times New Roman" w:hAnsi="Times New Roman"/>
          <w:sz w:val="24"/>
          <w:lang w:val="es-ES_tradnl"/>
        </w:rPr>
        <w:t> </w:t>
      </w:r>
      <w:r w:rsidRPr="00910E94">
        <w:rPr>
          <w:rFonts w:ascii="Times New Roman" w:hAnsi="Times New Roman"/>
          <w:sz w:val="24"/>
          <w:lang w:val="es-ES_tradnl"/>
        </w:rPr>
        <w:t xml:space="preserve">75/2012 </w:t>
      </w:r>
      <w:r w:rsidRPr="00910E94">
        <w:rPr>
          <w:rFonts w:ascii="Times New Roman" w:hAnsi="Times New Roman"/>
          <w:sz w:val="24"/>
          <w:lang w:val="es-ES_tradnl"/>
        </w:rPr>
        <w:lastRenderedPageBreak/>
        <w:t>exige que los superiores se aseguren de que las solicitudes relativas a horas extraordinarias en una semana determinada sean recibidas por el Departamento de Gestión de Rec</w:t>
      </w:r>
      <w:r w:rsidR="00693071" w:rsidRPr="00910E94">
        <w:rPr>
          <w:rFonts w:ascii="Times New Roman" w:hAnsi="Times New Roman"/>
          <w:sz w:val="24"/>
          <w:lang w:val="es-ES_tradnl"/>
        </w:rPr>
        <w:t>ursos Humanos como máximo a las 18.00 </w:t>
      </w:r>
      <w:r w:rsidRPr="00910E94">
        <w:rPr>
          <w:rFonts w:ascii="Times New Roman" w:hAnsi="Times New Roman"/>
          <w:sz w:val="24"/>
          <w:lang w:val="es-ES_tradnl"/>
        </w:rPr>
        <w:t>horas del viernes de la semana en curso</w:t>
      </w:r>
      <w:r w:rsidR="00344EE2">
        <w:rPr>
          <w:rFonts w:ascii="Times New Roman" w:hAnsi="Times New Roman"/>
          <w:sz w:val="24"/>
          <w:lang w:val="es-ES_tradnl"/>
        </w:rPr>
        <w:t xml:space="preserve">.  </w:t>
      </w:r>
    </w:p>
    <w:p w:rsidR="004C6755" w:rsidRPr="00910E94" w:rsidRDefault="004C6755" w:rsidP="00693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En los años 2012, 2013 y 2014, aproximadamente un</w:t>
      </w:r>
      <w:r w:rsidR="00693071" w:rsidRPr="00910E94">
        <w:rPr>
          <w:rFonts w:ascii="Times New Roman" w:hAnsi="Times New Roman"/>
          <w:sz w:val="24"/>
          <w:lang w:val="es-ES_tradnl"/>
        </w:rPr>
        <w:t> </w:t>
      </w:r>
      <w:r w:rsidRPr="00910E94">
        <w:rPr>
          <w:rFonts w:ascii="Times New Roman" w:hAnsi="Times New Roman"/>
          <w:sz w:val="24"/>
          <w:lang w:val="es-ES_tradnl"/>
        </w:rPr>
        <w:t>74%</w:t>
      </w:r>
      <w:r w:rsidRPr="00910E94">
        <w:rPr>
          <w:rFonts w:ascii="Times New Roman" w:hAnsi="Times New Roman"/>
          <w:i/>
          <w:sz w:val="24"/>
          <w:lang w:val="es-ES_tradnl"/>
        </w:rPr>
        <w:t>,</w:t>
      </w:r>
      <w:r w:rsidR="00693071" w:rsidRPr="00910E94">
        <w:rPr>
          <w:rFonts w:ascii="Times New Roman" w:hAnsi="Times New Roman"/>
          <w:sz w:val="24"/>
          <w:lang w:val="es-ES_tradnl"/>
        </w:rPr>
        <w:t xml:space="preserve"> un 55% y un </w:t>
      </w:r>
      <w:r w:rsidRPr="00910E94">
        <w:rPr>
          <w:rFonts w:ascii="Times New Roman" w:hAnsi="Times New Roman"/>
          <w:sz w:val="24"/>
          <w:lang w:val="es-ES_tradnl"/>
        </w:rPr>
        <w:t>33% respectivamente del personal de la categoría de servicios generales realizó horas ex</w:t>
      </w:r>
      <w:r w:rsidR="00693071" w:rsidRPr="00910E94">
        <w:rPr>
          <w:rFonts w:ascii="Times New Roman" w:hAnsi="Times New Roman"/>
          <w:sz w:val="24"/>
          <w:lang w:val="es-ES_tradnl"/>
        </w:rPr>
        <w:t>traordinarias</w:t>
      </w:r>
      <w:r w:rsidR="00344EE2">
        <w:rPr>
          <w:rFonts w:ascii="Times New Roman" w:hAnsi="Times New Roman"/>
          <w:sz w:val="24"/>
          <w:lang w:val="es-ES_tradnl"/>
        </w:rPr>
        <w:t xml:space="preserve">.  </w:t>
      </w:r>
      <w:r w:rsidR="00693071" w:rsidRPr="00910E94">
        <w:rPr>
          <w:rFonts w:ascii="Times New Roman" w:hAnsi="Times New Roman"/>
          <w:sz w:val="24"/>
          <w:lang w:val="es-ES_tradnl"/>
        </w:rPr>
        <w:t>Tras examinar 10 </w:t>
      </w:r>
      <w:r w:rsidRPr="00910E94">
        <w:rPr>
          <w:rFonts w:ascii="Times New Roman" w:hAnsi="Times New Roman"/>
          <w:sz w:val="24"/>
          <w:lang w:val="es-ES_tradnl"/>
        </w:rPr>
        <w:t>casos correspondientes a este período, detectamos los siguientes incumplimientos de las órdenes de servicio:</w:t>
      </w:r>
    </w:p>
    <w:p w:rsidR="004C6755" w:rsidRPr="00910E94" w:rsidRDefault="004C6755" w:rsidP="004C6755">
      <w:pPr>
        <w:numPr>
          <w:ilvl w:val="0"/>
          <w:numId w:val="18"/>
        </w:numPr>
        <w:spacing w:after="120" w:line="360" w:lineRule="auto"/>
        <w:jc w:val="both"/>
        <w:rPr>
          <w:rFonts w:ascii="Times New Roman" w:hAnsi="Times New Roman"/>
          <w:sz w:val="24"/>
          <w:szCs w:val="24"/>
          <w:lang w:val="es-ES_tradnl"/>
        </w:rPr>
      </w:pPr>
      <w:r w:rsidRPr="00910E94">
        <w:rPr>
          <w:rFonts w:ascii="Times New Roman" w:hAnsi="Times New Roman"/>
          <w:sz w:val="24"/>
          <w:lang w:val="es-ES_tradnl"/>
        </w:rPr>
        <w:t>En cinco casos, el formulario de la solicitud relativa a horas extraordinarias fue aceptado después del plazo señalado en la orden de servicio</w:t>
      </w:r>
      <w:r w:rsidR="00344EE2">
        <w:rPr>
          <w:rFonts w:ascii="Times New Roman" w:hAnsi="Times New Roman"/>
          <w:sz w:val="24"/>
          <w:lang w:val="es-ES_tradnl"/>
        </w:rPr>
        <w:t xml:space="preserve">.  </w:t>
      </w:r>
      <w:r w:rsidRPr="00910E94">
        <w:rPr>
          <w:rFonts w:ascii="Times New Roman" w:hAnsi="Times New Roman"/>
          <w:sz w:val="24"/>
          <w:lang w:val="es-ES_tradnl"/>
        </w:rPr>
        <w:t>En dos supuestos, la solicitud fue aceptada antes del comienzo de la semana a la que se refería la solicitud presentada.</w:t>
      </w:r>
    </w:p>
    <w:p w:rsidR="004C6755" w:rsidRPr="00910E94" w:rsidRDefault="004C6755" w:rsidP="00693071">
      <w:pPr>
        <w:numPr>
          <w:ilvl w:val="0"/>
          <w:numId w:val="18"/>
        </w:numPr>
        <w:spacing w:after="120" w:line="360" w:lineRule="auto"/>
        <w:jc w:val="both"/>
        <w:rPr>
          <w:rFonts w:ascii="Times New Roman" w:hAnsi="Times New Roman"/>
          <w:sz w:val="24"/>
          <w:szCs w:val="24"/>
          <w:lang w:val="es-ES_tradnl"/>
        </w:rPr>
      </w:pPr>
      <w:r w:rsidRPr="00910E94">
        <w:rPr>
          <w:rFonts w:ascii="Times New Roman" w:hAnsi="Times New Roman"/>
          <w:sz w:val="24"/>
          <w:lang w:val="es-ES_tradnl"/>
        </w:rPr>
        <w:t>En ocho casos, las horas extraordinarias fueron retribuidas mediante pago en efectivo en lugar de a través de la concesión de tiempo libre compensatorio</w:t>
      </w:r>
      <w:r w:rsidR="00344EE2">
        <w:rPr>
          <w:rFonts w:ascii="Times New Roman" w:hAnsi="Times New Roman"/>
          <w:sz w:val="24"/>
          <w:lang w:val="es-ES_tradnl"/>
        </w:rPr>
        <w:t xml:space="preserve">.  </w:t>
      </w:r>
      <w:r w:rsidRPr="00910E94">
        <w:rPr>
          <w:rFonts w:ascii="Times New Roman" w:hAnsi="Times New Roman"/>
          <w:sz w:val="24"/>
          <w:lang w:val="es-ES_tradnl"/>
        </w:rPr>
        <w:t>En el formulario no constaba fecha alguna que indicara el momento en el que el superior certificó que las necesidades del servicio no permitían la concesión de tiempo libre compensatorio</w:t>
      </w:r>
      <w:r w:rsidR="00344EE2">
        <w:rPr>
          <w:rFonts w:ascii="Times New Roman" w:hAnsi="Times New Roman"/>
          <w:sz w:val="24"/>
          <w:lang w:val="es-ES_tradnl"/>
        </w:rPr>
        <w:t xml:space="preserve">.  </w:t>
      </w:r>
    </w:p>
    <w:p w:rsidR="004C6755" w:rsidRPr="00910E94" w:rsidRDefault="004C6755" w:rsidP="009B3DAA">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b/>
          <w:sz w:val="24"/>
          <w:szCs w:val="24"/>
          <w:lang w:val="es-ES_tradnl"/>
        </w:rPr>
      </w:pPr>
      <w:r w:rsidRPr="00910E94">
        <w:rPr>
          <w:rFonts w:ascii="Times New Roman" w:hAnsi="Times New Roman"/>
          <w:sz w:val="24"/>
          <w:lang w:val="es-ES_tradnl"/>
        </w:rPr>
        <w:t xml:space="preserve">La OMPI indicó que, gracias a los esfuerzos desplegados, se ha logrado una reducción considerable de los costos en horas extraordinarias </w:t>
      </w:r>
      <w:r w:rsidR="00CC3D7A" w:rsidRPr="00910E94">
        <w:rPr>
          <w:rFonts w:ascii="Times New Roman" w:hAnsi="Times New Roman"/>
          <w:sz w:val="24"/>
          <w:lang w:val="es-ES_tradnl"/>
        </w:rPr>
        <w:t>en 20</w:t>
      </w:r>
      <w:r w:rsidRPr="00910E94">
        <w:rPr>
          <w:rFonts w:ascii="Times New Roman" w:hAnsi="Times New Roman"/>
          <w:sz w:val="24"/>
          <w:lang w:val="es-ES_tradnl"/>
        </w:rPr>
        <w:t>14</w:t>
      </w:r>
      <w:r w:rsidR="00344EE2">
        <w:rPr>
          <w:rFonts w:ascii="Times New Roman" w:hAnsi="Times New Roman"/>
          <w:sz w:val="24"/>
          <w:lang w:val="es-ES_tradnl"/>
        </w:rPr>
        <w:t xml:space="preserve">.  </w:t>
      </w:r>
      <w:r w:rsidRPr="00910E94">
        <w:rPr>
          <w:rFonts w:ascii="Times New Roman" w:hAnsi="Times New Roman"/>
          <w:sz w:val="24"/>
          <w:lang w:val="es-ES_tradnl"/>
        </w:rPr>
        <w:t>Explicó que la decisión de no optar por el tiempo libre compensatorio se debió a la elevada carga de trabajo que soportan algunos departamentos y divisiones</w:t>
      </w:r>
      <w:r w:rsidR="00344EE2">
        <w:rPr>
          <w:rFonts w:ascii="Times New Roman" w:hAnsi="Times New Roman"/>
          <w:sz w:val="24"/>
          <w:lang w:val="es-ES_tradnl"/>
        </w:rPr>
        <w:t xml:space="preserve">.  </w:t>
      </w:r>
    </w:p>
    <w:p w:rsidR="004C6755" w:rsidRPr="00910E94" w:rsidRDefault="004C6755" w:rsidP="00B3220A">
      <w:pPr>
        <w:keepNext/>
        <w:spacing w:before="120" w:after="120" w:line="360" w:lineRule="auto"/>
        <w:rPr>
          <w:rFonts w:ascii="Times New Roman" w:hAnsi="Times New Roman"/>
          <w:b/>
          <w:sz w:val="24"/>
          <w:szCs w:val="24"/>
          <w:lang w:val="es-ES_tradnl"/>
        </w:rPr>
      </w:pPr>
      <w:r w:rsidRPr="00910E94">
        <w:rPr>
          <w:rFonts w:ascii="Times New Roman" w:hAnsi="Times New Roman"/>
          <w:b/>
          <w:sz w:val="24"/>
          <w:lang w:val="es-ES_tradnl"/>
        </w:rPr>
        <w:t>Recomendación 20</w:t>
      </w:r>
    </w:p>
    <w:p w:rsidR="004C6755" w:rsidRPr="00910E94" w:rsidRDefault="004C6755" w:rsidP="00B3220A">
      <w:pPr>
        <w:spacing w:before="120" w:after="120" w:line="360" w:lineRule="auto"/>
        <w:jc w:val="both"/>
        <w:rPr>
          <w:rFonts w:ascii="Times New Roman" w:hAnsi="Times New Roman"/>
          <w:b/>
          <w:sz w:val="24"/>
          <w:szCs w:val="24"/>
          <w:lang w:val="es-ES_tradnl"/>
        </w:rPr>
      </w:pPr>
      <w:r w:rsidRPr="00910E94">
        <w:rPr>
          <w:rFonts w:ascii="Times New Roman" w:hAnsi="Times New Roman"/>
          <w:b/>
          <w:sz w:val="24"/>
          <w:lang w:val="es-ES_tradnl"/>
        </w:rPr>
        <w:t>Recomendamos reforzar los controles internos a fin de garantizar el cumplimiento pleno de los requisitos de las órdenes de servicio relativas a horas extraordinarias.</w:t>
      </w:r>
    </w:p>
    <w:p w:rsidR="0086384F" w:rsidRPr="00910E94" w:rsidRDefault="004C6755" w:rsidP="0086384F">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b/>
          <w:color w:val="002060"/>
          <w:sz w:val="28"/>
          <w:szCs w:val="28"/>
          <w:lang w:val="es-ES_tradnl"/>
        </w:rPr>
      </w:pPr>
      <w:r w:rsidRPr="00910E94">
        <w:rPr>
          <w:rFonts w:ascii="Times New Roman" w:hAnsi="Times New Roman"/>
          <w:sz w:val="24"/>
          <w:lang w:val="es-ES_tradnl"/>
        </w:rPr>
        <w:t>La OMPI aceptó la recomendación e hizo constar que las horas extraordinarias están sujetas a criterios específicos, a la supervisión de la dirección y a aprobación previa.</w:t>
      </w:r>
    </w:p>
    <w:p w:rsidR="004C6755" w:rsidRPr="00910E94" w:rsidRDefault="004C6755" w:rsidP="00B3220A">
      <w:pPr>
        <w:keepNext/>
        <w:spacing w:before="240" w:after="240" w:line="360" w:lineRule="auto"/>
        <w:rPr>
          <w:rFonts w:ascii="Times New Roman" w:hAnsi="Times New Roman"/>
          <w:b/>
          <w:color w:val="002060"/>
          <w:sz w:val="24"/>
          <w:szCs w:val="24"/>
          <w:lang w:val="es-ES_tradnl"/>
        </w:rPr>
      </w:pPr>
      <w:r w:rsidRPr="00910E94">
        <w:rPr>
          <w:rFonts w:ascii="Times New Roman" w:hAnsi="Times New Roman"/>
          <w:b/>
          <w:color w:val="002060"/>
          <w:sz w:val="24"/>
          <w:lang w:val="es-ES_tradnl"/>
        </w:rPr>
        <w:t>Subsidio por funciones especiales</w:t>
      </w:r>
    </w:p>
    <w:p w:rsidR="004C6755" w:rsidRPr="00910E94" w:rsidRDefault="004C6755" w:rsidP="00693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De conformidad con la cláusula</w:t>
      </w:r>
      <w:r w:rsidR="00693071" w:rsidRPr="00910E94">
        <w:rPr>
          <w:rFonts w:ascii="Times New Roman" w:hAnsi="Times New Roman"/>
          <w:sz w:val="24"/>
          <w:lang w:val="es-ES_tradnl"/>
        </w:rPr>
        <w:t> </w:t>
      </w:r>
      <w:r w:rsidRPr="00910E94">
        <w:rPr>
          <w:rFonts w:ascii="Times New Roman" w:hAnsi="Times New Roman"/>
          <w:sz w:val="24"/>
          <w:lang w:val="es-ES_tradnl"/>
        </w:rPr>
        <w:t>3.11, se pagará un subsidio por funciones especiales no pensionable a todo funcionario con contrato de plazo fijo, permanente o continuo que deba asumir temporalmente las responsabilidades y funciones de un puesto vacante de grado superior al del puesto que ocupa</w:t>
      </w:r>
      <w:r w:rsidR="00344EE2">
        <w:rPr>
          <w:rFonts w:ascii="Times New Roman" w:hAnsi="Times New Roman"/>
          <w:sz w:val="24"/>
          <w:lang w:val="es-ES_tradnl"/>
        </w:rPr>
        <w:t xml:space="preserve">.  </w:t>
      </w:r>
      <w:r w:rsidRPr="00910E94">
        <w:rPr>
          <w:rFonts w:ascii="Times New Roman" w:hAnsi="Times New Roman"/>
          <w:sz w:val="24"/>
          <w:lang w:val="es-ES_tradnl"/>
        </w:rPr>
        <w:t>Tal subsidio será pagadero a partir de la fecha en que el funcionario haya desempeñado durante un período ininterrumpido de seis meses todas las funciones del puesto de grado superior que se le han confiado</w:t>
      </w:r>
      <w:r w:rsidR="00344EE2">
        <w:rPr>
          <w:rFonts w:ascii="Times New Roman" w:hAnsi="Times New Roman"/>
          <w:sz w:val="24"/>
          <w:lang w:val="es-ES_tradnl"/>
        </w:rPr>
        <w:t xml:space="preserve">.  </w:t>
      </w:r>
      <w:r w:rsidRPr="00910E94">
        <w:rPr>
          <w:rFonts w:ascii="Times New Roman" w:hAnsi="Times New Roman"/>
          <w:sz w:val="24"/>
          <w:lang w:val="es-ES_tradnl"/>
        </w:rPr>
        <w:t xml:space="preserve">La prórroga del subsidio más </w:t>
      </w:r>
      <w:r w:rsidRPr="00910E94">
        <w:rPr>
          <w:rFonts w:ascii="Times New Roman" w:hAnsi="Times New Roman"/>
          <w:sz w:val="24"/>
          <w:lang w:val="es-ES_tradnl"/>
        </w:rPr>
        <w:lastRenderedPageBreak/>
        <w:t>allá de</w:t>
      </w:r>
      <w:r w:rsidR="00693071" w:rsidRPr="00910E94">
        <w:rPr>
          <w:rFonts w:ascii="Times New Roman" w:hAnsi="Times New Roman"/>
          <w:sz w:val="24"/>
          <w:lang w:val="es-ES_tradnl"/>
        </w:rPr>
        <w:t> 12 </w:t>
      </w:r>
      <w:r w:rsidRPr="00910E94">
        <w:rPr>
          <w:rFonts w:ascii="Times New Roman" w:hAnsi="Times New Roman"/>
          <w:sz w:val="24"/>
          <w:lang w:val="es-ES_tradnl"/>
        </w:rPr>
        <w:t xml:space="preserve">meses sólo podrá ser autorizada en circunstancias </w:t>
      </w:r>
      <w:r w:rsidR="009D7E04" w:rsidRPr="00910E94">
        <w:rPr>
          <w:rFonts w:ascii="Times New Roman" w:hAnsi="Times New Roman"/>
          <w:sz w:val="24"/>
          <w:lang w:val="es-ES_tradnl"/>
        </w:rPr>
        <w:t>excepcionales</w:t>
      </w:r>
      <w:r w:rsidR="00344EE2">
        <w:rPr>
          <w:rFonts w:ascii="Times New Roman" w:hAnsi="Times New Roman"/>
          <w:sz w:val="24"/>
          <w:lang w:val="es-ES_tradnl"/>
        </w:rPr>
        <w:t xml:space="preserve">.  </w:t>
      </w:r>
      <w:r w:rsidRPr="00910E94">
        <w:rPr>
          <w:rFonts w:ascii="Times New Roman" w:hAnsi="Times New Roman"/>
          <w:sz w:val="24"/>
          <w:lang w:val="es-ES_tradnl"/>
        </w:rPr>
        <w:t>En ningún caso es</w:t>
      </w:r>
      <w:r w:rsidR="00693071" w:rsidRPr="00910E94">
        <w:rPr>
          <w:rFonts w:ascii="Times New Roman" w:hAnsi="Times New Roman"/>
          <w:sz w:val="24"/>
          <w:lang w:val="es-ES_tradnl"/>
        </w:rPr>
        <w:t>a nueva prórroga excederá de 12 </w:t>
      </w:r>
      <w:r w:rsidRPr="00910E94">
        <w:rPr>
          <w:rFonts w:ascii="Times New Roman" w:hAnsi="Times New Roman"/>
          <w:sz w:val="24"/>
          <w:lang w:val="es-ES_tradnl"/>
        </w:rPr>
        <w:t>meses</w:t>
      </w:r>
      <w:r w:rsidR="00344EE2">
        <w:rPr>
          <w:rFonts w:ascii="Times New Roman" w:hAnsi="Times New Roman"/>
          <w:sz w:val="24"/>
          <w:lang w:val="es-ES_tradnl"/>
        </w:rPr>
        <w:t xml:space="preserve">.  </w:t>
      </w:r>
    </w:p>
    <w:p w:rsidR="004C6755" w:rsidRPr="00910E94" w:rsidRDefault="004C6755" w:rsidP="00693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De conformidad con la cláusula</w:t>
      </w:r>
      <w:r w:rsidR="00693071" w:rsidRPr="00910E94">
        <w:rPr>
          <w:rFonts w:ascii="Times New Roman" w:hAnsi="Times New Roman"/>
          <w:sz w:val="24"/>
          <w:lang w:val="es-ES_tradnl"/>
        </w:rPr>
        <w:t> </w:t>
      </w:r>
      <w:r w:rsidRPr="00910E94">
        <w:rPr>
          <w:rFonts w:ascii="Times New Roman" w:hAnsi="Times New Roman"/>
          <w:sz w:val="24"/>
          <w:lang w:val="es-ES_tradnl"/>
        </w:rPr>
        <w:t>3.22, salvo que se prevea lo contrario, todo derecho a una prestación, subsidio u otro pago que se derive del Estatuto y Reglamento del Personal se extinguirá dos años después de la fecha en que el funcionario hubiera tenido derecho al pago</w:t>
      </w:r>
      <w:r w:rsidR="00344EE2">
        <w:rPr>
          <w:rFonts w:ascii="Times New Roman" w:hAnsi="Times New Roman"/>
          <w:sz w:val="24"/>
          <w:lang w:val="es-ES_tradnl"/>
        </w:rPr>
        <w:t xml:space="preserve">.  </w:t>
      </w:r>
    </w:p>
    <w:p w:rsidR="004C6755" w:rsidRPr="00910E94" w:rsidRDefault="004C6755" w:rsidP="00693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Al examinar cinco casos de subsidio por funciones especiales durante</w:t>
      </w:r>
      <w:r w:rsidR="00693071" w:rsidRPr="00910E94">
        <w:rPr>
          <w:rFonts w:ascii="Times New Roman" w:hAnsi="Times New Roman"/>
          <w:sz w:val="24"/>
          <w:lang w:val="es-ES_tradnl"/>
        </w:rPr>
        <w:t> </w:t>
      </w:r>
      <w:r w:rsidRPr="00910E94">
        <w:rPr>
          <w:rFonts w:ascii="Times New Roman" w:hAnsi="Times New Roman"/>
          <w:sz w:val="24"/>
          <w:lang w:val="es-ES_tradnl"/>
        </w:rPr>
        <w:t>2012-2014, se apreciaron los siguientes problemas:</w:t>
      </w:r>
    </w:p>
    <w:p w:rsidR="004C6755" w:rsidRPr="00910E94" w:rsidRDefault="004C6755" w:rsidP="004C6755">
      <w:pPr>
        <w:numPr>
          <w:ilvl w:val="0"/>
          <w:numId w:val="20"/>
        </w:numPr>
        <w:spacing w:line="360" w:lineRule="auto"/>
        <w:jc w:val="both"/>
        <w:rPr>
          <w:rFonts w:ascii="Times New Roman" w:hAnsi="Times New Roman"/>
          <w:sz w:val="24"/>
          <w:szCs w:val="24"/>
          <w:lang w:val="es-ES_tradnl"/>
        </w:rPr>
      </w:pPr>
      <w:r w:rsidRPr="00910E94">
        <w:rPr>
          <w:rFonts w:ascii="Times New Roman" w:hAnsi="Times New Roman"/>
          <w:sz w:val="24"/>
          <w:lang w:val="es-ES_tradnl"/>
        </w:rPr>
        <w:t xml:space="preserve">Un funcionario continuó desempeñando las funciones del puesto superior desde enero </w:t>
      </w:r>
      <w:r w:rsidR="00CC3D7A" w:rsidRPr="00910E94">
        <w:rPr>
          <w:rFonts w:ascii="Times New Roman" w:hAnsi="Times New Roman"/>
          <w:sz w:val="24"/>
          <w:lang w:val="es-ES_tradnl"/>
        </w:rPr>
        <w:t>de 20</w:t>
      </w:r>
      <w:r w:rsidRPr="00910E94">
        <w:rPr>
          <w:rFonts w:ascii="Times New Roman" w:hAnsi="Times New Roman"/>
          <w:sz w:val="24"/>
          <w:lang w:val="es-ES_tradnl"/>
        </w:rPr>
        <w:t xml:space="preserve">13 y percibió el subsidio por funciones especiales desde julio </w:t>
      </w:r>
      <w:r w:rsidR="00CC3D7A" w:rsidRPr="00910E94">
        <w:rPr>
          <w:rFonts w:ascii="Times New Roman" w:hAnsi="Times New Roman"/>
          <w:sz w:val="24"/>
          <w:lang w:val="es-ES_tradnl"/>
        </w:rPr>
        <w:t>de 20</w:t>
      </w:r>
      <w:r w:rsidRPr="00910E94">
        <w:rPr>
          <w:rFonts w:ascii="Times New Roman" w:hAnsi="Times New Roman"/>
          <w:sz w:val="24"/>
          <w:lang w:val="es-ES_tradnl"/>
        </w:rPr>
        <w:t>13</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El Departamento de Gestión de Recursos Humanos </w:t>
      </w:r>
      <w:r w:rsidR="009D7E04" w:rsidRPr="00910E94">
        <w:rPr>
          <w:rFonts w:ascii="Times New Roman" w:hAnsi="Times New Roman"/>
          <w:sz w:val="24"/>
          <w:lang w:val="es-ES_tradnl"/>
        </w:rPr>
        <w:t>señaló</w:t>
      </w:r>
      <w:r w:rsidRPr="00910E94">
        <w:rPr>
          <w:rFonts w:ascii="Times New Roman" w:hAnsi="Times New Roman"/>
          <w:sz w:val="24"/>
          <w:lang w:val="es-ES_tradnl"/>
        </w:rPr>
        <w:t xml:space="preserve"> que era preciso delimitar con más precisión el ámbito exacto de los servicios y no estaba preparado para iniciar una contratación para un nombramiento de plazo fijo</w:t>
      </w:r>
      <w:r w:rsidR="00344EE2">
        <w:rPr>
          <w:rFonts w:ascii="Times New Roman" w:hAnsi="Times New Roman"/>
          <w:sz w:val="24"/>
          <w:lang w:val="es-ES_tradnl"/>
        </w:rPr>
        <w:t xml:space="preserve">.  </w:t>
      </w:r>
    </w:p>
    <w:p w:rsidR="004C6755" w:rsidRPr="00910E94" w:rsidRDefault="004C6755" w:rsidP="00693071">
      <w:pPr>
        <w:numPr>
          <w:ilvl w:val="0"/>
          <w:numId w:val="20"/>
        </w:numPr>
        <w:spacing w:after="120" w:line="360" w:lineRule="auto"/>
        <w:jc w:val="both"/>
        <w:rPr>
          <w:rFonts w:ascii="Times New Roman" w:hAnsi="Times New Roman"/>
          <w:b/>
          <w:sz w:val="24"/>
          <w:szCs w:val="24"/>
          <w:u w:val="single"/>
          <w:lang w:val="es-ES_tradnl"/>
        </w:rPr>
      </w:pPr>
      <w:r w:rsidRPr="00910E94">
        <w:rPr>
          <w:rFonts w:ascii="Times New Roman" w:hAnsi="Times New Roman"/>
          <w:sz w:val="24"/>
          <w:lang w:val="es-ES_tradnl"/>
        </w:rPr>
        <w:t xml:space="preserve">En otro caso, el subsidio por funciones especiales a favor de un funcionario durante el período comprendido entre mayo </w:t>
      </w:r>
      <w:r w:rsidR="00CC3D7A" w:rsidRPr="00910E94">
        <w:rPr>
          <w:rFonts w:ascii="Times New Roman" w:hAnsi="Times New Roman"/>
          <w:sz w:val="24"/>
          <w:lang w:val="es-ES_tradnl"/>
        </w:rPr>
        <w:t>de 20</w:t>
      </w:r>
      <w:r w:rsidRPr="00910E94">
        <w:rPr>
          <w:rFonts w:ascii="Times New Roman" w:hAnsi="Times New Roman"/>
          <w:sz w:val="24"/>
          <w:lang w:val="es-ES_tradnl"/>
        </w:rPr>
        <w:t xml:space="preserve">12 y noviembre </w:t>
      </w:r>
      <w:r w:rsidR="00CC3D7A" w:rsidRPr="00910E94">
        <w:rPr>
          <w:rFonts w:ascii="Times New Roman" w:hAnsi="Times New Roman"/>
          <w:sz w:val="24"/>
          <w:lang w:val="es-ES_tradnl"/>
        </w:rPr>
        <w:t>de 20</w:t>
      </w:r>
      <w:r w:rsidRPr="00910E94">
        <w:rPr>
          <w:rFonts w:ascii="Times New Roman" w:hAnsi="Times New Roman"/>
          <w:sz w:val="24"/>
          <w:lang w:val="es-ES_tradnl"/>
        </w:rPr>
        <w:t>12 superó la duración límite prevista en la cláusula</w:t>
      </w:r>
      <w:r w:rsidR="00693071" w:rsidRPr="00910E94">
        <w:rPr>
          <w:rFonts w:ascii="Times New Roman" w:hAnsi="Times New Roman"/>
          <w:sz w:val="24"/>
          <w:lang w:val="es-ES_tradnl"/>
        </w:rPr>
        <w:t> </w:t>
      </w:r>
      <w:r w:rsidRPr="00910E94">
        <w:rPr>
          <w:rFonts w:ascii="Times New Roman" w:hAnsi="Times New Roman"/>
          <w:sz w:val="24"/>
          <w:lang w:val="es-ES_tradnl"/>
        </w:rPr>
        <w:t>3.22</w:t>
      </w:r>
      <w:r w:rsidR="00344EE2">
        <w:rPr>
          <w:rFonts w:ascii="Times New Roman" w:hAnsi="Times New Roman"/>
          <w:sz w:val="24"/>
          <w:lang w:val="es-ES_tradnl"/>
        </w:rPr>
        <w:t xml:space="preserve">.  </w:t>
      </w:r>
    </w:p>
    <w:p w:rsidR="004C6755" w:rsidRPr="00910E94" w:rsidRDefault="004C6755" w:rsidP="00606F68">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sz w:val="24"/>
          <w:szCs w:val="24"/>
          <w:lang w:val="es-ES_tradnl"/>
        </w:rPr>
      </w:pPr>
      <w:r w:rsidRPr="00910E94">
        <w:rPr>
          <w:rFonts w:ascii="Times New Roman" w:hAnsi="Times New Roman"/>
          <w:sz w:val="24"/>
          <w:lang w:val="es-ES_tradnl"/>
        </w:rPr>
        <w:t>La OMPI hizo constar que cuando la contratación es solicitada por la Administración, el Departamento de Gestión de Recursos Humanos da prioridad al proceso de selección, pero no es la demora en la contratación en sí lo que genera el problema, sino la demora en iniciar la contratación</w:t>
      </w:r>
      <w:r w:rsidR="00344EE2">
        <w:rPr>
          <w:rFonts w:ascii="Times New Roman" w:hAnsi="Times New Roman"/>
          <w:sz w:val="24"/>
          <w:lang w:val="es-ES_tradnl"/>
        </w:rPr>
        <w:t xml:space="preserve">.  </w:t>
      </w:r>
      <w:r w:rsidRPr="00910E94">
        <w:rPr>
          <w:rFonts w:ascii="Times New Roman" w:hAnsi="Times New Roman"/>
          <w:sz w:val="24"/>
          <w:lang w:val="es-ES_tradnl"/>
        </w:rPr>
        <w:t>No tendría sentido exigir a la Organización que anunciara un puesto si no existe la seguridad de que ese puesto es realmente necesario o que requiere un perfil específico de capacidades</w:t>
      </w:r>
      <w:r w:rsidR="00344EE2">
        <w:rPr>
          <w:rFonts w:ascii="Times New Roman" w:hAnsi="Times New Roman"/>
          <w:sz w:val="24"/>
          <w:lang w:val="es-ES_tradnl"/>
        </w:rPr>
        <w:t xml:space="preserve">.  </w:t>
      </w:r>
      <w:r w:rsidRPr="00910E94">
        <w:rPr>
          <w:rFonts w:ascii="Times New Roman" w:hAnsi="Times New Roman"/>
          <w:sz w:val="24"/>
          <w:lang w:val="es-ES_tradnl"/>
        </w:rPr>
        <w:t>En el marco de la revisión del conjunto de empleados, la OMPI toma en consideración la posi</w:t>
      </w:r>
      <w:r w:rsidR="009D7E04" w:rsidRPr="00910E94">
        <w:rPr>
          <w:rFonts w:ascii="Times New Roman" w:hAnsi="Times New Roman"/>
          <w:sz w:val="24"/>
          <w:lang w:val="es-ES_tradnl"/>
        </w:rPr>
        <w:t>bi</w:t>
      </w:r>
      <w:r w:rsidRPr="00910E94">
        <w:rPr>
          <w:rFonts w:ascii="Times New Roman" w:hAnsi="Times New Roman"/>
          <w:sz w:val="24"/>
          <w:lang w:val="es-ES_tradnl"/>
        </w:rPr>
        <w:t>lidad de utilizar modalidades flexibles y sólo inicia el proceso de contratación para un puesto si se acredita plenamente que es necesario a largo plazo</w:t>
      </w:r>
      <w:r w:rsidR="00344EE2">
        <w:rPr>
          <w:rFonts w:ascii="Times New Roman" w:hAnsi="Times New Roman"/>
          <w:sz w:val="24"/>
          <w:lang w:val="es-ES_tradnl"/>
        </w:rPr>
        <w:t xml:space="preserve">.  </w:t>
      </w:r>
    </w:p>
    <w:p w:rsidR="004C6755" w:rsidRPr="00910E94" w:rsidRDefault="004C6755" w:rsidP="00B3220A">
      <w:pPr>
        <w:keepNext/>
        <w:spacing w:before="120" w:after="120" w:line="360" w:lineRule="auto"/>
        <w:rPr>
          <w:rFonts w:ascii="Times New Roman" w:hAnsi="Times New Roman"/>
          <w:b/>
          <w:sz w:val="24"/>
          <w:szCs w:val="24"/>
          <w:lang w:val="es-ES_tradnl"/>
        </w:rPr>
      </w:pPr>
      <w:r w:rsidRPr="00910E94">
        <w:rPr>
          <w:rFonts w:ascii="Times New Roman" w:hAnsi="Times New Roman"/>
          <w:b/>
          <w:sz w:val="24"/>
          <w:lang w:val="es-ES_tradnl"/>
        </w:rPr>
        <w:t>Recomendación 21</w:t>
      </w:r>
    </w:p>
    <w:p w:rsidR="004C6755" w:rsidRPr="00910E94" w:rsidRDefault="004C6755" w:rsidP="00693071">
      <w:pPr>
        <w:spacing w:before="120" w:after="120" w:line="360" w:lineRule="auto"/>
        <w:jc w:val="both"/>
        <w:rPr>
          <w:rFonts w:ascii="Times New Roman" w:hAnsi="Times New Roman"/>
          <w:b/>
          <w:sz w:val="24"/>
          <w:szCs w:val="24"/>
          <w:lang w:val="es-ES_tradnl"/>
        </w:rPr>
      </w:pPr>
      <w:r w:rsidRPr="00910E94">
        <w:rPr>
          <w:rFonts w:ascii="Times New Roman" w:hAnsi="Times New Roman"/>
          <w:b/>
          <w:sz w:val="24"/>
          <w:lang w:val="es-ES_tradnl"/>
        </w:rPr>
        <w:t>La OMPI ha de atenerse estrictamente a las cláusulas</w:t>
      </w:r>
      <w:r w:rsidR="00693071" w:rsidRPr="00910E94">
        <w:rPr>
          <w:rFonts w:ascii="Times New Roman" w:hAnsi="Times New Roman"/>
          <w:b/>
          <w:sz w:val="24"/>
          <w:lang w:val="es-ES_tradnl"/>
        </w:rPr>
        <w:t> 3.11 y </w:t>
      </w:r>
      <w:r w:rsidRPr="00910E94">
        <w:rPr>
          <w:rFonts w:ascii="Times New Roman" w:hAnsi="Times New Roman"/>
          <w:b/>
          <w:sz w:val="24"/>
          <w:lang w:val="es-ES_tradnl"/>
        </w:rPr>
        <w:t>3.22 para autorizar, en circunstancias excepcionales, una prórroga del subsidio por funciones especia</w:t>
      </w:r>
      <w:r w:rsidR="00693071" w:rsidRPr="00910E94">
        <w:rPr>
          <w:rFonts w:ascii="Times New Roman" w:hAnsi="Times New Roman"/>
          <w:b/>
          <w:sz w:val="24"/>
          <w:lang w:val="es-ES_tradnl"/>
        </w:rPr>
        <w:t>les después de transcurridos 12 </w:t>
      </w:r>
      <w:r w:rsidRPr="00910E94">
        <w:rPr>
          <w:rFonts w:ascii="Times New Roman" w:hAnsi="Times New Roman"/>
          <w:b/>
          <w:sz w:val="24"/>
          <w:lang w:val="es-ES_tradnl"/>
        </w:rPr>
        <w:t>meses.</w:t>
      </w:r>
    </w:p>
    <w:p w:rsidR="00D74820" w:rsidRPr="00910E94" w:rsidRDefault="004C6755" w:rsidP="004C6755">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b/>
          <w:sz w:val="24"/>
          <w:szCs w:val="24"/>
          <w:lang w:val="es-ES_tradnl"/>
        </w:rPr>
      </w:pPr>
      <w:r w:rsidRPr="00910E94">
        <w:rPr>
          <w:rFonts w:ascii="Times New Roman" w:hAnsi="Times New Roman"/>
          <w:sz w:val="24"/>
          <w:lang w:val="es-ES_tradnl"/>
        </w:rPr>
        <w:t>La OMPI aceptó la recomendación</w:t>
      </w:r>
      <w:r w:rsidR="00344EE2">
        <w:rPr>
          <w:rFonts w:ascii="Times New Roman" w:hAnsi="Times New Roman"/>
          <w:sz w:val="24"/>
          <w:lang w:val="es-ES_tradnl"/>
        </w:rPr>
        <w:t xml:space="preserve">.  </w:t>
      </w:r>
      <w:r w:rsidRPr="00910E94">
        <w:rPr>
          <w:rFonts w:ascii="Times New Roman" w:hAnsi="Times New Roman"/>
          <w:sz w:val="24"/>
          <w:lang w:val="es-ES_tradnl"/>
        </w:rPr>
        <w:t>Añadió que comparte la inquietud formulada en la auditoría acerca de la concesión de un subsidio por funciones especiales durante un período prolongado, que fue en realidad el motivo de la revisión del Estatuto y Reglamento del Personal con vistas a introducir un plazo límite.</w:t>
      </w:r>
    </w:p>
    <w:p w:rsidR="00DE390A" w:rsidRPr="00910E94" w:rsidRDefault="00AD2D3F" w:rsidP="00B3220A">
      <w:pPr>
        <w:pStyle w:val="Default"/>
        <w:keepNext/>
        <w:autoSpaceDE/>
        <w:autoSpaceDN/>
        <w:adjustRightInd/>
        <w:spacing w:before="360" w:after="360" w:line="360" w:lineRule="auto"/>
        <w:jc w:val="both"/>
        <w:rPr>
          <w:rFonts w:ascii="Times New Roman" w:hAnsi="Times New Roman" w:cs="Times New Roman"/>
          <w:b/>
          <w:color w:val="1F497D"/>
          <w:lang w:val="es-ES_tradnl"/>
        </w:rPr>
      </w:pPr>
      <w:r w:rsidRPr="00910E94">
        <w:rPr>
          <w:rFonts w:ascii="Times New Roman" w:hAnsi="Times New Roman"/>
          <w:b/>
          <w:color w:val="1F497D"/>
          <w:lang w:val="es-ES_tradnl"/>
        </w:rPr>
        <w:lastRenderedPageBreak/>
        <w:t>Casos de fraude y presunto fraude</w:t>
      </w:r>
    </w:p>
    <w:p w:rsidR="00DE390A" w:rsidRPr="00910E94" w:rsidRDefault="00DE390A" w:rsidP="007F35BC">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szCs w:val="24"/>
          <w:lang w:val="es-ES_tradnl"/>
        </w:rPr>
        <w:t xml:space="preserve">El análisis de la información sobre fraude y presunto fraude suministrada por la Oficina del Director de la División de Auditoría y Supervisión Internas indicó que </w:t>
      </w:r>
      <w:r w:rsidR="00CC3D7A" w:rsidRPr="00910E94">
        <w:rPr>
          <w:rFonts w:ascii="Times New Roman" w:hAnsi="Times New Roman"/>
          <w:sz w:val="24"/>
          <w:szCs w:val="24"/>
          <w:lang w:val="es-ES_tradnl"/>
        </w:rPr>
        <w:t>en 20</w:t>
      </w:r>
      <w:r w:rsidRPr="00910E94">
        <w:rPr>
          <w:rFonts w:ascii="Times New Roman" w:hAnsi="Times New Roman"/>
          <w:sz w:val="24"/>
          <w:szCs w:val="24"/>
          <w:lang w:val="es-ES_tradnl"/>
        </w:rPr>
        <w:t>14 se registraron tres nuevos casos de fraude o presunto fraude, de los cuales dos se cerraron porque las imputaciones no quedaron acreditadas</w:t>
      </w:r>
      <w:r w:rsidR="00344EE2">
        <w:rPr>
          <w:rFonts w:ascii="Times New Roman" w:hAnsi="Times New Roman"/>
          <w:sz w:val="24"/>
          <w:szCs w:val="24"/>
          <w:lang w:val="es-ES_tradnl"/>
        </w:rPr>
        <w:t xml:space="preserve">.  </w:t>
      </w:r>
      <w:r w:rsidRPr="00910E94">
        <w:rPr>
          <w:rFonts w:ascii="Times New Roman" w:hAnsi="Times New Roman"/>
          <w:sz w:val="24"/>
          <w:szCs w:val="24"/>
          <w:lang w:val="es-ES_tradnl"/>
        </w:rPr>
        <w:t xml:space="preserve">El 31 de diciembre </w:t>
      </w:r>
      <w:r w:rsidR="00CC3D7A" w:rsidRPr="00910E94">
        <w:rPr>
          <w:rFonts w:ascii="Times New Roman" w:hAnsi="Times New Roman"/>
          <w:sz w:val="24"/>
          <w:szCs w:val="24"/>
          <w:lang w:val="es-ES_tradnl"/>
        </w:rPr>
        <w:t>de 20</w:t>
      </w:r>
      <w:r w:rsidRPr="00910E94">
        <w:rPr>
          <w:rFonts w:ascii="Times New Roman" w:hAnsi="Times New Roman"/>
          <w:sz w:val="24"/>
          <w:szCs w:val="24"/>
          <w:lang w:val="es-ES_tradnl"/>
        </w:rPr>
        <w:t>14, había cuatro casos abiertos de fraude o presunto fraude</w:t>
      </w:r>
      <w:r w:rsidR="00344EE2">
        <w:rPr>
          <w:rFonts w:ascii="Times New Roman" w:hAnsi="Times New Roman"/>
          <w:sz w:val="24"/>
          <w:szCs w:val="24"/>
          <w:lang w:val="es-ES_tradnl"/>
        </w:rPr>
        <w:t xml:space="preserve">.  </w:t>
      </w:r>
    </w:p>
    <w:p w:rsidR="00DB5B5B" w:rsidRPr="00910E94" w:rsidRDefault="00DB5B5B" w:rsidP="00B3220A">
      <w:pPr>
        <w:pStyle w:val="Default"/>
        <w:keepNext/>
        <w:autoSpaceDE/>
        <w:autoSpaceDN/>
        <w:adjustRightInd/>
        <w:spacing w:before="360" w:after="360" w:line="360" w:lineRule="auto"/>
        <w:jc w:val="both"/>
        <w:rPr>
          <w:rFonts w:ascii="Times New Roman" w:hAnsi="Times New Roman" w:cs="Times New Roman"/>
          <w:b/>
          <w:color w:val="1F497D"/>
          <w:lang w:val="es-ES_tradnl"/>
        </w:rPr>
      </w:pPr>
      <w:r w:rsidRPr="00910E94">
        <w:rPr>
          <w:rFonts w:ascii="Times New Roman" w:hAnsi="Times New Roman"/>
          <w:b/>
          <w:color w:val="1F497D"/>
          <w:lang w:val="es-ES_tradnl"/>
        </w:rPr>
        <w:t>Examen de las medidas de la Administración en relación con las recomendaciones anteriores</w:t>
      </w:r>
    </w:p>
    <w:p w:rsidR="00DB5B5B" w:rsidRPr="00910E94" w:rsidRDefault="00DB5B5B" w:rsidP="00693071">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La situación de la aplicación por parte de la OMPI de las recomendaciones del Auditor Externo (auditoría financiera) se adjunta como </w:t>
      </w:r>
      <w:r w:rsidRPr="00910E94">
        <w:rPr>
          <w:rFonts w:ascii="Times New Roman" w:hAnsi="Times New Roman"/>
          <w:b/>
          <w:i/>
          <w:sz w:val="24"/>
          <w:lang w:val="es-ES_tradnl"/>
        </w:rPr>
        <w:t>Anexo</w:t>
      </w:r>
      <w:r w:rsidR="00693071" w:rsidRPr="00910E94">
        <w:rPr>
          <w:rFonts w:ascii="Times New Roman" w:hAnsi="Times New Roman"/>
          <w:b/>
          <w:i/>
          <w:sz w:val="24"/>
          <w:lang w:val="es-ES_tradnl"/>
        </w:rPr>
        <w:t> </w:t>
      </w:r>
      <w:r w:rsidRPr="00910E94">
        <w:rPr>
          <w:rFonts w:ascii="Times New Roman" w:hAnsi="Times New Roman"/>
          <w:b/>
          <w:i/>
          <w:sz w:val="24"/>
          <w:lang w:val="es-ES_tradnl"/>
        </w:rPr>
        <w:t>II</w:t>
      </w:r>
      <w:r w:rsidRPr="00910E94">
        <w:rPr>
          <w:lang w:val="es-ES_tradnl"/>
        </w:rPr>
        <w:t xml:space="preserve"> </w:t>
      </w:r>
      <w:r w:rsidRPr="00910E94">
        <w:rPr>
          <w:rFonts w:ascii="Times New Roman" w:hAnsi="Times New Roman"/>
          <w:sz w:val="24"/>
          <w:lang w:val="es-ES_tradnl"/>
        </w:rPr>
        <w:t>del presente informe.</w:t>
      </w:r>
    </w:p>
    <w:p w:rsidR="00DB5B5B" w:rsidRPr="00910E94" w:rsidRDefault="00DB5B5B" w:rsidP="00B3220A">
      <w:pPr>
        <w:pStyle w:val="Default"/>
        <w:keepNext/>
        <w:autoSpaceDE/>
        <w:autoSpaceDN/>
        <w:adjustRightInd/>
        <w:spacing w:before="360" w:after="360" w:line="360" w:lineRule="auto"/>
        <w:jc w:val="both"/>
        <w:rPr>
          <w:rFonts w:ascii="Times New Roman" w:hAnsi="Times New Roman" w:cs="Times New Roman"/>
          <w:lang w:val="es-ES_tradnl"/>
        </w:rPr>
      </w:pPr>
      <w:r w:rsidRPr="00910E94">
        <w:rPr>
          <w:rFonts w:ascii="Times New Roman" w:hAnsi="Times New Roman"/>
          <w:b/>
          <w:color w:val="1F497D"/>
          <w:lang w:val="es-ES_tradnl"/>
        </w:rPr>
        <w:t>Información divulgada por la Administración – Anulación de pérdidas de efectivo, cuentas por cobrar y bienes</w:t>
      </w:r>
    </w:p>
    <w:p w:rsidR="00DB5B5B" w:rsidRPr="00910E94" w:rsidRDefault="00DB5B5B" w:rsidP="00CC3D7A">
      <w:pPr>
        <w:pStyle w:val="ListParagraph"/>
        <w:numPr>
          <w:ilvl w:val="0"/>
          <w:numId w:val="4"/>
        </w:numPr>
        <w:autoSpaceDE w:val="0"/>
        <w:autoSpaceDN w:val="0"/>
        <w:adjustRightInd w:val="0"/>
        <w:spacing w:before="120" w:after="120" w:line="360" w:lineRule="auto"/>
        <w:ind w:left="0" w:firstLine="0"/>
        <w:contextualSpacing w:val="0"/>
        <w:jc w:val="both"/>
        <w:rPr>
          <w:rFonts w:ascii="Times New Roman" w:hAnsi="Times New Roman" w:cs="Times New Roman"/>
          <w:sz w:val="24"/>
          <w:szCs w:val="24"/>
          <w:lang w:val="es-ES_tradnl"/>
        </w:rPr>
      </w:pPr>
      <w:r w:rsidRPr="00910E94">
        <w:rPr>
          <w:rFonts w:ascii="Times New Roman" w:hAnsi="Times New Roman"/>
          <w:sz w:val="24"/>
          <w:lang w:val="es-ES_tradnl"/>
        </w:rPr>
        <w:t>La Administración informó de que, de acuerdo con la regla</w:t>
      </w:r>
      <w:r w:rsidR="00CC3D7A" w:rsidRPr="00910E94">
        <w:rPr>
          <w:rFonts w:ascii="Times New Roman" w:hAnsi="Times New Roman"/>
          <w:sz w:val="24"/>
          <w:lang w:val="es-ES_tradnl"/>
        </w:rPr>
        <w:t> 106.8 del artículo </w:t>
      </w:r>
      <w:r w:rsidRPr="00910E94">
        <w:rPr>
          <w:rFonts w:ascii="Times New Roman" w:hAnsi="Times New Roman"/>
          <w:sz w:val="24"/>
          <w:lang w:val="es-ES_tradnl"/>
        </w:rPr>
        <w:t>6.4 del Reglamento Financiero y la Reglamentación Financiera, la Organización había registrado las siguientes pérdidas a lo larg</w:t>
      </w:r>
      <w:r w:rsidR="00CC3D7A" w:rsidRPr="00910E94">
        <w:rPr>
          <w:rFonts w:ascii="Times New Roman" w:hAnsi="Times New Roman"/>
          <w:sz w:val="24"/>
          <w:lang w:val="es-ES_tradnl"/>
        </w:rPr>
        <w:t>o del ejercicio que concluyó el </w:t>
      </w:r>
      <w:r w:rsidRPr="00910E94">
        <w:rPr>
          <w:rFonts w:ascii="Times New Roman" w:hAnsi="Times New Roman"/>
          <w:sz w:val="24"/>
          <w:lang w:val="es-ES_tradnl"/>
        </w:rPr>
        <w:t xml:space="preserve">31 de diciembre </w:t>
      </w:r>
      <w:r w:rsidR="00CC3D7A" w:rsidRPr="00910E94">
        <w:rPr>
          <w:rFonts w:ascii="Times New Roman" w:hAnsi="Times New Roman"/>
          <w:sz w:val="24"/>
          <w:lang w:val="es-ES_tradnl"/>
        </w:rPr>
        <w:t>de 20</w:t>
      </w:r>
      <w:r w:rsidRPr="00910E94">
        <w:rPr>
          <w:rFonts w:ascii="Times New Roman" w:hAnsi="Times New Roman"/>
          <w:sz w:val="24"/>
          <w:lang w:val="es-ES_tradnl"/>
        </w:rPr>
        <w:t>14:</w:t>
      </w:r>
    </w:p>
    <w:p w:rsidR="00DB5B5B" w:rsidRPr="00910E94" w:rsidRDefault="00CC3D7A" w:rsidP="00CC3D7A">
      <w:pPr>
        <w:numPr>
          <w:ilvl w:val="0"/>
          <w:numId w:val="1"/>
        </w:numPr>
        <w:spacing w:before="120" w:after="120" w:line="360" w:lineRule="auto"/>
        <w:jc w:val="both"/>
        <w:rPr>
          <w:rFonts w:ascii="Times New Roman" w:hAnsi="Times New Roman" w:cs="Times New Roman"/>
          <w:sz w:val="24"/>
          <w:szCs w:val="24"/>
          <w:lang w:val="es-ES_tradnl"/>
        </w:rPr>
      </w:pPr>
      <w:r w:rsidRPr="00910E94">
        <w:rPr>
          <w:rFonts w:ascii="Times New Roman" w:hAnsi="Times New Roman"/>
          <w:sz w:val="24"/>
          <w:lang w:val="es-ES_tradnl"/>
        </w:rPr>
        <w:t>Durante </w:t>
      </w:r>
      <w:r w:rsidR="00DB5B5B" w:rsidRPr="00910E94">
        <w:rPr>
          <w:rFonts w:ascii="Times New Roman" w:hAnsi="Times New Roman"/>
          <w:sz w:val="24"/>
          <w:lang w:val="es-ES_tradnl"/>
        </w:rPr>
        <w:t>2014 se anularon en los libros cuentas por cobrar cuyo importe ascendía a</w:t>
      </w:r>
      <w:r w:rsidRPr="00910E94">
        <w:rPr>
          <w:rFonts w:ascii="Times New Roman" w:hAnsi="Times New Roman"/>
          <w:sz w:val="24"/>
          <w:lang w:val="es-ES_tradnl"/>
        </w:rPr>
        <w:t> </w:t>
      </w:r>
      <w:r w:rsidR="00DB5B5B" w:rsidRPr="00910E94">
        <w:rPr>
          <w:rFonts w:ascii="Times New Roman" w:hAnsi="Times New Roman"/>
          <w:sz w:val="24"/>
          <w:lang w:val="es-ES_tradnl"/>
        </w:rPr>
        <w:t>3.258,50</w:t>
      </w:r>
      <w:r w:rsidRPr="00910E94">
        <w:rPr>
          <w:rFonts w:ascii="Times New Roman" w:hAnsi="Times New Roman"/>
          <w:sz w:val="24"/>
          <w:lang w:val="es-ES_tradnl"/>
        </w:rPr>
        <w:t> </w:t>
      </w:r>
      <w:r w:rsidR="00DB5B5B" w:rsidRPr="00910E94">
        <w:rPr>
          <w:rFonts w:ascii="Times New Roman" w:hAnsi="Times New Roman"/>
          <w:sz w:val="24"/>
          <w:lang w:val="es-ES_tradnl"/>
        </w:rPr>
        <w:t>francos suizos</w:t>
      </w:r>
      <w:r w:rsidR="00344EE2">
        <w:rPr>
          <w:rFonts w:ascii="Times New Roman" w:hAnsi="Times New Roman"/>
          <w:sz w:val="24"/>
          <w:lang w:val="es-ES_tradnl"/>
        </w:rPr>
        <w:t xml:space="preserve">.  </w:t>
      </w:r>
      <w:r w:rsidR="00DB5B5B" w:rsidRPr="00910E94">
        <w:rPr>
          <w:rFonts w:ascii="Times New Roman" w:hAnsi="Times New Roman"/>
          <w:sz w:val="24"/>
          <w:lang w:val="es-ES_tradnl"/>
        </w:rPr>
        <w:t xml:space="preserve">Se trata </w:t>
      </w:r>
      <w:r w:rsidRPr="00910E94">
        <w:rPr>
          <w:rFonts w:ascii="Times New Roman" w:hAnsi="Times New Roman"/>
          <w:sz w:val="24"/>
          <w:lang w:val="es-ES_tradnl"/>
        </w:rPr>
        <w:t>de 20</w:t>
      </w:r>
      <w:r w:rsidR="00DB5B5B" w:rsidRPr="00910E94">
        <w:rPr>
          <w:rFonts w:ascii="Times New Roman" w:hAnsi="Times New Roman"/>
          <w:sz w:val="24"/>
          <w:lang w:val="es-ES_tradnl"/>
        </w:rPr>
        <w:t xml:space="preserve"> facturas sin pagar </w:t>
      </w:r>
      <w:r w:rsidRPr="00910E94">
        <w:rPr>
          <w:rFonts w:ascii="Times New Roman" w:hAnsi="Times New Roman"/>
          <w:sz w:val="24"/>
          <w:lang w:val="es-ES_tradnl"/>
        </w:rPr>
        <w:t>de 20</w:t>
      </w:r>
      <w:r w:rsidR="00DB5B5B" w:rsidRPr="00910E94">
        <w:rPr>
          <w:rFonts w:ascii="Times New Roman" w:hAnsi="Times New Roman"/>
          <w:sz w:val="24"/>
          <w:lang w:val="es-ES_tradnl"/>
        </w:rPr>
        <w:t>13 en concepto de actividades relacionadas con las marcas, los dibujos y modelos industriales y las publicaciones;</w:t>
      </w:r>
    </w:p>
    <w:p w:rsidR="00DB5B5B" w:rsidRPr="00910E94" w:rsidRDefault="00DB5B5B" w:rsidP="00DB5B5B">
      <w:pPr>
        <w:numPr>
          <w:ilvl w:val="0"/>
          <w:numId w:val="1"/>
        </w:numPr>
        <w:spacing w:before="120" w:after="120" w:line="360" w:lineRule="auto"/>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las demás pequeñas pérdidas registradas a lo largo del año alcanzaron un total </w:t>
      </w:r>
      <w:r w:rsidR="00CC3D7A" w:rsidRPr="00910E94">
        <w:rPr>
          <w:rFonts w:ascii="Times New Roman" w:hAnsi="Times New Roman"/>
          <w:sz w:val="24"/>
          <w:lang w:val="es-ES_tradnl"/>
        </w:rPr>
        <w:t>de 20.759,41 </w:t>
      </w:r>
      <w:r w:rsidRPr="00910E94">
        <w:rPr>
          <w:rFonts w:ascii="Times New Roman" w:hAnsi="Times New Roman"/>
          <w:sz w:val="24"/>
          <w:lang w:val="es-ES_tradnl"/>
        </w:rPr>
        <w:t>francos suizos, principalmente en concepto de cuentas por cobrar;</w:t>
      </w:r>
    </w:p>
    <w:p w:rsidR="00DB5B5B" w:rsidRPr="00910E94" w:rsidRDefault="00DB5B5B" w:rsidP="00CC3D7A">
      <w:pPr>
        <w:numPr>
          <w:ilvl w:val="0"/>
          <w:numId w:val="1"/>
        </w:numPr>
        <w:spacing w:before="120" w:after="120" w:line="360" w:lineRule="auto"/>
        <w:ind w:right="-144"/>
        <w:jc w:val="both"/>
        <w:rPr>
          <w:rFonts w:ascii="Times New Roman" w:hAnsi="Times New Roman" w:cs="Times New Roman"/>
          <w:sz w:val="24"/>
          <w:szCs w:val="24"/>
          <w:lang w:val="es-ES_tradnl"/>
        </w:rPr>
      </w:pPr>
      <w:r w:rsidRPr="00910E94">
        <w:rPr>
          <w:rFonts w:ascii="Times New Roman" w:hAnsi="Times New Roman"/>
          <w:sz w:val="24"/>
          <w:lang w:val="es-ES_tradnl"/>
        </w:rPr>
        <w:t>el importe al cargo de la Organización en concepto de gestión de las cuentas especiales para contribuciones voluntarias ascendió a</w:t>
      </w:r>
      <w:r w:rsidR="00CC3D7A" w:rsidRPr="00910E94">
        <w:rPr>
          <w:rFonts w:ascii="Times New Roman" w:hAnsi="Times New Roman"/>
          <w:sz w:val="24"/>
          <w:lang w:val="es-ES_tradnl"/>
        </w:rPr>
        <w:t> </w:t>
      </w:r>
      <w:r w:rsidRPr="00910E94">
        <w:rPr>
          <w:rFonts w:ascii="Times New Roman" w:hAnsi="Times New Roman"/>
          <w:sz w:val="24"/>
          <w:lang w:val="es-ES_tradnl"/>
        </w:rPr>
        <w:t xml:space="preserve">20.935,90 francos suizos </w:t>
      </w:r>
      <w:r w:rsidR="00CC3D7A" w:rsidRPr="00910E94">
        <w:rPr>
          <w:rFonts w:ascii="Times New Roman" w:hAnsi="Times New Roman"/>
          <w:sz w:val="24"/>
          <w:lang w:val="es-ES_tradnl"/>
        </w:rPr>
        <w:t>en 20</w:t>
      </w:r>
      <w:r w:rsidRPr="00910E94">
        <w:rPr>
          <w:rFonts w:ascii="Times New Roman" w:hAnsi="Times New Roman"/>
          <w:sz w:val="24"/>
          <w:lang w:val="es-ES_tradnl"/>
        </w:rPr>
        <w:t>14.</w:t>
      </w:r>
    </w:p>
    <w:p w:rsidR="00AD5170" w:rsidRDefault="00AD5170" w:rsidP="00AD5170">
      <w:pPr>
        <w:pStyle w:val="ListParagraph"/>
        <w:autoSpaceDE w:val="0"/>
        <w:autoSpaceDN w:val="0"/>
        <w:adjustRightInd w:val="0"/>
        <w:spacing w:before="120" w:after="120" w:line="360" w:lineRule="auto"/>
        <w:jc w:val="right"/>
        <w:rPr>
          <w:rFonts w:ascii="Times New Roman" w:hAnsi="Times New Roman"/>
          <w:b/>
          <w:sz w:val="24"/>
          <w:szCs w:val="24"/>
          <w:lang w:val="es-ES_tradnl"/>
        </w:rPr>
      </w:pPr>
      <w:r>
        <w:rPr>
          <w:rFonts w:ascii="Times New Roman" w:hAnsi="Times New Roman"/>
          <w:b/>
          <w:sz w:val="24"/>
          <w:szCs w:val="24"/>
          <w:lang w:val="es-ES_tradnl"/>
        </w:rPr>
        <w:t>(firmado)</w:t>
      </w:r>
    </w:p>
    <w:p w:rsidR="00AD5170" w:rsidRPr="00AD5170" w:rsidRDefault="00AD5170" w:rsidP="00AD5170">
      <w:pPr>
        <w:pStyle w:val="ListParagraph"/>
        <w:autoSpaceDE w:val="0"/>
        <w:autoSpaceDN w:val="0"/>
        <w:adjustRightInd w:val="0"/>
        <w:spacing w:before="120" w:after="120" w:line="360" w:lineRule="auto"/>
        <w:jc w:val="right"/>
        <w:rPr>
          <w:rFonts w:ascii="Times New Roman" w:hAnsi="Times New Roman"/>
          <w:b/>
          <w:sz w:val="24"/>
          <w:szCs w:val="24"/>
          <w:lang w:val="es-ES_tradnl"/>
        </w:rPr>
      </w:pPr>
      <w:r w:rsidRPr="00AD5170">
        <w:rPr>
          <w:rFonts w:ascii="Times New Roman" w:hAnsi="Times New Roman"/>
          <w:b/>
          <w:sz w:val="24"/>
          <w:szCs w:val="24"/>
          <w:lang w:val="es-ES_tradnl"/>
        </w:rPr>
        <w:t>Shashi Kant Sharma</w:t>
      </w:r>
    </w:p>
    <w:p w:rsidR="00AD5170" w:rsidRPr="00AD5170" w:rsidRDefault="00AD5170" w:rsidP="00AD5170">
      <w:pPr>
        <w:pStyle w:val="ListParagraph"/>
        <w:autoSpaceDE w:val="0"/>
        <w:autoSpaceDN w:val="0"/>
        <w:adjustRightInd w:val="0"/>
        <w:spacing w:before="120" w:after="120" w:line="360" w:lineRule="auto"/>
        <w:jc w:val="right"/>
        <w:rPr>
          <w:rFonts w:ascii="Times New Roman" w:hAnsi="Times New Roman"/>
          <w:b/>
          <w:sz w:val="24"/>
          <w:szCs w:val="24"/>
          <w:lang w:val="es-ES_tradnl"/>
        </w:rPr>
      </w:pPr>
      <w:r w:rsidRPr="00AD5170">
        <w:rPr>
          <w:rFonts w:ascii="Times New Roman" w:hAnsi="Times New Roman"/>
          <w:b/>
          <w:sz w:val="24"/>
          <w:szCs w:val="24"/>
          <w:lang w:val="es-ES_tradnl"/>
        </w:rPr>
        <w:t>Contralor y Auditor General de la India</w:t>
      </w:r>
    </w:p>
    <w:p w:rsidR="00AD5170" w:rsidRPr="00AD5170" w:rsidRDefault="00AD5170" w:rsidP="00AD5170">
      <w:pPr>
        <w:pStyle w:val="ListParagraph"/>
        <w:autoSpaceDE w:val="0"/>
        <w:autoSpaceDN w:val="0"/>
        <w:adjustRightInd w:val="0"/>
        <w:spacing w:before="120" w:after="120" w:line="360" w:lineRule="auto"/>
        <w:jc w:val="right"/>
        <w:rPr>
          <w:rFonts w:ascii="Times New Roman" w:hAnsi="Times New Roman"/>
          <w:b/>
          <w:sz w:val="24"/>
          <w:szCs w:val="24"/>
          <w:lang w:val="es-ES_tradnl"/>
        </w:rPr>
      </w:pPr>
      <w:r w:rsidRPr="00AD5170">
        <w:rPr>
          <w:rFonts w:ascii="Times New Roman" w:hAnsi="Times New Roman"/>
          <w:b/>
          <w:sz w:val="24"/>
          <w:szCs w:val="24"/>
          <w:lang w:val="es-ES_tradnl"/>
        </w:rPr>
        <w:t>Auditor Externo</w:t>
      </w:r>
    </w:p>
    <w:p w:rsidR="00C65B60" w:rsidRPr="00910E94" w:rsidRDefault="00AD5170" w:rsidP="00C015FF">
      <w:pPr>
        <w:pStyle w:val="ListParagraph"/>
        <w:autoSpaceDE w:val="0"/>
        <w:autoSpaceDN w:val="0"/>
        <w:adjustRightInd w:val="0"/>
        <w:spacing w:before="120" w:after="120" w:line="360" w:lineRule="auto"/>
        <w:ind w:left="0"/>
        <w:contextualSpacing w:val="0"/>
        <w:jc w:val="right"/>
        <w:rPr>
          <w:rFonts w:ascii="Times New Roman" w:hAnsi="Times New Roman" w:cs="Times New Roman"/>
          <w:b/>
          <w:sz w:val="24"/>
          <w:szCs w:val="24"/>
          <w:lang w:val="es-ES_tradnl"/>
        </w:rPr>
      </w:pPr>
      <w:r>
        <w:rPr>
          <w:rFonts w:ascii="Times New Roman" w:hAnsi="Times New Roman"/>
          <w:b/>
          <w:sz w:val="24"/>
          <w:szCs w:val="24"/>
          <w:lang w:val="es-ES_tradnl"/>
        </w:rPr>
        <w:t>7 de julio de 2015</w:t>
      </w:r>
    </w:p>
    <w:p w:rsidR="00C65B60" w:rsidRPr="00910E94" w:rsidRDefault="00C65B60" w:rsidP="00C65B60">
      <w:pPr>
        <w:pStyle w:val="ListParagraph"/>
        <w:autoSpaceDE w:val="0"/>
        <w:autoSpaceDN w:val="0"/>
        <w:adjustRightInd w:val="0"/>
        <w:spacing w:before="120" w:after="120" w:line="360" w:lineRule="auto"/>
        <w:ind w:left="0"/>
        <w:contextualSpacing w:val="0"/>
        <w:jc w:val="right"/>
        <w:rPr>
          <w:rFonts w:ascii="Times New Roman" w:hAnsi="Times New Roman" w:cs="Times New Roman"/>
          <w:b/>
          <w:sz w:val="24"/>
          <w:szCs w:val="24"/>
          <w:lang w:val="es-ES_tradnl"/>
        </w:rPr>
        <w:sectPr w:rsidR="00C65B60" w:rsidRPr="00910E94" w:rsidSect="00AB18E9">
          <w:footerReference w:type="default" r:id="rId23"/>
          <w:pgSz w:w="11907" w:h="16839" w:code="9"/>
          <w:pgMar w:top="1440" w:right="1440" w:bottom="1440" w:left="1440" w:header="720" w:footer="720" w:gutter="0"/>
          <w:cols w:space="720"/>
          <w:docGrid w:linePitch="360"/>
        </w:sectPr>
      </w:pPr>
    </w:p>
    <w:p w:rsidR="00D47C83" w:rsidRPr="00910E94" w:rsidRDefault="00FC52F6" w:rsidP="0064659D">
      <w:pPr>
        <w:pStyle w:val="ListParagraph"/>
        <w:autoSpaceDE w:val="0"/>
        <w:autoSpaceDN w:val="0"/>
        <w:adjustRightInd w:val="0"/>
        <w:spacing w:before="120" w:after="120" w:line="360" w:lineRule="auto"/>
        <w:ind w:left="0"/>
        <w:contextualSpacing w:val="0"/>
        <w:jc w:val="center"/>
        <w:rPr>
          <w:rFonts w:ascii="Times New Roman" w:hAnsi="Times New Roman"/>
          <w:b/>
          <w:sz w:val="24"/>
          <w:lang w:val="es-ES_tradnl"/>
        </w:rPr>
      </w:pPr>
      <w:r w:rsidRPr="00910E94">
        <w:rPr>
          <w:rFonts w:ascii="Times New Roman" w:hAnsi="Times New Roman"/>
          <w:b/>
          <w:sz w:val="24"/>
          <w:lang w:val="es-ES_tradnl"/>
        </w:rPr>
        <w:lastRenderedPageBreak/>
        <w:t>Anexo I - Calendario revisado</w:t>
      </w:r>
    </w:p>
    <w:tbl>
      <w:tblPr>
        <w:tblStyle w:val="TableGrid"/>
        <w:tblW w:w="15051" w:type="dxa"/>
        <w:jc w:val="center"/>
        <w:tblLayout w:type="fixed"/>
        <w:tblLook w:val="04A0" w:firstRow="1" w:lastRow="0" w:firstColumn="1" w:lastColumn="0" w:noHBand="0" w:noVBand="1"/>
      </w:tblPr>
      <w:tblGrid>
        <w:gridCol w:w="3155"/>
        <w:gridCol w:w="746"/>
        <w:gridCol w:w="545"/>
        <w:gridCol w:w="512"/>
        <w:gridCol w:w="567"/>
        <w:gridCol w:w="567"/>
        <w:gridCol w:w="509"/>
        <w:gridCol w:w="494"/>
        <w:gridCol w:w="531"/>
        <w:gridCol w:w="505"/>
        <w:gridCol w:w="425"/>
        <w:gridCol w:w="521"/>
        <w:gridCol w:w="501"/>
        <w:gridCol w:w="490"/>
        <w:gridCol w:w="485"/>
        <w:gridCol w:w="484"/>
        <w:gridCol w:w="482"/>
        <w:gridCol w:w="481"/>
        <w:gridCol w:w="480"/>
        <w:gridCol w:w="426"/>
        <w:gridCol w:w="508"/>
        <w:gridCol w:w="503"/>
        <w:gridCol w:w="567"/>
        <w:gridCol w:w="567"/>
      </w:tblGrid>
      <w:tr w:rsidR="000313BA" w:rsidRPr="00910E94" w:rsidTr="000313BA">
        <w:trPr>
          <w:jc w:val="center"/>
        </w:trPr>
        <w:tc>
          <w:tcPr>
            <w:tcW w:w="3155" w:type="dxa"/>
            <w:tcBorders>
              <w:top w:val="nil"/>
              <w:left w:val="nil"/>
            </w:tcBorders>
            <w:vAlign w:val="center"/>
          </w:tcPr>
          <w:p w:rsidR="000313BA" w:rsidRPr="00910E94" w:rsidRDefault="000313BA" w:rsidP="00FE15DF">
            <w:pPr>
              <w:spacing w:before="120" w:after="120"/>
              <w:rPr>
                <w:rFonts w:ascii="Arial Narrow" w:hAnsi="Arial Narrow"/>
                <w:sz w:val="20"/>
                <w:szCs w:val="20"/>
                <w:lang w:val="es-ES_tradnl"/>
              </w:rPr>
            </w:pPr>
          </w:p>
        </w:tc>
        <w:tc>
          <w:tcPr>
            <w:tcW w:w="746" w:type="dxa"/>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2010</w:t>
            </w:r>
          </w:p>
        </w:tc>
        <w:tc>
          <w:tcPr>
            <w:tcW w:w="2191" w:type="dxa"/>
            <w:gridSpan w:val="4"/>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2011</w:t>
            </w:r>
          </w:p>
        </w:tc>
        <w:tc>
          <w:tcPr>
            <w:tcW w:w="2039" w:type="dxa"/>
            <w:gridSpan w:val="4"/>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2012</w:t>
            </w:r>
          </w:p>
        </w:tc>
        <w:tc>
          <w:tcPr>
            <w:tcW w:w="1937" w:type="dxa"/>
            <w:gridSpan w:val="4"/>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2013</w:t>
            </w:r>
          </w:p>
        </w:tc>
        <w:tc>
          <w:tcPr>
            <w:tcW w:w="1932" w:type="dxa"/>
            <w:gridSpan w:val="4"/>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2014</w:t>
            </w:r>
          </w:p>
        </w:tc>
        <w:tc>
          <w:tcPr>
            <w:tcW w:w="1917" w:type="dxa"/>
            <w:gridSpan w:val="4"/>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2015</w:t>
            </w:r>
          </w:p>
        </w:tc>
        <w:tc>
          <w:tcPr>
            <w:tcW w:w="1134" w:type="dxa"/>
            <w:gridSpan w:val="2"/>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2016</w:t>
            </w: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Serie/Proyecto</w:t>
            </w:r>
          </w:p>
        </w:tc>
        <w:tc>
          <w:tcPr>
            <w:tcW w:w="746"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T4</w:t>
            </w:r>
          </w:p>
        </w:tc>
        <w:tc>
          <w:tcPr>
            <w:tcW w:w="545"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T1</w:t>
            </w:r>
          </w:p>
        </w:tc>
        <w:tc>
          <w:tcPr>
            <w:tcW w:w="512"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T2</w:t>
            </w:r>
          </w:p>
        </w:tc>
        <w:tc>
          <w:tcPr>
            <w:tcW w:w="567"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T3</w:t>
            </w:r>
          </w:p>
        </w:tc>
        <w:tc>
          <w:tcPr>
            <w:tcW w:w="567"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T4</w:t>
            </w:r>
          </w:p>
        </w:tc>
        <w:tc>
          <w:tcPr>
            <w:tcW w:w="509"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T1</w:t>
            </w:r>
          </w:p>
        </w:tc>
        <w:tc>
          <w:tcPr>
            <w:tcW w:w="494"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T2</w:t>
            </w:r>
          </w:p>
        </w:tc>
        <w:tc>
          <w:tcPr>
            <w:tcW w:w="531"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T3</w:t>
            </w:r>
          </w:p>
        </w:tc>
        <w:tc>
          <w:tcPr>
            <w:tcW w:w="505"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T4</w:t>
            </w:r>
          </w:p>
        </w:tc>
        <w:tc>
          <w:tcPr>
            <w:tcW w:w="425"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T1</w:t>
            </w:r>
          </w:p>
        </w:tc>
        <w:tc>
          <w:tcPr>
            <w:tcW w:w="521"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T2</w:t>
            </w:r>
          </w:p>
        </w:tc>
        <w:tc>
          <w:tcPr>
            <w:tcW w:w="501"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T3</w:t>
            </w:r>
          </w:p>
        </w:tc>
        <w:tc>
          <w:tcPr>
            <w:tcW w:w="490"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T4</w:t>
            </w:r>
          </w:p>
        </w:tc>
        <w:tc>
          <w:tcPr>
            <w:tcW w:w="485"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T1</w:t>
            </w:r>
          </w:p>
        </w:tc>
        <w:tc>
          <w:tcPr>
            <w:tcW w:w="484"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T2</w:t>
            </w:r>
          </w:p>
        </w:tc>
        <w:tc>
          <w:tcPr>
            <w:tcW w:w="482"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T3</w:t>
            </w:r>
          </w:p>
        </w:tc>
        <w:tc>
          <w:tcPr>
            <w:tcW w:w="481"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T4</w:t>
            </w:r>
          </w:p>
        </w:tc>
        <w:tc>
          <w:tcPr>
            <w:tcW w:w="480"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T1</w:t>
            </w:r>
          </w:p>
        </w:tc>
        <w:tc>
          <w:tcPr>
            <w:tcW w:w="426"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T2</w:t>
            </w:r>
          </w:p>
        </w:tc>
        <w:tc>
          <w:tcPr>
            <w:tcW w:w="508" w:type="dxa"/>
            <w:vAlign w:val="center"/>
          </w:tcPr>
          <w:p w:rsidR="000313BA" w:rsidRPr="00910E94" w:rsidRDefault="000313BA" w:rsidP="00FE15DF">
            <w:pPr>
              <w:spacing w:before="120" w:after="120"/>
              <w:ind w:left="-38" w:right="-108"/>
              <w:jc w:val="center"/>
              <w:rPr>
                <w:rFonts w:ascii="Arial Narrow" w:hAnsi="Arial Narrow"/>
                <w:sz w:val="20"/>
                <w:szCs w:val="20"/>
                <w:lang w:val="es-ES_tradnl"/>
              </w:rPr>
            </w:pPr>
            <w:r w:rsidRPr="00910E94">
              <w:rPr>
                <w:rFonts w:ascii="Arial Narrow" w:hAnsi="Arial Narrow"/>
                <w:sz w:val="20"/>
                <w:szCs w:val="20"/>
                <w:lang w:val="es-ES_tradnl"/>
              </w:rPr>
              <w:t>T3</w:t>
            </w:r>
          </w:p>
        </w:tc>
        <w:tc>
          <w:tcPr>
            <w:tcW w:w="503"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T4</w:t>
            </w:r>
          </w:p>
        </w:tc>
        <w:tc>
          <w:tcPr>
            <w:tcW w:w="567" w:type="dxa"/>
            <w:vAlign w:val="center"/>
          </w:tcPr>
          <w:p w:rsidR="000313BA" w:rsidRPr="00910E94" w:rsidRDefault="000313BA" w:rsidP="00FE15DF">
            <w:pPr>
              <w:spacing w:before="120" w:after="120"/>
              <w:jc w:val="center"/>
              <w:rPr>
                <w:rFonts w:ascii="Arial Narrow" w:hAnsi="Arial Narrow"/>
                <w:sz w:val="20"/>
                <w:szCs w:val="20"/>
                <w:lang w:val="es-ES_tradnl"/>
              </w:rPr>
            </w:pPr>
            <w:r w:rsidRPr="00910E94">
              <w:rPr>
                <w:rFonts w:ascii="Arial Narrow" w:hAnsi="Arial Narrow"/>
                <w:sz w:val="20"/>
                <w:szCs w:val="20"/>
                <w:lang w:val="es-ES_tradnl"/>
              </w:rPr>
              <w:t>T1</w:t>
            </w:r>
          </w:p>
        </w:tc>
        <w:tc>
          <w:tcPr>
            <w:tcW w:w="567" w:type="dxa"/>
            <w:vAlign w:val="center"/>
          </w:tcPr>
          <w:p w:rsidR="000313BA" w:rsidRPr="00910E94" w:rsidRDefault="000313BA" w:rsidP="00FE15DF">
            <w:pPr>
              <w:spacing w:before="120" w:after="120"/>
              <w:ind w:left="-108"/>
              <w:jc w:val="center"/>
              <w:rPr>
                <w:rFonts w:ascii="Arial Narrow" w:hAnsi="Arial Narrow"/>
                <w:sz w:val="20"/>
                <w:szCs w:val="20"/>
                <w:lang w:val="es-ES_tradnl"/>
              </w:rPr>
            </w:pPr>
            <w:r w:rsidRPr="00910E94">
              <w:rPr>
                <w:rFonts w:ascii="Arial Narrow" w:hAnsi="Arial Narrow"/>
                <w:sz w:val="20"/>
                <w:szCs w:val="20"/>
                <w:lang w:val="es-ES_tradnl"/>
              </w:rPr>
              <w:t>T2</w:t>
            </w: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Gestión de cartera</w:t>
            </w:r>
          </w:p>
        </w:tc>
        <w:tc>
          <w:tcPr>
            <w:tcW w:w="746"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4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12"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9"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94"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3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2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2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90"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4"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2"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0"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26"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8"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3"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92D050"/>
          </w:tcPr>
          <w:p w:rsidR="000313BA" w:rsidRPr="00910E94" w:rsidRDefault="000313BA" w:rsidP="00FE15DF">
            <w:pPr>
              <w:spacing w:before="120" w:after="120"/>
              <w:rPr>
                <w:rFonts w:ascii="Arial Narrow" w:hAnsi="Arial Narrow"/>
                <w:sz w:val="20"/>
                <w:szCs w:val="20"/>
                <w:lang w:val="es-ES_tradnl"/>
              </w:rPr>
            </w:pP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Personal y nóminas</w:t>
            </w:r>
          </w:p>
        </w:tc>
        <w:tc>
          <w:tcPr>
            <w:tcW w:w="746" w:type="dxa"/>
          </w:tcPr>
          <w:p w:rsidR="000313BA" w:rsidRPr="00910E94" w:rsidRDefault="000313BA" w:rsidP="00FE15DF">
            <w:pPr>
              <w:spacing w:before="120" w:after="120"/>
              <w:rPr>
                <w:rFonts w:ascii="Arial Narrow" w:hAnsi="Arial Narrow"/>
                <w:sz w:val="20"/>
                <w:szCs w:val="20"/>
                <w:lang w:val="es-ES_tradnl"/>
              </w:rPr>
            </w:pPr>
          </w:p>
        </w:tc>
        <w:tc>
          <w:tcPr>
            <w:tcW w:w="545" w:type="dxa"/>
          </w:tcPr>
          <w:p w:rsidR="000313BA" w:rsidRPr="00910E94" w:rsidRDefault="000313BA" w:rsidP="00FE15DF">
            <w:pPr>
              <w:spacing w:before="120" w:after="120"/>
              <w:rPr>
                <w:rFonts w:ascii="Arial Narrow" w:hAnsi="Arial Narrow"/>
                <w:sz w:val="20"/>
                <w:szCs w:val="20"/>
                <w:lang w:val="es-ES_tradnl"/>
              </w:rPr>
            </w:pPr>
          </w:p>
        </w:tc>
        <w:tc>
          <w:tcPr>
            <w:tcW w:w="512"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09"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94"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3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2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2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90"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4" w:type="dxa"/>
          </w:tcPr>
          <w:p w:rsidR="000313BA" w:rsidRPr="00910E94" w:rsidRDefault="000313BA" w:rsidP="00FE15DF">
            <w:pPr>
              <w:spacing w:before="120" w:after="120"/>
              <w:rPr>
                <w:rFonts w:ascii="Arial Narrow" w:hAnsi="Arial Narrow"/>
                <w:sz w:val="20"/>
                <w:szCs w:val="20"/>
                <w:lang w:val="es-ES_tradnl"/>
              </w:rPr>
            </w:pPr>
          </w:p>
        </w:tc>
        <w:tc>
          <w:tcPr>
            <w:tcW w:w="482" w:type="dxa"/>
          </w:tcPr>
          <w:p w:rsidR="000313BA" w:rsidRPr="00910E94" w:rsidRDefault="000313BA" w:rsidP="00FE15DF">
            <w:pPr>
              <w:spacing w:before="120" w:after="120"/>
              <w:rPr>
                <w:rFonts w:ascii="Arial Narrow" w:hAnsi="Arial Narrow"/>
                <w:sz w:val="20"/>
                <w:szCs w:val="20"/>
                <w:lang w:val="es-ES_tradnl"/>
              </w:rPr>
            </w:pPr>
          </w:p>
        </w:tc>
        <w:tc>
          <w:tcPr>
            <w:tcW w:w="481" w:type="dxa"/>
          </w:tcPr>
          <w:p w:rsidR="000313BA" w:rsidRPr="00910E94" w:rsidRDefault="000313BA" w:rsidP="00FE15DF">
            <w:pPr>
              <w:spacing w:before="120" w:after="120"/>
              <w:rPr>
                <w:rFonts w:ascii="Arial Narrow" w:hAnsi="Arial Narrow"/>
                <w:sz w:val="20"/>
                <w:szCs w:val="20"/>
                <w:lang w:val="es-ES_tradnl"/>
              </w:rPr>
            </w:pPr>
          </w:p>
        </w:tc>
        <w:tc>
          <w:tcPr>
            <w:tcW w:w="480" w:type="dxa"/>
          </w:tcPr>
          <w:p w:rsidR="000313BA" w:rsidRPr="00910E94" w:rsidRDefault="000313BA" w:rsidP="00FE15DF">
            <w:pPr>
              <w:spacing w:before="120" w:after="120"/>
              <w:rPr>
                <w:rFonts w:ascii="Arial Narrow" w:hAnsi="Arial Narrow"/>
                <w:sz w:val="20"/>
                <w:szCs w:val="20"/>
                <w:lang w:val="es-ES_tradnl"/>
              </w:rPr>
            </w:pPr>
          </w:p>
        </w:tc>
        <w:tc>
          <w:tcPr>
            <w:tcW w:w="426" w:type="dxa"/>
          </w:tcPr>
          <w:p w:rsidR="000313BA" w:rsidRPr="00910E94" w:rsidRDefault="000313BA" w:rsidP="00FE15DF">
            <w:pPr>
              <w:spacing w:before="120" w:after="120"/>
              <w:rPr>
                <w:rFonts w:ascii="Arial Narrow" w:hAnsi="Arial Narrow"/>
                <w:sz w:val="20"/>
                <w:szCs w:val="20"/>
                <w:lang w:val="es-ES_tradnl"/>
              </w:rPr>
            </w:pPr>
          </w:p>
        </w:tc>
        <w:tc>
          <w:tcPr>
            <w:tcW w:w="508" w:type="dxa"/>
          </w:tcPr>
          <w:p w:rsidR="000313BA" w:rsidRPr="00910E94" w:rsidRDefault="000313BA" w:rsidP="00FE15DF">
            <w:pPr>
              <w:spacing w:before="120" w:after="120"/>
              <w:rPr>
                <w:rFonts w:ascii="Arial Narrow" w:hAnsi="Arial Narrow"/>
                <w:sz w:val="20"/>
                <w:szCs w:val="20"/>
                <w:lang w:val="es-ES_tradnl"/>
              </w:rPr>
            </w:pPr>
          </w:p>
        </w:tc>
        <w:tc>
          <w:tcPr>
            <w:tcW w:w="503"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Contratación y autoservicio</w:t>
            </w:r>
          </w:p>
        </w:tc>
        <w:tc>
          <w:tcPr>
            <w:tcW w:w="746" w:type="dxa"/>
          </w:tcPr>
          <w:p w:rsidR="000313BA" w:rsidRPr="00910E94" w:rsidRDefault="000313BA" w:rsidP="00FE15DF">
            <w:pPr>
              <w:spacing w:before="120" w:after="120"/>
              <w:rPr>
                <w:rFonts w:ascii="Arial Narrow" w:hAnsi="Arial Narrow"/>
                <w:sz w:val="20"/>
                <w:szCs w:val="20"/>
                <w:lang w:val="es-ES_tradnl"/>
              </w:rPr>
            </w:pPr>
          </w:p>
        </w:tc>
        <w:tc>
          <w:tcPr>
            <w:tcW w:w="545" w:type="dxa"/>
          </w:tcPr>
          <w:p w:rsidR="000313BA" w:rsidRPr="00910E94" w:rsidRDefault="000313BA" w:rsidP="00FE15DF">
            <w:pPr>
              <w:spacing w:before="120" w:after="120"/>
              <w:rPr>
                <w:rFonts w:ascii="Arial Narrow" w:hAnsi="Arial Narrow"/>
                <w:sz w:val="20"/>
                <w:szCs w:val="20"/>
                <w:lang w:val="es-ES_tradnl"/>
              </w:rPr>
            </w:pPr>
          </w:p>
        </w:tc>
        <w:tc>
          <w:tcPr>
            <w:tcW w:w="512"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09" w:type="dxa"/>
          </w:tcPr>
          <w:p w:rsidR="000313BA" w:rsidRPr="00910E94" w:rsidRDefault="000313BA" w:rsidP="00FE15DF">
            <w:pPr>
              <w:spacing w:before="120" w:after="120"/>
              <w:rPr>
                <w:rFonts w:ascii="Arial Narrow" w:hAnsi="Arial Narrow"/>
                <w:sz w:val="20"/>
                <w:szCs w:val="20"/>
                <w:lang w:val="es-ES_tradnl"/>
              </w:rPr>
            </w:pPr>
          </w:p>
        </w:tc>
        <w:tc>
          <w:tcPr>
            <w:tcW w:w="494" w:type="dxa"/>
          </w:tcPr>
          <w:p w:rsidR="000313BA" w:rsidRPr="00910E94" w:rsidRDefault="000313BA" w:rsidP="00FE15DF">
            <w:pPr>
              <w:spacing w:before="120" w:after="120"/>
              <w:rPr>
                <w:rFonts w:ascii="Arial Narrow" w:hAnsi="Arial Narrow"/>
                <w:sz w:val="20"/>
                <w:szCs w:val="20"/>
                <w:lang w:val="es-ES_tradnl"/>
              </w:rPr>
            </w:pPr>
          </w:p>
        </w:tc>
        <w:tc>
          <w:tcPr>
            <w:tcW w:w="531" w:type="dxa"/>
          </w:tcPr>
          <w:p w:rsidR="000313BA" w:rsidRPr="00910E94" w:rsidRDefault="000313BA" w:rsidP="00FE15DF">
            <w:pPr>
              <w:spacing w:before="120" w:after="120"/>
              <w:rPr>
                <w:rFonts w:ascii="Arial Narrow" w:hAnsi="Arial Narrow"/>
                <w:sz w:val="20"/>
                <w:szCs w:val="20"/>
                <w:lang w:val="es-ES_tradnl"/>
              </w:rPr>
            </w:pPr>
          </w:p>
        </w:tc>
        <w:tc>
          <w:tcPr>
            <w:tcW w:w="505" w:type="dxa"/>
          </w:tcPr>
          <w:p w:rsidR="000313BA" w:rsidRPr="00910E94" w:rsidRDefault="000313BA" w:rsidP="00FE15DF">
            <w:pPr>
              <w:spacing w:before="120" w:after="120"/>
              <w:rPr>
                <w:rFonts w:ascii="Arial Narrow" w:hAnsi="Arial Narrow"/>
                <w:sz w:val="20"/>
                <w:szCs w:val="20"/>
                <w:lang w:val="es-ES_tradnl"/>
              </w:rPr>
            </w:pPr>
          </w:p>
        </w:tc>
        <w:tc>
          <w:tcPr>
            <w:tcW w:w="425" w:type="dxa"/>
          </w:tcPr>
          <w:p w:rsidR="000313BA" w:rsidRPr="00910E94" w:rsidRDefault="000313BA" w:rsidP="00FE15DF">
            <w:pPr>
              <w:spacing w:before="120" w:after="120"/>
              <w:rPr>
                <w:rFonts w:ascii="Arial Narrow" w:hAnsi="Arial Narrow"/>
                <w:sz w:val="20"/>
                <w:szCs w:val="20"/>
                <w:lang w:val="es-ES_tradnl"/>
              </w:rPr>
            </w:pPr>
          </w:p>
        </w:tc>
        <w:tc>
          <w:tcPr>
            <w:tcW w:w="521" w:type="dxa"/>
          </w:tcPr>
          <w:p w:rsidR="000313BA" w:rsidRPr="00910E94" w:rsidRDefault="000313BA" w:rsidP="00FE15DF">
            <w:pPr>
              <w:spacing w:before="120" w:after="120"/>
              <w:rPr>
                <w:rFonts w:ascii="Arial Narrow" w:hAnsi="Arial Narrow"/>
                <w:sz w:val="20"/>
                <w:szCs w:val="20"/>
                <w:lang w:val="es-ES_tradnl"/>
              </w:rPr>
            </w:pPr>
          </w:p>
        </w:tc>
        <w:tc>
          <w:tcPr>
            <w:tcW w:w="501" w:type="dxa"/>
          </w:tcPr>
          <w:p w:rsidR="000313BA" w:rsidRPr="00910E94" w:rsidRDefault="000313BA" w:rsidP="00FE15DF">
            <w:pPr>
              <w:spacing w:before="120" w:after="120"/>
              <w:rPr>
                <w:rFonts w:ascii="Arial Narrow" w:hAnsi="Arial Narrow"/>
                <w:sz w:val="20"/>
                <w:szCs w:val="20"/>
                <w:lang w:val="es-ES_tradnl"/>
              </w:rPr>
            </w:pPr>
          </w:p>
        </w:tc>
        <w:tc>
          <w:tcPr>
            <w:tcW w:w="490" w:type="dxa"/>
          </w:tcPr>
          <w:p w:rsidR="000313BA" w:rsidRPr="00910E94" w:rsidRDefault="000313BA" w:rsidP="00FE15DF">
            <w:pPr>
              <w:spacing w:before="120" w:after="120"/>
              <w:rPr>
                <w:rFonts w:ascii="Arial Narrow" w:hAnsi="Arial Narrow"/>
                <w:sz w:val="20"/>
                <w:szCs w:val="20"/>
                <w:lang w:val="es-ES_tradnl"/>
              </w:rPr>
            </w:pPr>
          </w:p>
        </w:tc>
        <w:tc>
          <w:tcPr>
            <w:tcW w:w="485" w:type="dxa"/>
          </w:tcPr>
          <w:p w:rsidR="000313BA" w:rsidRPr="00910E94" w:rsidRDefault="000313BA" w:rsidP="00FE15DF">
            <w:pPr>
              <w:spacing w:before="120" w:after="120"/>
              <w:rPr>
                <w:rFonts w:ascii="Arial Narrow" w:hAnsi="Arial Narrow"/>
                <w:sz w:val="20"/>
                <w:szCs w:val="20"/>
                <w:lang w:val="es-ES_tradnl"/>
              </w:rPr>
            </w:pPr>
          </w:p>
        </w:tc>
        <w:tc>
          <w:tcPr>
            <w:tcW w:w="484"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2"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0"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26" w:type="dxa"/>
          </w:tcPr>
          <w:p w:rsidR="000313BA" w:rsidRPr="00910E94" w:rsidRDefault="000313BA" w:rsidP="00FE15DF">
            <w:pPr>
              <w:spacing w:before="120" w:after="120"/>
              <w:rPr>
                <w:rFonts w:ascii="Arial Narrow" w:hAnsi="Arial Narrow"/>
                <w:sz w:val="20"/>
                <w:szCs w:val="20"/>
                <w:lang w:val="es-ES_tradnl"/>
              </w:rPr>
            </w:pPr>
          </w:p>
        </w:tc>
        <w:tc>
          <w:tcPr>
            <w:tcW w:w="508" w:type="dxa"/>
          </w:tcPr>
          <w:p w:rsidR="000313BA" w:rsidRPr="00910E94" w:rsidRDefault="000313BA" w:rsidP="00FE15DF">
            <w:pPr>
              <w:spacing w:before="120" w:after="120"/>
              <w:rPr>
                <w:rFonts w:ascii="Arial Narrow" w:hAnsi="Arial Narrow"/>
                <w:sz w:val="20"/>
                <w:szCs w:val="20"/>
                <w:lang w:val="es-ES_tradnl"/>
              </w:rPr>
            </w:pPr>
          </w:p>
        </w:tc>
        <w:tc>
          <w:tcPr>
            <w:tcW w:w="503"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 xml:space="preserve">Protección social del personal y administración jurídica </w:t>
            </w:r>
          </w:p>
        </w:tc>
        <w:tc>
          <w:tcPr>
            <w:tcW w:w="746" w:type="dxa"/>
          </w:tcPr>
          <w:p w:rsidR="000313BA" w:rsidRPr="00910E94" w:rsidRDefault="000313BA" w:rsidP="00FE15DF">
            <w:pPr>
              <w:spacing w:before="120" w:after="120"/>
              <w:rPr>
                <w:rFonts w:ascii="Arial Narrow" w:hAnsi="Arial Narrow"/>
                <w:sz w:val="20"/>
                <w:szCs w:val="20"/>
                <w:lang w:val="es-ES_tradnl"/>
              </w:rPr>
            </w:pPr>
          </w:p>
        </w:tc>
        <w:tc>
          <w:tcPr>
            <w:tcW w:w="545" w:type="dxa"/>
          </w:tcPr>
          <w:p w:rsidR="000313BA" w:rsidRPr="00910E94" w:rsidRDefault="000313BA" w:rsidP="00FE15DF">
            <w:pPr>
              <w:spacing w:before="120" w:after="120"/>
              <w:rPr>
                <w:rFonts w:ascii="Arial Narrow" w:hAnsi="Arial Narrow"/>
                <w:sz w:val="20"/>
                <w:szCs w:val="20"/>
                <w:lang w:val="es-ES_tradnl"/>
              </w:rPr>
            </w:pPr>
          </w:p>
        </w:tc>
        <w:tc>
          <w:tcPr>
            <w:tcW w:w="512"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09" w:type="dxa"/>
          </w:tcPr>
          <w:p w:rsidR="000313BA" w:rsidRPr="00910E94" w:rsidRDefault="000313BA" w:rsidP="00FE15DF">
            <w:pPr>
              <w:spacing w:before="120" w:after="120"/>
              <w:rPr>
                <w:rFonts w:ascii="Arial Narrow" w:hAnsi="Arial Narrow"/>
                <w:sz w:val="20"/>
                <w:szCs w:val="20"/>
                <w:lang w:val="es-ES_tradnl"/>
              </w:rPr>
            </w:pPr>
          </w:p>
        </w:tc>
        <w:tc>
          <w:tcPr>
            <w:tcW w:w="494" w:type="dxa"/>
          </w:tcPr>
          <w:p w:rsidR="000313BA" w:rsidRPr="00910E94" w:rsidRDefault="000313BA" w:rsidP="00FE15DF">
            <w:pPr>
              <w:spacing w:before="120" w:after="120"/>
              <w:rPr>
                <w:rFonts w:ascii="Arial Narrow" w:hAnsi="Arial Narrow"/>
                <w:sz w:val="20"/>
                <w:szCs w:val="20"/>
                <w:lang w:val="es-ES_tradnl"/>
              </w:rPr>
            </w:pPr>
          </w:p>
        </w:tc>
        <w:tc>
          <w:tcPr>
            <w:tcW w:w="531" w:type="dxa"/>
          </w:tcPr>
          <w:p w:rsidR="000313BA" w:rsidRPr="00910E94" w:rsidRDefault="000313BA" w:rsidP="00FE15DF">
            <w:pPr>
              <w:spacing w:before="120" w:after="120"/>
              <w:rPr>
                <w:rFonts w:ascii="Arial Narrow" w:hAnsi="Arial Narrow"/>
                <w:sz w:val="20"/>
                <w:szCs w:val="20"/>
                <w:lang w:val="es-ES_tradnl"/>
              </w:rPr>
            </w:pPr>
          </w:p>
        </w:tc>
        <w:tc>
          <w:tcPr>
            <w:tcW w:w="505" w:type="dxa"/>
          </w:tcPr>
          <w:p w:rsidR="000313BA" w:rsidRPr="00910E94" w:rsidRDefault="000313BA" w:rsidP="00FE15DF">
            <w:pPr>
              <w:spacing w:before="120" w:after="120"/>
              <w:rPr>
                <w:rFonts w:ascii="Arial Narrow" w:hAnsi="Arial Narrow"/>
                <w:sz w:val="20"/>
                <w:szCs w:val="20"/>
                <w:lang w:val="es-ES_tradnl"/>
              </w:rPr>
            </w:pPr>
          </w:p>
        </w:tc>
        <w:tc>
          <w:tcPr>
            <w:tcW w:w="425" w:type="dxa"/>
          </w:tcPr>
          <w:p w:rsidR="000313BA" w:rsidRPr="00910E94" w:rsidRDefault="000313BA" w:rsidP="00FE15DF">
            <w:pPr>
              <w:spacing w:before="120" w:after="120"/>
              <w:rPr>
                <w:rFonts w:ascii="Arial Narrow" w:hAnsi="Arial Narrow"/>
                <w:sz w:val="20"/>
                <w:szCs w:val="20"/>
                <w:lang w:val="es-ES_tradnl"/>
              </w:rPr>
            </w:pPr>
          </w:p>
        </w:tc>
        <w:tc>
          <w:tcPr>
            <w:tcW w:w="521" w:type="dxa"/>
          </w:tcPr>
          <w:p w:rsidR="000313BA" w:rsidRPr="00910E94" w:rsidRDefault="000313BA" w:rsidP="00FE15DF">
            <w:pPr>
              <w:spacing w:before="120" w:after="120"/>
              <w:rPr>
                <w:rFonts w:ascii="Arial Narrow" w:hAnsi="Arial Narrow"/>
                <w:sz w:val="20"/>
                <w:szCs w:val="20"/>
                <w:lang w:val="es-ES_tradnl"/>
              </w:rPr>
            </w:pPr>
          </w:p>
        </w:tc>
        <w:tc>
          <w:tcPr>
            <w:tcW w:w="501" w:type="dxa"/>
          </w:tcPr>
          <w:p w:rsidR="000313BA" w:rsidRPr="00910E94" w:rsidRDefault="000313BA" w:rsidP="00FE15DF">
            <w:pPr>
              <w:spacing w:before="120" w:after="120"/>
              <w:rPr>
                <w:rFonts w:ascii="Arial Narrow" w:hAnsi="Arial Narrow"/>
                <w:sz w:val="20"/>
                <w:szCs w:val="20"/>
                <w:lang w:val="es-ES_tradnl"/>
              </w:rPr>
            </w:pPr>
          </w:p>
        </w:tc>
        <w:tc>
          <w:tcPr>
            <w:tcW w:w="490" w:type="dxa"/>
          </w:tcPr>
          <w:p w:rsidR="000313BA" w:rsidRPr="00910E94" w:rsidRDefault="000313BA" w:rsidP="00FE15DF">
            <w:pPr>
              <w:spacing w:before="120" w:after="120"/>
              <w:rPr>
                <w:rFonts w:ascii="Arial Narrow" w:hAnsi="Arial Narrow"/>
                <w:sz w:val="20"/>
                <w:szCs w:val="20"/>
                <w:lang w:val="es-ES_tradnl"/>
              </w:rPr>
            </w:pPr>
          </w:p>
        </w:tc>
        <w:tc>
          <w:tcPr>
            <w:tcW w:w="485" w:type="dxa"/>
          </w:tcPr>
          <w:p w:rsidR="000313BA" w:rsidRPr="00910E94" w:rsidRDefault="000313BA" w:rsidP="00FE15DF">
            <w:pPr>
              <w:spacing w:before="120" w:after="120"/>
              <w:rPr>
                <w:rFonts w:ascii="Arial Narrow" w:hAnsi="Arial Narrow"/>
                <w:sz w:val="20"/>
                <w:szCs w:val="20"/>
                <w:lang w:val="es-ES_tradnl"/>
              </w:rPr>
            </w:pPr>
          </w:p>
        </w:tc>
        <w:tc>
          <w:tcPr>
            <w:tcW w:w="484" w:type="dxa"/>
          </w:tcPr>
          <w:p w:rsidR="000313BA" w:rsidRPr="00910E94" w:rsidRDefault="000313BA" w:rsidP="00FE15DF">
            <w:pPr>
              <w:spacing w:before="120" w:after="120"/>
              <w:rPr>
                <w:rFonts w:ascii="Arial Narrow" w:hAnsi="Arial Narrow"/>
                <w:sz w:val="20"/>
                <w:szCs w:val="20"/>
                <w:lang w:val="es-ES_tradnl"/>
              </w:rPr>
            </w:pPr>
          </w:p>
        </w:tc>
        <w:tc>
          <w:tcPr>
            <w:tcW w:w="482" w:type="dxa"/>
          </w:tcPr>
          <w:p w:rsidR="000313BA" w:rsidRPr="00910E94" w:rsidRDefault="000313BA" w:rsidP="00FE15DF">
            <w:pPr>
              <w:spacing w:before="120" w:after="120"/>
              <w:rPr>
                <w:rFonts w:ascii="Arial Narrow" w:hAnsi="Arial Narrow"/>
                <w:sz w:val="20"/>
                <w:szCs w:val="20"/>
                <w:lang w:val="es-ES_tradnl"/>
              </w:rPr>
            </w:pPr>
          </w:p>
        </w:tc>
        <w:tc>
          <w:tcPr>
            <w:tcW w:w="481" w:type="dxa"/>
          </w:tcPr>
          <w:p w:rsidR="000313BA" w:rsidRPr="00910E94" w:rsidRDefault="000313BA" w:rsidP="00FE15DF">
            <w:pPr>
              <w:spacing w:before="120" w:after="120"/>
              <w:rPr>
                <w:rFonts w:ascii="Arial Narrow" w:hAnsi="Arial Narrow"/>
                <w:sz w:val="20"/>
                <w:szCs w:val="20"/>
                <w:lang w:val="es-ES_tradnl"/>
              </w:rPr>
            </w:pPr>
          </w:p>
        </w:tc>
        <w:tc>
          <w:tcPr>
            <w:tcW w:w="480" w:type="dxa"/>
          </w:tcPr>
          <w:p w:rsidR="000313BA" w:rsidRPr="00910E94" w:rsidRDefault="000313BA" w:rsidP="00FE15DF">
            <w:pPr>
              <w:spacing w:before="120" w:after="120"/>
              <w:rPr>
                <w:rFonts w:ascii="Arial Narrow" w:hAnsi="Arial Narrow"/>
                <w:sz w:val="20"/>
                <w:szCs w:val="20"/>
                <w:lang w:val="es-ES_tradnl"/>
              </w:rPr>
            </w:pPr>
          </w:p>
        </w:tc>
        <w:tc>
          <w:tcPr>
            <w:tcW w:w="426"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8"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3"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Gestión del desempeño y formación</w:t>
            </w:r>
          </w:p>
        </w:tc>
        <w:tc>
          <w:tcPr>
            <w:tcW w:w="746" w:type="dxa"/>
          </w:tcPr>
          <w:p w:rsidR="000313BA" w:rsidRPr="00910E94" w:rsidRDefault="000313BA" w:rsidP="00FE15DF">
            <w:pPr>
              <w:spacing w:before="120" w:after="120"/>
              <w:rPr>
                <w:rFonts w:ascii="Arial Narrow" w:hAnsi="Arial Narrow"/>
                <w:sz w:val="20"/>
                <w:szCs w:val="20"/>
                <w:lang w:val="es-ES_tradnl"/>
              </w:rPr>
            </w:pPr>
          </w:p>
        </w:tc>
        <w:tc>
          <w:tcPr>
            <w:tcW w:w="545" w:type="dxa"/>
          </w:tcPr>
          <w:p w:rsidR="000313BA" w:rsidRPr="00910E94" w:rsidRDefault="000313BA" w:rsidP="00FE15DF">
            <w:pPr>
              <w:spacing w:before="120" w:after="120"/>
              <w:rPr>
                <w:rFonts w:ascii="Arial Narrow" w:hAnsi="Arial Narrow"/>
                <w:sz w:val="20"/>
                <w:szCs w:val="20"/>
                <w:lang w:val="es-ES_tradnl"/>
              </w:rPr>
            </w:pPr>
          </w:p>
        </w:tc>
        <w:tc>
          <w:tcPr>
            <w:tcW w:w="512"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09" w:type="dxa"/>
          </w:tcPr>
          <w:p w:rsidR="000313BA" w:rsidRPr="00910E94" w:rsidRDefault="000313BA" w:rsidP="00FE15DF">
            <w:pPr>
              <w:spacing w:before="120" w:after="120"/>
              <w:rPr>
                <w:rFonts w:ascii="Arial Narrow" w:hAnsi="Arial Narrow"/>
                <w:sz w:val="20"/>
                <w:szCs w:val="20"/>
                <w:lang w:val="es-ES_tradnl"/>
              </w:rPr>
            </w:pPr>
          </w:p>
        </w:tc>
        <w:tc>
          <w:tcPr>
            <w:tcW w:w="494" w:type="dxa"/>
          </w:tcPr>
          <w:p w:rsidR="000313BA" w:rsidRPr="00910E94" w:rsidRDefault="000313BA" w:rsidP="00FE15DF">
            <w:pPr>
              <w:spacing w:before="120" w:after="120"/>
              <w:rPr>
                <w:rFonts w:ascii="Arial Narrow" w:hAnsi="Arial Narrow"/>
                <w:sz w:val="20"/>
                <w:szCs w:val="20"/>
                <w:lang w:val="es-ES_tradnl"/>
              </w:rPr>
            </w:pPr>
          </w:p>
        </w:tc>
        <w:tc>
          <w:tcPr>
            <w:tcW w:w="531" w:type="dxa"/>
          </w:tcPr>
          <w:p w:rsidR="000313BA" w:rsidRPr="00910E94" w:rsidRDefault="000313BA" w:rsidP="00FE15DF">
            <w:pPr>
              <w:spacing w:before="120" w:after="120"/>
              <w:rPr>
                <w:rFonts w:ascii="Arial Narrow" w:hAnsi="Arial Narrow"/>
                <w:sz w:val="20"/>
                <w:szCs w:val="20"/>
                <w:lang w:val="es-ES_tradnl"/>
              </w:rPr>
            </w:pPr>
          </w:p>
        </w:tc>
        <w:tc>
          <w:tcPr>
            <w:tcW w:w="505" w:type="dxa"/>
          </w:tcPr>
          <w:p w:rsidR="000313BA" w:rsidRPr="00910E94" w:rsidRDefault="000313BA" w:rsidP="00FE15DF">
            <w:pPr>
              <w:spacing w:before="120" w:after="120"/>
              <w:rPr>
                <w:rFonts w:ascii="Arial Narrow" w:hAnsi="Arial Narrow"/>
                <w:sz w:val="20"/>
                <w:szCs w:val="20"/>
                <w:lang w:val="es-ES_tradnl"/>
              </w:rPr>
            </w:pPr>
          </w:p>
        </w:tc>
        <w:tc>
          <w:tcPr>
            <w:tcW w:w="425" w:type="dxa"/>
          </w:tcPr>
          <w:p w:rsidR="000313BA" w:rsidRPr="00910E94" w:rsidRDefault="000313BA" w:rsidP="00FE15DF">
            <w:pPr>
              <w:spacing w:before="120" w:after="120"/>
              <w:rPr>
                <w:rFonts w:ascii="Arial Narrow" w:hAnsi="Arial Narrow"/>
                <w:sz w:val="20"/>
                <w:szCs w:val="20"/>
                <w:lang w:val="es-ES_tradnl"/>
              </w:rPr>
            </w:pPr>
          </w:p>
        </w:tc>
        <w:tc>
          <w:tcPr>
            <w:tcW w:w="521" w:type="dxa"/>
          </w:tcPr>
          <w:p w:rsidR="000313BA" w:rsidRPr="00910E94" w:rsidRDefault="000313BA" w:rsidP="00FE15DF">
            <w:pPr>
              <w:spacing w:before="120" w:after="120"/>
              <w:rPr>
                <w:rFonts w:ascii="Arial Narrow" w:hAnsi="Arial Narrow"/>
                <w:sz w:val="20"/>
                <w:szCs w:val="20"/>
                <w:lang w:val="es-ES_tradnl"/>
              </w:rPr>
            </w:pPr>
          </w:p>
        </w:tc>
        <w:tc>
          <w:tcPr>
            <w:tcW w:w="501" w:type="dxa"/>
          </w:tcPr>
          <w:p w:rsidR="000313BA" w:rsidRPr="00910E94" w:rsidRDefault="000313BA" w:rsidP="00FE15DF">
            <w:pPr>
              <w:spacing w:before="120" w:after="120"/>
              <w:rPr>
                <w:rFonts w:ascii="Arial Narrow" w:hAnsi="Arial Narrow"/>
                <w:sz w:val="20"/>
                <w:szCs w:val="20"/>
                <w:lang w:val="es-ES_tradnl"/>
              </w:rPr>
            </w:pPr>
          </w:p>
        </w:tc>
        <w:tc>
          <w:tcPr>
            <w:tcW w:w="490" w:type="dxa"/>
          </w:tcPr>
          <w:p w:rsidR="000313BA" w:rsidRPr="00910E94" w:rsidRDefault="000313BA" w:rsidP="00FE15DF">
            <w:pPr>
              <w:spacing w:before="120" w:after="120"/>
              <w:rPr>
                <w:rFonts w:ascii="Arial Narrow" w:hAnsi="Arial Narrow"/>
                <w:sz w:val="20"/>
                <w:szCs w:val="20"/>
                <w:lang w:val="es-ES_tradnl"/>
              </w:rPr>
            </w:pPr>
          </w:p>
        </w:tc>
        <w:tc>
          <w:tcPr>
            <w:tcW w:w="485" w:type="dxa"/>
          </w:tcPr>
          <w:p w:rsidR="000313BA" w:rsidRPr="00910E94" w:rsidRDefault="000313BA" w:rsidP="00FE15DF">
            <w:pPr>
              <w:spacing w:before="120" w:after="120"/>
              <w:rPr>
                <w:rFonts w:ascii="Arial Narrow" w:hAnsi="Arial Narrow"/>
                <w:sz w:val="20"/>
                <w:szCs w:val="20"/>
                <w:lang w:val="es-ES_tradnl"/>
              </w:rPr>
            </w:pPr>
          </w:p>
        </w:tc>
        <w:tc>
          <w:tcPr>
            <w:tcW w:w="484" w:type="dxa"/>
          </w:tcPr>
          <w:p w:rsidR="000313BA" w:rsidRPr="00910E94" w:rsidRDefault="000313BA" w:rsidP="00FE15DF">
            <w:pPr>
              <w:spacing w:before="120" w:after="120"/>
              <w:rPr>
                <w:rFonts w:ascii="Arial Narrow" w:hAnsi="Arial Narrow"/>
                <w:sz w:val="20"/>
                <w:szCs w:val="20"/>
                <w:lang w:val="es-ES_tradnl"/>
              </w:rPr>
            </w:pPr>
          </w:p>
        </w:tc>
        <w:tc>
          <w:tcPr>
            <w:tcW w:w="482" w:type="dxa"/>
          </w:tcPr>
          <w:p w:rsidR="000313BA" w:rsidRPr="00910E94" w:rsidRDefault="000313BA" w:rsidP="00FE15DF">
            <w:pPr>
              <w:spacing w:before="120" w:after="120"/>
              <w:rPr>
                <w:rFonts w:ascii="Arial Narrow" w:hAnsi="Arial Narrow"/>
                <w:sz w:val="20"/>
                <w:szCs w:val="20"/>
                <w:lang w:val="es-ES_tradnl"/>
              </w:rPr>
            </w:pPr>
          </w:p>
        </w:tc>
        <w:tc>
          <w:tcPr>
            <w:tcW w:w="481" w:type="dxa"/>
          </w:tcPr>
          <w:p w:rsidR="000313BA" w:rsidRPr="00910E94" w:rsidRDefault="000313BA" w:rsidP="00FE15DF">
            <w:pPr>
              <w:spacing w:before="120" w:after="120"/>
              <w:rPr>
                <w:rFonts w:ascii="Arial Narrow" w:hAnsi="Arial Narrow"/>
                <w:sz w:val="20"/>
                <w:szCs w:val="20"/>
                <w:lang w:val="es-ES_tradnl"/>
              </w:rPr>
            </w:pPr>
          </w:p>
        </w:tc>
        <w:tc>
          <w:tcPr>
            <w:tcW w:w="480" w:type="dxa"/>
          </w:tcPr>
          <w:p w:rsidR="000313BA" w:rsidRPr="00910E94" w:rsidRDefault="000313BA" w:rsidP="00FE15DF">
            <w:pPr>
              <w:spacing w:before="120" w:after="120"/>
              <w:rPr>
                <w:rFonts w:ascii="Arial Narrow" w:hAnsi="Arial Narrow"/>
                <w:sz w:val="20"/>
                <w:szCs w:val="20"/>
                <w:lang w:val="es-ES_tradnl"/>
              </w:rPr>
            </w:pPr>
          </w:p>
        </w:tc>
        <w:tc>
          <w:tcPr>
            <w:tcW w:w="426"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8"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3"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92D050"/>
          </w:tcPr>
          <w:p w:rsidR="000313BA" w:rsidRPr="00910E94" w:rsidRDefault="000313BA" w:rsidP="00FE15DF">
            <w:pPr>
              <w:spacing w:before="120" w:after="120"/>
              <w:rPr>
                <w:rFonts w:ascii="Arial Narrow" w:hAnsi="Arial Narrow"/>
                <w:sz w:val="20"/>
                <w:szCs w:val="20"/>
                <w:lang w:val="es-ES_tradnl"/>
              </w:rPr>
            </w:pP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Mejoras de AIMS</w:t>
            </w:r>
          </w:p>
        </w:tc>
        <w:tc>
          <w:tcPr>
            <w:tcW w:w="746" w:type="dxa"/>
          </w:tcPr>
          <w:p w:rsidR="000313BA" w:rsidRPr="00910E94" w:rsidRDefault="000313BA" w:rsidP="00FE15DF">
            <w:pPr>
              <w:spacing w:before="120" w:after="120"/>
              <w:rPr>
                <w:rFonts w:ascii="Arial Narrow" w:hAnsi="Arial Narrow"/>
                <w:sz w:val="20"/>
                <w:szCs w:val="20"/>
                <w:lang w:val="es-ES_tradnl"/>
              </w:rPr>
            </w:pPr>
          </w:p>
        </w:tc>
        <w:tc>
          <w:tcPr>
            <w:tcW w:w="545" w:type="dxa"/>
          </w:tcPr>
          <w:p w:rsidR="000313BA" w:rsidRPr="00910E94" w:rsidRDefault="000313BA" w:rsidP="00FE15DF">
            <w:pPr>
              <w:spacing w:before="120" w:after="120"/>
              <w:rPr>
                <w:rFonts w:ascii="Arial Narrow" w:hAnsi="Arial Narrow"/>
                <w:sz w:val="20"/>
                <w:szCs w:val="20"/>
                <w:lang w:val="es-ES_tradnl"/>
              </w:rPr>
            </w:pPr>
          </w:p>
        </w:tc>
        <w:tc>
          <w:tcPr>
            <w:tcW w:w="512" w:type="dxa"/>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9"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94"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3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2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2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90"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5"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4"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2"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1"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80"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426"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8"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03" w:type="dxa"/>
            <w:shd w:val="clear" w:color="auto" w:fill="92D050"/>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Inteligencia institucional</w:t>
            </w:r>
          </w:p>
        </w:tc>
        <w:tc>
          <w:tcPr>
            <w:tcW w:w="746" w:type="dxa"/>
          </w:tcPr>
          <w:p w:rsidR="000313BA" w:rsidRPr="00910E94" w:rsidRDefault="000313BA" w:rsidP="00FE15DF">
            <w:pPr>
              <w:spacing w:before="120" w:after="120"/>
              <w:rPr>
                <w:rFonts w:ascii="Arial Narrow" w:hAnsi="Arial Narrow"/>
                <w:sz w:val="20"/>
                <w:szCs w:val="20"/>
                <w:lang w:val="es-ES_tradnl"/>
              </w:rPr>
            </w:pPr>
          </w:p>
        </w:tc>
        <w:tc>
          <w:tcPr>
            <w:tcW w:w="545" w:type="dxa"/>
          </w:tcPr>
          <w:p w:rsidR="000313BA" w:rsidRPr="00910E94" w:rsidRDefault="000313BA" w:rsidP="00FE15DF">
            <w:pPr>
              <w:spacing w:before="120" w:after="120"/>
              <w:rPr>
                <w:rFonts w:ascii="Arial Narrow" w:hAnsi="Arial Narrow"/>
                <w:sz w:val="20"/>
                <w:szCs w:val="20"/>
                <w:lang w:val="es-ES_tradnl"/>
              </w:rPr>
            </w:pPr>
          </w:p>
        </w:tc>
        <w:tc>
          <w:tcPr>
            <w:tcW w:w="512"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09" w:type="dxa"/>
          </w:tcPr>
          <w:p w:rsidR="000313BA" w:rsidRPr="00910E94" w:rsidRDefault="000313BA" w:rsidP="00FE15DF">
            <w:pPr>
              <w:spacing w:before="120" w:after="120"/>
              <w:rPr>
                <w:rFonts w:ascii="Arial Narrow" w:hAnsi="Arial Narrow"/>
                <w:sz w:val="20"/>
                <w:szCs w:val="20"/>
                <w:lang w:val="es-ES_tradnl"/>
              </w:rPr>
            </w:pPr>
          </w:p>
        </w:tc>
        <w:tc>
          <w:tcPr>
            <w:tcW w:w="494" w:type="dxa"/>
          </w:tcPr>
          <w:p w:rsidR="000313BA" w:rsidRPr="00910E94" w:rsidRDefault="000313BA" w:rsidP="00FE15DF">
            <w:pPr>
              <w:spacing w:before="120" w:after="120"/>
              <w:rPr>
                <w:rFonts w:ascii="Arial Narrow" w:hAnsi="Arial Narrow"/>
                <w:sz w:val="20"/>
                <w:szCs w:val="20"/>
                <w:lang w:val="es-ES_tradnl"/>
              </w:rPr>
            </w:pPr>
          </w:p>
        </w:tc>
        <w:tc>
          <w:tcPr>
            <w:tcW w:w="531" w:type="dxa"/>
          </w:tcPr>
          <w:p w:rsidR="000313BA" w:rsidRPr="00910E94" w:rsidRDefault="000313BA" w:rsidP="00FE15DF">
            <w:pPr>
              <w:spacing w:before="120" w:after="120"/>
              <w:rPr>
                <w:rFonts w:ascii="Arial Narrow" w:hAnsi="Arial Narrow"/>
                <w:sz w:val="20"/>
                <w:szCs w:val="20"/>
                <w:lang w:val="es-ES_tradnl"/>
              </w:rPr>
            </w:pPr>
          </w:p>
        </w:tc>
        <w:tc>
          <w:tcPr>
            <w:tcW w:w="505" w:type="dxa"/>
          </w:tcPr>
          <w:p w:rsidR="000313BA" w:rsidRPr="00910E94" w:rsidRDefault="000313BA" w:rsidP="00FE15DF">
            <w:pPr>
              <w:spacing w:before="120" w:after="120"/>
              <w:rPr>
                <w:rFonts w:ascii="Arial Narrow" w:hAnsi="Arial Narrow"/>
                <w:sz w:val="20"/>
                <w:szCs w:val="20"/>
                <w:lang w:val="es-ES_tradnl"/>
              </w:rPr>
            </w:pPr>
          </w:p>
        </w:tc>
        <w:tc>
          <w:tcPr>
            <w:tcW w:w="425"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21"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01"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90"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85"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84"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82"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81"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80"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26"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08"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03"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Gestión del rendimiento institucional</w:t>
            </w:r>
          </w:p>
        </w:tc>
        <w:tc>
          <w:tcPr>
            <w:tcW w:w="746" w:type="dxa"/>
          </w:tcPr>
          <w:p w:rsidR="000313BA" w:rsidRPr="00910E94" w:rsidRDefault="000313BA" w:rsidP="00FE15DF">
            <w:pPr>
              <w:spacing w:before="120" w:after="120"/>
              <w:rPr>
                <w:rFonts w:ascii="Arial Narrow" w:hAnsi="Arial Narrow"/>
                <w:sz w:val="20"/>
                <w:szCs w:val="20"/>
                <w:lang w:val="es-ES_tradnl"/>
              </w:rPr>
            </w:pPr>
          </w:p>
        </w:tc>
        <w:tc>
          <w:tcPr>
            <w:tcW w:w="545" w:type="dxa"/>
          </w:tcPr>
          <w:p w:rsidR="000313BA" w:rsidRPr="00910E94" w:rsidRDefault="000313BA" w:rsidP="00FE15DF">
            <w:pPr>
              <w:spacing w:before="120" w:after="120"/>
              <w:rPr>
                <w:rFonts w:ascii="Arial Narrow" w:hAnsi="Arial Narrow"/>
                <w:sz w:val="20"/>
                <w:szCs w:val="20"/>
                <w:lang w:val="es-ES_tradnl"/>
              </w:rPr>
            </w:pPr>
          </w:p>
        </w:tc>
        <w:tc>
          <w:tcPr>
            <w:tcW w:w="512"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09"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94"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31"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05"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25"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21"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501"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90"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85"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84"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82" w:type="dxa"/>
            <w:shd w:val="clear" w:color="auto" w:fill="7030A0"/>
          </w:tcPr>
          <w:p w:rsidR="000313BA" w:rsidRPr="00910E94" w:rsidRDefault="000313BA" w:rsidP="00FE15DF">
            <w:pPr>
              <w:spacing w:before="120" w:after="120"/>
              <w:rPr>
                <w:rFonts w:ascii="Arial Narrow" w:hAnsi="Arial Narrow"/>
                <w:sz w:val="20"/>
                <w:szCs w:val="20"/>
                <w:lang w:val="es-ES_tradnl"/>
              </w:rPr>
            </w:pPr>
          </w:p>
        </w:tc>
        <w:tc>
          <w:tcPr>
            <w:tcW w:w="481" w:type="dxa"/>
          </w:tcPr>
          <w:p w:rsidR="000313BA" w:rsidRPr="00910E94" w:rsidRDefault="000313BA" w:rsidP="00FE15DF">
            <w:pPr>
              <w:spacing w:before="120" w:after="120"/>
              <w:rPr>
                <w:rFonts w:ascii="Arial Narrow" w:hAnsi="Arial Narrow"/>
                <w:sz w:val="20"/>
                <w:szCs w:val="20"/>
                <w:lang w:val="es-ES_tradnl"/>
              </w:rPr>
            </w:pPr>
          </w:p>
        </w:tc>
        <w:tc>
          <w:tcPr>
            <w:tcW w:w="480" w:type="dxa"/>
          </w:tcPr>
          <w:p w:rsidR="000313BA" w:rsidRPr="00910E94" w:rsidRDefault="000313BA" w:rsidP="00FE15DF">
            <w:pPr>
              <w:spacing w:before="120" w:after="120"/>
              <w:rPr>
                <w:rFonts w:ascii="Arial Narrow" w:hAnsi="Arial Narrow"/>
                <w:sz w:val="20"/>
                <w:szCs w:val="20"/>
                <w:lang w:val="es-ES_tradnl"/>
              </w:rPr>
            </w:pPr>
          </w:p>
        </w:tc>
        <w:tc>
          <w:tcPr>
            <w:tcW w:w="426" w:type="dxa"/>
          </w:tcPr>
          <w:p w:rsidR="000313BA" w:rsidRPr="00910E94" w:rsidRDefault="000313BA" w:rsidP="00FE15DF">
            <w:pPr>
              <w:spacing w:before="120" w:after="120"/>
              <w:rPr>
                <w:rFonts w:ascii="Arial Narrow" w:hAnsi="Arial Narrow"/>
                <w:sz w:val="20"/>
                <w:szCs w:val="20"/>
                <w:lang w:val="es-ES_tradnl"/>
              </w:rPr>
            </w:pPr>
          </w:p>
        </w:tc>
        <w:tc>
          <w:tcPr>
            <w:tcW w:w="508" w:type="dxa"/>
          </w:tcPr>
          <w:p w:rsidR="000313BA" w:rsidRPr="00910E94" w:rsidRDefault="000313BA" w:rsidP="00FE15DF">
            <w:pPr>
              <w:spacing w:before="120" w:after="120"/>
              <w:rPr>
                <w:rFonts w:ascii="Arial Narrow" w:hAnsi="Arial Narrow"/>
                <w:sz w:val="20"/>
                <w:szCs w:val="20"/>
                <w:lang w:val="es-ES_tradnl"/>
              </w:rPr>
            </w:pPr>
          </w:p>
        </w:tc>
        <w:tc>
          <w:tcPr>
            <w:tcW w:w="503"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r>
      <w:tr w:rsidR="000313BA" w:rsidRPr="00910E94" w:rsidTr="000313BA">
        <w:trPr>
          <w:jc w:val="center"/>
        </w:trPr>
        <w:tc>
          <w:tcPr>
            <w:tcW w:w="3155" w:type="dxa"/>
            <w:vAlign w:val="center"/>
          </w:tcPr>
          <w:p w:rsidR="000313BA" w:rsidRPr="00910E94" w:rsidRDefault="000313BA" w:rsidP="00FE15DF">
            <w:pPr>
              <w:spacing w:before="120" w:after="120"/>
              <w:rPr>
                <w:rFonts w:ascii="Arial Narrow" w:hAnsi="Arial Narrow"/>
                <w:sz w:val="20"/>
                <w:szCs w:val="20"/>
                <w:lang w:val="es-ES_tradnl"/>
              </w:rPr>
            </w:pPr>
            <w:r w:rsidRPr="00910E94">
              <w:rPr>
                <w:rFonts w:ascii="Arial Narrow" w:hAnsi="Arial Narrow"/>
                <w:sz w:val="20"/>
                <w:szCs w:val="20"/>
                <w:lang w:val="es-ES_tradnl"/>
              </w:rPr>
              <w:t>Gestión de relaciones con clientes</w:t>
            </w:r>
          </w:p>
        </w:tc>
        <w:tc>
          <w:tcPr>
            <w:tcW w:w="746" w:type="dxa"/>
          </w:tcPr>
          <w:p w:rsidR="000313BA" w:rsidRPr="00910E94" w:rsidRDefault="000313BA" w:rsidP="00FE15DF">
            <w:pPr>
              <w:spacing w:before="120" w:after="120"/>
              <w:rPr>
                <w:rFonts w:ascii="Arial Narrow" w:hAnsi="Arial Narrow"/>
                <w:sz w:val="20"/>
                <w:szCs w:val="20"/>
                <w:lang w:val="es-ES_tradnl"/>
              </w:rPr>
            </w:pPr>
          </w:p>
        </w:tc>
        <w:tc>
          <w:tcPr>
            <w:tcW w:w="545" w:type="dxa"/>
          </w:tcPr>
          <w:p w:rsidR="000313BA" w:rsidRPr="00910E94" w:rsidRDefault="000313BA" w:rsidP="00FE15DF">
            <w:pPr>
              <w:spacing w:before="120" w:after="120"/>
              <w:rPr>
                <w:rFonts w:ascii="Arial Narrow" w:hAnsi="Arial Narrow"/>
                <w:sz w:val="20"/>
                <w:szCs w:val="20"/>
                <w:lang w:val="es-ES_tradnl"/>
              </w:rPr>
            </w:pPr>
          </w:p>
        </w:tc>
        <w:tc>
          <w:tcPr>
            <w:tcW w:w="512"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67" w:type="dxa"/>
          </w:tcPr>
          <w:p w:rsidR="000313BA" w:rsidRPr="00910E94" w:rsidRDefault="000313BA" w:rsidP="00FE15DF">
            <w:pPr>
              <w:spacing w:before="120" w:after="120"/>
              <w:rPr>
                <w:rFonts w:ascii="Arial Narrow" w:hAnsi="Arial Narrow"/>
                <w:sz w:val="20"/>
                <w:szCs w:val="20"/>
                <w:lang w:val="es-ES_tradnl"/>
              </w:rPr>
            </w:pPr>
          </w:p>
        </w:tc>
        <w:tc>
          <w:tcPr>
            <w:tcW w:w="509" w:type="dxa"/>
          </w:tcPr>
          <w:p w:rsidR="000313BA" w:rsidRPr="00910E94" w:rsidRDefault="000313BA" w:rsidP="00FE15DF">
            <w:pPr>
              <w:spacing w:before="120" w:after="120"/>
              <w:rPr>
                <w:rFonts w:ascii="Arial Narrow" w:hAnsi="Arial Narrow"/>
                <w:sz w:val="20"/>
                <w:szCs w:val="20"/>
                <w:lang w:val="es-ES_tradnl"/>
              </w:rPr>
            </w:pPr>
          </w:p>
        </w:tc>
        <w:tc>
          <w:tcPr>
            <w:tcW w:w="494" w:type="dxa"/>
          </w:tcPr>
          <w:p w:rsidR="000313BA" w:rsidRPr="00910E94" w:rsidRDefault="000313BA" w:rsidP="00FE15DF">
            <w:pPr>
              <w:spacing w:before="120" w:after="120"/>
              <w:rPr>
                <w:rFonts w:ascii="Arial Narrow" w:hAnsi="Arial Narrow"/>
                <w:sz w:val="20"/>
                <w:szCs w:val="20"/>
                <w:lang w:val="es-ES_tradnl"/>
              </w:rPr>
            </w:pPr>
          </w:p>
        </w:tc>
        <w:tc>
          <w:tcPr>
            <w:tcW w:w="531" w:type="dxa"/>
          </w:tcPr>
          <w:p w:rsidR="000313BA" w:rsidRPr="00910E94" w:rsidRDefault="000313BA" w:rsidP="00FE15DF">
            <w:pPr>
              <w:spacing w:before="120" w:after="120"/>
              <w:rPr>
                <w:rFonts w:ascii="Arial Narrow" w:hAnsi="Arial Narrow"/>
                <w:sz w:val="20"/>
                <w:szCs w:val="20"/>
                <w:lang w:val="es-ES_tradnl"/>
              </w:rPr>
            </w:pPr>
          </w:p>
        </w:tc>
        <w:tc>
          <w:tcPr>
            <w:tcW w:w="505" w:type="dxa"/>
          </w:tcPr>
          <w:p w:rsidR="000313BA" w:rsidRPr="00910E94" w:rsidRDefault="000313BA" w:rsidP="00FE15DF">
            <w:pPr>
              <w:spacing w:before="120" w:after="120"/>
              <w:rPr>
                <w:rFonts w:ascii="Arial Narrow" w:hAnsi="Arial Narrow"/>
                <w:sz w:val="20"/>
                <w:szCs w:val="20"/>
                <w:lang w:val="es-ES_tradnl"/>
              </w:rPr>
            </w:pPr>
          </w:p>
        </w:tc>
        <w:tc>
          <w:tcPr>
            <w:tcW w:w="425" w:type="dxa"/>
          </w:tcPr>
          <w:p w:rsidR="000313BA" w:rsidRPr="00910E94" w:rsidRDefault="000313BA" w:rsidP="00FE15DF">
            <w:pPr>
              <w:spacing w:before="120" w:after="120"/>
              <w:rPr>
                <w:rFonts w:ascii="Arial Narrow" w:hAnsi="Arial Narrow"/>
                <w:sz w:val="20"/>
                <w:szCs w:val="20"/>
                <w:lang w:val="es-ES_tradnl"/>
              </w:rPr>
            </w:pPr>
          </w:p>
        </w:tc>
        <w:tc>
          <w:tcPr>
            <w:tcW w:w="521" w:type="dxa"/>
          </w:tcPr>
          <w:p w:rsidR="000313BA" w:rsidRPr="00910E94" w:rsidRDefault="000313BA" w:rsidP="00FE15DF">
            <w:pPr>
              <w:spacing w:before="120" w:after="120"/>
              <w:rPr>
                <w:rFonts w:ascii="Arial Narrow" w:hAnsi="Arial Narrow"/>
                <w:sz w:val="20"/>
                <w:szCs w:val="20"/>
                <w:lang w:val="es-ES_tradnl"/>
              </w:rPr>
            </w:pPr>
          </w:p>
        </w:tc>
        <w:tc>
          <w:tcPr>
            <w:tcW w:w="501" w:type="dxa"/>
          </w:tcPr>
          <w:p w:rsidR="000313BA" w:rsidRPr="00910E94" w:rsidRDefault="000313BA" w:rsidP="00FE15DF">
            <w:pPr>
              <w:spacing w:before="120" w:after="120"/>
              <w:rPr>
                <w:rFonts w:ascii="Arial Narrow" w:hAnsi="Arial Narrow"/>
                <w:sz w:val="20"/>
                <w:szCs w:val="20"/>
                <w:lang w:val="es-ES_tradnl"/>
              </w:rPr>
            </w:pPr>
          </w:p>
        </w:tc>
        <w:tc>
          <w:tcPr>
            <w:tcW w:w="490" w:type="dxa"/>
          </w:tcPr>
          <w:p w:rsidR="000313BA" w:rsidRPr="00910E94" w:rsidRDefault="000313BA" w:rsidP="00FE15DF">
            <w:pPr>
              <w:spacing w:before="120" w:after="120"/>
              <w:rPr>
                <w:rFonts w:ascii="Arial Narrow" w:hAnsi="Arial Narrow"/>
                <w:sz w:val="20"/>
                <w:szCs w:val="20"/>
                <w:lang w:val="es-ES_tradnl"/>
              </w:rPr>
            </w:pPr>
          </w:p>
        </w:tc>
        <w:tc>
          <w:tcPr>
            <w:tcW w:w="485" w:type="dxa"/>
          </w:tcPr>
          <w:p w:rsidR="000313BA" w:rsidRPr="00910E94" w:rsidRDefault="000313BA" w:rsidP="00FE15DF">
            <w:pPr>
              <w:spacing w:before="120" w:after="120"/>
              <w:rPr>
                <w:rFonts w:ascii="Arial Narrow" w:hAnsi="Arial Narrow"/>
                <w:sz w:val="20"/>
                <w:szCs w:val="20"/>
                <w:lang w:val="es-ES_tradnl"/>
              </w:rPr>
            </w:pPr>
          </w:p>
        </w:tc>
        <w:tc>
          <w:tcPr>
            <w:tcW w:w="484" w:type="dxa"/>
          </w:tcPr>
          <w:p w:rsidR="000313BA" w:rsidRPr="00910E94" w:rsidRDefault="000313BA" w:rsidP="00FE15DF">
            <w:pPr>
              <w:spacing w:before="120" w:after="120"/>
              <w:rPr>
                <w:rFonts w:ascii="Arial Narrow" w:hAnsi="Arial Narrow"/>
                <w:sz w:val="20"/>
                <w:szCs w:val="20"/>
                <w:lang w:val="es-ES_tradnl"/>
              </w:rPr>
            </w:pPr>
          </w:p>
        </w:tc>
        <w:tc>
          <w:tcPr>
            <w:tcW w:w="482" w:type="dxa"/>
            <w:shd w:val="clear" w:color="auto" w:fill="215868" w:themeFill="accent5" w:themeFillShade="80"/>
          </w:tcPr>
          <w:p w:rsidR="000313BA" w:rsidRPr="00910E94" w:rsidRDefault="000313BA" w:rsidP="00FE15DF">
            <w:pPr>
              <w:spacing w:before="120" w:after="120"/>
              <w:rPr>
                <w:rFonts w:ascii="Arial Narrow" w:hAnsi="Arial Narrow"/>
                <w:sz w:val="20"/>
                <w:szCs w:val="20"/>
                <w:lang w:val="es-ES_tradnl"/>
              </w:rPr>
            </w:pPr>
          </w:p>
        </w:tc>
        <w:tc>
          <w:tcPr>
            <w:tcW w:w="481" w:type="dxa"/>
            <w:shd w:val="clear" w:color="auto" w:fill="215868" w:themeFill="accent5" w:themeFillShade="80"/>
          </w:tcPr>
          <w:p w:rsidR="000313BA" w:rsidRPr="00910E94" w:rsidRDefault="000313BA" w:rsidP="00FE15DF">
            <w:pPr>
              <w:spacing w:before="120" w:after="120"/>
              <w:rPr>
                <w:rFonts w:ascii="Arial Narrow" w:hAnsi="Arial Narrow"/>
                <w:sz w:val="20"/>
                <w:szCs w:val="20"/>
                <w:lang w:val="es-ES_tradnl"/>
              </w:rPr>
            </w:pPr>
          </w:p>
        </w:tc>
        <w:tc>
          <w:tcPr>
            <w:tcW w:w="480" w:type="dxa"/>
            <w:shd w:val="clear" w:color="auto" w:fill="215868" w:themeFill="accent5" w:themeFillShade="80"/>
          </w:tcPr>
          <w:p w:rsidR="000313BA" w:rsidRPr="00910E94" w:rsidRDefault="000313BA" w:rsidP="00FE15DF">
            <w:pPr>
              <w:spacing w:before="120" w:after="120"/>
              <w:rPr>
                <w:rFonts w:ascii="Arial Narrow" w:hAnsi="Arial Narrow"/>
                <w:sz w:val="20"/>
                <w:szCs w:val="20"/>
                <w:lang w:val="es-ES_tradnl"/>
              </w:rPr>
            </w:pPr>
          </w:p>
        </w:tc>
        <w:tc>
          <w:tcPr>
            <w:tcW w:w="426" w:type="dxa"/>
            <w:shd w:val="clear" w:color="auto" w:fill="215868" w:themeFill="accent5" w:themeFillShade="80"/>
          </w:tcPr>
          <w:p w:rsidR="000313BA" w:rsidRPr="00910E94" w:rsidRDefault="000313BA" w:rsidP="00FE15DF">
            <w:pPr>
              <w:spacing w:before="120" w:after="120"/>
              <w:rPr>
                <w:rFonts w:ascii="Arial Narrow" w:hAnsi="Arial Narrow"/>
                <w:sz w:val="20"/>
                <w:szCs w:val="20"/>
                <w:lang w:val="es-ES_tradnl"/>
              </w:rPr>
            </w:pPr>
          </w:p>
        </w:tc>
        <w:tc>
          <w:tcPr>
            <w:tcW w:w="508" w:type="dxa"/>
            <w:shd w:val="clear" w:color="auto" w:fill="215868" w:themeFill="accent5" w:themeFillShade="80"/>
          </w:tcPr>
          <w:p w:rsidR="000313BA" w:rsidRPr="00910E94" w:rsidRDefault="000313BA" w:rsidP="00FE15DF">
            <w:pPr>
              <w:spacing w:before="120" w:after="120"/>
              <w:rPr>
                <w:rFonts w:ascii="Arial Narrow" w:hAnsi="Arial Narrow"/>
                <w:sz w:val="20"/>
                <w:szCs w:val="20"/>
                <w:lang w:val="es-ES_tradnl"/>
              </w:rPr>
            </w:pPr>
          </w:p>
        </w:tc>
        <w:tc>
          <w:tcPr>
            <w:tcW w:w="503" w:type="dxa"/>
            <w:shd w:val="clear" w:color="auto" w:fill="215868" w:themeFill="accent5" w:themeFillShade="80"/>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215868" w:themeFill="accent5" w:themeFillShade="80"/>
          </w:tcPr>
          <w:p w:rsidR="000313BA" w:rsidRPr="00910E94" w:rsidRDefault="000313BA" w:rsidP="00FE15DF">
            <w:pPr>
              <w:spacing w:before="120" w:after="120"/>
              <w:rPr>
                <w:rFonts w:ascii="Arial Narrow" w:hAnsi="Arial Narrow"/>
                <w:sz w:val="20"/>
                <w:szCs w:val="20"/>
                <w:lang w:val="es-ES_tradnl"/>
              </w:rPr>
            </w:pPr>
          </w:p>
        </w:tc>
        <w:tc>
          <w:tcPr>
            <w:tcW w:w="567" w:type="dxa"/>
            <w:shd w:val="clear" w:color="auto" w:fill="215868" w:themeFill="accent5" w:themeFillShade="80"/>
          </w:tcPr>
          <w:p w:rsidR="000313BA" w:rsidRPr="00910E94" w:rsidRDefault="000313BA" w:rsidP="00FE15DF">
            <w:pPr>
              <w:spacing w:before="120" w:after="120"/>
              <w:rPr>
                <w:rFonts w:ascii="Arial Narrow" w:hAnsi="Arial Narrow"/>
                <w:sz w:val="20"/>
                <w:szCs w:val="20"/>
                <w:lang w:val="es-ES_tradnl"/>
              </w:rPr>
            </w:pPr>
          </w:p>
        </w:tc>
      </w:tr>
    </w:tbl>
    <w:p w:rsidR="000313BA" w:rsidRPr="00910E94" w:rsidRDefault="000313BA" w:rsidP="000313BA">
      <w:pPr>
        <w:rPr>
          <w:lang w:val="es-ES_tradnl"/>
        </w:rPr>
      </w:pPr>
    </w:p>
    <w:p w:rsidR="000313BA" w:rsidRPr="00910E94" w:rsidRDefault="000313BA" w:rsidP="0064659D">
      <w:pPr>
        <w:pStyle w:val="ListParagraph"/>
        <w:autoSpaceDE w:val="0"/>
        <w:autoSpaceDN w:val="0"/>
        <w:adjustRightInd w:val="0"/>
        <w:spacing w:before="120" w:after="120" w:line="360" w:lineRule="auto"/>
        <w:ind w:left="0"/>
        <w:contextualSpacing w:val="0"/>
        <w:jc w:val="center"/>
        <w:rPr>
          <w:rFonts w:ascii="Times New Roman" w:hAnsi="Times New Roman"/>
          <w:b/>
          <w:sz w:val="24"/>
          <w:lang w:val="es-ES_tradnl"/>
        </w:rPr>
      </w:pPr>
    </w:p>
    <w:p w:rsidR="000313BA" w:rsidRPr="00910E94" w:rsidRDefault="000313BA" w:rsidP="0064659D">
      <w:pPr>
        <w:pStyle w:val="ListParagraph"/>
        <w:autoSpaceDE w:val="0"/>
        <w:autoSpaceDN w:val="0"/>
        <w:adjustRightInd w:val="0"/>
        <w:spacing w:before="120" w:after="120" w:line="360" w:lineRule="auto"/>
        <w:ind w:left="0"/>
        <w:contextualSpacing w:val="0"/>
        <w:jc w:val="center"/>
        <w:rPr>
          <w:rFonts w:ascii="Times New Roman" w:hAnsi="Times New Roman"/>
          <w:b/>
          <w:sz w:val="24"/>
          <w:lang w:val="es-ES_tradnl"/>
        </w:rPr>
      </w:pPr>
    </w:p>
    <w:p w:rsidR="000313BA" w:rsidRPr="00910E94" w:rsidRDefault="000313BA" w:rsidP="0064659D">
      <w:pPr>
        <w:pStyle w:val="ListParagraph"/>
        <w:autoSpaceDE w:val="0"/>
        <w:autoSpaceDN w:val="0"/>
        <w:adjustRightInd w:val="0"/>
        <w:spacing w:before="120" w:after="120" w:line="360" w:lineRule="auto"/>
        <w:ind w:left="0"/>
        <w:contextualSpacing w:val="0"/>
        <w:jc w:val="center"/>
        <w:rPr>
          <w:rFonts w:ascii="Times New Roman" w:hAnsi="Times New Roman"/>
          <w:sz w:val="24"/>
          <w:szCs w:val="24"/>
          <w:lang w:val="es-ES_tradnl"/>
        </w:rPr>
        <w:sectPr w:rsidR="000313BA" w:rsidRPr="00910E94" w:rsidSect="00F53406">
          <w:footerReference w:type="first" r:id="rId24"/>
          <w:pgSz w:w="16839" w:h="11907" w:orient="landscape" w:code="9"/>
          <w:pgMar w:top="1440" w:right="1440" w:bottom="1440" w:left="1440" w:header="720" w:footer="720" w:gutter="0"/>
          <w:cols w:space="720"/>
          <w:titlePg/>
          <w:docGrid w:linePitch="360"/>
        </w:sectPr>
      </w:pPr>
    </w:p>
    <w:p w:rsidR="00E1060C" w:rsidRPr="00910E94" w:rsidRDefault="00E1060C" w:rsidP="00E1060C">
      <w:pPr>
        <w:jc w:val="center"/>
        <w:rPr>
          <w:rFonts w:ascii="Times New Roman" w:hAnsi="Times New Roman" w:cs="Times New Roman"/>
          <w:b/>
          <w:sz w:val="24"/>
          <w:szCs w:val="24"/>
          <w:lang w:val="es-ES_tradnl"/>
        </w:rPr>
      </w:pPr>
      <w:r w:rsidRPr="00910E94">
        <w:rPr>
          <w:rFonts w:ascii="Times New Roman" w:hAnsi="Times New Roman"/>
          <w:b/>
          <w:sz w:val="24"/>
          <w:lang w:val="es-ES_tradnl"/>
        </w:rPr>
        <w:lastRenderedPageBreak/>
        <w:t>Anexo II</w:t>
      </w:r>
    </w:p>
    <w:p w:rsidR="0064659D" w:rsidRPr="00910E94" w:rsidRDefault="0064659D" w:rsidP="0064659D">
      <w:pPr>
        <w:rPr>
          <w:rFonts w:ascii="Times New Roman" w:hAnsi="Times New Roman" w:cs="Times New Roman"/>
          <w:b/>
          <w:sz w:val="24"/>
          <w:szCs w:val="24"/>
          <w:lang w:val="es-ES_tradnl"/>
        </w:rPr>
      </w:pPr>
      <w:r w:rsidRPr="00910E94">
        <w:rPr>
          <w:rFonts w:ascii="Times New Roman" w:hAnsi="Times New Roman"/>
          <w:b/>
          <w:sz w:val="24"/>
          <w:lang w:val="es-ES_tradnl"/>
        </w:rPr>
        <w:t>Estado de aplicación por parte de la OMPI de las recomendaciones del Auditor Externo</w:t>
      </w:r>
    </w:p>
    <w:tbl>
      <w:tblPr>
        <w:tblW w:w="5000"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50"/>
        <w:gridCol w:w="2351"/>
        <w:gridCol w:w="3636"/>
        <w:gridCol w:w="2006"/>
      </w:tblGrid>
      <w:tr w:rsidR="0064659D" w:rsidRPr="00910E94" w:rsidTr="00B3220A">
        <w:trPr>
          <w:trHeight w:val="273"/>
        </w:trPr>
        <w:tc>
          <w:tcPr>
            <w:tcW w:w="676" w:type="pct"/>
            <w:shd w:val="clear" w:color="auto" w:fill="auto"/>
            <w:hideMark/>
          </w:tcPr>
          <w:p w:rsidR="0064659D" w:rsidRPr="00910E94" w:rsidRDefault="0064659D" w:rsidP="0064659D">
            <w:pPr>
              <w:rPr>
                <w:rFonts w:ascii="Times New Roman" w:hAnsi="Times New Roman" w:cs="Times New Roman"/>
                <w:b/>
                <w:bCs/>
                <w:sz w:val="24"/>
                <w:szCs w:val="24"/>
                <w:lang w:val="es-ES_tradnl"/>
              </w:rPr>
            </w:pPr>
            <w:r w:rsidRPr="00910E94">
              <w:rPr>
                <w:rFonts w:ascii="Times New Roman" w:hAnsi="Times New Roman"/>
                <w:b/>
                <w:sz w:val="24"/>
                <w:lang w:val="es-ES_tradnl"/>
              </w:rPr>
              <w:t>Auditoría</w:t>
            </w:r>
          </w:p>
        </w:tc>
        <w:tc>
          <w:tcPr>
            <w:tcW w:w="1272" w:type="pct"/>
            <w:shd w:val="clear" w:color="auto" w:fill="auto"/>
            <w:hideMark/>
          </w:tcPr>
          <w:p w:rsidR="0064659D" w:rsidRPr="00910E94" w:rsidRDefault="0064659D" w:rsidP="0064659D">
            <w:pPr>
              <w:rPr>
                <w:rFonts w:ascii="Times New Roman" w:hAnsi="Times New Roman" w:cs="Times New Roman"/>
                <w:b/>
                <w:bCs/>
                <w:sz w:val="24"/>
                <w:szCs w:val="24"/>
                <w:lang w:val="es-ES_tradnl"/>
              </w:rPr>
            </w:pPr>
            <w:r w:rsidRPr="00910E94">
              <w:rPr>
                <w:rFonts w:ascii="Times New Roman" w:hAnsi="Times New Roman"/>
                <w:b/>
                <w:sz w:val="24"/>
                <w:lang w:val="es-ES_tradnl"/>
              </w:rPr>
              <w:t>Recomendación</w:t>
            </w:r>
          </w:p>
        </w:tc>
        <w:tc>
          <w:tcPr>
            <w:tcW w:w="1967" w:type="pct"/>
            <w:shd w:val="clear" w:color="auto" w:fill="auto"/>
            <w:hideMark/>
          </w:tcPr>
          <w:p w:rsidR="0064659D" w:rsidRPr="00910E94" w:rsidRDefault="0064659D" w:rsidP="0064659D">
            <w:pPr>
              <w:rPr>
                <w:rFonts w:ascii="Times New Roman" w:hAnsi="Times New Roman" w:cs="Times New Roman"/>
                <w:b/>
                <w:bCs/>
                <w:sz w:val="24"/>
                <w:szCs w:val="24"/>
                <w:lang w:val="es-ES_tradnl"/>
              </w:rPr>
            </w:pPr>
            <w:r w:rsidRPr="00910E94">
              <w:rPr>
                <w:rFonts w:ascii="Times New Roman" w:hAnsi="Times New Roman"/>
                <w:b/>
                <w:sz w:val="24"/>
                <w:lang w:val="es-ES_tradnl"/>
              </w:rPr>
              <w:t>Respuesta de la Administración</w:t>
            </w:r>
          </w:p>
        </w:tc>
        <w:tc>
          <w:tcPr>
            <w:tcW w:w="1085" w:type="pct"/>
            <w:shd w:val="clear" w:color="auto" w:fill="auto"/>
            <w:hideMark/>
          </w:tcPr>
          <w:p w:rsidR="0064659D" w:rsidRPr="00910E94" w:rsidRDefault="0064659D" w:rsidP="0064659D">
            <w:pPr>
              <w:rPr>
                <w:rFonts w:ascii="Times New Roman" w:hAnsi="Times New Roman" w:cs="Times New Roman"/>
                <w:b/>
                <w:bCs/>
                <w:sz w:val="24"/>
                <w:szCs w:val="24"/>
                <w:lang w:val="es-ES_tradnl"/>
              </w:rPr>
            </w:pPr>
            <w:r w:rsidRPr="00910E94">
              <w:rPr>
                <w:rFonts w:ascii="Times New Roman" w:hAnsi="Times New Roman"/>
                <w:b/>
                <w:sz w:val="24"/>
                <w:lang w:val="es-ES_tradnl"/>
              </w:rPr>
              <w:t>Observaciones</w:t>
            </w:r>
          </w:p>
        </w:tc>
      </w:tr>
      <w:tr w:rsidR="0064659D" w:rsidRPr="00910E94" w:rsidTr="00B3220A">
        <w:trPr>
          <w:trHeight w:val="1828"/>
        </w:trPr>
        <w:tc>
          <w:tcPr>
            <w:tcW w:w="676" w:type="pct"/>
            <w:shd w:val="clear" w:color="auto" w:fill="auto"/>
            <w:hideMark/>
          </w:tcPr>
          <w:p w:rsidR="00676820" w:rsidRPr="00910E94" w:rsidRDefault="0064659D" w:rsidP="0064659D">
            <w:pPr>
              <w:rPr>
                <w:rFonts w:ascii="Times New Roman" w:hAnsi="Times New Roman" w:cs="Times New Roman"/>
                <w:sz w:val="24"/>
                <w:szCs w:val="24"/>
                <w:lang w:val="es-ES_tradnl"/>
              </w:rPr>
            </w:pPr>
            <w:r w:rsidRPr="00910E94">
              <w:rPr>
                <w:rFonts w:ascii="Times New Roman" w:hAnsi="Times New Roman"/>
                <w:sz w:val="24"/>
                <w:lang w:val="es-ES_tradnl"/>
              </w:rPr>
              <w:t>Auditoría financiera</w:t>
            </w:r>
          </w:p>
          <w:p w:rsidR="00676820" w:rsidRPr="00910E94" w:rsidRDefault="00676820" w:rsidP="00676820">
            <w:pPr>
              <w:rPr>
                <w:rFonts w:ascii="Times New Roman" w:hAnsi="Times New Roman" w:cs="Times New Roman"/>
                <w:sz w:val="24"/>
                <w:szCs w:val="24"/>
                <w:lang w:val="es-ES_tradnl"/>
              </w:rPr>
            </w:pPr>
          </w:p>
          <w:p w:rsidR="00676820" w:rsidRPr="00910E94" w:rsidRDefault="00676820" w:rsidP="00676820">
            <w:pPr>
              <w:rPr>
                <w:rFonts w:ascii="Times New Roman" w:hAnsi="Times New Roman" w:cs="Times New Roman"/>
                <w:sz w:val="24"/>
                <w:szCs w:val="24"/>
                <w:lang w:val="es-ES_tradnl"/>
              </w:rPr>
            </w:pPr>
          </w:p>
          <w:p w:rsidR="00676820" w:rsidRPr="00910E94" w:rsidRDefault="00676820" w:rsidP="00676820">
            <w:pPr>
              <w:rPr>
                <w:rFonts w:ascii="Times New Roman" w:hAnsi="Times New Roman" w:cs="Times New Roman"/>
                <w:sz w:val="24"/>
                <w:szCs w:val="24"/>
                <w:lang w:val="es-ES_tradnl"/>
              </w:rPr>
            </w:pPr>
          </w:p>
          <w:p w:rsidR="0064659D" w:rsidRPr="00910E94" w:rsidRDefault="0064659D" w:rsidP="00676820">
            <w:pPr>
              <w:rPr>
                <w:rFonts w:ascii="Times New Roman" w:hAnsi="Times New Roman" w:cs="Times New Roman"/>
                <w:sz w:val="24"/>
                <w:szCs w:val="24"/>
                <w:lang w:val="es-ES_tradnl"/>
              </w:rPr>
            </w:pPr>
          </w:p>
        </w:tc>
        <w:tc>
          <w:tcPr>
            <w:tcW w:w="1272" w:type="pct"/>
            <w:shd w:val="clear" w:color="auto" w:fill="auto"/>
            <w:hideMark/>
          </w:tcPr>
          <w:p w:rsidR="0064659D" w:rsidRPr="00910E94"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t>Conviene que la Administración sopese la elaboración y aplicación de una política de gestión de tesorería y efectivo apropiada, en la que se incluyan los préstamos, a los fines de mejorar la gestión financiera.</w:t>
            </w:r>
          </w:p>
        </w:tc>
        <w:tc>
          <w:tcPr>
            <w:tcW w:w="1967" w:type="pct"/>
            <w:shd w:val="clear" w:color="auto" w:fill="auto"/>
            <w:hideMark/>
          </w:tcPr>
          <w:p w:rsidR="0064659D" w:rsidRPr="00910E94" w:rsidRDefault="0064659D" w:rsidP="00EB2FD6">
            <w:pPr>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A principios </w:t>
            </w:r>
            <w:r w:rsidR="00CC3D7A" w:rsidRPr="00910E94">
              <w:rPr>
                <w:rFonts w:ascii="Times New Roman" w:hAnsi="Times New Roman"/>
                <w:sz w:val="24"/>
                <w:lang w:val="es-ES_tradnl"/>
              </w:rPr>
              <w:t>de 20</w:t>
            </w:r>
            <w:r w:rsidRPr="00910E94">
              <w:rPr>
                <w:rFonts w:ascii="Times New Roman" w:hAnsi="Times New Roman"/>
                <w:sz w:val="24"/>
                <w:lang w:val="es-ES_tradnl"/>
              </w:rPr>
              <w:t>14, expertos externos en tesorería elaboraron una política de tesorería y gestión de efectivo, que fue presentada a la OMPI</w:t>
            </w:r>
            <w:r w:rsidR="00344EE2">
              <w:rPr>
                <w:rFonts w:ascii="Times New Roman" w:hAnsi="Times New Roman"/>
                <w:sz w:val="24"/>
                <w:lang w:val="es-ES_tradnl"/>
              </w:rPr>
              <w:t xml:space="preserve">.  </w:t>
            </w:r>
            <w:r w:rsidRPr="00910E94">
              <w:rPr>
                <w:rFonts w:ascii="Times New Roman" w:hAnsi="Times New Roman"/>
                <w:sz w:val="24"/>
                <w:lang w:val="es-ES_tradnl"/>
              </w:rPr>
              <w:t xml:space="preserve">Algunas semanas después, las autoridades suizas comunicaron a la Organización que ya no sería posible mantener fondos depositados ante dichas autoridades y que tendrían que ser retirados a más tardar en diciembre </w:t>
            </w:r>
            <w:r w:rsidR="00CC3D7A" w:rsidRPr="00910E94">
              <w:rPr>
                <w:rFonts w:ascii="Times New Roman" w:hAnsi="Times New Roman"/>
                <w:sz w:val="24"/>
                <w:lang w:val="es-ES_tradnl"/>
              </w:rPr>
              <w:t>de 20</w:t>
            </w:r>
            <w:r w:rsidRPr="00910E94">
              <w:rPr>
                <w:rFonts w:ascii="Times New Roman" w:hAnsi="Times New Roman"/>
                <w:sz w:val="24"/>
                <w:lang w:val="es-ES_tradnl"/>
              </w:rPr>
              <w:t>15</w:t>
            </w:r>
            <w:r w:rsidR="00344EE2">
              <w:rPr>
                <w:rFonts w:ascii="Times New Roman" w:hAnsi="Times New Roman"/>
                <w:sz w:val="24"/>
                <w:lang w:val="es-ES_tradnl"/>
              </w:rPr>
              <w:t xml:space="preserve">.  </w:t>
            </w:r>
            <w:r w:rsidRPr="00910E94">
              <w:rPr>
                <w:rFonts w:ascii="Times New Roman" w:hAnsi="Times New Roman"/>
                <w:sz w:val="24"/>
                <w:lang w:val="es-ES_tradnl"/>
              </w:rPr>
              <w:t>Este acontecimiento requiere introducir cambios significativos en la política de inversiones y posiblemente también en la política de riesgo de contraparte, que están comprendidas en la política de tesorería y gestión de efectivo</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En consecuencia, en septiembre </w:t>
            </w:r>
            <w:r w:rsidR="00CC3D7A" w:rsidRPr="00910E94">
              <w:rPr>
                <w:rFonts w:ascii="Times New Roman" w:hAnsi="Times New Roman"/>
                <w:sz w:val="24"/>
                <w:lang w:val="es-ES_tradnl"/>
              </w:rPr>
              <w:t>de 20</w:t>
            </w:r>
            <w:r w:rsidRPr="00910E94">
              <w:rPr>
                <w:rFonts w:ascii="Times New Roman" w:hAnsi="Times New Roman"/>
                <w:sz w:val="24"/>
                <w:lang w:val="es-ES_tradnl"/>
              </w:rPr>
              <w:t>14 se remitió el documento WO/PBC/22/19 al PBC solicitando orientaciones acerca de la modificación de la política de inversiones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El PBC decidió pedir </w:t>
            </w:r>
            <w:r w:rsidR="00693071" w:rsidRPr="00910E94">
              <w:rPr>
                <w:rFonts w:ascii="Times New Roman" w:hAnsi="Times New Roman"/>
                <w:sz w:val="24"/>
                <w:lang w:val="es-ES_tradnl"/>
              </w:rPr>
              <w:t>“</w:t>
            </w:r>
            <w:r w:rsidRPr="00910E94">
              <w:rPr>
                <w:rFonts w:ascii="Times New Roman" w:hAnsi="Times New Roman"/>
                <w:sz w:val="24"/>
                <w:lang w:val="es-ES_tradnl"/>
              </w:rPr>
              <w:t xml:space="preserve">a la Secretaría que para su próxima sesión presente una propuesta detallada que contenga una versión revisada de la política, una vez que dicha propuesta haya sido examinada y autorizada por el Comité Asesor en materia de Inversiones y que lleve a cabo un estudio de gestión del activo y el pasivo y presente una política de inversiones específica para la financiación del seguro médico tras la separación del servicio, una vez </w:t>
            </w:r>
            <w:r w:rsidRPr="00910E94">
              <w:rPr>
                <w:rFonts w:ascii="Times New Roman" w:hAnsi="Times New Roman"/>
                <w:sz w:val="24"/>
                <w:lang w:val="es-ES_tradnl"/>
              </w:rPr>
              <w:lastRenderedPageBreak/>
              <w:t>que haya sido examinada y aprobada por el Comité Asesor en materia de Inversiones</w:t>
            </w:r>
            <w:r w:rsidR="00693071" w:rsidRPr="00910E94">
              <w:rPr>
                <w:rFonts w:ascii="Times New Roman" w:hAnsi="Times New Roman"/>
                <w:sz w:val="24"/>
                <w:lang w:val="es-ES_tradnl"/>
              </w:rPr>
              <w:t>”</w:t>
            </w:r>
            <w:r w:rsidR="00344EE2">
              <w:rPr>
                <w:rFonts w:ascii="Times New Roman" w:hAnsi="Times New Roman"/>
                <w:sz w:val="24"/>
                <w:lang w:val="es-ES_tradnl"/>
              </w:rPr>
              <w:t xml:space="preserve">.  </w:t>
            </w:r>
            <w:r w:rsidRPr="00910E94">
              <w:rPr>
                <w:rFonts w:ascii="Times New Roman" w:hAnsi="Times New Roman"/>
                <w:sz w:val="24"/>
                <w:lang w:val="es-ES_tradnl"/>
              </w:rPr>
              <w:t>Actualmente, se está llevando a cabo la labor de revisar la política de inversiones y elaborar una política de inversiones específica para la financiación del seguro médico tras la separación del servicio</w:t>
            </w:r>
            <w:r w:rsidR="00344EE2">
              <w:rPr>
                <w:rFonts w:ascii="Times New Roman" w:hAnsi="Times New Roman"/>
                <w:sz w:val="24"/>
                <w:lang w:val="es-ES_tradnl"/>
              </w:rPr>
              <w:t xml:space="preserve">.  </w:t>
            </w:r>
            <w:r w:rsidRPr="00910E94">
              <w:rPr>
                <w:rFonts w:ascii="Times New Roman" w:hAnsi="Times New Roman"/>
                <w:sz w:val="24"/>
                <w:lang w:val="es-ES_tradnl"/>
              </w:rPr>
              <w:t>El Comité Asesor en materia de Inversiones organizará una o varias reuniones con expertos externos.</w:t>
            </w:r>
          </w:p>
        </w:tc>
        <w:tc>
          <w:tcPr>
            <w:tcW w:w="1085" w:type="pct"/>
            <w:shd w:val="clear" w:color="auto" w:fill="auto"/>
            <w:hideMark/>
          </w:tcPr>
          <w:p w:rsidR="0064659D" w:rsidRPr="00910E94" w:rsidRDefault="0064659D" w:rsidP="0064659D">
            <w:pPr>
              <w:rPr>
                <w:rFonts w:ascii="Times New Roman" w:hAnsi="Times New Roman" w:cs="Times New Roman"/>
                <w:b/>
                <w:bCs/>
                <w:iCs/>
                <w:sz w:val="24"/>
                <w:szCs w:val="24"/>
                <w:lang w:val="es-ES_tradnl"/>
              </w:rPr>
            </w:pPr>
            <w:r w:rsidRPr="00910E94">
              <w:rPr>
                <w:rFonts w:ascii="Times New Roman" w:hAnsi="Times New Roman"/>
                <w:b/>
                <w:sz w:val="24"/>
                <w:lang w:val="es-ES_tradnl"/>
              </w:rPr>
              <w:lastRenderedPageBreak/>
              <w:t>Labor en curso</w:t>
            </w:r>
          </w:p>
        </w:tc>
      </w:tr>
      <w:tr w:rsidR="0064659D" w:rsidRPr="00910E94" w:rsidTr="00B3220A">
        <w:trPr>
          <w:trHeight w:val="65"/>
        </w:trPr>
        <w:tc>
          <w:tcPr>
            <w:tcW w:w="676" w:type="pct"/>
            <w:shd w:val="clear" w:color="auto" w:fill="auto"/>
            <w:hideMark/>
          </w:tcPr>
          <w:p w:rsidR="0064659D" w:rsidRPr="00910E94" w:rsidRDefault="0064659D" w:rsidP="0064659D">
            <w:pPr>
              <w:rPr>
                <w:rFonts w:ascii="Times New Roman" w:hAnsi="Times New Roman" w:cs="Times New Roman"/>
                <w:sz w:val="24"/>
                <w:szCs w:val="24"/>
                <w:lang w:val="es-ES_tradnl"/>
              </w:rPr>
            </w:pPr>
            <w:r w:rsidRPr="00910E94">
              <w:rPr>
                <w:rFonts w:ascii="Times New Roman" w:hAnsi="Times New Roman"/>
                <w:sz w:val="24"/>
                <w:lang w:val="es-ES_tradnl"/>
              </w:rPr>
              <w:lastRenderedPageBreak/>
              <w:t>Auditoría financiera</w:t>
            </w:r>
          </w:p>
        </w:tc>
        <w:tc>
          <w:tcPr>
            <w:tcW w:w="1272" w:type="pct"/>
            <w:shd w:val="clear" w:color="auto" w:fill="auto"/>
            <w:hideMark/>
          </w:tcPr>
          <w:p w:rsidR="0064659D" w:rsidRPr="00910E94"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t>Conviene que la OMPI examine la posibilidad de verificar anualmente su inventario de activos de gran valor.</w:t>
            </w:r>
          </w:p>
        </w:tc>
        <w:tc>
          <w:tcPr>
            <w:tcW w:w="1967" w:type="pct"/>
            <w:shd w:val="clear" w:color="auto" w:fill="auto"/>
            <w:hideMark/>
          </w:tcPr>
          <w:p w:rsidR="0064659D" w:rsidRPr="00910E94" w:rsidRDefault="0064659D" w:rsidP="00B50B1F">
            <w:pPr>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La verificación anual de los activos de </w:t>
            </w:r>
            <w:r w:rsidR="00B50B1F">
              <w:rPr>
                <w:rFonts w:ascii="Times New Roman" w:hAnsi="Times New Roman"/>
                <w:sz w:val="24"/>
                <w:lang w:val="es-ES_tradnl"/>
              </w:rPr>
              <w:t>gran</w:t>
            </w:r>
            <w:r w:rsidRPr="00910E94">
              <w:rPr>
                <w:rFonts w:ascii="Times New Roman" w:hAnsi="Times New Roman"/>
                <w:sz w:val="24"/>
                <w:lang w:val="es-ES_tradnl"/>
              </w:rPr>
              <w:t xml:space="preserve"> valor fue realizada internamente en mayo </w:t>
            </w:r>
            <w:r w:rsidR="00CC3D7A" w:rsidRPr="00910E94">
              <w:rPr>
                <w:rFonts w:ascii="Times New Roman" w:hAnsi="Times New Roman"/>
                <w:sz w:val="24"/>
                <w:lang w:val="es-ES_tradnl"/>
              </w:rPr>
              <w:t>de 20</w:t>
            </w:r>
            <w:r w:rsidRPr="00910E94">
              <w:rPr>
                <w:rFonts w:ascii="Times New Roman" w:hAnsi="Times New Roman"/>
                <w:sz w:val="24"/>
                <w:lang w:val="es-ES_tradnl"/>
              </w:rPr>
              <w:t>14, con lo que esta recomendación ha sido aplicada</w:t>
            </w:r>
            <w:r w:rsidR="00344EE2">
              <w:rPr>
                <w:rFonts w:ascii="Times New Roman" w:hAnsi="Times New Roman"/>
                <w:sz w:val="24"/>
                <w:lang w:val="es-ES_tradnl"/>
              </w:rPr>
              <w:t xml:space="preserve">.  </w:t>
            </w:r>
          </w:p>
        </w:tc>
        <w:tc>
          <w:tcPr>
            <w:tcW w:w="1085" w:type="pct"/>
            <w:shd w:val="clear" w:color="auto" w:fill="auto"/>
            <w:hideMark/>
          </w:tcPr>
          <w:p w:rsidR="0064659D" w:rsidRPr="00910E94" w:rsidRDefault="0064659D" w:rsidP="0064659D">
            <w:pPr>
              <w:rPr>
                <w:rFonts w:ascii="Times New Roman" w:hAnsi="Times New Roman" w:cs="Times New Roman"/>
                <w:b/>
                <w:bCs/>
                <w:iCs/>
                <w:sz w:val="24"/>
                <w:szCs w:val="24"/>
                <w:lang w:val="es-ES_tradnl"/>
              </w:rPr>
            </w:pPr>
            <w:r w:rsidRPr="00910E94">
              <w:rPr>
                <w:rFonts w:ascii="Times New Roman" w:hAnsi="Times New Roman"/>
                <w:b/>
                <w:sz w:val="24"/>
                <w:lang w:val="es-ES_tradnl"/>
              </w:rPr>
              <w:t>La recomendación puede darse por aplicada.</w:t>
            </w:r>
          </w:p>
        </w:tc>
      </w:tr>
      <w:tr w:rsidR="0064659D" w:rsidRPr="00910E94" w:rsidTr="00B3220A">
        <w:trPr>
          <w:trHeight w:val="400"/>
        </w:trPr>
        <w:tc>
          <w:tcPr>
            <w:tcW w:w="676" w:type="pct"/>
            <w:shd w:val="clear" w:color="auto" w:fill="auto"/>
            <w:hideMark/>
          </w:tcPr>
          <w:p w:rsidR="0064659D" w:rsidRPr="00910E94" w:rsidRDefault="0064659D" w:rsidP="0064659D">
            <w:pPr>
              <w:rPr>
                <w:rFonts w:ascii="Times New Roman" w:hAnsi="Times New Roman" w:cs="Times New Roman"/>
                <w:sz w:val="24"/>
                <w:szCs w:val="24"/>
                <w:lang w:val="es-ES_tradnl"/>
              </w:rPr>
            </w:pPr>
            <w:r w:rsidRPr="00910E94">
              <w:rPr>
                <w:rFonts w:ascii="Times New Roman" w:hAnsi="Times New Roman"/>
                <w:sz w:val="24"/>
                <w:lang w:val="es-ES_tradnl"/>
              </w:rPr>
              <w:t>Auditoría financiera</w:t>
            </w:r>
          </w:p>
        </w:tc>
        <w:tc>
          <w:tcPr>
            <w:tcW w:w="1272" w:type="pct"/>
            <w:shd w:val="clear" w:color="auto" w:fill="auto"/>
            <w:hideMark/>
          </w:tcPr>
          <w:p w:rsidR="0064659D" w:rsidRPr="00910E94" w:rsidRDefault="00EB2FD6" w:rsidP="00B3220A">
            <w:pPr>
              <w:rPr>
                <w:rFonts w:ascii="Times New Roman" w:hAnsi="Times New Roman" w:cs="Times New Roman"/>
                <w:sz w:val="24"/>
                <w:szCs w:val="24"/>
                <w:lang w:val="es-ES_tradnl"/>
              </w:rPr>
            </w:pPr>
            <w:r w:rsidRPr="00910E94">
              <w:rPr>
                <w:rFonts w:ascii="Times New Roman" w:hAnsi="Times New Roman"/>
                <w:sz w:val="24"/>
                <w:lang w:val="es-ES_tradnl"/>
              </w:rPr>
              <w:t>Los servicios financieros deberían examinar y poner al día el marco de gestión de riesgos en vigor con el fin de realizar registros de riesgo y controles internos adecuados en los departamentos en los que no se realizan o sólo se realizan parcialmente.</w:t>
            </w:r>
          </w:p>
        </w:tc>
        <w:tc>
          <w:tcPr>
            <w:tcW w:w="1967" w:type="pct"/>
            <w:shd w:val="clear" w:color="auto" w:fill="auto"/>
            <w:hideMark/>
          </w:tcPr>
          <w:p w:rsidR="0064659D" w:rsidRPr="00910E94" w:rsidRDefault="0064659D" w:rsidP="00EB2FD6">
            <w:pPr>
              <w:jc w:val="both"/>
              <w:rPr>
                <w:rFonts w:ascii="Times New Roman" w:hAnsi="Times New Roman" w:cs="Times New Roman"/>
                <w:sz w:val="24"/>
                <w:szCs w:val="24"/>
                <w:lang w:val="es-ES_tradnl"/>
              </w:rPr>
            </w:pPr>
            <w:r w:rsidRPr="00910E94">
              <w:rPr>
                <w:rFonts w:ascii="Times New Roman" w:hAnsi="Times New Roman"/>
                <w:sz w:val="24"/>
                <w:lang w:val="es-ES_tradnl"/>
              </w:rPr>
              <w:t>La estructura/seguimiento general se ha implantado, con una tasa de finalización de</w:t>
            </w:r>
            <w:r w:rsidR="00EC215B">
              <w:rPr>
                <w:rFonts w:ascii="Times New Roman" w:hAnsi="Times New Roman"/>
                <w:sz w:val="24"/>
                <w:lang w:val="es-ES_tradnl"/>
              </w:rPr>
              <w:t>:</w:t>
            </w:r>
          </w:p>
          <w:p w:rsidR="0064659D" w:rsidRPr="00910E94" w:rsidRDefault="00693071" w:rsidP="005427E7">
            <w:pPr>
              <w:numPr>
                <w:ilvl w:val="0"/>
                <w:numId w:val="5"/>
              </w:numPr>
              <w:spacing w:after="0" w:line="240" w:lineRule="auto"/>
              <w:ind w:left="357" w:hanging="357"/>
              <w:rPr>
                <w:rFonts w:ascii="Times New Roman" w:hAnsi="Times New Roman" w:cs="Times New Roman"/>
                <w:sz w:val="24"/>
                <w:szCs w:val="24"/>
                <w:lang w:val="es-ES_tradnl"/>
              </w:rPr>
            </w:pPr>
            <w:r w:rsidRPr="00910E94">
              <w:rPr>
                <w:rFonts w:ascii="Times New Roman" w:hAnsi="Times New Roman"/>
                <w:sz w:val="24"/>
                <w:lang w:val="es-ES_tradnl"/>
              </w:rPr>
              <w:t>Ingresos, finalización en un </w:t>
            </w:r>
            <w:r w:rsidR="0064659D" w:rsidRPr="00910E94">
              <w:rPr>
                <w:rFonts w:ascii="Times New Roman" w:hAnsi="Times New Roman"/>
                <w:sz w:val="24"/>
                <w:lang w:val="es-ES_tradnl"/>
              </w:rPr>
              <w:t>80%</w:t>
            </w:r>
            <w:r w:rsidR="0064659D" w:rsidRPr="00910E94">
              <w:rPr>
                <w:rFonts w:ascii="Times New Roman" w:hAnsi="Times New Roman"/>
                <w:i/>
                <w:sz w:val="24"/>
                <w:lang w:val="es-ES_tradnl"/>
              </w:rPr>
              <w:t>.</w:t>
            </w:r>
          </w:p>
          <w:p w:rsidR="0064659D" w:rsidRPr="00910E94" w:rsidRDefault="0064659D" w:rsidP="005427E7">
            <w:pPr>
              <w:numPr>
                <w:ilvl w:val="0"/>
                <w:numId w:val="5"/>
              </w:numPr>
              <w:spacing w:after="0" w:line="240" w:lineRule="auto"/>
              <w:ind w:left="357" w:hanging="357"/>
              <w:rPr>
                <w:rFonts w:ascii="Times New Roman" w:hAnsi="Times New Roman" w:cs="Times New Roman"/>
                <w:sz w:val="24"/>
                <w:szCs w:val="24"/>
                <w:lang w:val="es-ES_tradnl"/>
              </w:rPr>
            </w:pPr>
            <w:r w:rsidRPr="00910E94">
              <w:rPr>
                <w:rFonts w:ascii="Times New Roman" w:hAnsi="Times New Roman"/>
                <w:sz w:val="24"/>
                <w:lang w:val="es-ES_tradnl"/>
              </w:rPr>
              <w:t>Gastos-</w:t>
            </w:r>
          </w:p>
          <w:p w:rsidR="0064659D" w:rsidRPr="00910E94" w:rsidRDefault="0064659D" w:rsidP="00693071">
            <w:pPr>
              <w:rPr>
                <w:rFonts w:ascii="Times New Roman" w:hAnsi="Times New Roman" w:cs="Times New Roman"/>
                <w:sz w:val="24"/>
                <w:szCs w:val="24"/>
                <w:lang w:val="es-ES_tradnl"/>
              </w:rPr>
            </w:pPr>
            <w:r w:rsidRPr="00910E94">
              <w:rPr>
                <w:rFonts w:ascii="Times New Roman" w:hAnsi="Times New Roman"/>
                <w:sz w:val="24"/>
                <w:lang w:val="es-ES_tradnl"/>
              </w:rPr>
              <w:t>No salariales, finalizado, salariales finalización en un</w:t>
            </w:r>
            <w:r w:rsidR="00693071" w:rsidRPr="00910E94">
              <w:rPr>
                <w:rFonts w:ascii="Times New Roman" w:hAnsi="Times New Roman"/>
                <w:sz w:val="24"/>
                <w:lang w:val="es-ES_tradnl"/>
              </w:rPr>
              <w:t> </w:t>
            </w:r>
            <w:r w:rsidRPr="00910E94">
              <w:rPr>
                <w:rFonts w:ascii="Times New Roman" w:hAnsi="Times New Roman"/>
                <w:sz w:val="24"/>
                <w:lang w:val="es-ES_tradnl"/>
              </w:rPr>
              <w:t>50</w:t>
            </w:r>
            <w:r w:rsidRPr="00910E94">
              <w:rPr>
                <w:rFonts w:ascii="Times New Roman" w:hAnsi="Times New Roman"/>
                <w:i/>
                <w:sz w:val="24"/>
                <w:lang w:val="es-ES_tradnl"/>
              </w:rPr>
              <w:t>%</w:t>
            </w:r>
            <w:r w:rsidRPr="00910E94">
              <w:rPr>
                <w:rFonts w:ascii="Times New Roman" w:hAnsi="Times New Roman"/>
                <w:sz w:val="24"/>
                <w:lang w:val="es-ES_tradnl"/>
              </w:rPr>
              <w:t xml:space="preserve"> (por los nuevos procesos en el módulo de recursos humanos)</w:t>
            </w:r>
          </w:p>
          <w:p w:rsidR="0064659D" w:rsidRPr="00910E94" w:rsidRDefault="0064659D" w:rsidP="005427E7">
            <w:pPr>
              <w:numPr>
                <w:ilvl w:val="0"/>
                <w:numId w:val="5"/>
              </w:numPr>
              <w:spacing w:after="0" w:line="240" w:lineRule="auto"/>
              <w:ind w:left="357" w:hanging="357"/>
              <w:rPr>
                <w:rFonts w:ascii="Times New Roman" w:hAnsi="Times New Roman" w:cs="Times New Roman"/>
                <w:sz w:val="24"/>
                <w:szCs w:val="24"/>
                <w:lang w:val="es-ES_tradnl"/>
              </w:rPr>
            </w:pPr>
            <w:r w:rsidRPr="00910E94">
              <w:rPr>
                <w:rFonts w:ascii="Times New Roman" w:hAnsi="Times New Roman"/>
                <w:sz w:val="24"/>
                <w:lang w:val="es-ES_tradnl"/>
              </w:rPr>
              <w:t xml:space="preserve">Tesorería, finalizado </w:t>
            </w:r>
          </w:p>
          <w:p w:rsidR="0064659D" w:rsidRPr="00910E94" w:rsidRDefault="0064659D" w:rsidP="005427E7">
            <w:pPr>
              <w:numPr>
                <w:ilvl w:val="0"/>
                <w:numId w:val="5"/>
              </w:numPr>
              <w:spacing w:after="0" w:line="240" w:lineRule="auto"/>
              <w:ind w:left="357" w:hanging="357"/>
              <w:rPr>
                <w:rFonts w:ascii="Times New Roman" w:hAnsi="Times New Roman" w:cs="Times New Roman"/>
                <w:sz w:val="24"/>
                <w:szCs w:val="24"/>
                <w:lang w:val="es-ES_tradnl"/>
              </w:rPr>
            </w:pPr>
            <w:r w:rsidRPr="00910E94">
              <w:rPr>
                <w:rFonts w:ascii="Times New Roman" w:hAnsi="Times New Roman"/>
                <w:sz w:val="24"/>
                <w:lang w:val="es-ES_tradnl"/>
              </w:rPr>
              <w:t>Otros procesos financieros (cierre, etc.) 60</w:t>
            </w:r>
            <w:r w:rsidRPr="00910E94">
              <w:rPr>
                <w:rFonts w:ascii="Times New Roman" w:hAnsi="Times New Roman"/>
                <w:i/>
                <w:sz w:val="24"/>
                <w:lang w:val="es-ES_tradnl"/>
              </w:rPr>
              <w:t xml:space="preserve">% </w:t>
            </w:r>
            <w:r w:rsidRPr="00910E94">
              <w:rPr>
                <w:rFonts w:ascii="Times New Roman" w:hAnsi="Times New Roman"/>
                <w:sz w:val="24"/>
                <w:lang w:val="es-ES_tradnl"/>
              </w:rPr>
              <w:t>finalizados</w:t>
            </w:r>
          </w:p>
          <w:p w:rsidR="0064659D" w:rsidRPr="00910E94" w:rsidRDefault="0064659D" w:rsidP="00B3220A">
            <w:pPr>
              <w:numPr>
                <w:ilvl w:val="0"/>
                <w:numId w:val="5"/>
              </w:numPr>
              <w:spacing w:after="0" w:line="240" w:lineRule="auto"/>
              <w:ind w:left="357" w:hanging="357"/>
              <w:rPr>
                <w:rFonts w:ascii="Times New Roman" w:hAnsi="Times New Roman" w:cs="Times New Roman"/>
                <w:sz w:val="24"/>
                <w:szCs w:val="24"/>
                <w:lang w:val="es-ES_tradnl"/>
              </w:rPr>
            </w:pPr>
            <w:r w:rsidRPr="00910E94">
              <w:rPr>
                <w:rFonts w:ascii="Times New Roman" w:hAnsi="Times New Roman"/>
                <w:sz w:val="24"/>
                <w:lang w:val="es-ES_tradnl"/>
              </w:rPr>
              <w:t>General, finalización en un</w:t>
            </w:r>
            <w:r w:rsidR="00B3220A" w:rsidRPr="00910E94">
              <w:rPr>
                <w:rFonts w:ascii="Times New Roman" w:hAnsi="Times New Roman"/>
                <w:sz w:val="24"/>
                <w:lang w:val="es-ES_tradnl"/>
              </w:rPr>
              <w:t> </w:t>
            </w:r>
            <w:r w:rsidRPr="00910E94">
              <w:rPr>
                <w:rFonts w:ascii="Times New Roman" w:hAnsi="Times New Roman"/>
                <w:sz w:val="24"/>
                <w:lang w:val="es-ES_tradnl"/>
              </w:rPr>
              <w:t>81</w:t>
            </w:r>
            <w:r w:rsidRPr="00910E94">
              <w:rPr>
                <w:rFonts w:ascii="Times New Roman" w:hAnsi="Times New Roman"/>
                <w:i/>
                <w:sz w:val="24"/>
                <w:lang w:val="es-ES_tradnl"/>
              </w:rPr>
              <w:t>%.</w:t>
            </w:r>
          </w:p>
        </w:tc>
        <w:tc>
          <w:tcPr>
            <w:tcW w:w="1085" w:type="pct"/>
            <w:shd w:val="clear" w:color="auto" w:fill="auto"/>
            <w:hideMark/>
          </w:tcPr>
          <w:p w:rsidR="0064659D" w:rsidRPr="00910E94"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t>La tasa de finalización de la estructura/</w:t>
            </w:r>
            <w:r w:rsidR="00B3220A" w:rsidRPr="00910E94">
              <w:rPr>
                <w:rFonts w:ascii="Times New Roman" w:hAnsi="Times New Roman"/>
                <w:sz w:val="24"/>
                <w:lang w:val="es-ES_tradnl"/>
              </w:rPr>
              <w:t xml:space="preserve"> </w:t>
            </w:r>
            <w:r w:rsidRPr="00910E94">
              <w:rPr>
                <w:rFonts w:ascii="Times New Roman" w:hAnsi="Times New Roman"/>
                <w:sz w:val="24"/>
                <w:lang w:val="es-ES_tradnl"/>
              </w:rPr>
              <w:t>seguimiento general es del</w:t>
            </w:r>
            <w:r w:rsidR="00B3220A" w:rsidRPr="00910E94">
              <w:rPr>
                <w:rFonts w:ascii="Times New Roman" w:hAnsi="Times New Roman"/>
                <w:sz w:val="24"/>
                <w:lang w:val="es-ES_tradnl"/>
              </w:rPr>
              <w:t> </w:t>
            </w:r>
            <w:r w:rsidRPr="00910E94">
              <w:rPr>
                <w:rFonts w:ascii="Times New Roman" w:hAnsi="Times New Roman"/>
                <w:sz w:val="24"/>
                <w:lang w:val="es-ES_tradnl"/>
              </w:rPr>
              <w:t>81</w:t>
            </w:r>
            <w:r w:rsidRPr="00910E94">
              <w:rPr>
                <w:rFonts w:ascii="Times New Roman" w:hAnsi="Times New Roman"/>
                <w:i/>
                <w:sz w:val="24"/>
                <w:lang w:val="es-ES_tradnl"/>
              </w:rPr>
              <w:t>%</w:t>
            </w:r>
            <w:r w:rsidRPr="00910E94">
              <w:rPr>
                <w:rFonts w:ascii="Times New Roman" w:hAnsi="Times New Roman"/>
                <w:sz w:val="24"/>
                <w:lang w:val="es-ES_tradnl"/>
              </w:rPr>
              <w:t>.</w:t>
            </w:r>
          </w:p>
          <w:p w:rsidR="0064659D" w:rsidRPr="00910E94" w:rsidRDefault="0064659D" w:rsidP="0064659D">
            <w:pPr>
              <w:rPr>
                <w:rFonts w:ascii="Times New Roman" w:hAnsi="Times New Roman" w:cs="Times New Roman"/>
                <w:b/>
                <w:bCs/>
                <w:iCs/>
                <w:sz w:val="24"/>
                <w:szCs w:val="24"/>
                <w:lang w:val="es-ES_tradnl"/>
              </w:rPr>
            </w:pPr>
            <w:r w:rsidRPr="00910E94">
              <w:rPr>
                <w:rFonts w:ascii="Times New Roman" w:hAnsi="Times New Roman"/>
                <w:b/>
                <w:sz w:val="24"/>
                <w:lang w:val="es-ES_tradnl"/>
              </w:rPr>
              <w:t>Labor en curso.</w:t>
            </w:r>
          </w:p>
        </w:tc>
      </w:tr>
      <w:tr w:rsidR="0064659D" w:rsidRPr="00910E94" w:rsidTr="00B3220A">
        <w:trPr>
          <w:trHeight w:val="978"/>
        </w:trPr>
        <w:tc>
          <w:tcPr>
            <w:tcW w:w="676" w:type="pct"/>
            <w:shd w:val="clear" w:color="auto" w:fill="auto"/>
            <w:hideMark/>
          </w:tcPr>
          <w:p w:rsidR="0064659D" w:rsidRPr="00910E94" w:rsidRDefault="0064659D" w:rsidP="0064659D">
            <w:pPr>
              <w:rPr>
                <w:rFonts w:ascii="Times New Roman" w:hAnsi="Times New Roman" w:cs="Times New Roman"/>
                <w:sz w:val="24"/>
                <w:szCs w:val="24"/>
                <w:lang w:val="es-ES_tradnl"/>
              </w:rPr>
            </w:pPr>
            <w:r w:rsidRPr="00910E94">
              <w:rPr>
                <w:rFonts w:ascii="Times New Roman" w:hAnsi="Times New Roman"/>
                <w:sz w:val="24"/>
                <w:lang w:val="es-ES_tradnl"/>
              </w:rPr>
              <w:t>Auditoría financiera</w:t>
            </w:r>
          </w:p>
        </w:tc>
        <w:tc>
          <w:tcPr>
            <w:tcW w:w="1272" w:type="pct"/>
            <w:shd w:val="clear" w:color="auto" w:fill="auto"/>
            <w:hideMark/>
          </w:tcPr>
          <w:p w:rsidR="0064659D" w:rsidRPr="00910E94" w:rsidRDefault="00EB2FD6" w:rsidP="00B3220A">
            <w:pPr>
              <w:rPr>
                <w:rFonts w:ascii="Times New Roman" w:hAnsi="Times New Roman" w:cs="Times New Roman"/>
                <w:sz w:val="24"/>
                <w:szCs w:val="24"/>
                <w:lang w:val="es-ES_tradnl"/>
              </w:rPr>
            </w:pPr>
            <w:r w:rsidRPr="00910E94">
              <w:rPr>
                <w:rFonts w:ascii="Times New Roman" w:hAnsi="Times New Roman"/>
                <w:sz w:val="24"/>
                <w:lang w:val="es-ES_tradnl"/>
              </w:rPr>
              <w:t xml:space="preserve">Conviene que la Administración estudie la integración de varios módulos del sistema AIMS y realice la reclasificación </w:t>
            </w:r>
            <w:r w:rsidRPr="00910E94">
              <w:rPr>
                <w:rFonts w:ascii="Times New Roman" w:hAnsi="Times New Roman"/>
                <w:sz w:val="24"/>
                <w:lang w:val="es-ES_tradnl"/>
              </w:rPr>
              <w:lastRenderedPageBreak/>
              <w:t>necesaria de activos, con arreglo a las políticas declaradas de contabilidad</w:t>
            </w:r>
            <w:r w:rsidR="00344EE2">
              <w:rPr>
                <w:rFonts w:ascii="Times New Roman" w:hAnsi="Times New Roman"/>
                <w:sz w:val="24"/>
                <w:lang w:val="es-ES_tradnl"/>
              </w:rPr>
              <w:t xml:space="preserve">.  </w:t>
            </w:r>
          </w:p>
        </w:tc>
        <w:tc>
          <w:tcPr>
            <w:tcW w:w="1967" w:type="pct"/>
            <w:shd w:val="clear" w:color="auto" w:fill="auto"/>
            <w:hideMark/>
          </w:tcPr>
          <w:p w:rsidR="0064659D" w:rsidRPr="00910E94" w:rsidRDefault="0064659D" w:rsidP="00EB2FD6">
            <w:pPr>
              <w:jc w:val="both"/>
              <w:rPr>
                <w:rFonts w:ascii="Times New Roman" w:hAnsi="Times New Roman" w:cs="Times New Roman"/>
                <w:sz w:val="24"/>
                <w:szCs w:val="24"/>
                <w:lang w:val="es-ES_tradnl"/>
              </w:rPr>
            </w:pPr>
            <w:r w:rsidRPr="00910E94">
              <w:rPr>
                <w:rFonts w:ascii="Times New Roman" w:hAnsi="Times New Roman"/>
                <w:sz w:val="24"/>
                <w:lang w:val="es-ES_tradnl"/>
              </w:rPr>
              <w:lastRenderedPageBreak/>
              <w:t>Ninguno de los problemas señalados durante la auditoría tuvo impacto en los estados financieros</w:t>
            </w:r>
            <w:r w:rsidR="00344EE2">
              <w:rPr>
                <w:rFonts w:ascii="Times New Roman" w:hAnsi="Times New Roman"/>
                <w:sz w:val="24"/>
                <w:lang w:val="es-ES_tradnl"/>
              </w:rPr>
              <w:t xml:space="preserve">.  </w:t>
            </w:r>
            <w:r w:rsidRPr="00910E94">
              <w:rPr>
                <w:rFonts w:ascii="Times New Roman" w:hAnsi="Times New Roman"/>
                <w:sz w:val="24"/>
                <w:lang w:val="es-ES_tradnl"/>
              </w:rPr>
              <w:t>Persistieron las deficiencias técnicas en el módulo de gestión de activos, pero eran leves</w:t>
            </w:r>
            <w:r w:rsidR="00344EE2">
              <w:rPr>
                <w:rFonts w:ascii="Times New Roman" w:hAnsi="Times New Roman"/>
                <w:sz w:val="24"/>
                <w:lang w:val="es-ES_tradnl"/>
              </w:rPr>
              <w:t xml:space="preserve">.  </w:t>
            </w:r>
            <w:r w:rsidRPr="00910E94">
              <w:rPr>
                <w:rFonts w:ascii="Times New Roman" w:hAnsi="Times New Roman"/>
                <w:sz w:val="24"/>
                <w:lang w:val="es-ES_tradnl"/>
              </w:rPr>
              <w:t xml:space="preserve">Se han creado soluciones y las </w:t>
            </w:r>
            <w:r w:rsidRPr="00910E94">
              <w:rPr>
                <w:rFonts w:ascii="Times New Roman" w:hAnsi="Times New Roman"/>
                <w:sz w:val="24"/>
                <w:lang w:val="es-ES_tradnl"/>
              </w:rPr>
              <w:lastRenderedPageBreak/>
              <w:t>deficiencias han sido notificadas al equipo de apoyo de AIMS</w:t>
            </w:r>
            <w:r w:rsidR="00344EE2">
              <w:rPr>
                <w:rFonts w:ascii="Times New Roman" w:hAnsi="Times New Roman"/>
                <w:sz w:val="24"/>
                <w:lang w:val="es-ES_tradnl"/>
              </w:rPr>
              <w:t xml:space="preserve">.  </w:t>
            </w:r>
            <w:r w:rsidRPr="00910E94">
              <w:rPr>
                <w:rFonts w:ascii="Times New Roman" w:hAnsi="Times New Roman"/>
                <w:sz w:val="24"/>
                <w:lang w:val="es-ES_tradnl"/>
              </w:rPr>
              <w:t>La OMPI puede realizar una conciliación entre gestión de activos y el libro mayor.</w:t>
            </w:r>
          </w:p>
        </w:tc>
        <w:tc>
          <w:tcPr>
            <w:tcW w:w="1085" w:type="pct"/>
            <w:shd w:val="clear" w:color="auto" w:fill="auto"/>
            <w:hideMark/>
          </w:tcPr>
          <w:p w:rsidR="0064659D" w:rsidRPr="00910E94" w:rsidRDefault="0064659D" w:rsidP="0064659D">
            <w:pPr>
              <w:rPr>
                <w:rFonts w:ascii="Times New Roman" w:hAnsi="Times New Roman" w:cs="Times New Roman"/>
                <w:b/>
                <w:bCs/>
                <w:i/>
                <w:iCs/>
                <w:sz w:val="24"/>
                <w:szCs w:val="24"/>
                <w:lang w:val="es-ES_tradnl"/>
              </w:rPr>
            </w:pPr>
            <w:r w:rsidRPr="00910E94">
              <w:rPr>
                <w:rFonts w:ascii="Times New Roman" w:hAnsi="Times New Roman"/>
                <w:b/>
                <w:sz w:val="24"/>
                <w:lang w:val="es-ES_tradnl"/>
              </w:rPr>
              <w:lastRenderedPageBreak/>
              <w:t>La recomendación puede darse por aplicada.</w:t>
            </w:r>
          </w:p>
        </w:tc>
      </w:tr>
      <w:tr w:rsidR="0064659D" w:rsidRPr="00910E94" w:rsidTr="00B3220A">
        <w:trPr>
          <w:trHeight w:val="552"/>
        </w:trPr>
        <w:tc>
          <w:tcPr>
            <w:tcW w:w="676" w:type="pct"/>
            <w:shd w:val="clear" w:color="auto" w:fill="auto"/>
          </w:tcPr>
          <w:p w:rsidR="0064659D" w:rsidRPr="00910E94" w:rsidRDefault="0064659D" w:rsidP="0064659D">
            <w:pPr>
              <w:rPr>
                <w:rFonts w:ascii="Times New Roman" w:hAnsi="Times New Roman" w:cs="Times New Roman"/>
                <w:sz w:val="24"/>
                <w:szCs w:val="24"/>
                <w:lang w:val="es-ES_tradnl"/>
              </w:rPr>
            </w:pPr>
            <w:r w:rsidRPr="00910E94">
              <w:rPr>
                <w:rFonts w:ascii="Times New Roman" w:hAnsi="Times New Roman"/>
                <w:sz w:val="24"/>
                <w:lang w:val="es-ES_tradnl"/>
              </w:rPr>
              <w:lastRenderedPageBreak/>
              <w:t>Auditoría financiera</w:t>
            </w:r>
          </w:p>
        </w:tc>
        <w:tc>
          <w:tcPr>
            <w:tcW w:w="1272" w:type="pct"/>
            <w:shd w:val="clear" w:color="auto" w:fill="auto"/>
          </w:tcPr>
          <w:p w:rsidR="0064659D" w:rsidRPr="00910E94" w:rsidDel="00003739"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t>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w:t>
            </w:r>
          </w:p>
        </w:tc>
        <w:tc>
          <w:tcPr>
            <w:tcW w:w="1967" w:type="pct"/>
            <w:shd w:val="clear" w:color="auto" w:fill="auto"/>
          </w:tcPr>
          <w:p w:rsidR="0064659D" w:rsidRPr="00910E94" w:rsidRDefault="0064659D" w:rsidP="00693071">
            <w:pPr>
              <w:jc w:val="both"/>
              <w:rPr>
                <w:rFonts w:ascii="Times New Roman" w:hAnsi="Times New Roman" w:cs="Times New Roman"/>
                <w:sz w:val="24"/>
                <w:szCs w:val="24"/>
                <w:lang w:val="es-ES_tradnl"/>
              </w:rPr>
            </w:pPr>
            <w:r w:rsidRPr="00910E94">
              <w:rPr>
                <w:rFonts w:ascii="Times New Roman" w:hAnsi="Times New Roman"/>
                <w:sz w:val="24"/>
                <w:lang w:val="es-ES_tradnl"/>
              </w:rPr>
              <w:t>El material relativo a la creación de una reserva especial fue presentado en septiembre al Comité del Programa y Presupuesto</w:t>
            </w:r>
            <w:r w:rsidR="00344EE2">
              <w:rPr>
                <w:rFonts w:ascii="Times New Roman" w:hAnsi="Times New Roman"/>
                <w:sz w:val="24"/>
                <w:lang w:val="es-ES_tradnl"/>
              </w:rPr>
              <w:t xml:space="preserve">.  </w:t>
            </w:r>
            <w:r w:rsidRPr="00910E94">
              <w:rPr>
                <w:rFonts w:ascii="Times New Roman" w:hAnsi="Times New Roman"/>
                <w:sz w:val="24"/>
                <w:lang w:val="es-ES_tradnl"/>
              </w:rPr>
              <w:t>El PBC en su vigésima segunda sesión:</w:t>
            </w:r>
          </w:p>
          <w:p w:rsidR="0064659D" w:rsidRPr="00910E94" w:rsidRDefault="0064659D" w:rsidP="005427E7">
            <w:pPr>
              <w:spacing w:after="0"/>
              <w:jc w:val="both"/>
              <w:rPr>
                <w:rFonts w:ascii="Times New Roman" w:hAnsi="Times New Roman" w:cs="Times New Roman"/>
                <w:sz w:val="24"/>
                <w:szCs w:val="24"/>
                <w:lang w:val="es-ES_tradnl"/>
              </w:rPr>
            </w:pPr>
            <w:r w:rsidRPr="00910E94">
              <w:rPr>
                <w:rFonts w:ascii="Times New Roman" w:hAnsi="Times New Roman"/>
                <w:i/>
                <w:sz w:val="24"/>
                <w:lang w:val="es-ES_tradnl"/>
              </w:rPr>
              <w:t>(i)</w:t>
            </w:r>
            <w:r w:rsidRPr="00910E94">
              <w:rPr>
                <w:lang w:val="es-ES_tradnl"/>
              </w:rPr>
              <w:tab/>
            </w:r>
            <w:r w:rsidRPr="00910E94">
              <w:rPr>
                <w:rFonts w:ascii="Times New Roman" w:hAnsi="Times New Roman"/>
                <w:sz w:val="24"/>
                <w:lang w:val="es-ES_tradnl"/>
              </w:rPr>
              <w:t>reconoció la necesidad de llevar a cabo una revisión de las políticas sobre los fondos de reserva y de operaciones;  y</w:t>
            </w:r>
          </w:p>
          <w:p w:rsidR="0064659D" w:rsidRPr="00910E94" w:rsidRDefault="0064659D" w:rsidP="005427E7">
            <w:pPr>
              <w:spacing w:after="0"/>
              <w:jc w:val="both"/>
              <w:rPr>
                <w:rFonts w:ascii="Times New Roman" w:hAnsi="Times New Roman" w:cs="Times New Roman"/>
                <w:sz w:val="24"/>
                <w:szCs w:val="24"/>
                <w:lang w:val="es-ES_tradnl"/>
              </w:rPr>
            </w:pPr>
            <w:r w:rsidRPr="00910E94">
              <w:rPr>
                <w:rFonts w:ascii="Times New Roman" w:hAnsi="Times New Roman"/>
                <w:sz w:val="24"/>
                <w:lang w:val="es-ES_tradnl"/>
              </w:rPr>
              <w:t>(ii)</w:t>
            </w:r>
            <w:r w:rsidRPr="00910E94">
              <w:rPr>
                <w:lang w:val="es-ES_tradnl"/>
              </w:rPr>
              <w:tab/>
            </w:r>
            <w:r w:rsidRPr="00910E94">
              <w:rPr>
                <w:rFonts w:ascii="Times New Roman" w:hAnsi="Times New Roman"/>
                <w:sz w:val="24"/>
                <w:lang w:val="es-ES_tradnl"/>
              </w:rPr>
              <w:t>pidió a la Secretaría que someta al examen del PBC una propuesta exhaustiva de política en la que se contemplen la fijación de un objetivo en materia de activos netos, consideraciones en materia de liquidez, y la gestión, el uso y la presentación de informes acerca del superávit disponible por encima del objetivo previsto, tomando en consideración los comentarios y orientaciones de los Estados miembros y las recomendaciones de los órganos de auditoría y supervisión a ese respecto.</w:t>
            </w:r>
          </w:p>
          <w:p w:rsidR="0064659D" w:rsidRPr="00910E94" w:rsidRDefault="0064659D" w:rsidP="003441C3">
            <w:pPr>
              <w:jc w:val="both"/>
              <w:rPr>
                <w:rFonts w:ascii="Times New Roman" w:hAnsi="Times New Roman" w:cs="Times New Roman"/>
                <w:sz w:val="24"/>
                <w:szCs w:val="24"/>
                <w:lang w:val="es-ES_tradnl"/>
              </w:rPr>
            </w:pPr>
            <w:r w:rsidRPr="00910E94">
              <w:rPr>
                <w:rFonts w:ascii="Times New Roman" w:hAnsi="Times New Roman"/>
                <w:sz w:val="24"/>
                <w:lang w:val="es-ES_tradnl"/>
              </w:rPr>
              <w:t>Por consiguiente, tras esta decisión, deberá presentarse un documento a los Estados miembros en el que se abordarán diversos aspectos del uso de las reservas.</w:t>
            </w:r>
          </w:p>
        </w:tc>
        <w:tc>
          <w:tcPr>
            <w:tcW w:w="1085" w:type="pct"/>
            <w:shd w:val="clear" w:color="auto" w:fill="auto"/>
          </w:tcPr>
          <w:p w:rsidR="0064659D" w:rsidRPr="00910E94" w:rsidRDefault="0064659D" w:rsidP="0064659D">
            <w:pPr>
              <w:rPr>
                <w:rFonts w:ascii="Times New Roman" w:hAnsi="Times New Roman" w:cs="Times New Roman"/>
                <w:b/>
                <w:sz w:val="24"/>
                <w:szCs w:val="24"/>
                <w:lang w:val="es-ES_tradnl"/>
              </w:rPr>
            </w:pPr>
            <w:r w:rsidRPr="00910E94">
              <w:rPr>
                <w:rFonts w:ascii="Times New Roman" w:hAnsi="Times New Roman"/>
                <w:b/>
                <w:sz w:val="24"/>
                <w:lang w:val="es-ES_tradnl"/>
              </w:rPr>
              <w:t>Labor en curso</w:t>
            </w:r>
          </w:p>
        </w:tc>
      </w:tr>
      <w:tr w:rsidR="0064659D" w:rsidRPr="00910E94" w:rsidTr="00B3220A">
        <w:trPr>
          <w:trHeight w:val="552"/>
        </w:trPr>
        <w:tc>
          <w:tcPr>
            <w:tcW w:w="676" w:type="pct"/>
            <w:shd w:val="clear" w:color="auto" w:fill="auto"/>
          </w:tcPr>
          <w:p w:rsidR="0064659D" w:rsidRPr="00910E94" w:rsidRDefault="0064659D" w:rsidP="0064659D">
            <w:pPr>
              <w:rPr>
                <w:rFonts w:ascii="Times New Roman" w:hAnsi="Times New Roman" w:cs="Times New Roman"/>
                <w:sz w:val="24"/>
                <w:szCs w:val="24"/>
                <w:lang w:val="es-ES_tradnl"/>
              </w:rPr>
            </w:pPr>
            <w:r w:rsidRPr="00910E94">
              <w:rPr>
                <w:rFonts w:ascii="Times New Roman" w:hAnsi="Times New Roman"/>
                <w:sz w:val="24"/>
                <w:lang w:val="es-ES_tradnl"/>
              </w:rPr>
              <w:t>Auditoría financiera</w:t>
            </w:r>
          </w:p>
        </w:tc>
        <w:tc>
          <w:tcPr>
            <w:tcW w:w="1272" w:type="pct"/>
            <w:shd w:val="clear" w:color="auto" w:fill="auto"/>
          </w:tcPr>
          <w:p w:rsidR="0064659D" w:rsidRPr="00910E94"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t xml:space="preserve">Conviene que la OMPI examine la situación de las solicitudes sin pagar de las Oficinas receptoras y ajuste las </w:t>
            </w:r>
            <w:r w:rsidRPr="00910E94">
              <w:rPr>
                <w:rFonts w:ascii="Times New Roman" w:hAnsi="Times New Roman"/>
                <w:sz w:val="24"/>
                <w:lang w:val="es-ES_tradnl"/>
              </w:rPr>
              <w:lastRenderedPageBreak/>
              <w:t>tasas de las solicitudes presentadas que constan en las cuentas corrientes del PCT, correspondientes a los deudores del sistema del PCT, a fin de reflejar los importes reales pendientes de pago con respecto a las solicitudes del PCT.</w:t>
            </w:r>
          </w:p>
        </w:tc>
        <w:tc>
          <w:tcPr>
            <w:tcW w:w="1967" w:type="pct"/>
            <w:shd w:val="clear" w:color="auto" w:fill="auto"/>
          </w:tcPr>
          <w:p w:rsidR="0064659D" w:rsidRPr="00910E94" w:rsidRDefault="0064659D" w:rsidP="00EB2FD6">
            <w:pPr>
              <w:jc w:val="both"/>
              <w:rPr>
                <w:rFonts w:ascii="Times New Roman" w:hAnsi="Times New Roman" w:cs="Times New Roman"/>
                <w:sz w:val="24"/>
                <w:szCs w:val="24"/>
                <w:lang w:val="es-ES_tradnl"/>
              </w:rPr>
            </w:pPr>
            <w:r w:rsidRPr="00910E94">
              <w:rPr>
                <w:rFonts w:ascii="Times New Roman" w:hAnsi="Times New Roman"/>
                <w:sz w:val="24"/>
                <w:lang w:val="es-ES_tradnl"/>
              </w:rPr>
              <w:lastRenderedPageBreak/>
              <w:t xml:space="preserve">La OMPI analizó las cuentas corrientes del PCT y estableció un procedimiento para practicar las anotaciones contables oportunas a fin de reducir el saldo de las cuentas de deudores del sistema del </w:t>
            </w:r>
            <w:r w:rsidRPr="00910E94">
              <w:rPr>
                <w:rFonts w:ascii="Times New Roman" w:hAnsi="Times New Roman"/>
                <w:sz w:val="24"/>
                <w:lang w:val="es-ES_tradnl"/>
              </w:rPr>
              <w:lastRenderedPageBreak/>
              <w:t>PCT</w:t>
            </w:r>
            <w:r w:rsidR="00344EE2">
              <w:rPr>
                <w:rFonts w:ascii="Times New Roman" w:hAnsi="Times New Roman"/>
                <w:sz w:val="24"/>
                <w:lang w:val="es-ES_tradnl"/>
              </w:rPr>
              <w:t xml:space="preserve">.  </w:t>
            </w:r>
            <w:r w:rsidRPr="00910E94">
              <w:rPr>
                <w:rFonts w:ascii="Times New Roman" w:hAnsi="Times New Roman"/>
                <w:sz w:val="24"/>
                <w:lang w:val="es-ES_tradnl"/>
              </w:rPr>
              <w:t xml:space="preserve">Este procedimiento fue aplicado para formular los estados financieros provisionales </w:t>
            </w:r>
            <w:r w:rsidR="00CC3D7A" w:rsidRPr="00910E94">
              <w:rPr>
                <w:rFonts w:ascii="Times New Roman" w:hAnsi="Times New Roman"/>
                <w:sz w:val="24"/>
                <w:lang w:val="es-ES_tradnl"/>
              </w:rPr>
              <w:t>de 20</w:t>
            </w:r>
            <w:r w:rsidRPr="00910E94">
              <w:rPr>
                <w:rFonts w:ascii="Times New Roman" w:hAnsi="Times New Roman"/>
                <w:sz w:val="24"/>
                <w:lang w:val="es-ES_tradnl"/>
              </w:rPr>
              <w:t>14 y se aplicará también para los estados financieros correspon</w:t>
            </w:r>
            <w:r w:rsidR="00693071" w:rsidRPr="00910E94">
              <w:rPr>
                <w:rFonts w:ascii="Times New Roman" w:hAnsi="Times New Roman"/>
                <w:sz w:val="24"/>
                <w:lang w:val="es-ES_tradnl"/>
              </w:rPr>
              <w:t>dientes al cierre del ejercicio </w:t>
            </w:r>
            <w:r w:rsidRPr="00910E94">
              <w:rPr>
                <w:rFonts w:ascii="Times New Roman" w:hAnsi="Times New Roman"/>
                <w:sz w:val="24"/>
                <w:lang w:val="es-ES_tradnl"/>
              </w:rPr>
              <w:t>2014.</w:t>
            </w:r>
          </w:p>
        </w:tc>
        <w:tc>
          <w:tcPr>
            <w:tcW w:w="1085" w:type="pct"/>
            <w:shd w:val="clear" w:color="auto" w:fill="auto"/>
          </w:tcPr>
          <w:p w:rsidR="0064659D" w:rsidRPr="00910E94"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lastRenderedPageBreak/>
              <w:t>Hemos verificado este procedimiento y lo consideramos adecuado.</w:t>
            </w:r>
          </w:p>
          <w:p w:rsidR="0064659D" w:rsidRPr="00910E94" w:rsidRDefault="0064659D" w:rsidP="0064659D">
            <w:pPr>
              <w:rPr>
                <w:rFonts w:ascii="Times New Roman" w:hAnsi="Times New Roman" w:cs="Times New Roman"/>
                <w:sz w:val="24"/>
                <w:szCs w:val="24"/>
                <w:lang w:val="es-ES_tradnl"/>
              </w:rPr>
            </w:pPr>
            <w:r w:rsidRPr="00910E94">
              <w:rPr>
                <w:rFonts w:ascii="Times New Roman" w:hAnsi="Times New Roman"/>
                <w:b/>
                <w:sz w:val="24"/>
                <w:lang w:val="es-ES_tradnl"/>
              </w:rPr>
              <w:t xml:space="preserve">La </w:t>
            </w:r>
            <w:r w:rsidRPr="00910E94">
              <w:rPr>
                <w:rFonts w:ascii="Times New Roman" w:hAnsi="Times New Roman"/>
                <w:b/>
                <w:sz w:val="24"/>
                <w:lang w:val="es-ES_tradnl"/>
              </w:rPr>
              <w:lastRenderedPageBreak/>
              <w:t>recomendación puede darse por aplicada.</w:t>
            </w:r>
          </w:p>
        </w:tc>
      </w:tr>
      <w:tr w:rsidR="0064659D" w:rsidRPr="00910E94" w:rsidTr="00B3220A">
        <w:trPr>
          <w:trHeight w:val="552"/>
        </w:trPr>
        <w:tc>
          <w:tcPr>
            <w:tcW w:w="676" w:type="pct"/>
            <w:shd w:val="clear" w:color="auto" w:fill="auto"/>
          </w:tcPr>
          <w:p w:rsidR="0064659D" w:rsidRPr="00910E94" w:rsidRDefault="0064659D" w:rsidP="0064659D">
            <w:pPr>
              <w:rPr>
                <w:rFonts w:ascii="Times New Roman" w:hAnsi="Times New Roman" w:cs="Times New Roman"/>
                <w:sz w:val="24"/>
                <w:szCs w:val="24"/>
                <w:lang w:val="es-ES_tradnl"/>
              </w:rPr>
            </w:pPr>
            <w:r w:rsidRPr="00910E94">
              <w:rPr>
                <w:rFonts w:ascii="Times New Roman" w:hAnsi="Times New Roman"/>
                <w:sz w:val="24"/>
                <w:lang w:val="es-ES_tradnl"/>
              </w:rPr>
              <w:lastRenderedPageBreak/>
              <w:t>Auditoría financiera</w:t>
            </w:r>
          </w:p>
        </w:tc>
        <w:tc>
          <w:tcPr>
            <w:tcW w:w="1272" w:type="pct"/>
            <w:shd w:val="clear" w:color="auto" w:fill="auto"/>
          </w:tcPr>
          <w:p w:rsidR="0064659D" w:rsidRPr="00910E94"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t>Conviene que la OMPI mantenga el registro de los datos contables relativos a las tasas percibidas y por cobrar de las solicitudes PCT en las monedas correspondientes, por cada solicitud / Oficina receptora.</w:t>
            </w:r>
          </w:p>
        </w:tc>
        <w:tc>
          <w:tcPr>
            <w:tcW w:w="1967" w:type="pct"/>
            <w:shd w:val="clear" w:color="auto" w:fill="auto"/>
          </w:tcPr>
          <w:p w:rsidR="0064659D" w:rsidRPr="00910E94" w:rsidRDefault="0064659D" w:rsidP="00EB2FD6">
            <w:pPr>
              <w:jc w:val="both"/>
              <w:rPr>
                <w:rFonts w:ascii="Times New Roman" w:hAnsi="Times New Roman" w:cs="Times New Roman"/>
                <w:sz w:val="24"/>
                <w:szCs w:val="24"/>
                <w:lang w:val="es-ES_tradnl"/>
              </w:rPr>
            </w:pPr>
            <w:r w:rsidRPr="00910E94">
              <w:rPr>
                <w:rFonts w:ascii="Times New Roman" w:hAnsi="Times New Roman"/>
                <w:sz w:val="24"/>
                <w:lang w:val="es-ES_tradnl"/>
              </w:rPr>
              <w:t>La OMPI elaboró una metodología para calcular las ganancias y pérdidas no realizadas en el epígrafe de deudores del sistema del PCT en monedas distintas del franco suizo</w:t>
            </w:r>
            <w:r w:rsidR="00344EE2">
              <w:rPr>
                <w:rFonts w:ascii="Times New Roman" w:hAnsi="Times New Roman"/>
                <w:sz w:val="24"/>
                <w:lang w:val="es-ES_tradnl"/>
              </w:rPr>
              <w:t xml:space="preserve">.  </w:t>
            </w:r>
            <w:r w:rsidRPr="00910E94">
              <w:rPr>
                <w:rFonts w:ascii="Times New Roman" w:hAnsi="Times New Roman"/>
                <w:sz w:val="24"/>
                <w:lang w:val="es-ES_tradnl"/>
              </w:rPr>
              <w:t>Ya se ha llevado a cabo el cálculo con vistas a incluirlo en los estados fina</w:t>
            </w:r>
            <w:r w:rsidR="00693071" w:rsidRPr="00910E94">
              <w:rPr>
                <w:rFonts w:ascii="Times New Roman" w:hAnsi="Times New Roman"/>
                <w:sz w:val="24"/>
                <w:lang w:val="es-ES_tradnl"/>
              </w:rPr>
              <w:t>ncieros de cierre del ejercicio </w:t>
            </w:r>
            <w:r w:rsidRPr="00910E94">
              <w:rPr>
                <w:rFonts w:ascii="Times New Roman" w:hAnsi="Times New Roman"/>
                <w:sz w:val="24"/>
                <w:lang w:val="es-ES_tradnl"/>
              </w:rPr>
              <w:t>2014.</w:t>
            </w:r>
          </w:p>
        </w:tc>
        <w:tc>
          <w:tcPr>
            <w:tcW w:w="1085" w:type="pct"/>
            <w:shd w:val="clear" w:color="auto" w:fill="auto"/>
          </w:tcPr>
          <w:p w:rsidR="0064659D" w:rsidRPr="00910E94"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t xml:space="preserve">Las ganancias y pérdidas no realizadas han sido determinadas y se han contabilizado en los estados financieros </w:t>
            </w:r>
            <w:r w:rsidR="00CC3D7A" w:rsidRPr="00910E94">
              <w:rPr>
                <w:rFonts w:ascii="Times New Roman" w:hAnsi="Times New Roman"/>
                <w:sz w:val="24"/>
                <w:lang w:val="es-ES_tradnl"/>
              </w:rPr>
              <w:t>de 20</w:t>
            </w:r>
            <w:r w:rsidRPr="00910E94">
              <w:rPr>
                <w:rFonts w:ascii="Times New Roman" w:hAnsi="Times New Roman"/>
                <w:sz w:val="24"/>
                <w:lang w:val="es-ES_tradnl"/>
              </w:rPr>
              <w:t>14.</w:t>
            </w:r>
          </w:p>
          <w:p w:rsidR="0064659D" w:rsidRPr="00910E94" w:rsidRDefault="0064659D" w:rsidP="00EB2FD6">
            <w:pPr>
              <w:jc w:val="both"/>
              <w:rPr>
                <w:rFonts w:ascii="Times New Roman" w:hAnsi="Times New Roman" w:cs="Times New Roman"/>
                <w:sz w:val="24"/>
                <w:szCs w:val="24"/>
                <w:lang w:val="es-ES_tradnl"/>
              </w:rPr>
            </w:pPr>
            <w:r w:rsidRPr="00910E94">
              <w:rPr>
                <w:rFonts w:ascii="Times New Roman" w:hAnsi="Times New Roman"/>
                <w:b/>
                <w:sz w:val="24"/>
                <w:lang w:val="es-ES_tradnl"/>
              </w:rPr>
              <w:t>La recomendación puede darse por aplicada.</w:t>
            </w:r>
          </w:p>
        </w:tc>
      </w:tr>
      <w:tr w:rsidR="0064659D" w:rsidRPr="00910E94" w:rsidTr="00B3220A">
        <w:trPr>
          <w:trHeight w:val="552"/>
        </w:trPr>
        <w:tc>
          <w:tcPr>
            <w:tcW w:w="676" w:type="pct"/>
            <w:shd w:val="clear" w:color="auto" w:fill="auto"/>
          </w:tcPr>
          <w:p w:rsidR="0064659D" w:rsidRPr="00910E94" w:rsidRDefault="0064659D" w:rsidP="0064659D">
            <w:pPr>
              <w:rPr>
                <w:rFonts w:ascii="Times New Roman" w:hAnsi="Times New Roman" w:cs="Times New Roman"/>
                <w:sz w:val="24"/>
                <w:szCs w:val="24"/>
                <w:lang w:val="es-ES_tradnl"/>
              </w:rPr>
            </w:pPr>
            <w:r w:rsidRPr="00910E94">
              <w:rPr>
                <w:rFonts w:ascii="Times New Roman" w:hAnsi="Times New Roman"/>
                <w:sz w:val="24"/>
                <w:lang w:val="es-ES_tradnl"/>
              </w:rPr>
              <w:t>Auditoría financiera</w:t>
            </w:r>
          </w:p>
        </w:tc>
        <w:tc>
          <w:tcPr>
            <w:tcW w:w="1272" w:type="pct"/>
            <w:shd w:val="clear" w:color="auto" w:fill="auto"/>
          </w:tcPr>
          <w:p w:rsidR="0064659D" w:rsidRPr="00910E94"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t>Conviene que la OMPI examine y actualice los supuestos demográficos sobre jubilaciones y rotaciones del personal adoptados en la evaluación actuarial de los beneficios posteriores al empleo.</w:t>
            </w:r>
          </w:p>
        </w:tc>
        <w:tc>
          <w:tcPr>
            <w:tcW w:w="1967" w:type="pct"/>
            <w:shd w:val="clear" w:color="auto" w:fill="auto"/>
          </w:tcPr>
          <w:p w:rsidR="0064659D" w:rsidRPr="00910E94" w:rsidRDefault="0064659D" w:rsidP="005427E7">
            <w:pPr>
              <w:jc w:val="both"/>
              <w:rPr>
                <w:rFonts w:ascii="Times New Roman" w:hAnsi="Times New Roman" w:cs="Times New Roman"/>
                <w:sz w:val="24"/>
                <w:szCs w:val="24"/>
                <w:lang w:val="es-ES_tradnl"/>
              </w:rPr>
            </w:pPr>
            <w:r w:rsidRPr="00910E94">
              <w:rPr>
                <w:rFonts w:ascii="Times New Roman" w:hAnsi="Times New Roman"/>
                <w:sz w:val="24"/>
                <w:lang w:val="es-ES_tradnl"/>
              </w:rPr>
              <w:t xml:space="preserve">Los supuestos demográficos sobre jubilaciones y rotaciones del personal han sido actualizados e incorporados en las evaluaciones actuariales </w:t>
            </w:r>
            <w:r w:rsidR="00CC3D7A" w:rsidRPr="00910E94">
              <w:rPr>
                <w:rFonts w:ascii="Times New Roman" w:hAnsi="Times New Roman"/>
                <w:sz w:val="24"/>
                <w:lang w:val="es-ES_tradnl"/>
              </w:rPr>
              <w:t>de 20</w:t>
            </w:r>
            <w:r w:rsidRPr="00910E94">
              <w:rPr>
                <w:rFonts w:ascii="Times New Roman" w:hAnsi="Times New Roman"/>
                <w:sz w:val="24"/>
                <w:lang w:val="es-ES_tradnl"/>
              </w:rPr>
              <w:t>14 relativas al seguro médico después de la separación del servicio y las primas de repatriación.</w:t>
            </w:r>
          </w:p>
        </w:tc>
        <w:tc>
          <w:tcPr>
            <w:tcW w:w="1085" w:type="pct"/>
            <w:shd w:val="clear" w:color="auto" w:fill="auto"/>
          </w:tcPr>
          <w:p w:rsidR="0064659D" w:rsidRPr="00910E94" w:rsidRDefault="0064659D" w:rsidP="00B3220A">
            <w:pPr>
              <w:rPr>
                <w:rFonts w:ascii="Times New Roman" w:hAnsi="Times New Roman" w:cs="Times New Roman"/>
                <w:sz w:val="24"/>
                <w:szCs w:val="24"/>
                <w:lang w:val="es-ES_tradnl"/>
              </w:rPr>
            </w:pPr>
            <w:r w:rsidRPr="00910E94">
              <w:rPr>
                <w:rFonts w:ascii="Times New Roman" w:hAnsi="Times New Roman"/>
                <w:sz w:val="24"/>
                <w:lang w:val="es-ES_tradnl"/>
              </w:rPr>
              <w:t>Los supuestos demográficos han sido actualizados.</w:t>
            </w:r>
          </w:p>
          <w:p w:rsidR="0064659D" w:rsidRPr="00910E94" w:rsidRDefault="0064659D" w:rsidP="0064659D">
            <w:pPr>
              <w:rPr>
                <w:rFonts w:ascii="Times New Roman" w:hAnsi="Times New Roman" w:cs="Times New Roman"/>
                <w:sz w:val="24"/>
                <w:szCs w:val="24"/>
                <w:lang w:val="es-ES_tradnl"/>
              </w:rPr>
            </w:pPr>
            <w:r w:rsidRPr="00910E94">
              <w:rPr>
                <w:rFonts w:ascii="Times New Roman" w:hAnsi="Times New Roman"/>
                <w:b/>
                <w:sz w:val="24"/>
                <w:lang w:val="es-ES_tradnl"/>
              </w:rPr>
              <w:t>La recomendación puede darse por aplicada.</w:t>
            </w:r>
          </w:p>
        </w:tc>
      </w:tr>
    </w:tbl>
    <w:p w:rsidR="0076374A" w:rsidRPr="00910E94" w:rsidRDefault="0076374A" w:rsidP="00260E57">
      <w:pPr>
        <w:rPr>
          <w:rFonts w:ascii="Times New Roman" w:hAnsi="Times New Roman" w:cs="Times New Roman"/>
          <w:sz w:val="24"/>
          <w:szCs w:val="24"/>
          <w:lang w:val="es-ES_tradnl"/>
        </w:rPr>
        <w:sectPr w:rsidR="0076374A" w:rsidRPr="00910E94" w:rsidSect="00333CA1">
          <w:footerReference w:type="first" r:id="rId25"/>
          <w:type w:val="continuous"/>
          <w:pgSz w:w="11907" w:h="16839" w:code="9"/>
          <w:pgMar w:top="1440" w:right="1440" w:bottom="1440" w:left="1440" w:header="720" w:footer="720" w:gutter="0"/>
          <w:cols w:space="720"/>
          <w:titlePg/>
          <w:docGrid w:linePitch="360"/>
        </w:sectPr>
      </w:pPr>
    </w:p>
    <w:p w:rsidR="0076374A" w:rsidRPr="00910E94" w:rsidRDefault="0076374A" w:rsidP="0076374A">
      <w:pPr>
        <w:spacing w:after="0" w:line="240" w:lineRule="auto"/>
        <w:jc w:val="center"/>
        <w:rPr>
          <w:rFonts w:ascii="Arial" w:eastAsia="Times New Roman" w:hAnsi="Arial" w:cs="Arial"/>
          <w:b/>
          <w:szCs w:val="20"/>
          <w:lang w:val="es-ES_tradnl"/>
        </w:rPr>
      </w:pPr>
      <w:r w:rsidRPr="00910E94">
        <w:rPr>
          <w:rFonts w:ascii="Arial" w:hAnsi="Arial"/>
          <w:b/>
          <w:lang w:val="es-ES_tradnl"/>
        </w:rPr>
        <w:lastRenderedPageBreak/>
        <w:t>RESPUESTAS DE LA ADMINISTRACIÓN A LAS RECOMENDACIONES FORMULADAS POR EL AUDITOR EXTERNO</w:t>
      </w:r>
    </w:p>
    <w:p w:rsidR="0076374A" w:rsidRPr="00910E94" w:rsidRDefault="0076374A" w:rsidP="0076374A">
      <w:pPr>
        <w:spacing w:after="0" w:line="240" w:lineRule="auto"/>
        <w:jc w:val="center"/>
        <w:rPr>
          <w:rFonts w:ascii="Arial" w:eastAsia="Times New Roman" w:hAnsi="Arial" w:cs="Arial"/>
          <w:b/>
          <w:szCs w:val="20"/>
          <w:lang w:val="es-ES_tradnl"/>
        </w:rPr>
      </w:pPr>
    </w:p>
    <w:p w:rsidR="0076374A" w:rsidRPr="00910E94" w:rsidRDefault="0076374A" w:rsidP="0076374A">
      <w:pPr>
        <w:spacing w:after="0" w:line="240" w:lineRule="auto"/>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w:t>
      </w:r>
    </w:p>
    <w:p w:rsidR="0076374A" w:rsidRPr="00910E94" w:rsidRDefault="0076374A" w:rsidP="0076374A">
      <w:pPr>
        <w:spacing w:after="0" w:line="240" w:lineRule="auto"/>
        <w:rPr>
          <w:rFonts w:ascii="Arial" w:eastAsia="Times New Roman" w:hAnsi="Arial" w:cs="Arial"/>
          <w:szCs w:val="20"/>
          <w:lang w:val="es-ES_tradnl"/>
        </w:rPr>
      </w:pPr>
    </w:p>
    <w:p w:rsidR="0076374A" w:rsidRPr="00910E94" w:rsidRDefault="0076374A" w:rsidP="0076374A">
      <w:pPr>
        <w:spacing w:after="0" w:line="240" w:lineRule="auto"/>
        <w:rPr>
          <w:rFonts w:ascii="Arial" w:eastAsia="Times New Roman" w:hAnsi="Arial" w:cs="Arial"/>
          <w:i/>
          <w:szCs w:val="20"/>
          <w:lang w:val="es-ES_tradnl"/>
        </w:rPr>
      </w:pPr>
      <w:r w:rsidRPr="00910E94">
        <w:rPr>
          <w:rFonts w:ascii="Arial" w:hAnsi="Arial"/>
          <w:i/>
          <w:lang w:val="es-ES_tradnl"/>
        </w:rPr>
        <w:t>Conviene que la OMPI agilice el proceso de conciliación de las solicitudes pendientes ante las autoridades fiscales de los EE.UU.</w:t>
      </w:r>
    </w:p>
    <w:p w:rsidR="0076374A" w:rsidRPr="00910E94" w:rsidRDefault="0076374A" w:rsidP="0076374A">
      <w:pPr>
        <w:spacing w:after="0" w:line="240" w:lineRule="auto"/>
        <w:rPr>
          <w:rFonts w:ascii="Arial" w:eastAsia="Times New Roman" w:hAnsi="Arial" w:cs="Arial"/>
          <w:szCs w:val="20"/>
          <w:lang w:val="es-ES_tradnl"/>
        </w:rPr>
      </w:pPr>
    </w:p>
    <w:p w:rsidR="0076374A" w:rsidRPr="00910E94" w:rsidRDefault="0076374A" w:rsidP="0076374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76374A" w:rsidRPr="00910E94" w:rsidRDefault="0076374A" w:rsidP="0076374A">
      <w:pPr>
        <w:spacing w:after="0" w:line="240" w:lineRule="auto"/>
        <w:jc w:val="both"/>
        <w:rPr>
          <w:rFonts w:ascii="Arial" w:eastAsia="Times New Roman" w:hAnsi="Arial" w:cs="Arial"/>
          <w:szCs w:val="20"/>
          <w:lang w:val="es-ES_tradnl"/>
        </w:rPr>
      </w:pPr>
    </w:p>
    <w:p w:rsidR="0076374A" w:rsidRPr="00910E94" w:rsidRDefault="0076374A" w:rsidP="0076374A">
      <w:pPr>
        <w:spacing w:after="0" w:line="240" w:lineRule="auto"/>
        <w:jc w:val="both"/>
        <w:rPr>
          <w:rFonts w:ascii="Arial" w:eastAsia="Times New Roman" w:hAnsi="Arial" w:cs="Arial"/>
          <w:szCs w:val="20"/>
          <w:lang w:val="es-ES_tradnl"/>
        </w:rPr>
      </w:pPr>
      <w:r w:rsidRPr="00910E94">
        <w:rPr>
          <w:rFonts w:ascii="Arial" w:hAnsi="Arial"/>
          <w:lang w:val="es-ES_tradnl"/>
        </w:rPr>
        <w:t>Se toma nota de esta recomendación, sin embargo la Administración reitera que el proceso de conciliación sólo podrá llevarse a cabo si las autoridades fiscales de los EE.UU</w:t>
      </w:r>
      <w:r w:rsidR="00344EE2">
        <w:rPr>
          <w:rFonts w:ascii="Arial" w:hAnsi="Arial"/>
          <w:lang w:val="es-ES_tradnl"/>
        </w:rPr>
        <w:t xml:space="preserve">.  </w:t>
      </w:r>
      <w:r w:rsidRPr="00910E94">
        <w:rPr>
          <w:rFonts w:ascii="Arial" w:hAnsi="Arial"/>
          <w:lang w:val="es-ES_tradnl"/>
        </w:rPr>
        <w:t>están en condiciones de ofrecer información suficiente acerca de los reembolsos efectuados a la Organización.</w:t>
      </w:r>
    </w:p>
    <w:p w:rsidR="0076374A" w:rsidRPr="00910E94" w:rsidRDefault="0076374A" w:rsidP="0076374A">
      <w:pPr>
        <w:spacing w:after="0" w:line="240" w:lineRule="auto"/>
        <w:rPr>
          <w:rFonts w:ascii="Arial" w:eastAsia="Times New Roman" w:hAnsi="Arial" w:cs="Arial"/>
          <w:szCs w:val="20"/>
          <w:lang w:val="es-ES_tradnl"/>
        </w:rPr>
      </w:pPr>
    </w:p>
    <w:p w:rsidR="0076374A" w:rsidRPr="00910E94" w:rsidRDefault="0076374A" w:rsidP="0076374A">
      <w:pPr>
        <w:spacing w:after="0" w:line="240" w:lineRule="auto"/>
        <w:rPr>
          <w:rFonts w:ascii="Arial" w:eastAsia="Times New Roman" w:hAnsi="Arial" w:cs="Arial"/>
          <w:szCs w:val="20"/>
          <w:lang w:val="es-ES_tradnl"/>
        </w:rPr>
      </w:pPr>
    </w:p>
    <w:p w:rsidR="0076374A" w:rsidRPr="00910E94" w:rsidRDefault="0076374A" w:rsidP="0076374A">
      <w:pPr>
        <w:spacing w:after="0" w:line="240" w:lineRule="auto"/>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2</w:t>
      </w:r>
    </w:p>
    <w:p w:rsidR="0076374A" w:rsidRPr="00910E94" w:rsidRDefault="0076374A" w:rsidP="0076374A">
      <w:pPr>
        <w:spacing w:after="0" w:line="240" w:lineRule="auto"/>
        <w:rPr>
          <w:rFonts w:ascii="Arial" w:eastAsia="Times New Roman" w:hAnsi="Arial" w:cs="Arial"/>
          <w:szCs w:val="20"/>
          <w:lang w:val="es-ES_tradnl"/>
        </w:rPr>
      </w:pPr>
    </w:p>
    <w:p w:rsidR="0076374A" w:rsidRPr="00910E94" w:rsidRDefault="0076374A" w:rsidP="0076374A">
      <w:pPr>
        <w:spacing w:after="0" w:line="240" w:lineRule="auto"/>
        <w:rPr>
          <w:rFonts w:ascii="Arial" w:eastAsia="Times New Roman" w:hAnsi="Arial" w:cs="Arial"/>
          <w:i/>
          <w:szCs w:val="20"/>
          <w:lang w:val="es-ES_tradnl"/>
        </w:rPr>
      </w:pPr>
      <w:r w:rsidRPr="00910E94">
        <w:rPr>
          <w:rFonts w:ascii="Arial" w:hAnsi="Arial"/>
          <w:i/>
          <w:lang w:val="es-ES_tradnl"/>
        </w:rPr>
        <w:t>Conviene que la OMPI haga constar los datos de los activos patrimoniales, incluidas las obras de arte, en las notas de los estados financieros y adopte medidas para reforzar los sistemas de seguridad a fin de prevenir nuevas pérdidas de tales activos.</w:t>
      </w:r>
    </w:p>
    <w:p w:rsidR="0076374A" w:rsidRPr="00910E94" w:rsidRDefault="0076374A" w:rsidP="0076374A">
      <w:pPr>
        <w:spacing w:after="0" w:line="240" w:lineRule="auto"/>
        <w:rPr>
          <w:rFonts w:ascii="Arial" w:eastAsia="Times New Roman" w:hAnsi="Arial" w:cs="Arial"/>
          <w:szCs w:val="20"/>
          <w:lang w:val="es-ES_tradnl"/>
        </w:rPr>
      </w:pPr>
    </w:p>
    <w:p w:rsidR="0076374A" w:rsidRPr="00910E94" w:rsidRDefault="0076374A" w:rsidP="0076374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76374A" w:rsidRPr="00910E94" w:rsidRDefault="0076374A" w:rsidP="0076374A">
      <w:pPr>
        <w:spacing w:after="0" w:line="240" w:lineRule="auto"/>
        <w:jc w:val="both"/>
        <w:rPr>
          <w:rFonts w:ascii="Arial" w:eastAsia="Times New Roman" w:hAnsi="Arial" w:cs="Arial"/>
          <w:szCs w:val="20"/>
          <w:lang w:val="es-ES_tradnl"/>
        </w:rPr>
      </w:pPr>
    </w:p>
    <w:p w:rsidR="0076374A" w:rsidRPr="00910E94" w:rsidRDefault="0076374A" w:rsidP="0076374A">
      <w:pPr>
        <w:spacing w:after="0" w:line="240" w:lineRule="auto"/>
        <w:jc w:val="both"/>
        <w:rPr>
          <w:rFonts w:ascii="Arial" w:eastAsia="Times New Roman" w:hAnsi="Arial" w:cs="Arial"/>
          <w:szCs w:val="20"/>
          <w:lang w:val="es-ES_tradnl"/>
        </w:rPr>
      </w:pPr>
      <w:r w:rsidRPr="00910E94">
        <w:rPr>
          <w:rFonts w:ascii="Arial" w:hAnsi="Arial"/>
          <w:lang w:val="es-ES_tradnl"/>
        </w:rPr>
        <w:t>En el caso concreto de los activos patrimoniales y las obras de arte, las IPSAS prevén expresamente que no es preciso su reconocimiento</w:t>
      </w:r>
      <w:r w:rsidR="00344EE2">
        <w:rPr>
          <w:rFonts w:ascii="Arial" w:hAnsi="Arial"/>
          <w:lang w:val="es-ES_tradnl"/>
        </w:rPr>
        <w:t xml:space="preserve">.  </w:t>
      </w:r>
      <w:r w:rsidRPr="00910E94">
        <w:rPr>
          <w:rFonts w:ascii="Arial" w:hAnsi="Arial"/>
          <w:lang w:val="es-ES_tradnl"/>
        </w:rPr>
        <w:t>Las IPSAS no exigen divulgar los activos patrimoniales que no se han reconocido en los estados financieros</w:t>
      </w:r>
      <w:r w:rsidR="00344EE2">
        <w:rPr>
          <w:rFonts w:ascii="Arial" w:hAnsi="Arial"/>
          <w:lang w:val="es-ES_tradnl"/>
        </w:rPr>
        <w:t xml:space="preserve">.  </w:t>
      </w:r>
      <w:r w:rsidRPr="00910E94">
        <w:rPr>
          <w:rFonts w:ascii="Arial" w:hAnsi="Arial"/>
          <w:lang w:val="es-ES_tradnl"/>
        </w:rPr>
        <w:t>Por otra parte, conforme a las actuales directrices del Grupo de Trabajo de las Naciones Unidas sobre activos patrimoniales, no hay que reconocerlos en los estados financieros</w:t>
      </w:r>
      <w:r w:rsidR="00344EE2">
        <w:rPr>
          <w:rFonts w:ascii="Arial" w:hAnsi="Arial"/>
          <w:lang w:val="es-ES_tradnl"/>
        </w:rPr>
        <w:t xml:space="preserve">.  </w:t>
      </w:r>
      <w:r w:rsidRPr="00910E94">
        <w:rPr>
          <w:rFonts w:ascii="Arial" w:hAnsi="Arial"/>
          <w:lang w:val="es-ES_tradnl"/>
        </w:rPr>
        <w:t xml:space="preserve">La Administración de la OMPI toma nota de esta recomendación y propone debatir la cuestión de los activos patrimoniales en la próxima reunión del Grupo de Trabajo de las Naciones Unidas que se celebrará en octubre </w:t>
      </w:r>
      <w:r w:rsidR="00CC3D7A" w:rsidRPr="00910E94">
        <w:rPr>
          <w:rFonts w:ascii="Arial" w:hAnsi="Arial"/>
          <w:lang w:val="es-ES_tradnl"/>
        </w:rPr>
        <w:t>de 20</w:t>
      </w:r>
      <w:r w:rsidRPr="00910E94">
        <w:rPr>
          <w:rFonts w:ascii="Arial" w:hAnsi="Arial"/>
          <w:lang w:val="es-ES_tradnl"/>
        </w:rPr>
        <w:t>15</w:t>
      </w:r>
      <w:r w:rsidR="00344EE2">
        <w:rPr>
          <w:rFonts w:ascii="Arial" w:hAnsi="Arial"/>
          <w:lang w:val="es-ES_tradnl"/>
        </w:rPr>
        <w:t xml:space="preserve">.  </w:t>
      </w:r>
      <w:r w:rsidRPr="00910E94">
        <w:rPr>
          <w:rFonts w:ascii="Arial" w:hAnsi="Arial"/>
          <w:lang w:val="es-ES_tradnl"/>
        </w:rPr>
        <w:t>A continuación, se examinará la posibilidad de dejar constancia más detalladamente</w:t>
      </w:r>
      <w:r w:rsidR="006E075E">
        <w:rPr>
          <w:rFonts w:ascii="Arial" w:hAnsi="Arial"/>
          <w:lang w:val="es-ES_tradnl"/>
        </w:rPr>
        <w:t xml:space="preserve"> de ellos</w:t>
      </w:r>
      <w:r w:rsidRPr="00910E94">
        <w:rPr>
          <w:rFonts w:ascii="Arial" w:hAnsi="Arial"/>
          <w:lang w:val="es-ES_tradnl"/>
        </w:rPr>
        <w:t xml:space="preserve"> en los estados financieros </w:t>
      </w:r>
      <w:r w:rsidR="00CC3D7A" w:rsidRPr="00910E94">
        <w:rPr>
          <w:rFonts w:ascii="Arial" w:hAnsi="Arial"/>
          <w:lang w:val="es-ES_tradnl"/>
        </w:rPr>
        <w:t>de 20</w:t>
      </w:r>
      <w:r w:rsidRPr="00910E94">
        <w:rPr>
          <w:rFonts w:ascii="Arial" w:hAnsi="Arial"/>
          <w:lang w:val="es-ES_tradnl"/>
        </w:rPr>
        <w:t>15.</w:t>
      </w:r>
    </w:p>
    <w:p w:rsidR="0076374A" w:rsidRPr="00910E94" w:rsidRDefault="0076374A" w:rsidP="0076374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szCs w:val="20"/>
          <w:lang w:val="es-ES_tradnl"/>
        </w:rPr>
      </w:pPr>
      <w:r w:rsidRPr="00910E94">
        <w:rPr>
          <w:rFonts w:ascii="Arial" w:hAnsi="Arial"/>
          <w:lang w:val="es-ES_tradnl"/>
        </w:rPr>
        <w:t>Tras la publicación de una nueva orden de servicio sobre gestión de activos, la División de Infraestructura de Locales será responsable de recopilar las obras de arte y se adoptarán varias medidas, entre ellas el reforzamiento de los sistemas de seguridad.</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3</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la OMPI estudie elaborar el informe sobre el rendimiento de los programas antes de la finalización de la auditoría financiera o proporcione una explicación de las diferencias entre los importes presupuestados y reales en los estados financie</w:t>
      </w:r>
      <w:r w:rsidR="00CC3D7A" w:rsidRPr="00910E94">
        <w:rPr>
          <w:rFonts w:ascii="Arial" w:hAnsi="Arial"/>
          <w:i/>
          <w:lang w:val="es-ES_tradnl"/>
        </w:rPr>
        <w:t>ros de conformidad con la</w:t>
      </w:r>
      <w:r w:rsidR="006E075E">
        <w:rPr>
          <w:rFonts w:ascii="Arial" w:hAnsi="Arial"/>
          <w:i/>
          <w:lang w:val="es-ES_tradnl"/>
        </w:rPr>
        <w:t xml:space="preserve"> norma</w:t>
      </w:r>
      <w:r w:rsidR="00CC3D7A" w:rsidRPr="00910E94">
        <w:rPr>
          <w:rFonts w:ascii="Arial" w:hAnsi="Arial"/>
          <w:i/>
          <w:lang w:val="es-ES_tradnl"/>
        </w:rPr>
        <w:t xml:space="preserve"> IPSAS </w:t>
      </w:r>
      <w:r w:rsidRPr="00910E94">
        <w:rPr>
          <w:rFonts w:ascii="Arial" w:hAnsi="Arial"/>
          <w:i/>
          <w:lang w:val="es-ES_tradnl"/>
        </w:rPr>
        <w:t>24.</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szCs w:val="20"/>
          <w:lang w:val="es-ES_tradnl"/>
        </w:rPr>
      </w:pPr>
      <w:r w:rsidRPr="00910E94">
        <w:rPr>
          <w:rFonts w:ascii="Arial" w:hAnsi="Arial"/>
          <w:lang w:val="es-ES_tradnl"/>
        </w:rPr>
        <w:t>Se dará a conocer, en el marco de la auditoría, el borrador de las explicaciones sobre los recursos elaboradas para el informe sobre el rendimiento de los programas.</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4</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la Oficina Internacional redoble sus esfuerzos para recibir sin demora las tasas de las oficinas de propiedad intelectual</w:t>
      </w:r>
      <w:r w:rsidR="00344EE2">
        <w:rPr>
          <w:rFonts w:ascii="Arial" w:hAnsi="Arial"/>
          <w:i/>
          <w:lang w:val="es-ES_tradnl"/>
        </w:rPr>
        <w:t xml:space="preserve">.  </w:t>
      </w:r>
    </w:p>
    <w:p w:rsidR="0076374A" w:rsidRPr="00910E94" w:rsidRDefault="0076374A" w:rsidP="0076374A">
      <w:pPr>
        <w:spacing w:after="0" w:line="240" w:lineRule="auto"/>
        <w:rPr>
          <w:rFonts w:ascii="Arial" w:eastAsia="Times New Roman" w:hAnsi="Arial" w:cs="Arial"/>
          <w:szCs w:val="20"/>
          <w:lang w:val="es-ES_tradnl"/>
        </w:rPr>
      </w:pPr>
    </w:p>
    <w:p w:rsidR="0076374A" w:rsidRPr="00910E94" w:rsidRDefault="0076374A" w:rsidP="0076374A">
      <w:pPr>
        <w:spacing w:after="0" w:line="240" w:lineRule="auto"/>
        <w:rPr>
          <w:rFonts w:ascii="Arial" w:eastAsia="Times New Roman" w:hAnsi="Arial" w:cs="Arial"/>
          <w:b/>
          <w:szCs w:val="20"/>
          <w:lang w:val="es-ES_tradnl"/>
        </w:rPr>
      </w:pPr>
      <w:r w:rsidRPr="00910E94">
        <w:rPr>
          <w:rFonts w:ascii="Arial" w:hAnsi="Arial"/>
          <w:b/>
          <w:lang w:val="es-ES_tradnl"/>
        </w:rPr>
        <w:lastRenderedPageBreak/>
        <w:t>Respuesta</w:t>
      </w:r>
    </w:p>
    <w:p w:rsidR="0076374A" w:rsidRPr="00910E94" w:rsidRDefault="0076374A" w:rsidP="0076374A">
      <w:pPr>
        <w:spacing w:after="0" w:line="240" w:lineRule="auto"/>
        <w:rPr>
          <w:rFonts w:ascii="Arial" w:eastAsia="Times New Roman" w:hAnsi="Arial" w:cs="Arial"/>
          <w:szCs w:val="20"/>
          <w:lang w:val="es-ES_tradnl"/>
        </w:rPr>
      </w:pPr>
    </w:p>
    <w:p w:rsidR="0076374A" w:rsidRPr="00910E94" w:rsidRDefault="0076374A" w:rsidP="0076374A">
      <w:pPr>
        <w:spacing w:after="0" w:line="240" w:lineRule="auto"/>
        <w:jc w:val="both"/>
        <w:rPr>
          <w:rFonts w:ascii="Arial" w:eastAsia="Times New Roman" w:hAnsi="Arial" w:cs="Arial"/>
          <w:szCs w:val="20"/>
          <w:lang w:val="es-ES_tradnl"/>
        </w:rPr>
      </w:pPr>
      <w:r w:rsidRPr="00910E94">
        <w:rPr>
          <w:rFonts w:ascii="Arial" w:hAnsi="Arial"/>
          <w:lang w:val="es-ES_tradnl"/>
        </w:rPr>
        <w:t>Desde hace tiempo, la Oficina Internacional mantiene contactos regulares con la Oficina Estatal de Propiedad Intelectual (SIPO) acerca de la puntualidad de las transferencias de las tasas de presentación de solicitudes internacionales y las tasas de tramitación</w:t>
      </w:r>
      <w:r w:rsidR="00344EE2">
        <w:rPr>
          <w:rFonts w:ascii="Arial" w:hAnsi="Arial"/>
          <w:lang w:val="es-ES_tradnl"/>
        </w:rPr>
        <w:t xml:space="preserve">.  </w:t>
      </w:r>
      <w:r w:rsidRPr="00910E94">
        <w:rPr>
          <w:rFonts w:ascii="Arial" w:hAnsi="Arial"/>
          <w:lang w:val="es-ES_tradnl"/>
        </w:rPr>
        <w:t xml:space="preserve">La SIPO ha logrado avances constantes y considerables a este respecto y, en concreto, desde comienzos </w:t>
      </w:r>
      <w:r w:rsidR="00CC3D7A" w:rsidRPr="00910E94">
        <w:rPr>
          <w:rFonts w:ascii="Arial" w:hAnsi="Arial"/>
          <w:lang w:val="es-ES_tradnl"/>
        </w:rPr>
        <w:t>de 20</w:t>
      </w:r>
      <w:r w:rsidRPr="00910E94">
        <w:rPr>
          <w:rFonts w:ascii="Arial" w:hAnsi="Arial"/>
          <w:lang w:val="es-ES_tradnl"/>
        </w:rPr>
        <w:t>15, el tiempo medio de transferencia de las tasas se ha reducido a tres meses, lo que supone una mejora notable con respecto al mismo período del año 2014</w:t>
      </w:r>
      <w:r w:rsidR="00344EE2">
        <w:rPr>
          <w:rFonts w:ascii="Arial" w:hAnsi="Arial"/>
          <w:lang w:val="es-ES_tradnl"/>
        </w:rPr>
        <w:t xml:space="preserve">.  </w:t>
      </w:r>
      <w:r w:rsidRPr="00910E94">
        <w:rPr>
          <w:rFonts w:ascii="Arial" w:hAnsi="Arial"/>
          <w:lang w:val="es-ES_tradnl"/>
        </w:rPr>
        <w:t>La Oficina Internacional está comprometida a seguir trabajando con la SIPO en esta cuestión y cabe esperar nuevos avances en un futuro próximo.</w:t>
      </w:r>
    </w:p>
    <w:p w:rsidR="0076374A" w:rsidRPr="00910E94" w:rsidRDefault="0076374A" w:rsidP="0076374A">
      <w:pPr>
        <w:spacing w:after="0" w:line="240" w:lineRule="auto"/>
        <w:rPr>
          <w:rFonts w:ascii="Arial" w:eastAsia="Times New Roman" w:hAnsi="Arial" w:cs="Arial"/>
          <w:szCs w:val="20"/>
          <w:lang w:val="es-ES_tradnl"/>
        </w:rPr>
      </w:pPr>
    </w:p>
    <w:p w:rsidR="0076374A" w:rsidRPr="00910E94" w:rsidRDefault="0076374A" w:rsidP="0076374A">
      <w:pPr>
        <w:spacing w:after="0" w:line="240" w:lineRule="auto"/>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5</w:t>
      </w:r>
    </w:p>
    <w:p w:rsidR="0076374A" w:rsidRPr="00910E94" w:rsidRDefault="0076374A" w:rsidP="0076374A">
      <w:pPr>
        <w:spacing w:after="0" w:line="240" w:lineRule="auto"/>
        <w:rPr>
          <w:rFonts w:ascii="Arial" w:eastAsia="Times New Roman" w:hAnsi="Arial" w:cs="Arial"/>
          <w:i/>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 xml:space="preserve">Conviene que la OMPI siga analizando medios de limitar las demoras, tanto en los proyectos concretos como en la cartera en su conjunto, que afectan a la instauración del sistema de planificación de los recursos institucionales, de forma que el proyecto pueda concluirse </w:t>
      </w:r>
      <w:r w:rsidR="006E075E">
        <w:rPr>
          <w:rFonts w:ascii="Arial" w:hAnsi="Arial"/>
          <w:i/>
          <w:lang w:val="es-ES_tradnl"/>
        </w:rPr>
        <w:t>con arreglo</w:t>
      </w:r>
      <w:r w:rsidRPr="00910E94">
        <w:rPr>
          <w:rFonts w:ascii="Arial" w:hAnsi="Arial"/>
          <w:i/>
          <w:lang w:val="es-ES_tradnl"/>
        </w:rPr>
        <w:t xml:space="preserve"> </w:t>
      </w:r>
      <w:r w:rsidR="006E075E">
        <w:rPr>
          <w:rFonts w:ascii="Arial" w:hAnsi="Arial"/>
          <w:i/>
          <w:lang w:val="es-ES_tradnl"/>
        </w:rPr>
        <w:t>a</w:t>
      </w:r>
      <w:r w:rsidRPr="00910E94">
        <w:rPr>
          <w:rFonts w:ascii="Arial" w:hAnsi="Arial"/>
          <w:i/>
          <w:lang w:val="es-ES_tradnl"/>
        </w:rPr>
        <w:t xml:space="preserve">l calendario revisado, que se presentará a los Estados miembros en septiembre </w:t>
      </w:r>
      <w:r w:rsidR="00CC3D7A" w:rsidRPr="00910E94">
        <w:rPr>
          <w:rFonts w:ascii="Arial" w:hAnsi="Arial"/>
          <w:i/>
          <w:lang w:val="es-ES_tradnl"/>
        </w:rPr>
        <w:t>de 20</w:t>
      </w:r>
      <w:r w:rsidRPr="00910E94">
        <w:rPr>
          <w:rFonts w:ascii="Arial" w:hAnsi="Arial"/>
          <w:i/>
          <w:lang w:val="es-ES_tradnl"/>
        </w:rPr>
        <w:t>15.</w:t>
      </w:r>
    </w:p>
    <w:p w:rsidR="00F702A4" w:rsidRPr="00910E94" w:rsidRDefault="00F702A4" w:rsidP="0076374A">
      <w:pPr>
        <w:spacing w:after="0" w:line="240" w:lineRule="auto"/>
        <w:rPr>
          <w:rFonts w:ascii="Arial" w:eastAsia="Times New Roman" w:hAnsi="Arial" w:cs="Arial"/>
          <w:i/>
          <w:szCs w:val="20"/>
          <w:lang w:val="es-ES_tradnl"/>
        </w:rPr>
      </w:pPr>
    </w:p>
    <w:p w:rsidR="00F702A4" w:rsidRPr="00910E94" w:rsidRDefault="00F702A4" w:rsidP="0076374A">
      <w:pPr>
        <w:spacing w:after="0" w:line="240" w:lineRule="auto"/>
        <w:rPr>
          <w:rFonts w:ascii="Arial" w:eastAsia="Times New Roman" w:hAnsi="Arial" w:cs="Arial"/>
          <w:b/>
          <w:szCs w:val="20"/>
          <w:lang w:val="es-ES_tradnl"/>
        </w:rPr>
      </w:pPr>
      <w:r w:rsidRPr="00910E94">
        <w:rPr>
          <w:rFonts w:ascii="Arial" w:hAnsi="Arial"/>
          <w:b/>
          <w:lang w:val="es-ES_tradnl"/>
        </w:rPr>
        <w:t>Respuesta</w:t>
      </w:r>
    </w:p>
    <w:p w:rsidR="00F702A4" w:rsidRPr="00910E94" w:rsidRDefault="00F702A4" w:rsidP="0076374A">
      <w:pPr>
        <w:spacing w:after="0" w:line="240" w:lineRule="auto"/>
        <w:rPr>
          <w:rFonts w:ascii="Arial" w:eastAsia="Times New Roman" w:hAnsi="Arial" w:cs="Arial"/>
          <w:szCs w:val="20"/>
          <w:lang w:val="es-ES_tradnl"/>
        </w:rPr>
      </w:pPr>
    </w:p>
    <w:p w:rsidR="00BF3684" w:rsidRPr="00910E94" w:rsidRDefault="00BF3684" w:rsidP="00B3220A">
      <w:pPr>
        <w:spacing w:after="0" w:line="240" w:lineRule="auto"/>
        <w:jc w:val="both"/>
        <w:rPr>
          <w:rFonts w:ascii="Arial" w:eastAsia="Times New Roman" w:hAnsi="Arial" w:cs="Arial"/>
          <w:szCs w:val="20"/>
          <w:lang w:val="es-ES_tradnl"/>
        </w:rPr>
      </w:pPr>
      <w:r w:rsidRPr="00910E94">
        <w:rPr>
          <w:rFonts w:ascii="Arial" w:hAnsi="Arial"/>
          <w:lang w:val="es-ES_tradnl"/>
        </w:rPr>
        <w:t>La OMPI hará cuanto esté a su alcance para limitar las demoras, tanto en los proyectos concretos como en la cartera en su conjunto, que afectan a la instauración del sistema de planificación de los recursos institucionales, y se esforzará por ejecutar los demás proyectos en el calendario revisado</w:t>
      </w:r>
      <w:r w:rsidR="00344EE2">
        <w:rPr>
          <w:rFonts w:ascii="Arial" w:hAnsi="Arial"/>
          <w:lang w:val="es-ES_tradnl"/>
        </w:rPr>
        <w:t xml:space="preserve">.  </w:t>
      </w:r>
      <w:r w:rsidRPr="00910E94">
        <w:rPr>
          <w:rFonts w:ascii="Arial" w:hAnsi="Arial"/>
          <w:lang w:val="es-ES_tradnl"/>
        </w:rPr>
        <w:t>Sin embargo, la OMPI seguirá dando prioridad a los costos y a la calidad por encima de los plazos señalados en el calendario, habida cuenta de los considerables cambios de gestión requeridos para implantar con éxito los sistemas de PRI.</w:t>
      </w:r>
    </w:p>
    <w:p w:rsidR="00F702A4" w:rsidRPr="00910E94" w:rsidRDefault="00F702A4"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6</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la OMPI refuerce el sistema de gestión de documentos, de forma que los documentos sobre el proyecto se mantengan en un mismo lugar.</w:t>
      </w:r>
    </w:p>
    <w:p w:rsidR="00F702A4" w:rsidRPr="00910E94" w:rsidRDefault="00F702A4" w:rsidP="00B3220A">
      <w:pPr>
        <w:spacing w:after="0" w:line="240" w:lineRule="auto"/>
        <w:jc w:val="both"/>
        <w:rPr>
          <w:rFonts w:ascii="Arial" w:eastAsia="Times New Roman" w:hAnsi="Arial" w:cs="Arial"/>
          <w:szCs w:val="20"/>
          <w:lang w:val="es-ES_tradnl"/>
        </w:rPr>
      </w:pPr>
    </w:p>
    <w:p w:rsidR="00F702A4" w:rsidRPr="00910E94" w:rsidRDefault="00F702A4"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F702A4" w:rsidRPr="00910E94" w:rsidRDefault="00F702A4" w:rsidP="00B3220A">
      <w:pPr>
        <w:spacing w:after="0" w:line="240" w:lineRule="auto"/>
        <w:jc w:val="both"/>
        <w:rPr>
          <w:rFonts w:ascii="Arial" w:eastAsia="Times New Roman" w:hAnsi="Arial" w:cs="Arial"/>
          <w:szCs w:val="20"/>
          <w:lang w:val="es-ES_tradnl"/>
        </w:rPr>
      </w:pPr>
    </w:p>
    <w:p w:rsidR="0076374A" w:rsidRPr="00910E94" w:rsidRDefault="00BF3684" w:rsidP="00B3220A">
      <w:pPr>
        <w:spacing w:after="0" w:line="240" w:lineRule="auto"/>
        <w:jc w:val="both"/>
        <w:rPr>
          <w:rFonts w:ascii="Arial" w:eastAsia="Times New Roman" w:hAnsi="Arial" w:cs="Arial"/>
          <w:szCs w:val="20"/>
          <w:lang w:val="es-ES_tradnl"/>
        </w:rPr>
      </w:pPr>
      <w:r w:rsidRPr="00910E94">
        <w:rPr>
          <w:rFonts w:ascii="Arial" w:hAnsi="Arial"/>
          <w:lang w:val="es-ES_tradnl"/>
        </w:rPr>
        <w:t>La OMPI continuará usando el sistema de documentación y las herramientas existentes, que han servido hasta ahora para alcanzar esa finalidad</w:t>
      </w:r>
      <w:r w:rsidR="00344EE2">
        <w:rPr>
          <w:rFonts w:ascii="Arial" w:hAnsi="Arial"/>
          <w:lang w:val="es-ES_tradnl"/>
        </w:rPr>
        <w:t xml:space="preserve">.  </w:t>
      </w:r>
      <w:r w:rsidRPr="00910E94">
        <w:rPr>
          <w:rFonts w:ascii="Arial" w:hAnsi="Arial"/>
          <w:lang w:val="es-ES_tradnl"/>
        </w:rPr>
        <w:t>Una vez que se haya implantado el sistema de gestión de contenidos institucionales, a través de una iniciativa del plan maestro de mejoras de infraestructura del Departamento de Tecnologías de la Información y las Comunicaciones, se considerará que la cartera de PRI es una de las primeras en adoptar tal sistema.</w:t>
      </w:r>
    </w:p>
    <w:p w:rsidR="00BF3684" w:rsidRPr="00910E94" w:rsidRDefault="00BF3684"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7</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la OMPI adopte medidas para reforzar su metodología de cálculo de costos, de forma que no se registren divergencias importantes entre los costos presupuestados y reales de cada uno de los elementos de una cartera concreta</w:t>
      </w:r>
      <w:r w:rsidR="00344EE2">
        <w:rPr>
          <w:rFonts w:ascii="Arial" w:hAnsi="Arial"/>
          <w:i/>
          <w:lang w:val="es-ES_tradnl"/>
        </w:rPr>
        <w:t xml:space="preserve">.  </w:t>
      </w:r>
    </w:p>
    <w:p w:rsidR="0076374A" w:rsidRPr="00910E94" w:rsidRDefault="0076374A" w:rsidP="0076374A">
      <w:pPr>
        <w:spacing w:after="0" w:line="240" w:lineRule="auto"/>
        <w:rPr>
          <w:rFonts w:ascii="Arial" w:eastAsia="Times New Roman" w:hAnsi="Arial" w:cs="Arial"/>
          <w:szCs w:val="20"/>
          <w:lang w:val="es-ES_tradnl"/>
        </w:rPr>
      </w:pPr>
    </w:p>
    <w:p w:rsidR="00F702A4" w:rsidRPr="00910E94" w:rsidRDefault="00F702A4" w:rsidP="00F702A4">
      <w:pPr>
        <w:spacing w:after="0" w:line="240" w:lineRule="auto"/>
        <w:rPr>
          <w:rFonts w:ascii="Arial" w:eastAsia="Times New Roman" w:hAnsi="Arial" w:cs="Arial"/>
          <w:b/>
          <w:szCs w:val="20"/>
          <w:lang w:val="es-ES_tradnl"/>
        </w:rPr>
      </w:pPr>
      <w:r w:rsidRPr="00910E94">
        <w:rPr>
          <w:rFonts w:ascii="Arial" w:hAnsi="Arial"/>
          <w:b/>
          <w:lang w:val="es-ES_tradnl"/>
        </w:rPr>
        <w:t>Respuesta</w:t>
      </w:r>
    </w:p>
    <w:p w:rsidR="00F702A4" w:rsidRPr="00910E94" w:rsidRDefault="00F702A4" w:rsidP="0076374A">
      <w:pPr>
        <w:spacing w:after="0" w:line="240" w:lineRule="auto"/>
        <w:rPr>
          <w:rFonts w:ascii="Arial" w:eastAsia="Times New Roman" w:hAnsi="Arial" w:cs="Arial"/>
          <w:szCs w:val="20"/>
          <w:lang w:val="es-ES_tradnl"/>
        </w:rPr>
      </w:pPr>
    </w:p>
    <w:p w:rsidR="00BF3684" w:rsidRPr="00910E94" w:rsidRDefault="00BF3684" w:rsidP="00B3220A">
      <w:pPr>
        <w:spacing w:after="0" w:line="240" w:lineRule="auto"/>
        <w:jc w:val="both"/>
        <w:rPr>
          <w:rFonts w:ascii="Arial" w:eastAsia="Times New Roman" w:hAnsi="Arial" w:cs="Arial"/>
          <w:szCs w:val="20"/>
          <w:lang w:val="es-ES_tradnl"/>
        </w:rPr>
      </w:pPr>
      <w:r w:rsidRPr="00910E94">
        <w:rPr>
          <w:rFonts w:ascii="Arial" w:hAnsi="Arial"/>
          <w:lang w:val="es-ES_tradnl"/>
        </w:rPr>
        <w:t>La OMPI seguirá garantizando que no se produzcan divergencias significativas entre los costos presupuestados y reales de cada uno de los elementos</w:t>
      </w:r>
      <w:r w:rsidR="00344EE2">
        <w:rPr>
          <w:rFonts w:ascii="Arial" w:hAnsi="Arial"/>
          <w:lang w:val="es-ES_tradnl"/>
        </w:rPr>
        <w:t xml:space="preserve">.  </w:t>
      </w:r>
      <w:r w:rsidRPr="00910E94">
        <w:rPr>
          <w:rFonts w:ascii="Arial" w:hAnsi="Arial"/>
          <w:lang w:val="es-ES_tradnl"/>
        </w:rPr>
        <w:t xml:space="preserve">Sin embargo, es preciso reconocer que se producirán divergencias de costos en los proyectos plurianuales, como la PRI, como consecuencia de los cambios en las hipótesis de planificación y las estrategias </w:t>
      </w:r>
      <w:r w:rsidRPr="00910E94">
        <w:rPr>
          <w:rFonts w:ascii="Arial" w:hAnsi="Arial"/>
          <w:lang w:val="es-ES_tradnl"/>
        </w:rPr>
        <w:lastRenderedPageBreak/>
        <w:t>de ejecución</w:t>
      </w:r>
      <w:r w:rsidR="00344EE2">
        <w:rPr>
          <w:rFonts w:ascii="Arial" w:hAnsi="Arial"/>
          <w:lang w:val="es-ES_tradnl"/>
        </w:rPr>
        <w:t xml:space="preserve">.  </w:t>
      </w:r>
      <w:r w:rsidRPr="00910E94">
        <w:rPr>
          <w:rFonts w:ascii="Arial" w:hAnsi="Arial"/>
          <w:lang w:val="es-ES_tradnl"/>
        </w:rPr>
        <w:t xml:space="preserve">En el informe de PRI </w:t>
      </w:r>
      <w:r w:rsidR="00CC3D7A" w:rsidRPr="00910E94">
        <w:rPr>
          <w:rFonts w:ascii="Arial" w:hAnsi="Arial"/>
          <w:lang w:val="es-ES_tradnl"/>
        </w:rPr>
        <w:t>de 20</w:t>
      </w:r>
      <w:r w:rsidRPr="00910E94">
        <w:rPr>
          <w:rFonts w:ascii="Arial" w:hAnsi="Arial"/>
          <w:lang w:val="es-ES_tradnl"/>
        </w:rPr>
        <w:t>15 dirigido a los Estados miembros, la OMPI presentará un presupuesto actualizado en relación con la conclusión de los restantes proyectos, a fin de mostrar las repercusiones en los diversos conjuntos de proyectos y elementos de costos sobre la base de la evolución hasta la fecha y el calendario revisado.</w:t>
      </w:r>
    </w:p>
    <w:p w:rsidR="00FE15DF" w:rsidRPr="00910E94" w:rsidRDefault="00FE15DF" w:rsidP="0076374A">
      <w:pPr>
        <w:spacing w:after="0" w:line="240" w:lineRule="auto"/>
        <w:rPr>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8</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la OMPI siga en contacto con las diversas partes interesadas y elabore un plan de acción sujeto a plazos a fin de producir informes personalizados o sobre las excepciones.</w:t>
      </w:r>
    </w:p>
    <w:p w:rsidR="00F702A4" w:rsidRPr="00910E94" w:rsidRDefault="00F702A4" w:rsidP="00B3220A">
      <w:pPr>
        <w:spacing w:after="0" w:line="240" w:lineRule="auto"/>
        <w:jc w:val="both"/>
        <w:rPr>
          <w:rFonts w:ascii="Arial" w:eastAsia="Times New Roman" w:hAnsi="Arial" w:cs="Arial"/>
          <w:i/>
          <w:szCs w:val="20"/>
          <w:lang w:val="es-ES_tradnl"/>
        </w:rPr>
      </w:pPr>
    </w:p>
    <w:p w:rsidR="00F702A4" w:rsidRPr="00910E94" w:rsidRDefault="00F702A4"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F702A4" w:rsidRPr="00910E94" w:rsidRDefault="00F702A4" w:rsidP="00B3220A">
      <w:pPr>
        <w:spacing w:after="0" w:line="240" w:lineRule="auto"/>
        <w:jc w:val="both"/>
        <w:rPr>
          <w:rFonts w:ascii="Arial" w:eastAsia="Times New Roman" w:hAnsi="Arial" w:cs="Arial"/>
          <w:i/>
          <w:szCs w:val="20"/>
          <w:lang w:val="es-ES_tradnl"/>
        </w:rPr>
      </w:pPr>
    </w:p>
    <w:p w:rsidR="0076374A" w:rsidRPr="00910E94" w:rsidRDefault="006E075E" w:rsidP="00B3220A">
      <w:pPr>
        <w:spacing w:after="0"/>
        <w:jc w:val="both"/>
        <w:rPr>
          <w:rFonts w:ascii="Arial" w:eastAsia="Times New Roman" w:hAnsi="Arial" w:cs="Arial"/>
          <w:szCs w:val="20"/>
          <w:lang w:val="es-ES_tradnl"/>
        </w:rPr>
      </w:pPr>
      <w:r>
        <w:rPr>
          <w:rFonts w:ascii="Arial" w:hAnsi="Arial"/>
          <w:lang w:val="es-ES_tradnl"/>
        </w:rPr>
        <w:t xml:space="preserve">La </w:t>
      </w:r>
      <w:r w:rsidR="00BF3684" w:rsidRPr="00910E94">
        <w:rPr>
          <w:rFonts w:ascii="Arial" w:hAnsi="Arial"/>
          <w:lang w:val="es-ES_tradnl"/>
        </w:rPr>
        <w:t>OMPI continuará colaborando estrechamente con todas las partes interesadas</w:t>
      </w:r>
      <w:r w:rsidR="00344EE2">
        <w:rPr>
          <w:rFonts w:ascii="Arial" w:hAnsi="Arial"/>
          <w:lang w:val="es-ES_tradnl"/>
        </w:rPr>
        <w:t xml:space="preserve">.  </w:t>
      </w:r>
      <w:r w:rsidR="00BF3684" w:rsidRPr="00910E94">
        <w:rPr>
          <w:rFonts w:ascii="Arial" w:hAnsi="Arial"/>
          <w:lang w:val="es-ES_tradnl"/>
        </w:rPr>
        <w:t>Para ello, se celebrarán reuniones mensuales con objeto de identificar, captar y priorizar exigencias en materia de presentación de información.</w:t>
      </w:r>
    </w:p>
    <w:p w:rsidR="00BF3684" w:rsidRPr="00910E94" w:rsidRDefault="00BF3684" w:rsidP="00B3220A">
      <w:pPr>
        <w:spacing w:after="0"/>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9</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la OMPI refuerce sus mecanismos de seguimiento y gestión de contratos con vistas a lograr una entrega sin demora de los productos/servicios conforme a l</w:t>
      </w:r>
      <w:r w:rsidR="006E075E">
        <w:rPr>
          <w:rFonts w:ascii="Arial" w:hAnsi="Arial"/>
          <w:i/>
          <w:lang w:val="es-ES_tradnl"/>
        </w:rPr>
        <w:t>a</w:t>
      </w:r>
      <w:r w:rsidRPr="00910E94">
        <w:rPr>
          <w:rFonts w:ascii="Arial" w:hAnsi="Arial"/>
          <w:i/>
          <w:lang w:val="es-ES_tradnl"/>
        </w:rPr>
        <w:t xml:space="preserve">s </w:t>
      </w:r>
      <w:r w:rsidR="006E075E">
        <w:rPr>
          <w:rFonts w:ascii="Arial" w:hAnsi="Arial"/>
          <w:i/>
          <w:lang w:val="es-ES_tradnl"/>
        </w:rPr>
        <w:t>etapas prevista</w:t>
      </w:r>
      <w:r w:rsidRPr="00910E94">
        <w:rPr>
          <w:rFonts w:ascii="Arial" w:hAnsi="Arial"/>
          <w:i/>
          <w:lang w:val="es-ES_tradnl"/>
        </w:rPr>
        <w:t>s y mejore la documentación relativa a la modificación de contratos.</w:t>
      </w:r>
    </w:p>
    <w:p w:rsidR="00F702A4" w:rsidRPr="00910E94" w:rsidRDefault="00F702A4" w:rsidP="00B3220A">
      <w:pPr>
        <w:spacing w:after="0" w:line="240" w:lineRule="auto"/>
        <w:jc w:val="both"/>
        <w:rPr>
          <w:rFonts w:ascii="Arial" w:eastAsia="Times New Roman" w:hAnsi="Arial" w:cs="Arial"/>
          <w:i/>
          <w:szCs w:val="20"/>
          <w:lang w:val="es-ES_tradnl"/>
        </w:rPr>
      </w:pPr>
    </w:p>
    <w:p w:rsidR="00F702A4" w:rsidRPr="00910E94" w:rsidRDefault="00F702A4"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F702A4" w:rsidRPr="00910E94" w:rsidRDefault="00F702A4" w:rsidP="0076374A">
      <w:pPr>
        <w:spacing w:after="0" w:line="240" w:lineRule="auto"/>
        <w:rPr>
          <w:rFonts w:ascii="Arial" w:eastAsia="Times New Roman" w:hAnsi="Arial" w:cs="Arial"/>
          <w:szCs w:val="20"/>
          <w:lang w:val="es-ES_tradnl"/>
        </w:rPr>
      </w:pPr>
    </w:p>
    <w:p w:rsidR="00F702A4" w:rsidRPr="00910E94" w:rsidRDefault="00BF3684" w:rsidP="00B3220A">
      <w:pPr>
        <w:spacing w:after="0" w:line="240" w:lineRule="auto"/>
        <w:jc w:val="both"/>
        <w:rPr>
          <w:rFonts w:ascii="Arial" w:eastAsia="Times New Roman" w:hAnsi="Arial" w:cs="Arial"/>
          <w:szCs w:val="20"/>
          <w:lang w:val="es-ES_tradnl"/>
        </w:rPr>
      </w:pPr>
      <w:r w:rsidRPr="00910E94">
        <w:rPr>
          <w:rFonts w:ascii="Arial" w:hAnsi="Arial"/>
          <w:lang w:val="es-ES_tradnl"/>
        </w:rPr>
        <w:t>La OMPI garantizará que cualesquiera modificaciones futuras en los productos/servici</w:t>
      </w:r>
      <w:r w:rsidR="00D150C9">
        <w:rPr>
          <w:rFonts w:ascii="Arial" w:hAnsi="Arial"/>
          <w:lang w:val="es-ES_tradnl"/>
        </w:rPr>
        <w:t>os contratados con arreglo a una</w:t>
      </w:r>
      <w:r w:rsidRPr="00910E94">
        <w:rPr>
          <w:rFonts w:ascii="Arial" w:hAnsi="Arial"/>
          <w:lang w:val="es-ES_tradnl"/>
        </w:rPr>
        <w:t xml:space="preserve">s </w:t>
      </w:r>
      <w:r w:rsidR="00D150C9">
        <w:rPr>
          <w:rFonts w:ascii="Arial" w:hAnsi="Arial"/>
          <w:lang w:val="es-ES_tradnl"/>
        </w:rPr>
        <w:t>etapas previstas</w:t>
      </w:r>
      <w:r w:rsidRPr="00910E94">
        <w:rPr>
          <w:rFonts w:ascii="Arial" w:hAnsi="Arial"/>
          <w:lang w:val="es-ES_tradnl"/>
        </w:rPr>
        <w:t xml:space="preserve"> queden documentadas y reflejadas en un contrato revisado con el proveedor.</w:t>
      </w:r>
    </w:p>
    <w:p w:rsidR="00B746B5" w:rsidRPr="00910E94" w:rsidRDefault="00B746B5"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10</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la OMPI estudie documentar, en el futuro, los motivos para no desarrollar planes por etapas.</w:t>
      </w:r>
    </w:p>
    <w:p w:rsidR="00F702A4" w:rsidRPr="00910E94" w:rsidRDefault="00F702A4" w:rsidP="00B3220A">
      <w:pPr>
        <w:spacing w:after="0" w:line="240" w:lineRule="auto"/>
        <w:jc w:val="both"/>
        <w:rPr>
          <w:rFonts w:ascii="Arial" w:eastAsia="Times New Roman" w:hAnsi="Arial" w:cs="Arial"/>
          <w:i/>
          <w:szCs w:val="20"/>
          <w:lang w:val="es-ES_tradnl"/>
        </w:rPr>
      </w:pPr>
    </w:p>
    <w:p w:rsidR="00F702A4" w:rsidRPr="00910E94" w:rsidRDefault="00F702A4"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F702A4" w:rsidRPr="00910E94" w:rsidRDefault="00F702A4" w:rsidP="00B3220A">
      <w:pPr>
        <w:spacing w:after="0" w:line="240" w:lineRule="auto"/>
        <w:jc w:val="both"/>
        <w:rPr>
          <w:rFonts w:ascii="Arial" w:eastAsia="Times New Roman" w:hAnsi="Arial" w:cs="Arial"/>
          <w:szCs w:val="20"/>
          <w:lang w:val="es-ES_tradnl"/>
        </w:rPr>
      </w:pPr>
    </w:p>
    <w:p w:rsidR="0076374A" w:rsidRPr="00910E94" w:rsidRDefault="00BF3684" w:rsidP="00B3220A">
      <w:pPr>
        <w:spacing w:after="0" w:line="240" w:lineRule="auto"/>
        <w:jc w:val="both"/>
        <w:rPr>
          <w:rFonts w:ascii="Arial" w:eastAsia="Times New Roman" w:hAnsi="Arial" w:cs="Arial"/>
          <w:szCs w:val="20"/>
          <w:lang w:val="es-ES_tradnl"/>
        </w:rPr>
      </w:pPr>
      <w:r w:rsidRPr="00910E94">
        <w:rPr>
          <w:rFonts w:ascii="Arial" w:hAnsi="Arial"/>
          <w:lang w:val="es-ES_tradnl"/>
        </w:rPr>
        <w:t>La OMPI documentará cualquier personalización de PRINCE2, como la inexistencia de planes por etapas, que se introduzca en futuros documentos de iniciación del proyecto de PRI.</w:t>
      </w:r>
    </w:p>
    <w:p w:rsidR="00F702A4" w:rsidRPr="00910E94" w:rsidRDefault="00F702A4"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11</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de cara al futuro, la OMPI estudie definir los límites de tolerancia correspondientes a los proyectos y los diversos planes por etapas</w:t>
      </w:r>
    </w:p>
    <w:p w:rsidR="00F702A4" w:rsidRPr="00910E94" w:rsidRDefault="00F702A4" w:rsidP="00B3220A">
      <w:pPr>
        <w:spacing w:after="0" w:line="240" w:lineRule="auto"/>
        <w:jc w:val="both"/>
        <w:rPr>
          <w:rFonts w:ascii="Arial" w:eastAsia="Times New Roman" w:hAnsi="Arial" w:cs="Arial"/>
          <w:i/>
          <w:szCs w:val="20"/>
          <w:lang w:val="es-ES_tradnl"/>
        </w:rPr>
      </w:pPr>
    </w:p>
    <w:p w:rsidR="00F702A4" w:rsidRPr="00910E94" w:rsidRDefault="00F702A4"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BF3684" w:rsidRPr="00910E94" w:rsidRDefault="00BF3684" w:rsidP="00B3220A">
      <w:pPr>
        <w:spacing w:after="0" w:line="240" w:lineRule="auto"/>
        <w:jc w:val="both"/>
        <w:rPr>
          <w:rFonts w:ascii="Arial" w:eastAsia="Times New Roman" w:hAnsi="Arial" w:cs="Arial"/>
          <w:szCs w:val="20"/>
          <w:lang w:val="es-ES_tradnl"/>
        </w:rPr>
      </w:pPr>
    </w:p>
    <w:p w:rsidR="0076374A" w:rsidRPr="00910E94" w:rsidRDefault="00BF3684" w:rsidP="00B3220A">
      <w:pPr>
        <w:spacing w:after="0" w:line="240" w:lineRule="auto"/>
        <w:jc w:val="both"/>
        <w:rPr>
          <w:rFonts w:ascii="Arial" w:eastAsia="Times New Roman" w:hAnsi="Arial" w:cs="Arial"/>
          <w:szCs w:val="20"/>
          <w:lang w:val="es-ES_tradnl"/>
        </w:rPr>
      </w:pPr>
      <w:r w:rsidRPr="00910E94">
        <w:rPr>
          <w:rFonts w:ascii="Arial" w:hAnsi="Arial"/>
          <w:lang w:val="es-ES_tradnl"/>
        </w:rPr>
        <w:t xml:space="preserve">La OMPI documentará todas las </w:t>
      </w:r>
      <w:r w:rsidR="009D7E04" w:rsidRPr="00910E94">
        <w:rPr>
          <w:rFonts w:ascii="Arial" w:hAnsi="Arial"/>
          <w:lang w:val="es-ES_tradnl"/>
        </w:rPr>
        <w:t>tolerancias</w:t>
      </w:r>
      <w:r w:rsidRPr="00910E94">
        <w:rPr>
          <w:rFonts w:ascii="Arial" w:hAnsi="Arial"/>
          <w:lang w:val="es-ES_tradnl"/>
        </w:rPr>
        <w:t>, incluso las implícitas, en los futuros documentos de indicación del proyecto PRI.</w:t>
      </w:r>
    </w:p>
    <w:p w:rsidR="00F702A4" w:rsidRPr="00910E94" w:rsidRDefault="00F702A4"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12</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lastRenderedPageBreak/>
        <w:t>Conviene que la OMPI estudie realizar un análisis de sensibilidad de los problemas planteados durante la reunión de la Oficina de gestión del proyecto y la junta del proyecto en función de su gravedad.</w:t>
      </w:r>
    </w:p>
    <w:p w:rsidR="00F702A4" w:rsidRPr="00910E94" w:rsidRDefault="00F702A4" w:rsidP="00B3220A">
      <w:pPr>
        <w:spacing w:after="0" w:line="240" w:lineRule="auto"/>
        <w:jc w:val="both"/>
        <w:rPr>
          <w:rFonts w:ascii="Arial" w:eastAsia="Times New Roman" w:hAnsi="Arial" w:cs="Arial"/>
          <w:i/>
          <w:szCs w:val="20"/>
          <w:lang w:val="es-ES_tradnl"/>
        </w:rPr>
      </w:pPr>
    </w:p>
    <w:p w:rsidR="00F702A4" w:rsidRPr="00910E94" w:rsidRDefault="00F702A4"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F702A4" w:rsidRPr="00910E94" w:rsidRDefault="00F702A4" w:rsidP="00B3220A">
      <w:pPr>
        <w:spacing w:after="0" w:line="240" w:lineRule="auto"/>
        <w:jc w:val="both"/>
        <w:rPr>
          <w:rFonts w:ascii="Arial" w:eastAsia="Times New Roman" w:hAnsi="Arial" w:cs="Arial"/>
          <w:szCs w:val="20"/>
          <w:lang w:val="es-ES_tradnl"/>
        </w:rPr>
      </w:pPr>
    </w:p>
    <w:p w:rsidR="00BF3684" w:rsidRPr="00910E94" w:rsidRDefault="00BF3684" w:rsidP="00B3220A">
      <w:pPr>
        <w:spacing w:after="0"/>
        <w:jc w:val="both"/>
        <w:rPr>
          <w:rFonts w:ascii="Arial" w:eastAsia="Times New Roman" w:hAnsi="Arial" w:cs="Arial"/>
          <w:szCs w:val="20"/>
          <w:lang w:val="es-ES_tradnl"/>
        </w:rPr>
      </w:pPr>
      <w:r w:rsidRPr="00910E94">
        <w:rPr>
          <w:rFonts w:ascii="Arial" w:hAnsi="Arial"/>
          <w:lang w:val="es-ES_tradnl"/>
        </w:rPr>
        <w:t xml:space="preserve">La OMPI ha establecido ya un análisis de sensibilidad con códigos </w:t>
      </w:r>
      <w:r w:rsidR="00D150C9">
        <w:rPr>
          <w:rFonts w:ascii="Arial" w:hAnsi="Arial"/>
          <w:lang w:val="es-ES_tradnl"/>
        </w:rPr>
        <w:t>d</w:t>
      </w:r>
      <w:r w:rsidRPr="00910E94">
        <w:rPr>
          <w:rFonts w:ascii="Arial" w:hAnsi="Arial"/>
          <w:lang w:val="es-ES_tradnl"/>
        </w:rPr>
        <w:t xml:space="preserve">e colores, en el marco del informe mensual sobre la marcha de la cartera, con objeto de facilitar a la </w:t>
      </w:r>
      <w:r w:rsidR="007B0295">
        <w:rPr>
          <w:rFonts w:ascii="Arial" w:hAnsi="Arial"/>
          <w:lang w:val="es-ES_tradnl"/>
        </w:rPr>
        <w:t>Junta de la Cartera</w:t>
      </w:r>
      <w:r w:rsidRPr="00910E94">
        <w:rPr>
          <w:rFonts w:ascii="Arial" w:hAnsi="Arial"/>
          <w:lang w:val="es-ES_tradnl"/>
        </w:rPr>
        <w:t xml:space="preserve"> y a otras personas que lean el documento la fijación de prioridades claras entre los problemas que requieren atención</w:t>
      </w:r>
      <w:r w:rsidR="00344EE2">
        <w:rPr>
          <w:rFonts w:ascii="Arial" w:hAnsi="Arial"/>
          <w:lang w:val="es-ES_tradnl"/>
        </w:rPr>
        <w:t xml:space="preserve">.  </w:t>
      </w:r>
      <w:r w:rsidRPr="00910E94">
        <w:rPr>
          <w:rFonts w:ascii="Arial" w:hAnsi="Arial"/>
          <w:lang w:val="es-ES_tradnl"/>
        </w:rPr>
        <w:t>La OMPI promoverá que, en los proyectos concretos, se lleve a cabo este mismo análisis de sensibilidad y se presente información acerca de los problemas específicos del proyecto.</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13</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 xml:space="preserve">Conviene que la OMPI estudie presentar </w:t>
      </w:r>
      <w:r w:rsidR="00575CF9" w:rsidRPr="00910E94">
        <w:rPr>
          <w:rFonts w:ascii="Arial" w:hAnsi="Arial"/>
          <w:i/>
          <w:lang w:val="es-ES_tradnl"/>
        </w:rPr>
        <w:t xml:space="preserve">a las Asambleas de los Estados miembros </w:t>
      </w:r>
      <w:r w:rsidRPr="00910E94">
        <w:rPr>
          <w:rFonts w:ascii="Arial" w:hAnsi="Arial"/>
          <w:i/>
          <w:lang w:val="es-ES_tradnl"/>
        </w:rPr>
        <w:t xml:space="preserve">información sobre la evaluación de los resultados de los </w:t>
      </w:r>
      <w:r w:rsidR="00EF169C">
        <w:rPr>
          <w:rFonts w:ascii="Arial" w:hAnsi="Arial"/>
          <w:i/>
          <w:lang w:val="es-ES_tradnl"/>
        </w:rPr>
        <w:t>asociados</w:t>
      </w:r>
      <w:r w:rsidRPr="00910E94">
        <w:rPr>
          <w:rFonts w:ascii="Arial" w:hAnsi="Arial"/>
          <w:i/>
          <w:lang w:val="es-ES_tradnl"/>
        </w:rPr>
        <w:t xml:space="preserve"> externos </w:t>
      </w:r>
      <w:r w:rsidR="00EF169C">
        <w:rPr>
          <w:rFonts w:ascii="Arial" w:hAnsi="Arial"/>
          <w:i/>
          <w:lang w:val="es-ES_tradnl"/>
        </w:rPr>
        <w:t xml:space="preserve">encargados de </w:t>
      </w:r>
      <w:r w:rsidRPr="00910E94">
        <w:rPr>
          <w:rFonts w:ascii="Arial" w:hAnsi="Arial"/>
          <w:i/>
          <w:lang w:val="es-ES_tradnl"/>
        </w:rPr>
        <w:t>la ejecución, en el marco del informe sobre la marcha de la instauración de un sistema global e integrado de planificación de los recursos institucionales. </w:t>
      </w:r>
    </w:p>
    <w:p w:rsidR="0076374A" w:rsidRPr="00910E94" w:rsidRDefault="0076374A" w:rsidP="00B3220A">
      <w:pPr>
        <w:spacing w:after="0" w:line="240" w:lineRule="auto"/>
        <w:jc w:val="both"/>
        <w:rPr>
          <w:rFonts w:ascii="Arial" w:eastAsia="Times New Roman" w:hAnsi="Arial" w:cs="Arial"/>
          <w:szCs w:val="20"/>
          <w:lang w:val="es-ES_tradnl"/>
        </w:rPr>
      </w:pPr>
    </w:p>
    <w:p w:rsidR="00BF3684" w:rsidRPr="00910E94" w:rsidRDefault="00BF3684"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BF3684" w:rsidRPr="00910E94" w:rsidRDefault="00BF3684" w:rsidP="00B3220A">
      <w:pPr>
        <w:spacing w:after="0" w:line="240" w:lineRule="auto"/>
        <w:jc w:val="both"/>
        <w:rPr>
          <w:rFonts w:ascii="Arial" w:eastAsia="Times New Roman" w:hAnsi="Arial" w:cs="Arial"/>
          <w:szCs w:val="20"/>
          <w:lang w:val="es-ES_tradnl"/>
        </w:rPr>
      </w:pPr>
    </w:p>
    <w:p w:rsidR="00BF3684" w:rsidRPr="00910E94" w:rsidRDefault="00BF3684" w:rsidP="00B3220A">
      <w:pPr>
        <w:spacing w:after="0" w:line="240" w:lineRule="auto"/>
        <w:jc w:val="both"/>
        <w:rPr>
          <w:rFonts w:ascii="Arial" w:eastAsia="Times New Roman" w:hAnsi="Arial" w:cs="Arial"/>
          <w:szCs w:val="20"/>
          <w:lang w:val="es-ES_tradnl"/>
        </w:rPr>
      </w:pPr>
      <w:r w:rsidRPr="00910E94">
        <w:rPr>
          <w:rFonts w:ascii="Arial" w:hAnsi="Arial"/>
          <w:lang w:val="es-ES_tradnl"/>
        </w:rPr>
        <w:t xml:space="preserve">La OMPI ha incluido una sección sobre los resultados del </w:t>
      </w:r>
      <w:r w:rsidR="00EF169C">
        <w:rPr>
          <w:rFonts w:ascii="Arial" w:hAnsi="Arial"/>
          <w:lang w:val="es-ES_tradnl"/>
        </w:rPr>
        <w:t>asociado externo encargado de</w:t>
      </w:r>
      <w:r w:rsidRPr="00910E94">
        <w:rPr>
          <w:rFonts w:ascii="Arial" w:hAnsi="Arial"/>
          <w:lang w:val="es-ES_tradnl"/>
        </w:rPr>
        <w:t xml:space="preserve"> la ejecución en el informe sobre la marcha de la instauración del sistema de PRI </w:t>
      </w:r>
      <w:r w:rsidR="00CC3D7A" w:rsidRPr="00910E94">
        <w:rPr>
          <w:rFonts w:ascii="Arial" w:hAnsi="Arial"/>
          <w:lang w:val="es-ES_tradnl"/>
        </w:rPr>
        <w:t>de 20</w:t>
      </w:r>
      <w:r w:rsidRPr="00910E94">
        <w:rPr>
          <w:rFonts w:ascii="Arial" w:hAnsi="Arial"/>
          <w:lang w:val="es-ES_tradnl"/>
        </w:rPr>
        <w:t>15 dirigido a los Estados miembros.</w:t>
      </w:r>
    </w:p>
    <w:p w:rsidR="00BF3684" w:rsidRPr="00910E94" w:rsidRDefault="00BF3684"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14</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la OMPI interrumpa los subsidios para primas de seguros de accidentes no laborales.</w:t>
      </w:r>
    </w:p>
    <w:p w:rsidR="00861A68" w:rsidRPr="00910E94" w:rsidRDefault="00861A68" w:rsidP="00B3220A">
      <w:pPr>
        <w:spacing w:after="0" w:line="240" w:lineRule="auto"/>
        <w:jc w:val="both"/>
        <w:rPr>
          <w:rFonts w:ascii="Arial" w:eastAsia="Times New Roman" w:hAnsi="Arial" w:cs="Arial"/>
          <w:i/>
          <w:szCs w:val="20"/>
          <w:lang w:val="es-ES_tradnl"/>
        </w:rPr>
      </w:pPr>
    </w:p>
    <w:p w:rsidR="00861A68" w:rsidRPr="00910E94" w:rsidRDefault="00861A68"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861A68" w:rsidRPr="00910E94" w:rsidRDefault="00861A68" w:rsidP="00B3220A">
      <w:pPr>
        <w:spacing w:after="0" w:line="240" w:lineRule="auto"/>
        <w:jc w:val="both"/>
        <w:rPr>
          <w:rFonts w:ascii="Arial" w:eastAsia="Times New Roman" w:hAnsi="Arial" w:cs="Arial"/>
          <w:szCs w:val="20"/>
          <w:lang w:val="es-ES_tradnl"/>
        </w:rPr>
      </w:pPr>
    </w:p>
    <w:p w:rsidR="0076374A" w:rsidRPr="00910E94" w:rsidRDefault="00861A68" w:rsidP="00693071">
      <w:pPr>
        <w:spacing w:after="0" w:line="240" w:lineRule="auto"/>
        <w:jc w:val="both"/>
        <w:rPr>
          <w:rFonts w:ascii="Arial" w:eastAsia="Times New Roman" w:hAnsi="Arial" w:cs="Arial"/>
          <w:szCs w:val="20"/>
          <w:lang w:val="es-ES_tradnl"/>
        </w:rPr>
      </w:pPr>
      <w:r w:rsidRPr="00910E94">
        <w:rPr>
          <w:rFonts w:ascii="Arial" w:hAnsi="Arial"/>
          <w:lang w:val="es-ES_tradnl"/>
        </w:rPr>
        <w:t>Tales subsidios cesarán el</w:t>
      </w:r>
      <w:r w:rsidR="00693071" w:rsidRPr="00910E94">
        <w:rPr>
          <w:rFonts w:ascii="Arial" w:hAnsi="Arial"/>
          <w:lang w:val="es-ES_tradnl"/>
        </w:rPr>
        <w:t> </w:t>
      </w:r>
      <w:r w:rsidRPr="00910E94">
        <w:rPr>
          <w:rFonts w:ascii="Arial" w:hAnsi="Arial"/>
          <w:lang w:val="es-ES_tradnl"/>
        </w:rPr>
        <w:t xml:space="preserve">1 de enero </w:t>
      </w:r>
      <w:r w:rsidR="00CC3D7A" w:rsidRPr="00910E94">
        <w:rPr>
          <w:rFonts w:ascii="Arial" w:hAnsi="Arial"/>
          <w:lang w:val="es-ES_tradnl"/>
        </w:rPr>
        <w:t>de 20</w:t>
      </w:r>
      <w:r w:rsidRPr="00910E94">
        <w:rPr>
          <w:rFonts w:ascii="Arial" w:hAnsi="Arial"/>
          <w:lang w:val="es-ES_tradnl"/>
        </w:rPr>
        <w:t>16.</w:t>
      </w:r>
    </w:p>
    <w:p w:rsidR="00861A68" w:rsidRPr="00910E94" w:rsidRDefault="00861A68"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15</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Conviene que la OMPI agilice el proceso de actualización del sistema de T.I</w:t>
      </w:r>
      <w:r w:rsidR="00344EE2">
        <w:rPr>
          <w:rFonts w:ascii="Arial" w:hAnsi="Arial"/>
          <w:i/>
          <w:lang w:val="es-ES_tradnl"/>
        </w:rPr>
        <w:t xml:space="preserve">.  </w:t>
      </w:r>
      <w:r w:rsidRPr="00910E94">
        <w:rPr>
          <w:rFonts w:ascii="Arial" w:hAnsi="Arial"/>
          <w:i/>
          <w:lang w:val="es-ES_tradnl"/>
        </w:rPr>
        <w:t>para atenerse a las normas.</w:t>
      </w:r>
    </w:p>
    <w:p w:rsidR="0076374A" w:rsidRPr="00910E94" w:rsidRDefault="0076374A" w:rsidP="00B3220A">
      <w:pPr>
        <w:spacing w:after="0" w:line="240" w:lineRule="auto"/>
        <w:jc w:val="both"/>
        <w:rPr>
          <w:rFonts w:ascii="Arial" w:eastAsia="Times New Roman" w:hAnsi="Arial" w:cs="Arial"/>
          <w:szCs w:val="20"/>
          <w:lang w:val="es-ES_tradnl"/>
        </w:rPr>
      </w:pPr>
    </w:p>
    <w:p w:rsidR="00861A68" w:rsidRPr="00910E94" w:rsidRDefault="00861A68"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861A68" w:rsidRPr="00910E94" w:rsidRDefault="00861A68" w:rsidP="00B3220A">
      <w:pPr>
        <w:spacing w:after="0" w:line="240" w:lineRule="auto"/>
        <w:jc w:val="both"/>
        <w:rPr>
          <w:rFonts w:ascii="Arial" w:eastAsia="Times New Roman" w:hAnsi="Arial" w:cs="Arial"/>
          <w:szCs w:val="20"/>
          <w:lang w:val="es-ES_tradnl"/>
        </w:rPr>
      </w:pPr>
    </w:p>
    <w:p w:rsidR="00861A68" w:rsidRPr="00910E94" w:rsidRDefault="00861A68" w:rsidP="00B3220A">
      <w:pPr>
        <w:spacing w:after="0" w:line="240" w:lineRule="auto"/>
        <w:jc w:val="both"/>
        <w:rPr>
          <w:rFonts w:ascii="Arial" w:eastAsia="Times New Roman" w:hAnsi="Arial" w:cs="Arial"/>
          <w:szCs w:val="20"/>
          <w:lang w:val="es-ES_tradnl"/>
        </w:rPr>
      </w:pPr>
      <w:r w:rsidRPr="00910E94">
        <w:rPr>
          <w:rFonts w:ascii="Arial" w:hAnsi="Arial"/>
          <w:lang w:val="es-ES_tradnl"/>
        </w:rPr>
        <w:t>La instauración del sistema de PRI está en curso.</w:t>
      </w:r>
    </w:p>
    <w:p w:rsidR="00861A68" w:rsidRPr="00910E94" w:rsidRDefault="00861A68"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16</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Recomendamos que en los supuestos en que los nombramientos temporales se prorroguen sin convocar un concurso, con objeto de que pueda llevarse a cabo un concurso para un nombramiento de plazo fijo, se termine con prontitud el proceso para cubrir los puestos mediante selección por concurso, prestando la debida atención a la configuración de la descripción del puesto a fin de evitar demoras.</w:t>
      </w:r>
    </w:p>
    <w:p w:rsidR="0076374A" w:rsidRPr="00910E94" w:rsidRDefault="0076374A" w:rsidP="00B3220A">
      <w:pPr>
        <w:spacing w:after="0" w:line="240" w:lineRule="auto"/>
        <w:jc w:val="both"/>
        <w:rPr>
          <w:rFonts w:ascii="Arial" w:eastAsia="Times New Roman" w:hAnsi="Arial" w:cs="Arial"/>
          <w:szCs w:val="20"/>
          <w:lang w:val="es-ES_tradnl"/>
        </w:rPr>
      </w:pPr>
    </w:p>
    <w:p w:rsidR="000C2183" w:rsidRPr="00910E94" w:rsidRDefault="000C2183" w:rsidP="00B3220A">
      <w:pPr>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0C2183" w:rsidRPr="00910E94" w:rsidRDefault="000C2183" w:rsidP="00B3220A">
      <w:pPr>
        <w:spacing w:after="0" w:line="240" w:lineRule="auto"/>
        <w:jc w:val="both"/>
        <w:rPr>
          <w:rFonts w:ascii="Arial" w:eastAsia="Times New Roman" w:hAnsi="Arial" w:cs="Arial"/>
          <w:b/>
          <w:szCs w:val="20"/>
          <w:lang w:val="es-ES_tradnl"/>
        </w:rPr>
      </w:pPr>
    </w:p>
    <w:p w:rsidR="000C2183" w:rsidRPr="00910E94" w:rsidRDefault="009945D1" w:rsidP="00B3220A">
      <w:pPr>
        <w:spacing w:after="0" w:line="240" w:lineRule="auto"/>
        <w:jc w:val="both"/>
        <w:rPr>
          <w:rFonts w:ascii="Arial" w:eastAsia="Times New Roman" w:hAnsi="Arial" w:cs="Arial"/>
          <w:szCs w:val="20"/>
          <w:lang w:val="es-ES_tradnl"/>
        </w:rPr>
      </w:pPr>
      <w:r w:rsidRPr="00910E94">
        <w:rPr>
          <w:rFonts w:ascii="Arial" w:hAnsi="Arial"/>
          <w:lang w:val="es-ES_tradnl"/>
        </w:rPr>
        <w:lastRenderedPageBreak/>
        <w:t>Esta recomendación se aplicará con efectos inmediatos.</w:t>
      </w:r>
    </w:p>
    <w:p w:rsidR="000C2183" w:rsidRPr="00910E94" w:rsidRDefault="000C2183" w:rsidP="00B3220A">
      <w:pPr>
        <w:spacing w:after="0" w:line="240" w:lineRule="auto"/>
        <w:jc w:val="both"/>
        <w:rPr>
          <w:rFonts w:ascii="Arial" w:eastAsia="Times New Roman" w:hAnsi="Arial" w:cs="Arial"/>
          <w:szCs w:val="20"/>
          <w:lang w:val="es-ES_tradnl"/>
        </w:rPr>
      </w:pPr>
    </w:p>
    <w:p w:rsidR="0076374A" w:rsidRPr="00910E94" w:rsidRDefault="0076374A"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17</w:t>
      </w:r>
    </w:p>
    <w:p w:rsidR="0076374A" w:rsidRPr="00910E94" w:rsidRDefault="0076374A" w:rsidP="00693071">
      <w:pPr>
        <w:keepNext/>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La práctica de calcular el límite de los ingresos profesionales brutos que han de computarse a efectos de la prestación por cónyuge a cargo debería revisarse a fin de atenerse al Estatuto y Reglamento del Personal.</w:t>
      </w:r>
    </w:p>
    <w:p w:rsidR="0076374A" w:rsidRPr="00910E94" w:rsidRDefault="0076374A" w:rsidP="00B3220A">
      <w:pPr>
        <w:spacing w:after="0" w:line="240" w:lineRule="auto"/>
        <w:jc w:val="both"/>
        <w:rPr>
          <w:rFonts w:ascii="Arial" w:eastAsia="Times New Roman" w:hAnsi="Arial" w:cs="Arial"/>
          <w:szCs w:val="20"/>
          <w:lang w:val="es-ES_tradnl"/>
        </w:rPr>
      </w:pPr>
    </w:p>
    <w:p w:rsidR="009945D1" w:rsidRPr="00910E94" w:rsidRDefault="009945D1"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9945D1" w:rsidRPr="00910E94" w:rsidRDefault="009945D1" w:rsidP="00693071">
      <w:pPr>
        <w:keepNext/>
        <w:spacing w:after="0" w:line="240" w:lineRule="auto"/>
        <w:jc w:val="both"/>
        <w:rPr>
          <w:rFonts w:ascii="Arial" w:eastAsia="Times New Roman" w:hAnsi="Arial" w:cs="Arial"/>
          <w:szCs w:val="20"/>
          <w:lang w:val="es-ES_tradnl"/>
        </w:rPr>
      </w:pPr>
    </w:p>
    <w:p w:rsidR="009945D1" w:rsidRPr="00910E94" w:rsidRDefault="009945D1" w:rsidP="00B3220A">
      <w:pPr>
        <w:spacing w:after="0" w:line="240" w:lineRule="auto"/>
        <w:jc w:val="both"/>
        <w:rPr>
          <w:rFonts w:ascii="Arial" w:eastAsia="Times New Roman" w:hAnsi="Arial" w:cs="Arial"/>
          <w:szCs w:val="20"/>
          <w:lang w:val="es-ES_tradnl"/>
        </w:rPr>
      </w:pPr>
      <w:r w:rsidRPr="00910E94">
        <w:rPr>
          <w:rFonts w:ascii="Arial" w:hAnsi="Arial"/>
          <w:lang w:val="es-ES_tradnl"/>
        </w:rPr>
        <w:t xml:space="preserve">Esta recomendación se aplicará a partir del 1 de enero </w:t>
      </w:r>
      <w:r w:rsidR="00CC3D7A" w:rsidRPr="00910E94">
        <w:rPr>
          <w:rFonts w:ascii="Arial" w:hAnsi="Arial"/>
          <w:lang w:val="es-ES_tradnl"/>
        </w:rPr>
        <w:t>de 20</w:t>
      </w:r>
      <w:r w:rsidRPr="00910E94">
        <w:rPr>
          <w:rFonts w:ascii="Arial" w:hAnsi="Arial"/>
          <w:lang w:val="es-ES_tradnl"/>
        </w:rPr>
        <w:t>16</w:t>
      </w:r>
      <w:r w:rsidR="00344EE2">
        <w:rPr>
          <w:rFonts w:ascii="Arial" w:hAnsi="Arial"/>
          <w:lang w:val="es-ES_tradnl"/>
        </w:rPr>
        <w:t xml:space="preserve">.  </w:t>
      </w:r>
      <w:r w:rsidRPr="00910E94">
        <w:rPr>
          <w:rFonts w:ascii="Arial" w:hAnsi="Arial"/>
          <w:lang w:val="es-ES_tradnl"/>
        </w:rPr>
        <w:t>Se ha remitido una comunicación al personal.</w:t>
      </w:r>
    </w:p>
    <w:p w:rsidR="00FE15DF" w:rsidRPr="00910E94" w:rsidRDefault="00FE15DF" w:rsidP="00B3220A">
      <w:pPr>
        <w:spacing w:after="0" w:line="240" w:lineRule="auto"/>
        <w:jc w:val="both"/>
        <w:rPr>
          <w:lang w:val="es-ES_tradnl"/>
        </w:rPr>
      </w:pPr>
    </w:p>
    <w:p w:rsidR="0076374A" w:rsidRPr="00910E94" w:rsidRDefault="0076374A"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18</w:t>
      </w:r>
    </w:p>
    <w:p w:rsidR="0076374A" w:rsidRPr="00910E94" w:rsidRDefault="0076374A" w:rsidP="00693071">
      <w:pPr>
        <w:keepNext/>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Las disposiciones de las órdenes de servicio relativas al subsidio de alquiler deben cumplirse en los plazos prescritos.</w:t>
      </w:r>
    </w:p>
    <w:p w:rsidR="0076374A" w:rsidRPr="00910E94" w:rsidRDefault="0076374A" w:rsidP="00B3220A">
      <w:pPr>
        <w:spacing w:after="0" w:line="240" w:lineRule="auto"/>
        <w:jc w:val="both"/>
        <w:rPr>
          <w:rFonts w:ascii="Arial" w:eastAsia="Times New Roman" w:hAnsi="Arial" w:cs="Arial"/>
          <w:szCs w:val="20"/>
          <w:lang w:val="es-ES_tradnl"/>
        </w:rPr>
      </w:pPr>
    </w:p>
    <w:p w:rsidR="009945D1" w:rsidRPr="00910E94" w:rsidRDefault="009945D1"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9945D1" w:rsidRPr="00910E94" w:rsidRDefault="009945D1" w:rsidP="00693071">
      <w:pPr>
        <w:keepNext/>
        <w:spacing w:after="0" w:line="240" w:lineRule="auto"/>
        <w:jc w:val="both"/>
        <w:rPr>
          <w:rFonts w:ascii="Arial" w:eastAsia="Times New Roman" w:hAnsi="Arial" w:cs="Arial"/>
          <w:szCs w:val="20"/>
          <w:lang w:val="es-ES_tradnl"/>
        </w:rPr>
      </w:pPr>
    </w:p>
    <w:p w:rsidR="009945D1" w:rsidRPr="00910E94" w:rsidRDefault="009945D1" w:rsidP="00B3220A">
      <w:pPr>
        <w:spacing w:after="0" w:line="240" w:lineRule="auto"/>
        <w:jc w:val="both"/>
        <w:rPr>
          <w:rFonts w:ascii="Arial" w:eastAsia="Times New Roman" w:hAnsi="Arial" w:cs="Arial"/>
          <w:szCs w:val="20"/>
          <w:lang w:val="es-ES_tradnl"/>
        </w:rPr>
      </w:pPr>
      <w:r w:rsidRPr="00910E94">
        <w:rPr>
          <w:rFonts w:ascii="Arial" w:hAnsi="Arial"/>
          <w:lang w:val="es-ES_tradnl"/>
        </w:rPr>
        <w:t>Esta recomendación ha sido aplicada.</w:t>
      </w:r>
    </w:p>
    <w:p w:rsidR="009945D1" w:rsidRPr="00910E94" w:rsidRDefault="009945D1" w:rsidP="00B3220A">
      <w:pPr>
        <w:spacing w:after="0" w:line="240" w:lineRule="auto"/>
        <w:jc w:val="both"/>
        <w:rPr>
          <w:rFonts w:ascii="Arial" w:eastAsia="Times New Roman" w:hAnsi="Arial" w:cs="Arial"/>
          <w:szCs w:val="20"/>
          <w:lang w:val="es-ES_tradnl"/>
        </w:rPr>
      </w:pPr>
    </w:p>
    <w:p w:rsidR="0076374A" w:rsidRPr="00910E94" w:rsidRDefault="0076374A"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19</w:t>
      </w:r>
    </w:p>
    <w:p w:rsidR="0076374A" w:rsidRPr="00910E94" w:rsidRDefault="0076374A" w:rsidP="00693071">
      <w:pPr>
        <w:keepNext/>
        <w:spacing w:after="0" w:line="240" w:lineRule="auto"/>
        <w:jc w:val="both"/>
        <w:rPr>
          <w:rFonts w:ascii="Arial" w:eastAsia="Times New Roman" w:hAnsi="Arial" w:cs="Arial"/>
          <w:b/>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Recomendamos:</w:t>
      </w:r>
    </w:p>
    <w:p w:rsidR="0076374A" w:rsidRPr="00910E94" w:rsidRDefault="0076374A" w:rsidP="00B3220A">
      <w:pPr>
        <w:spacing w:after="0" w:line="240" w:lineRule="auto"/>
        <w:jc w:val="both"/>
        <w:rPr>
          <w:rFonts w:ascii="Arial" w:eastAsia="Times New Roman" w:hAnsi="Arial" w:cs="Arial"/>
          <w:i/>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a) la realización de exámenes adicionales para comprobar el mantenimiento de la competencia lingüística de los miembros del personal beneficiarios de primas de idiomas</w:t>
      </w:r>
      <w:r w:rsidR="00AB18E9">
        <w:rPr>
          <w:rFonts w:ascii="Arial" w:hAnsi="Arial"/>
          <w:i/>
          <w:lang w:val="es-ES_tradnl"/>
        </w:rPr>
        <w:t xml:space="preserve">;  </w:t>
      </w:r>
      <w:r w:rsidRPr="00910E94">
        <w:rPr>
          <w:rFonts w:ascii="Arial" w:hAnsi="Arial"/>
          <w:i/>
          <w:lang w:val="es-ES_tradnl"/>
        </w:rPr>
        <w:t xml:space="preserve">y </w:t>
      </w:r>
    </w:p>
    <w:p w:rsidR="0076374A" w:rsidRPr="00910E94" w:rsidRDefault="0076374A" w:rsidP="00B3220A">
      <w:pPr>
        <w:spacing w:after="0" w:line="240" w:lineRule="auto"/>
        <w:jc w:val="both"/>
        <w:rPr>
          <w:rFonts w:ascii="Arial" w:eastAsia="Times New Roman" w:hAnsi="Arial" w:cs="Arial"/>
          <w:i/>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b) revisar la continuidad de la prima de idiomas en caso de traslado o designación para un nuevo puesto que requiera un dominio pleno del idioma.</w:t>
      </w:r>
    </w:p>
    <w:p w:rsidR="009945D1" w:rsidRPr="00910E94" w:rsidRDefault="009945D1" w:rsidP="00B3220A">
      <w:pPr>
        <w:spacing w:after="0" w:line="240" w:lineRule="auto"/>
        <w:jc w:val="both"/>
        <w:rPr>
          <w:rFonts w:ascii="Arial" w:eastAsia="Times New Roman" w:hAnsi="Arial" w:cs="Arial"/>
          <w:i/>
          <w:szCs w:val="20"/>
          <w:lang w:val="es-ES_tradnl"/>
        </w:rPr>
      </w:pPr>
    </w:p>
    <w:p w:rsidR="009945D1" w:rsidRPr="00910E94" w:rsidRDefault="009945D1"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9945D1" w:rsidRPr="00910E94" w:rsidRDefault="009945D1" w:rsidP="00693071">
      <w:pPr>
        <w:keepNext/>
        <w:spacing w:after="0" w:line="240" w:lineRule="auto"/>
        <w:jc w:val="both"/>
        <w:rPr>
          <w:rFonts w:ascii="Arial" w:eastAsia="Times New Roman" w:hAnsi="Arial" w:cs="Arial"/>
          <w:szCs w:val="20"/>
          <w:lang w:val="es-ES_tradnl"/>
        </w:rPr>
      </w:pPr>
    </w:p>
    <w:p w:rsidR="009945D1" w:rsidRPr="00910E94" w:rsidRDefault="009945D1" w:rsidP="00B3220A">
      <w:pPr>
        <w:spacing w:after="0" w:line="240" w:lineRule="auto"/>
        <w:jc w:val="both"/>
        <w:rPr>
          <w:rFonts w:ascii="Arial" w:eastAsia="Times New Roman" w:hAnsi="Arial" w:cs="Arial"/>
          <w:szCs w:val="20"/>
          <w:lang w:val="es-ES_tradnl"/>
        </w:rPr>
      </w:pPr>
      <w:r w:rsidRPr="00910E94">
        <w:rPr>
          <w:rFonts w:ascii="Arial" w:hAnsi="Arial"/>
          <w:lang w:val="es-ES_tradnl"/>
        </w:rPr>
        <w:t>Las primas de idiomas se revisarán de forma exhaustiva, en particular en el marco de la reforma del sistema de remuneraciones de las NN.UU.</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20</w:t>
      </w:r>
    </w:p>
    <w:p w:rsidR="0076374A" w:rsidRPr="00910E94" w:rsidRDefault="0076374A" w:rsidP="00693071">
      <w:pPr>
        <w:keepNext/>
        <w:spacing w:after="0" w:line="240" w:lineRule="auto"/>
        <w:jc w:val="both"/>
        <w:rPr>
          <w:rFonts w:ascii="Arial" w:eastAsia="Times New Roman" w:hAnsi="Arial" w:cs="Arial"/>
          <w:szCs w:val="20"/>
          <w:lang w:val="es-ES_tradnl"/>
        </w:rPr>
      </w:pPr>
    </w:p>
    <w:p w:rsidR="0076374A" w:rsidRPr="00910E94" w:rsidRDefault="0076374A" w:rsidP="00B3220A">
      <w:pPr>
        <w:spacing w:after="0" w:line="240" w:lineRule="auto"/>
        <w:jc w:val="both"/>
        <w:rPr>
          <w:rFonts w:ascii="Arial" w:eastAsia="Times New Roman" w:hAnsi="Arial" w:cs="Arial"/>
          <w:i/>
          <w:szCs w:val="20"/>
          <w:lang w:val="es-ES_tradnl"/>
        </w:rPr>
      </w:pPr>
      <w:r w:rsidRPr="00910E94">
        <w:rPr>
          <w:rFonts w:ascii="Arial" w:hAnsi="Arial"/>
          <w:i/>
          <w:lang w:val="es-ES_tradnl"/>
        </w:rPr>
        <w:t>Recomendamos reforzar los controles internos a fin de garantizar el cumplimiento pleno de los requisitos de las órdenes de servicio relativas a horas extraordinarias.</w:t>
      </w:r>
    </w:p>
    <w:p w:rsidR="009945D1" w:rsidRPr="00910E94" w:rsidRDefault="009945D1" w:rsidP="00B3220A">
      <w:pPr>
        <w:spacing w:after="0" w:line="240" w:lineRule="auto"/>
        <w:jc w:val="both"/>
        <w:rPr>
          <w:rFonts w:ascii="Arial" w:eastAsia="Times New Roman" w:hAnsi="Arial" w:cs="Arial"/>
          <w:szCs w:val="20"/>
          <w:lang w:val="es-ES_tradnl"/>
        </w:rPr>
      </w:pPr>
    </w:p>
    <w:p w:rsidR="009945D1" w:rsidRPr="00910E94" w:rsidRDefault="009945D1"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9945D1" w:rsidRPr="00910E94" w:rsidRDefault="009945D1" w:rsidP="00693071">
      <w:pPr>
        <w:keepNext/>
        <w:spacing w:after="0" w:line="240" w:lineRule="auto"/>
        <w:jc w:val="both"/>
        <w:rPr>
          <w:rFonts w:ascii="Arial" w:eastAsia="Times New Roman" w:hAnsi="Arial" w:cs="Arial"/>
          <w:i/>
          <w:szCs w:val="20"/>
          <w:lang w:val="es-ES_tradnl"/>
        </w:rPr>
      </w:pPr>
    </w:p>
    <w:p w:rsidR="009945D1" w:rsidRPr="00910E94" w:rsidRDefault="009945D1" w:rsidP="00B3220A">
      <w:pPr>
        <w:spacing w:after="0" w:line="240" w:lineRule="auto"/>
        <w:jc w:val="both"/>
        <w:rPr>
          <w:rFonts w:ascii="Arial" w:eastAsia="Times New Roman" w:hAnsi="Arial" w:cs="Arial"/>
          <w:szCs w:val="20"/>
          <w:lang w:val="es-ES_tradnl"/>
        </w:rPr>
      </w:pPr>
      <w:r w:rsidRPr="00910E94">
        <w:rPr>
          <w:rFonts w:ascii="Arial" w:hAnsi="Arial"/>
          <w:lang w:val="es-ES_tradnl"/>
        </w:rPr>
        <w:t>Esta recomendación ha sido aplicada.</w:t>
      </w:r>
    </w:p>
    <w:p w:rsidR="0076374A" w:rsidRPr="00910E94" w:rsidRDefault="0076374A" w:rsidP="00B3220A">
      <w:pPr>
        <w:spacing w:after="0" w:line="240" w:lineRule="auto"/>
        <w:jc w:val="both"/>
        <w:rPr>
          <w:rFonts w:ascii="Arial" w:eastAsia="Times New Roman" w:hAnsi="Arial" w:cs="Arial"/>
          <w:szCs w:val="20"/>
          <w:lang w:val="es-ES_tradnl"/>
        </w:rPr>
      </w:pPr>
    </w:p>
    <w:p w:rsidR="0076374A" w:rsidRPr="00910E94" w:rsidRDefault="0076374A"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 xml:space="preserve">Recomendación </w:t>
      </w:r>
      <w:r w:rsidR="00693071" w:rsidRPr="00910E94">
        <w:rPr>
          <w:rFonts w:ascii="Arial" w:hAnsi="Arial"/>
          <w:b/>
          <w:lang w:val="es-ES_tradnl"/>
        </w:rPr>
        <w:t>nº </w:t>
      </w:r>
      <w:r w:rsidRPr="00910E94">
        <w:rPr>
          <w:rFonts w:ascii="Arial" w:hAnsi="Arial"/>
          <w:b/>
          <w:lang w:val="es-ES_tradnl"/>
        </w:rPr>
        <w:t>21</w:t>
      </w:r>
    </w:p>
    <w:p w:rsidR="0076374A" w:rsidRPr="00910E94" w:rsidRDefault="0076374A" w:rsidP="00693071">
      <w:pPr>
        <w:keepNext/>
        <w:spacing w:after="0" w:line="240" w:lineRule="auto"/>
        <w:jc w:val="both"/>
        <w:rPr>
          <w:rFonts w:ascii="Arial" w:eastAsia="Times New Roman" w:hAnsi="Arial" w:cs="Arial"/>
          <w:szCs w:val="20"/>
          <w:lang w:val="es-ES_tradnl"/>
        </w:rPr>
      </w:pPr>
    </w:p>
    <w:p w:rsidR="0076374A" w:rsidRPr="00910E94" w:rsidRDefault="0076374A" w:rsidP="00693071">
      <w:pPr>
        <w:spacing w:after="0" w:line="240" w:lineRule="auto"/>
        <w:jc w:val="both"/>
        <w:rPr>
          <w:rFonts w:ascii="Arial" w:eastAsia="Times New Roman" w:hAnsi="Arial" w:cs="Arial"/>
          <w:i/>
          <w:szCs w:val="20"/>
          <w:lang w:val="es-ES_tradnl"/>
        </w:rPr>
      </w:pPr>
      <w:r w:rsidRPr="00910E94">
        <w:rPr>
          <w:rFonts w:ascii="Arial" w:hAnsi="Arial"/>
          <w:i/>
          <w:lang w:val="es-ES_tradnl"/>
        </w:rPr>
        <w:t>La OMPI ha de atenerse estrictamente a las cláusulas</w:t>
      </w:r>
      <w:r w:rsidR="00693071" w:rsidRPr="00910E94">
        <w:rPr>
          <w:rFonts w:ascii="Arial" w:hAnsi="Arial"/>
          <w:i/>
          <w:lang w:val="es-ES_tradnl"/>
        </w:rPr>
        <w:t> 3.11 y </w:t>
      </w:r>
      <w:r w:rsidRPr="00910E94">
        <w:rPr>
          <w:rFonts w:ascii="Arial" w:hAnsi="Arial"/>
          <w:i/>
          <w:lang w:val="es-ES_tradnl"/>
        </w:rPr>
        <w:t>3.22 para autorizar, en circunstancias excepcionales, una prórroga del subsidio por funciones especiales después de transcurridos 12 meses.</w:t>
      </w:r>
    </w:p>
    <w:p w:rsidR="009945D1" w:rsidRPr="00910E94" w:rsidRDefault="009945D1" w:rsidP="00B3220A">
      <w:pPr>
        <w:spacing w:after="0" w:line="240" w:lineRule="auto"/>
        <w:jc w:val="both"/>
        <w:rPr>
          <w:rFonts w:ascii="Arial" w:eastAsia="Times New Roman" w:hAnsi="Arial" w:cs="Arial"/>
          <w:i/>
          <w:szCs w:val="20"/>
          <w:lang w:val="es-ES_tradnl"/>
        </w:rPr>
      </w:pPr>
    </w:p>
    <w:p w:rsidR="009945D1" w:rsidRPr="00910E94" w:rsidRDefault="009945D1" w:rsidP="00693071">
      <w:pPr>
        <w:keepNext/>
        <w:spacing w:after="0" w:line="240" w:lineRule="auto"/>
        <w:jc w:val="both"/>
        <w:rPr>
          <w:rFonts w:ascii="Arial" w:eastAsia="Times New Roman" w:hAnsi="Arial" w:cs="Arial"/>
          <w:b/>
          <w:szCs w:val="20"/>
          <w:lang w:val="es-ES_tradnl"/>
        </w:rPr>
      </w:pPr>
      <w:r w:rsidRPr="00910E94">
        <w:rPr>
          <w:rFonts w:ascii="Arial" w:hAnsi="Arial"/>
          <w:b/>
          <w:lang w:val="es-ES_tradnl"/>
        </w:rPr>
        <w:t>Respuesta</w:t>
      </w:r>
    </w:p>
    <w:p w:rsidR="009945D1" w:rsidRPr="00910E94" w:rsidRDefault="009945D1" w:rsidP="00693071">
      <w:pPr>
        <w:keepNext/>
        <w:spacing w:after="0" w:line="240" w:lineRule="auto"/>
        <w:jc w:val="both"/>
        <w:rPr>
          <w:rFonts w:ascii="Arial" w:eastAsia="Times New Roman" w:hAnsi="Arial" w:cs="Arial"/>
          <w:i/>
          <w:szCs w:val="20"/>
          <w:lang w:val="es-ES_tradnl"/>
        </w:rPr>
      </w:pPr>
    </w:p>
    <w:p w:rsidR="009945D1" w:rsidRPr="00910E94" w:rsidRDefault="009945D1" w:rsidP="006E075E">
      <w:pPr>
        <w:spacing w:after="0" w:line="240" w:lineRule="auto"/>
        <w:jc w:val="both"/>
        <w:rPr>
          <w:rFonts w:ascii="Arial" w:eastAsia="Times New Roman" w:hAnsi="Arial" w:cs="Arial"/>
          <w:i/>
          <w:szCs w:val="20"/>
          <w:lang w:val="es-ES_tradnl"/>
        </w:rPr>
      </w:pPr>
      <w:r w:rsidRPr="00910E94">
        <w:rPr>
          <w:rFonts w:ascii="Arial" w:hAnsi="Arial"/>
          <w:lang w:val="es-ES_tradnl"/>
        </w:rPr>
        <w:t>Esta recomendación se encuentra en curso de aplicación.</w:t>
      </w:r>
    </w:p>
    <w:p w:rsidR="00690B71" w:rsidRPr="00910E94" w:rsidRDefault="00690B71" w:rsidP="0076374A">
      <w:pPr>
        <w:spacing w:after="0" w:line="240" w:lineRule="auto"/>
        <w:rPr>
          <w:rFonts w:ascii="Arial" w:eastAsia="Times New Roman" w:hAnsi="Arial" w:cs="Arial"/>
          <w:i/>
          <w:szCs w:val="20"/>
          <w:lang w:val="es-ES_tradnl"/>
        </w:rPr>
        <w:sectPr w:rsidR="00690B71" w:rsidRPr="00910E94" w:rsidSect="00AA2401">
          <w:footerReference w:type="default" r:id="rId26"/>
          <w:headerReference w:type="first" r:id="rId27"/>
          <w:footerReference w:type="first" r:id="rId28"/>
          <w:pgSz w:w="11907" w:h="16840" w:code="9"/>
          <w:pgMar w:top="1417" w:right="1417" w:bottom="1417" w:left="1417" w:header="709" w:footer="709" w:gutter="0"/>
          <w:cols w:space="720"/>
          <w:titlePg/>
          <w:docGrid w:linePitch="299"/>
        </w:sectPr>
      </w:pPr>
    </w:p>
    <w:p w:rsidR="00690B71" w:rsidRPr="00910E94" w:rsidRDefault="00690B71" w:rsidP="00690B71">
      <w:pPr>
        <w:spacing w:after="0" w:line="240" w:lineRule="auto"/>
        <w:jc w:val="center"/>
        <w:rPr>
          <w:rFonts w:ascii="Arial" w:eastAsia="Times New Roman" w:hAnsi="Arial" w:cs="Arial"/>
          <w:b/>
          <w:szCs w:val="20"/>
          <w:lang w:val="es-ES_tradnl"/>
        </w:rPr>
      </w:pPr>
      <w:r w:rsidRPr="00910E94">
        <w:rPr>
          <w:rFonts w:ascii="Arial" w:hAnsi="Arial"/>
          <w:b/>
          <w:lang w:val="es-ES_tradnl"/>
        </w:rPr>
        <w:lastRenderedPageBreak/>
        <w:t>Declaración sobre el control interno relativo a 2014</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b/>
          <w:szCs w:val="20"/>
          <w:lang w:val="es-ES_tradnl"/>
        </w:rPr>
      </w:pPr>
      <w:r w:rsidRPr="00910E94">
        <w:rPr>
          <w:rFonts w:ascii="Arial" w:hAnsi="Arial"/>
          <w:b/>
          <w:lang w:val="es-ES_tradnl"/>
        </w:rPr>
        <w:t>Ámbito de responsabilidad</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ind w:right="-167"/>
        <w:rPr>
          <w:rFonts w:ascii="Arial" w:eastAsia="Times New Roman" w:hAnsi="Arial" w:cs="Arial"/>
          <w:szCs w:val="20"/>
          <w:lang w:val="es-ES_tradnl"/>
        </w:rPr>
      </w:pPr>
      <w:r w:rsidRPr="00910E94">
        <w:rPr>
          <w:rFonts w:ascii="Arial" w:hAnsi="Arial"/>
          <w:lang w:val="es-ES_tradnl"/>
        </w:rPr>
        <w:t>En calidad de Director General de la Organización Mundial de la Propiedad Intelectual (OMPI), es mi responsabilidad, conforme al mandato que se me ha confiado, en par</w:t>
      </w:r>
      <w:r w:rsidR="00CC3D7A" w:rsidRPr="00910E94">
        <w:rPr>
          <w:rFonts w:ascii="Arial" w:hAnsi="Arial"/>
          <w:lang w:val="es-ES_tradnl"/>
        </w:rPr>
        <w:t>ticular, en virtud del artículo </w:t>
      </w:r>
      <w:r w:rsidRPr="00910E94">
        <w:rPr>
          <w:rFonts w:ascii="Arial" w:hAnsi="Arial"/>
          <w:lang w:val="es-ES_tradnl"/>
        </w:rPr>
        <w:t>5.8.d) del Reglamento Financiero y la Reglamentación Financiera, llevar un sistema de fiscalización financiera interna que garantice:</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numPr>
          <w:ilvl w:val="0"/>
          <w:numId w:val="26"/>
        </w:numPr>
        <w:spacing w:after="0" w:line="240" w:lineRule="auto"/>
        <w:rPr>
          <w:rFonts w:ascii="Arial" w:eastAsia="Times New Roman" w:hAnsi="Arial" w:cs="Arial"/>
          <w:szCs w:val="20"/>
          <w:lang w:val="es-ES_tradnl"/>
        </w:rPr>
      </w:pPr>
      <w:r w:rsidRPr="00910E94">
        <w:rPr>
          <w:rFonts w:ascii="Arial" w:hAnsi="Arial"/>
          <w:lang w:val="es-ES_tradnl"/>
        </w:rPr>
        <w:t>la regularidad de las operaciones de recaudación, custodia y salida de todos los fondos y demás recursos financieros de la Organización;</w:t>
      </w:r>
    </w:p>
    <w:p w:rsidR="00690B71" w:rsidRPr="00910E94" w:rsidRDefault="00690B71" w:rsidP="00690B71">
      <w:pPr>
        <w:numPr>
          <w:ilvl w:val="0"/>
          <w:numId w:val="26"/>
        </w:numPr>
        <w:spacing w:after="0" w:line="240" w:lineRule="auto"/>
        <w:rPr>
          <w:rFonts w:ascii="Arial" w:eastAsia="Times New Roman" w:hAnsi="Arial" w:cs="Arial"/>
          <w:szCs w:val="20"/>
          <w:lang w:val="es-ES_tradnl"/>
        </w:rPr>
      </w:pPr>
      <w:r w:rsidRPr="00910E94">
        <w:rPr>
          <w:rFonts w:ascii="Arial" w:hAnsi="Arial"/>
          <w:lang w:val="es-ES_tradnl"/>
        </w:rPr>
        <w:t>la conformidad de las obligaciones y los gastos con las consignaciones u otras disposiciones financieras aprobadas por la Asamblea General o con las finalidades y las normas relativas a determinados fondos fiduciarios;</w:t>
      </w:r>
    </w:p>
    <w:p w:rsidR="00690B71" w:rsidRPr="00910E94" w:rsidRDefault="00690B71" w:rsidP="00690B71">
      <w:pPr>
        <w:numPr>
          <w:ilvl w:val="0"/>
          <w:numId w:val="26"/>
        </w:numPr>
        <w:spacing w:after="0" w:line="240" w:lineRule="auto"/>
        <w:rPr>
          <w:rFonts w:ascii="Arial" w:eastAsia="Times New Roman" w:hAnsi="Arial" w:cs="Arial"/>
          <w:szCs w:val="20"/>
          <w:lang w:val="es-ES_tradnl"/>
        </w:rPr>
      </w:pPr>
      <w:r w:rsidRPr="00910E94">
        <w:rPr>
          <w:rFonts w:ascii="Arial" w:hAnsi="Arial"/>
          <w:lang w:val="es-ES_tradnl"/>
        </w:rPr>
        <w:t>la utilización eficaz, eficiente y económica de los recursos de la Organización.</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b/>
          <w:szCs w:val="20"/>
          <w:lang w:val="es-ES_tradnl"/>
        </w:rPr>
      </w:pPr>
      <w:r w:rsidRPr="00910E94">
        <w:rPr>
          <w:rFonts w:ascii="Arial" w:hAnsi="Arial"/>
          <w:b/>
          <w:lang w:val="es-ES_tradnl"/>
        </w:rPr>
        <w:t>Propósito del sistema de control interno</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El sistema de control interno está diseñado para reducir y administrar el riesgo de incumplimiento de los objetivos y metas de la Organización y de las políticas conexas, y no para eliminarlo por completo</w:t>
      </w:r>
      <w:r w:rsidR="00344EE2">
        <w:rPr>
          <w:rFonts w:ascii="Arial" w:hAnsi="Arial"/>
          <w:lang w:val="es-ES_tradnl"/>
        </w:rPr>
        <w:t xml:space="preserve">.  </w:t>
      </w:r>
      <w:r w:rsidRPr="00910E94">
        <w:rPr>
          <w:rFonts w:ascii="Arial" w:hAnsi="Arial"/>
          <w:lang w:val="es-ES_tradnl"/>
        </w:rPr>
        <w:t>En consecuencia, sólo puede proporcionar una garantía razonable pero no absoluta de la eficacia de los controles</w:t>
      </w:r>
      <w:r w:rsidR="00344EE2">
        <w:rPr>
          <w:rFonts w:ascii="Arial" w:hAnsi="Arial"/>
          <w:lang w:val="es-ES_tradnl"/>
        </w:rPr>
        <w:t xml:space="preserve">.  </w:t>
      </w:r>
      <w:r w:rsidRPr="00910E94">
        <w:rPr>
          <w:rFonts w:ascii="Arial" w:hAnsi="Arial"/>
          <w:lang w:val="es-ES_tradnl"/>
        </w:rPr>
        <w:t>Se basa en un proceso continuo que permite determinar los principales riesgos, evaluar la naturaleza y el alcance de esos riesgos, y administrarlos de forma eficaz, eficiente y económica</w:t>
      </w:r>
      <w:r w:rsidR="00344EE2">
        <w:rPr>
          <w:rFonts w:ascii="Arial" w:hAnsi="Arial"/>
          <w:lang w:val="es-ES_tradnl"/>
        </w:rPr>
        <w:t xml:space="preserve">.  </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El control interno es un proceso en el que participan los órganos rectores, el Director General, el equipo directivo superior y otros miembros del personal, y que está diseñado para proporcionar una garantía razonable del logro de los siguientes objetivos de control interno:</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numPr>
          <w:ilvl w:val="0"/>
          <w:numId w:val="27"/>
        </w:numPr>
        <w:spacing w:after="0" w:line="240" w:lineRule="auto"/>
        <w:rPr>
          <w:rFonts w:ascii="Arial" w:eastAsia="Times New Roman" w:hAnsi="Arial" w:cs="Arial"/>
          <w:szCs w:val="20"/>
          <w:lang w:val="es-ES_tradnl"/>
        </w:rPr>
      </w:pPr>
      <w:r w:rsidRPr="00910E94">
        <w:rPr>
          <w:rFonts w:ascii="Arial" w:hAnsi="Arial"/>
          <w:lang w:val="es-ES_tradnl"/>
        </w:rPr>
        <w:t>Eficacia y eficiencia de las operaciones y salvaguarda de los activos,</w:t>
      </w:r>
    </w:p>
    <w:p w:rsidR="00690B71" w:rsidRPr="00910E94" w:rsidRDefault="00690B71" w:rsidP="00690B71">
      <w:pPr>
        <w:numPr>
          <w:ilvl w:val="0"/>
          <w:numId w:val="27"/>
        </w:numPr>
        <w:spacing w:after="0" w:line="240" w:lineRule="auto"/>
        <w:rPr>
          <w:rFonts w:ascii="Arial" w:eastAsia="Times New Roman" w:hAnsi="Arial" w:cs="Arial"/>
          <w:szCs w:val="20"/>
          <w:lang w:val="es-ES_tradnl"/>
        </w:rPr>
      </w:pPr>
      <w:r w:rsidRPr="00910E94">
        <w:rPr>
          <w:rFonts w:ascii="Arial" w:hAnsi="Arial"/>
          <w:lang w:val="es-ES_tradnl"/>
        </w:rPr>
        <w:t>Fiabilidad de los informes financieros, y</w:t>
      </w:r>
    </w:p>
    <w:p w:rsidR="00690B71" w:rsidRPr="00910E94" w:rsidRDefault="00690B71" w:rsidP="00690B71">
      <w:pPr>
        <w:numPr>
          <w:ilvl w:val="0"/>
          <w:numId w:val="27"/>
        </w:numPr>
        <w:spacing w:after="0" w:line="240" w:lineRule="auto"/>
        <w:rPr>
          <w:rFonts w:ascii="Arial" w:eastAsia="Times New Roman" w:hAnsi="Arial" w:cs="Arial"/>
          <w:szCs w:val="20"/>
          <w:lang w:val="es-ES_tradnl"/>
        </w:rPr>
      </w:pPr>
      <w:r w:rsidRPr="00910E94">
        <w:rPr>
          <w:rFonts w:ascii="Arial" w:hAnsi="Arial"/>
          <w:lang w:val="es-ES_tradnl"/>
        </w:rPr>
        <w:t>Conformidad con el reglamento y la reglamentación aplicables.</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En consecuencia, a nivel operativo, el sistema de control interno de la OMPI no se limita a la aplicación de una política o un procedimiento en determinados momentos, sino más bien de forma continua a todos los niveles de la Organización mediante procesos de control interno que garanticen los objetivos anteriormente mencionados</w:t>
      </w:r>
      <w:r w:rsidR="00344EE2">
        <w:rPr>
          <w:rFonts w:ascii="Arial" w:hAnsi="Arial"/>
          <w:lang w:val="es-ES_tradnl"/>
        </w:rPr>
        <w:t xml:space="preserve">.  </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 xml:space="preserve">La presente declaración sobre los procesos de control interno de la OMPI, tal como se describen </w:t>
      </w:r>
      <w:r w:rsidRPr="00910E94">
        <w:rPr>
          <w:rFonts w:ascii="Arial" w:hAnsi="Arial"/>
          <w:i/>
          <w:lang w:val="es-ES_tradnl"/>
        </w:rPr>
        <w:t>supra,</w:t>
      </w:r>
      <w:r w:rsidRPr="00910E94">
        <w:rPr>
          <w:rFonts w:ascii="Arial" w:hAnsi="Arial"/>
          <w:lang w:val="es-ES_tradnl"/>
        </w:rPr>
        <w:t xml:space="preserve"> se a</w:t>
      </w:r>
      <w:r w:rsidR="00693071" w:rsidRPr="00910E94">
        <w:rPr>
          <w:rFonts w:ascii="Arial" w:hAnsi="Arial"/>
          <w:lang w:val="es-ES_tradnl"/>
        </w:rPr>
        <w:t>plica al ejercicio concluido el </w:t>
      </w:r>
      <w:r w:rsidRPr="00910E94">
        <w:rPr>
          <w:rFonts w:ascii="Arial" w:hAnsi="Arial"/>
          <w:lang w:val="es-ES_tradnl"/>
        </w:rPr>
        <w:t xml:space="preserve">31 de diciembre </w:t>
      </w:r>
      <w:r w:rsidR="00CC3D7A" w:rsidRPr="00910E94">
        <w:rPr>
          <w:rFonts w:ascii="Arial" w:hAnsi="Arial"/>
          <w:lang w:val="es-ES_tradnl"/>
        </w:rPr>
        <w:t>de 20</w:t>
      </w:r>
      <w:r w:rsidRPr="00910E94">
        <w:rPr>
          <w:rFonts w:ascii="Arial" w:hAnsi="Arial"/>
          <w:lang w:val="es-ES_tradnl"/>
        </w:rPr>
        <w:t>14, y hasta la fecha de aprobación de los estados fina</w:t>
      </w:r>
      <w:r w:rsidR="00693071" w:rsidRPr="00910E94">
        <w:rPr>
          <w:rFonts w:ascii="Arial" w:hAnsi="Arial"/>
          <w:lang w:val="es-ES_tradnl"/>
        </w:rPr>
        <w:t>ncieros de la Organización para </w:t>
      </w:r>
      <w:r w:rsidRPr="00910E94">
        <w:rPr>
          <w:rFonts w:ascii="Arial" w:hAnsi="Arial"/>
          <w:lang w:val="es-ES_tradnl"/>
        </w:rPr>
        <w:t>2014.</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b/>
          <w:szCs w:val="20"/>
          <w:lang w:val="es-ES_tradnl"/>
        </w:rPr>
      </w:pPr>
      <w:r w:rsidRPr="00910E94">
        <w:rPr>
          <w:rFonts w:ascii="Arial" w:hAnsi="Arial"/>
          <w:b/>
          <w:lang w:val="es-ES_tradnl"/>
        </w:rPr>
        <w:t>Gestión de riesgos y marco de control</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Diversos documentos, en los que se establece un marco coherente de controles internos y de gestión de riesgos, fueron publicados o remitidos a los Estados mie</w:t>
      </w:r>
      <w:r w:rsidR="00693071" w:rsidRPr="00910E94">
        <w:rPr>
          <w:rFonts w:ascii="Arial" w:hAnsi="Arial"/>
          <w:lang w:val="es-ES_tradnl"/>
        </w:rPr>
        <w:t>mbros de la OMPI durante el año </w:t>
      </w:r>
      <w:r w:rsidRPr="00910E94">
        <w:rPr>
          <w:rFonts w:ascii="Arial" w:hAnsi="Arial"/>
          <w:lang w:val="es-ES_tradnl"/>
        </w:rPr>
        <w:t>2014</w:t>
      </w:r>
      <w:r w:rsidR="00344EE2">
        <w:rPr>
          <w:rFonts w:ascii="Arial" w:hAnsi="Arial"/>
          <w:lang w:val="es-ES_tradnl"/>
        </w:rPr>
        <w:t xml:space="preserve">.  </w:t>
      </w:r>
      <w:r w:rsidR="009D7E04" w:rsidRPr="00910E94">
        <w:rPr>
          <w:rFonts w:ascii="Arial" w:hAnsi="Arial"/>
          <w:lang w:val="es-ES_tradnl"/>
        </w:rPr>
        <w:t xml:space="preserve">Entre ellos figuran </w:t>
      </w:r>
      <w:r w:rsidRPr="00910E94">
        <w:rPr>
          <w:rFonts w:ascii="Arial" w:hAnsi="Arial"/>
          <w:lang w:val="es-ES_tradnl"/>
        </w:rPr>
        <w:t>el marco de rendimiento de cuentas para la OMPI, la declaración de apetito de riesgo de la OMPI, las órdenes de servicio que establecen el Grupo de Gestión de Riesgos (RMG), así como la orden de servicio sobre la política de gestión de riesgos de la OMPI y el manual de gestión de riesgos y control interno</w:t>
      </w:r>
      <w:r w:rsidR="00344EE2">
        <w:rPr>
          <w:rFonts w:ascii="Arial" w:hAnsi="Arial"/>
          <w:lang w:val="es-ES_tradnl"/>
        </w:rPr>
        <w:t xml:space="preserve">.  </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 xml:space="preserve">El RMG examinó el primer informe semestral de gestión de riesgos de la OMPI en su tercera sesión celebrada en agosto </w:t>
      </w:r>
      <w:r w:rsidR="00CC3D7A" w:rsidRPr="00910E94">
        <w:rPr>
          <w:rFonts w:ascii="Arial" w:hAnsi="Arial"/>
          <w:lang w:val="es-ES_tradnl"/>
        </w:rPr>
        <w:t>de 20</w:t>
      </w:r>
      <w:r w:rsidRPr="00910E94">
        <w:rPr>
          <w:rFonts w:ascii="Arial" w:hAnsi="Arial"/>
          <w:lang w:val="es-ES_tradnl"/>
        </w:rPr>
        <w:t>14</w:t>
      </w:r>
      <w:r w:rsidR="00344EE2">
        <w:rPr>
          <w:rFonts w:ascii="Arial" w:hAnsi="Arial"/>
          <w:lang w:val="es-ES_tradnl"/>
        </w:rPr>
        <w:t xml:space="preserve">.  </w:t>
      </w:r>
      <w:r w:rsidRPr="00910E94">
        <w:rPr>
          <w:rFonts w:ascii="Arial" w:hAnsi="Arial"/>
          <w:lang w:val="es-ES_tradnl"/>
        </w:rPr>
        <w:t xml:space="preserve">Durante las demás sesiones que celebró </w:t>
      </w:r>
      <w:r w:rsidR="00CC3D7A" w:rsidRPr="00910E94">
        <w:rPr>
          <w:rFonts w:ascii="Arial" w:hAnsi="Arial"/>
          <w:lang w:val="es-ES_tradnl"/>
        </w:rPr>
        <w:t>en 20</w:t>
      </w:r>
      <w:r w:rsidRPr="00910E94">
        <w:rPr>
          <w:rFonts w:ascii="Arial" w:hAnsi="Arial"/>
          <w:lang w:val="es-ES_tradnl"/>
        </w:rPr>
        <w:t xml:space="preserve">14 (un total de seis </w:t>
      </w:r>
      <w:r w:rsidR="009D7E04" w:rsidRPr="00910E94">
        <w:rPr>
          <w:rFonts w:ascii="Arial" w:hAnsi="Arial"/>
          <w:lang w:val="es-ES_tradnl"/>
        </w:rPr>
        <w:t>sesiones</w:t>
      </w:r>
      <w:r w:rsidRPr="00910E94">
        <w:rPr>
          <w:rFonts w:ascii="Arial" w:hAnsi="Arial"/>
          <w:lang w:val="es-ES_tradnl"/>
        </w:rPr>
        <w:t>), el RMG examinó y supervisó periódicamente la situación financiera de la OMPI y los principales riesgos para el logro de los resultados esperados por la Organización</w:t>
      </w:r>
      <w:r w:rsidR="00344EE2">
        <w:rPr>
          <w:rFonts w:ascii="Arial" w:hAnsi="Arial"/>
          <w:lang w:val="es-ES_tradnl"/>
        </w:rPr>
        <w:t xml:space="preserve">.  </w:t>
      </w:r>
      <w:r w:rsidR="009D7E04" w:rsidRPr="00910E94">
        <w:rPr>
          <w:rFonts w:ascii="Arial" w:hAnsi="Arial"/>
          <w:lang w:val="es-ES_tradnl"/>
        </w:rPr>
        <w:t>Asimismo</w:t>
      </w:r>
      <w:r w:rsidRPr="00910E94">
        <w:rPr>
          <w:rFonts w:ascii="Arial" w:hAnsi="Arial"/>
          <w:lang w:val="es-ES_tradnl"/>
        </w:rPr>
        <w:t>, el RMG examinó y refrendó todos los documentos antes enumerados.</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 xml:space="preserve">A principios </w:t>
      </w:r>
      <w:r w:rsidR="00CC3D7A" w:rsidRPr="00910E94">
        <w:rPr>
          <w:rFonts w:ascii="Arial" w:hAnsi="Arial"/>
          <w:lang w:val="es-ES_tradnl"/>
        </w:rPr>
        <w:t>de 20</w:t>
      </w:r>
      <w:r w:rsidRPr="00910E94">
        <w:rPr>
          <w:rFonts w:ascii="Arial" w:hAnsi="Arial"/>
          <w:lang w:val="es-ES_tradnl"/>
        </w:rPr>
        <w:t>14, fue nombrado un coordinador de la continuidad de las operaciones de la OMPI, con lo que se subrayó la importancia de la capacidad de reacción para las operaciones de la OMPI</w:t>
      </w:r>
      <w:r w:rsidR="00344EE2">
        <w:rPr>
          <w:rFonts w:ascii="Arial" w:hAnsi="Arial"/>
          <w:lang w:val="es-ES_tradnl"/>
        </w:rPr>
        <w:t xml:space="preserve">.  </w:t>
      </w:r>
      <w:r w:rsidRPr="00910E94">
        <w:rPr>
          <w:rFonts w:ascii="Arial" w:hAnsi="Arial"/>
          <w:lang w:val="es-ES_tradnl"/>
        </w:rPr>
        <w:t xml:space="preserve">Se han registrado muchos avances en este sentido, que culminaron, a principios </w:t>
      </w:r>
      <w:r w:rsidR="00CC3D7A" w:rsidRPr="00910E94">
        <w:rPr>
          <w:rFonts w:ascii="Arial" w:hAnsi="Arial"/>
          <w:lang w:val="es-ES_tradnl"/>
        </w:rPr>
        <w:t>de 20</w:t>
      </w:r>
      <w:r w:rsidRPr="00910E94">
        <w:rPr>
          <w:rFonts w:ascii="Arial" w:hAnsi="Arial"/>
          <w:lang w:val="es-ES_tradnl"/>
        </w:rPr>
        <w:t>15, con la formulación de una política de capacidad de reacción de la Organización, así como una estrategia.</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 xml:space="preserve">En octubre </w:t>
      </w:r>
      <w:r w:rsidR="00CC3D7A" w:rsidRPr="00910E94">
        <w:rPr>
          <w:rFonts w:ascii="Arial" w:hAnsi="Arial"/>
          <w:lang w:val="es-ES_tradnl"/>
        </w:rPr>
        <w:t>de 20</w:t>
      </w:r>
      <w:r w:rsidRPr="00910E94">
        <w:rPr>
          <w:rFonts w:ascii="Arial" w:hAnsi="Arial"/>
          <w:lang w:val="es-ES_tradnl"/>
        </w:rPr>
        <w:t>14, entró en funcionamiento una nueva aplicación de gestión de riesgos, que integra todos los riesgos para la seguridad de la información y todos los riesgos para la Organización y los programas, y todos los sectores disponen de acceso a tal aplicación a través de los coordinadores de riesgos</w:t>
      </w:r>
      <w:r w:rsidR="00344EE2">
        <w:rPr>
          <w:rFonts w:ascii="Arial" w:hAnsi="Arial"/>
          <w:lang w:val="es-ES_tradnl"/>
        </w:rPr>
        <w:t xml:space="preserve">.  </w:t>
      </w:r>
      <w:r w:rsidRPr="00910E94">
        <w:rPr>
          <w:rFonts w:ascii="Arial" w:hAnsi="Arial"/>
          <w:lang w:val="es-ES_tradnl"/>
        </w:rPr>
        <w:t xml:space="preserve">El sistema fue utilizado en apoyo del segundo proceso de revisión de riesgos realizado </w:t>
      </w:r>
      <w:r w:rsidR="00CC3D7A" w:rsidRPr="00910E94">
        <w:rPr>
          <w:rFonts w:ascii="Arial" w:hAnsi="Arial"/>
          <w:lang w:val="es-ES_tradnl"/>
        </w:rPr>
        <w:t>en 20</w:t>
      </w:r>
      <w:r w:rsidRPr="00910E94">
        <w:rPr>
          <w:rFonts w:ascii="Arial" w:hAnsi="Arial"/>
          <w:lang w:val="es-ES_tradnl"/>
        </w:rPr>
        <w:t xml:space="preserve">14, que fue parte integrante de las actividades de planificación del trabajo </w:t>
      </w:r>
      <w:r w:rsidR="00CC3D7A" w:rsidRPr="00910E94">
        <w:rPr>
          <w:rFonts w:ascii="Arial" w:hAnsi="Arial"/>
          <w:lang w:val="es-ES_tradnl"/>
        </w:rPr>
        <w:t>de 20</w:t>
      </w:r>
      <w:r w:rsidRPr="00910E94">
        <w:rPr>
          <w:rFonts w:ascii="Arial" w:hAnsi="Arial"/>
          <w:lang w:val="es-ES_tradnl"/>
        </w:rPr>
        <w:t>15</w:t>
      </w:r>
      <w:r w:rsidR="00344EE2">
        <w:rPr>
          <w:rFonts w:ascii="Arial" w:hAnsi="Arial"/>
          <w:lang w:val="es-ES_tradnl"/>
        </w:rPr>
        <w:t xml:space="preserve">.  </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 xml:space="preserve">La Política de inversiones de la OMPI fue aprobada por la Asamblea General </w:t>
      </w:r>
      <w:r w:rsidR="00CC3D7A" w:rsidRPr="00910E94">
        <w:rPr>
          <w:rFonts w:ascii="Arial" w:hAnsi="Arial"/>
          <w:lang w:val="es-ES_tradnl"/>
        </w:rPr>
        <w:t>en 20</w:t>
      </w:r>
      <w:r w:rsidRPr="00910E94">
        <w:rPr>
          <w:rFonts w:ascii="Arial" w:hAnsi="Arial"/>
          <w:lang w:val="es-ES_tradnl"/>
        </w:rPr>
        <w:t>11</w:t>
      </w:r>
      <w:r w:rsidR="00344EE2">
        <w:rPr>
          <w:rFonts w:ascii="Arial" w:hAnsi="Arial"/>
          <w:lang w:val="es-ES_tradnl"/>
        </w:rPr>
        <w:t xml:space="preserve">.  </w:t>
      </w:r>
      <w:r w:rsidRPr="00910E94">
        <w:rPr>
          <w:rFonts w:ascii="Arial" w:hAnsi="Arial"/>
          <w:lang w:val="es-ES_tradnl"/>
        </w:rPr>
        <w:t>De acuerdo con esta Política se ha establecido un Comité Asesor sobre Inversiones (CAI), encargado de supervisar las inversiones de la OMPI a fin de garantizar que éstas son coherentes con dicha Política y de informarme de cualquier variación respecto de la Política, los motivos y las medidas correctoras</w:t>
      </w:r>
      <w:r w:rsidR="00344EE2">
        <w:rPr>
          <w:rFonts w:ascii="Arial" w:hAnsi="Arial"/>
          <w:lang w:val="es-ES_tradnl"/>
        </w:rPr>
        <w:t xml:space="preserve">.  </w:t>
      </w:r>
      <w:r w:rsidRPr="00910E94">
        <w:rPr>
          <w:rFonts w:ascii="Arial" w:hAnsi="Arial"/>
          <w:lang w:val="es-ES_tradnl"/>
        </w:rPr>
        <w:t>La situación de liquidez de la OMPI siguió si</w:t>
      </w:r>
      <w:r w:rsidR="00693071" w:rsidRPr="00910E94">
        <w:rPr>
          <w:rFonts w:ascii="Arial" w:hAnsi="Arial"/>
          <w:lang w:val="es-ES_tradnl"/>
        </w:rPr>
        <w:t>endo sólida durante todo el año </w:t>
      </w:r>
      <w:r w:rsidRPr="00910E94">
        <w:rPr>
          <w:rFonts w:ascii="Arial" w:hAnsi="Arial"/>
          <w:lang w:val="es-ES_tradnl"/>
        </w:rPr>
        <w:t>2014.</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El Comité de Revisión de Contratos y el alto funcionario encargado de adquisiciones siguen estudiando los casos de adquisiciones pertinentes y me brindan asesoramiento sobre iniciativas adecuadas en materia de adquisiciones.</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b/>
          <w:szCs w:val="20"/>
          <w:lang w:val="es-ES_tradnl"/>
        </w:rPr>
      </w:pPr>
      <w:r w:rsidRPr="00910E94">
        <w:rPr>
          <w:rFonts w:ascii="Arial" w:hAnsi="Arial"/>
          <w:b/>
          <w:lang w:val="es-ES_tradnl"/>
        </w:rPr>
        <w:t xml:space="preserve">Examen de la eficacia </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El examen sobre la eficacia del sistema de control interno se basa principalmente en:</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numPr>
          <w:ilvl w:val="0"/>
          <w:numId w:val="28"/>
        </w:numPr>
        <w:spacing w:after="0" w:line="240" w:lineRule="auto"/>
        <w:rPr>
          <w:rFonts w:ascii="Arial" w:eastAsia="Times New Roman" w:hAnsi="Arial" w:cs="Arial"/>
          <w:szCs w:val="20"/>
          <w:lang w:val="es-ES_tradnl"/>
        </w:rPr>
      </w:pPr>
      <w:r w:rsidRPr="00910E94">
        <w:rPr>
          <w:rFonts w:ascii="Arial" w:hAnsi="Arial"/>
          <w:lang w:val="es-ES_tradnl"/>
        </w:rPr>
        <w:t>El equipo directivo superior, en particular los Directores Generales Adjuntos y los Subdirectores Generales, que desempeñan funciones importantes y son responsables del logro de los resultados previstos, el rendimiento, las actividades de sus respectivas divisiones y los recursos que se les ha confiado</w:t>
      </w:r>
      <w:r w:rsidR="00344EE2">
        <w:rPr>
          <w:rFonts w:ascii="Arial" w:hAnsi="Arial"/>
          <w:lang w:val="es-ES_tradnl"/>
        </w:rPr>
        <w:t xml:space="preserve">.  </w:t>
      </w:r>
      <w:r w:rsidRPr="00910E94">
        <w:rPr>
          <w:rFonts w:ascii="Arial" w:hAnsi="Arial"/>
          <w:lang w:val="es-ES_tradnl"/>
        </w:rPr>
        <w:t>El principal medio de información son las reuniones periódicas organizadas por el equipo directivo superior.</w:t>
      </w:r>
    </w:p>
    <w:p w:rsidR="00690B71" w:rsidRPr="00910E94" w:rsidRDefault="00690B71" w:rsidP="00690B71">
      <w:pPr>
        <w:spacing w:after="0" w:line="240" w:lineRule="auto"/>
        <w:ind w:left="360"/>
        <w:rPr>
          <w:rFonts w:ascii="Arial" w:eastAsia="Times New Roman" w:hAnsi="Arial" w:cs="Arial"/>
          <w:szCs w:val="20"/>
          <w:lang w:val="es-ES_tradnl"/>
        </w:rPr>
      </w:pPr>
    </w:p>
    <w:p w:rsidR="00690B71" w:rsidRPr="00910E94" w:rsidRDefault="00690B71" w:rsidP="00690B71">
      <w:pPr>
        <w:numPr>
          <w:ilvl w:val="0"/>
          <w:numId w:val="28"/>
        </w:numPr>
        <w:spacing w:after="0" w:line="240" w:lineRule="auto"/>
        <w:rPr>
          <w:rFonts w:ascii="Arial" w:eastAsia="Times New Roman" w:hAnsi="Arial" w:cs="Arial"/>
          <w:szCs w:val="20"/>
          <w:lang w:val="es-ES_tradnl"/>
        </w:rPr>
      </w:pPr>
      <w:r w:rsidRPr="00910E94">
        <w:rPr>
          <w:rFonts w:ascii="Arial" w:hAnsi="Arial"/>
          <w:lang w:val="es-ES_tradnl"/>
        </w:rPr>
        <w:t>Las cartas de manifestaciones firmadas por funcionarios clave de la OMPI</w:t>
      </w:r>
      <w:r w:rsidR="00344EE2">
        <w:rPr>
          <w:rFonts w:ascii="Arial" w:hAnsi="Arial"/>
          <w:lang w:val="es-ES_tradnl"/>
        </w:rPr>
        <w:t xml:space="preserve">.  </w:t>
      </w:r>
      <w:r w:rsidRPr="00910E94">
        <w:rPr>
          <w:rFonts w:ascii="Arial" w:hAnsi="Arial"/>
          <w:lang w:val="es-ES_tradnl"/>
        </w:rPr>
        <w:t>En tales cartas dichos funcionarios reconocen la responsabilidad que les compete respecto de la existencia y el mantenimiento, en el seno de los programas, de sistemas eficaces y un mecanismo general de control interno destinado a señalar y/o detectar los casos de fraude y errores serios.</w:t>
      </w:r>
      <w:r w:rsidRPr="00910E94">
        <w:rPr>
          <w:rFonts w:ascii="Arial" w:eastAsia="Times New Roman" w:hAnsi="Arial" w:cs="Arial"/>
          <w:szCs w:val="20"/>
          <w:lang w:val="es-ES_tradnl"/>
        </w:rPr>
        <w:br/>
      </w:r>
    </w:p>
    <w:p w:rsidR="00690B71" w:rsidRPr="00910E94" w:rsidRDefault="00690B71" w:rsidP="00690B71">
      <w:pPr>
        <w:numPr>
          <w:ilvl w:val="0"/>
          <w:numId w:val="28"/>
        </w:numPr>
        <w:spacing w:after="0" w:line="240" w:lineRule="auto"/>
        <w:rPr>
          <w:rFonts w:ascii="Arial" w:eastAsia="Times New Roman" w:hAnsi="Arial" w:cs="Arial"/>
          <w:szCs w:val="20"/>
          <w:lang w:val="es-ES_tradnl"/>
        </w:rPr>
      </w:pPr>
      <w:r w:rsidRPr="00910E94">
        <w:rPr>
          <w:rFonts w:ascii="Arial" w:hAnsi="Arial"/>
          <w:lang w:val="es-ES_tradnl"/>
        </w:rPr>
        <w:t>El Oficial Jefe de Ética Profesional, que proporciona asesoramiento confidencial y recomendaciones a la Organización y al personal sobre ética y normas de conducta, y promueve la sensibilización en materia de ética y conducta responsable en la gestión de los casos relativos a denuncias de comportamiento poco ético, incluidos los casos de conflicto de interés.</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numPr>
          <w:ilvl w:val="0"/>
          <w:numId w:val="28"/>
        </w:numPr>
        <w:spacing w:after="0" w:line="240" w:lineRule="auto"/>
        <w:rPr>
          <w:rFonts w:ascii="Arial" w:eastAsia="Times New Roman" w:hAnsi="Arial" w:cs="Arial"/>
          <w:szCs w:val="20"/>
          <w:lang w:val="es-ES_tradnl"/>
        </w:rPr>
      </w:pPr>
      <w:r w:rsidRPr="00910E94">
        <w:rPr>
          <w:rFonts w:ascii="Arial" w:hAnsi="Arial"/>
          <w:lang w:val="es-ES_tradnl"/>
        </w:rPr>
        <w:t>La División de Supervisión Interna (DSI), en cuyos informes de auditoría interna, evaluaciones y servicios de asesoramiento me baso, y que también presenta informes a la Comisión Consultiva Independiente de Supervisión (CCIS)</w:t>
      </w:r>
      <w:r w:rsidR="00344EE2">
        <w:rPr>
          <w:rFonts w:ascii="Arial" w:hAnsi="Arial"/>
          <w:lang w:val="es-ES_tradnl"/>
        </w:rPr>
        <w:t xml:space="preserve">.  </w:t>
      </w:r>
      <w:r w:rsidRPr="00910E94">
        <w:rPr>
          <w:rFonts w:ascii="Arial" w:hAnsi="Arial"/>
          <w:lang w:val="es-ES_tradnl"/>
        </w:rPr>
        <w:t>Estos informes proporcionan información independiente y objetiva sobre la adecuación y eficacia del sistema de controles internos de la Organización, y las funciones conexas de supervisión.</w:t>
      </w:r>
    </w:p>
    <w:p w:rsidR="00690B71" w:rsidRPr="00910E94" w:rsidRDefault="00690B71" w:rsidP="00690B71">
      <w:pPr>
        <w:spacing w:after="0" w:line="240" w:lineRule="auto"/>
        <w:rPr>
          <w:rFonts w:ascii="Arial" w:eastAsia="Times New Roman" w:hAnsi="Arial" w:cs="Arial"/>
          <w:sz w:val="16"/>
          <w:szCs w:val="16"/>
          <w:lang w:val="es-ES_tradnl"/>
        </w:rPr>
      </w:pPr>
    </w:p>
    <w:p w:rsidR="00690B71" w:rsidRPr="00910E94" w:rsidRDefault="00690B71" w:rsidP="00690B71">
      <w:pPr>
        <w:numPr>
          <w:ilvl w:val="0"/>
          <w:numId w:val="28"/>
        </w:numPr>
        <w:spacing w:after="0" w:line="240" w:lineRule="auto"/>
        <w:rPr>
          <w:rFonts w:ascii="Arial" w:eastAsia="Times New Roman" w:hAnsi="Arial" w:cs="Arial"/>
          <w:szCs w:val="20"/>
          <w:lang w:val="es-ES_tradnl"/>
        </w:rPr>
      </w:pPr>
      <w:r w:rsidRPr="00910E94">
        <w:rPr>
          <w:rFonts w:ascii="Arial" w:hAnsi="Arial"/>
          <w:lang w:val="es-ES_tradnl"/>
        </w:rPr>
        <w:t>La CCIS ofrece garantías a los Estados miembros acerca de la idoneidad y la eficacia de los controles internos en la OMPI, de conformidad con lo dispuesto en su mandato</w:t>
      </w:r>
      <w:r w:rsidR="00344EE2">
        <w:rPr>
          <w:rFonts w:ascii="Arial" w:hAnsi="Arial"/>
          <w:lang w:val="es-ES_tradnl"/>
        </w:rPr>
        <w:t xml:space="preserve">.  </w:t>
      </w:r>
      <w:r w:rsidRPr="00910E94">
        <w:rPr>
          <w:rFonts w:ascii="Arial" w:hAnsi="Arial"/>
          <w:lang w:val="es-ES_tradnl"/>
        </w:rPr>
        <w:t>También supervisa las labores de auditoría, pues verifica que la Administración reaccione oportuna, eficaz y adecuadamente a las recomendaciones de los auditores y vela por la aplicación de las mismas</w:t>
      </w:r>
      <w:r w:rsidR="00344EE2">
        <w:rPr>
          <w:rFonts w:ascii="Arial" w:hAnsi="Arial"/>
          <w:lang w:val="es-ES_tradnl"/>
        </w:rPr>
        <w:t xml:space="preserve">.  </w:t>
      </w:r>
      <w:r w:rsidRPr="00910E94">
        <w:rPr>
          <w:rFonts w:ascii="Arial" w:hAnsi="Arial"/>
          <w:lang w:val="es-ES_tradnl"/>
        </w:rPr>
        <w:t xml:space="preserve">En último lugar, </w:t>
      </w:r>
      <w:r w:rsidR="009D7E04" w:rsidRPr="00910E94">
        <w:rPr>
          <w:rFonts w:ascii="Arial" w:hAnsi="Arial"/>
          <w:lang w:val="es-ES_tradnl"/>
        </w:rPr>
        <w:t>la</w:t>
      </w:r>
      <w:r w:rsidRPr="00910E94">
        <w:rPr>
          <w:rFonts w:ascii="Arial" w:hAnsi="Arial"/>
          <w:lang w:val="es-ES_tradnl"/>
        </w:rPr>
        <w:t xml:space="preserve"> CCIS informa periódicamente de sus trabajos a los Estados miembros y presenta informes cada año al Comité del Programa y Presupuesto (PBC) y a la Asamblea General.</w:t>
      </w:r>
    </w:p>
    <w:p w:rsidR="00690B71" w:rsidRPr="00910E94" w:rsidRDefault="00690B71" w:rsidP="00690B71">
      <w:pPr>
        <w:spacing w:after="0" w:line="240" w:lineRule="auto"/>
        <w:ind w:left="360"/>
        <w:rPr>
          <w:rFonts w:ascii="Arial" w:eastAsia="Times New Roman" w:hAnsi="Arial" w:cs="Arial"/>
          <w:sz w:val="16"/>
          <w:szCs w:val="16"/>
          <w:lang w:val="es-ES_tradnl"/>
        </w:rPr>
      </w:pPr>
    </w:p>
    <w:p w:rsidR="00690B71" w:rsidRPr="00910E94" w:rsidRDefault="00690B71" w:rsidP="00690B71">
      <w:pPr>
        <w:numPr>
          <w:ilvl w:val="0"/>
          <w:numId w:val="28"/>
        </w:numPr>
        <w:spacing w:after="0" w:line="240" w:lineRule="auto"/>
        <w:rPr>
          <w:rFonts w:ascii="Arial" w:eastAsia="Times New Roman" w:hAnsi="Arial" w:cs="Arial"/>
          <w:szCs w:val="20"/>
          <w:lang w:val="es-ES_tradnl"/>
        </w:rPr>
      </w:pPr>
      <w:r w:rsidRPr="00910E94">
        <w:rPr>
          <w:rFonts w:ascii="Arial" w:hAnsi="Arial"/>
          <w:lang w:val="es-ES_tradnl"/>
        </w:rPr>
        <w:t>La Dependencia Común de Inspección (DCI) del Sistema de las NN.UU.,</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numPr>
          <w:ilvl w:val="0"/>
          <w:numId w:val="28"/>
        </w:numPr>
        <w:spacing w:after="0" w:line="240" w:lineRule="auto"/>
        <w:rPr>
          <w:rFonts w:ascii="Arial" w:eastAsia="Times New Roman" w:hAnsi="Arial" w:cs="Arial"/>
          <w:szCs w:val="20"/>
          <w:lang w:val="es-ES_tradnl"/>
        </w:rPr>
      </w:pPr>
      <w:r w:rsidRPr="00910E94">
        <w:rPr>
          <w:rFonts w:ascii="Arial" w:hAnsi="Arial"/>
          <w:lang w:val="es-ES_tradnl"/>
        </w:rPr>
        <w:t>El Auditor Externo, cuyos comentarios son sometidos al PBC y a la Asamblea General, y</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numPr>
          <w:ilvl w:val="0"/>
          <w:numId w:val="28"/>
        </w:numPr>
        <w:spacing w:after="0" w:line="240" w:lineRule="auto"/>
        <w:rPr>
          <w:rFonts w:ascii="Arial" w:eastAsia="Times New Roman" w:hAnsi="Arial" w:cs="Arial"/>
          <w:szCs w:val="20"/>
          <w:lang w:val="es-ES_tradnl"/>
        </w:rPr>
      </w:pPr>
      <w:r w:rsidRPr="00910E94">
        <w:rPr>
          <w:rFonts w:ascii="Arial" w:hAnsi="Arial"/>
          <w:lang w:val="es-ES_tradnl"/>
        </w:rPr>
        <w:t>Las observaciones de los órganos rectores.</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b/>
          <w:szCs w:val="20"/>
          <w:lang w:val="es-ES_tradnl"/>
        </w:rPr>
      </w:pPr>
      <w:r w:rsidRPr="00910E94">
        <w:rPr>
          <w:rFonts w:ascii="Arial" w:hAnsi="Arial"/>
          <w:b/>
          <w:lang w:val="es-ES_tradnl"/>
        </w:rPr>
        <w:t>Conclusión</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Un sistema eficaz de control interno, por bien diseñado que esté, tiene limitaciones inherentes, incluida la posibilidad de eludirlo y, por tanto, sólo puede ofrecer una garantía razonable</w:t>
      </w:r>
      <w:r w:rsidR="00344EE2">
        <w:rPr>
          <w:rFonts w:ascii="Arial" w:hAnsi="Arial"/>
          <w:lang w:val="es-ES_tradnl"/>
        </w:rPr>
        <w:t xml:space="preserve">.  </w:t>
      </w:r>
      <w:r w:rsidRPr="00910E94">
        <w:rPr>
          <w:rFonts w:ascii="Arial" w:hAnsi="Arial"/>
          <w:lang w:val="es-ES_tradnl"/>
        </w:rPr>
        <w:t>Además, la evolución de las condiciones puede incidir en la eficacia del control interno a lo largo del tiempo</w:t>
      </w:r>
      <w:r w:rsidR="00344EE2">
        <w:rPr>
          <w:rFonts w:ascii="Arial" w:hAnsi="Arial"/>
          <w:lang w:val="es-ES_tradnl"/>
        </w:rPr>
        <w:t xml:space="preserve">.  </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En tanto que Director General me aseguro de que al fijar las pautas desde los niveles jerárquicos superiores se envíe un mensaje claro de que los controles internos son indispensables para la Organización y me comprometo a atajar cualquier deficiencia que se detecte en los controles internos a lo largo del año y a garantizar el perfeccionamiento constante del sistema de controles internos.</w:t>
      </w: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r w:rsidRPr="00910E94">
        <w:rPr>
          <w:rFonts w:ascii="Arial" w:hAnsi="Arial"/>
          <w:lang w:val="es-ES_tradnl"/>
        </w:rPr>
        <w:t>Sobre la base de lo anteriormente mencionado, puedo afirmar, según mi saber y entender y la información de la que dispongo, que no existe ninguna deficiencia fundamental que pudiera impedir la emisión de un dictamen sin reservas por parte del Auditor Externo sobre los estados financieros de la Organización, ni tampoco existen cuestiones importantes derivadas de éstos que sería necesario exponer en el presente documento respe</w:t>
      </w:r>
      <w:r w:rsidR="00693071" w:rsidRPr="00910E94">
        <w:rPr>
          <w:rFonts w:ascii="Arial" w:hAnsi="Arial"/>
          <w:lang w:val="es-ES_tradnl"/>
        </w:rPr>
        <w:t>cto del ejercicio finalizado el </w:t>
      </w:r>
      <w:r w:rsidRPr="00910E94">
        <w:rPr>
          <w:rFonts w:ascii="Arial" w:hAnsi="Arial"/>
          <w:lang w:val="es-ES_tradnl"/>
        </w:rPr>
        <w:t xml:space="preserve">31 de diciembre </w:t>
      </w:r>
      <w:r w:rsidR="00CC3D7A" w:rsidRPr="00910E94">
        <w:rPr>
          <w:rFonts w:ascii="Arial" w:hAnsi="Arial"/>
          <w:lang w:val="es-ES_tradnl"/>
        </w:rPr>
        <w:t>de 20</w:t>
      </w:r>
      <w:r w:rsidRPr="00910E94">
        <w:rPr>
          <w:rFonts w:ascii="Arial" w:hAnsi="Arial"/>
          <w:lang w:val="es-ES_tradnl"/>
        </w:rPr>
        <w:t>14.</w:t>
      </w:r>
    </w:p>
    <w:p w:rsidR="00690B71" w:rsidRPr="00910E94" w:rsidRDefault="00690B71" w:rsidP="00690B71">
      <w:pPr>
        <w:tabs>
          <w:tab w:val="left" w:pos="5534"/>
        </w:tabs>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690B71">
      <w:pPr>
        <w:spacing w:after="0" w:line="240" w:lineRule="auto"/>
        <w:rPr>
          <w:rFonts w:ascii="Arial" w:eastAsia="Times New Roman" w:hAnsi="Arial" w:cs="Arial"/>
          <w:szCs w:val="20"/>
          <w:lang w:val="es-ES_tradnl"/>
        </w:rPr>
      </w:pPr>
    </w:p>
    <w:p w:rsidR="00690B71" w:rsidRPr="00910E94" w:rsidRDefault="00690B71" w:rsidP="00DB0571">
      <w:pPr>
        <w:spacing w:after="0" w:line="240" w:lineRule="auto"/>
        <w:ind w:left="5529"/>
        <w:rPr>
          <w:rFonts w:ascii="Arial" w:eastAsia="Times New Roman" w:hAnsi="Arial" w:cs="Arial"/>
          <w:szCs w:val="20"/>
          <w:lang w:val="es-ES_tradnl"/>
        </w:rPr>
      </w:pPr>
      <w:r w:rsidRPr="00910E94">
        <w:rPr>
          <w:rFonts w:ascii="Arial" w:hAnsi="Arial"/>
          <w:lang w:val="es-ES_tradnl"/>
        </w:rPr>
        <w:t>Francis Gurry</w:t>
      </w:r>
    </w:p>
    <w:p w:rsidR="0076374A" w:rsidRPr="00910E94" w:rsidRDefault="00690B71" w:rsidP="00DB0571">
      <w:pPr>
        <w:spacing w:after="0" w:line="240" w:lineRule="auto"/>
        <w:ind w:left="5529"/>
        <w:rPr>
          <w:rFonts w:ascii="Arial" w:eastAsia="Times New Roman" w:hAnsi="Arial" w:cs="Arial"/>
          <w:szCs w:val="20"/>
          <w:lang w:val="es-ES_tradnl"/>
        </w:rPr>
      </w:pPr>
      <w:r w:rsidRPr="00910E94">
        <w:rPr>
          <w:rFonts w:ascii="Arial" w:hAnsi="Arial"/>
          <w:lang w:val="es-ES_tradnl"/>
        </w:rPr>
        <w:t>Director General</w:t>
      </w:r>
    </w:p>
    <w:sectPr w:rsidR="0076374A" w:rsidRPr="00910E94" w:rsidSect="00AA2401">
      <w:headerReference w:type="even" r:id="rId29"/>
      <w:footerReference w:type="even" r:id="rId30"/>
      <w:footerReference w:type="default" r:id="rId31"/>
      <w:footerReference w:type="first" r:id="rId3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D2F" w:rsidRDefault="00A61D2F" w:rsidP="00DB5B5B">
      <w:pPr>
        <w:spacing w:after="0" w:line="240" w:lineRule="auto"/>
      </w:pPr>
      <w:r>
        <w:separator/>
      </w:r>
    </w:p>
  </w:endnote>
  <w:endnote w:type="continuationSeparator" w:id="0">
    <w:p w:rsidR="00A61D2F" w:rsidRDefault="00A61D2F" w:rsidP="00DB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Default="00A61D2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Default="00A61D2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Default="00A61D2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Default="00A61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Default="00A61D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Pr="00D47C83" w:rsidRDefault="00A61D2F" w:rsidP="00A0227B">
    <w:pPr>
      <w:pStyle w:val="Footer"/>
      <w:rPr>
        <w:rFonts w:ascii="Times New Roman" w:hAnsi="Times New Roman" w:cs="Times New Roman"/>
        <w:i/>
        <w:sz w:val="18"/>
        <w:szCs w:val="18"/>
      </w:rPr>
    </w:pPr>
    <w:r>
      <w:rPr>
        <w:rFonts w:ascii="Times New Roman" w:hAnsi="Times New Roman"/>
        <w:i/>
        <w:sz w:val="18"/>
      </w:rPr>
      <w:t xml:space="preserve">Página 2       </w:t>
    </w:r>
    <w:r>
      <w:rPr>
        <w:rFonts w:ascii="Times New Roman" w:hAnsi="Times New Roman"/>
        <w:b/>
        <w:i/>
        <w:sz w:val="18"/>
      </w:rPr>
      <w:t xml:space="preserve">                                                                                                                                                           C&amp;AG de la India</w:t>
    </w:r>
  </w:p>
  <w:p w:rsidR="00A61D2F" w:rsidRDefault="00A61D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Default="00A61D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Pr="00D47C83" w:rsidRDefault="00A61D2F" w:rsidP="00541237">
    <w:pPr>
      <w:pStyle w:val="Footer"/>
      <w:tabs>
        <w:tab w:val="clear" w:pos="4680"/>
      </w:tabs>
      <w:rPr>
        <w:rFonts w:ascii="Times New Roman" w:hAnsi="Times New Roman" w:cs="Times New Roman"/>
        <w:i/>
        <w:sz w:val="18"/>
        <w:szCs w:val="18"/>
      </w:rPr>
    </w:pPr>
    <w:r w:rsidRPr="00F9628E">
      <w:rPr>
        <w:rFonts w:ascii="Times New Roman" w:hAnsi="Times New Roman"/>
        <w:i/>
        <w:sz w:val="18"/>
      </w:rPr>
      <w:t xml:space="preserve">página </w:t>
    </w:r>
    <w:r w:rsidRPr="00F9628E">
      <w:rPr>
        <w:rFonts w:ascii="Times New Roman" w:hAnsi="Times New Roman"/>
        <w:i/>
        <w:sz w:val="18"/>
      </w:rPr>
      <w:fldChar w:fldCharType="begin"/>
    </w:r>
    <w:r w:rsidR="00F9628E" w:rsidRPr="00F9628E">
      <w:rPr>
        <w:rFonts w:ascii="Times New Roman" w:hAnsi="Times New Roman"/>
        <w:i/>
        <w:sz w:val="18"/>
      </w:rPr>
      <w:instrText>=</w:instrText>
    </w:r>
    <w:r w:rsidR="00F9628E" w:rsidRPr="00F9628E">
      <w:rPr>
        <w:rFonts w:ascii="Times New Roman" w:hAnsi="Times New Roman"/>
        <w:i/>
        <w:sz w:val="18"/>
      </w:rPr>
      <w:fldChar w:fldCharType="begin"/>
    </w:r>
    <w:r w:rsidR="00F9628E" w:rsidRPr="00F9628E">
      <w:rPr>
        <w:rFonts w:ascii="Times New Roman" w:hAnsi="Times New Roman"/>
        <w:i/>
        <w:sz w:val="18"/>
      </w:rPr>
      <w:instrText xml:space="preserve"> PAGE </w:instrText>
    </w:r>
    <w:r w:rsidR="00F9628E" w:rsidRPr="00F9628E">
      <w:rPr>
        <w:rFonts w:ascii="Times New Roman" w:hAnsi="Times New Roman"/>
        <w:i/>
        <w:sz w:val="18"/>
      </w:rPr>
      <w:fldChar w:fldCharType="separate"/>
    </w:r>
    <w:r w:rsidR="005A0661">
      <w:rPr>
        <w:rFonts w:ascii="Times New Roman" w:hAnsi="Times New Roman"/>
        <w:i/>
        <w:noProof/>
        <w:sz w:val="18"/>
      </w:rPr>
      <w:instrText>8</w:instrText>
    </w:r>
    <w:r w:rsidR="00F9628E" w:rsidRPr="00F9628E">
      <w:rPr>
        <w:rFonts w:ascii="Times New Roman" w:hAnsi="Times New Roman"/>
        <w:i/>
        <w:sz w:val="18"/>
      </w:rPr>
      <w:fldChar w:fldCharType="end"/>
    </w:r>
    <w:r w:rsidR="00F9628E" w:rsidRPr="00F9628E">
      <w:rPr>
        <w:rFonts w:ascii="Times New Roman" w:hAnsi="Times New Roman"/>
        <w:i/>
        <w:sz w:val="18"/>
      </w:rPr>
      <w:instrText xml:space="preserve"> - 5</w:instrText>
    </w:r>
    <w:r w:rsidRPr="00F9628E">
      <w:rPr>
        <w:rFonts w:ascii="Times New Roman" w:hAnsi="Times New Roman"/>
        <w:i/>
        <w:sz w:val="18"/>
      </w:rPr>
      <w:instrText xml:space="preserve">   \* MERGEFORMAT</w:instrText>
    </w:r>
    <w:r w:rsidRPr="00F9628E">
      <w:rPr>
        <w:rFonts w:ascii="Times New Roman" w:hAnsi="Times New Roman"/>
        <w:i/>
        <w:sz w:val="18"/>
      </w:rPr>
      <w:fldChar w:fldCharType="separate"/>
    </w:r>
    <w:r w:rsidR="005A0661">
      <w:rPr>
        <w:rFonts w:ascii="Times New Roman" w:hAnsi="Times New Roman"/>
        <w:i/>
        <w:noProof/>
        <w:sz w:val="18"/>
      </w:rPr>
      <w:t>3</w:t>
    </w:r>
    <w:r w:rsidRPr="00F9628E">
      <w:rPr>
        <w:rFonts w:ascii="Times New Roman" w:hAnsi="Times New Roman"/>
        <w:i/>
        <w:sz w:val="18"/>
      </w:rPr>
      <w:fldChar w:fldCharType="end"/>
    </w:r>
    <w:r>
      <w:rPr>
        <w:rFonts w:ascii="Times New Roman" w:hAnsi="Times New Roman"/>
        <w:i/>
        <w:sz w:val="18"/>
      </w:rPr>
      <w:tab/>
    </w:r>
    <w:r>
      <w:rPr>
        <w:rFonts w:ascii="Times New Roman" w:hAnsi="Times New Roman"/>
        <w:b/>
        <w:i/>
        <w:sz w:val="18"/>
      </w:rPr>
      <w:t>C&amp;AG de la India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Pr="00D47C83" w:rsidRDefault="00F9628E" w:rsidP="00B3220A">
    <w:pPr>
      <w:pStyle w:val="Footer"/>
      <w:tabs>
        <w:tab w:val="clear" w:pos="4680"/>
        <w:tab w:val="clear" w:pos="9360"/>
        <w:tab w:val="right" w:pos="13892"/>
      </w:tabs>
      <w:rPr>
        <w:rFonts w:ascii="Times New Roman" w:hAnsi="Times New Roman" w:cs="Times New Roman"/>
        <w:i/>
        <w:sz w:val="18"/>
        <w:szCs w:val="18"/>
      </w:rPr>
    </w:pPr>
    <w:r w:rsidRPr="00F9628E">
      <w:rPr>
        <w:rFonts w:ascii="Times New Roman" w:hAnsi="Times New Roman"/>
        <w:i/>
        <w:sz w:val="18"/>
      </w:rPr>
      <w:t xml:space="preserve">página </w:t>
    </w:r>
    <w:r w:rsidR="00A61D2F" w:rsidRPr="00F9628E">
      <w:rPr>
        <w:rFonts w:ascii="Times New Roman" w:hAnsi="Times New Roman"/>
        <w:i/>
        <w:sz w:val="18"/>
      </w:rPr>
      <w:fldChar w:fldCharType="begin"/>
    </w:r>
    <w:r w:rsidRPr="00F9628E">
      <w:rPr>
        <w:rFonts w:ascii="Times New Roman" w:hAnsi="Times New Roman"/>
        <w:i/>
        <w:sz w:val="18"/>
      </w:rPr>
      <w:instrText>=</w:instrText>
    </w:r>
    <w:r w:rsidRPr="00F9628E">
      <w:rPr>
        <w:rFonts w:ascii="Times New Roman" w:hAnsi="Times New Roman"/>
        <w:i/>
        <w:sz w:val="18"/>
      </w:rPr>
      <w:fldChar w:fldCharType="begin"/>
    </w:r>
    <w:r w:rsidRPr="00F9628E">
      <w:rPr>
        <w:rFonts w:ascii="Times New Roman" w:hAnsi="Times New Roman"/>
        <w:i/>
        <w:sz w:val="18"/>
      </w:rPr>
      <w:instrText xml:space="preserve"> PAGE </w:instrText>
    </w:r>
    <w:r w:rsidRPr="00F9628E">
      <w:rPr>
        <w:rFonts w:ascii="Times New Roman" w:hAnsi="Times New Roman"/>
        <w:i/>
        <w:sz w:val="18"/>
      </w:rPr>
      <w:fldChar w:fldCharType="separate"/>
    </w:r>
    <w:r w:rsidR="005A0661">
      <w:rPr>
        <w:rFonts w:ascii="Times New Roman" w:hAnsi="Times New Roman"/>
        <w:i/>
        <w:noProof/>
        <w:sz w:val="18"/>
      </w:rPr>
      <w:instrText>50</w:instrText>
    </w:r>
    <w:r w:rsidRPr="00F9628E">
      <w:rPr>
        <w:rFonts w:ascii="Times New Roman" w:hAnsi="Times New Roman"/>
        <w:i/>
        <w:sz w:val="18"/>
      </w:rPr>
      <w:fldChar w:fldCharType="end"/>
    </w:r>
    <w:r w:rsidRPr="00F9628E">
      <w:rPr>
        <w:rFonts w:ascii="Times New Roman" w:hAnsi="Times New Roman"/>
        <w:i/>
        <w:sz w:val="18"/>
      </w:rPr>
      <w:instrText xml:space="preserve"> - 5</w:instrText>
    </w:r>
    <w:r w:rsidR="00A61D2F" w:rsidRPr="00F9628E">
      <w:rPr>
        <w:rFonts w:ascii="Times New Roman" w:hAnsi="Times New Roman"/>
        <w:i/>
        <w:sz w:val="18"/>
      </w:rPr>
      <w:instrText xml:space="preserve">   \* MERGEFORMAT</w:instrText>
    </w:r>
    <w:r w:rsidR="00A61D2F" w:rsidRPr="00F9628E">
      <w:rPr>
        <w:rFonts w:ascii="Times New Roman" w:hAnsi="Times New Roman"/>
        <w:i/>
        <w:sz w:val="18"/>
      </w:rPr>
      <w:fldChar w:fldCharType="separate"/>
    </w:r>
    <w:r w:rsidR="005A0661">
      <w:rPr>
        <w:rFonts w:ascii="Times New Roman" w:hAnsi="Times New Roman"/>
        <w:i/>
        <w:noProof/>
        <w:sz w:val="18"/>
      </w:rPr>
      <w:t>45</w:t>
    </w:r>
    <w:r w:rsidR="00A61D2F" w:rsidRPr="00F9628E">
      <w:rPr>
        <w:rFonts w:ascii="Times New Roman" w:hAnsi="Times New Roman"/>
        <w:i/>
        <w:sz w:val="18"/>
      </w:rPr>
      <w:fldChar w:fldCharType="end"/>
    </w:r>
    <w:r w:rsidR="00A61D2F">
      <w:rPr>
        <w:rFonts w:ascii="Times New Roman" w:hAnsi="Times New Roman"/>
        <w:i/>
        <w:sz w:val="18"/>
      </w:rPr>
      <w:tab/>
    </w:r>
    <w:r w:rsidR="00A61D2F">
      <w:rPr>
        <w:rFonts w:ascii="Times New Roman" w:hAnsi="Times New Roman"/>
        <w:b/>
        <w:i/>
        <w:sz w:val="18"/>
      </w:rPr>
      <w:t>C&amp;AG de la India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Pr="00D47C83" w:rsidRDefault="00F9628E" w:rsidP="00B3220A">
    <w:pPr>
      <w:pStyle w:val="Footer"/>
      <w:tabs>
        <w:tab w:val="clear" w:pos="4680"/>
        <w:tab w:val="clear" w:pos="9360"/>
        <w:tab w:val="right" w:pos="9027"/>
        <w:tab w:val="right" w:pos="13892"/>
      </w:tabs>
      <w:rPr>
        <w:rFonts w:ascii="Times New Roman" w:hAnsi="Times New Roman" w:cs="Times New Roman"/>
        <w:i/>
        <w:sz w:val="18"/>
        <w:szCs w:val="18"/>
      </w:rPr>
    </w:pPr>
    <w:r w:rsidRPr="00F9628E">
      <w:rPr>
        <w:rFonts w:ascii="Times New Roman" w:hAnsi="Times New Roman"/>
        <w:i/>
        <w:sz w:val="18"/>
      </w:rPr>
      <w:t xml:space="preserve">página </w:t>
    </w:r>
    <w:r w:rsidR="00A61D2F" w:rsidRPr="00F9628E">
      <w:rPr>
        <w:rFonts w:ascii="Times New Roman" w:hAnsi="Times New Roman"/>
        <w:i/>
        <w:sz w:val="18"/>
      </w:rPr>
      <w:fldChar w:fldCharType="begin"/>
    </w:r>
    <w:r w:rsidRPr="00F9628E">
      <w:rPr>
        <w:rFonts w:ascii="Times New Roman" w:hAnsi="Times New Roman"/>
        <w:i/>
        <w:sz w:val="18"/>
      </w:rPr>
      <w:instrText>=</w:instrText>
    </w:r>
    <w:r w:rsidRPr="00F9628E">
      <w:rPr>
        <w:rFonts w:ascii="Times New Roman" w:hAnsi="Times New Roman"/>
        <w:i/>
        <w:sz w:val="18"/>
      </w:rPr>
      <w:fldChar w:fldCharType="begin"/>
    </w:r>
    <w:r w:rsidRPr="00F9628E">
      <w:rPr>
        <w:rFonts w:ascii="Times New Roman" w:hAnsi="Times New Roman"/>
        <w:i/>
        <w:sz w:val="18"/>
      </w:rPr>
      <w:instrText xml:space="preserve"> PAGE </w:instrText>
    </w:r>
    <w:r w:rsidRPr="00F9628E">
      <w:rPr>
        <w:rFonts w:ascii="Times New Roman" w:hAnsi="Times New Roman"/>
        <w:i/>
        <w:sz w:val="18"/>
      </w:rPr>
      <w:fldChar w:fldCharType="separate"/>
    </w:r>
    <w:r w:rsidR="005A0661">
      <w:rPr>
        <w:rFonts w:ascii="Times New Roman" w:hAnsi="Times New Roman"/>
        <w:i/>
        <w:noProof/>
        <w:sz w:val="18"/>
      </w:rPr>
      <w:instrText>51</w:instrText>
    </w:r>
    <w:r w:rsidRPr="00F9628E">
      <w:rPr>
        <w:rFonts w:ascii="Times New Roman" w:hAnsi="Times New Roman"/>
        <w:i/>
        <w:sz w:val="18"/>
      </w:rPr>
      <w:fldChar w:fldCharType="end"/>
    </w:r>
    <w:r w:rsidRPr="00F9628E">
      <w:rPr>
        <w:rFonts w:ascii="Times New Roman" w:hAnsi="Times New Roman"/>
        <w:i/>
        <w:sz w:val="18"/>
      </w:rPr>
      <w:instrText xml:space="preserve"> - 5</w:instrText>
    </w:r>
    <w:r w:rsidR="00A61D2F" w:rsidRPr="00F9628E">
      <w:rPr>
        <w:rFonts w:ascii="Times New Roman" w:hAnsi="Times New Roman"/>
        <w:i/>
        <w:sz w:val="18"/>
      </w:rPr>
      <w:instrText xml:space="preserve">   \* MERGEFORMAT</w:instrText>
    </w:r>
    <w:r w:rsidR="00A61D2F" w:rsidRPr="00F9628E">
      <w:rPr>
        <w:rFonts w:ascii="Times New Roman" w:hAnsi="Times New Roman"/>
        <w:i/>
        <w:sz w:val="18"/>
      </w:rPr>
      <w:fldChar w:fldCharType="separate"/>
    </w:r>
    <w:r w:rsidR="005A0661">
      <w:rPr>
        <w:rFonts w:ascii="Times New Roman" w:hAnsi="Times New Roman"/>
        <w:i/>
        <w:noProof/>
        <w:sz w:val="18"/>
      </w:rPr>
      <w:t>46</w:t>
    </w:r>
    <w:r w:rsidR="00A61D2F" w:rsidRPr="00F9628E">
      <w:rPr>
        <w:rFonts w:ascii="Times New Roman" w:hAnsi="Times New Roman"/>
        <w:i/>
        <w:sz w:val="18"/>
      </w:rPr>
      <w:fldChar w:fldCharType="end"/>
    </w:r>
    <w:r w:rsidR="00A61D2F">
      <w:rPr>
        <w:rFonts w:ascii="Times New Roman" w:hAnsi="Times New Roman"/>
        <w:i/>
        <w:sz w:val="18"/>
      </w:rPr>
      <w:tab/>
    </w:r>
    <w:r w:rsidR="00A61D2F">
      <w:rPr>
        <w:rFonts w:ascii="Times New Roman" w:hAnsi="Times New Roman"/>
        <w:b/>
        <w:i/>
        <w:sz w:val="18"/>
      </w:rPr>
      <w:t>C&amp;AG de la India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Pr="0021567A" w:rsidRDefault="00A61D2F" w:rsidP="0021567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Default="00A61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D2F" w:rsidRDefault="00A61D2F" w:rsidP="00DB5B5B">
      <w:pPr>
        <w:spacing w:after="0" w:line="240" w:lineRule="auto"/>
      </w:pPr>
      <w:r>
        <w:separator/>
      </w:r>
    </w:p>
  </w:footnote>
  <w:footnote w:type="continuationSeparator" w:id="0">
    <w:p w:rsidR="00A61D2F" w:rsidRDefault="00A61D2F" w:rsidP="00DB5B5B">
      <w:pPr>
        <w:spacing w:after="0" w:line="240" w:lineRule="auto"/>
      </w:pPr>
      <w:r>
        <w:continuationSeparator/>
      </w:r>
    </w:p>
  </w:footnote>
  <w:footnote w:id="1">
    <w:p w:rsidR="00A61D2F" w:rsidRPr="00DF37F8" w:rsidRDefault="00A61D2F" w:rsidP="00DB5B5B">
      <w:pPr>
        <w:pStyle w:val="FootnoteText"/>
        <w:jc w:val="both"/>
        <w:rPr>
          <w:rFonts w:ascii="Times New Roman" w:hAnsi="Times New Roman" w:cs="Times New Roman"/>
          <w:b/>
          <w:i/>
          <w:iCs/>
          <w:sz w:val="18"/>
          <w:szCs w:val="18"/>
          <w:lang w:val="es-ES_tradnl"/>
        </w:rPr>
      </w:pPr>
      <w:r w:rsidRPr="007E561D">
        <w:rPr>
          <w:rStyle w:val="FootnoteReference"/>
        </w:rPr>
        <w:sym w:font="Symbol" w:char="F0A7"/>
      </w:r>
      <w:r>
        <w:rPr>
          <w:rFonts w:ascii="Times New Roman" w:hAnsi="Times New Roman"/>
          <w:b/>
          <w:sz w:val="18"/>
        </w:rPr>
        <w:t xml:space="preserve"> </w:t>
      </w:r>
      <w:r>
        <w:rPr>
          <w:rFonts w:ascii="Times New Roman" w:hAnsi="Times New Roman"/>
          <w:b/>
          <w:i/>
          <w:sz w:val="18"/>
        </w:rPr>
        <w:t xml:space="preserve">La información financiera por segmentos se facilita en un formato que representa a las distintas Uniones como segmentos que conforman la OMPI.  </w:t>
      </w:r>
    </w:p>
  </w:footnote>
  <w:footnote w:id="2">
    <w:p w:rsidR="00A61D2F" w:rsidRPr="00DF37F8" w:rsidRDefault="00A61D2F" w:rsidP="002E55C1">
      <w:pPr>
        <w:pStyle w:val="FootnoteText"/>
        <w:jc w:val="both"/>
        <w:rPr>
          <w:lang w:val="es-ES_tradnl"/>
        </w:rPr>
      </w:pPr>
      <w:r w:rsidRPr="00706BFD">
        <w:rPr>
          <w:rStyle w:val="FootnoteReference"/>
        </w:rPr>
        <w:sym w:font="Symbol" w:char="F0B7"/>
      </w:r>
      <w:r>
        <w:rPr>
          <w:rFonts w:ascii="Times New Roman" w:hAnsi="Times New Roman"/>
          <w:i/>
        </w:rPr>
        <w:t xml:space="preserve">El término “finalizado” se utiliza para el documento de enfoque, ya que no supone la </w:t>
      </w:r>
      <w:r w:rsidR="004644EE">
        <w:rPr>
          <w:rFonts w:ascii="Times New Roman" w:hAnsi="Times New Roman"/>
          <w:i/>
        </w:rPr>
        <w:t>implantación</w:t>
      </w:r>
      <w:r>
        <w:rPr>
          <w:rFonts w:ascii="Times New Roman" w:hAnsi="Times New Roman"/>
          <w:i/>
        </w:rPr>
        <w:t xml:space="preserve"> de un sistema, mientras que la expresión “en servicio” se usa para describir la evolución de los proyectos que entrañan la </w:t>
      </w:r>
      <w:r w:rsidR="004644EE">
        <w:rPr>
          <w:rFonts w:ascii="Times New Roman" w:hAnsi="Times New Roman"/>
          <w:i/>
        </w:rPr>
        <w:t xml:space="preserve">implantación </w:t>
      </w:r>
      <w:r>
        <w:rPr>
          <w:rFonts w:ascii="Times New Roman" w:hAnsi="Times New Roman"/>
          <w:i/>
        </w:rPr>
        <w:t>de un sistema.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Pr="00DB0571" w:rsidRDefault="00A61D2F" w:rsidP="00DB0571">
    <w:pPr>
      <w:spacing w:after="0" w:line="240" w:lineRule="auto"/>
      <w:jc w:val="right"/>
      <w:rPr>
        <w:rFonts w:ascii="Arial" w:eastAsia="SimSun" w:hAnsi="Arial" w:cs="Arial"/>
      </w:rPr>
    </w:pPr>
    <w:r w:rsidRPr="00DB0571">
      <w:rPr>
        <w:rFonts w:ascii="Arial" w:hAnsi="Arial" w:cs="Arial"/>
      </w:rPr>
      <w:t>WO/PBC/24/5</w:t>
    </w:r>
  </w:p>
  <w:p w:rsidR="00A61D2F" w:rsidRPr="00DB0571" w:rsidRDefault="00A61D2F" w:rsidP="00DB0571">
    <w:pPr>
      <w:pStyle w:val="Header"/>
      <w:jc w:val="right"/>
      <w:rPr>
        <w:rFonts w:ascii="Arial" w:hAnsi="Arial" w:cs="Arial"/>
      </w:rPr>
    </w:pPr>
    <w:r w:rsidRPr="00DB0571">
      <w:rPr>
        <w:rFonts w:ascii="Arial" w:hAnsi="Arial" w:cs="Arial"/>
      </w:rPr>
      <w:t xml:space="preserve">página </w:t>
    </w:r>
    <w:r w:rsidRPr="00DB0571">
      <w:rPr>
        <w:rFonts w:ascii="Arial" w:hAnsi="Arial" w:cs="Arial"/>
      </w:rPr>
      <w:fldChar w:fldCharType="begin"/>
    </w:r>
    <w:r w:rsidRPr="00DB0571">
      <w:rPr>
        <w:rFonts w:ascii="Arial" w:hAnsi="Arial" w:cs="Arial"/>
      </w:rPr>
      <w:instrText xml:space="preserve"> PAGE   \* MERGEFORMAT </w:instrText>
    </w:r>
    <w:r w:rsidRPr="00DB0571">
      <w:rPr>
        <w:rFonts w:ascii="Arial" w:hAnsi="Arial" w:cs="Arial"/>
      </w:rPr>
      <w:fldChar w:fldCharType="separate"/>
    </w:r>
    <w:r w:rsidR="005A0661">
      <w:rPr>
        <w:rFonts w:ascii="Arial" w:hAnsi="Arial" w:cs="Arial"/>
        <w:noProof/>
      </w:rPr>
      <w:t>4</w:t>
    </w:r>
    <w:r w:rsidRPr="00DB0571">
      <w:rPr>
        <w:rFonts w:ascii="Arial" w:hAnsi="Arial" w:cs="Arial"/>
        <w:noProof/>
      </w:rPr>
      <w:fldChar w:fldCharType="end"/>
    </w:r>
  </w:p>
  <w:p w:rsidR="00A61D2F" w:rsidRPr="00DB0571" w:rsidRDefault="00A61D2F" w:rsidP="00DB0571">
    <w:pPr>
      <w:pStyle w:val="Heade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Pr="00333CA1" w:rsidRDefault="00A61D2F" w:rsidP="00101066">
    <w:pPr>
      <w:spacing w:after="0" w:line="240" w:lineRule="auto"/>
      <w:jc w:val="right"/>
      <w:rPr>
        <w:rFonts w:ascii="Arial" w:eastAsia="SimSun" w:hAnsi="Arial" w:cs="Arial"/>
        <w:szCs w:val="20"/>
      </w:rPr>
    </w:pPr>
    <w:r>
      <w:rPr>
        <w:rFonts w:ascii="Arial" w:hAnsi="Arial"/>
      </w:rPr>
      <w:t>WO/PBC/24/5</w:t>
    </w:r>
  </w:p>
  <w:p w:rsidR="00A61D2F" w:rsidRDefault="00A61D2F" w:rsidP="00101066">
    <w:pPr>
      <w:pStyle w:val="Header"/>
      <w:jc w:val="right"/>
    </w:pPr>
    <w:r>
      <w:rPr>
        <w:rFonts w:ascii="Arial" w:hAnsi="Arial"/>
      </w:rPr>
      <w:t xml:space="preserve">página </w:t>
    </w:r>
    <w:r w:rsidRPr="00333CA1">
      <w:rPr>
        <w:rFonts w:ascii="Arial" w:hAnsi="Arial" w:cs="Arial"/>
      </w:rPr>
      <w:fldChar w:fldCharType="begin"/>
    </w:r>
    <w:r w:rsidRPr="00333CA1">
      <w:rPr>
        <w:rFonts w:ascii="Arial" w:hAnsi="Arial" w:cs="Arial"/>
      </w:rPr>
      <w:instrText xml:space="preserve"> PAGE   \* MERGEFORMAT </w:instrText>
    </w:r>
    <w:r w:rsidRPr="00333CA1">
      <w:rPr>
        <w:rFonts w:ascii="Arial" w:hAnsi="Arial" w:cs="Arial"/>
      </w:rPr>
      <w:fldChar w:fldCharType="separate"/>
    </w:r>
    <w:r w:rsidR="005A0661">
      <w:rPr>
        <w:rFonts w:ascii="Arial" w:hAnsi="Arial" w:cs="Arial"/>
        <w:noProof/>
      </w:rPr>
      <w:t>5</w:t>
    </w:r>
    <w:r w:rsidRPr="00333CA1">
      <w:rPr>
        <w:rFonts w:ascii="Arial" w:hAnsi="Arial" w:cs="Arial"/>
        <w:noProof/>
      </w:rPr>
      <w:fldChar w:fldCharType="end"/>
    </w:r>
  </w:p>
  <w:p w:rsidR="00A61D2F" w:rsidRPr="00432869" w:rsidRDefault="00A61D2F" w:rsidP="00432869">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Pr="00337D82" w:rsidRDefault="00A61D2F" w:rsidP="00F95ECD">
    <w:pPr>
      <w:spacing w:after="0" w:line="240" w:lineRule="auto"/>
      <w:jc w:val="right"/>
      <w:rPr>
        <w:rFonts w:ascii="Arial" w:eastAsia="SimSun" w:hAnsi="Arial" w:cs="Arial"/>
        <w:szCs w:val="20"/>
      </w:rPr>
    </w:pPr>
    <w:r>
      <w:rPr>
        <w:rFonts w:ascii="Arial" w:hAnsi="Arial"/>
      </w:rPr>
      <w:t>WO/PBC/24/5</w:t>
    </w:r>
  </w:p>
  <w:p w:rsidR="00A61D2F" w:rsidRPr="00337D82" w:rsidRDefault="00A61D2F" w:rsidP="00F95ECD">
    <w:pPr>
      <w:spacing w:after="0" w:line="240" w:lineRule="auto"/>
      <w:jc w:val="right"/>
      <w:rPr>
        <w:rFonts w:ascii="Arial" w:eastAsia="SimSun" w:hAnsi="Arial" w:cs="Arial"/>
        <w:szCs w:val="20"/>
      </w:rPr>
    </w:pPr>
    <w:r>
      <w:rPr>
        <w:rFonts w:ascii="Arial" w:hAnsi="Arial"/>
      </w:rPr>
      <w:t xml:space="preserve">página </w:t>
    </w:r>
    <w:r w:rsidRPr="00337D82">
      <w:rPr>
        <w:rFonts w:ascii="Arial" w:eastAsia="SimSun" w:hAnsi="Arial" w:cs="Arial"/>
        <w:szCs w:val="20"/>
      </w:rPr>
      <w:fldChar w:fldCharType="begin"/>
    </w:r>
    <w:r w:rsidRPr="00337D82">
      <w:rPr>
        <w:rFonts w:ascii="Arial" w:eastAsia="SimSun" w:hAnsi="Arial" w:cs="Arial"/>
        <w:szCs w:val="20"/>
      </w:rPr>
      <w:instrText xml:space="preserve"> PAGE  \* MERGEFORMAT </w:instrText>
    </w:r>
    <w:r w:rsidRPr="00337D82">
      <w:rPr>
        <w:rFonts w:ascii="Arial" w:eastAsia="SimSun" w:hAnsi="Arial" w:cs="Arial"/>
        <w:szCs w:val="20"/>
      </w:rPr>
      <w:fldChar w:fldCharType="separate"/>
    </w:r>
    <w:r w:rsidR="00470A8D">
      <w:rPr>
        <w:rFonts w:ascii="Arial" w:eastAsia="SimSun" w:hAnsi="Arial" w:cs="Arial"/>
        <w:noProof/>
        <w:szCs w:val="20"/>
      </w:rPr>
      <w:t>55</w:t>
    </w:r>
    <w:r w:rsidRPr="00337D82">
      <w:rPr>
        <w:rFonts w:ascii="Arial" w:eastAsia="SimSun" w:hAnsi="Arial" w:cs="Arial"/>
        <w:szCs w:val="20"/>
      </w:rPr>
      <w:fldChar w:fldCharType="end"/>
    </w:r>
  </w:p>
  <w:p w:rsidR="00A61D2F" w:rsidRDefault="00A61D2F" w:rsidP="00F702A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2F" w:rsidRDefault="00A61D2F" w:rsidP="00AA240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61D2F" w:rsidRDefault="00A61D2F" w:rsidP="00AA240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533F"/>
    <w:multiLevelType w:val="hybridMultilevel"/>
    <w:tmpl w:val="AB5A240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353A5"/>
    <w:multiLevelType w:val="hybridMultilevel"/>
    <w:tmpl w:val="6F4C24B2"/>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B927250"/>
    <w:multiLevelType w:val="hybridMultilevel"/>
    <w:tmpl w:val="5028A92E"/>
    <w:lvl w:ilvl="0" w:tplc="4009001B">
      <w:start w:val="1"/>
      <w:numFmt w:val="lowerRoman"/>
      <w:lvlText w:val="%1."/>
      <w:lvlJc w:val="right"/>
      <w:pPr>
        <w:ind w:left="360" w:hanging="360"/>
      </w:pPr>
      <w:rPr>
        <w:rFonts w:hint="default"/>
        <w:b/>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D157378"/>
    <w:multiLevelType w:val="hybridMultilevel"/>
    <w:tmpl w:val="3C48F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067513"/>
    <w:multiLevelType w:val="hybridMultilevel"/>
    <w:tmpl w:val="4BF4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67735"/>
    <w:multiLevelType w:val="hybridMultilevel"/>
    <w:tmpl w:val="0FD816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EED08F5"/>
    <w:multiLevelType w:val="hybridMultilevel"/>
    <w:tmpl w:val="3A4AB084"/>
    <w:lvl w:ilvl="0" w:tplc="DA7ECE7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194D6C"/>
    <w:multiLevelType w:val="hybridMultilevel"/>
    <w:tmpl w:val="5B7ACA8C"/>
    <w:lvl w:ilvl="0" w:tplc="DA325558">
      <w:start w:val="1"/>
      <w:numFmt w:val="lowerRoman"/>
      <w:lvlText w:val="%1."/>
      <w:lvlJc w:val="right"/>
      <w:pPr>
        <w:ind w:left="360" w:hanging="360"/>
      </w:pPr>
      <w:rPr>
        <w:rFonts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434912CD"/>
    <w:multiLevelType w:val="hybridMultilevel"/>
    <w:tmpl w:val="CC56A4B0"/>
    <w:lvl w:ilvl="0" w:tplc="DA7ECE74">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1">
    <w:nsid w:val="48A64CC3"/>
    <w:multiLevelType w:val="hybridMultilevel"/>
    <w:tmpl w:val="34D8A0C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85070B"/>
    <w:multiLevelType w:val="hybridMultilevel"/>
    <w:tmpl w:val="4A9A7AAA"/>
    <w:lvl w:ilvl="0" w:tplc="2A1AB520">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2C4244"/>
    <w:multiLevelType w:val="hybridMultilevel"/>
    <w:tmpl w:val="86201214"/>
    <w:lvl w:ilvl="0" w:tplc="EE32BA70">
      <w:start w:val="1"/>
      <w:numFmt w:val="decimal"/>
      <w:lvlText w:val="%1."/>
      <w:lvlJc w:val="left"/>
      <w:pPr>
        <w:ind w:left="360" w:hanging="360"/>
      </w:pPr>
      <w:rPr>
        <w:b/>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F3D1670"/>
    <w:multiLevelType w:val="hybridMultilevel"/>
    <w:tmpl w:val="38B25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0B62DC9"/>
    <w:multiLevelType w:val="hybridMultilevel"/>
    <w:tmpl w:val="81BEF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6F77FBA"/>
    <w:multiLevelType w:val="hybridMultilevel"/>
    <w:tmpl w:val="1F08F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D737F1"/>
    <w:multiLevelType w:val="hybridMultilevel"/>
    <w:tmpl w:val="B2D66FA8"/>
    <w:lvl w:ilvl="0" w:tplc="14A44BAE">
      <w:start w:val="1"/>
      <w:numFmt w:val="decimal"/>
      <w:lvlText w:val="%1."/>
      <w:lvlJc w:val="left"/>
      <w:pPr>
        <w:ind w:left="369" w:hanging="227"/>
      </w:pPr>
      <w:rPr>
        <w:rFonts w:ascii="Times New Roman" w:hAnsi="Times New Roman" w:cs="Times New Roman" w:hint="default"/>
        <w:b/>
        <w:color w:val="auto"/>
        <w:sz w:val="24"/>
        <w:szCs w:val="24"/>
      </w:rPr>
    </w:lvl>
    <w:lvl w:ilvl="1" w:tplc="40090019" w:tentative="1">
      <w:start w:val="1"/>
      <w:numFmt w:val="lowerLetter"/>
      <w:lvlText w:val="%2."/>
      <w:lvlJc w:val="left"/>
      <w:pPr>
        <w:ind w:left="400" w:hanging="360"/>
      </w:pPr>
    </w:lvl>
    <w:lvl w:ilvl="2" w:tplc="4009001B" w:tentative="1">
      <w:start w:val="1"/>
      <w:numFmt w:val="lowerRoman"/>
      <w:lvlText w:val="%3."/>
      <w:lvlJc w:val="right"/>
      <w:pPr>
        <w:ind w:left="1120" w:hanging="180"/>
      </w:pPr>
    </w:lvl>
    <w:lvl w:ilvl="3" w:tplc="4009000F" w:tentative="1">
      <w:start w:val="1"/>
      <w:numFmt w:val="decimal"/>
      <w:lvlText w:val="%4."/>
      <w:lvlJc w:val="left"/>
      <w:pPr>
        <w:ind w:left="1840" w:hanging="360"/>
      </w:pPr>
    </w:lvl>
    <w:lvl w:ilvl="4" w:tplc="40090019" w:tentative="1">
      <w:start w:val="1"/>
      <w:numFmt w:val="lowerLetter"/>
      <w:lvlText w:val="%5."/>
      <w:lvlJc w:val="left"/>
      <w:pPr>
        <w:ind w:left="2560" w:hanging="360"/>
      </w:pPr>
    </w:lvl>
    <w:lvl w:ilvl="5" w:tplc="4009001B" w:tentative="1">
      <w:start w:val="1"/>
      <w:numFmt w:val="lowerRoman"/>
      <w:lvlText w:val="%6."/>
      <w:lvlJc w:val="right"/>
      <w:pPr>
        <w:ind w:left="3280" w:hanging="180"/>
      </w:pPr>
    </w:lvl>
    <w:lvl w:ilvl="6" w:tplc="4009000F" w:tentative="1">
      <w:start w:val="1"/>
      <w:numFmt w:val="decimal"/>
      <w:lvlText w:val="%7."/>
      <w:lvlJc w:val="left"/>
      <w:pPr>
        <w:ind w:left="4000" w:hanging="360"/>
      </w:pPr>
    </w:lvl>
    <w:lvl w:ilvl="7" w:tplc="40090019" w:tentative="1">
      <w:start w:val="1"/>
      <w:numFmt w:val="lowerLetter"/>
      <w:lvlText w:val="%8."/>
      <w:lvlJc w:val="left"/>
      <w:pPr>
        <w:ind w:left="4720" w:hanging="360"/>
      </w:pPr>
    </w:lvl>
    <w:lvl w:ilvl="8" w:tplc="4009001B" w:tentative="1">
      <w:start w:val="1"/>
      <w:numFmt w:val="lowerRoman"/>
      <w:lvlText w:val="%9."/>
      <w:lvlJc w:val="right"/>
      <w:pPr>
        <w:ind w:left="5440" w:hanging="180"/>
      </w:pPr>
    </w:lvl>
  </w:abstractNum>
  <w:abstractNum w:abstractNumId="20">
    <w:nsid w:val="622F5FFF"/>
    <w:multiLevelType w:val="hybridMultilevel"/>
    <w:tmpl w:val="1EB8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440BC6"/>
    <w:multiLevelType w:val="hybridMultilevel"/>
    <w:tmpl w:val="A0B856CC"/>
    <w:lvl w:ilvl="0" w:tplc="644E7324">
      <w:numFmt w:val="bullet"/>
      <w:lvlText w:val="•"/>
      <w:lvlJc w:val="left"/>
      <w:pPr>
        <w:ind w:left="1075" w:hanging="735"/>
      </w:pPr>
      <w:rPr>
        <w:rFonts w:ascii="Calibri" w:eastAsia="Calibri" w:hAnsi="Calibri" w:cs="Times New Roman" w:hint="default"/>
      </w:rPr>
    </w:lvl>
    <w:lvl w:ilvl="1" w:tplc="40090003" w:tentative="1">
      <w:start w:val="1"/>
      <w:numFmt w:val="bullet"/>
      <w:lvlText w:val="o"/>
      <w:lvlJc w:val="left"/>
      <w:pPr>
        <w:ind w:left="1420" w:hanging="360"/>
      </w:pPr>
      <w:rPr>
        <w:rFonts w:ascii="Courier New" w:hAnsi="Courier New" w:cs="Courier New" w:hint="default"/>
      </w:rPr>
    </w:lvl>
    <w:lvl w:ilvl="2" w:tplc="40090005" w:tentative="1">
      <w:start w:val="1"/>
      <w:numFmt w:val="bullet"/>
      <w:lvlText w:val=""/>
      <w:lvlJc w:val="left"/>
      <w:pPr>
        <w:ind w:left="2140" w:hanging="360"/>
      </w:pPr>
      <w:rPr>
        <w:rFonts w:ascii="Wingdings" w:hAnsi="Wingdings" w:hint="default"/>
      </w:rPr>
    </w:lvl>
    <w:lvl w:ilvl="3" w:tplc="40090001" w:tentative="1">
      <w:start w:val="1"/>
      <w:numFmt w:val="bullet"/>
      <w:lvlText w:val=""/>
      <w:lvlJc w:val="left"/>
      <w:pPr>
        <w:ind w:left="2860" w:hanging="360"/>
      </w:pPr>
      <w:rPr>
        <w:rFonts w:ascii="Symbol" w:hAnsi="Symbol" w:hint="default"/>
      </w:rPr>
    </w:lvl>
    <w:lvl w:ilvl="4" w:tplc="40090003" w:tentative="1">
      <w:start w:val="1"/>
      <w:numFmt w:val="bullet"/>
      <w:lvlText w:val="o"/>
      <w:lvlJc w:val="left"/>
      <w:pPr>
        <w:ind w:left="3580" w:hanging="360"/>
      </w:pPr>
      <w:rPr>
        <w:rFonts w:ascii="Courier New" w:hAnsi="Courier New" w:cs="Courier New" w:hint="default"/>
      </w:rPr>
    </w:lvl>
    <w:lvl w:ilvl="5" w:tplc="40090005" w:tentative="1">
      <w:start w:val="1"/>
      <w:numFmt w:val="bullet"/>
      <w:lvlText w:val=""/>
      <w:lvlJc w:val="left"/>
      <w:pPr>
        <w:ind w:left="4300" w:hanging="360"/>
      </w:pPr>
      <w:rPr>
        <w:rFonts w:ascii="Wingdings" w:hAnsi="Wingdings" w:hint="default"/>
      </w:rPr>
    </w:lvl>
    <w:lvl w:ilvl="6" w:tplc="40090001" w:tentative="1">
      <w:start w:val="1"/>
      <w:numFmt w:val="bullet"/>
      <w:lvlText w:val=""/>
      <w:lvlJc w:val="left"/>
      <w:pPr>
        <w:ind w:left="5020" w:hanging="360"/>
      </w:pPr>
      <w:rPr>
        <w:rFonts w:ascii="Symbol" w:hAnsi="Symbol" w:hint="default"/>
      </w:rPr>
    </w:lvl>
    <w:lvl w:ilvl="7" w:tplc="40090003" w:tentative="1">
      <w:start w:val="1"/>
      <w:numFmt w:val="bullet"/>
      <w:lvlText w:val="o"/>
      <w:lvlJc w:val="left"/>
      <w:pPr>
        <w:ind w:left="5740" w:hanging="360"/>
      </w:pPr>
      <w:rPr>
        <w:rFonts w:ascii="Courier New" w:hAnsi="Courier New" w:cs="Courier New" w:hint="default"/>
      </w:rPr>
    </w:lvl>
    <w:lvl w:ilvl="8" w:tplc="40090005" w:tentative="1">
      <w:start w:val="1"/>
      <w:numFmt w:val="bullet"/>
      <w:lvlText w:val=""/>
      <w:lvlJc w:val="left"/>
      <w:pPr>
        <w:ind w:left="6460" w:hanging="360"/>
      </w:pPr>
      <w:rPr>
        <w:rFonts w:ascii="Wingdings" w:hAnsi="Wingdings" w:hint="default"/>
      </w:rPr>
    </w:lvl>
  </w:abstractNum>
  <w:abstractNum w:abstractNumId="22">
    <w:nsid w:val="677D622E"/>
    <w:multiLevelType w:val="hybridMultilevel"/>
    <w:tmpl w:val="39083CF4"/>
    <w:lvl w:ilvl="0" w:tplc="E49CF7BE">
      <w:start w:val="1"/>
      <w:numFmt w:val="decimal"/>
      <w:lvlText w:val="%1."/>
      <w:lvlJc w:val="left"/>
      <w:pPr>
        <w:ind w:left="360" w:hanging="360"/>
      </w:pPr>
      <w:rPr>
        <w:rFonts w:ascii="Times New Roman" w:hAnsi="Times New Roman" w:cs="Times New Roman" w:hint="default"/>
        <w:b/>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F50210C"/>
    <w:multiLevelType w:val="hybridMultilevel"/>
    <w:tmpl w:val="143EE8F8"/>
    <w:lvl w:ilvl="0" w:tplc="A8DCB1C4">
      <w:start w:val="1"/>
      <w:numFmt w:val="lowerRoman"/>
      <w:pStyle w:val="ListparagraphII"/>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84398E"/>
    <w:multiLevelType w:val="hybridMultilevel"/>
    <w:tmpl w:val="35E603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4692EA0"/>
    <w:multiLevelType w:val="hybridMultilevel"/>
    <w:tmpl w:val="F028D8B8"/>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7FE0FFD"/>
    <w:multiLevelType w:val="hybridMultilevel"/>
    <w:tmpl w:val="00A2AE7E"/>
    <w:lvl w:ilvl="0" w:tplc="644E7324">
      <w:numFmt w:val="bullet"/>
      <w:lvlText w:val="•"/>
      <w:lvlJc w:val="left"/>
      <w:pPr>
        <w:ind w:left="360" w:hanging="360"/>
      </w:pPr>
      <w:rPr>
        <w:rFonts w:ascii="Calibri" w:eastAsia="Calibri" w:hAnsi="Calibri"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7AF6793B"/>
    <w:multiLevelType w:val="hybridMultilevel"/>
    <w:tmpl w:val="18108E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DBC668B"/>
    <w:multiLevelType w:val="hybridMultilevel"/>
    <w:tmpl w:val="8416A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2"/>
  </w:num>
  <w:num w:numId="3">
    <w:abstractNumId w:val="3"/>
  </w:num>
  <w:num w:numId="4">
    <w:abstractNumId w:val="22"/>
  </w:num>
  <w:num w:numId="5">
    <w:abstractNumId w:val="6"/>
  </w:num>
  <w:num w:numId="6">
    <w:abstractNumId w:val="13"/>
  </w:num>
  <w:num w:numId="7">
    <w:abstractNumId w:val="21"/>
  </w:num>
  <w:num w:numId="8">
    <w:abstractNumId w:val="4"/>
  </w:num>
  <w:num w:numId="9">
    <w:abstractNumId w:val="2"/>
  </w:num>
  <w:num w:numId="10">
    <w:abstractNumId w:val="26"/>
  </w:num>
  <w:num w:numId="11">
    <w:abstractNumId w:val="19"/>
  </w:num>
  <w:num w:numId="12">
    <w:abstractNumId w:val="11"/>
  </w:num>
  <w:num w:numId="13">
    <w:abstractNumId w:val="24"/>
  </w:num>
  <w:num w:numId="14">
    <w:abstractNumId w:val="9"/>
  </w:num>
  <w:num w:numId="15">
    <w:abstractNumId w:val="20"/>
  </w:num>
  <w:num w:numId="16">
    <w:abstractNumId w:val="5"/>
  </w:num>
  <w:num w:numId="17">
    <w:abstractNumId w:val="0"/>
  </w:num>
  <w:num w:numId="18">
    <w:abstractNumId w:val="25"/>
  </w:num>
  <w:num w:numId="19">
    <w:abstractNumId w:val="28"/>
  </w:num>
  <w:num w:numId="20">
    <w:abstractNumId w:val="27"/>
  </w:num>
  <w:num w:numId="21">
    <w:abstractNumId w:val="16"/>
  </w:num>
  <w:num w:numId="22">
    <w:abstractNumId w:val="15"/>
  </w:num>
  <w:num w:numId="23">
    <w:abstractNumId w:val="7"/>
  </w:num>
  <w:num w:numId="24">
    <w:abstractNumId w:val="1"/>
  </w:num>
  <w:num w:numId="25">
    <w:abstractNumId w:val="23"/>
  </w:num>
  <w:num w:numId="26">
    <w:abstractNumId w:val="10"/>
  </w:num>
  <w:num w:numId="27">
    <w:abstractNumId w:val="18"/>
  </w:num>
  <w:num w:numId="28">
    <w:abstractNumId w:val="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5B"/>
    <w:rsid w:val="00022077"/>
    <w:rsid w:val="00023C0A"/>
    <w:rsid w:val="000313BA"/>
    <w:rsid w:val="000411D4"/>
    <w:rsid w:val="000564BC"/>
    <w:rsid w:val="000825F5"/>
    <w:rsid w:val="00092D7C"/>
    <w:rsid w:val="000942F4"/>
    <w:rsid w:val="000A3A15"/>
    <w:rsid w:val="000C2183"/>
    <w:rsid w:val="000D3942"/>
    <w:rsid w:val="000D4108"/>
    <w:rsid w:val="000E1EA7"/>
    <w:rsid w:val="000E3A98"/>
    <w:rsid w:val="00100DCF"/>
    <w:rsid w:val="00101066"/>
    <w:rsid w:val="00131D23"/>
    <w:rsid w:val="00135CB6"/>
    <w:rsid w:val="00144B29"/>
    <w:rsid w:val="00146704"/>
    <w:rsid w:val="00155604"/>
    <w:rsid w:val="001641BA"/>
    <w:rsid w:val="00164F98"/>
    <w:rsid w:val="00187141"/>
    <w:rsid w:val="0019694A"/>
    <w:rsid w:val="001975F3"/>
    <w:rsid w:val="001A0FD8"/>
    <w:rsid w:val="001A6B92"/>
    <w:rsid w:val="001B2DFC"/>
    <w:rsid w:val="001C0E22"/>
    <w:rsid w:val="001C3CDF"/>
    <w:rsid w:val="00206FB9"/>
    <w:rsid w:val="00207EB3"/>
    <w:rsid w:val="00210FE3"/>
    <w:rsid w:val="0021567A"/>
    <w:rsid w:val="00220DD8"/>
    <w:rsid w:val="00226F79"/>
    <w:rsid w:val="002304D2"/>
    <w:rsid w:val="002362C0"/>
    <w:rsid w:val="00256A53"/>
    <w:rsid w:val="00260E57"/>
    <w:rsid w:val="002905B9"/>
    <w:rsid w:val="00292787"/>
    <w:rsid w:val="00293561"/>
    <w:rsid w:val="002A2051"/>
    <w:rsid w:val="002A269D"/>
    <w:rsid w:val="002B580A"/>
    <w:rsid w:val="002C3C9C"/>
    <w:rsid w:val="002C4D5D"/>
    <w:rsid w:val="002C715D"/>
    <w:rsid w:val="002D3C4F"/>
    <w:rsid w:val="002E00A9"/>
    <w:rsid w:val="002E55C1"/>
    <w:rsid w:val="002F772F"/>
    <w:rsid w:val="003313C5"/>
    <w:rsid w:val="00333CA1"/>
    <w:rsid w:val="00337D82"/>
    <w:rsid w:val="003436FF"/>
    <w:rsid w:val="003441C3"/>
    <w:rsid w:val="00344EE2"/>
    <w:rsid w:val="00351C02"/>
    <w:rsid w:val="0035763E"/>
    <w:rsid w:val="00360033"/>
    <w:rsid w:val="00374071"/>
    <w:rsid w:val="003807F6"/>
    <w:rsid w:val="0039485B"/>
    <w:rsid w:val="003A2CDF"/>
    <w:rsid w:val="003C08B9"/>
    <w:rsid w:val="003C0C7B"/>
    <w:rsid w:val="003C43E1"/>
    <w:rsid w:val="003C57C9"/>
    <w:rsid w:val="003D2BDA"/>
    <w:rsid w:val="003D6CAD"/>
    <w:rsid w:val="003E172A"/>
    <w:rsid w:val="003E2AB6"/>
    <w:rsid w:val="003E3D76"/>
    <w:rsid w:val="003E679B"/>
    <w:rsid w:val="003F3FCB"/>
    <w:rsid w:val="003F49E1"/>
    <w:rsid w:val="004119A7"/>
    <w:rsid w:val="004131EA"/>
    <w:rsid w:val="00430DC2"/>
    <w:rsid w:val="00430E05"/>
    <w:rsid w:val="00432869"/>
    <w:rsid w:val="004443D6"/>
    <w:rsid w:val="00445522"/>
    <w:rsid w:val="00446FB8"/>
    <w:rsid w:val="00453CB4"/>
    <w:rsid w:val="00453F2E"/>
    <w:rsid w:val="004644EE"/>
    <w:rsid w:val="00470A8D"/>
    <w:rsid w:val="00471A31"/>
    <w:rsid w:val="0048006A"/>
    <w:rsid w:val="00494A5A"/>
    <w:rsid w:val="00495D62"/>
    <w:rsid w:val="004A14D2"/>
    <w:rsid w:val="004A3F50"/>
    <w:rsid w:val="004B5314"/>
    <w:rsid w:val="004C2D02"/>
    <w:rsid w:val="004C43D5"/>
    <w:rsid w:val="004C6755"/>
    <w:rsid w:val="004D0A8E"/>
    <w:rsid w:val="004D301C"/>
    <w:rsid w:val="004F3198"/>
    <w:rsid w:val="00516813"/>
    <w:rsid w:val="0053147E"/>
    <w:rsid w:val="00536C66"/>
    <w:rsid w:val="00541237"/>
    <w:rsid w:val="005427E7"/>
    <w:rsid w:val="00557547"/>
    <w:rsid w:val="00560CC5"/>
    <w:rsid w:val="00564ABB"/>
    <w:rsid w:val="005717EB"/>
    <w:rsid w:val="00573413"/>
    <w:rsid w:val="00575CF9"/>
    <w:rsid w:val="00595520"/>
    <w:rsid w:val="005A0661"/>
    <w:rsid w:val="005A36AF"/>
    <w:rsid w:val="005A4811"/>
    <w:rsid w:val="005C2064"/>
    <w:rsid w:val="005D6E9F"/>
    <w:rsid w:val="005E3585"/>
    <w:rsid w:val="005E7A08"/>
    <w:rsid w:val="005F7422"/>
    <w:rsid w:val="00601D97"/>
    <w:rsid w:val="00606AB1"/>
    <w:rsid w:val="00606F68"/>
    <w:rsid w:val="00620A10"/>
    <w:rsid w:val="00625E68"/>
    <w:rsid w:val="00631A17"/>
    <w:rsid w:val="006325ED"/>
    <w:rsid w:val="0064659D"/>
    <w:rsid w:val="0065357C"/>
    <w:rsid w:val="00654180"/>
    <w:rsid w:val="0066268E"/>
    <w:rsid w:val="00663AF3"/>
    <w:rsid w:val="00676820"/>
    <w:rsid w:val="00687292"/>
    <w:rsid w:val="00690B71"/>
    <w:rsid w:val="0069107B"/>
    <w:rsid w:val="00693071"/>
    <w:rsid w:val="00694AD7"/>
    <w:rsid w:val="006A0888"/>
    <w:rsid w:val="006A1106"/>
    <w:rsid w:val="006A344F"/>
    <w:rsid w:val="006A5021"/>
    <w:rsid w:val="006A7722"/>
    <w:rsid w:val="006B5586"/>
    <w:rsid w:val="006C0221"/>
    <w:rsid w:val="006C06A8"/>
    <w:rsid w:val="006C153D"/>
    <w:rsid w:val="006C1D75"/>
    <w:rsid w:val="006D5032"/>
    <w:rsid w:val="006D7FCA"/>
    <w:rsid w:val="006E075E"/>
    <w:rsid w:val="006E1D60"/>
    <w:rsid w:val="00723325"/>
    <w:rsid w:val="007302BD"/>
    <w:rsid w:val="00731870"/>
    <w:rsid w:val="00734DEB"/>
    <w:rsid w:val="0075712A"/>
    <w:rsid w:val="0076374A"/>
    <w:rsid w:val="00766603"/>
    <w:rsid w:val="00767F32"/>
    <w:rsid w:val="00775735"/>
    <w:rsid w:val="007979BA"/>
    <w:rsid w:val="007A0C19"/>
    <w:rsid w:val="007B0295"/>
    <w:rsid w:val="007B462C"/>
    <w:rsid w:val="007C393D"/>
    <w:rsid w:val="007D420B"/>
    <w:rsid w:val="007E561D"/>
    <w:rsid w:val="007F35BC"/>
    <w:rsid w:val="007F6E19"/>
    <w:rsid w:val="00805ACA"/>
    <w:rsid w:val="008131BF"/>
    <w:rsid w:val="0082164D"/>
    <w:rsid w:val="008259E4"/>
    <w:rsid w:val="00827F5C"/>
    <w:rsid w:val="00834F1A"/>
    <w:rsid w:val="0084367E"/>
    <w:rsid w:val="0084540D"/>
    <w:rsid w:val="008457AA"/>
    <w:rsid w:val="00845CFA"/>
    <w:rsid w:val="00861A68"/>
    <w:rsid w:val="0086384F"/>
    <w:rsid w:val="00880336"/>
    <w:rsid w:val="008828CE"/>
    <w:rsid w:val="00892E1B"/>
    <w:rsid w:val="00897FAA"/>
    <w:rsid w:val="008B0D8D"/>
    <w:rsid w:val="008B63FF"/>
    <w:rsid w:val="008C0D54"/>
    <w:rsid w:val="008C7000"/>
    <w:rsid w:val="008D05E4"/>
    <w:rsid w:val="008F559D"/>
    <w:rsid w:val="00910E94"/>
    <w:rsid w:val="009135EC"/>
    <w:rsid w:val="00924EF7"/>
    <w:rsid w:val="00926E3F"/>
    <w:rsid w:val="00964ACA"/>
    <w:rsid w:val="00973A6F"/>
    <w:rsid w:val="0097603F"/>
    <w:rsid w:val="009811E5"/>
    <w:rsid w:val="00981E67"/>
    <w:rsid w:val="00987612"/>
    <w:rsid w:val="009945D1"/>
    <w:rsid w:val="00995835"/>
    <w:rsid w:val="009A279A"/>
    <w:rsid w:val="009B030F"/>
    <w:rsid w:val="009B0ED9"/>
    <w:rsid w:val="009B1223"/>
    <w:rsid w:val="009B3DAA"/>
    <w:rsid w:val="009C5891"/>
    <w:rsid w:val="009C736A"/>
    <w:rsid w:val="009D339D"/>
    <w:rsid w:val="009D6098"/>
    <w:rsid w:val="009D7E04"/>
    <w:rsid w:val="009F56CB"/>
    <w:rsid w:val="00A01FC5"/>
    <w:rsid w:val="00A0227B"/>
    <w:rsid w:val="00A06935"/>
    <w:rsid w:val="00A23174"/>
    <w:rsid w:val="00A56A78"/>
    <w:rsid w:val="00A61266"/>
    <w:rsid w:val="00A61D2F"/>
    <w:rsid w:val="00A61D70"/>
    <w:rsid w:val="00A70B54"/>
    <w:rsid w:val="00A76E18"/>
    <w:rsid w:val="00A804BE"/>
    <w:rsid w:val="00AA2401"/>
    <w:rsid w:val="00AA569F"/>
    <w:rsid w:val="00AB18E9"/>
    <w:rsid w:val="00AB3D7D"/>
    <w:rsid w:val="00AB68A6"/>
    <w:rsid w:val="00AC20F7"/>
    <w:rsid w:val="00AC552E"/>
    <w:rsid w:val="00AD2D3F"/>
    <w:rsid w:val="00AD5170"/>
    <w:rsid w:val="00AF22AA"/>
    <w:rsid w:val="00AF2C59"/>
    <w:rsid w:val="00AF52D3"/>
    <w:rsid w:val="00AF6212"/>
    <w:rsid w:val="00B0154F"/>
    <w:rsid w:val="00B051D5"/>
    <w:rsid w:val="00B3220A"/>
    <w:rsid w:val="00B37484"/>
    <w:rsid w:val="00B501B1"/>
    <w:rsid w:val="00B50B1F"/>
    <w:rsid w:val="00B52FB6"/>
    <w:rsid w:val="00B746B5"/>
    <w:rsid w:val="00B74E6A"/>
    <w:rsid w:val="00B76B3A"/>
    <w:rsid w:val="00B81220"/>
    <w:rsid w:val="00B94BDB"/>
    <w:rsid w:val="00BA7E79"/>
    <w:rsid w:val="00BB0A3E"/>
    <w:rsid w:val="00BD14F2"/>
    <w:rsid w:val="00BF088E"/>
    <w:rsid w:val="00BF0C9C"/>
    <w:rsid w:val="00BF2DD3"/>
    <w:rsid w:val="00BF3684"/>
    <w:rsid w:val="00BF6505"/>
    <w:rsid w:val="00BF75D4"/>
    <w:rsid w:val="00C00624"/>
    <w:rsid w:val="00C015FF"/>
    <w:rsid w:val="00C03083"/>
    <w:rsid w:val="00C042F3"/>
    <w:rsid w:val="00C26AD2"/>
    <w:rsid w:val="00C4524C"/>
    <w:rsid w:val="00C57E77"/>
    <w:rsid w:val="00C65B60"/>
    <w:rsid w:val="00C73DB1"/>
    <w:rsid w:val="00C85BA8"/>
    <w:rsid w:val="00C910BF"/>
    <w:rsid w:val="00C947A4"/>
    <w:rsid w:val="00C973DD"/>
    <w:rsid w:val="00CA5A04"/>
    <w:rsid w:val="00CB5489"/>
    <w:rsid w:val="00CB6174"/>
    <w:rsid w:val="00CB65E2"/>
    <w:rsid w:val="00CB7091"/>
    <w:rsid w:val="00CC3D7A"/>
    <w:rsid w:val="00CC7189"/>
    <w:rsid w:val="00CD40C7"/>
    <w:rsid w:val="00CE1346"/>
    <w:rsid w:val="00CF1418"/>
    <w:rsid w:val="00CF39B4"/>
    <w:rsid w:val="00D06347"/>
    <w:rsid w:val="00D10708"/>
    <w:rsid w:val="00D150C9"/>
    <w:rsid w:val="00D16E41"/>
    <w:rsid w:val="00D20DB9"/>
    <w:rsid w:val="00D2766A"/>
    <w:rsid w:val="00D344B6"/>
    <w:rsid w:val="00D40636"/>
    <w:rsid w:val="00D47C83"/>
    <w:rsid w:val="00D74820"/>
    <w:rsid w:val="00D9197F"/>
    <w:rsid w:val="00D93787"/>
    <w:rsid w:val="00DA0486"/>
    <w:rsid w:val="00DB0571"/>
    <w:rsid w:val="00DB5B5B"/>
    <w:rsid w:val="00DC5084"/>
    <w:rsid w:val="00DD15B9"/>
    <w:rsid w:val="00DE1BB6"/>
    <w:rsid w:val="00DE326D"/>
    <w:rsid w:val="00DE390A"/>
    <w:rsid w:val="00DE48EF"/>
    <w:rsid w:val="00DE495B"/>
    <w:rsid w:val="00DF128D"/>
    <w:rsid w:val="00DF2E8C"/>
    <w:rsid w:val="00DF37F8"/>
    <w:rsid w:val="00E1060C"/>
    <w:rsid w:val="00E24DBD"/>
    <w:rsid w:val="00E4022A"/>
    <w:rsid w:val="00E46FA2"/>
    <w:rsid w:val="00E56225"/>
    <w:rsid w:val="00E562B7"/>
    <w:rsid w:val="00E62162"/>
    <w:rsid w:val="00E648F9"/>
    <w:rsid w:val="00E70FD5"/>
    <w:rsid w:val="00E80073"/>
    <w:rsid w:val="00E835E0"/>
    <w:rsid w:val="00E87F9E"/>
    <w:rsid w:val="00E96171"/>
    <w:rsid w:val="00EB2FD6"/>
    <w:rsid w:val="00EB3683"/>
    <w:rsid w:val="00EC1898"/>
    <w:rsid w:val="00EC215B"/>
    <w:rsid w:val="00EE57F0"/>
    <w:rsid w:val="00EF169C"/>
    <w:rsid w:val="00F02529"/>
    <w:rsid w:val="00F12DE6"/>
    <w:rsid w:val="00F35E65"/>
    <w:rsid w:val="00F37986"/>
    <w:rsid w:val="00F5293F"/>
    <w:rsid w:val="00F53406"/>
    <w:rsid w:val="00F66ABB"/>
    <w:rsid w:val="00F702A4"/>
    <w:rsid w:val="00F8137C"/>
    <w:rsid w:val="00F91DC1"/>
    <w:rsid w:val="00F95ECD"/>
    <w:rsid w:val="00F9628E"/>
    <w:rsid w:val="00F971CB"/>
    <w:rsid w:val="00F97604"/>
    <w:rsid w:val="00FB0F34"/>
    <w:rsid w:val="00FB3175"/>
    <w:rsid w:val="00FB4D53"/>
    <w:rsid w:val="00FC52F6"/>
    <w:rsid w:val="00FD59E5"/>
    <w:rsid w:val="00FE067F"/>
    <w:rsid w:val="00FE1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A1"/>
    <w:pPr>
      <w:spacing w:after="200" w:line="276" w:lineRule="auto"/>
    </w:pPr>
    <w:rPr>
      <w:rFonts w:cs="Mangal"/>
      <w:sz w:val="22"/>
      <w:szCs w:val="22"/>
    </w:rPr>
  </w:style>
  <w:style w:type="paragraph" w:styleId="Heading1">
    <w:name w:val="heading 1"/>
    <w:basedOn w:val="Normal"/>
    <w:next w:val="Normal"/>
    <w:link w:val="Heading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B5B"/>
    <w:pPr>
      <w:ind w:left="720"/>
      <w:contextualSpacing/>
    </w:pPr>
    <w:rPr>
      <w:rFonts w:eastAsia="Times New Roman"/>
    </w:rPr>
  </w:style>
  <w:style w:type="paragraph" w:styleId="Header">
    <w:name w:val="header"/>
    <w:basedOn w:val="Normal"/>
    <w:link w:val="HeaderChar"/>
    <w:uiPriority w:val="99"/>
    <w:unhideWhenUsed/>
    <w:rsid w:val="00DB5B5B"/>
    <w:pPr>
      <w:tabs>
        <w:tab w:val="center" w:pos="4680"/>
        <w:tab w:val="right" w:pos="9360"/>
      </w:tabs>
      <w:spacing w:after="0" w:line="240" w:lineRule="auto"/>
    </w:pPr>
  </w:style>
  <w:style w:type="character" w:customStyle="1" w:styleId="HeaderChar">
    <w:name w:val="Header Char"/>
    <w:link w:val="Header"/>
    <w:uiPriority w:val="99"/>
    <w:rsid w:val="00DB5B5B"/>
    <w:rPr>
      <w:rFonts w:ascii="Calibri" w:eastAsia="Calibri" w:hAnsi="Calibri" w:cs="Mangal"/>
      <w:lang w:val="es-ES"/>
    </w:rPr>
  </w:style>
  <w:style w:type="paragraph" w:styleId="Footer">
    <w:name w:val="footer"/>
    <w:basedOn w:val="Normal"/>
    <w:link w:val="FooterChar"/>
    <w:uiPriority w:val="99"/>
    <w:unhideWhenUsed/>
    <w:rsid w:val="00DB5B5B"/>
    <w:pPr>
      <w:tabs>
        <w:tab w:val="center" w:pos="4680"/>
        <w:tab w:val="right" w:pos="9360"/>
      </w:tabs>
      <w:spacing w:after="0" w:line="240" w:lineRule="auto"/>
    </w:pPr>
  </w:style>
  <w:style w:type="character" w:customStyle="1" w:styleId="FooterChar">
    <w:name w:val="Footer Char"/>
    <w:link w:val="Footer"/>
    <w:uiPriority w:val="99"/>
    <w:rsid w:val="00DB5B5B"/>
    <w:rPr>
      <w:rFonts w:ascii="Calibri" w:eastAsia="Calibri" w:hAnsi="Calibri" w:cs="Mangal"/>
      <w:lang w:val="es-ES"/>
    </w:rPr>
  </w:style>
  <w:style w:type="paragraph" w:customStyle="1" w:styleId="Default">
    <w:name w:val="Default"/>
    <w:rsid w:val="00DB5B5B"/>
    <w:pPr>
      <w:autoSpaceDE w:val="0"/>
      <w:autoSpaceDN w:val="0"/>
      <w:adjustRightInd w:val="0"/>
    </w:pPr>
    <w:rPr>
      <w:rFonts w:eastAsia="Times New Roman" w:cs="Calibri"/>
      <w:color w:val="000000"/>
      <w:sz w:val="24"/>
      <w:szCs w:val="24"/>
    </w:rPr>
  </w:style>
  <w:style w:type="paragraph" w:styleId="FootnoteText">
    <w:name w:val="footnote text"/>
    <w:aliases w:val="Footnote,Char"/>
    <w:basedOn w:val="Normal"/>
    <w:link w:val="FootnoteTextChar"/>
    <w:semiHidden/>
    <w:unhideWhenUsed/>
    <w:rsid w:val="00DB5B5B"/>
    <w:rPr>
      <w:sz w:val="20"/>
      <w:szCs w:val="20"/>
    </w:rPr>
  </w:style>
  <w:style w:type="character" w:customStyle="1" w:styleId="FootnoteTextChar">
    <w:name w:val="Footnote Text Char"/>
    <w:aliases w:val="Footnote Char,Char Char"/>
    <w:link w:val="FootnoteText"/>
    <w:semiHidden/>
    <w:rsid w:val="00DB5B5B"/>
    <w:rPr>
      <w:rFonts w:ascii="Calibri" w:eastAsia="Calibri" w:hAnsi="Calibri" w:cs="Mangal"/>
      <w:sz w:val="20"/>
      <w:szCs w:val="20"/>
      <w:lang w:val="es-ES"/>
    </w:rPr>
  </w:style>
  <w:style w:type="character" w:styleId="FootnoteReference">
    <w:name w:val="footnote reference"/>
    <w:unhideWhenUsed/>
    <w:rsid w:val="00DB5B5B"/>
    <w:rPr>
      <w:vertAlign w:val="superscript"/>
    </w:rPr>
  </w:style>
  <w:style w:type="paragraph" w:styleId="BalloonText">
    <w:name w:val="Balloon Text"/>
    <w:basedOn w:val="Normal"/>
    <w:link w:val="BalloonTextChar"/>
    <w:uiPriority w:val="99"/>
    <w:semiHidden/>
    <w:unhideWhenUsed/>
    <w:rsid w:val="00DB5B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B5B"/>
    <w:rPr>
      <w:rFonts w:ascii="Tahoma" w:eastAsia="Calibri" w:hAnsi="Tahoma" w:cs="Tahoma"/>
      <w:sz w:val="16"/>
      <w:szCs w:val="16"/>
      <w:lang w:val="es-ES"/>
    </w:rPr>
  </w:style>
  <w:style w:type="character" w:customStyle="1" w:styleId="Heading1Char">
    <w:name w:val="Heading 1 Char"/>
    <w:link w:val="Heading1"/>
    <w:uiPriority w:val="9"/>
    <w:rsid w:val="00DE48EF"/>
    <w:rPr>
      <w:rFonts w:ascii="Cambria" w:eastAsia="Times New Roman" w:hAnsi="Cambria" w:cs="Times New Roman"/>
      <w:color w:val="365F91"/>
      <w:sz w:val="36"/>
      <w:szCs w:val="36"/>
    </w:rPr>
  </w:style>
  <w:style w:type="paragraph" w:styleId="NoSpacing">
    <w:name w:val="No Spacing"/>
    <w:link w:val="NoSpacingChar"/>
    <w:uiPriority w:val="1"/>
    <w:qFormat/>
    <w:rsid w:val="002E55C1"/>
    <w:rPr>
      <w:rFonts w:eastAsia="Times New Roman"/>
      <w:sz w:val="21"/>
      <w:szCs w:val="21"/>
    </w:rPr>
  </w:style>
  <w:style w:type="character" w:customStyle="1" w:styleId="NoSpacingChar">
    <w:name w:val="No Spacing Char"/>
    <w:link w:val="NoSpacing"/>
    <w:uiPriority w:val="1"/>
    <w:locked/>
    <w:rsid w:val="002E55C1"/>
    <w:rPr>
      <w:rFonts w:eastAsia="Times New Roman"/>
      <w:sz w:val="21"/>
      <w:szCs w:val="21"/>
      <w:lang w:bidi="es-ES"/>
    </w:rPr>
  </w:style>
  <w:style w:type="character" w:styleId="CommentReference">
    <w:name w:val="annotation reference"/>
    <w:uiPriority w:val="99"/>
    <w:semiHidden/>
    <w:unhideWhenUsed/>
    <w:rsid w:val="00CE1346"/>
    <w:rPr>
      <w:sz w:val="16"/>
      <w:szCs w:val="16"/>
    </w:rPr>
  </w:style>
  <w:style w:type="paragraph" w:styleId="CommentText">
    <w:name w:val="annotation text"/>
    <w:basedOn w:val="Normal"/>
    <w:link w:val="CommentTextChar"/>
    <w:uiPriority w:val="99"/>
    <w:semiHidden/>
    <w:unhideWhenUsed/>
    <w:rsid w:val="00CE1346"/>
    <w:rPr>
      <w:rFonts w:cs="Times New Roman"/>
      <w:sz w:val="20"/>
      <w:szCs w:val="20"/>
    </w:rPr>
  </w:style>
  <w:style w:type="character" w:customStyle="1" w:styleId="CommentTextChar">
    <w:name w:val="Comment Text Char"/>
    <w:link w:val="CommentText"/>
    <w:uiPriority w:val="99"/>
    <w:semiHidden/>
    <w:rsid w:val="00CE1346"/>
    <w:rPr>
      <w:rFonts w:ascii="Calibri" w:eastAsia="Calibri" w:hAnsi="Calibri" w:cs="Times New Roman"/>
      <w:sz w:val="20"/>
      <w:szCs w:val="20"/>
      <w:lang w:val="es-ES"/>
    </w:rPr>
  </w:style>
  <w:style w:type="character" w:styleId="Hyperlink">
    <w:name w:val="Hyperlink"/>
    <w:uiPriority w:val="99"/>
    <w:unhideWhenUsed/>
    <w:rsid w:val="007F6E19"/>
    <w:rPr>
      <w:color w:val="0000FF"/>
      <w:u w:val="single"/>
    </w:rPr>
  </w:style>
  <w:style w:type="paragraph" w:customStyle="1" w:styleId="ListparagraphII">
    <w:name w:val="List paragraph II"/>
    <w:basedOn w:val="Normal"/>
    <w:rsid w:val="008D05E4"/>
    <w:pPr>
      <w:numPr>
        <w:numId w:val="25"/>
      </w:numPr>
    </w:pPr>
  </w:style>
  <w:style w:type="character" w:styleId="PageNumber">
    <w:name w:val="page number"/>
    <w:rsid w:val="00690B71"/>
  </w:style>
  <w:style w:type="table" w:styleId="TableGrid">
    <w:name w:val="Table Grid"/>
    <w:basedOn w:val="TableNormal"/>
    <w:uiPriority w:val="59"/>
    <w:rsid w:val="000313BA"/>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CA1"/>
    <w:pPr>
      <w:spacing w:after="200" w:line="276" w:lineRule="auto"/>
    </w:pPr>
    <w:rPr>
      <w:rFonts w:cs="Mangal"/>
      <w:sz w:val="22"/>
      <w:szCs w:val="22"/>
    </w:rPr>
  </w:style>
  <w:style w:type="paragraph" w:styleId="Heading1">
    <w:name w:val="heading 1"/>
    <w:basedOn w:val="Normal"/>
    <w:next w:val="Normal"/>
    <w:link w:val="Heading1Char"/>
    <w:uiPriority w:val="9"/>
    <w:qFormat/>
    <w:rsid w:val="00DE48EF"/>
    <w:pPr>
      <w:keepNext/>
      <w:keepLines/>
      <w:spacing w:before="400" w:after="40" w:line="240" w:lineRule="auto"/>
      <w:outlineLvl w:val="0"/>
    </w:pPr>
    <w:rPr>
      <w:rFonts w:ascii="Cambria" w:eastAsia="Times New Roman" w:hAnsi="Cambria" w:cs="Times New Roman"/>
      <w:color w:val="365F9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B5B"/>
    <w:pPr>
      <w:ind w:left="720"/>
      <w:contextualSpacing/>
    </w:pPr>
    <w:rPr>
      <w:rFonts w:eastAsia="Times New Roman"/>
    </w:rPr>
  </w:style>
  <w:style w:type="paragraph" w:styleId="Header">
    <w:name w:val="header"/>
    <w:basedOn w:val="Normal"/>
    <w:link w:val="HeaderChar"/>
    <w:uiPriority w:val="99"/>
    <w:unhideWhenUsed/>
    <w:rsid w:val="00DB5B5B"/>
    <w:pPr>
      <w:tabs>
        <w:tab w:val="center" w:pos="4680"/>
        <w:tab w:val="right" w:pos="9360"/>
      </w:tabs>
      <w:spacing w:after="0" w:line="240" w:lineRule="auto"/>
    </w:pPr>
  </w:style>
  <w:style w:type="character" w:customStyle="1" w:styleId="HeaderChar">
    <w:name w:val="Header Char"/>
    <w:link w:val="Header"/>
    <w:uiPriority w:val="99"/>
    <w:rsid w:val="00DB5B5B"/>
    <w:rPr>
      <w:rFonts w:ascii="Calibri" w:eastAsia="Calibri" w:hAnsi="Calibri" w:cs="Mangal"/>
      <w:lang w:val="es-ES"/>
    </w:rPr>
  </w:style>
  <w:style w:type="paragraph" w:styleId="Footer">
    <w:name w:val="footer"/>
    <w:basedOn w:val="Normal"/>
    <w:link w:val="FooterChar"/>
    <w:uiPriority w:val="99"/>
    <w:unhideWhenUsed/>
    <w:rsid w:val="00DB5B5B"/>
    <w:pPr>
      <w:tabs>
        <w:tab w:val="center" w:pos="4680"/>
        <w:tab w:val="right" w:pos="9360"/>
      </w:tabs>
      <w:spacing w:after="0" w:line="240" w:lineRule="auto"/>
    </w:pPr>
  </w:style>
  <w:style w:type="character" w:customStyle="1" w:styleId="FooterChar">
    <w:name w:val="Footer Char"/>
    <w:link w:val="Footer"/>
    <w:uiPriority w:val="99"/>
    <w:rsid w:val="00DB5B5B"/>
    <w:rPr>
      <w:rFonts w:ascii="Calibri" w:eastAsia="Calibri" w:hAnsi="Calibri" w:cs="Mangal"/>
      <w:lang w:val="es-ES"/>
    </w:rPr>
  </w:style>
  <w:style w:type="paragraph" w:customStyle="1" w:styleId="Default">
    <w:name w:val="Default"/>
    <w:rsid w:val="00DB5B5B"/>
    <w:pPr>
      <w:autoSpaceDE w:val="0"/>
      <w:autoSpaceDN w:val="0"/>
      <w:adjustRightInd w:val="0"/>
    </w:pPr>
    <w:rPr>
      <w:rFonts w:eastAsia="Times New Roman" w:cs="Calibri"/>
      <w:color w:val="000000"/>
      <w:sz w:val="24"/>
      <w:szCs w:val="24"/>
    </w:rPr>
  </w:style>
  <w:style w:type="paragraph" w:styleId="FootnoteText">
    <w:name w:val="footnote text"/>
    <w:aliases w:val="Footnote,Char"/>
    <w:basedOn w:val="Normal"/>
    <w:link w:val="FootnoteTextChar"/>
    <w:semiHidden/>
    <w:unhideWhenUsed/>
    <w:rsid w:val="00DB5B5B"/>
    <w:rPr>
      <w:sz w:val="20"/>
      <w:szCs w:val="20"/>
    </w:rPr>
  </w:style>
  <w:style w:type="character" w:customStyle="1" w:styleId="FootnoteTextChar">
    <w:name w:val="Footnote Text Char"/>
    <w:aliases w:val="Footnote Char,Char Char"/>
    <w:link w:val="FootnoteText"/>
    <w:semiHidden/>
    <w:rsid w:val="00DB5B5B"/>
    <w:rPr>
      <w:rFonts w:ascii="Calibri" w:eastAsia="Calibri" w:hAnsi="Calibri" w:cs="Mangal"/>
      <w:sz w:val="20"/>
      <w:szCs w:val="20"/>
      <w:lang w:val="es-ES"/>
    </w:rPr>
  </w:style>
  <w:style w:type="character" w:styleId="FootnoteReference">
    <w:name w:val="footnote reference"/>
    <w:unhideWhenUsed/>
    <w:rsid w:val="00DB5B5B"/>
    <w:rPr>
      <w:vertAlign w:val="superscript"/>
    </w:rPr>
  </w:style>
  <w:style w:type="paragraph" w:styleId="BalloonText">
    <w:name w:val="Balloon Text"/>
    <w:basedOn w:val="Normal"/>
    <w:link w:val="BalloonTextChar"/>
    <w:uiPriority w:val="99"/>
    <w:semiHidden/>
    <w:unhideWhenUsed/>
    <w:rsid w:val="00DB5B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B5B"/>
    <w:rPr>
      <w:rFonts w:ascii="Tahoma" w:eastAsia="Calibri" w:hAnsi="Tahoma" w:cs="Tahoma"/>
      <w:sz w:val="16"/>
      <w:szCs w:val="16"/>
      <w:lang w:val="es-ES"/>
    </w:rPr>
  </w:style>
  <w:style w:type="character" w:customStyle="1" w:styleId="Heading1Char">
    <w:name w:val="Heading 1 Char"/>
    <w:link w:val="Heading1"/>
    <w:uiPriority w:val="9"/>
    <w:rsid w:val="00DE48EF"/>
    <w:rPr>
      <w:rFonts w:ascii="Cambria" w:eastAsia="Times New Roman" w:hAnsi="Cambria" w:cs="Times New Roman"/>
      <w:color w:val="365F91"/>
      <w:sz w:val="36"/>
      <w:szCs w:val="36"/>
    </w:rPr>
  </w:style>
  <w:style w:type="paragraph" w:styleId="NoSpacing">
    <w:name w:val="No Spacing"/>
    <w:link w:val="NoSpacingChar"/>
    <w:uiPriority w:val="1"/>
    <w:qFormat/>
    <w:rsid w:val="002E55C1"/>
    <w:rPr>
      <w:rFonts w:eastAsia="Times New Roman"/>
      <w:sz w:val="21"/>
      <w:szCs w:val="21"/>
    </w:rPr>
  </w:style>
  <w:style w:type="character" w:customStyle="1" w:styleId="NoSpacingChar">
    <w:name w:val="No Spacing Char"/>
    <w:link w:val="NoSpacing"/>
    <w:uiPriority w:val="1"/>
    <w:locked/>
    <w:rsid w:val="002E55C1"/>
    <w:rPr>
      <w:rFonts w:eastAsia="Times New Roman"/>
      <w:sz w:val="21"/>
      <w:szCs w:val="21"/>
      <w:lang w:bidi="es-ES"/>
    </w:rPr>
  </w:style>
  <w:style w:type="character" w:styleId="CommentReference">
    <w:name w:val="annotation reference"/>
    <w:uiPriority w:val="99"/>
    <w:semiHidden/>
    <w:unhideWhenUsed/>
    <w:rsid w:val="00CE1346"/>
    <w:rPr>
      <w:sz w:val="16"/>
      <w:szCs w:val="16"/>
    </w:rPr>
  </w:style>
  <w:style w:type="paragraph" w:styleId="CommentText">
    <w:name w:val="annotation text"/>
    <w:basedOn w:val="Normal"/>
    <w:link w:val="CommentTextChar"/>
    <w:uiPriority w:val="99"/>
    <w:semiHidden/>
    <w:unhideWhenUsed/>
    <w:rsid w:val="00CE1346"/>
    <w:rPr>
      <w:rFonts w:cs="Times New Roman"/>
      <w:sz w:val="20"/>
      <w:szCs w:val="20"/>
    </w:rPr>
  </w:style>
  <w:style w:type="character" w:customStyle="1" w:styleId="CommentTextChar">
    <w:name w:val="Comment Text Char"/>
    <w:link w:val="CommentText"/>
    <w:uiPriority w:val="99"/>
    <w:semiHidden/>
    <w:rsid w:val="00CE1346"/>
    <w:rPr>
      <w:rFonts w:ascii="Calibri" w:eastAsia="Calibri" w:hAnsi="Calibri" w:cs="Times New Roman"/>
      <w:sz w:val="20"/>
      <w:szCs w:val="20"/>
      <w:lang w:val="es-ES"/>
    </w:rPr>
  </w:style>
  <w:style w:type="character" w:styleId="Hyperlink">
    <w:name w:val="Hyperlink"/>
    <w:uiPriority w:val="99"/>
    <w:unhideWhenUsed/>
    <w:rsid w:val="007F6E19"/>
    <w:rPr>
      <w:color w:val="0000FF"/>
      <w:u w:val="single"/>
    </w:rPr>
  </w:style>
  <w:style w:type="paragraph" w:customStyle="1" w:styleId="ListparagraphII">
    <w:name w:val="List paragraph II"/>
    <w:basedOn w:val="Normal"/>
    <w:rsid w:val="008D05E4"/>
    <w:pPr>
      <w:numPr>
        <w:numId w:val="25"/>
      </w:numPr>
    </w:pPr>
  </w:style>
  <w:style w:type="character" w:styleId="PageNumber">
    <w:name w:val="page number"/>
    <w:rsid w:val="00690B71"/>
  </w:style>
  <w:style w:type="table" w:styleId="TableGrid">
    <w:name w:val="Table Grid"/>
    <w:basedOn w:val="TableNormal"/>
    <w:uiPriority w:val="59"/>
    <w:rsid w:val="000313BA"/>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3054">
      <w:bodyDiv w:val="1"/>
      <w:marLeft w:val="0"/>
      <w:marRight w:val="0"/>
      <w:marTop w:val="0"/>
      <w:marBottom w:val="0"/>
      <w:divBdr>
        <w:top w:val="none" w:sz="0" w:space="0" w:color="auto"/>
        <w:left w:val="none" w:sz="0" w:space="0" w:color="auto"/>
        <w:bottom w:val="none" w:sz="0" w:space="0" w:color="auto"/>
        <w:right w:val="none" w:sz="0" w:space="0" w:color="auto"/>
      </w:divBdr>
    </w:div>
    <w:div w:id="18365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bramanianKS@cag.gov.in" TargetMode="External"/><Relationship Id="rId20" Type="http://schemas.openxmlformats.org/officeDocument/2006/relationships/image" Target="media/image5.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7.jpeg"/><Relationship Id="rId27" Type="http://schemas.openxmlformats.org/officeDocument/2006/relationships/header" Target="header3.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C80EE-B63A-4C4B-87F4-B6775BB9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20862</Words>
  <Characters>106193</Characters>
  <Application>Microsoft Office Word</Application>
  <DocSecurity>0</DocSecurity>
  <Lines>1474</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WO/PBC/24/5</vt:lpstr>
      <vt:lpstr/>
    </vt:vector>
  </TitlesOfParts>
  <Company>Microsoft</Company>
  <LinksUpToDate>false</LinksUpToDate>
  <CharactersWithSpaces>126997</CharactersWithSpaces>
  <SharedDoc>false</SharedDoc>
  <HLinks>
    <vt:vector size="6" baseType="variant">
      <vt:variant>
        <vt:i4>8060938</vt:i4>
      </vt:variant>
      <vt:variant>
        <vt:i4>0</vt:i4>
      </vt:variant>
      <vt:variant>
        <vt:i4>0</vt:i4>
      </vt:variant>
      <vt:variant>
        <vt:i4>5</vt:i4>
      </vt:variant>
      <vt:variant>
        <vt:lpwstr>mailto:subramanianKS@cag.gov.in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WO/PBC/24/5</dc:title>
  <dc:creator>BOU LLORET Amparo</dc:creator>
  <dc:description>TLF (trad. ext.) - 7/8/2015</dc:description>
  <cp:lastModifiedBy>CEVALLOS DUQUE Nilo</cp:lastModifiedBy>
  <cp:revision>6</cp:revision>
  <cp:lastPrinted>2015-08-05T14:05:00Z</cp:lastPrinted>
  <dcterms:created xsi:type="dcterms:W3CDTF">2015-08-18T15:12:00Z</dcterms:created>
  <dcterms:modified xsi:type="dcterms:W3CDTF">2015-08-18T15:15:00Z</dcterms:modified>
</cp:coreProperties>
</file>