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35A9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35A9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35A9A" w:rsidRDefault="0019695A" w:rsidP="00AB613D">
            <w:r w:rsidRPr="00235A9A">
              <w:rPr>
                <w:noProof/>
                <w:lang w:val="en-US" w:eastAsia="en-US"/>
              </w:rPr>
              <w:drawing>
                <wp:inline distT="0" distB="0" distL="0" distR="0" wp14:anchorId="35D1C8C4" wp14:editId="4C0FD7C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35A9A" w:rsidRDefault="00E504E5" w:rsidP="00AB613D">
            <w:pPr>
              <w:jc w:val="right"/>
            </w:pPr>
            <w:r w:rsidRPr="00235A9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35A9A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35A9A" w:rsidRDefault="00FB218B" w:rsidP="00235A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35A9A">
              <w:rPr>
                <w:rFonts w:ascii="Arial Black" w:hAnsi="Arial Black"/>
                <w:caps/>
                <w:sz w:val="15"/>
              </w:rPr>
              <w:t>wo/pbc/24/</w:t>
            </w:r>
            <w:bookmarkStart w:id="0" w:name="Code"/>
            <w:bookmarkEnd w:id="0"/>
            <w:r w:rsidR="00235A9A" w:rsidRPr="00235A9A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8B2CC1" w:rsidRPr="00235A9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35A9A" w:rsidRDefault="008B2CC1" w:rsidP="00235A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35A9A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35A9A">
              <w:rPr>
                <w:rFonts w:ascii="Arial Black" w:hAnsi="Arial Black"/>
                <w:caps/>
                <w:sz w:val="15"/>
              </w:rPr>
              <w:t xml:space="preserve"> </w:t>
            </w:r>
            <w:r w:rsidRPr="00235A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35A9A" w:rsidRPr="00235A9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35A9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35A9A" w:rsidRDefault="00675021" w:rsidP="00235A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35A9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35A9A">
              <w:rPr>
                <w:rFonts w:ascii="Arial Black" w:hAnsi="Arial Black"/>
                <w:caps/>
                <w:sz w:val="15"/>
              </w:rPr>
              <w:t>:</w:t>
            </w:r>
            <w:r w:rsidR="00F84474" w:rsidRPr="00235A9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35A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F344F">
              <w:rPr>
                <w:rFonts w:ascii="Arial Black" w:hAnsi="Arial Black"/>
                <w:caps/>
                <w:sz w:val="15"/>
              </w:rPr>
              <w:t>9</w:t>
            </w:r>
            <w:r w:rsidR="00235A9A" w:rsidRPr="00235A9A">
              <w:rPr>
                <w:rFonts w:ascii="Arial Black" w:hAnsi="Arial Black"/>
                <w:caps/>
                <w:sz w:val="15"/>
              </w:rPr>
              <w:t xml:space="preserve"> DE JULIO DE 2015</w:t>
            </w:r>
          </w:p>
        </w:tc>
      </w:tr>
    </w:tbl>
    <w:p w:rsidR="008B2CC1" w:rsidRPr="00235A9A" w:rsidRDefault="008B2CC1" w:rsidP="008B2CC1"/>
    <w:p w:rsidR="008B2CC1" w:rsidRPr="00235A9A" w:rsidRDefault="008B2CC1" w:rsidP="008B2CC1"/>
    <w:p w:rsidR="008B2CC1" w:rsidRPr="00235A9A" w:rsidRDefault="008B2CC1" w:rsidP="008B2CC1"/>
    <w:p w:rsidR="008B2CC1" w:rsidRPr="00235A9A" w:rsidRDefault="008B2CC1" w:rsidP="008B2CC1">
      <w:bookmarkStart w:id="3" w:name="_GoBack"/>
      <w:bookmarkEnd w:id="3"/>
    </w:p>
    <w:p w:rsidR="008B2CC1" w:rsidRPr="00235A9A" w:rsidRDefault="008B2CC1" w:rsidP="008B2CC1"/>
    <w:p w:rsidR="00B67CDC" w:rsidRPr="00235A9A" w:rsidRDefault="00FB218B" w:rsidP="00B67CDC">
      <w:pPr>
        <w:rPr>
          <w:b/>
          <w:sz w:val="28"/>
          <w:szCs w:val="28"/>
        </w:rPr>
      </w:pPr>
      <w:r w:rsidRPr="00235A9A">
        <w:rPr>
          <w:b/>
          <w:sz w:val="28"/>
          <w:szCs w:val="28"/>
        </w:rPr>
        <w:t>Comité del Programa y Presupuesto</w:t>
      </w:r>
    </w:p>
    <w:p w:rsidR="003845C1" w:rsidRPr="00235A9A" w:rsidRDefault="003845C1" w:rsidP="003845C1"/>
    <w:p w:rsidR="003845C1" w:rsidRPr="00235A9A" w:rsidRDefault="003845C1" w:rsidP="003845C1"/>
    <w:p w:rsidR="00FB218B" w:rsidRPr="00235A9A" w:rsidRDefault="00FB218B" w:rsidP="00FB218B">
      <w:pPr>
        <w:rPr>
          <w:b/>
          <w:sz w:val="24"/>
          <w:szCs w:val="24"/>
        </w:rPr>
      </w:pPr>
      <w:r w:rsidRPr="00235A9A">
        <w:rPr>
          <w:b/>
          <w:sz w:val="24"/>
          <w:szCs w:val="24"/>
        </w:rPr>
        <w:t>Vigesimocuarta sesión</w:t>
      </w:r>
    </w:p>
    <w:p w:rsidR="008B2CC1" w:rsidRPr="00235A9A" w:rsidRDefault="00FB218B" w:rsidP="00FB218B">
      <w:r w:rsidRPr="00235A9A">
        <w:rPr>
          <w:b/>
          <w:sz w:val="24"/>
          <w:szCs w:val="24"/>
        </w:rPr>
        <w:t>Ginebra, 14 a 18 de septiembre de 2015</w:t>
      </w:r>
    </w:p>
    <w:p w:rsidR="00235A9A" w:rsidRPr="00235A9A" w:rsidRDefault="00235A9A" w:rsidP="00235A9A"/>
    <w:p w:rsidR="00235A9A" w:rsidRPr="00235A9A" w:rsidRDefault="00235A9A" w:rsidP="00235A9A"/>
    <w:p w:rsidR="00235A9A" w:rsidRPr="00235A9A" w:rsidRDefault="00235A9A" w:rsidP="00235A9A">
      <w:pPr>
        <w:rPr>
          <w:caps/>
          <w:sz w:val="24"/>
        </w:rPr>
      </w:pPr>
      <w:bookmarkStart w:id="4" w:name="TitleOfDoc"/>
      <w:bookmarkEnd w:id="4"/>
      <w:r w:rsidRPr="00235A9A">
        <w:rPr>
          <w:caps/>
          <w:sz w:val="24"/>
        </w:rPr>
        <w:t>INFORME FINAL SOBRE LA MARCHA DEL PROYECTO DE INVERSIÓN DE CAPITAL FIJO EN TECNOLOGÍAS DE LA INFORMACIÓN Y LAS COMUNICACIONES (tic)</w:t>
      </w:r>
    </w:p>
    <w:p w:rsidR="00235A9A" w:rsidRPr="00235A9A" w:rsidRDefault="00235A9A" w:rsidP="00235A9A"/>
    <w:p w:rsidR="00235A9A" w:rsidRPr="00235A9A" w:rsidRDefault="00235A9A" w:rsidP="00235A9A">
      <w:pPr>
        <w:rPr>
          <w:i/>
        </w:rPr>
      </w:pPr>
      <w:r w:rsidRPr="00235A9A">
        <w:rPr>
          <w:i/>
        </w:rPr>
        <w:t>preparado por la Secretaría</w:t>
      </w:r>
    </w:p>
    <w:p w:rsidR="00235A9A" w:rsidRPr="00235A9A" w:rsidRDefault="00235A9A" w:rsidP="00235A9A">
      <w:pPr>
        <w:rPr>
          <w:i/>
        </w:rPr>
      </w:pPr>
    </w:p>
    <w:p w:rsidR="00235A9A" w:rsidRPr="00235A9A" w:rsidRDefault="00235A9A" w:rsidP="00235A9A">
      <w:pPr>
        <w:rPr>
          <w:i/>
        </w:rPr>
      </w:pPr>
    </w:p>
    <w:p w:rsidR="00235A9A" w:rsidRPr="00235A9A" w:rsidRDefault="00235A9A" w:rsidP="00235A9A">
      <w:pPr>
        <w:widowControl w:val="0"/>
        <w:rPr>
          <w:i/>
        </w:rPr>
      </w:pPr>
    </w:p>
    <w:p w:rsidR="00235A9A" w:rsidRPr="00235A9A" w:rsidRDefault="00235A9A" w:rsidP="00235A9A">
      <w:pPr>
        <w:widowControl w:val="0"/>
        <w:rPr>
          <w:i/>
        </w:rPr>
      </w:pPr>
    </w:p>
    <w:p w:rsidR="00235A9A" w:rsidRPr="00235A9A" w:rsidRDefault="00235A9A" w:rsidP="00235A9A">
      <w:pPr>
        <w:pStyle w:val="Heading1"/>
        <w:keepNext w:val="0"/>
        <w:widowControl w:val="0"/>
        <w:numPr>
          <w:ilvl w:val="0"/>
          <w:numId w:val="7"/>
        </w:numPr>
        <w:spacing w:after="240"/>
        <w:ind w:left="431" w:hanging="431"/>
        <w:rPr>
          <w:szCs w:val="22"/>
        </w:rPr>
      </w:pPr>
      <w:r w:rsidRPr="00235A9A">
        <w:rPr>
          <w:szCs w:val="22"/>
        </w:rPr>
        <w:t>antecedentes</w:t>
      </w:r>
    </w:p>
    <w:p w:rsidR="00235A9A" w:rsidRPr="00235A9A" w:rsidRDefault="00235A9A" w:rsidP="00235A9A">
      <w:pPr>
        <w:pStyle w:val="ONUME"/>
        <w:widowControl w:val="0"/>
      </w:pPr>
      <w:r w:rsidRPr="00235A9A">
        <w:t>En su cuadragésima novena serie de reuniones (26 de septiembre a 5 de octubre de 2011), las Asambleas de los Estados miembros de la OMPI aprobaron la propuesta de inversión de capital para financiar determinadas actividades de tecnologías de la información y de las comunicaciones (TIC) (documento A/49/7).</w:t>
      </w: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rPr>
          <w:szCs w:val="22"/>
        </w:rPr>
        <w:t>Se trataba, entre otras, de las siguientes actividades:</w:t>
      </w:r>
    </w:p>
    <w:p w:rsidR="00235A9A" w:rsidRPr="00235A9A" w:rsidRDefault="00235A9A" w:rsidP="00235A9A">
      <w:pPr>
        <w:widowControl w:val="0"/>
        <w:numPr>
          <w:ilvl w:val="0"/>
          <w:numId w:val="8"/>
        </w:numPr>
        <w:spacing w:after="120"/>
        <w:ind w:left="1134" w:hanging="567"/>
        <w:rPr>
          <w:szCs w:val="22"/>
          <w:lang w:eastAsia="ar-SA"/>
        </w:rPr>
      </w:pPr>
      <w:r w:rsidRPr="00235A9A">
        <w:rPr>
          <w:szCs w:val="22"/>
          <w:lang w:eastAsia="ar-SA"/>
        </w:rPr>
        <w:t>Instalaciones de TIC para la nueva sala de conferencias, las salas de reuniones anexas y las demás salas de reuniones de los locales de la OMPI;</w:t>
      </w:r>
    </w:p>
    <w:p w:rsidR="00235A9A" w:rsidRPr="00235A9A" w:rsidRDefault="00235A9A" w:rsidP="00235A9A">
      <w:pPr>
        <w:widowControl w:val="0"/>
        <w:numPr>
          <w:ilvl w:val="0"/>
          <w:numId w:val="8"/>
        </w:numPr>
        <w:spacing w:after="120"/>
        <w:ind w:left="1134" w:hanging="567"/>
        <w:rPr>
          <w:szCs w:val="22"/>
          <w:lang w:eastAsia="ar-SA"/>
        </w:rPr>
      </w:pPr>
      <w:r w:rsidRPr="00235A9A">
        <w:rPr>
          <w:szCs w:val="22"/>
          <w:lang w:eastAsia="ar-SA"/>
        </w:rPr>
        <w:t>Sustitución de la centralita telefónica obsoleta Nortel Meridian;  y</w:t>
      </w:r>
    </w:p>
    <w:p w:rsidR="00235A9A" w:rsidRPr="00235A9A" w:rsidRDefault="00235A9A" w:rsidP="00235A9A">
      <w:pPr>
        <w:widowControl w:val="0"/>
        <w:numPr>
          <w:ilvl w:val="0"/>
          <w:numId w:val="8"/>
        </w:numPr>
        <w:spacing w:after="220"/>
        <w:ind w:left="1134" w:hanging="567"/>
        <w:rPr>
          <w:szCs w:val="22"/>
          <w:lang w:eastAsia="ar-SA"/>
        </w:rPr>
      </w:pPr>
      <w:r w:rsidRPr="00235A9A">
        <w:rPr>
          <w:szCs w:val="22"/>
          <w:lang w:eastAsia="ar-SA"/>
        </w:rPr>
        <w:t>Sustitución de las computadoras de escritorio.</w:t>
      </w:r>
    </w:p>
    <w:p w:rsidR="00235A9A" w:rsidRPr="00235A9A" w:rsidRDefault="00235A9A" w:rsidP="00235A9A">
      <w:pPr>
        <w:pStyle w:val="ONUME"/>
        <w:widowControl w:val="0"/>
        <w:rPr>
          <w:szCs w:val="22"/>
          <w:lang w:eastAsia="ar-SA"/>
        </w:rPr>
      </w:pPr>
      <w:r w:rsidRPr="00235A9A">
        <w:rPr>
          <w:szCs w:val="22"/>
          <w:lang w:eastAsia="ar-SA"/>
        </w:rPr>
        <w:t>En su vigesimoprimera (9 a 13 de septiembre de 2013) y vigesimosegunda (1 a 5 de septiembre de 2014) sesiones, el Comité del Programa y Presupuesto (PBC) recibió información actualizada sobre los progresos realizados en dicho proyecto (documentos WO/PBC/21/14 y WO/PBC/22/18).  Se tomó nota de que la sustitución de la centralita telefónica obsoleta Nortel Meridian había concluido y con ella se habían cumplido los principales objetivos operativos.</w:t>
      </w: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rPr>
          <w:szCs w:val="22"/>
        </w:rPr>
        <w:t xml:space="preserve">Las obras relativas a las instalaciones de TIC para la nueva sala de conferencias y las salas de reunión anexas finalizaron a tiempo para la inauguración de la nueva sala de </w:t>
      </w:r>
      <w:r w:rsidRPr="00235A9A">
        <w:rPr>
          <w:szCs w:val="22"/>
        </w:rPr>
        <w:lastRenderedPageBreak/>
        <w:t>conferencias.  Se espera que a finales de 2015 queden totalmente finalizadas las obras adicionales para consolidar la red de</w:t>
      </w:r>
      <w:r w:rsidRPr="00235A9A">
        <w:rPr>
          <w:szCs w:val="22"/>
          <w:lang w:eastAsia="ar-SA"/>
        </w:rPr>
        <w:t xml:space="preserve"> WiFi y las instalaciones audiovisuales en las demás salas de reunión.</w:t>
      </w: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rPr>
          <w:szCs w:val="22"/>
          <w:lang w:eastAsia="ar-SA"/>
        </w:rPr>
        <w:t>Las actividades relativas a la sustitución de las computadoras de escritorio obsoletas, incluidos los sistemas informáticos concluyeron a finales de 2013.  Por consiguiente, con el pago del último plazo, previsto en noviembre de 2015, esa actividad quedará totalmente acabada a finales de 2015.</w:t>
      </w:r>
    </w:p>
    <w:p w:rsidR="00235A9A" w:rsidRPr="00235A9A" w:rsidRDefault="00235A9A" w:rsidP="00235A9A">
      <w:pPr>
        <w:widowControl w:val="0"/>
        <w:numPr>
          <w:ilvl w:val="0"/>
          <w:numId w:val="9"/>
        </w:numPr>
        <w:spacing w:before="240" w:after="240"/>
        <w:ind w:left="431" w:hanging="431"/>
        <w:rPr>
          <w:rFonts w:ascii="Calibri" w:hAnsi="Calibri" w:cs="Times New Roman"/>
          <w:b/>
          <w:bCs/>
          <w:caps/>
          <w:szCs w:val="22"/>
        </w:rPr>
      </w:pPr>
      <w:r w:rsidRPr="00235A9A">
        <w:rPr>
          <w:b/>
          <w:bCs/>
          <w:caps/>
          <w:szCs w:val="22"/>
        </w:rPr>
        <w:t>RESUMEN</w:t>
      </w: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t>Se espera que a finales de 2015 queden ultimadas todas las actividades del proyecto.  El proyecto ha sido ejecutado conforme al alcance planificado;  se han cumplido todos los principales objetivos que se habían previsto originalmente</w:t>
      </w:r>
      <w:r w:rsidRPr="00235A9A">
        <w:rPr>
          <w:szCs w:val="22"/>
        </w:rPr>
        <w:t xml:space="preserve">.  Aun cuando ha habido variaciones entre los gastos reales y el presupuesto aprobado en las diversas actividades, en conjunto, el proyecto se ha ajustado a la asignación presupuestaria aprobada.  En el cuadro que figura a continuación figura un resumen de la utilización del presupuesto, con inclusión de las obligaciones pendientes en 2015. </w:t>
      </w:r>
    </w:p>
    <w:tbl>
      <w:tblPr>
        <w:tblStyle w:val="TableGrid"/>
        <w:tblW w:w="10184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568"/>
        <w:gridCol w:w="3685"/>
        <w:gridCol w:w="1560"/>
        <w:gridCol w:w="1275"/>
        <w:gridCol w:w="1560"/>
        <w:gridCol w:w="1536"/>
      </w:tblGrid>
      <w:tr w:rsidR="00235A9A" w:rsidRPr="00235A9A" w:rsidTr="00235A9A">
        <w:trPr>
          <w:trHeight w:val="817"/>
          <w:tblHeader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b/>
                <w:sz w:val="18"/>
              </w:rPr>
              <w:t>Ref.</w:t>
            </w:r>
          </w:p>
        </w:tc>
        <w:tc>
          <w:tcPr>
            <w:tcW w:w="3685" w:type="dxa"/>
            <w:tcMar>
              <w:top w:w="57" w:type="dxa"/>
              <w:bottom w:w="57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b/>
                <w:sz w:val="18"/>
              </w:rPr>
              <w:t>Descripción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</w:rPr>
            </w:pPr>
            <w:r w:rsidRPr="00235A9A">
              <w:rPr>
                <w:b/>
                <w:sz w:val="18"/>
              </w:rPr>
              <w:t xml:space="preserve">Presupuesto aprobado </w:t>
            </w:r>
            <w:r w:rsidRPr="00235A9A">
              <w:rPr>
                <w:b/>
                <w:sz w:val="18"/>
              </w:rPr>
              <w:br/>
            </w:r>
            <w:r w:rsidRPr="00235A9A">
              <w:rPr>
                <w:sz w:val="16"/>
              </w:rPr>
              <w:t>(en francos suizos)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b/>
                <w:sz w:val="18"/>
              </w:rPr>
              <w:t xml:space="preserve">Gastos reales </w:t>
            </w:r>
            <w:r w:rsidRPr="00235A9A">
              <w:rPr>
                <w:b/>
                <w:sz w:val="18"/>
              </w:rPr>
              <w:br/>
            </w:r>
            <w:r w:rsidRPr="00235A9A">
              <w:rPr>
                <w:sz w:val="16"/>
              </w:rPr>
              <w:t>(en francos suizos)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b/>
                <w:sz w:val="18"/>
              </w:rPr>
              <w:t xml:space="preserve">Obligaciones pendientes </w:t>
            </w:r>
            <w:r w:rsidRPr="00235A9A">
              <w:rPr>
                <w:b/>
                <w:sz w:val="18"/>
              </w:rPr>
              <w:br/>
            </w:r>
            <w:r w:rsidRPr="00235A9A">
              <w:rPr>
                <w:sz w:val="16"/>
              </w:rPr>
              <w:t>(en francos suizos)</w:t>
            </w:r>
          </w:p>
        </w:tc>
        <w:tc>
          <w:tcPr>
            <w:tcW w:w="1536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b/>
                <w:sz w:val="18"/>
              </w:rPr>
              <w:t>Total gastos estimados</w:t>
            </w:r>
          </w:p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</w:rPr>
            </w:pPr>
            <w:r w:rsidRPr="00235A9A">
              <w:rPr>
                <w:sz w:val="16"/>
              </w:rPr>
              <w:t>(en francos suizos)</w:t>
            </w:r>
          </w:p>
        </w:tc>
      </w:tr>
      <w:tr w:rsidR="00235A9A" w:rsidRPr="00235A9A" w:rsidTr="002A11F5">
        <w:trPr>
          <w:trHeight w:val="824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Instalaciones de TIC para la nueva sala de conferencias, las salas de reunión anexas y las demás salas de reunión de los locales de la OMPI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</w:tc>
      </w:tr>
      <w:tr w:rsidR="00235A9A" w:rsidRPr="00235A9A" w:rsidTr="002A11F5">
        <w:trPr>
          <w:trHeight w:val="428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Conmutadores de red para conectar más de 900 asientos, puntos de acceso WiFi, cobertura de tercera generación de telefonía móvil (UMTS),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450.000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368.255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80.000</w:t>
            </w: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448.255</w:t>
            </w:r>
          </w:p>
        </w:tc>
      </w:tr>
      <w:tr w:rsidR="00235A9A" w:rsidRPr="00235A9A" w:rsidTr="002A11F5">
        <w:trPr>
          <w:trHeight w:val="267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Teléfonos IP e infraestructura informática conexa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33.450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33.450</w:t>
            </w:r>
          </w:p>
        </w:tc>
      </w:tr>
      <w:tr w:rsidR="00235A9A" w:rsidRPr="00235A9A" w:rsidTr="002A11F5">
        <w:trPr>
          <w:trHeight w:val="84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Equipos de videoconferencia para la realización de ponencias a distancia, grabación digital, difusión por Internet, vídeo a la carta, subtitulado, etc.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600.000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304.921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327.169</w:t>
            </w: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632.090</w:t>
            </w:r>
          </w:p>
        </w:tc>
      </w:tr>
      <w:tr w:rsidR="00235A9A" w:rsidRPr="00235A9A" w:rsidTr="002A11F5">
        <w:trPr>
          <w:trHeight w:val="239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1.080.000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706.626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407.169</w:t>
            </w: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1.113.795</w:t>
            </w:r>
            <w:r w:rsidRPr="00235A9A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Sustitución de la centralita telefónica obsoleta Nortel Meridian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Instalación del equipo y los programas informáticos de telefonía IP en los edificios de la OMPI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850.000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778.574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778.574</w:t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Servicios de instalación y puesta en marcha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250.000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19.062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19.062</w:t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1.100,000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797.636</w:t>
            </w: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797.636</w:t>
            </w:r>
            <w:r w:rsidRPr="00235A9A">
              <w:rPr>
                <w:rStyle w:val="FootnoteReference"/>
                <w:b/>
                <w:sz w:val="18"/>
                <w:szCs w:val="18"/>
              </w:rPr>
              <w:footnoteReference w:id="3"/>
            </w:r>
          </w:p>
        </w:tc>
      </w:tr>
      <w:tr w:rsidR="00235A9A" w:rsidRPr="00235A9A" w:rsidTr="002A11F5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Sustitución de la plataforma de estaciones de trabajo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Sustitución del equipo informático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2.100.000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1.657.194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1.657.194</w:t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tabs>
                <w:tab w:val="left" w:pos="3270"/>
              </w:tabs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Actualización del software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450.000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777.136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396.197</w:t>
            </w: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1.173.333</w:t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Servicios de instalación y puesta en marcha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450.000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251.404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  <w:r w:rsidRPr="00235A9A">
              <w:rPr>
                <w:sz w:val="18"/>
                <w:szCs w:val="18"/>
              </w:rPr>
              <w:t>251.404</w:t>
            </w:r>
          </w:p>
        </w:tc>
      </w:tr>
      <w:tr w:rsidR="00235A9A" w:rsidRPr="00235A9A" w:rsidTr="002A11F5"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3.000.000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2.685.734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396.197</w:t>
            </w:r>
          </w:p>
        </w:tc>
        <w:tc>
          <w:tcPr>
            <w:tcW w:w="1536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3.081.931</w:t>
            </w:r>
            <w:r w:rsidRPr="00235A9A">
              <w:rPr>
                <w:rStyle w:val="FootnoteReference"/>
                <w:b/>
                <w:sz w:val="18"/>
                <w:szCs w:val="18"/>
              </w:rPr>
              <w:footnoteReference w:id="4"/>
            </w:r>
          </w:p>
        </w:tc>
      </w:tr>
      <w:tr w:rsidR="00235A9A" w:rsidRPr="00235A9A" w:rsidTr="002A11F5">
        <w:trPr>
          <w:trHeight w:val="490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5.180.000</w:t>
            </w:r>
          </w:p>
        </w:tc>
        <w:tc>
          <w:tcPr>
            <w:tcW w:w="1275" w:type="dxa"/>
            <w:tcMar>
              <w:top w:w="85" w:type="dxa"/>
              <w:bottom w:w="85" w:type="dxa"/>
            </w:tcMar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4.189.996</w:t>
            </w:r>
          </w:p>
        </w:tc>
        <w:tc>
          <w:tcPr>
            <w:tcW w:w="1560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803.366</w:t>
            </w:r>
          </w:p>
        </w:tc>
        <w:tc>
          <w:tcPr>
            <w:tcW w:w="1536" w:type="dxa"/>
            <w:vAlign w:val="center"/>
          </w:tcPr>
          <w:p w:rsidR="00235A9A" w:rsidRPr="00235A9A" w:rsidRDefault="00235A9A" w:rsidP="00235A9A">
            <w:pPr>
              <w:pStyle w:val="ONUME"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235A9A">
              <w:rPr>
                <w:b/>
                <w:sz w:val="18"/>
                <w:szCs w:val="18"/>
              </w:rPr>
              <w:t>4.993.362</w:t>
            </w:r>
          </w:p>
        </w:tc>
      </w:tr>
    </w:tbl>
    <w:p w:rsidR="00235A9A" w:rsidRPr="00235A9A" w:rsidRDefault="00235A9A" w:rsidP="00235A9A">
      <w:pPr>
        <w:pStyle w:val="ONUME"/>
        <w:widowControl w:val="0"/>
        <w:numPr>
          <w:ilvl w:val="0"/>
          <w:numId w:val="0"/>
        </w:numPr>
        <w:rPr>
          <w:szCs w:val="22"/>
        </w:rPr>
      </w:pP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rPr>
          <w:szCs w:val="22"/>
        </w:rPr>
        <w:t>Tras la conciliación financiera final, se procederá a devolver el saldo no gastado en el proyecto, de aproximadamente 186.638</w:t>
      </w:r>
      <w:r w:rsidRPr="00235A9A">
        <w:rPr>
          <w:rStyle w:val="FootnoteReference"/>
          <w:szCs w:val="22"/>
        </w:rPr>
        <w:footnoteReference w:id="5"/>
      </w:r>
      <w:r w:rsidRPr="00235A9A">
        <w:rPr>
          <w:szCs w:val="22"/>
        </w:rPr>
        <w:t xml:space="preserve">  francos suizos, a las reservas.</w:t>
      </w:r>
    </w:p>
    <w:p w:rsidR="00235A9A" w:rsidRPr="00235A9A" w:rsidRDefault="00235A9A" w:rsidP="00235A9A">
      <w:pPr>
        <w:pStyle w:val="ONUME"/>
        <w:widowControl w:val="0"/>
        <w:rPr>
          <w:szCs w:val="22"/>
        </w:rPr>
      </w:pPr>
      <w:r w:rsidRPr="00235A9A">
        <w:rPr>
          <w:szCs w:val="22"/>
        </w:rPr>
        <w:t>Se propone el siguiente párrafo de decisión.</w:t>
      </w:r>
    </w:p>
    <w:p w:rsidR="00235A9A" w:rsidRPr="00235A9A" w:rsidRDefault="00235A9A" w:rsidP="00235A9A">
      <w:pPr>
        <w:pStyle w:val="ONUME"/>
        <w:widowControl w:val="0"/>
        <w:numPr>
          <w:ilvl w:val="0"/>
          <w:numId w:val="0"/>
        </w:numPr>
        <w:tabs>
          <w:tab w:val="left" w:pos="6120"/>
        </w:tabs>
        <w:ind w:left="5670"/>
        <w:rPr>
          <w:i/>
          <w:szCs w:val="22"/>
        </w:rPr>
      </w:pPr>
      <w:r w:rsidRPr="00235A9A">
        <w:rPr>
          <w:i/>
          <w:szCs w:val="22"/>
        </w:rPr>
        <w:t>9.</w:t>
      </w:r>
      <w:r w:rsidRPr="00235A9A">
        <w:rPr>
          <w:i/>
          <w:szCs w:val="22"/>
        </w:rPr>
        <w:tab/>
        <w:t>El Comité del Programa y Presupuesto recomendó a las Asambleas de los Estados miembros de la OMPI y de las Uniones, en lo que a cada una le concierna:</w:t>
      </w:r>
    </w:p>
    <w:p w:rsidR="00235A9A" w:rsidRPr="00235A9A" w:rsidRDefault="00235A9A" w:rsidP="00235A9A">
      <w:pPr>
        <w:pStyle w:val="ONUME"/>
        <w:widowControl w:val="0"/>
        <w:numPr>
          <w:ilvl w:val="0"/>
          <w:numId w:val="0"/>
        </w:numPr>
        <w:tabs>
          <w:tab w:val="left" w:pos="6521"/>
        </w:tabs>
        <w:ind w:left="6096"/>
        <w:rPr>
          <w:i/>
          <w:szCs w:val="22"/>
        </w:rPr>
      </w:pPr>
      <w:r w:rsidRPr="00235A9A">
        <w:rPr>
          <w:i/>
          <w:szCs w:val="22"/>
        </w:rPr>
        <w:t>i)</w:t>
      </w:r>
      <w:r w:rsidRPr="00235A9A">
        <w:rPr>
          <w:i/>
          <w:szCs w:val="22"/>
        </w:rPr>
        <w:tab/>
        <w:t>que tomen nota del contenido del documento WO/PBC/24/15;  y</w:t>
      </w:r>
    </w:p>
    <w:p w:rsidR="00235A9A" w:rsidRPr="00235A9A" w:rsidRDefault="00235A9A" w:rsidP="00235A9A">
      <w:pPr>
        <w:pStyle w:val="ONUME"/>
        <w:widowControl w:val="0"/>
        <w:numPr>
          <w:ilvl w:val="0"/>
          <w:numId w:val="0"/>
        </w:numPr>
        <w:tabs>
          <w:tab w:val="left" w:pos="6521"/>
        </w:tabs>
        <w:ind w:left="6096"/>
        <w:rPr>
          <w:i/>
        </w:rPr>
      </w:pPr>
      <w:r w:rsidRPr="00235A9A">
        <w:rPr>
          <w:i/>
          <w:szCs w:val="22"/>
        </w:rPr>
        <w:t>ii)</w:t>
      </w:r>
      <w:r w:rsidRPr="00235A9A">
        <w:rPr>
          <w:i/>
          <w:szCs w:val="22"/>
        </w:rPr>
        <w:tab/>
        <w:t>aprueben la clausura del proyecto de inversión de capital fijo en tecnologías de la información y las comunicaciones.</w:t>
      </w:r>
    </w:p>
    <w:p w:rsidR="00235A9A" w:rsidRPr="00235A9A" w:rsidRDefault="00235A9A" w:rsidP="00235A9A">
      <w:pPr>
        <w:pStyle w:val="ONUME"/>
        <w:widowControl w:val="0"/>
        <w:numPr>
          <w:ilvl w:val="0"/>
          <w:numId w:val="0"/>
        </w:numPr>
        <w:tabs>
          <w:tab w:val="left" w:pos="6120"/>
        </w:tabs>
        <w:ind w:left="6120" w:hanging="450"/>
      </w:pPr>
    </w:p>
    <w:p w:rsidR="00152CEA" w:rsidRPr="00235A9A" w:rsidRDefault="00235A9A" w:rsidP="00235A9A">
      <w:pPr>
        <w:pStyle w:val="ONUME"/>
        <w:widowControl w:val="0"/>
        <w:numPr>
          <w:ilvl w:val="0"/>
          <w:numId w:val="0"/>
        </w:numPr>
        <w:tabs>
          <w:tab w:val="left" w:pos="6120"/>
        </w:tabs>
        <w:ind w:left="6120" w:hanging="450"/>
      </w:pPr>
      <w:r w:rsidRPr="00235A9A">
        <w:t>[Fin del documento]</w:t>
      </w:r>
      <w:bookmarkStart w:id="5" w:name="Prepared"/>
      <w:bookmarkEnd w:id="5"/>
    </w:p>
    <w:sectPr w:rsidR="00152CEA" w:rsidRPr="00235A9A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86" w:rsidRDefault="00010686">
      <w:r>
        <w:separator/>
      </w:r>
    </w:p>
  </w:endnote>
  <w:endnote w:type="continuationSeparator" w:id="0">
    <w:p w:rsidR="00010686" w:rsidRPr="009D30E6" w:rsidRDefault="000106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10686" w:rsidRPr="007E663E" w:rsidRDefault="000106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10686" w:rsidRPr="007E663E" w:rsidRDefault="0001068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86" w:rsidRDefault="00010686">
      <w:r>
        <w:separator/>
      </w:r>
    </w:p>
  </w:footnote>
  <w:footnote w:type="continuationSeparator" w:id="0">
    <w:p w:rsidR="00010686" w:rsidRPr="009D30E6" w:rsidRDefault="000106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10686" w:rsidRPr="007E663E" w:rsidRDefault="000106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10686" w:rsidRPr="007E663E" w:rsidRDefault="0001068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35A9A" w:rsidRPr="00873B1F" w:rsidRDefault="00235A9A" w:rsidP="00235A9A">
      <w:pPr>
        <w:pStyle w:val="FootnoteText"/>
      </w:pPr>
      <w:r>
        <w:rPr>
          <w:rStyle w:val="FootnoteReference"/>
        </w:rPr>
        <w:footnoteRef/>
      </w:r>
      <w:r w:rsidRPr="00873B1F">
        <w:t xml:space="preserve"> El importe exacto queda sujeto a la conciliación financiera </w:t>
      </w:r>
      <w:r>
        <w:t>definitiva</w:t>
      </w:r>
      <w:r w:rsidRPr="00873B1F">
        <w:t xml:space="preserve"> una vez procesadas todas las facturas</w:t>
      </w:r>
      <w:r>
        <w:t>.</w:t>
      </w:r>
    </w:p>
  </w:footnote>
  <w:footnote w:id="3">
    <w:p w:rsidR="00235A9A" w:rsidRPr="00873B1F" w:rsidRDefault="00235A9A" w:rsidP="00235A9A">
      <w:pPr>
        <w:pStyle w:val="FootnoteText"/>
      </w:pPr>
      <w:r>
        <w:rPr>
          <w:rStyle w:val="FootnoteReference"/>
        </w:rPr>
        <w:footnoteRef/>
      </w:r>
      <w:r w:rsidRPr="00873B1F">
        <w:t xml:space="preserve"> El </w:t>
      </w:r>
      <w:r>
        <w:t>importe</w:t>
      </w:r>
      <w:r w:rsidRPr="00873B1F">
        <w:t xml:space="preserve"> s menor que el que se notificó anteriormente, tras la conciliación financiera </w:t>
      </w:r>
      <w:r>
        <w:t>realizada a finales de 2014</w:t>
      </w:r>
      <w:r w:rsidRPr="00873B1F">
        <w:t>.</w:t>
      </w:r>
    </w:p>
    <w:p w:rsidR="00235A9A" w:rsidRPr="009D28A4" w:rsidRDefault="00235A9A" w:rsidP="00235A9A">
      <w:pPr>
        <w:pStyle w:val="FootnoteText"/>
      </w:pPr>
      <w:r w:rsidRPr="009D28A4">
        <w:rPr>
          <w:rStyle w:val="FootnoteReference"/>
        </w:rPr>
        <w:t>3</w:t>
      </w:r>
      <w:r w:rsidRPr="009D28A4">
        <w:t xml:space="preserve"> </w:t>
      </w:r>
      <w:r w:rsidRPr="00873B1F">
        <w:t xml:space="preserve">El importe exacto queda sujeto a la conciliación financiera </w:t>
      </w:r>
      <w:r>
        <w:t>definitiva</w:t>
      </w:r>
      <w:r w:rsidRPr="00873B1F">
        <w:t xml:space="preserve"> una vez procesadas todas las facturas</w:t>
      </w:r>
      <w:r>
        <w:t>.</w:t>
      </w:r>
    </w:p>
  </w:footnote>
  <w:footnote w:id="4">
    <w:p w:rsidR="00235A9A" w:rsidRPr="009C7272" w:rsidRDefault="00235A9A" w:rsidP="00235A9A">
      <w:pPr>
        <w:pStyle w:val="FootnoteText"/>
      </w:pPr>
      <w:r>
        <w:rPr>
          <w:rStyle w:val="FootnoteReference"/>
        </w:rPr>
        <w:footnoteRef/>
      </w:r>
      <w:r w:rsidRPr="009C7272">
        <w:t xml:space="preserve"> </w:t>
      </w:r>
      <w:r>
        <w:rPr>
          <w:rStyle w:val="FootnoteReference"/>
        </w:rPr>
        <w:footnoteRef/>
      </w:r>
      <w:r w:rsidRPr="00873B1F">
        <w:t xml:space="preserve"> El importe exacto queda sujeto a la conciliación financiera </w:t>
      </w:r>
      <w:r>
        <w:t>definitiva</w:t>
      </w:r>
      <w:r w:rsidRPr="00873B1F">
        <w:t xml:space="preserve"> una vez procesadas todas las facturas</w:t>
      </w:r>
      <w:r w:rsidRPr="009C7272">
        <w:t>.</w:t>
      </w:r>
    </w:p>
  </w:footnote>
  <w:footnote w:id="5">
    <w:p w:rsidR="00235A9A" w:rsidRPr="009C7272" w:rsidRDefault="00235A9A" w:rsidP="00235A9A">
      <w:pPr>
        <w:pStyle w:val="FootnoteText"/>
      </w:pPr>
      <w:r>
        <w:rPr>
          <w:rStyle w:val="FootnoteReference"/>
        </w:rPr>
        <w:footnoteRef/>
      </w:r>
      <w:r w:rsidRPr="009C7272">
        <w:t xml:space="preserve"> </w:t>
      </w:r>
      <w:r w:rsidRPr="009D28A4">
        <w:rPr>
          <w:rStyle w:val="FootnoteReference"/>
        </w:rPr>
        <w:t>3</w:t>
      </w:r>
      <w:r w:rsidRPr="009D28A4">
        <w:t xml:space="preserve"> </w:t>
      </w:r>
      <w:r w:rsidRPr="00873B1F">
        <w:t xml:space="preserve">El importe exacto queda sujeto a la conciliación financiera </w:t>
      </w:r>
      <w:r>
        <w:t>definitiva</w:t>
      </w:r>
      <w:r w:rsidRPr="009C727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235A9A" w:rsidP="00477D6B">
    <w:pPr>
      <w:jc w:val="right"/>
    </w:pPr>
    <w:bookmarkStart w:id="6" w:name="Code2"/>
    <w:bookmarkEnd w:id="6"/>
    <w:r>
      <w:t>WO/PBC/24/15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F344F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0686"/>
    <w:rsid w:val="00026872"/>
    <w:rsid w:val="00052915"/>
    <w:rsid w:val="000E3BB3"/>
    <w:rsid w:val="000F344F"/>
    <w:rsid w:val="000F5E56"/>
    <w:rsid w:val="001362EE"/>
    <w:rsid w:val="00152CEA"/>
    <w:rsid w:val="001832A6"/>
    <w:rsid w:val="0019695A"/>
    <w:rsid w:val="00235A9A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75021"/>
    <w:rsid w:val="006A06C6"/>
    <w:rsid w:val="006E7C26"/>
    <w:rsid w:val="007224C8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B218B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B2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8B"/>
    <w:rPr>
      <w:rFonts w:ascii="Tahoma" w:eastAsia="SimSun" w:hAnsi="Tahoma" w:cs="Tahoma"/>
      <w:sz w:val="16"/>
      <w:szCs w:val="16"/>
      <w:lang w:val="es-ES"/>
    </w:rPr>
  </w:style>
  <w:style w:type="table" w:styleId="TableGrid">
    <w:name w:val="Table Grid"/>
    <w:basedOn w:val="TableNormal"/>
    <w:rsid w:val="00235A9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235A9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35A9A"/>
    <w:rPr>
      <w:rFonts w:ascii="Arial" w:eastAsia="SimSun" w:hAnsi="Arial" w:cs="Arial"/>
      <w:sz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B2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18B"/>
    <w:rPr>
      <w:rFonts w:ascii="Tahoma" w:eastAsia="SimSun" w:hAnsi="Tahoma" w:cs="Tahoma"/>
      <w:sz w:val="16"/>
      <w:szCs w:val="16"/>
      <w:lang w:val="es-ES"/>
    </w:rPr>
  </w:style>
  <w:style w:type="table" w:styleId="TableGrid">
    <w:name w:val="Table Grid"/>
    <w:basedOn w:val="TableNormal"/>
    <w:rsid w:val="00235A9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235A9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235A9A"/>
    <w:rPr>
      <w:rFonts w:ascii="Arial" w:eastAsia="SimSun" w:hAnsi="Arial" w:cs="Arial"/>
      <w:sz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4007</Characters>
  <Application>Microsoft Office Word</Application>
  <DocSecurity>0</DocSecurity>
  <Lines>222</Lines>
  <Paragraphs>124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WO/PBC/24/</vt:lpstr>
      <vt:lpstr/>
    </vt:vector>
  </TitlesOfParts>
  <Company>WIPO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NC</dc:creator>
  <cp:lastModifiedBy>NETTER Iza</cp:lastModifiedBy>
  <cp:revision>4</cp:revision>
  <dcterms:created xsi:type="dcterms:W3CDTF">2015-07-02T15:20:00Z</dcterms:created>
  <dcterms:modified xsi:type="dcterms:W3CDTF">2015-07-10T11:43:00Z</dcterms:modified>
</cp:coreProperties>
</file>