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F1557" w:rsidRPr="00867CA7" w:rsidTr="001F1557">
        <w:tc>
          <w:tcPr>
            <w:tcW w:w="4513" w:type="dxa"/>
            <w:tcBorders>
              <w:bottom w:val="single" w:sz="4" w:space="0" w:color="auto"/>
            </w:tcBorders>
            <w:tcMar>
              <w:bottom w:w="170" w:type="dxa"/>
            </w:tcMar>
          </w:tcPr>
          <w:p w:rsidR="001F1557" w:rsidRPr="00867CA7" w:rsidRDefault="001F1557" w:rsidP="00780802">
            <w:pPr>
              <w:widowControl w:val="0"/>
              <w:rPr>
                <w:szCs w:val="22"/>
              </w:rPr>
            </w:pPr>
            <w:bookmarkStart w:id="0" w:name="_GoBack"/>
            <w:bookmarkEnd w:id="0"/>
          </w:p>
        </w:tc>
        <w:tc>
          <w:tcPr>
            <w:tcW w:w="4337" w:type="dxa"/>
            <w:tcBorders>
              <w:bottom w:val="single" w:sz="4" w:space="0" w:color="auto"/>
            </w:tcBorders>
            <w:tcMar>
              <w:left w:w="0" w:type="dxa"/>
              <w:right w:w="0" w:type="dxa"/>
            </w:tcMar>
          </w:tcPr>
          <w:p w:rsidR="001F1557" w:rsidRPr="00867CA7" w:rsidRDefault="001F1557" w:rsidP="00780802">
            <w:pPr>
              <w:widowControl w:val="0"/>
              <w:rPr>
                <w:szCs w:val="22"/>
              </w:rPr>
            </w:pPr>
            <w:r w:rsidRPr="00867CA7">
              <w:rPr>
                <w:noProof/>
                <w:szCs w:val="22"/>
                <w:lang w:val="en-US" w:eastAsia="en-US"/>
              </w:rPr>
              <w:drawing>
                <wp:inline distT="0" distB="0" distL="0" distR="0" wp14:anchorId="56B80173" wp14:editId="6C1C7FF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F1557" w:rsidRPr="00867CA7" w:rsidRDefault="001F1557" w:rsidP="001F1557">
            <w:pPr>
              <w:jc w:val="right"/>
            </w:pPr>
            <w:r w:rsidRPr="00867CA7">
              <w:rPr>
                <w:b/>
                <w:sz w:val="40"/>
                <w:szCs w:val="40"/>
              </w:rPr>
              <w:t>S</w:t>
            </w:r>
          </w:p>
        </w:tc>
      </w:tr>
      <w:tr w:rsidR="001F1557" w:rsidRPr="00867CA7" w:rsidTr="00AB613D">
        <w:trPr>
          <w:trHeight w:hRule="exact" w:val="340"/>
        </w:trPr>
        <w:tc>
          <w:tcPr>
            <w:tcW w:w="9356" w:type="dxa"/>
            <w:gridSpan w:val="3"/>
            <w:tcBorders>
              <w:top w:val="single" w:sz="4" w:space="0" w:color="auto"/>
            </w:tcBorders>
            <w:tcMar>
              <w:top w:w="170" w:type="dxa"/>
              <w:left w:w="0" w:type="dxa"/>
              <w:right w:w="0" w:type="dxa"/>
            </w:tcMar>
            <w:vAlign w:val="bottom"/>
          </w:tcPr>
          <w:p w:rsidR="001F1557" w:rsidRPr="00867CA7" w:rsidRDefault="001F1557" w:rsidP="00803C06">
            <w:pPr>
              <w:jc w:val="right"/>
              <w:rPr>
                <w:rFonts w:ascii="Arial Black" w:hAnsi="Arial Black"/>
                <w:caps/>
                <w:sz w:val="15"/>
              </w:rPr>
            </w:pPr>
            <w:r w:rsidRPr="00867CA7">
              <w:rPr>
                <w:rFonts w:ascii="Arial Black" w:hAnsi="Arial Black"/>
                <w:caps/>
                <w:sz w:val="15"/>
              </w:rPr>
              <w:t>WO/PBC/24/12</w:t>
            </w:r>
          </w:p>
        </w:tc>
      </w:tr>
      <w:tr w:rsidR="001F1557" w:rsidRPr="00867CA7" w:rsidTr="00AB613D">
        <w:trPr>
          <w:trHeight w:hRule="exact" w:val="170"/>
        </w:trPr>
        <w:tc>
          <w:tcPr>
            <w:tcW w:w="9356" w:type="dxa"/>
            <w:gridSpan w:val="3"/>
            <w:noWrap/>
            <w:tcMar>
              <w:left w:w="0" w:type="dxa"/>
              <w:right w:w="0" w:type="dxa"/>
            </w:tcMar>
            <w:vAlign w:val="bottom"/>
          </w:tcPr>
          <w:p w:rsidR="001F1557" w:rsidRPr="00867CA7" w:rsidRDefault="001F1557" w:rsidP="00F46D40">
            <w:pPr>
              <w:jc w:val="right"/>
              <w:rPr>
                <w:rFonts w:ascii="Arial Black" w:hAnsi="Arial Black"/>
                <w:caps/>
                <w:sz w:val="15"/>
              </w:rPr>
            </w:pPr>
            <w:r w:rsidRPr="00867CA7">
              <w:rPr>
                <w:rFonts w:ascii="Arial Black" w:hAnsi="Arial Black"/>
                <w:caps/>
                <w:sz w:val="15"/>
              </w:rPr>
              <w:t xml:space="preserve">ORIGINAL:  </w:t>
            </w:r>
            <w:bookmarkStart w:id="1" w:name="Original"/>
            <w:bookmarkEnd w:id="1"/>
            <w:r w:rsidR="00F46D40">
              <w:rPr>
                <w:rFonts w:ascii="Arial Black" w:hAnsi="Arial Black"/>
                <w:caps/>
                <w:sz w:val="15"/>
              </w:rPr>
              <w:t>Inglés</w:t>
            </w:r>
          </w:p>
        </w:tc>
      </w:tr>
      <w:tr w:rsidR="001F1557" w:rsidRPr="00867CA7" w:rsidTr="00AB613D">
        <w:trPr>
          <w:trHeight w:hRule="exact" w:val="198"/>
        </w:trPr>
        <w:tc>
          <w:tcPr>
            <w:tcW w:w="9356" w:type="dxa"/>
            <w:gridSpan w:val="3"/>
            <w:tcMar>
              <w:left w:w="0" w:type="dxa"/>
              <w:right w:w="0" w:type="dxa"/>
            </w:tcMar>
            <w:vAlign w:val="bottom"/>
          </w:tcPr>
          <w:p w:rsidR="001F1557" w:rsidRPr="00867CA7" w:rsidRDefault="00F46D40" w:rsidP="00F46D40">
            <w:pPr>
              <w:jc w:val="right"/>
              <w:rPr>
                <w:rFonts w:ascii="Arial Black" w:hAnsi="Arial Black"/>
                <w:caps/>
                <w:sz w:val="15"/>
              </w:rPr>
            </w:pPr>
            <w:r>
              <w:rPr>
                <w:rFonts w:ascii="Arial Black" w:hAnsi="Arial Black"/>
                <w:caps/>
                <w:sz w:val="15"/>
              </w:rPr>
              <w:t>Fech</w:t>
            </w:r>
            <w:r w:rsidR="001F1557" w:rsidRPr="00867CA7">
              <w:rPr>
                <w:rFonts w:ascii="Arial Black" w:hAnsi="Arial Black"/>
                <w:caps/>
                <w:sz w:val="15"/>
              </w:rPr>
              <w:t xml:space="preserve">A:  </w:t>
            </w:r>
            <w:bookmarkStart w:id="2" w:name="Date"/>
            <w:bookmarkEnd w:id="2"/>
            <w:r>
              <w:rPr>
                <w:rFonts w:ascii="Arial Black" w:hAnsi="Arial Black"/>
                <w:caps/>
                <w:sz w:val="15"/>
              </w:rPr>
              <w:t>10 de julio de</w:t>
            </w:r>
            <w:r w:rsidR="001F1557" w:rsidRPr="00867CA7">
              <w:rPr>
                <w:rFonts w:ascii="Arial Black" w:hAnsi="Arial Black"/>
                <w:caps/>
                <w:sz w:val="15"/>
              </w:rPr>
              <w:t xml:space="preserve"> 2015</w:t>
            </w:r>
          </w:p>
        </w:tc>
      </w:tr>
    </w:tbl>
    <w:p w:rsidR="008B2CC1" w:rsidRPr="00867CA7" w:rsidRDefault="008B2CC1" w:rsidP="00780802">
      <w:pPr>
        <w:widowControl w:val="0"/>
        <w:rPr>
          <w:szCs w:val="22"/>
        </w:rPr>
      </w:pPr>
    </w:p>
    <w:p w:rsidR="008B2CC1" w:rsidRPr="00867CA7" w:rsidRDefault="008B2CC1" w:rsidP="00780802">
      <w:pPr>
        <w:widowControl w:val="0"/>
        <w:rPr>
          <w:szCs w:val="22"/>
        </w:rPr>
      </w:pPr>
    </w:p>
    <w:p w:rsidR="008B2CC1" w:rsidRPr="00867CA7" w:rsidRDefault="008B2CC1" w:rsidP="00780802">
      <w:pPr>
        <w:widowControl w:val="0"/>
        <w:rPr>
          <w:szCs w:val="22"/>
        </w:rPr>
      </w:pPr>
    </w:p>
    <w:p w:rsidR="008B2CC1" w:rsidRPr="00867CA7" w:rsidRDefault="008B2CC1" w:rsidP="00780802">
      <w:pPr>
        <w:widowControl w:val="0"/>
        <w:rPr>
          <w:szCs w:val="22"/>
        </w:rPr>
      </w:pPr>
    </w:p>
    <w:p w:rsidR="00B67CDC" w:rsidRPr="00867CA7" w:rsidRDefault="00FB218B" w:rsidP="00780802">
      <w:pPr>
        <w:widowControl w:val="0"/>
        <w:rPr>
          <w:b/>
          <w:sz w:val="28"/>
          <w:szCs w:val="28"/>
        </w:rPr>
      </w:pPr>
      <w:r w:rsidRPr="00867CA7">
        <w:rPr>
          <w:b/>
          <w:sz w:val="28"/>
          <w:szCs w:val="28"/>
        </w:rPr>
        <w:t>Comité del Programa y Presupuesto</w:t>
      </w:r>
    </w:p>
    <w:p w:rsidR="003845C1" w:rsidRPr="00867CA7" w:rsidRDefault="003845C1" w:rsidP="00780802">
      <w:pPr>
        <w:widowControl w:val="0"/>
        <w:rPr>
          <w:szCs w:val="22"/>
        </w:rPr>
      </w:pPr>
    </w:p>
    <w:p w:rsidR="003845C1" w:rsidRPr="00867CA7" w:rsidRDefault="003845C1" w:rsidP="00780802">
      <w:pPr>
        <w:widowControl w:val="0"/>
        <w:rPr>
          <w:szCs w:val="22"/>
        </w:rPr>
      </w:pPr>
    </w:p>
    <w:p w:rsidR="00FB218B" w:rsidRPr="00867CA7" w:rsidRDefault="00FB218B" w:rsidP="00780802">
      <w:pPr>
        <w:widowControl w:val="0"/>
        <w:rPr>
          <w:b/>
          <w:sz w:val="24"/>
          <w:szCs w:val="24"/>
        </w:rPr>
      </w:pPr>
      <w:r w:rsidRPr="00867CA7">
        <w:rPr>
          <w:b/>
          <w:sz w:val="24"/>
          <w:szCs w:val="24"/>
        </w:rPr>
        <w:t>Vigesimocuarta sesión</w:t>
      </w:r>
    </w:p>
    <w:p w:rsidR="008B2CC1" w:rsidRPr="00867CA7" w:rsidRDefault="00FB218B" w:rsidP="00780802">
      <w:pPr>
        <w:widowControl w:val="0"/>
        <w:rPr>
          <w:sz w:val="24"/>
          <w:szCs w:val="24"/>
        </w:rPr>
      </w:pPr>
      <w:r w:rsidRPr="00867CA7">
        <w:rPr>
          <w:b/>
          <w:sz w:val="24"/>
          <w:szCs w:val="24"/>
        </w:rPr>
        <w:t>Ginebra, 14 a 18 de septiembre de 2015</w:t>
      </w:r>
    </w:p>
    <w:p w:rsidR="00780802" w:rsidRPr="00867CA7" w:rsidRDefault="00780802" w:rsidP="00780802">
      <w:pPr>
        <w:widowControl w:val="0"/>
        <w:rPr>
          <w:szCs w:val="22"/>
        </w:rPr>
      </w:pPr>
    </w:p>
    <w:p w:rsidR="00780802" w:rsidRPr="00867CA7" w:rsidRDefault="00780802" w:rsidP="00780802">
      <w:pPr>
        <w:widowControl w:val="0"/>
        <w:rPr>
          <w:caps/>
          <w:szCs w:val="22"/>
        </w:rPr>
      </w:pPr>
      <w:bookmarkStart w:id="3" w:name="TitleOfDoc"/>
      <w:bookmarkEnd w:id="3"/>
    </w:p>
    <w:p w:rsidR="00780802" w:rsidRPr="00867CA7" w:rsidRDefault="00EB7629" w:rsidP="00780802">
      <w:pPr>
        <w:widowControl w:val="0"/>
        <w:rPr>
          <w:caps/>
          <w:sz w:val="24"/>
          <w:szCs w:val="24"/>
        </w:rPr>
      </w:pPr>
      <w:bookmarkStart w:id="4" w:name="Prepared"/>
      <w:bookmarkEnd w:id="4"/>
      <w:r w:rsidRPr="00867CA7">
        <w:rPr>
          <w:caps/>
          <w:sz w:val="24"/>
          <w:szCs w:val="24"/>
        </w:rPr>
        <w:t>Informe final del proyecto para reforzar las normas de seguridad y vigilancia de los edificios de la OMPI</w:t>
      </w:r>
    </w:p>
    <w:p w:rsidR="00EB7629" w:rsidRPr="00867CA7" w:rsidRDefault="00EB7629" w:rsidP="00780802">
      <w:pPr>
        <w:widowControl w:val="0"/>
        <w:rPr>
          <w:i/>
          <w:szCs w:val="22"/>
        </w:rPr>
      </w:pPr>
    </w:p>
    <w:p w:rsidR="00780802" w:rsidRPr="00867CA7" w:rsidRDefault="00EB7629" w:rsidP="00780802">
      <w:pPr>
        <w:widowControl w:val="0"/>
        <w:rPr>
          <w:szCs w:val="22"/>
        </w:rPr>
      </w:pPr>
      <w:r w:rsidRPr="00867CA7">
        <w:rPr>
          <w:i/>
          <w:szCs w:val="22"/>
        </w:rPr>
        <w:t>preparado</w:t>
      </w:r>
      <w:r w:rsidR="00780802" w:rsidRPr="00867CA7">
        <w:rPr>
          <w:i/>
          <w:szCs w:val="22"/>
        </w:rPr>
        <w:t xml:space="preserve"> </w:t>
      </w:r>
      <w:r w:rsidRPr="00867CA7">
        <w:rPr>
          <w:i/>
          <w:szCs w:val="22"/>
        </w:rPr>
        <w:t>por la Secretaría</w:t>
      </w:r>
    </w:p>
    <w:p w:rsidR="00780802" w:rsidRPr="00867CA7" w:rsidRDefault="00780802" w:rsidP="00780802">
      <w:pPr>
        <w:widowControl w:val="0"/>
        <w:rPr>
          <w:szCs w:val="22"/>
        </w:rPr>
      </w:pPr>
    </w:p>
    <w:p w:rsidR="00780802" w:rsidRPr="00867CA7" w:rsidRDefault="00780802" w:rsidP="00780802">
      <w:pPr>
        <w:widowControl w:val="0"/>
        <w:rPr>
          <w:szCs w:val="22"/>
        </w:rPr>
      </w:pPr>
    </w:p>
    <w:p w:rsidR="00780802" w:rsidRPr="00867CA7" w:rsidRDefault="00780802" w:rsidP="00780802">
      <w:pPr>
        <w:widowControl w:val="0"/>
        <w:rPr>
          <w:szCs w:val="22"/>
        </w:rPr>
      </w:pPr>
    </w:p>
    <w:p w:rsidR="00780802" w:rsidRPr="00867CA7" w:rsidRDefault="00780802" w:rsidP="00780802">
      <w:pPr>
        <w:widowControl w:val="0"/>
        <w:rPr>
          <w:szCs w:val="22"/>
        </w:rPr>
      </w:pPr>
    </w:p>
    <w:p w:rsidR="00780802" w:rsidRPr="00867CA7" w:rsidRDefault="009A6180" w:rsidP="00780802">
      <w:pPr>
        <w:widowControl w:val="0"/>
        <w:outlineLvl w:val="1"/>
        <w:rPr>
          <w:b/>
          <w:bCs/>
          <w:iCs/>
          <w:caps/>
          <w:szCs w:val="22"/>
        </w:rPr>
      </w:pPr>
      <w:r w:rsidRPr="00867CA7">
        <w:rPr>
          <w:b/>
          <w:bCs/>
          <w:iCs/>
          <w:caps/>
          <w:szCs w:val="22"/>
        </w:rPr>
        <w:t>ANTECEDENTES</w:t>
      </w:r>
    </w:p>
    <w:p w:rsidR="00780802" w:rsidRPr="00867CA7" w:rsidRDefault="00780802" w:rsidP="00780802">
      <w:pPr>
        <w:pStyle w:val="ONUME"/>
        <w:widowControl w:val="0"/>
        <w:numPr>
          <w:ilvl w:val="0"/>
          <w:numId w:val="0"/>
        </w:numPr>
        <w:spacing w:after="0"/>
        <w:rPr>
          <w:szCs w:val="22"/>
        </w:rPr>
      </w:pPr>
    </w:p>
    <w:p w:rsidR="00780802" w:rsidRPr="00867CA7" w:rsidRDefault="00781502" w:rsidP="005C23DE">
      <w:pPr>
        <w:pStyle w:val="Default"/>
        <w:widowControl w:val="0"/>
        <w:numPr>
          <w:ilvl w:val="0"/>
          <w:numId w:val="7"/>
        </w:numPr>
        <w:tabs>
          <w:tab w:val="left" w:pos="567"/>
        </w:tabs>
        <w:spacing w:after="151"/>
        <w:ind w:left="0" w:firstLine="0"/>
        <w:rPr>
          <w:color w:val="auto"/>
          <w:sz w:val="22"/>
          <w:szCs w:val="22"/>
          <w:lang w:val="es-ES"/>
        </w:rPr>
      </w:pPr>
      <w:r w:rsidRPr="00867CA7">
        <w:rPr>
          <w:sz w:val="22"/>
          <w:szCs w:val="22"/>
          <w:lang w:val="es-ES"/>
        </w:rPr>
        <w:t xml:space="preserve">La cuadragésima sexta serie de reuniones de las Asambleas de los Estados miembros de la OMPI aprobó la propuesta de la Secretaría de reforzar las normas de seguridad y vigilancia de los edificios de la OMPI (documentos </w:t>
      </w:r>
      <w:r w:rsidR="00780802" w:rsidRPr="00867CA7">
        <w:rPr>
          <w:color w:val="auto"/>
          <w:sz w:val="22"/>
          <w:szCs w:val="22"/>
          <w:lang w:val="es-ES"/>
        </w:rPr>
        <w:t>WO/PBC/13/6</w:t>
      </w:r>
      <w:r w:rsidR="0024238D" w:rsidRPr="00867CA7">
        <w:rPr>
          <w:color w:val="auto"/>
          <w:sz w:val="22"/>
          <w:szCs w:val="22"/>
          <w:lang w:val="es-ES"/>
        </w:rPr>
        <w:t>(</w:t>
      </w:r>
      <w:r w:rsidR="00780802" w:rsidRPr="00867CA7">
        <w:rPr>
          <w:color w:val="auto"/>
          <w:sz w:val="22"/>
          <w:szCs w:val="22"/>
          <w:lang w:val="es-ES"/>
        </w:rPr>
        <w:t xml:space="preserve">a) </w:t>
      </w:r>
      <w:r w:rsidRPr="00867CA7">
        <w:rPr>
          <w:color w:val="auto"/>
          <w:sz w:val="22"/>
          <w:szCs w:val="22"/>
          <w:lang w:val="es-ES"/>
        </w:rPr>
        <w:t xml:space="preserve">y </w:t>
      </w:r>
      <w:r w:rsidR="00780802" w:rsidRPr="00867CA7">
        <w:rPr>
          <w:color w:val="auto"/>
          <w:sz w:val="22"/>
          <w:szCs w:val="22"/>
          <w:lang w:val="es-ES"/>
        </w:rPr>
        <w:t xml:space="preserve">A/46/10), </w:t>
      </w:r>
      <w:r w:rsidRPr="00867CA7">
        <w:rPr>
          <w:color w:val="auto"/>
          <w:sz w:val="22"/>
          <w:szCs w:val="22"/>
          <w:lang w:val="es-ES"/>
        </w:rPr>
        <w:t xml:space="preserve">con el objetivo de adaptar la seguridad y la vigilancia de los edificios de la OMPI a fin de que se hallaran en conformidad con las normas mínimas </w:t>
      </w:r>
      <w:r w:rsidR="00692DDD" w:rsidRPr="00867CA7">
        <w:rPr>
          <w:color w:val="auto"/>
          <w:sz w:val="22"/>
          <w:szCs w:val="22"/>
          <w:lang w:val="es-ES"/>
        </w:rPr>
        <w:t xml:space="preserve">de seguridad </w:t>
      </w:r>
      <w:r w:rsidR="00780802" w:rsidRPr="00867CA7">
        <w:rPr>
          <w:color w:val="auto"/>
          <w:sz w:val="22"/>
          <w:szCs w:val="22"/>
          <w:lang w:val="es-ES"/>
        </w:rPr>
        <w:t>UN H</w:t>
      </w:r>
      <w:r w:rsidR="00780802" w:rsidRPr="00867CA7">
        <w:rPr>
          <w:color w:val="auto"/>
          <w:sz w:val="22"/>
          <w:szCs w:val="22"/>
          <w:lang w:val="es-ES"/>
        </w:rPr>
        <w:noBreakHyphen/>
        <w:t xml:space="preserve">MOSS.  </w:t>
      </w:r>
      <w:r w:rsidR="00692DDD" w:rsidRPr="00867CA7">
        <w:rPr>
          <w:color w:val="auto"/>
          <w:sz w:val="22"/>
          <w:szCs w:val="22"/>
          <w:lang w:val="es-ES"/>
        </w:rPr>
        <w:t xml:space="preserve">Esas normas se usaron como guía para las recomendaciones de la evaluación de los riesgos en materia de seguridad realizada por un experto independiente para la sede de la OMPI en </w:t>
      </w:r>
      <w:r w:rsidR="00780802" w:rsidRPr="00867CA7">
        <w:rPr>
          <w:color w:val="auto"/>
          <w:sz w:val="22"/>
          <w:szCs w:val="22"/>
          <w:lang w:val="es-ES"/>
        </w:rPr>
        <w:t>2006.</w:t>
      </w:r>
    </w:p>
    <w:p w:rsidR="00781502" w:rsidRPr="00867CA7" w:rsidRDefault="003E1098" w:rsidP="003E1098">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En su vig</w:t>
      </w:r>
      <w:r w:rsidR="00C40A12">
        <w:rPr>
          <w:sz w:val="22"/>
          <w:szCs w:val="22"/>
          <w:lang w:val="es-ES"/>
        </w:rPr>
        <w:t>e</w:t>
      </w:r>
      <w:r w:rsidRPr="00867CA7">
        <w:rPr>
          <w:sz w:val="22"/>
          <w:szCs w:val="22"/>
          <w:lang w:val="es-ES"/>
        </w:rPr>
        <w:t>sim</w:t>
      </w:r>
      <w:r w:rsidR="00C40A12">
        <w:rPr>
          <w:sz w:val="22"/>
          <w:szCs w:val="22"/>
          <w:lang w:val="es-ES"/>
        </w:rPr>
        <w:t>o</w:t>
      </w:r>
      <w:r w:rsidRPr="00867CA7">
        <w:rPr>
          <w:sz w:val="22"/>
          <w:szCs w:val="22"/>
          <w:lang w:val="es-ES"/>
        </w:rPr>
        <w:t xml:space="preserve">primera sesión, se proporcionó información actualizada al Comité del Programa y Presupuesto (PBC) en relación con los avances en ese proyecto (documento </w:t>
      </w:r>
      <w:r w:rsidR="00780802" w:rsidRPr="00867CA7">
        <w:rPr>
          <w:sz w:val="22"/>
          <w:szCs w:val="22"/>
          <w:lang w:val="es-ES"/>
        </w:rPr>
        <w:t xml:space="preserve">WO/PBC/21/9) </w:t>
      </w:r>
      <w:r w:rsidRPr="00867CA7">
        <w:rPr>
          <w:sz w:val="22"/>
          <w:szCs w:val="22"/>
          <w:lang w:val="es-ES"/>
        </w:rPr>
        <w:t>subrayando las modificaciones efectuadas en el alcance</w:t>
      </w:r>
      <w:r w:rsidR="00692DDD" w:rsidRPr="00867CA7">
        <w:rPr>
          <w:sz w:val="22"/>
          <w:szCs w:val="22"/>
          <w:lang w:val="es-ES"/>
        </w:rPr>
        <w:t>,</w:t>
      </w:r>
      <w:r w:rsidRPr="00867CA7">
        <w:rPr>
          <w:sz w:val="22"/>
          <w:szCs w:val="22"/>
          <w:lang w:val="es-ES"/>
        </w:rPr>
        <w:t xml:space="preserve"> entre las que figuraba la financiación adicional para el Centro de Acceso y los cambios en las especificaciones del perímetro de seguridad tras las consultas realizadas con el país anfitrión en junio de 2011. </w:t>
      </w:r>
      <w:r w:rsidR="00781502" w:rsidRPr="00867CA7">
        <w:rPr>
          <w:sz w:val="22"/>
          <w:szCs w:val="22"/>
          <w:lang w:val="es-ES"/>
        </w:rPr>
        <w:t xml:space="preserve">Asimismo, en el informe presentado al PBC </w:t>
      </w:r>
      <w:r w:rsidR="0024238D" w:rsidRPr="00867CA7">
        <w:rPr>
          <w:sz w:val="22"/>
          <w:szCs w:val="22"/>
          <w:lang w:val="es-ES"/>
        </w:rPr>
        <w:t xml:space="preserve">se recuerda </w:t>
      </w:r>
      <w:r w:rsidR="00781502" w:rsidRPr="00867CA7">
        <w:rPr>
          <w:sz w:val="22"/>
          <w:szCs w:val="22"/>
          <w:lang w:val="es-ES"/>
        </w:rPr>
        <w:t xml:space="preserve">que se emprendió un examen para reevaluar el riesgo y modificar el alcance original sin </w:t>
      </w:r>
      <w:r w:rsidRPr="00867CA7">
        <w:rPr>
          <w:sz w:val="22"/>
          <w:szCs w:val="22"/>
          <w:lang w:val="es-ES"/>
        </w:rPr>
        <w:t>comprometer</w:t>
      </w:r>
      <w:r w:rsidR="00781502" w:rsidRPr="00867CA7">
        <w:rPr>
          <w:sz w:val="22"/>
          <w:szCs w:val="22"/>
          <w:lang w:val="es-ES"/>
        </w:rPr>
        <w:t xml:space="preserve"> el resultado esperado, o sea, el </w:t>
      </w:r>
      <w:r w:rsidR="00A04F62" w:rsidRPr="00867CA7">
        <w:rPr>
          <w:sz w:val="22"/>
          <w:szCs w:val="22"/>
          <w:lang w:val="es-ES"/>
        </w:rPr>
        <w:t>fortalecimiento</w:t>
      </w:r>
      <w:r w:rsidR="00781502" w:rsidRPr="00867CA7">
        <w:rPr>
          <w:sz w:val="22"/>
          <w:szCs w:val="22"/>
          <w:lang w:val="es-ES"/>
        </w:rPr>
        <w:t xml:space="preserve"> de las normas de seguridad y vigilancia.</w:t>
      </w:r>
      <w:r w:rsidR="00F46D40">
        <w:rPr>
          <w:sz w:val="22"/>
          <w:szCs w:val="22"/>
          <w:lang w:val="es-ES"/>
        </w:rPr>
        <w:t xml:space="preserve">  </w:t>
      </w:r>
      <w:r w:rsidR="00C40A12">
        <w:rPr>
          <w:sz w:val="22"/>
          <w:szCs w:val="22"/>
          <w:lang w:val="es-ES"/>
        </w:rPr>
        <w:t xml:space="preserve"> Este informe también fue presentado en la quincuagésima primera serie de reuniones de las Asambleas de los Estados miembros de la OMPI (documento A/51/10), en septiembre de 2013.</w:t>
      </w:r>
    </w:p>
    <w:p w:rsidR="005C23DE" w:rsidRPr="00867CA7" w:rsidRDefault="005C23DE" w:rsidP="00780802">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 xml:space="preserve">El presente informe final complementa los anteriores informes sobre la marcha de la labor (el más reciente, el documento </w:t>
      </w:r>
      <w:r w:rsidR="00780802" w:rsidRPr="00867CA7">
        <w:rPr>
          <w:color w:val="auto"/>
          <w:sz w:val="22"/>
          <w:szCs w:val="22"/>
          <w:lang w:val="es-ES"/>
        </w:rPr>
        <w:t xml:space="preserve">WO/PBC/22/9) </w:t>
      </w:r>
      <w:r w:rsidRPr="00867CA7">
        <w:rPr>
          <w:color w:val="auto"/>
          <w:sz w:val="22"/>
          <w:szCs w:val="22"/>
          <w:lang w:val="es-ES"/>
        </w:rPr>
        <w:t>presentados al PBC, en los que se proporciona a los Estados miembros un panorama de los avances realizados, los logros alcanzados y el presupuesto utilizado en el marco del proyecto “Reforzar las normas de seguridad y vigilancia</w:t>
      </w:r>
      <w:r w:rsidR="00A04F62" w:rsidRPr="00867CA7">
        <w:rPr>
          <w:color w:val="auto"/>
          <w:sz w:val="22"/>
          <w:szCs w:val="22"/>
          <w:lang w:val="es-ES"/>
        </w:rPr>
        <w:t xml:space="preserve"> de los edificios de la OMPI” (p</w:t>
      </w:r>
      <w:r w:rsidRPr="00867CA7">
        <w:rPr>
          <w:color w:val="auto"/>
          <w:sz w:val="22"/>
          <w:szCs w:val="22"/>
          <w:lang w:val="es-ES"/>
        </w:rPr>
        <w:t>royecto H-MOSS) d</w:t>
      </w:r>
      <w:r w:rsidR="00C40A12">
        <w:rPr>
          <w:color w:val="auto"/>
          <w:sz w:val="22"/>
          <w:szCs w:val="22"/>
          <w:lang w:val="es-ES"/>
        </w:rPr>
        <w:t>esde</w:t>
      </w:r>
      <w:r w:rsidR="00FD2D66" w:rsidRPr="00867CA7">
        <w:rPr>
          <w:color w:val="auto"/>
          <w:sz w:val="22"/>
          <w:szCs w:val="22"/>
          <w:lang w:val="es-ES"/>
        </w:rPr>
        <w:t xml:space="preserve"> julio de </w:t>
      </w:r>
      <w:r w:rsidRPr="00867CA7">
        <w:rPr>
          <w:color w:val="auto"/>
          <w:sz w:val="22"/>
          <w:szCs w:val="22"/>
          <w:lang w:val="es-ES"/>
        </w:rPr>
        <w:t>2014.</w:t>
      </w:r>
    </w:p>
    <w:p w:rsidR="00780802" w:rsidRPr="00867CA7" w:rsidRDefault="00780802" w:rsidP="00780802">
      <w:pPr>
        <w:widowControl w:val="0"/>
        <w:spacing w:after="200" w:line="276" w:lineRule="auto"/>
        <w:rPr>
          <w:b/>
          <w:bCs/>
          <w:iCs/>
          <w:caps/>
          <w:szCs w:val="22"/>
        </w:rPr>
      </w:pPr>
    </w:p>
    <w:p w:rsidR="00781502" w:rsidRPr="00867CA7" w:rsidRDefault="00781502" w:rsidP="00781502">
      <w:pPr>
        <w:widowControl w:val="0"/>
        <w:outlineLvl w:val="1"/>
        <w:rPr>
          <w:b/>
          <w:bCs/>
          <w:iCs/>
          <w:caps/>
          <w:szCs w:val="22"/>
        </w:rPr>
      </w:pPr>
      <w:r w:rsidRPr="00867CA7">
        <w:rPr>
          <w:b/>
          <w:bCs/>
          <w:iCs/>
          <w:caps/>
          <w:szCs w:val="22"/>
        </w:rPr>
        <w:lastRenderedPageBreak/>
        <w:t>reseña general sobre la marcha del proyecto</w:t>
      </w:r>
    </w:p>
    <w:p w:rsidR="00780802" w:rsidRPr="00867CA7" w:rsidRDefault="00780802" w:rsidP="00780802">
      <w:pPr>
        <w:widowControl w:val="0"/>
        <w:outlineLvl w:val="1"/>
        <w:rPr>
          <w:bCs/>
          <w:iCs/>
          <w:caps/>
          <w:szCs w:val="22"/>
        </w:rPr>
      </w:pPr>
    </w:p>
    <w:p w:rsidR="00780802" w:rsidRPr="00867CA7" w:rsidRDefault="005C23DE" w:rsidP="005C23DE">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El proyecto</w:t>
      </w:r>
      <w:r w:rsidR="00780802" w:rsidRPr="00867CA7">
        <w:rPr>
          <w:sz w:val="22"/>
          <w:szCs w:val="22"/>
          <w:lang w:val="es-ES"/>
        </w:rPr>
        <w:t xml:space="preserve"> H-MOSS </w:t>
      </w:r>
      <w:r w:rsidRPr="00867CA7">
        <w:rPr>
          <w:sz w:val="22"/>
          <w:szCs w:val="22"/>
          <w:lang w:val="es-ES"/>
        </w:rPr>
        <w:t xml:space="preserve">consistía en tres fases principales de ejecución: </w:t>
      </w:r>
    </w:p>
    <w:p w:rsidR="005C23DE" w:rsidRPr="00867CA7" w:rsidRDefault="005C23DE" w:rsidP="00780802">
      <w:pPr>
        <w:pStyle w:val="ListParagraph"/>
        <w:widowControl w:val="0"/>
        <w:numPr>
          <w:ilvl w:val="0"/>
          <w:numId w:val="8"/>
        </w:numPr>
        <w:rPr>
          <w:rFonts w:eastAsiaTheme="minorHAnsi"/>
          <w:szCs w:val="22"/>
          <w:lang w:val="es-ES" w:eastAsia="en-US"/>
        </w:rPr>
      </w:pPr>
      <w:r w:rsidRPr="00867CA7">
        <w:rPr>
          <w:rFonts w:eastAsiaTheme="minorHAnsi"/>
          <w:b/>
          <w:szCs w:val="22"/>
          <w:lang w:val="es-ES" w:eastAsia="en-US"/>
        </w:rPr>
        <w:t xml:space="preserve">Fase </w:t>
      </w:r>
      <w:r w:rsidR="00780802" w:rsidRPr="00867CA7">
        <w:rPr>
          <w:rFonts w:eastAsiaTheme="minorHAnsi"/>
          <w:b/>
          <w:szCs w:val="22"/>
          <w:lang w:val="es-ES" w:eastAsia="en-US"/>
        </w:rPr>
        <w:t>I</w:t>
      </w:r>
      <w:r w:rsidR="00780802" w:rsidRPr="00867CA7">
        <w:rPr>
          <w:rFonts w:eastAsiaTheme="minorHAnsi"/>
          <w:szCs w:val="22"/>
          <w:lang w:val="es-ES" w:eastAsia="en-US"/>
        </w:rPr>
        <w:t xml:space="preserve"> – </w:t>
      </w:r>
      <w:r w:rsidRPr="00867CA7">
        <w:rPr>
          <w:rFonts w:eastAsiaTheme="minorHAnsi"/>
          <w:szCs w:val="22"/>
          <w:lang w:val="es-ES" w:eastAsia="en-US"/>
        </w:rPr>
        <w:t xml:space="preserve">Formulación y elaboración de un concepto </w:t>
      </w:r>
      <w:r w:rsidR="00A04F62" w:rsidRPr="00867CA7">
        <w:rPr>
          <w:rFonts w:eastAsiaTheme="minorHAnsi"/>
          <w:szCs w:val="22"/>
          <w:lang w:val="es-ES" w:eastAsia="en-US"/>
        </w:rPr>
        <w:t>global</w:t>
      </w:r>
      <w:r w:rsidRPr="00867CA7">
        <w:rPr>
          <w:rFonts w:eastAsiaTheme="minorHAnsi"/>
          <w:szCs w:val="22"/>
          <w:lang w:val="es-ES" w:eastAsia="en-US"/>
        </w:rPr>
        <w:t xml:space="preserve"> de seguridad </w:t>
      </w:r>
      <w:r w:rsidR="00A04F62" w:rsidRPr="00867CA7">
        <w:rPr>
          <w:rFonts w:eastAsiaTheme="minorHAnsi"/>
          <w:szCs w:val="22"/>
          <w:lang w:val="es-ES" w:eastAsia="en-US"/>
        </w:rPr>
        <w:t xml:space="preserve">y vigilancia, que satisficiera las necesidades </w:t>
      </w:r>
      <w:r w:rsidRPr="00867CA7">
        <w:rPr>
          <w:rFonts w:eastAsiaTheme="minorHAnsi"/>
          <w:szCs w:val="22"/>
          <w:lang w:val="es-ES" w:eastAsia="en-US"/>
        </w:rPr>
        <w:t>de la OMPI teniendo en cuenta la aplicación de principios eficaces de gestión del riesgo, estableciendo alianzas con actores internos y externos, y evaluación de los sistemas técnicos apropiados relacionados especialmente con la compatibilidad de la infraestructura y el cumplimiento de las normas del Departamento de Seguridad de las Naciones Unidas.  (Finalizada)</w:t>
      </w:r>
    </w:p>
    <w:p w:rsidR="005C23DE" w:rsidRPr="00867CA7" w:rsidRDefault="005C23DE" w:rsidP="005C23DE">
      <w:pPr>
        <w:widowControl w:val="0"/>
        <w:ind w:left="360"/>
        <w:rPr>
          <w:rFonts w:eastAsiaTheme="minorHAnsi"/>
          <w:szCs w:val="22"/>
          <w:lang w:eastAsia="en-US"/>
        </w:rPr>
      </w:pPr>
    </w:p>
    <w:p w:rsidR="005C23DE" w:rsidRPr="00867CA7" w:rsidRDefault="005C23DE" w:rsidP="00780802">
      <w:pPr>
        <w:pStyle w:val="ListParagraph"/>
        <w:widowControl w:val="0"/>
        <w:numPr>
          <w:ilvl w:val="0"/>
          <w:numId w:val="8"/>
        </w:numPr>
        <w:rPr>
          <w:szCs w:val="22"/>
          <w:lang w:val="es-ES"/>
        </w:rPr>
      </w:pPr>
      <w:r w:rsidRPr="00867CA7">
        <w:rPr>
          <w:b/>
          <w:szCs w:val="22"/>
          <w:lang w:val="es-ES"/>
        </w:rPr>
        <w:t>F</w:t>
      </w:r>
      <w:r w:rsidR="00780802" w:rsidRPr="00867CA7">
        <w:rPr>
          <w:b/>
          <w:szCs w:val="22"/>
          <w:lang w:val="es-ES"/>
        </w:rPr>
        <w:t>ase II</w:t>
      </w:r>
      <w:r w:rsidR="00780802" w:rsidRPr="00867CA7">
        <w:rPr>
          <w:szCs w:val="22"/>
          <w:lang w:val="es-ES"/>
        </w:rPr>
        <w:t xml:space="preserve"> – </w:t>
      </w:r>
      <w:r w:rsidRPr="00867CA7">
        <w:rPr>
          <w:szCs w:val="22"/>
          <w:lang w:val="es-ES"/>
        </w:rPr>
        <w:t>Planificación y concepción detallada, que conlleva</w:t>
      </w:r>
      <w:r w:rsidR="00A04F62" w:rsidRPr="00867CA7">
        <w:rPr>
          <w:szCs w:val="22"/>
          <w:lang w:val="es-ES"/>
        </w:rPr>
        <w:t>ba</w:t>
      </w:r>
      <w:r w:rsidRPr="00867CA7">
        <w:rPr>
          <w:szCs w:val="22"/>
          <w:lang w:val="es-ES"/>
        </w:rPr>
        <w:t xml:space="preserve"> la elaboración de las especificaciones técnicas, convocatorias de licitación, contratación de empresas de construcción y otros proveedores par</w:t>
      </w:r>
      <w:r w:rsidR="00A04F62" w:rsidRPr="00867CA7">
        <w:rPr>
          <w:szCs w:val="22"/>
          <w:lang w:val="es-ES"/>
        </w:rPr>
        <w:t>a que suministraran y administrara</w:t>
      </w:r>
      <w:r w:rsidRPr="00867CA7">
        <w:rPr>
          <w:szCs w:val="22"/>
          <w:lang w:val="es-ES"/>
        </w:rPr>
        <w:t>n esos sistemas avanzados de seguridad y vigilancia, y sus sistemas de respaldo en materia de comunicaciones y conectividad.  (Finalizada)</w:t>
      </w:r>
    </w:p>
    <w:p w:rsidR="005C23DE" w:rsidRPr="00867CA7" w:rsidRDefault="005C23DE" w:rsidP="00FD2D66">
      <w:pPr>
        <w:ind w:left="360"/>
        <w:rPr>
          <w:szCs w:val="22"/>
        </w:rPr>
      </w:pPr>
    </w:p>
    <w:p w:rsidR="00612ABB" w:rsidRPr="00867CA7" w:rsidRDefault="005C23DE" w:rsidP="00780802">
      <w:pPr>
        <w:pStyle w:val="ListParagraph"/>
        <w:widowControl w:val="0"/>
        <w:numPr>
          <w:ilvl w:val="0"/>
          <w:numId w:val="8"/>
        </w:numPr>
        <w:rPr>
          <w:szCs w:val="22"/>
          <w:lang w:val="es-ES" w:eastAsia="en-US"/>
        </w:rPr>
      </w:pPr>
      <w:r w:rsidRPr="00867CA7">
        <w:rPr>
          <w:b/>
          <w:szCs w:val="22"/>
          <w:lang w:val="es-ES" w:eastAsia="en-US"/>
        </w:rPr>
        <w:t>F</w:t>
      </w:r>
      <w:r w:rsidR="00780802" w:rsidRPr="00867CA7">
        <w:rPr>
          <w:b/>
          <w:szCs w:val="22"/>
          <w:lang w:val="es-ES" w:eastAsia="en-US"/>
        </w:rPr>
        <w:t>ase III</w:t>
      </w:r>
      <w:r w:rsidR="00780802" w:rsidRPr="00867CA7">
        <w:rPr>
          <w:szCs w:val="22"/>
          <w:lang w:val="es-ES" w:eastAsia="en-US"/>
        </w:rPr>
        <w:t xml:space="preserve"> – </w:t>
      </w:r>
      <w:r w:rsidR="00612ABB" w:rsidRPr="00867CA7">
        <w:rPr>
          <w:szCs w:val="22"/>
          <w:lang w:val="es-ES" w:eastAsia="en-US"/>
        </w:rPr>
        <w:t>Ejecución</w:t>
      </w:r>
      <w:r w:rsidR="00780802" w:rsidRPr="00867CA7">
        <w:rPr>
          <w:szCs w:val="22"/>
          <w:lang w:val="es-ES" w:eastAsia="en-US"/>
        </w:rPr>
        <w:t xml:space="preserve">, </w:t>
      </w:r>
      <w:r w:rsidR="00612ABB" w:rsidRPr="00867CA7">
        <w:rPr>
          <w:szCs w:val="22"/>
          <w:lang w:val="es-ES" w:eastAsia="en-US"/>
        </w:rPr>
        <w:t>puesta a prueba y formación</w:t>
      </w:r>
      <w:r w:rsidR="005358E2" w:rsidRPr="00867CA7">
        <w:rPr>
          <w:szCs w:val="22"/>
          <w:lang w:val="es-ES" w:eastAsia="en-US"/>
        </w:rPr>
        <w:t xml:space="preserve"> en torno a</w:t>
      </w:r>
      <w:r w:rsidR="00612ABB" w:rsidRPr="00867CA7">
        <w:rPr>
          <w:szCs w:val="22"/>
          <w:lang w:val="es-ES" w:eastAsia="en-US"/>
        </w:rPr>
        <w:t xml:space="preserve"> la interoperabilidad, las funciones de los sistemas, los procesos de supervisión activa, la finalización en último término del alcance de la labor del proyecto y </w:t>
      </w:r>
      <w:r w:rsidR="00A04F62" w:rsidRPr="00867CA7">
        <w:rPr>
          <w:szCs w:val="22"/>
          <w:lang w:val="es-ES" w:eastAsia="en-US"/>
        </w:rPr>
        <w:t xml:space="preserve">su </w:t>
      </w:r>
      <w:r w:rsidR="00612ABB" w:rsidRPr="00867CA7">
        <w:rPr>
          <w:szCs w:val="22"/>
          <w:lang w:val="es-ES" w:eastAsia="en-US"/>
        </w:rPr>
        <w:t>entrega a la OMPI.</w:t>
      </w:r>
      <w:r w:rsidR="0024238D" w:rsidRPr="00867CA7">
        <w:rPr>
          <w:szCs w:val="22"/>
          <w:lang w:val="es-ES" w:eastAsia="en-US"/>
        </w:rPr>
        <w:t xml:space="preserve">  (Se finalizará en septiembre de 2015</w:t>
      </w:r>
      <w:r w:rsidR="00C40A12">
        <w:rPr>
          <w:szCs w:val="22"/>
          <w:lang w:val="es-ES" w:eastAsia="en-US"/>
        </w:rPr>
        <w:t>.</w:t>
      </w:r>
      <w:r w:rsidR="0024238D" w:rsidRPr="00867CA7">
        <w:rPr>
          <w:szCs w:val="22"/>
          <w:lang w:val="es-ES" w:eastAsia="en-US"/>
        </w:rPr>
        <w:t>)</w:t>
      </w:r>
    </w:p>
    <w:p w:rsidR="00780802" w:rsidRPr="00867CA7" w:rsidRDefault="00780802" w:rsidP="00780802">
      <w:pPr>
        <w:widowControl w:val="0"/>
        <w:rPr>
          <w:rFonts w:eastAsiaTheme="minorHAnsi"/>
          <w:szCs w:val="22"/>
          <w:lang w:eastAsia="en-US"/>
        </w:rPr>
      </w:pPr>
    </w:p>
    <w:p w:rsidR="00612ABB" w:rsidRPr="00867CA7" w:rsidRDefault="00612ABB" w:rsidP="00612ABB">
      <w:pPr>
        <w:pStyle w:val="ONUME"/>
        <w:widowControl w:val="0"/>
        <w:numPr>
          <w:ilvl w:val="0"/>
          <w:numId w:val="7"/>
        </w:numPr>
        <w:tabs>
          <w:tab w:val="left" w:pos="567"/>
        </w:tabs>
        <w:spacing w:after="0"/>
        <w:ind w:left="0" w:firstLine="0"/>
        <w:rPr>
          <w:szCs w:val="22"/>
        </w:rPr>
      </w:pPr>
      <w:r w:rsidRPr="00867CA7">
        <w:rPr>
          <w:szCs w:val="22"/>
        </w:rPr>
        <w:t xml:space="preserve">En el momento de redactar el presente informe, estaba a punto de </w:t>
      </w:r>
      <w:r w:rsidR="00563EF1" w:rsidRPr="00867CA7">
        <w:rPr>
          <w:szCs w:val="22"/>
        </w:rPr>
        <w:t xml:space="preserve">ejecutarse por completo </w:t>
      </w:r>
      <w:r w:rsidRPr="00867CA7">
        <w:rPr>
          <w:szCs w:val="22"/>
        </w:rPr>
        <w:t xml:space="preserve">el proyecto H-MOSS, del que se había completado el 98% de la labor, y estaba previsto que se </w:t>
      </w:r>
      <w:r w:rsidR="00563EF1" w:rsidRPr="00867CA7">
        <w:rPr>
          <w:szCs w:val="22"/>
        </w:rPr>
        <w:t>realizaran</w:t>
      </w:r>
      <w:r w:rsidRPr="00867CA7">
        <w:rPr>
          <w:szCs w:val="22"/>
        </w:rPr>
        <w:t xml:space="preserve"> todas las tareas del proyecto a más tardar en septiembre de 2015.  En el cuadro que figura a continuación se indican los avances relacionados con los elementos esenciales del proyecto y las fechas de finalización previstas.</w:t>
      </w:r>
    </w:p>
    <w:p w:rsidR="00780802" w:rsidRPr="00867CA7" w:rsidRDefault="00780802" w:rsidP="00780802">
      <w:pPr>
        <w:widowControl w:val="0"/>
        <w:outlineLvl w:val="1"/>
        <w:rPr>
          <w:szCs w:val="22"/>
        </w:rPr>
      </w:pPr>
    </w:p>
    <w:tbl>
      <w:tblPr>
        <w:tblStyle w:val="TableGrid"/>
        <w:tblW w:w="0" w:type="auto"/>
        <w:tblInd w:w="468" w:type="dxa"/>
        <w:tblLook w:val="04A0" w:firstRow="1" w:lastRow="0" w:firstColumn="1" w:lastColumn="0" w:noHBand="0" w:noVBand="1"/>
      </w:tblPr>
      <w:tblGrid>
        <w:gridCol w:w="4140"/>
        <w:gridCol w:w="2340"/>
        <w:gridCol w:w="2218"/>
      </w:tblGrid>
      <w:tr w:rsidR="00612ABB" w:rsidRPr="00867CA7" w:rsidTr="00926FF3">
        <w:trPr>
          <w:trHeight w:val="577"/>
        </w:trPr>
        <w:tc>
          <w:tcPr>
            <w:tcW w:w="4140" w:type="dxa"/>
            <w:vAlign w:val="center"/>
          </w:tcPr>
          <w:p w:rsidR="00612ABB" w:rsidRPr="00867CA7" w:rsidRDefault="00612ABB" w:rsidP="00ED6994">
            <w:pPr>
              <w:contextualSpacing/>
              <w:jc w:val="center"/>
              <w:rPr>
                <w:rFonts w:eastAsiaTheme="minorHAnsi"/>
                <w:b/>
              </w:rPr>
            </w:pPr>
            <w:r w:rsidRPr="00867CA7">
              <w:rPr>
                <w:rFonts w:eastAsiaTheme="minorHAnsi"/>
                <w:b/>
              </w:rPr>
              <w:t>Elementos del proyecto</w:t>
            </w:r>
          </w:p>
        </w:tc>
        <w:tc>
          <w:tcPr>
            <w:tcW w:w="2340" w:type="dxa"/>
            <w:vAlign w:val="center"/>
          </w:tcPr>
          <w:p w:rsidR="00612ABB" w:rsidRPr="00867CA7" w:rsidRDefault="00612ABB" w:rsidP="00ED6994">
            <w:pPr>
              <w:ind w:left="34"/>
              <w:contextualSpacing/>
              <w:jc w:val="center"/>
              <w:rPr>
                <w:rFonts w:eastAsiaTheme="minorHAnsi"/>
                <w:b/>
              </w:rPr>
            </w:pPr>
            <w:r w:rsidRPr="00867CA7">
              <w:rPr>
                <w:rFonts w:eastAsiaTheme="minorHAnsi"/>
                <w:b/>
              </w:rPr>
              <w:t>Situación actual</w:t>
            </w:r>
          </w:p>
        </w:tc>
        <w:tc>
          <w:tcPr>
            <w:tcW w:w="2218" w:type="dxa"/>
          </w:tcPr>
          <w:p w:rsidR="00612ABB" w:rsidRPr="00867CA7" w:rsidRDefault="00612ABB" w:rsidP="00612ABB">
            <w:pPr>
              <w:widowControl w:val="0"/>
              <w:contextualSpacing/>
              <w:jc w:val="center"/>
              <w:rPr>
                <w:rFonts w:eastAsiaTheme="minorHAnsi"/>
                <w:b/>
              </w:rPr>
            </w:pPr>
            <w:r w:rsidRPr="00867CA7">
              <w:rPr>
                <w:rFonts w:eastAsiaTheme="minorHAnsi"/>
                <w:b/>
              </w:rPr>
              <w:t>Plazo de ejecución previsto</w:t>
            </w:r>
          </w:p>
        </w:tc>
      </w:tr>
      <w:tr w:rsidR="00780802" w:rsidRPr="00867CA7" w:rsidTr="00CF7348">
        <w:trPr>
          <w:trHeight w:val="577"/>
        </w:trPr>
        <w:tc>
          <w:tcPr>
            <w:tcW w:w="4140" w:type="dxa"/>
          </w:tcPr>
          <w:p w:rsidR="00780802" w:rsidRPr="00867CA7" w:rsidRDefault="00612ABB" w:rsidP="00780802">
            <w:pPr>
              <w:widowControl w:val="0"/>
              <w:rPr>
                <w:rFonts w:eastAsiaTheme="minorHAnsi"/>
              </w:rPr>
            </w:pPr>
            <w:r w:rsidRPr="00867CA7">
              <w:rPr>
                <w:rFonts w:eastAsiaTheme="minorHAnsi"/>
              </w:rPr>
              <w:t xml:space="preserve">Medidas de seguridad interna </w:t>
            </w:r>
            <w:r w:rsidR="00780802" w:rsidRPr="00867CA7">
              <w:rPr>
                <w:rFonts w:eastAsiaTheme="minorHAnsi"/>
              </w:rPr>
              <w:t>(</w:t>
            </w:r>
            <w:r w:rsidRPr="00867CA7">
              <w:rPr>
                <w:rFonts w:eastAsiaTheme="minorHAnsi"/>
              </w:rPr>
              <w:t>OMPI</w:t>
            </w:r>
            <w:r w:rsidR="00780802" w:rsidRPr="00867CA7">
              <w:rPr>
                <w:rFonts w:eastAsiaTheme="minorHAnsi"/>
              </w:rPr>
              <w:t xml:space="preserve">) </w:t>
            </w:r>
          </w:p>
          <w:p w:rsidR="003D283E" w:rsidRPr="00867CA7" w:rsidRDefault="00257FF4" w:rsidP="003D283E">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S</w:t>
            </w:r>
            <w:r w:rsidR="003D283E" w:rsidRPr="00867CA7">
              <w:rPr>
                <w:rFonts w:eastAsiaTheme="minorHAnsi"/>
                <w:sz w:val="20"/>
                <w:szCs w:val="20"/>
                <w:lang w:val="es-ES"/>
              </w:rPr>
              <w:t xml:space="preserve">istemas de vigilancia por circuito cerrado </w:t>
            </w:r>
            <w:r w:rsidR="00871B23" w:rsidRPr="00867CA7">
              <w:rPr>
                <w:rFonts w:eastAsiaTheme="minorHAnsi"/>
                <w:sz w:val="20"/>
                <w:szCs w:val="20"/>
                <w:lang w:val="es-ES"/>
              </w:rPr>
              <w:t>de TV</w:t>
            </w:r>
          </w:p>
          <w:p w:rsidR="00780802" w:rsidRPr="00867CA7" w:rsidRDefault="003D283E" w:rsidP="003D283E">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 xml:space="preserve">Sistemas de control del acceso </w:t>
            </w:r>
          </w:p>
          <w:p w:rsidR="00780802" w:rsidRPr="00867CA7" w:rsidRDefault="003D283E" w:rsidP="00780802">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Centro de Acceso</w:t>
            </w:r>
          </w:p>
          <w:p w:rsidR="00780802" w:rsidRPr="00867CA7" w:rsidRDefault="003D283E" w:rsidP="00780802">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Seguridad de la red de área local</w:t>
            </w:r>
          </w:p>
          <w:p w:rsidR="00780802" w:rsidRPr="00867CA7" w:rsidRDefault="003D283E" w:rsidP="00780802">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Centro de operaciones de seguridad</w:t>
            </w:r>
          </w:p>
          <w:p w:rsidR="00780802" w:rsidRPr="00867CA7" w:rsidRDefault="0069043C" w:rsidP="0069043C">
            <w:pPr>
              <w:pStyle w:val="ListParagraph"/>
              <w:widowControl w:val="0"/>
              <w:numPr>
                <w:ilvl w:val="0"/>
                <w:numId w:val="9"/>
              </w:numPr>
              <w:rPr>
                <w:rFonts w:eastAsiaTheme="minorHAnsi"/>
                <w:lang w:val="es-ES"/>
              </w:rPr>
            </w:pPr>
            <w:r w:rsidRPr="00867CA7">
              <w:rPr>
                <w:rFonts w:eastAsiaTheme="minorHAnsi"/>
                <w:sz w:val="20"/>
                <w:szCs w:val="20"/>
                <w:lang w:val="es-ES"/>
              </w:rPr>
              <w:t>Sistemas de detección de incendios</w:t>
            </w:r>
          </w:p>
        </w:tc>
        <w:tc>
          <w:tcPr>
            <w:tcW w:w="2340" w:type="dxa"/>
          </w:tcPr>
          <w:p w:rsidR="00780802" w:rsidRPr="00867CA7" w:rsidRDefault="00612ABB" w:rsidP="00780802">
            <w:pPr>
              <w:widowControl w:val="0"/>
              <w:ind w:left="34"/>
              <w:contextualSpacing/>
              <w:jc w:val="center"/>
              <w:rPr>
                <w:rFonts w:eastAsiaTheme="minorHAnsi"/>
              </w:rPr>
            </w:pPr>
            <w:r w:rsidRPr="00867CA7">
              <w:rPr>
                <w:rFonts w:eastAsiaTheme="minorHAnsi"/>
              </w:rPr>
              <w:t>Fase</w:t>
            </w:r>
            <w:r w:rsidR="00780802" w:rsidRPr="00867CA7">
              <w:rPr>
                <w:rFonts w:eastAsiaTheme="minorHAnsi"/>
              </w:rPr>
              <w:t xml:space="preserve"> III </w:t>
            </w:r>
            <w:r w:rsidR="00780802" w:rsidRPr="00867CA7">
              <w:rPr>
                <w:rFonts w:eastAsiaTheme="minorHAnsi"/>
              </w:rPr>
              <w:br/>
              <w:t xml:space="preserve"> </w:t>
            </w:r>
          </w:p>
        </w:tc>
        <w:tc>
          <w:tcPr>
            <w:tcW w:w="2218" w:type="dxa"/>
          </w:tcPr>
          <w:p w:rsidR="00780802" w:rsidRPr="00867CA7" w:rsidRDefault="00612ABB" w:rsidP="00612ABB">
            <w:pPr>
              <w:widowControl w:val="0"/>
              <w:contextualSpacing/>
              <w:jc w:val="center"/>
              <w:rPr>
                <w:rFonts w:eastAsiaTheme="minorHAnsi"/>
              </w:rPr>
            </w:pPr>
            <w:r w:rsidRPr="00867CA7">
              <w:rPr>
                <w:rFonts w:eastAsiaTheme="minorHAnsi"/>
              </w:rPr>
              <w:t xml:space="preserve">Finalizada en enero de </w:t>
            </w:r>
            <w:r w:rsidR="00780802" w:rsidRPr="00867CA7">
              <w:rPr>
                <w:rFonts w:eastAsiaTheme="minorHAnsi"/>
              </w:rPr>
              <w:t xml:space="preserve">2015  </w:t>
            </w:r>
          </w:p>
        </w:tc>
      </w:tr>
      <w:tr w:rsidR="00780802" w:rsidRPr="00867CA7" w:rsidTr="00CF7348">
        <w:tc>
          <w:tcPr>
            <w:tcW w:w="4140" w:type="dxa"/>
            <w:vAlign w:val="center"/>
          </w:tcPr>
          <w:p w:rsidR="00780802" w:rsidRPr="00867CA7" w:rsidRDefault="00612ABB" w:rsidP="00780802">
            <w:pPr>
              <w:widowControl w:val="0"/>
              <w:contextualSpacing/>
              <w:rPr>
                <w:rFonts w:eastAsiaTheme="minorHAnsi"/>
              </w:rPr>
            </w:pPr>
            <w:r w:rsidRPr="00867CA7">
              <w:rPr>
                <w:rFonts w:eastAsiaTheme="minorHAnsi"/>
              </w:rPr>
              <w:t xml:space="preserve">Medidas relativas al perímetro de seguridad de la OMPI </w:t>
            </w:r>
            <w:r w:rsidR="00780802" w:rsidRPr="00867CA7">
              <w:rPr>
                <w:rFonts w:eastAsiaTheme="minorHAnsi"/>
              </w:rPr>
              <w:t>(FIPOI)</w:t>
            </w:r>
          </w:p>
          <w:p w:rsidR="00780802" w:rsidRPr="00867CA7" w:rsidRDefault="007B451F" w:rsidP="00780802">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Defensas</w:t>
            </w:r>
            <w:r w:rsidR="0069043C" w:rsidRPr="00867CA7">
              <w:rPr>
                <w:rFonts w:eastAsiaTheme="minorHAnsi"/>
                <w:sz w:val="20"/>
                <w:szCs w:val="20"/>
                <w:lang w:val="es-ES"/>
              </w:rPr>
              <w:t xml:space="preserve"> contra la intrusión de vehículos</w:t>
            </w:r>
          </w:p>
          <w:p w:rsidR="00780802" w:rsidRPr="00867CA7" w:rsidRDefault="007B451F" w:rsidP="00780802">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 xml:space="preserve">Defensas </w:t>
            </w:r>
            <w:r w:rsidR="0069043C" w:rsidRPr="00867CA7">
              <w:rPr>
                <w:rFonts w:eastAsiaTheme="minorHAnsi"/>
                <w:sz w:val="20"/>
                <w:szCs w:val="20"/>
                <w:lang w:val="es-ES"/>
              </w:rPr>
              <w:t xml:space="preserve">contra la intrusión de peatones </w:t>
            </w:r>
            <w:r w:rsidR="00780802" w:rsidRPr="00867CA7">
              <w:rPr>
                <w:rFonts w:eastAsiaTheme="minorHAnsi"/>
                <w:sz w:val="20"/>
                <w:szCs w:val="20"/>
                <w:lang w:val="es-ES"/>
              </w:rPr>
              <w:t>(</w:t>
            </w:r>
            <w:r w:rsidR="0069043C" w:rsidRPr="00867CA7">
              <w:rPr>
                <w:rFonts w:eastAsiaTheme="minorHAnsi"/>
                <w:sz w:val="20"/>
                <w:szCs w:val="20"/>
                <w:lang w:val="es-ES"/>
              </w:rPr>
              <w:t>alcance revisado</w:t>
            </w:r>
            <w:r w:rsidR="00780802" w:rsidRPr="00867CA7">
              <w:rPr>
                <w:rFonts w:eastAsiaTheme="minorHAnsi"/>
                <w:sz w:val="20"/>
                <w:szCs w:val="20"/>
                <w:lang w:val="es-ES"/>
              </w:rPr>
              <w:t>)</w:t>
            </w:r>
          </w:p>
          <w:p w:rsidR="00780802" w:rsidRPr="00867CA7" w:rsidRDefault="0069043C" w:rsidP="00780802">
            <w:pPr>
              <w:pStyle w:val="ListParagraph"/>
              <w:widowControl w:val="0"/>
              <w:numPr>
                <w:ilvl w:val="0"/>
                <w:numId w:val="9"/>
              </w:numPr>
              <w:rPr>
                <w:rFonts w:eastAsiaTheme="minorHAnsi"/>
                <w:sz w:val="20"/>
                <w:szCs w:val="20"/>
                <w:lang w:val="es-ES"/>
              </w:rPr>
            </w:pPr>
            <w:r w:rsidRPr="00867CA7">
              <w:rPr>
                <w:rFonts w:eastAsiaTheme="minorHAnsi"/>
                <w:sz w:val="20"/>
                <w:szCs w:val="20"/>
                <w:lang w:val="es-ES"/>
              </w:rPr>
              <w:t>Cabinas/Puestos de vigilancia</w:t>
            </w:r>
          </w:p>
          <w:p w:rsidR="00780802" w:rsidRPr="00867CA7" w:rsidRDefault="0069043C" w:rsidP="00780802">
            <w:pPr>
              <w:pStyle w:val="ListParagraph"/>
              <w:widowControl w:val="0"/>
              <w:numPr>
                <w:ilvl w:val="0"/>
                <w:numId w:val="9"/>
              </w:numPr>
              <w:rPr>
                <w:rFonts w:eastAsiaTheme="minorHAnsi"/>
                <w:lang w:val="es-ES"/>
              </w:rPr>
            </w:pPr>
            <w:r w:rsidRPr="00867CA7">
              <w:rPr>
                <w:rFonts w:eastAsiaTheme="minorHAnsi"/>
                <w:sz w:val="20"/>
                <w:szCs w:val="20"/>
                <w:lang w:val="es-ES"/>
              </w:rPr>
              <w:t>Sistemas contra la intrusión</w:t>
            </w:r>
          </w:p>
        </w:tc>
        <w:tc>
          <w:tcPr>
            <w:tcW w:w="2340" w:type="dxa"/>
          </w:tcPr>
          <w:p w:rsidR="00780802" w:rsidRPr="00867CA7" w:rsidRDefault="00612ABB" w:rsidP="00780802">
            <w:pPr>
              <w:widowControl w:val="0"/>
              <w:ind w:left="34"/>
              <w:contextualSpacing/>
              <w:jc w:val="center"/>
              <w:rPr>
                <w:rFonts w:eastAsiaTheme="minorHAnsi"/>
              </w:rPr>
            </w:pPr>
            <w:r w:rsidRPr="00867CA7">
              <w:rPr>
                <w:rFonts w:eastAsiaTheme="minorHAnsi"/>
              </w:rPr>
              <w:t>Fase</w:t>
            </w:r>
            <w:r w:rsidR="00780802" w:rsidRPr="00867CA7">
              <w:rPr>
                <w:rFonts w:eastAsiaTheme="minorHAnsi"/>
              </w:rPr>
              <w:t xml:space="preserve"> III </w:t>
            </w:r>
            <w:r w:rsidR="00780802" w:rsidRPr="00867CA7">
              <w:rPr>
                <w:rFonts w:eastAsiaTheme="minorHAnsi"/>
              </w:rPr>
              <w:br/>
            </w:r>
          </w:p>
        </w:tc>
        <w:tc>
          <w:tcPr>
            <w:tcW w:w="2218" w:type="dxa"/>
          </w:tcPr>
          <w:p w:rsidR="00780802" w:rsidRPr="00867CA7" w:rsidRDefault="00612ABB" w:rsidP="00612ABB">
            <w:pPr>
              <w:widowControl w:val="0"/>
              <w:contextualSpacing/>
              <w:jc w:val="center"/>
              <w:rPr>
                <w:rFonts w:eastAsiaTheme="minorHAnsi"/>
              </w:rPr>
            </w:pPr>
            <w:r w:rsidRPr="00867CA7">
              <w:rPr>
                <w:rFonts w:eastAsiaTheme="minorHAnsi"/>
              </w:rPr>
              <w:t xml:space="preserve">A finalizar en </w:t>
            </w:r>
            <w:r w:rsidR="00780802" w:rsidRPr="00867CA7">
              <w:rPr>
                <w:rFonts w:eastAsiaTheme="minorHAnsi"/>
              </w:rPr>
              <w:br/>
            </w:r>
            <w:r w:rsidRPr="00867CA7">
              <w:rPr>
                <w:rFonts w:eastAsiaTheme="minorHAnsi"/>
              </w:rPr>
              <w:t xml:space="preserve">agosto de </w:t>
            </w:r>
            <w:r w:rsidR="00780802" w:rsidRPr="00867CA7">
              <w:rPr>
                <w:rFonts w:eastAsiaTheme="minorHAnsi"/>
              </w:rPr>
              <w:t xml:space="preserve">2015 </w:t>
            </w:r>
          </w:p>
        </w:tc>
      </w:tr>
      <w:tr w:rsidR="00780802" w:rsidRPr="00867CA7" w:rsidTr="00CF7348">
        <w:tc>
          <w:tcPr>
            <w:tcW w:w="4140" w:type="dxa"/>
          </w:tcPr>
          <w:p w:rsidR="00780802" w:rsidRPr="00867CA7" w:rsidRDefault="007B451F" w:rsidP="00780802">
            <w:pPr>
              <w:widowControl w:val="0"/>
              <w:rPr>
                <w:rFonts w:eastAsiaTheme="minorHAnsi"/>
              </w:rPr>
            </w:pPr>
            <w:r w:rsidRPr="00867CA7">
              <w:rPr>
                <w:rFonts w:eastAsiaTheme="minorHAnsi"/>
              </w:rPr>
              <w:t>Sistemas de detección contra la intrusión para la sala de conferencias de la OMPI</w:t>
            </w:r>
            <w:r w:rsidR="001347B7" w:rsidRPr="00867CA7">
              <w:rPr>
                <w:rFonts w:eastAsiaTheme="minorHAnsi"/>
              </w:rPr>
              <w:t>.</w:t>
            </w:r>
          </w:p>
        </w:tc>
        <w:tc>
          <w:tcPr>
            <w:tcW w:w="2340" w:type="dxa"/>
          </w:tcPr>
          <w:p w:rsidR="00780802" w:rsidRPr="00867CA7" w:rsidRDefault="00612ABB" w:rsidP="00780802">
            <w:pPr>
              <w:widowControl w:val="0"/>
              <w:ind w:left="34"/>
              <w:contextualSpacing/>
              <w:jc w:val="center"/>
              <w:rPr>
                <w:rFonts w:eastAsiaTheme="minorHAnsi"/>
              </w:rPr>
            </w:pPr>
            <w:r w:rsidRPr="00867CA7">
              <w:rPr>
                <w:rFonts w:eastAsiaTheme="minorHAnsi"/>
              </w:rPr>
              <w:t>Fase</w:t>
            </w:r>
            <w:r w:rsidR="00780802" w:rsidRPr="00867CA7">
              <w:rPr>
                <w:rFonts w:eastAsiaTheme="minorHAnsi"/>
              </w:rPr>
              <w:t> III</w:t>
            </w:r>
          </w:p>
        </w:tc>
        <w:tc>
          <w:tcPr>
            <w:tcW w:w="2218" w:type="dxa"/>
          </w:tcPr>
          <w:p w:rsidR="00780802" w:rsidRPr="00867CA7" w:rsidRDefault="00612ABB" w:rsidP="00780802">
            <w:pPr>
              <w:widowControl w:val="0"/>
              <w:contextualSpacing/>
              <w:jc w:val="center"/>
              <w:rPr>
                <w:rFonts w:eastAsiaTheme="minorHAnsi"/>
              </w:rPr>
            </w:pPr>
            <w:r w:rsidRPr="00867CA7">
              <w:rPr>
                <w:rFonts w:eastAsiaTheme="minorHAnsi"/>
              </w:rPr>
              <w:t>A finalizar e</w:t>
            </w:r>
            <w:r w:rsidR="00780802" w:rsidRPr="00867CA7">
              <w:rPr>
                <w:rFonts w:eastAsiaTheme="minorHAnsi"/>
              </w:rPr>
              <w:t>n</w:t>
            </w:r>
          </w:p>
          <w:p w:rsidR="00780802" w:rsidRPr="00867CA7" w:rsidRDefault="00612ABB" w:rsidP="00612ABB">
            <w:pPr>
              <w:widowControl w:val="0"/>
              <w:contextualSpacing/>
              <w:jc w:val="center"/>
              <w:rPr>
                <w:rFonts w:eastAsiaTheme="minorHAnsi"/>
              </w:rPr>
            </w:pPr>
            <w:r w:rsidRPr="00867CA7">
              <w:rPr>
                <w:rFonts w:eastAsiaTheme="minorHAnsi"/>
              </w:rPr>
              <w:t xml:space="preserve">septiembre de </w:t>
            </w:r>
            <w:r w:rsidR="00780802" w:rsidRPr="00867CA7">
              <w:rPr>
                <w:rFonts w:eastAsiaTheme="minorHAnsi"/>
              </w:rPr>
              <w:t xml:space="preserve">2015 </w:t>
            </w:r>
          </w:p>
        </w:tc>
      </w:tr>
    </w:tbl>
    <w:p w:rsidR="00780802" w:rsidRPr="00867CA7" w:rsidRDefault="00780802" w:rsidP="00780802">
      <w:pPr>
        <w:widowControl w:val="0"/>
        <w:rPr>
          <w:rFonts w:eastAsiaTheme="minorHAnsi"/>
          <w:b/>
          <w:szCs w:val="22"/>
          <w:lang w:eastAsia="en-US"/>
        </w:rPr>
      </w:pPr>
    </w:p>
    <w:p w:rsidR="00780802" w:rsidRPr="00867CA7" w:rsidRDefault="00780802" w:rsidP="00780802">
      <w:pPr>
        <w:widowControl w:val="0"/>
        <w:rPr>
          <w:rFonts w:eastAsiaTheme="minorHAnsi"/>
          <w:b/>
          <w:szCs w:val="22"/>
          <w:lang w:eastAsia="en-US"/>
        </w:rPr>
      </w:pPr>
    </w:p>
    <w:p w:rsidR="007B451F" w:rsidRPr="00867CA7" w:rsidRDefault="007B451F" w:rsidP="00780802">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 xml:space="preserve">Cabe recordar del anterior informe sobre la marcha de la labor </w:t>
      </w:r>
      <w:r w:rsidR="00780802" w:rsidRPr="00867CA7">
        <w:rPr>
          <w:sz w:val="22"/>
          <w:szCs w:val="22"/>
          <w:lang w:val="es-ES"/>
        </w:rPr>
        <w:t>(document</w:t>
      </w:r>
      <w:r w:rsidRPr="00867CA7">
        <w:rPr>
          <w:sz w:val="22"/>
          <w:szCs w:val="22"/>
          <w:lang w:val="es-ES"/>
        </w:rPr>
        <w:t>o</w:t>
      </w:r>
      <w:r w:rsidR="00780802" w:rsidRPr="00867CA7">
        <w:rPr>
          <w:sz w:val="22"/>
          <w:szCs w:val="22"/>
          <w:lang w:val="es-ES"/>
        </w:rPr>
        <w:t xml:space="preserve"> WO/PBC/22/13)</w:t>
      </w:r>
      <w:r w:rsidRPr="00867CA7">
        <w:rPr>
          <w:sz w:val="22"/>
          <w:szCs w:val="22"/>
          <w:lang w:val="es-ES"/>
        </w:rPr>
        <w:t xml:space="preserve"> que la construcción de la sala de conferencias y del Centro de Acceso de la OMPI repercutieron en la ejecución gradual de las medidas de seguridad del perímetro, las últimas de las cuales está previsto que se pongan en marcha a más tardar en septiembre </w:t>
      </w:r>
      <w:r w:rsidRPr="00867CA7">
        <w:rPr>
          <w:sz w:val="22"/>
          <w:szCs w:val="22"/>
          <w:lang w:val="es-ES"/>
        </w:rPr>
        <w:lastRenderedPageBreak/>
        <w:t>de</w:t>
      </w:r>
      <w:r w:rsidR="00867CA7">
        <w:rPr>
          <w:sz w:val="22"/>
          <w:szCs w:val="22"/>
          <w:lang w:val="es-ES"/>
        </w:rPr>
        <w:t> </w:t>
      </w:r>
      <w:r w:rsidRPr="00867CA7">
        <w:rPr>
          <w:sz w:val="22"/>
          <w:szCs w:val="22"/>
          <w:lang w:val="es-ES"/>
        </w:rPr>
        <w:t>2015.  Por razones técnicas y de gestión, en la mayoría de los casos la finalización de la sala de conferencias y</w:t>
      </w:r>
      <w:r w:rsidR="001347B7" w:rsidRPr="00867CA7">
        <w:rPr>
          <w:sz w:val="22"/>
          <w:szCs w:val="22"/>
          <w:lang w:val="es-ES"/>
        </w:rPr>
        <w:t xml:space="preserve"> del Centro de Acceso resultó esencial</w:t>
      </w:r>
      <w:r w:rsidRPr="00867CA7">
        <w:rPr>
          <w:sz w:val="22"/>
          <w:szCs w:val="22"/>
          <w:lang w:val="es-ES"/>
        </w:rPr>
        <w:t xml:space="preserve"> para poder instalar la mayoría de los elementos del proyecto correspondientes a la seguridad y la vigilancia. </w:t>
      </w:r>
    </w:p>
    <w:p w:rsidR="007B451F" w:rsidRPr="00867CA7" w:rsidRDefault="007B451F" w:rsidP="007B451F">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 xml:space="preserve">El sistema de la OMPI </w:t>
      </w:r>
      <w:r w:rsidR="00C40A12">
        <w:rPr>
          <w:sz w:val="22"/>
          <w:szCs w:val="22"/>
          <w:lang w:val="es-ES"/>
        </w:rPr>
        <w:t>de detección de</w:t>
      </w:r>
      <w:r w:rsidRPr="00867CA7">
        <w:rPr>
          <w:sz w:val="22"/>
          <w:szCs w:val="22"/>
          <w:lang w:val="es-ES"/>
        </w:rPr>
        <w:t xml:space="preserve"> intrusiones comprende dos elementos fundamentales:  la cobertura de las instalaciones por medio de</w:t>
      </w:r>
      <w:r w:rsidR="00C40A12">
        <w:rPr>
          <w:sz w:val="22"/>
          <w:szCs w:val="22"/>
          <w:lang w:val="es-ES"/>
        </w:rPr>
        <w:t>l láser, finalizada en enero de </w:t>
      </w:r>
      <w:r w:rsidRPr="00867CA7">
        <w:rPr>
          <w:sz w:val="22"/>
          <w:szCs w:val="22"/>
          <w:lang w:val="es-ES"/>
        </w:rPr>
        <w:t xml:space="preserve">2015, y el sistema de sensor terrestre </w:t>
      </w:r>
      <w:r w:rsidR="00780802" w:rsidRPr="00867CA7">
        <w:rPr>
          <w:sz w:val="22"/>
          <w:szCs w:val="22"/>
          <w:lang w:val="es-ES"/>
        </w:rPr>
        <w:t xml:space="preserve">Omnitrax, </w:t>
      </w:r>
      <w:r w:rsidRPr="00867CA7">
        <w:rPr>
          <w:sz w:val="22"/>
          <w:szCs w:val="22"/>
          <w:lang w:val="es-ES"/>
        </w:rPr>
        <w:t>que se terminará de instalar en septiembre de 2015.</w:t>
      </w:r>
    </w:p>
    <w:p w:rsidR="00780802" w:rsidRPr="00867CA7" w:rsidRDefault="00780802" w:rsidP="00780802">
      <w:pPr>
        <w:widowControl w:val="0"/>
        <w:rPr>
          <w:rFonts w:eastAsiaTheme="minorHAnsi"/>
          <w:b/>
          <w:szCs w:val="22"/>
          <w:lang w:eastAsia="en-US"/>
        </w:rPr>
      </w:pPr>
    </w:p>
    <w:p w:rsidR="00780802" w:rsidRPr="00867CA7" w:rsidRDefault="00781502" w:rsidP="00781502">
      <w:pPr>
        <w:widowControl w:val="0"/>
        <w:spacing w:line="276" w:lineRule="auto"/>
        <w:rPr>
          <w:rFonts w:eastAsiaTheme="minorHAnsi"/>
          <w:szCs w:val="22"/>
          <w:lang w:eastAsia="en-US"/>
        </w:rPr>
      </w:pPr>
      <w:r w:rsidRPr="00867CA7">
        <w:rPr>
          <w:rFonts w:eastAsiaTheme="minorHAnsi"/>
          <w:b/>
          <w:szCs w:val="22"/>
          <w:lang w:eastAsia="en-US"/>
        </w:rPr>
        <w:t>OBJETIVOS LOGRADOS D</w:t>
      </w:r>
      <w:r w:rsidR="00C40A12">
        <w:rPr>
          <w:rFonts w:eastAsiaTheme="minorHAnsi"/>
          <w:b/>
          <w:szCs w:val="22"/>
          <w:lang w:eastAsia="en-US"/>
        </w:rPr>
        <w:t>ESDE EL ÚLTIMO PERÍODO EXAMINADO (QUE FINALIZÓ EN JULIO DE</w:t>
      </w:r>
      <w:r w:rsidRPr="00867CA7">
        <w:rPr>
          <w:rFonts w:eastAsiaTheme="minorHAnsi"/>
          <w:b/>
          <w:szCs w:val="22"/>
          <w:lang w:eastAsia="en-US"/>
        </w:rPr>
        <w:t xml:space="preserve"> 2014</w:t>
      </w:r>
      <w:r w:rsidR="00780802" w:rsidRPr="00867CA7">
        <w:rPr>
          <w:rFonts w:eastAsiaTheme="minorHAnsi"/>
          <w:b/>
          <w:szCs w:val="22"/>
          <w:lang w:eastAsia="en-US"/>
        </w:rPr>
        <w:t xml:space="preserve">) </w:t>
      </w:r>
    </w:p>
    <w:p w:rsidR="00780802" w:rsidRPr="00867CA7" w:rsidRDefault="00780802" w:rsidP="00780802">
      <w:pPr>
        <w:widowControl w:val="0"/>
        <w:outlineLvl w:val="1"/>
        <w:rPr>
          <w:szCs w:val="22"/>
        </w:rPr>
      </w:pPr>
    </w:p>
    <w:p w:rsidR="00BC0BC2" w:rsidRPr="00867CA7" w:rsidRDefault="00BC0BC2" w:rsidP="00780802">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Desde el último informe sobre la marcha de la labor, todos los sistemas funcionales restantes de seguridad y vigilancia se conectaron a la red de área local (LAN) específica, incluidas las puertas rápidas, las puertas de seguridad, los sistema de vigilancia por circuito cerrado</w:t>
      </w:r>
      <w:r w:rsidR="00871B23" w:rsidRPr="00867CA7">
        <w:rPr>
          <w:sz w:val="22"/>
          <w:szCs w:val="22"/>
          <w:lang w:val="es-ES"/>
        </w:rPr>
        <w:t xml:space="preserve"> de TV</w:t>
      </w:r>
      <w:r w:rsidRPr="00867CA7">
        <w:rPr>
          <w:sz w:val="22"/>
          <w:szCs w:val="22"/>
          <w:lang w:val="es-ES"/>
        </w:rPr>
        <w:t>, las alarmas técnicas y los dispositivos de comunicación.   El Centro de Operaciones de Coordinación de Seguridad (SCOC</w:t>
      </w:r>
      <w:r w:rsidR="00C40A12">
        <w:rPr>
          <w:sz w:val="22"/>
          <w:szCs w:val="22"/>
          <w:lang w:val="es-ES"/>
        </w:rPr>
        <w:t>, de sus siglas en inglés</w:t>
      </w:r>
      <w:r w:rsidRPr="00867CA7">
        <w:rPr>
          <w:sz w:val="22"/>
          <w:szCs w:val="22"/>
          <w:lang w:val="es-ES"/>
        </w:rPr>
        <w:t xml:space="preserve">) está en pleno funcionamiento y es el núcleo central del funcionamiento y supervisión de estas tecnologías avanzadas de seguridad y vigilancia.  El SCOC supervisa </w:t>
      </w:r>
      <w:r w:rsidR="00257FF4" w:rsidRPr="00867CA7">
        <w:rPr>
          <w:sz w:val="22"/>
          <w:szCs w:val="22"/>
          <w:lang w:val="es-ES"/>
        </w:rPr>
        <w:t xml:space="preserve">de manera ininterrumpida la </w:t>
      </w:r>
      <w:r w:rsidRPr="00867CA7">
        <w:rPr>
          <w:sz w:val="22"/>
          <w:szCs w:val="22"/>
          <w:lang w:val="es-ES"/>
        </w:rPr>
        <w:t xml:space="preserve">seguridad y vigilancia de la OMPI </w:t>
      </w:r>
      <w:r w:rsidR="00257FF4" w:rsidRPr="00867CA7">
        <w:rPr>
          <w:sz w:val="22"/>
          <w:szCs w:val="22"/>
          <w:lang w:val="es-ES"/>
        </w:rPr>
        <w:t xml:space="preserve">y responde a los incidentes </w:t>
      </w:r>
      <w:r w:rsidRPr="00867CA7">
        <w:rPr>
          <w:sz w:val="22"/>
          <w:szCs w:val="22"/>
          <w:lang w:val="es-ES"/>
        </w:rPr>
        <w:t>mediante servicios de guardias de seguridad adiestrados al efecto.</w:t>
      </w:r>
    </w:p>
    <w:p w:rsidR="00780802" w:rsidRPr="00867CA7" w:rsidRDefault="00A06656" w:rsidP="00780802">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Si bien la mayoría de los elementos de la infraestructura del perímetro contra la intrusión de vehículos se terminaron de instalar gradualmente a lo largo de 2013, los últimos elementos de ese tipo (vallas, bolardos y muros de contención) situados alrededor del nuevo edificio, la sala de conferencias de la OMPI y el Centro de Acceso se te</w:t>
      </w:r>
      <w:r w:rsidR="004729B7" w:rsidRPr="00867CA7">
        <w:rPr>
          <w:sz w:val="22"/>
          <w:szCs w:val="22"/>
          <w:lang w:val="es-ES"/>
        </w:rPr>
        <w:t>rminaron de instalar a final de </w:t>
      </w:r>
      <w:r w:rsidRPr="00867CA7">
        <w:rPr>
          <w:sz w:val="22"/>
          <w:szCs w:val="22"/>
          <w:lang w:val="es-ES"/>
        </w:rPr>
        <w:t>2014.</w:t>
      </w:r>
    </w:p>
    <w:p w:rsidR="00780802" w:rsidRPr="00867CA7" w:rsidRDefault="004552BC" w:rsidP="00780802">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En abril de 2015 se instaló e</w:t>
      </w:r>
      <w:r w:rsidR="00A06656" w:rsidRPr="00867CA7">
        <w:rPr>
          <w:sz w:val="22"/>
          <w:szCs w:val="22"/>
          <w:lang w:val="es-ES"/>
        </w:rPr>
        <w:t xml:space="preserve">l puesto de vigilancia a la entrada del garaje del PCT y </w:t>
      </w:r>
      <w:r w:rsidR="00A12E3B" w:rsidRPr="00867CA7">
        <w:rPr>
          <w:sz w:val="22"/>
          <w:szCs w:val="22"/>
          <w:lang w:val="es-ES"/>
        </w:rPr>
        <w:t xml:space="preserve">en junio de 2015 se terminaron de instalar </w:t>
      </w:r>
      <w:r w:rsidR="00A06656" w:rsidRPr="00867CA7">
        <w:rPr>
          <w:sz w:val="22"/>
          <w:szCs w:val="22"/>
          <w:lang w:val="es-ES"/>
        </w:rPr>
        <w:t>los sistemas de circuito cerrado de TV, comunicaciones y gestión de la seguridad física del puesto.</w:t>
      </w:r>
    </w:p>
    <w:p w:rsidR="00780802" w:rsidRPr="00867CA7" w:rsidRDefault="00A06656" w:rsidP="00780802">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 xml:space="preserve">La infraestructura del Centro de Acceso se terminó de implantar a principios de septiembre de 2014 a tiempo para la celebración de la primera Asamblea General de la OMPI albergada en la sala de conferencias de la OMPI.  Las zonas de recepción e inscripción, la puesta en marcha de los controles de acceso (puertas rápidas, circuito cerrado de TV), las tecnologías de control de pases y las estaciones de trabajo se </w:t>
      </w:r>
      <w:r w:rsidR="00A12E3B" w:rsidRPr="00867CA7">
        <w:rPr>
          <w:sz w:val="22"/>
          <w:szCs w:val="22"/>
          <w:lang w:val="es-ES"/>
        </w:rPr>
        <w:t xml:space="preserve">pusieron a punto </w:t>
      </w:r>
      <w:r w:rsidR="001B60D2" w:rsidRPr="00867CA7">
        <w:rPr>
          <w:sz w:val="22"/>
          <w:szCs w:val="22"/>
          <w:lang w:val="es-ES"/>
        </w:rPr>
        <w:t xml:space="preserve"> </w:t>
      </w:r>
      <w:r w:rsidRPr="00867CA7">
        <w:rPr>
          <w:sz w:val="22"/>
          <w:szCs w:val="22"/>
          <w:lang w:val="es-ES"/>
        </w:rPr>
        <w:t>en noviembre de 2014.  A pesar de que los nuevos sistemas de seguridad se pusieron en marcha justo a tiempo para la celebración de la Asamblea General de 2014, los sistemas funcionaron según lo previsto y sin problemas importantes.</w:t>
      </w:r>
    </w:p>
    <w:p w:rsidR="00320A1A" w:rsidRPr="00867CA7" w:rsidRDefault="00320A1A" w:rsidP="00320A1A">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La Sección de Conferencias de la OMPI trabaja en estrecha cooperación con el Servicio de Coordinación en materia de Seguridad y Vigilancia (SSCS</w:t>
      </w:r>
      <w:r w:rsidR="00C40A12">
        <w:rPr>
          <w:sz w:val="22"/>
          <w:szCs w:val="22"/>
          <w:lang w:val="es-ES"/>
        </w:rPr>
        <w:t>, de sus siglas en inglés</w:t>
      </w:r>
      <w:r w:rsidRPr="00867CA7">
        <w:rPr>
          <w:sz w:val="22"/>
          <w:szCs w:val="22"/>
          <w:lang w:val="es-ES"/>
        </w:rPr>
        <w:t xml:space="preserve">) durante las diversas reuniones, seminarios y conferencias que se celebran en la OMPI.  Mediante un programa de formación interdisciplinaria en el que tomaron parte el SSCS, el equipo externalizado de servicios de vigilancia (ARNDT) y el personal de la Sección de Conferencias se garantizó que los servicios de recepción y de entrega de pases se pusieran en funcionamiento y se administraran eficazmente desde el nuevo Centro de Acceso.  Parte de esa formación tenía que ver con </w:t>
      </w:r>
      <w:r w:rsidR="00E306EB" w:rsidRPr="00867CA7">
        <w:rPr>
          <w:sz w:val="22"/>
          <w:szCs w:val="22"/>
          <w:lang w:val="es-ES"/>
        </w:rPr>
        <w:t xml:space="preserve">la formación en </w:t>
      </w:r>
      <w:r w:rsidRPr="00867CA7">
        <w:rPr>
          <w:sz w:val="22"/>
          <w:szCs w:val="22"/>
          <w:lang w:val="es-ES"/>
        </w:rPr>
        <w:t xml:space="preserve">sistemas técnicos </w:t>
      </w:r>
      <w:r w:rsidR="00E306EB" w:rsidRPr="00867CA7">
        <w:rPr>
          <w:sz w:val="22"/>
          <w:szCs w:val="22"/>
          <w:lang w:val="es-ES"/>
        </w:rPr>
        <w:t xml:space="preserve">específicos para la producción de pases y la gestión del acceso.  Por motivos de seguridad e inscripción, el SSCS y el Servicio de Conferencias participan en una iniciativa destinada a agilizar </w:t>
      </w:r>
      <w:r w:rsidR="000772EF">
        <w:rPr>
          <w:sz w:val="22"/>
          <w:szCs w:val="22"/>
          <w:lang w:val="es-ES"/>
        </w:rPr>
        <w:t>e</w:t>
      </w:r>
      <w:r w:rsidR="00E306EB" w:rsidRPr="00867CA7">
        <w:rPr>
          <w:sz w:val="22"/>
          <w:szCs w:val="22"/>
          <w:lang w:val="es-ES"/>
        </w:rPr>
        <w:t>l procedimiento de inscripción en las conferencias</w:t>
      </w:r>
      <w:r w:rsidR="000772EF">
        <w:rPr>
          <w:sz w:val="22"/>
          <w:szCs w:val="22"/>
          <w:lang w:val="es-ES"/>
        </w:rPr>
        <w:t xml:space="preserve"> y el de fotografiar a los participantes durante la etapa preliminar de la inscripción</w:t>
      </w:r>
      <w:r w:rsidR="00E306EB" w:rsidRPr="00867CA7">
        <w:rPr>
          <w:sz w:val="22"/>
          <w:szCs w:val="22"/>
          <w:lang w:val="es-ES"/>
        </w:rPr>
        <w:t xml:space="preserve">.  </w:t>
      </w:r>
    </w:p>
    <w:p w:rsidR="009E186A" w:rsidRPr="00867CA7" w:rsidRDefault="009E186A" w:rsidP="009E186A">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 xml:space="preserve">A principios de 2015, la División de Supervisión Interna (DSI) de la OMPI realizó una auditoria interna del Servicio de Coordinación en materia de Seguridad y Vigilancia en la que se examinó el proyecto H-MOSS.  En el informe se reconocía que los retrasos en la ejecución del </w:t>
      </w:r>
      <w:r w:rsidRPr="00867CA7">
        <w:rPr>
          <w:sz w:val="22"/>
          <w:szCs w:val="22"/>
          <w:lang w:val="es-ES"/>
        </w:rPr>
        <w:lastRenderedPageBreak/>
        <w:t xml:space="preserve">proyecto H-MOSS tenían que ver directamente con la construcción de la nueva sala de conferencias de la OMPI.  Además, en el informe se recomendaba la necesidad de ejecutar un examen de las políticas y procedimientos existentes en materia de seguridad y vigilancia.  Asimismo, en la auditoría se subrayaban los aspectos </w:t>
      </w:r>
      <w:r w:rsidR="000772EF">
        <w:rPr>
          <w:sz w:val="22"/>
          <w:szCs w:val="22"/>
          <w:lang w:val="es-ES"/>
        </w:rPr>
        <w:t>positivos</w:t>
      </w:r>
      <w:r w:rsidRPr="00867CA7">
        <w:rPr>
          <w:sz w:val="22"/>
          <w:szCs w:val="22"/>
          <w:lang w:val="es-ES"/>
        </w:rPr>
        <w:t xml:space="preserve"> entre los que figuraba el completo aislamiento de la red de seguridad LAN </w:t>
      </w:r>
      <w:r w:rsidR="009C3CDF" w:rsidRPr="00867CA7">
        <w:rPr>
          <w:sz w:val="22"/>
          <w:szCs w:val="22"/>
          <w:lang w:val="es-ES"/>
        </w:rPr>
        <w:t>en relación con Internet y WIPO LAN, el mantenimiento punt</w:t>
      </w:r>
      <w:r w:rsidR="000772EF">
        <w:rPr>
          <w:sz w:val="22"/>
          <w:szCs w:val="22"/>
          <w:lang w:val="es-ES"/>
        </w:rPr>
        <w:t>ual de los equipos de seguridad, el mantenimiento de los registros de acceso, y la capacitación frecuente en materia de seguridad de los encargados de piso.</w:t>
      </w:r>
    </w:p>
    <w:p w:rsidR="00780802" w:rsidRPr="00867CA7" w:rsidRDefault="009654EF" w:rsidP="00780802">
      <w:pPr>
        <w:widowControl w:val="0"/>
        <w:spacing w:line="276" w:lineRule="auto"/>
        <w:rPr>
          <w:rFonts w:eastAsiaTheme="minorHAnsi"/>
          <w:b/>
          <w:szCs w:val="22"/>
          <w:lang w:eastAsia="en-US"/>
        </w:rPr>
      </w:pPr>
      <w:r w:rsidRPr="00867CA7">
        <w:rPr>
          <w:rFonts w:eastAsiaTheme="minorHAnsi"/>
          <w:b/>
          <w:szCs w:val="22"/>
          <w:lang w:eastAsia="en-US"/>
        </w:rPr>
        <w:t xml:space="preserve">GASTOS DEL PROYECTO </w:t>
      </w:r>
      <w:r w:rsidR="00867CA7">
        <w:rPr>
          <w:rFonts w:eastAsiaTheme="minorHAnsi"/>
          <w:b/>
          <w:szCs w:val="22"/>
          <w:lang w:eastAsia="en-US"/>
        </w:rPr>
        <w:t>H-MOSS</w:t>
      </w:r>
    </w:p>
    <w:p w:rsidR="00780802" w:rsidRPr="00867CA7" w:rsidRDefault="00780802" w:rsidP="00780802">
      <w:pPr>
        <w:widowControl w:val="0"/>
        <w:spacing w:line="276" w:lineRule="auto"/>
        <w:rPr>
          <w:rFonts w:eastAsiaTheme="minorHAnsi"/>
          <w:szCs w:val="22"/>
          <w:lang w:eastAsia="en-US"/>
        </w:rPr>
      </w:pPr>
    </w:p>
    <w:p w:rsidR="00F967EE" w:rsidRPr="00867CA7" w:rsidRDefault="009704A6" w:rsidP="00780802">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 xml:space="preserve">A </w:t>
      </w:r>
      <w:r w:rsidR="00F967EE" w:rsidRPr="00867CA7">
        <w:rPr>
          <w:sz w:val="22"/>
          <w:szCs w:val="22"/>
          <w:lang w:val="es-ES"/>
        </w:rPr>
        <w:t xml:space="preserve">medida que el Proyecto H-MOSS se acerca a su fin (septiembre de 2015) es importante </w:t>
      </w:r>
      <w:r w:rsidR="000772EF">
        <w:rPr>
          <w:sz w:val="22"/>
          <w:szCs w:val="22"/>
          <w:lang w:val="es-ES"/>
        </w:rPr>
        <w:t>destacar y reconocer</w:t>
      </w:r>
      <w:r w:rsidR="00F967EE" w:rsidRPr="00867CA7">
        <w:rPr>
          <w:sz w:val="22"/>
          <w:szCs w:val="22"/>
          <w:lang w:val="es-ES"/>
        </w:rPr>
        <w:t xml:space="preserve"> la colaboració</w:t>
      </w:r>
      <w:r w:rsidRPr="00867CA7">
        <w:rPr>
          <w:sz w:val="22"/>
          <w:szCs w:val="22"/>
          <w:lang w:val="es-ES"/>
        </w:rPr>
        <w:t>n</w:t>
      </w:r>
      <w:r w:rsidR="000772EF">
        <w:rPr>
          <w:sz w:val="22"/>
          <w:szCs w:val="22"/>
          <w:lang w:val="es-ES"/>
        </w:rPr>
        <w:t xml:space="preserve"> satisfactoria</w:t>
      </w:r>
      <w:r w:rsidRPr="00867CA7">
        <w:rPr>
          <w:sz w:val="22"/>
          <w:szCs w:val="22"/>
          <w:lang w:val="es-ES"/>
        </w:rPr>
        <w:t xml:space="preserve"> que ha tenido lugar entre la O</w:t>
      </w:r>
      <w:r w:rsidR="00F967EE" w:rsidRPr="00867CA7">
        <w:rPr>
          <w:sz w:val="22"/>
          <w:szCs w:val="22"/>
          <w:lang w:val="es-ES"/>
        </w:rPr>
        <w:t xml:space="preserve">MPI y el país anfitrión por medio de la </w:t>
      </w:r>
      <w:r w:rsidR="00780802" w:rsidRPr="00867CA7">
        <w:rPr>
          <w:i/>
          <w:sz w:val="22"/>
          <w:szCs w:val="22"/>
          <w:lang w:val="es-ES"/>
        </w:rPr>
        <w:t>“Fondation pour les Immeubles des Organisations Internationales</w:t>
      </w:r>
      <w:r w:rsidR="00780802" w:rsidRPr="00867CA7">
        <w:rPr>
          <w:sz w:val="22"/>
          <w:szCs w:val="22"/>
          <w:lang w:val="es-ES"/>
        </w:rPr>
        <w:t xml:space="preserve">” (FIPOI) </w:t>
      </w:r>
      <w:r w:rsidR="00F967EE" w:rsidRPr="00867CA7">
        <w:rPr>
          <w:sz w:val="22"/>
          <w:szCs w:val="22"/>
          <w:lang w:val="es-ES"/>
        </w:rPr>
        <w:t>desde</w:t>
      </w:r>
      <w:r w:rsidR="00780802" w:rsidRPr="00867CA7">
        <w:rPr>
          <w:sz w:val="22"/>
          <w:szCs w:val="22"/>
          <w:lang w:val="es-ES"/>
        </w:rPr>
        <w:t xml:space="preserve"> 2009, </w:t>
      </w:r>
      <w:r w:rsidR="00F967EE" w:rsidRPr="00867CA7">
        <w:rPr>
          <w:sz w:val="22"/>
          <w:szCs w:val="22"/>
          <w:lang w:val="es-ES"/>
        </w:rPr>
        <w:t xml:space="preserve">que ha dado lugar a mejoras espectaculares en la seguridad física y la vigilancia en la OMPI, ha fomentado las capacidades de gestión de riesgos y </w:t>
      </w:r>
      <w:r w:rsidR="001B60D2" w:rsidRPr="00867CA7">
        <w:rPr>
          <w:sz w:val="22"/>
          <w:szCs w:val="22"/>
          <w:lang w:val="es-ES"/>
        </w:rPr>
        <w:t xml:space="preserve">ha creado </w:t>
      </w:r>
      <w:r w:rsidR="00F967EE" w:rsidRPr="00867CA7">
        <w:rPr>
          <w:sz w:val="22"/>
          <w:szCs w:val="22"/>
          <w:lang w:val="es-ES"/>
        </w:rPr>
        <w:t>un entorno más seguro y protegido para el personal y los visitantes de la OMPI.</w:t>
      </w:r>
    </w:p>
    <w:p w:rsidR="00780802" w:rsidRPr="00867CA7" w:rsidRDefault="00F967EE" w:rsidP="00F967EE">
      <w:pPr>
        <w:pStyle w:val="Default"/>
        <w:widowControl w:val="0"/>
        <w:numPr>
          <w:ilvl w:val="0"/>
          <w:numId w:val="7"/>
        </w:numPr>
        <w:tabs>
          <w:tab w:val="left" w:pos="567"/>
        </w:tabs>
        <w:spacing w:after="151"/>
        <w:ind w:left="0" w:firstLine="0"/>
        <w:rPr>
          <w:sz w:val="22"/>
          <w:szCs w:val="22"/>
          <w:lang w:val="es-ES"/>
        </w:rPr>
      </w:pPr>
      <w:r w:rsidRPr="00867CA7">
        <w:rPr>
          <w:sz w:val="22"/>
          <w:szCs w:val="22"/>
          <w:lang w:val="es-ES"/>
        </w:rPr>
        <w:t xml:space="preserve">Cabe recordar que el compromiso financiero de la FIPOI respecto del proyecto H-MOSS era de 5 millones de francos suizos y se ocupaba de varias medidas de seguridad externa, mientras que el presupuesto de la OMPI, contabilizado con cargo a sus fondos de reserva, ascendía a 7,6 millones de francos suizos y se ocupaba de las medidas de seguridad y vigilancia internas (documento </w:t>
      </w:r>
      <w:r w:rsidR="009654EF" w:rsidRPr="00867CA7">
        <w:rPr>
          <w:sz w:val="22"/>
          <w:szCs w:val="22"/>
          <w:lang w:val="es-ES"/>
        </w:rPr>
        <w:t>A/46/10 Rev.).</w:t>
      </w:r>
      <w:r w:rsidRPr="00867CA7">
        <w:rPr>
          <w:sz w:val="22"/>
          <w:szCs w:val="22"/>
          <w:lang w:val="es-ES"/>
        </w:rPr>
        <w:t xml:space="preserve"> </w:t>
      </w:r>
    </w:p>
    <w:p w:rsidR="00780802" w:rsidRPr="00867CA7" w:rsidRDefault="003320F5" w:rsidP="00780802">
      <w:pPr>
        <w:pStyle w:val="ONUME"/>
        <w:widowControl w:val="0"/>
        <w:numPr>
          <w:ilvl w:val="0"/>
          <w:numId w:val="7"/>
        </w:numPr>
        <w:tabs>
          <w:tab w:val="left" w:pos="567"/>
        </w:tabs>
        <w:spacing w:after="0"/>
        <w:ind w:left="0" w:firstLine="0"/>
        <w:rPr>
          <w:szCs w:val="22"/>
        </w:rPr>
      </w:pPr>
      <w:r w:rsidRPr="00867CA7">
        <w:rPr>
          <w:bCs/>
          <w:szCs w:val="22"/>
        </w:rPr>
        <w:t xml:space="preserve">A lo largo de este proyecto, la OMPI ha priorizado y coordinado las intervenciones y expectativas de varios sectores interesados para velar por que se lleve a buen término.  Desde el inicio hasta la finalización, la dependencia de otros proyectos importantes, como el proyecto de construcción del nuevo edificio y la sala de conferencias de la OMPI, crearon desafíos singulares e hicieron más compleja la gestión de este proyecto a largo plazo.  En consecuencia,  los resultados previstos se satisfarán sin sobrepasar lo presupuestado una vez que se termine de ejecutar el proyecto en septiembre de 2015. </w:t>
      </w:r>
    </w:p>
    <w:p w:rsidR="00780802" w:rsidRPr="00867CA7" w:rsidRDefault="00780802" w:rsidP="00894B98">
      <w:pPr>
        <w:pStyle w:val="ONUME"/>
        <w:widowControl w:val="0"/>
        <w:numPr>
          <w:ilvl w:val="0"/>
          <w:numId w:val="0"/>
        </w:numPr>
        <w:spacing w:after="0"/>
        <w:rPr>
          <w:szCs w:val="22"/>
        </w:rPr>
      </w:pPr>
    </w:p>
    <w:p w:rsidR="00BD2E0F" w:rsidRPr="00867CA7" w:rsidRDefault="00780802" w:rsidP="00BD2E0F">
      <w:pPr>
        <w:pStyle w:val="ONUME"/>
        <w:widowControl w:val="0"/>
        <w:numPr>
          <w:ilvl w:val="0"/>
          <w:numId w:val="7"/>
        </w:numPr>
        <w:tabs>
          <w:tab w:val="left" w:pos="567"/>
        </w:tabs>
        <w:spacing w:after="151"/>
        <w:ind w:left="0" w:firstLine="0"/>
        <w:rPr>
          <w:szCs w:val="22"/>
        </w:rPr>
      </w:pPr>
      <w:r w:rsidRPr="00867CA7">
        <w:rPr>
          <w:szCs w:val="22"/>
        </w:rPr>
        <w:t>A</w:t>
      </w:r>
      <w:r w:rsidR="00BD2E0F" w:rsidRPr="00867CA7">
        <w:rPr>
          <w:szCs w:val="22"/>
        </w:rPr>
        <w:t>l 30 de junio</w:t>
      </w:r>
      <w:r w:rsidRPr="00867CA7">
        <w:rPr>
          <w:szCs w:val="22"/>
        </w:rPr>
        <w:t xml:space="preserve"> 2015, </w:t>
      </w:r>
      <w:r w:rsidR="00BD2E0F" w:rsidRPr="00867CA7">
        <w:rPr>
          <w:szCs w:val="22"/>
        </w:rPr>
        <w:t xml:space="preserve">de los fondos del proyecto se ha gastado ya o se ha comprometido un importe de </w:t>
      </w:r>
      <w:r w:rsidRPr="00867CA7">
        <w:rPr>
          <w:szCs w:val="22"/>
        </w:rPr>
        <w:t>12</w:t>
      </w:r>
      <w:r w:rsidR="00BD2E0F" w:rsidRPr="00867CA7">
        <w:rPr>
          <w:szCs w:val="22"/>
        </w:rPr>
        <w:t>.</w:t>
      </w:r>
      <w:r w:rsidRPr="00867CA7">
        <w:rPr>
          <w:szCs w:val="22"/>
        </w:rPr>
        <w:t>547</w:t>
      </w:r>
      <w:r w:rsidR="00BD2E0F" w:rsidRPr="00867CA7">
        <w:rPr>
          <w:szCs w:val="22"/>
        </w:rPr>
        <w:t>.944,</w:t>
      </w:r>
      <w:r w:rsidRPr="00867CA7">
        <w:rPr>
          <w:szCs w:val="22"/>
        </w:rPr>
        <w:t xml:space="preserve">21 </w:t>
      </w:r>
      <w:r w:rsidR="00BD2E0F" w:rsidRPr="00867CA7">
        <w:rPr>
          <w:szCs w:val="22"/>
        </w:rPr>
        <w:t>francos suizos</w:t>
      </w:r>
      <w:r w:rsidRPr="00867CA7">
        <w:rPr>
          <w:szCs w:val="22"/>
        </w:rPr>
        <w:t xml:space="preserve">.  </w:t>
      </w:r>
      <w:r w:rsidR="00BD2E0F" w:rsidRPr="00867CA7">
        <w:rPr>
          <w:szCs w:val="22"/>
        </w:rPr>
        <w:t xml:space="preserve">A reserva de la conciliación </w:t>
      </w:r>
      <w:r w:rsidR="0034356D" w:rsidRPr="00867CA7">
        <w:rPr>
          <w:szCs w:val="22"/>
        </w:rPr>
        <w:t xml:space="preserve">financiera </w:t>
      </w:r>
      <w:r w:rsidR="00BD2E0F" w:rsidRPr="00867CA7">
        <w:rPr>
          <w:szCs w:val="22"/>
        </w:rPr>
        <w:t xml:space="preserve">final, está previsto </w:t>
      </w:r>
      <w:r w:rsidR="0034356D" w:rsidRPr="00867CA7">
        <w:rPr>
          <w:szCs w:val="22"/>
        </w:rPr>
        <w:t xml:space="preserve">que se devuelva a las reservas </w:t>
      </w:r>
      <w:r w:rsidR="00BD2E0F" w:rsidRPr="00867CA7">
        <w:rPr>
          <w:szCs w:val="22"/>
        </w:rPr>
        <w:t xml:space="preserve">un saldo </w:t>
      </w:r>
      <w:r w:rsidR="0034356D" w:rsidRPr="00867CA7">
        <w:rPr>
          <w:szCs w:val="22"/>
        </w:rPr>
        <w:t xml:space="preserve">no gastado en el proyecto </w:t>
      </w:r>
      <w:r w:rsidR="00BD2E0F" w:rsidRPr="00867CA7">
        <w:rPr>
          <w:szCs w:val="22"/>
        </w:rPr>
        <w:t>de aproximadamente 4.000,00 francos suizos.  Cabe remitirse al cuadro que figura a continuación.</w:t>
      </w:r>
    </w:p>
    <w:p w:rsidR="00BD2E0F" w:rsidRPr="00867CA7" w:rsidRDefault="00BD2E0F" w:rsidP="00BD2E0F">
      <w:pPr>
        <w:pStyle w:val="ONUME"/>
        <w:widowControl w:val="0"/>
        <w:numPr>
          <w:ilvl w:val="0"/>
          <w:numId w:val="0"/>
        </w:numPr>
        <w:tabs>
          <w:tab w:val="left" w:pos="567"/>
        </w:tabs>
        <w:spacing w:after="151"/>
        <w:rPr>
          <w:szCs w:val="22"/>
        </w:rPr>
      </w:pPr>
    </w:p>
    <w:tbl>
      <w:tblPr>
        <w:tblStyle w:val="TableGrid"/>
        <w:tblW w:w="8484" w:type="dxa"/>
        <w:tblInd w:w="534" w:type="dxa"/>
        <w:tblLook w:val="04A0" w:firstRow="1" w:lastRow="0" w:firstColumn="1" w:lastColumn="0" w:noHBand="0" w:noVBand="1"/>
      </w:tblPr>
      <w:tblGrid>
        <w:gridCol w:w="4536"/>
        <w:gridCol w:w="3948"/>
      </w:tblGrid>
      <w:tr w:rsidR="00780802" w:rsidRPr="00867CA7" w:rsidTr="00CF7348">
        <w:trPr>
          <w:gridBefore w:val="1"/>
          <w:wBefore w:w="4536" w:type="dxa"/>
          <w:trHeight w:val="419"/>
        </w:trPr>
        <w:tc>
          <w:tcPr>
            <w:tcW w:w="3948" w:type="dxa"/>
          </w:tcPr>
          <w:p w:rsidR="00780802" w:rsidRPr="00867CA7" w:rsidRDefault="00894B98" w:rsidP="00780802">
            <w:pPr>
              <w:widowControl w:val="0"/>
              <w:spacing w:line="276" w:lineRule="auto"/>
              <w:contextualSpacing/>
              <w:jc w:val="center"/>
              <w:rPr>
                <w:rFonts w:eastAsiaTheme="minorHAnsi"/>
                <w:b/>
              </w:rPr>
            </w:pPr>
            <w:r w:rsidRPr="00867CA7">
              <w:rPr>
                <w:rFonts w:eastAsiaTheme="minorHAnsi"/>
                <w:b/>
              </w:rPr>
              <w:t>Importe en francos suizos</w:t>
            </w:r>
          </w:p>
        </w:tc>
      </w:tr>
      <w:tr w:rsidR="00780802" w:rsidRPr="00867CA7" w:rsidTr="00CF7348">
        <w:tc>
          <w:tcPr>
            <w:tcW w:w="4536" w:type="dxa"/>
          </w:tcPr>
          <w:p w:rsidR="00780802" w:rsidRPr="00867CA7" w:rsidRDefault="00894B98" w:rsidP="00780802">
            <w:pPr>
              <w:widowControl w:val="0"/>
              <w:spacing w:line="276" w:lineRule="auto"/>
              <w:ind w:left="33" w:right="34"/>
              <w:contextualSpacing/>
              <w:rPr>
                <w:rFonts w:eastAsiaTheme="minorHAnsi"/>
                <w:b/>
              </w:rPr>
            </w:pPr>
            <w:r w:rsidRPr="00867CA7">
              <w:rPr>
                <w:rFonts w:eastAsiaTheme="minorHAnsi"/>
                <w:b/>
              </w:rPr>
              <w:t>Presupuesto aprobado por los Estados miembros en diciembre de 2008</w:t>
            </w:r>
          </w:p>
        </w:tc>
        <w:tc>
          <w:tcPr>
            <w:tcW w:w="3948" w:type="dxa"/>
          </w:tcPr>
          <w:p w:rsidR="00780802" w:rsidRPr="00867CA7" w:rsidRDefault="00780802" w:rsidP="00BC0BC2">
            <w:pPr>
              <w:widowControl w:val="0"/>
              <w:spacing w:line="276" w:lineRule="auto"/>
              <w:ind w:left="720"/>
              <w:contextualSpacing/>
              <w:jc w:val="right"/>
              <w:rPr>
                <w:rFonts w:eastAsiaTheme="minorHAnsi"/>
                <w:b/>
              </w:rPr>
            </w:pPr>
            <w:r w:rsidRPr="00867CA7">
              <w:rPr>
                <w:rFonts w:eastAsiaTheme="minorHAnsi"/>
                <w:b/>
              </w:rPr>
              <w:t>7</w:t>
            </w:r>
            <w:r w:rsidR="00BC0BC2" w:rsidRPr="00867CA7">
              <w:rPr>
                <w:rFonts w:eastAsiaTheme="minorHAnsi"/>
                <w:b/>
              </w:rPr>
              <w:t>.</w:t>
            </w:r>
            <w:r w:rsidRPr="00867CA7">
              <w:rPr>
                <w:rFonts w:eastAsiaTheme="minorHAnsi"/>
                <w:b/>
              </w:rPr>
              <w:t>600</w:t>
            </w:r>
            <w:r w:rsidR="00BC0BC2" w:rsidRPr="00867CA7">
              <w:rPr>
                <w:rFonts w:eastAsiaTheme="minorHAnsi"/>
                <w:b/>
              </w:rPr>
              <w:t>.</w:t>
            </w:r>
            <w:r w:rsidRPr="00867CA7">
              <w:rPr>
                <w:rFonts w:eastAsiaTheme="minorHAnsi"/>
                <w:b/>
              </w:rPr>
              <w:t>000</w:t>
            </w:r>
          </w:p>
        </w:tc>
      </w:tr>
      <w:tr w:rsidR="00780802" w:rsidRPr="00867CA7" w:rsidTr="00CF7348">
        <w:tc>
          <w:tcPr>
            <w:tcW w:w="4536" w:type="dxa"/>
          </w:tcPr>
          <w:p w:rsidR="00780802" w:rsidRPr="00867CA7" w:rsidRDefault="00894B98" w:rsidP="00780802">
            <w:pPr>
              <w:widowControl w:val="0"/>
              <w:spacing w:line="276" w:lineRule="auto"/>
              <w:ind w:left="33" w:right="34"/>
              <w:contextualSpacing/>
              <w:rPr>
                <w:rFonts w:eastAsiaTheme="minorHAnsi"/>
                <w:b/>
              </w:rPr>
            </w:pPr>
            <w:r w:rsidRPr="00867CA7">
              <w:rPr>
                <w:rFonts w:eastAsiaTheme="minorHAnsi"/>
                <w:b/>
              </w:rPr>
              <w:t>Participación del país anfitrión</w:t>
            </w:r>
          </w:p>
        </w:tc>
        <w:tc>
          <w:tcPr>
            <w:tcW w:w="3948" w:type="dxa"/>
          </w:tcPr>
          <w:p w:rsidR="00780802" w:rsidRPr="00867CA7" w:rsidRDefault="00BC0BC2" w:rsidP="00780802">
            <w:pPr>
              <w:widowControl w:val="0"/>
              <w:spacing w:line="276" w:lineRule="auto"/>
              <w:ind w:left="720"/>
              <w:contextualSpacing/>
              <w:jc w:val="right"/>
              <w:rPr>
                <w:rFonts w:eastAsiaTheme="minorHAnsi"/>
                <w:b/>
              </w:rPr>
            </w:pPr>
            <w:r w:rsidRPr="00867CA7">
              <w:rPr>
                <w:rFonts w:eastAsiaTheme="minorHAnsi"/>
                <w:b/>
              </w:rPr>
              <w:t>5.</w:t>
            </w:r>
            <w:r w:rsidR="00780802" w:rsidRPr="00867CA7">
              <w:rPr>
                <w:rFonts w:eastAsiaTheme="minorHAnsi"/>
                <w:b/>
              </w:rPr>
              <w:t>00</w:t>
            </w:r>
            <w:r w:rsidRPr="00867CA7">
              <w:rPr>
                <w:rFonts w:eastAsiaTheme="minorHAnsi"/>
                <w:b/>
              </w:rPr>
              <w:t>0.</w:t>
            </w:r>
            <w:r w:rsidR="00780802" w:rsidRPr="00867CA7">
              <w:rPr>
                <w:rFonts w:eastAsiaTheme="minorHAnsi"/>
                <w:b/>
              </w:rPr>
              <w:t>000</w:t>
            </w:r>
          </w:p>
        </w:tc>
      </w:tr>
      <w:tr w:rsidR="00780802" w:rsidRPr="00867CA7" w:rsidTr="00CF7348">
        <w:tc>
          <w:tcPr>
            <w:tcW w:w="4536" w:type="dxa"/>
          </w:tcPr>
          <w:p w:rsidR="00780802" w:rsidRPr="00867CA7" w:rsidRDefault="00894B98" w:rsidP="00780802">
            <w:pPr>
              <w:widowControl w:val="0"/>
              <w:spacing w:line="276" w:lineRule="auto"/>
              <w:ind w:left="33" w:right="34"/>
              <w:contextualSpacing/>
              <w:rPr>
                <w:rFonts w:eastAsiaTheme="minorHAnsi"/>
                <w:b/>
              </w:rPr>
            </w:pPr>
            <w:r w:rsidRPr="00867CA7">
              <w:rPr>
                <w:rFonts w:eastAsiaTheme="minorHAnsi"/>
                <w:b/>
              </w:rPr>
              <w:t>Presupuesto total</w:t>
            </w:r>
          </w:p>
        </w:tc>
        <w:tc>
          <w:tcPr>
            <w:tcW w:w="3948" w:type="dxa"/>
          </w:tcPr>
          <w:p w:rsidR="00780802" w:rsidRPr="00867CA7" w:rsidRDefault="00BC0BC2" w:rsidP="00780802">
            <w:pPr>
              <w:widowControl w:val="0"/>
              <w:spacing w:line="276" w:lineRule="auto"/>
              <w:ind w:left="720"/>
              <w:contextualSpacing/>
              <w:jc w:val="right"/>
              <w:rPr>
                <w:rFonts w:eastAsiaTheme="minorHAnsi"/>
                <w:b/>
              </w:rPr>
            </w:pPr>
            <w:r w:rsidRPr="00867CA7">
              <w:rPr>
                <w:rFonts w:eastAsiaTheme="minorHAnsi"/>
                <w:b/>
              </w:rPr>
              <w:t>12.600.</w:t>
            </w:r>
            <w:r w:rsidR="00780802" w:rsidRPr="00867CA7">
              <w:rPr>
                <w:rFonts w:eastAsiaTheme="minorHAnsi"/>
                <w:b/>
              </w:rPr>
              <w:t>000</w:t>
            </w:r>
          </w:p>
        </w:tc>
      </w:tr>
    </w:tbl>
    <w:p w:rsidR="00780802" w:rsidRPr="00867CA7" w:rsidRDefault="00780802" w:rsidP="00780802">
      <w:pPr>
        <w:widowControl w:val="0"/>
        <w:spacing w:line="276" w:lineRule="auto"/>
        <w:rPr>
          <w:rFonts w:eastAsiaTheme="minorHAnsi"/>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780802" w:rsidRPr="00867CA7" w:rsidTr="00CF7348">
        <w:tc>
          <w:tcPr>
            <w:tcW w:w="4536" w:type="dxa"/>
          </w:tcPr>
          <w:p w:rsidR="00780802" w:rsidRPr="00867CA7" w:rsidRDefault="00067340" w:rsidP="00067340">
            <w:pPr>
              <w:widowControl w:val="0"/>
              <w:spacing w:line="276" w:lineRule="auto"/>
              <w:ind w:left="33" w:right="34"/>
              <w:contextualSpacing/>
              <w:rPr>
                <w:rFonts w:eastAsiaTheme="minorHAnsi"/>
                <w:b/>
              </w:rPr>
            </w:pPr>
            <w:r w:rsidRPr="00867CA7">
              <w:rPr>
                <w:rFonts w:eastAsiaTheme="minorHAnsi"/>
                <w:b/>
              </w:rPr>
              <w:t>Compromisos financieros</w:t>
            </w:r>
            <w:r w:rsidR="00780802" w:rsidRPr="00867CA7">
              <w:rPr>
                <w:rStyle w:val="FootnoteReference"/>
              </w:rPr>
              <w:footnoteReference w:id="2"/>
            </w:r>
          </w:p>
        </w:tc>
        <w:tc>
          <w:tcPr>
            <w:tcW w:w="3948" w:type="dxa"/>
          </w:tcPr>
          <w:p w:rsidR="00780802" w:rsidRPr="00867CA7" w:rsidRDefault="00894B98" w:rsidP="00780802">
            <w:pPr>
              <w:widowControl w:val="0"/>
              <w:spacing w:line="276" w:lineRule="auto"/>
              <w:ind w:left="11"/>
              <w:contextualSpacing/>
              <w:jc w:val="center"/>
              <w:rPr>
                <w:rFonts w:eastAsiaTheme="minorHAnsi"/>
                <w:b/>
              </w:rPr>
            </w:pPr>
            <w:r w:rsidRPr="00867CA7">
              <w:rPr>
                <w:rFonts w:eastAsiaTheme="minorHAnsi"/>
                <w:b/>
              </w:rPr>
              <w:t>Importe en francos suizos</w:t>
            </w:r>
          </w:p>
        </w:tc>
      </w:tr>
      <w:tr w:rsidR="00780802" w:rsidRPr="00867CA7" w:rsidTr="00CF7348">
        <w:tc>
          <w:tcPr>
            <w:tcW w:w="4536" w:type="dxa"/>
          </w:tcPr>
          <w:p w:rsidR="00780802" w:rsidRPr="00867CA7" w:rsidRDefault="00894B98" w:rsidP="00780802">
            <w:pPr>
              <w:widowControl w:val="0"/>
              <w:spacing w:line="276" w:lineRule="auto"/>
              <w:ind w:left="33" w:right="34"/>
              <w:contextualSpacing/>
              <w:rPr>
                <w:rFonts w:eastAsiaTheme="minorHAnsi"/>
              </w:rPr>
            </w:pPr>
            <w:r w:rsidRPr="00867CA7">
              <w:rPr>
                <w:rFonts w:eastAsiaTheme="minorHAnsi"/>
              </w:rPr>
              <w:t>Importe comprometido por la OMPI</w:t>
            </w:r>
          </w:p>
        </w:tc>
        <w:tc>
          <w:tcPr>
            <w:tcW w:w="3948" w:type="dxa"/>
          </w:tcPr>
          <w:p w:rsidR="00780802" w:rsidRPr="00867CA7" w:rsidRDefault="00BC0BC2" w:rsidP="00780802">
            <w:pPr>
              <w:widowControl w:val="0"/>
              <w:spacing w:line="276" w:lineRule="auto"/>
              <w:ind w:left="720"/>
              <w:contextualSpacing/>
              <w:jc w:val="right"/>
              <w:rPr>
                <w:rFonts w:eastAsiaTheme="minorHAnsi"/>
                <w:b/>
              </w:rPr>
            </w:pPr>
            <w:r w:rsidRPr="00867CA7">
              <w:rPr>
                <w:rFonts w:eastAsiaTheme="minorHAnsi"/>
                <w:b/>
              </w:rPr>
              <w:t>7.547.</w:t>
            </w:r>
            <w:r w:rsidR="00780802" w:rsidRPr="00867CA7">
              <w:rPr>
                <w:rFonts w:eastAsiaTheme="minorHAnsi"/>
                <w:b/>
              </w:rPr>
              <w:t>944.21</w:t>
            </w:r>
          </w:p>
        </w:tc>
      </w:tr>
      <w:tr w:rsidR="00780802" w:rsidRPr="00867CA7" w:rsidTr="00CF7348">
        <w:tc>
          <w:tcPr>
            <w:tcW w:w="4536" w:type="dxa"/>
          </w:tcPr>
          <w:p w:rsidR="00780802" w:rsidRPr="00867CA7" w:rsidRDefault="00894B98" w:rsidP="00780802">
            <w:pPr>
              <w:widowControl w:val="0"/>
              <w:spacing w:line="276" w:lineRule="auto"/>
              <w:ind w:left="33" w:right="34"/>
              <w:contextualSpacing/>
              <w:rPr>
                <w:rFonts w:eastAsiaTheme="minorHAnsi"/>
              </w:rPr>
            </w:pPr>
            <w:r w:rsidRPr="00867CA7">
              <w:rPr>
                <w:rFonts w:eastAsiaTheme="minorHAnsi"/>
              </w:rPr>
              <w:t>Importe comprometido por el Estado anfitrión</w:t>
            </w:r>
          </w:p>
        </w:tc>
        <w:tc>
          <w:tcPr>
            <w:tcW w:w="3948" w:type="dxa"/>
          </w:tcPr>
          <w:p w:rsidR="00780802" w:rsidRPr="00867CA7" w:rsidRDefault="00BC0BC2" w:rsidP="00780802">
            <w:pPr>
              <w:widowControl w:val="0"/>
              <w:spacing w:line="276" w:lineRule="auto"/>
              <w:ind w:left="720"/>
              <w:contextualSpacing/>
              <w:jc w:val="right"/>
              <w:rPr>
                <w:rFonts w:eastAsiaTheme="minorHAnsi"/>
                <w:b/>
              </w:rPr>
            </w:pPr>
            <w:r w:rsidRPr="00867CA7">
              <w:rPr>
                <w:rFonts w:eastAsiaTheme="minorHAnsi"/>
                <w:b/>
              </w:rPr>
              <w:t>5.000.</w:t>
            </w:r>
            <w:r w:rsidR="00780802" w:rsidRPr="00867CA7">
              <w:rPr>
                <w:rFonts w:eastAsiaTheme="minorHAnsi"/>
                <w:b/>
              </w:rPr>
              <w:t>000</w:t>
            </w:r>
          </w:p>
        </w:tc>
      </w:tr>
      <w:tr w:rsidR="00780802" w:rsidRPr="00867CA7" w:rsidTr="00CF7348">
        <w:tc>
          <w:tcPr>
            <w:tcW w:w="4536" w:type="dxa"/>
          </w:tcPr>
          <w:p w:rsidR="00780802" w:rsidRPr="00867CA7" w:rsidRDefault="00894B98" w:rsidP="00780802">
            <w:pPr>
              <w:widowControl w:val="0"/>
              <w:spacing w:line="276" w:lineRule="auto"/>
              <w:ind w:left="33" w:right="34"/>
              <w:contextualSpacing/>
              <w:rPr>
                <w:rFonts w:eastAsiaTheme="minorHAnsi"/>
              </w:rPr>
            </w:pPr>
            <w:r w:rsidRPr="00867CA7">
              <w:rPr>
                <w:rFonts w:eastAsiaTheme="minorHAnsi"/>
              </w:rPr>
              <w:t>Importe total comprometido</w:t>
            </w:r>
          </w:p>
        </w:tc>
        <w:tc>
          <w:tcPr>
            <w:tcW w:w="3948" w:type="dxa"/>
          </w:tcPr>
          <w:p w:rsidR="00780802" w:rsidRPr="00867CA7" w:rsidRDefault="00BC0BC2" w:rsidP="00780802">
            <w:pPr>
              <w:widowControl w:val="0"/>
              <w:spacing w:line="276" w:lineRule="auto"/>
              <w:ind w:left="720"/>
              <w:contextualSpacing/>
              <w:jc w:val="right"/>
              <w:rPr>
                <w:rFonts w:eastAsiaTheme="minorHAnsi"/>
                <w:b/>
              </w:rPr>
            </w:pPr>
            <w:r w:rsidRPr="00867CA7">
              <w:rPr>
                <w:rFonts w:eastAsiaTheme="minorHAnsi"/>
                <w:b/>
              </w:rPr>
              <w:t>12.547.944,</w:t>
            </w:r>
            <w:r w:rsidR="00780802" w:rsidRPr="00867CA7">
              <w:rPr>
                <w:rFonts w:eastAsiaTheme="minorHAnsi"/>
                <w:b/>
              </w:rPr>
              <w:t>21</w:t>
            </w:r>
          </w:p>
        </w:tc>
      </w:tr>
    </w:tbl>
    <w:p w:rsidR="00780802" w:rsidRPr="00867CA7" w:rsidRDefault="00780802" w:rsidP="00780802">
      <w:pPr>
        <w:widowControl w:val="0"/>
        <w:spacing w:line="276" w:lineRule="auto"/>
        <w:jc w:val="right"/>
        <w:rPr>
          <w:rFonts w:eastAsiaTheme="minorHAnsi"/>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780802" w:rsidRPr="00867CA7" w:rsidTr="00CF7348">
        <w:tc>
          <w:tcPr>
            <w:tcW w:w="4536" w:type="dxa"/>
          </w:tcPr>
          <w:p w:rsidR="00780802" w:rsidRPr="00867CA7" w:rsidRDefault="00894B98" w:rsidP="00780802">
            <w:pPr>
              <w:widowControl w:val="0"/>
              <w:spacing w:line="276" w:lineRule="auto"/>
              <w:ind w:left="33" w:right="34"/>
              <w:contextualSpacing/>
              <w:rPr>
                <w:rFonts w:eastAsiaTheme="minorHAnsi"/>
                <w:b/>
              </w:rPr>
            </w:pPr>
            <w:r w:rsidRPr="00867CA7">
              <w:rPr>
                <w:rFonts w:eastAsiaTheme="minorHAnsi"/>
                <w:b/>
              </w:rPr>
              <w:t>Saldo de los compromisos</w:t>
            </w:r>
          </w:p>
        </w:tc>
        <w:tc>
          <w:tcPr>
            <w:tcW w:w="3948" w:type="dxa"/>
          </w:tcPr>
          <w:p w:rsidR="00780802" w:rsidRPr="00867CA7" w:rsidRDefault="00894B98" w:rsidP="00780802">
            <w:pPr>
              <w:widowControl w:val="0"/>
              <w:spacing w:line="276" w:lineRule="auto"/>
              <w:ind w:left="33"/>
              <w:contextualSpacing/>
              <w:jc w:val="center"/>
              <w:rPr>
                <w:rFonts w:eastAsiaTheme="minorHAnsi"/>
                <w:b/>
              </w:rPr>
            </w:pPr>
            <w:r w:rsidRPr="00867CA7">
              <w:rPr>
                <w:rFonts w:eastAsiaTheme="minorHAnsi"/>
                <w:b/>
              </w:rPr>
              <w:t>Importe en francos suizos</w:t>
            </w:r>
          </w:p>
        </w:tc>
      </w:tr>
      <w:tr w:rsidR="00780802" w:rsidRPr="00867CA7" w:rsidTr="00CF7348">
        <w:tc>
          <w:tcPr>
            <w:tcW w:w="4536" w:type="dxa"/>
          </w:tcPr>
          <w:p w:rsidR="00780802" w:rsidRPr="00867CA7" w:rsidRDefault="00067340" w:rsidP="00780802">
            <w:pPr>
              <w:widowControl w:val="0"/>
              <w:spacing w:line="276" w:lineRule="auto"/>
              <w:ind w:left="33" w:right="34"/>
              <w:contextualSpacing/>
              <w:rPr>
                <w:rFonts w:eastAsiaTheme="minorHAnsi"/>
              </w:rPr>
            </w:pPr>
            <w:r w:rsidRPr="00867CA7">
              <w:rPr>
                <w:rFonts w:eastAsiaTheme="minorHAnsi"/>
              </w:rPr>
              <w:t xml:space="preserve">Saldo disponible de la OMPI </w:t>
            </w:r>
            <w:r w:rsidR="00780802" w:rsidRPr="00867CA7">
              <w:rPr>
                <w:rFonts w:eastAsiaTheme="minorHAnsi"/>
              </w:rPr>
              <w:t>(</w:t>
            </w:r>
            <w:r w:rsidRPr="00867CA7">
              <w:rPr>
                <w:rFonts w:eastAsiaTheme="minorHAnsi"/>
              </w:rPr>
              <w:t>30 junio/</w:t>
            </w:r>
            <w:r w:rsidR="00780802" w:rsidRPr="00867CA7">
              <w:rPr>
                <w:rFonts w:eastAsiaTheme="minorHAnsi"/>
              </w:rPr>
              <w:t>15)</w:t>
            </w:r>
          </w:p>
          <w:p w:rsidR="00780802" w:rsidRPr="00867CA7" w:rsidRDefault="00780802" w:rsidP="00067340">
            <w:pPr>
              <w:widowControl w:val="0"/>
              <w:spacing w:line="276" w:lineRule="auto"/>
              <w:ind w:left="33" w:right="34"/>
              <w:contextualSpacing/>
              <w:rPr>
                <w:rFonts w:eastAsiaTheme="minorHAnsi"/>
              </w:rPr>
            </w:pPr>
            <w:r w:rsidRPr="00867CA7">
              <w:rPr>
                <w:rFonts w:eastAsiaTheme="minorHAnsi"/>
              </w:rPr>
              <w:t>(</w:t>
            </w:r>
            <w:r w:rsidR="00067340" w:rsidRPr="00867CA7">
              <w:rPr>
                <w:rFonts w:eastAsiaTheme="minorHAnsi"/>
              </w:rPr>
              <w:t>está previsto que se gaste en servicios</w:t>
            </w:r>
            <w:r w:rsidRPr="00867CA7">
              <w:rPr>
                <w:rFonts w:eastAsiaTheme="minorHAnsi"/>
              </w:rPr>
              <w:t>)</w:t>
            </w:r>
          </w:p>
        </w:tc>
        <w:tc>
          <w:tcPr>
            <w:tcW w:w="3948" w:type="dxa"/>
          </w:tcPr>
          <w:p w:rsidR="00780802" w:rsidRPr="00867CA7" w:rsidRDefault="00BC0BC2" w:rsidP="00780802">
            <w:pPr>
              <w:widowControl w:val="0"/>
              <w:spacing w:line="276" w:lineRule="auto"/>
              <w:ind w:left="720"/>
              <w:contextualSpacing/>
              <w:jc w:val="right"/>
              <w:rPr>
                <w:rFonts w:eastAsiaTheme="minorHAnsi"/>
                <w:b/>
              </w:rPr>
            </w:pPr>
            <w:r w:rsidRPr="00867CA7">
              <w:rPr>
                <w:rFonts w:eastAsiaTheme="minorHAnsi"/>
                <w:b/>
              </w:rPr>
              <w:t>52.055,</w:t>
            </w:r>
            <w:r w:rsidR="00780802" w:rsidRPr="00867CA7">
              <w:rPr>
                <w:rFonts w:eastAsiaTheme="minorHAnsi"/>
                <w:b/>
              </w:rPr>
              <w:t xml:space="preserve">79 </w:t>
            </w:r>
          </w:p>
        </w:tc>
      </w:tr>
      <w:tr w:rsidR="00780802" w:rsidRPr="00867CA7" w:rsidTr="00CF7348">
        <w:tc>
          <w:tcPr>
            <w:tcW w:w="4536" w:type="dxa"/>
          </w:tcPr>
          <w:p w:rsidR="00780802" w:rsidRPr="00867CA7" w:rsidRDefault="00067340" w:rsidP="00780802">
            <w:pPr>
              <w:widowControl w:val="0"/>
              <w:spacing w:line="276" w:lineRule="auto"/>
              <w:ind w:left="33" w:right="34"/>
              <w:contextualSpacing/>
              <w:rPr>
                <w:rFonts w:eastAsiaTheme="minorHAnsi"/>
              </w:rPr>
            </w:pPr>
            <w:r w:rsidRPr="00867CA7">
              <w:rPr>
                <w:rFonts w:eastAsiaTheme="minorHAnsi"/>
              </w:rPr>
              <w:t>Saldo disponible del Estado anfitrión</w:t>
            </w:r>
          </w:p>
        </w:tc>
        <w:tc>
          <w:tcPr>
            <w:tcW w:w="3948" w:type="dxa"/>
          </w:tcPr>
          <w:p w:rsidR="00780802" w:rsidRPr="00867CA7" w:rsidRDefault="00780802" w:rsidP="00780802">
            <w:pPr>
              <w:widowControl w:val="0"/>
              <w:spacing w:line="276" w:lineRule="auto"/>
              <w:ind w:left="720"/>
              <w:contextualSpacing/>
              <w:jc w:val="right"/>
              <w:rPr>
                <w:rFonts w:eastAsiaTheme="minorHAnsi"/>
                <w:b/>
              </w:rPr>
            </w:pPr>
            <w:r w:rsidRPr="00867CA7">
              <w:rPr>
                <w:rFonts w:eastAsiaTheme="minorHAnsi"/>
                <w:b/>
              </w:rPr>
              <w:t>0</w:t>
            </w:r>
          </w:p>
        </w:tc>
      </w:tr>
      <w:tr w:rsidR="00780802" w:rsidRPr="00867CA7" w:rsidTr="00CF7348">
        <w:tc>
          <w:tcPr>
            <w:tcW w:w="4536" w:type="dxa"/>
          </w:tcPr>
          <w:p w:rsidR="00780802" w:rsidRPr="00867CA7" w:rsidRDefault="00067340" w:rsidP="00067340">
            <w:pPr>
              <w:widowControl w:val="0"/>
              <w:spacing w:line="276" w:lineRule="auto"/>
              <w:ind w:left="33" w:right="34"/>
              <w:contextualSpacing/>
              <w:rPr>
                <w:rFonts w:eastAsiaTheme="minorHAnsi"/>
              </w:rPr>
            </w:pPr>
            <w:r w:rsidRPr="00867CA7">
              <w:rPr>
                <w:rFonts w:eastAsiaTheme="minorHAnsi"/>
              </w:rPr>
              <w:t>Saldo previsto</w:t>
            </w:r>
            <w:r w:rsidR="00780802" w:rsidRPr="00867CA7">
              <w:rPr>
                <w:rFonts w:eastAsiaTheme="minorHAnsi"/>
              </w:rPr>
              <w:t xml:space="preserve"> – </w:t>
            </w:r>
            <w:r w:rsidRPr="00867CA7">
              <w:rPr>
                <w:rFonts w:eastAsiaTheme="minorHAnsi"/>
              </w:rPr>
              <w:t>septiembre de</w:t>
            </w:r>
            <w:r w:rsidR="00780802" w:rsidRPr="00867CA7">
              <w:rPr>
                <w:rFonts w:eastAsiaTheme="minorHAnsi"/>
              </w:rPr>
              <w:t xml:space="preserve"> 2015  </w:t>
            </w:r>
          </w:p>
        </w:tc>
        <w:tc>
          <w:tcPr>
            <w:tcW w:w="3948" w:type="dxa"/>
          </w:tcPr>
          <w:p w:rsidR="00780802" w:rsidRPr="00867CA7" w:rsidRDefault="00BC0BC2" w:rsidP="00780802">
            <w:pPr>
              <w:widowControl w:val="0"/>
              <w:spacing w:line="276" w:lineRule="auto"/>
              <w:ind w:left="720"/>
              <w:contextualSpacing/>
              <w:jc w:val="right"/>
              <w:rPr>
                <w:rFonts w:eastAsiaTheme="minorHAnsi"/>
                <w:b/>
              </w:rPr>
            </w:pPr>
            <w:r w:rsidRPr="00867CA7">
              <w:rPr>
                <w:rFonts w:eastAsiaTheme="minorHAnsi"/>
                <w:b/>
              </w:rPr>
              <w:t>4</w:t>
            </w:r>
            <w:r w:rsidR="009704A6" w:rsidRPr="00867CA7">
              <w:rPr>
                <w:rFonts w:eastAsiaTheme="minorHAnsi"/>
                <w:b/>
              </w:rPr>
              <w:t>.</w:t>
            </w:r>
            <w:r w:rsidRPr="00867CA7">
              <w:rPr>
                <w:rFonts w:eastAsiaTheme="minorHAnsi"/>
                <w:b/>
              </w:rPr>
              <w:t>000,</w:t>
            </w:r>
            <w:r w:rsidR="00780802" w:rsidRPr="00867CA7">
              <w:rPr>
                <w:rFonts w:eastAsiaTheme="minorHAnsi"/>
                <w:b/>
              </w:rPr>
              <w:t>00</w:t>
            </w:r>
          </w:p>
        </w:tc>
      </w:tr>
    </w:tbl>
    <w:p w:rsidR="00780802" w:rsidRPr="00867CA7" w:rsidRDefault="00780802" w:rsidP="00780802">
      <w:pPr>
        <w:widowControl w:val="0"/>
        <w:ind w:left="5613"/>
        <w:rPr>
          <w:i/>
          <w:szCs w:val="22"/>
        </w:rPr>
      </w:pPr>
    </w:p>
    <w:p w:rsidR="00780802" w:rsidRPr="00867CA7" w:rsidRDefault="00780802" w:rsidP="00780802">
      <w:pPr>
        <w:widowControl w:val="0"/>
        <w:rPr>
          <w:i/>
          <w:szCs w:val="22"/>
        </w:rPr>
      </w:pPr>
    </w:p>
    <w:p w:rsidR="00780802" w:rsidRPr="00867CA7" w:rsidRDefault="00E666C9" w:rsidP="00780802">
      <w:pPr>
        <w:pStyle w:val="Default"/>
        <w:widowControl w:val="0"/>
        <w:numPr>
          <w:ilvl w:val="0"/>
          <w:numId w:val="7"/>
        </w:numPr>
        <w:tabs>
          <w:tab w:val="left" w:pos="567"/>
        </w:tabs>
        <w:spacing w:after="151"/>
        <w:ind w:left="0" w:firstLine="0"/>
        <w:rPr>
          <w:i/>
          <w:sz w:val="22"/>
          <w:szCs w:val="22"/>
          <w:lang w:val="es-ES"/>
        </w:rPr>
      </w:pPr>
      <w:r w:rsidRPr="00867CA7">
        <w:rPr>
          <w:sz w:val="22"/>
          <w:szCs w:val="22"/>
          <w:lang w:val="es-ES"/>
        </w:rPr>
        <w:t>Se propone el siguiente párrafo de decisión</w:t>
      </w:r>
      <w:r w:rsidR="00780802" w:rsidRPr="00867CA7">
        <w:rPr>
          <w:i/>
          <w:sz w:val="22"/>
          <w:szCs w:val="22"/>
          <w:lang w:val="es-ES"/>
        </w:rPr>
        <w:t>.</w:t>
      </w:r>
    </w:p>
    <w:p w:rsidR="00780802" w:rsidRPr="00867CA7" w:rsidRDefault="00780802" w:rsidP="00780802">
      <w:pPr>
        <w:pStyle w:val="Default"/>
        <w:widowControl w:val="0"/>
        <w:tabs>
          <w:tab w:val="left" w:pos="567"/>
          <w:tab w:val="left" w:pos="6096"/>
        </w:tabs>
        <w:spacing w:after="151"/>
        <w:ind w:left="5533"/>
        <w:rPr>
          <w:i/>
          <w:sz w:val="22"/>
          <w:szCs w:val="22"/>
          <w:lang w:val="es-ES"/>
        </w:rPr>
      </w:pPr>
      <w:r w:rsidRPr="00867CA7">
        <w:rPr>
          <w:i/>
          <w:sz w:val="22"/>
          <w:szCs w:val="22"/>
          <w:lang w:val="es-ES"/>
        </w:rPr>
        <w:t>19.</w:t>
      </w:r>
      <w:r w:rsidRPr="00867CA7">
        <w:rPr>
          <w:i/>
          <w:sz w:val="22"/>
          <w:szCs w:val="22"/>
          <w:lang w:val="es-ES"/>
        </w:rPr>
        <w:tab/>
      </w:r>
      <w:r w:rsidR="00E666C9" w:rsidRPr="00867CA7">
        <w:rPr>
          <w:i/>
          <w:sz w:val="22"/>
          <w:szCs w:val="22"/>
          <w:lang w:val="es-ES"/>
        </w:rPr>
        <w:t xml:space="preserve">El Comité del Programa y Presupuesto tomó nota del contenido del </w:t>
      </w:r>
      <w:r w:rsidR="00C4077C">
        <w:rPr>
          <w:i/>
          <w:sz w:val="22"/>
          <w:szCs w:val="22"/>
          <w:lang w:val="es-ES"/>
        </w:rPr>
        <w:t>Informe final sobre el Proyecto para r</w:t>
      </w:r>
      <w:r w:rsidR="00C4077C" w:rsidRPr="00C4077C">
        <w:rPr>
          <w:i/>
          <w:color w:val="auto"/>
          <w:sz w:val="22"/>
          <w:szCs w:val="22"/>
          <w:lang w:val="es-ES"/>
        </w:rPr>
        <w:t>eforzar las normas de seguridad y vigilancia de los edificios de la OMPI</w:t>
      </w:r>
      <w:r w:rsidR="00C4077C" w:rsidRPr="00C4077C">
        <w:rPr>
          <w:i/>
          <w:sz w:val="22"/>
          <w:szCs w:val="22"/>
          <w:lang w:val="es-ES"/>
        </w:rPr>
        <w:t xml:space="preserve"> </w:t>
      </w:r>
      <w:r w:rsidR="00C4077C">
        <w:rPr>
          <w:i/>
          <w:sz w:val="22"/>
          <w:szCs w:val="22"/>
          <w:lang w:val="es-ES"/>
        </w:rPr>
        <w:t>(</w:t>
      </w:r>
      <w:r w:rsidRPr="00867CA7">
        <w:rPr>
          <w:i/>
          <w:sz w:val="22"/>
          <w:szCs w:val="22"/>
          <w:lang w:val="es-ES"/>
        </w:rPr>
        <w:t>document</w:t>
      </w:r>
      <w:r w:rsidR="00E666C9" w:rsidRPr="00867CA7">
        <w:rPr>
          <w:i/>
          <w:sz w:val="22"/>
          <w:szCs w:val="22"/>
          <w:lang w:val="es-ES"/>
        </w:rPr>
        <w:t>o</w:t>
      </w:r>
      <w:r w:rsidRPr="00867CA7">
        <w:rPr>
          <w:i/>
          <w:sz w:val="22"/>
          <w:szCs w:val="22"/>
          <w:lang w:val="es-ES"/>
        </w:rPr>
        <w:t xml:space="preserve"> WO/PBC/24/12</w:t>
      </w:r>
      <w:r w:rsidR="00C4077C">
        <w:rPr>
          <w:i/>
          <w:sz w:val="22"/>
          <w:szCs w:val="22"/>
          <w:lang w:val="es-ES"/>
        </w:rPr>
        <w:t>)</w:t>
      </w:r>
      <w:r w:rsidRPr="00867CA7">
        <w:rPr>
          <w:i/>
          <w:sz w:val="22"/>
          <w:szCs w:val="22"/>
          <w:lang w:val="es-ES"/>
        </w:rPr>
        <w:t>.</w:t>
      </w:r>
    </w:p>
    <w:p w:rsidR="00780802" w:rsidRDefault="00780802" w:rsidP="00780802">
      <w:pPr>
        <w:pStyle w:val="Endofdocument-Annex"/>
        <w:widowControl w:val="0"/>
        <w:ind w:hanging="5534"/>
        <w:rPr>
          <w:szCs w:val="22"/>
          <w:lang w:val="es-ES"/>
        </w:rPr>
      </w:pPr>
    </w:p>
    <w:p w:rsidR="00C4077C" w:rsidRDefault="00C4077C" w:rsidP="00780802">
      <w:pPr>
        <w:pStyle w:val="Endofdocument-Annex"/>
        <w:widowControl w:val="0"/>
        <w:ind w:hanging="5534"/>
        <w:rPr>
          <w:szCs w:val="22"/>
          <w:lang w:val="es-ES"/>
        </w:rPr>
      </w:pPr>
    </w:p>
    <w:p w:rsidR="00C4077C" w:rsidRPr="00867CA7" w:rsidRDefault="00C4077C" w:rsidP="00780802">
      <w:pPr>
        <w:pStyle w:val="Endofdocument-Annex"/>
        <w:widowControl w:val="0"/>
        <w:ind w:hanging="5534"/>
        <w:rPr>
          <w:szCs w:val="22"/>
          <w:lang w:val="es-ES"/>
        </w:rPr>
      </w:pPr>
    </w:p>
    <w:p w:rsidR="00152CEA" w:rsidRPr="00867CA7" w:rsidRDefault="00780802" w:rsidP="004729B7">
      <w:pPr>
        <w:pStyle w:val="Endofdocument-Annex"/>
        <w:widowControl w:val="0"/>
        <w:ind w:hanging="1"/>
        <w:rPr>
          <w:szCs w:val="22"/>
          <w:lang w:val="es-ES"/>
        </w:rPr>
      </w:pPr>
      <w:r w:rsidRPr="00867CA7">
        <w:rPr>
          <w:szCs w:val="22"/>
          <w:lang w:val="es-ES"/>
        </w:rPr>
        <w:t>[</w:t>
      </w:r>
      <w:r w:rsidR="00DF6944" w:rsidRPr="00867CA7">
        <w:rPr>
          <w:szCs w:val="22"/>
          <w:lang w:val="es-ES"/>
        </w:rPr>
        <w:t xml:space="preserve">Fin del </w:t>
      </w:r>
      <w:r w:rsidRPr="00867CA7">
        <w:rPr>
          <w:szCs w:val="22"/>
          <w:lang w:val="es-ES"/>
        </w:rPr>
        <w:t>document</w:t>
      </w:r>
      <w:r w:rsidR="00DF6944" w:rsidRPr="00867CA7">
        <w:rPr>
          <w:szCs w:val="22"/>
          <w:lang w:val="es-ES"/>
        </w:rPr>
        <w:t>o</w:t>
      </w:r>
      <w:r w:rsidRPr="00867CA7">
        <w:rPr>
          <w:szCs w:val="22"/>
          <w:lang w:val="es-ES"/>
        </w:rPr>
        <w:t>]</w:t>
      </w:r>
    </w:p>
    <w:sectPr w:rsidR="00152CEA" w:rsidRPr="00867CA7" w:rsidSect="00FC040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D9" w:rsidRDefault="008B76D9">
      <w:r>
        <w:separator/>
      </w:r>
    </w:p>
  </w:endnote>
  <w:endnote w:type="continuationSeparator" w:id="0">
    <w:p w:rsidR="008B76D9" w:rsidRPr="009D30E6" w:rsidRDefault="008B76D9" w:rsidP="007E663E">
      <w:pPr>
        <w:rPr>
          <w:sz w:val="17"/>
          <w:szCs w:val="17"/>
        </w:rPr>
      </w:pPr>
      <w:r w:rsidRPr="009D30E6">
        <w:rPr>
          <w:sz w:val="17"/>
          <w:szCs w:val="17"/>
        </w:rPr>
        <w:separator/>
      </w:r>
    </w:p>
    <w:p w:rsidR="008B76D9" w:rsidRPr="007E663E" w:rsidRDefault="008B76D9" w:rsidP="007E663E">
      <w:pPr>
        <w:spacing w:after="60"/>
        <w:rPr>
          <w:sz w:val="17"/>
          <w:szCs w:val="17"/>
        </w:rPr>
      </w:pPr>
      <w:r>
        <w:rPr>
          <w:sz w:val="17"/>
        </w:rPr>
        <w:t>[Continuación de la nota de la página anterior]</w:t>
      </w:r>
    </w:p>
  </w:endnote>
  <w:endnote w:type="continuationNotice" w:id="1">
    <w:p w:rsidR="008B76D9" w:rsidRPr="007E663E" w:rsidRDefault="008B76D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D9" w:rsidRDefault="008B76D9">
      <w:r>
        <w:separator/>
      </w:r>
    </w:p>
  </w:footnote>
  <w:footnote w:type="continuationSeparator" w:id="0">
    <w:p w:rsidR="008B76D9" w:rsidRPr="009D30E6" w:rsidRDefault="008B76D9" w:rsidP="007E663E">
      <w:pPr>
        <w:rPr>
          <w:sz w:val="17"/>
          <w:szCs w:val="17"/>
        </w:rPr>
      </w:pPr>
      <w:r w:rsidRPr="009D30E6">
        <w:rPr>
          <w:sz w:val="17"/>
          <w:szCs w:val="17"/>
        </w:rPr>
        <w:separator/>
      </w:r>
    </w:p>
    <w:p w:rsidR="008B76D9" w:rsidRPr="007E663E" w:rsidRDefault="008B76D9" w:rsidP="007E663E">
      <w:pPr>
        <w:spacing w:after="60"/>
        <w:rPr>
          <w:sz w:val="17"/>
          <w:szCs w:val="17"/>
        </w:rPr>
      </w:pPr>
      <w:r>
        <w:rPr>
          <w:sz w:val="17"/>
        </w:rPr>
        <w:t>[Continuación de la nota de la página anterior]</w:t>
      </w:r>
    </w:p>
  </w:footnote>
  <w:footnote w:type="continuationNotice" w:id="1">
    <w:p w:rsidR="008B76D9" w:rsidRPr="007E663E" w:rsidRDefault="008B76D9" w:rsidP="007E663E">
      <w:pPr>
        <w:spacing w:before="60"/>
        <w:jc w:val="right"/>
        <w:rPr>
          <w:sz w:val="17"/>
          <w:szCs w:val="17"/>
        </w:rPr>
      </w:pPr>
      <w:r w:rsidRPr="007E663E">
        <w:rPr>
          <w:sz w:val="17"/>
          <w:szCs w:val="17"/>
        </w:rPr>
        <w:t>[Sigue la nota en la página siguiente]</w:t>
      </w:r>
    </w:p>
  </w:footnote>
  <w:footnote w:id="2">
    <w:p w:rsidR="00780802" w:rsidRPr="00DE1561" w:rsidRDefault="00780802" w:rsidP="00B40846">
      <w:pPr>
        <w:pStyle w:val="FootnoteText"/>
      </w:pPr>
      <w:r>
        <w:rPr>
          <w:rStyle w:val="FootnoteReference"/>
        </w:rPr>
        <w:footnoteRef/>
      </w:r>
      <w:r>
        <w:t xml:space="preserve"> </w:t>
      </w:r>
      <w:r>
        <w:tab/>
      </w:r>
      <w:r w:rsidR="00067340">
        <w:rPr>
          <w:rFonts w:eastAsiaTheme="minorHAnsi"/>
          <w:szCs w:val="22"/>
          <w:lang w:eastAsia="en-US"/>
        </w:rPr>
        <w:t>Nota</w:t>
      </w:r>
      <w:r w:rsidRPr="00DE1561">
        <w:rPr>
          <w:rFonts w:eastAsiaTheme="minorHAnsi"/>
          <w:szCs w:val="22"/>
          <w:lang w:eastAsia="en-US"/>
        </w:rPr>
        <w:t xml:space="preserve">: </w:t>
      </w:r>
      <w:r w:rsidR="00067340">
        <w:rPr>
          <w:rFonts w:eastAsiaTheme="minorHAnsi"/>
          <w:szCs w:val="22"/>
          <w:lang w:eastAsia="en-US"/>
        </w:rPr>
        <w:t xml:space="preserve"> órdenes de compras que permanecen abiertas en el momento de redactar el presente informe, con un compromiso financiero asignado de un total de </w:t>
      </w:r>
      <w:r w:rsidRPr="00DE1561">
        <w:rPr>
          <w:rFonts w:eastAsiaTheme="minorHAnsi"/>
          <w:szCs w:val="22"/>
          <w:lang w:eastAsia="en-US"/>
        </w:rPr>
        <w:t>631</w:t>
      </w:r>
      <w:r w:rsidR="00067340">
        <w:rPr>
          <w:rFonts w:eastAsiaTheme="minorHAnsi"/>
          <w:szCs w:val="22"/>
          <w:lang w:eastAsia="en-US"/>
        </w:rPr>
        <w:t>.</w:t>
      </w:r>
      <w:r w:rsidRPr="00DE1561">
        <w:rPr>
          <w:rFonts w:eastAsiaTheme="minorHAnsi"/>
          <w:szCs w:val="22"/>
          <w:lang w:eastAsia="en-US"/>
        </w:rPr>
        <w:t>787</w:t>
      </w:r>
      <w:r w:rsidR="00067340">
        <w:rPr>
          <w:rFonts w:eastAsiaTheme="minorHAnsi"/>
          <w:szCs w:val="22"/>
          <w:lang w:eastAsia="en-US"/>
        </w:rPr>
        <w:t>,</w:t>
      </w:r>
      <w:r w:rsidRPr="00DE1561">
        <w:rPr>
          <w:rFonts w:eastAsiaTheme="minorHAnsi"/>
          <w:szCs w:val="22"/>
          <w:lang w:eastAsia="en-US"/>
        </w:rPr>
        <w:t>67 franc</w:t>
      </w:r>
      <w:r w:rsidR="00067340">
        <w:rPr>
          <w:rFonts w:eastAsiaTheme="minorHAnsi"/>
          <w:szCs w:val="22"/>
          <w:lang w:eastAsia="en-US"/>
        </w:rPr>
        <w:t>o</w:t>
      </w:r>
      <w:r w:rsidRPr="00DE1561">
        <w:rPr>
          <w:rFonts w:eastAsiaTheme="minorHAnsi"/>
          <w:szCs w:val="22"/>
          <w:lang w:eastAsia="en-US"/>
        </w:rPr>
        <w:t>s</w:t>
      </w:r>
      <w:r w:rsidR="00067340">
        <w:rPr>
          <w:rFonts w:eastAsiaTheme="minorHAnsi"/>
          <w:szCs w:val="22"/>
          <w:lang w:eastAsia="en-US"/>
        </w:rPr>
        <w:t xml:space="preserve"> suizos</w:t>
      </w:r>
      <w:r w:rsidRPr="00DE1561">
        <w:rPr>
          <w:rFonts w:eastAsiaTheme="minorHAnsi"/>
          <w:szCs w:val="22"/>
          <w:lang w:eastAsia="en-US"/>
        </w:rPr>
        <w:t xml:space="preserve">. </w:t>
      </w:r>
      <w:r w:rsidR="00067340">
        <w:rPr>
          <w:rFonts w:eastAsiaTheme="minorHAnsi"/>
          <w:szCs w:val="22"/>
          <w:lang w:eastAsia="en-US"/>
        </w:rPr>
        <w:t xml:space="preserve">  Estas órdenes de compras se pagarán y se cerrarán cuando se satisfagan los acuerdos </w:t>
      </w:r>
      <w:r w:rsidR="001B60D2">
        <w:rPr>
          <w:rFonts w:eastAsiaTheme="minorHAnsi"/>
          <w:szCs w:val="22"/>
          <w:lang w:eastAsia="en-US"/>
        </w:rPr>
        <w:t xml:space="preserve">técnicos y </w:t>
      </w:r>
      <w:r w:rsidR="00067340">
        <w:rPr>
          <w:rFonts w:eastAsiaTheme="minorHAnsi"/>
          <w:szCs w:val="22"/>
          <w:lang w:eastAsia="en-US"/>
        </w:rPr>
        <w:t>de servicios finales con los contratistas y la OMPI los apruebe.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FC040B" w:rsidP="00477D6B">
    <w:pPr>
      <w:jc w:val="right"/>
    </w:pPr>
    <w:bookmarkStart w:id="5" w:name="Code2"/>
    <w:bookmarkEnd w:id="5"/>
    <w:r>
      <w:t>WO/PBC/24/12</w:t>
    </w:r>
  </w:p>
  <w:p w:rsidR="00AE7F20" w:rsidRDefault="00AE7F20" w:rsidP="00477D6B">
    <w:pPr>
      <w:jc w:val="right"/>
    </w:pPr>
    <w:r>
      <w:t xml:space="preserve">página </w:t>
    </w:r>
    <w:r>
      <w:fldChar w:fldCharType="begin"/>
    </w:r>
    <w:r>
      <w:instrText xml:space="preserve"> PAGE  \* MERGEFORMAT </w:instrText>
    </w:r>
    <w:r>
      <w:fldChar w:fldCharType="separate"/>
    </w:r>
    <w:r w:rsidR="00BF074F">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674526"/>
    <w:multiLevelType w:val="hybridMultilevel"/>
    <w:tmpl w:val="FEA830CC"/>
    <w:lvl w:ilvl="0" w:tplc="7ED8B492">
      <w:start w:val="1"/>
      <w:numFmt w:val="bullet"/>
      <w:lvlText w:val="‒"/>
      <w:lvlJc w:val="left"/>
      <w:pPr>
        <w:ind w:left="360" w:hanging="360"/>
      </w:pPr>
      <w:rPr>
        <w:rFonts w:ascii="Segoe UI" w:hAnsi="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832E52"/>
    <w:multiLevelType w:val="hybridMultilevel"/>
    <w:tmpl w:val="032297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28420E"/>
    <w:multiLevelType w:val="hybridMultilevel"/>
    <w:tmpl w:val="A454B998"/>
    <w:lvl w:ilvl="0" w:tplc="7A628E78">
      <w:start w:val="1"/>
      <w:numFmt w:val="decimal"/>
      <w:lvlText w:val="%1."/>
      <w:lvlJc w:val="left"/>
      <w:pPr>
        <w:ind w:left="5747" w:hanging="360"/>
      </w:pPr>
      <w:rPr>
        <w:rFonts w:hint="default"/>
        <w:i w:val="0"/>
        <w:iCs/>
        <w:color w:val="auto"/>
        <w:lang w:val="es-E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0B"/>
    <w:rsid w:val="00010686"/>
    <w:rsid w:val="00026872"/>
    <w:rsid w:val="00052915"/>
    <w:rsid w:val="00067340"/>
    <w:rsid w:val="000772EF"/>
    <w:rsid w:val="000E3BB3"/>
    <w:rsid w:val="000F5E56"/>
    <w:rsid w:val="001347B7"/>
    <w:rsid w:val="001362EE"/>
    <w:rsid w:val="00152CEA"/>
    <w:rsid w:val="001832A6"/>
    <w:rsid w:val="0019695A"/>
    <w:rsid w:val="001B60D2"/>
    <w:rsid w:val="001F1557"/>
    <w:rsid w:val="0024238D"/>
    <w:rsid w:val="00257FF4"/>
    <w:rsid w:val="002634C4"/>
    <w:rsid w:val="002E0F47"/>
    <w:rsid w:val="002F4E68"/>
    <w:rsid w:val="00320A1A"/>
    <w:rsid w:val="003320F5"/>
    <w:rsid w:val="0034356D"/>
    <w:rsid w:val="00354647"/>
    <w:rsid w:val="00377273"/>
    <w:rsid w:val="003845C1"/>
    <w:rsid w:val="00387287"/>
    <w:rsid w:val="003D283E"/>
    <w:rsid w:val="003E1098"/>
    <w:rsid w:val="003E48F1"/>
    <w:rsid w:val="003F347A"/>
    <w:rsid w:val="00423E3E"/>
    <w:rsid w:val="00427AF4"/>
    <w:rsid w:val="0045231F"/>
    <w:rsid w:val="004552BC"/>
    <w:rsid w:val="004647DA"/>
    <w:rsid w:val="004729B7"/>
    <w:rsid w:val="00477808"/>
    <w:rsid w:val="00477D6B"/>
    <w:rsid w:val="004835EB"/>
    <w:rsid w:val="004872F5"/>
    <w:rsid w:val="004A6C37"/>
    <w:rsid w:val="004E297D"/>
    <w:rsid w:val="005332F0"/>
    <w:rsid w:val="005358E2"/>
    <w:rsid w:val="00547500"/>
    <w:rsid w:val="0055013B"/>
    <w:rsid w:val="00563EF1"/>
    <w:rsid w:val="00571B99"/>
    <w:rsid w:val="005C23DE"/>
    <w:rsid w:val="00605827"/>
    <w:rsid w:val="00612ABB"/>
    <w:rsid w:val="00675021"/>
    <w:rsid w:val="0069043C"/>
    <w:rsid w:val="00692DDD"/>
    <w:rsid w:val="006A06C6"/>
    <w:rsid w:val="007224C8"/>
    <w:rsid w:val="00780802"/>
    <w:rsid w:val="00781502"/>
    <w:rsid w:val="00794BE2"/>
    <w:rsid w:val="007B451F"/>
    <w:rsid w:val="007B71FE"/>
    <w:rsid w:val="007D781E"/>
    <w:rsid w:val="007E663E"/>
    <w:rsid w:val="00815082"/>
    <w:rsid w:val="00867CA7"/>
    <w:rsid w:val="00871B23"/>
    <w:rsid w:val="0088395E"/>
    <w:rsid w:val="00894B98"/>
    <w:rsid w:val="008B2CC1"/>
    <w:rsid w:val="008B3298"/>
    <w:rsid w:val="008B76D9"/>
    <w:rsid w:val="008E6BD6"/>
    <w:rsid w:val="0090731E"/>
    <w:rsid w:val="00956B84"/>
    <w:rsid w:val="009654EF"/>
    <w:rsid w:val="00966A22"/>
    <w:rsid w:val="009704A6"/>
    <w:rsid w:val="00972F03"/>
    <w:rsid w:val="009A0C8B"/>
    <w:rsid w:val="009A6180"/>
    <w:rsid w:val="009B6241"/>
    <w:rsid w:val="009C3CDF"/>
    <w:rsid w:val="009E186A"/>
    <w:rsid w:val="00A04F62"/>
    <w:rsid w:val="00A06656"/>
    <w:rsid w:val="00A12E3B"/>
    <w:rsid w:val="00A16FC0"/>
    <w:rsid w:val="00A32C9E"/>
    <w:rsid w:val="00AB613D"/>
    <w:rsid w:val="00AE7F20"/>
    <w:rsid w:val="00B40846"/>
    <w:rsid w:val="00B65A0A"/>
    <w:rsid w:val="00B67CDC"/>
    <w:rsid w:val="00B72D36"/>
    <w:rsid w:val="00BC0BC2"/>
    <w:rsid w:val="00BC4164"/>
    <w:rsid w:val="00BD2DCC"/>
    <w:rsid w:val="00BD2E0F"/>
    <w:rsid w:val="00BF074F"/>
    <w:rsid w:val="00C4077C"/>
    <w:rsid w:val="00C40A12"/>
    <w:rsid w:val="00C90559"/>
    <w:rsid w:val="00CA2251"/>
    <w:rsid w:val="00D56C7C"/>
    <w:rsid w:val="00D71B4D"/>
    <w:rsid w:val="00D90289"/>
    <w:rsid w:val="00D93D55"/>
    <w:rsid w:val="00DC25A5"/>
    <w:rsid w:val="00DC4C60"/>
    <w:rsid w:val="00DE0875"/>
    <w:rsid w:val="00DF6944"/>
    <w:rsid w:val="00E0079A"/>
    <w:rsid w:val="00E306EB"/>
    <w:rsid w:val="00E444DA"/>
    <w:rsid w:val="00E45C84"/>
    <w:rsid w:val="00E504E5"/>
    <w:rsid w:val="00E666C9"/>
    <w:rsid w:val="00EB7629"/>
    <w:rsid w:val="00EB7A3E"/>
    <w:rsid w:val="00EC401A"/>
    <w:rsid w:val="00EE2AD1"/>
    <w:rsid w:val="00EF530A"/>
    <w:rsid w:val="00EF6622"/>
    <w:rsid w:val="00F46D40"/>
    <w:rsid w:val="00F55408"/>
    <w:rsid w:val="00F66152"/>
    <w:rsid w:val="00F80845"/>
    <w:rsid w:val="00F84474"/>
    <w:rsid w:val="00F967EE"/>
    <w:rsid w:val="00FA0F0D"/>
    <w:rsid w:val="00FB218B"/>
    <w:rsid w:val="00FC040B"/>
    <w:rsid w:val="00FD2D66"/>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table" w:styleId="TableGrid">
    <w:name w:val="Table Grid"/>
    <w:basedOn w:val="TableNormal"/>
    <w:uiPriority w:val="59"/>
    <w:rsid w:val="00780802"/>
    <w:rPr>
      <w:rFonts w:asciiTheme="minorHAnsi" w:eastAsiaTheme="minorHAnsi" w:hAnsiTheme="minorHAnsi" w:cstheme="minorBid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802"/>
    <w:pPr>
      <w:ind w:left="720"/>
      <w:contextualSpacing/>
    </w:pPr>
    <w:rPr>
      <w:lang w:val="en-US"/>
    </w:rPr>
  </w:style>
  <w:style w:type="character" w:customStyle="1" w:styleId="FootnoteTextChar">
    <w:name w:val="Footnote Text Char"/>
    <w:basedOn w:val="DefaultParagraphFont"/>
    <w:link w:val="FootnoteText"/>
    <w:uiPriority w:val="99"/>
    <w:semiHidden/>
    <w:rsid w:val="00780802"/>
    <w:rPr>
      <w:rFonts w:ascii="Arial" w:eastAsia="SimSun" w:hAnsi="Arial" w:cs="Arial"/>
      <w:sz w:val="18"/>
      <w:lang w:val="es-ES"/>
    </w:rPr>
  </w:style>
  <w:style w:type="character" w:styleId="FootnoteReference">
    <w:name w:val="footnote reference"/>
    <w:basedOn w:val="DefaultParagraphFont"/>
    <w:uiPriority w:val="99"/>
    <w:unhideWhenUsed/>
    <w:rsid w:val="00780802"/>
    <w:rPr>
      <w:vertAlign w:val="superscript"/>
    </w:rPr>
  </w:style>
  <w:style w:type="paragraph" w:customStyle="1" w:styleId="Default">
    <w:name w:val="Default"/>
    <w:rsid w:val="00780802"/>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table" w:styleId="TableGrid">
    <w:name w:val="Table Grid"/>
    <w:basedOn w:val="TableNormal"/>
    <w:uiPriority w:val="59"/>
    <w:rsid w:val="00780802"/>
    <w:rPr>
      <w:rFonts w:asciiTheme="minorHAnsi" w:eastAsiaTheme="minorHAnsi" w:hAnsiTheme="minorHAnsi" w:cstheme="minorBid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802"/>
    <w:pPr>
      <w:ind w:left="720"/>
      <w:contextualSpacing/>
    </w:pPr>
    <w:rPr>
      <w:lang w:val="en-US"/>
    </w:rPr>
  </w:style>
  <w:style w:type="character" w:customStyle="1" w:styleId="FootnoteTextChar">
    <w:name w:val="Footnote Text Char"/>
    <w:basedOn w:val="DefaultParagraphFont"/>
    <w:link w:val="FootnoteText"/>
    <w:uiPriority w:val="99"/>
    <w:semiHidden/>
    <w:rsid w:val="00780802"/>
    <w:rPr>
      <w:rFonts w:ascii="Arial" w:eastAsia="SimSun" w:hAnsi="Arial" w:cs="Arial"/>
      <w:sz w:val="18"/>
      <w:lang w:val="es-ES"/>
    </w:rPr>
  </w:style>
  <w:style w:type="character" w:styleId="FootnoteReference">
    <w:name w:val="footnote reference"/>
    <w:basedOn w:val="DefaultParagraphFont"/>
    <w:uiPriority w:val="99"/>
    <w:unhideWhenUsed/>
    <w:rsid w:val="00780802"/>
    <w:rPr>
      <w:vertAlign w:val="superscript"/>
    </w:rPr>
  </w:style>
  <w:style w:type="paragraph" w:customStyle="1" w:styleId="Default">
    <w:name w:val="Default"/>
    <w:rsid w:val="0078080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24(S)</Template>
  <TotalTime>0</TotalTime>
  <Pages>5</Pages>
  <Words>1845</Words>
  <Characters>10519</Characters>
  <Application>Microsoft Office Word</Application>
  <DocSecurity>4</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WO/PBC/24/12 - Informe final del proyecto para reforzar las normas de seguridad y vigilancia de los edificios de la OMPI</vt:lpstr>
      <vt:lpstr>WO/PBC/24/</vt:lpstr>
    </vt:vector>
  </TitlesOfParts>
  <Company>WIPO</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WO/PBC/24/12 - Informe final del proyecto para reforzar las normas de seguridad y vigilancia de los edificios de la OMPI</dc:title>
  <dc:creator>HALLER Mario</dc:creator>
  <dc:description>JC -  24/7/2015</dc:description>
  <cp:lastModifiedBy>DOYON Geneviève</cp:lastModifiedBy>
  <cp:revision>2</cp:revision>
  <cp:lastPrinted>2015-07-27T08:32:00Z</cp:lastPrinted>
  <dcterms:created xsi:type="dcterms:W3CDTF">2015-08-04T07:07:00Z</dcterms:created>
  <dcterms:modified xsi:type="dcterms:W3CDTF">2015-08-04T07:07:00Z</dcterms:modified>
</cp:coreProperties>
</file>