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725A8F" w:rsidRDefault="00C25DAA" w:rsidP="0060117F">
      <w:pPr>
        <w:rPr>
          <w:b/>
          <w:lang w:val="es-ES_tradnl"/>
        </w:rPr>
      </w:pPr>
      <w:bookmarkStart w:id="0" w:name="_GoBack"/>
      <w:bookmarkEnd w:id="0"/>
      <w:r w:rsidRPr="00725A8F">
        <w:rPr>
          <w:b/>
          <w:lang w:val="es-ES_tradnl"/>
        </w:rPr>
        <w:t>Comité del Programa y Presupuesto</w:t>
      </w:r>
    </w:p>
    <w:p w:rsidR="00C25DAA" w:rsidRPr="00725A8F" w:rsidRDefault="00771713" w:rsidP="0060117F">
      <w:pPr>
        <w:rPr>
          <w:b/>
          <w:lang w:val="es-ES_tradnl"/>
        </w:rPr>
      </w:pPr>
      <w:r w:rsidRPr="00725A8F">
        <w:rPr>
          <w:b/>
          <w:lang w:val="es-ES_tradnl"/>
        </w:rPr>
        <w:t>Vig</w:t>
      </w:r>
      <w:r w:rsidR="00465EAF" w:rsidRPr="00725A8F">
        <w:rPr>
          <w:b/>
          <w:lang w:val="es-ES_tradnl"/>
        </w:rPr>
        <w:t>é</w:t>
      </w:r>
      <w:r w:rsidRPr="00725A8F">
        <w:rPr>
          <w:b/>
          <w:lang w:val="es-ES_tradnl"/>
        </w:rPr>
        <w:t>sim</w:t>
      </w:r>
      <w:r w:rsidR="00465EAF" w:rsidRPr="00725A8F">
        <w:rPr>
          <w:b/>
          <w:lang w:val="es-ES_tradnl"/>
        </w:rPr>
        <w:t xml:space="preserve">a </w:t>
      </w:r>
      <w:r w:rsidRPr="00725A8F">
        <w:rPr>
          <w:b/>
          <w:lang w:val="es-ES_tradnl"/>
        </w:rPr>
        <w:t>tercera sesión</w:t>
      </w:r>
    </w:p>
    <w:p w:rsidR="00C25DAA" w:rsidRPr="00725A8F" w:rsidRDefault="00C25DAA" w:rsidP="0060117F">
      <w:pPr>
        <w:rPr>
          <w:b/>
          <w:lang w:val="es-ES_tradnl"/>
        </w:rPr>
      </w:pPr>
      <w:r w:rsidRPr="00725A8F">
        <w:rPr>
          <w:b/>
          <w:lang w:val="es-ES_tradnl"/>
        </w:rPr>
        <w:t>Ginebra, 13-17 de julio de 2015</w:t>
      </w:r>
    </w:p>
    <w:p w:rsidR="00C25DAA" w:rsidRPr="00725A8F" w:rsidRDefault="00AE54E0" w:rsidP="0060117F">
      <w:pPr>
        <w:jc w:val="right"/>
        <w:rPr>
          <w:b/>
          <w:sz w:val="28"/>
          <w:szCs w:val="28"/>
          <w:lang w:val="es-ES_tradnl"/>
        </w:rPr>
      </w:pPr>
      <w:r w:rsidRPr="00725A8F">
        <w:rPr>
          <w:b/>
          <w:lang w:val="es-ES_tradnl"/>
        </w:rPr>
        <w:t>10.07.2015</w:t>
      </w:r>
    </w:p>
    <w:p w:rsidR="000C008F" w:rsidRPr="00725A8F" w:rsidRDefault="000C008F" w:rsidP="0060117F">
      <w:pPr>
        <w:jc w:val="center"/>
        <w:rPr>
          <w:sz w:val="28"/>
          <w:szCs w:val="28"/>
          <w:lang w:val="es-ES_tradnl"/>
        </w:rPr>
      </w:pPr>
    </w:p>
    <w:p w:rsidR="00C25DAA" w:rsidRPr="00725A8F" w:rsidRDefault="00CD11C1" w:rsidP="0060117F">
      <w:pPr>
        <w:jc w:val="center"/>
        <w:rPr>
          <w:sz w:val="28"/>
          <w:szCs w:val="28"/>
          <w:lang w:val="es-ES_tradnl"/>
        </w:rPr>
      </w:pPr>
      <w:r w:rsidRPr="00725A8F">
        <w:rPr>
          <w:sz w:val="28"/>
          <w:lang w:val="es-ES_tradnl"/>
        </w:rPr>
        <w:t>PREGUNTAS Y RESPUESTAS</w:t>
      </w:r>
      <w:r w:rsidRPr="00725A8F">
        <w:rPr>
          <w:sz w:val="28"/>
          <w:szCs w:val="28"/>
          <w:lang w:val="es-ES_tradnl"/>
        </w:rPr>
        <w:br/>
      </w:r>
      <w:r w:rsidRPr="00725A8F">
        <w:rPr>
          <w:sz w:val="28"/>
          <w:lang w:val="es-ES_tradnl"/>
        </w:rPr>
        <w:t>PROPUESTA DE PRESUPUESTO POR PROGRAMAS PARA 2016/17</w:t>
      </w:r>
    </w:p>
    <w:p w:rsidR="00C25DAA" w:rsidRPr="00725A8F" w:rsidRDefault="00C25DAA" w:rsidP="0060117F">
      <w:pPr>
        <w:rPr>
          <w:rFonts w:ascii="Arial Bold" w:hAnsi="Arial Bold" w:hint="eastAsia"/>
          <w:smallCaps/>
          <w:u w:val="single"/>
          <w:lang w:val="es-ES_tradnl"/>
        </w:rPr>
      </w:pPr>
    </w:p>
    <w:p w:rsidR="00C25DAA" w:rsidRPr="00725A8F" w:rsidRDefault="00C25DAA" w:rsidP="0060117F">
      <w:pPr>
        <w:rPr>
          <w:rFonts w:ascii="Arial Bold" w:hAnsi="Arial Bold" w:hint="eastAsia"/>
          <w:b/>
          <w:smallCaps/>
          <w:u w:val="single"/>
          <w:lang w:val="es-ES_tradnl"/>
        </w:rPr>
      </w:pPr>
    </w:p>
    <w:p w:rsidR="00C25DAA" w:rsidRPr="00725A8F" w:rsidRDefault="00373B6D" w:rsidP="0060117F">
      <w:pPr>
        <w:rPr>
          <w:sz w:val="24"/>
          <w:szCs w:val="24"/>
          <w:lang w:val="es-ES_tradnl"/>
        </w:rPr>
      </w:pPr>
      <w:r w:rsidRPr="00725A8F">
        <w:rPr>
          <w:sz w:val="24"/>
          <w:lang w:val="es-ES_tradnl"/>
        </w:rPr>
        <w:t>PANORAMA FINANCIERO Y DE RESULTADOS</w:t>
      </w:r>
    </w:p>
    <w:p w:rsidR="00C25DAA" w:rsidRPr="00725A8F" w:rsidRDefault="00C25DAA" w:rsidP="0060117F">
      <w:pPr>
        <w:spacing w:before="120"/>
        <w:rPr>
          <w:b/>
          <w:lang w:val="es-ES_tradnl"/>
        </w:rPr>
      </w:pPr>
    </w:p>
    <w:p w:rsidR="009C3F6D" w:rsidRPr="00725A8F" w:rsidRDefault="009C3F6D" w:rsidP="0060117F">
      <w:pPr>
        <w:pStyle w:val="ONUME"/>
        <w:keepNext/>
        <w:keepLines/>
        <w:numPr>
          <w:ilvl w:val="0"/>
          <w:numId w:val="0"/>
        </w:numPr>
        <w:jc w:val="both"/>
        <w:rPr>
          <w:lang w:val="es-ES_tradnl"/>
        </w:rPr>
      </w:pPr>
      <w:r w:rsidRPr="00725A8F">
        <w:rPr>
          <w:b/>
          <w:lang w:val="es-ES_tradnl"/>
        </w:rPr>
        <w:t>P1:  ¿Qué conceptos se incluyen en la categoría</w:t>
      </w:r>
      <w:r w:rsidR="0026751D" w:rsidRPr="00725A8F">
        <w:rPr>
          <w:b/>
          <w:lang w:val="es-ES_tradnl"/>
        </w:rPr>
        <w:t xml:space="preserve"> </w:t>
      </w:r>
      <w:r w:rsidR="0085234C">
        <w:rPr>
          <w:b/>
          <w:lang w:val="es-ES_tradnl"/>
        </w:rPr>
        <w:t>“</w:t>
      </w:r>
      <w:r w:rsidR="0044765B">
        <w:rPr>
          <w:b/>
          <w:lang w:val="es-ES_tradnl"/>
        </w:rPr>
        <w:t>Sin consignar</w:t>
      </w:r>
      <w:r w:rsidR="0085234C">
        <w:rPr>
          <w:b/>
          <w:lang w:val="es-ES_tradnl"/>
        </w:rPr>
        <w:t>”</w:t>
      </w:r>
      <w:r w:rsidRPr="00725A8F">
        <w:rPr>
          <w:b/>
          <w:lang w:val="es-ES_tradnl"/>
        </w:rPr>
        <w:t xml:space="preserve">?  </w:t>
      </w:r>
    </w:p>
    <w:p w:rsidR="001C28DF" w:rsidRPr="00725A8F" w:rsidRDefault="00B03034" w:rsidP="0060117F">
      <w:pPr>
        <w:jc w:val="both"/>
        <w:rPr>
          <w:bCs/>
          <w:szCs w:val="22"/>
          <w:lang w:val="es-ES_tradnl"/>
        </w:rPr>
      </w:pPr>
      <w:r>
        <w:rPr>
          <w:lang w:val="es-ES_tradnl"/>
        </w:rPr>
        <w:t xml:space="preserve">R1: </w:t>
      </w:r>
      <w:r w:rsidR="00C25DAA" w:rsidRPr="00725A8F">
        <w:rPr>
          <w:lang w:val="es-ES_tradnl"/>
        </w:rPr>
        <w:t xml:space="preserve"> </w:t>
      </w:r>
      <w:r w:rsidR="0026751D" w:rsidRPr="00725A8F">
        <w:rPr>
          <w:lang w:val="es-ES_tradnl"/>
        </w:rPr>
        <w:t xml:space="preserve">El importe de la categoría </w:t>
      </w:r>
      <w:r w:rsidR="0085234C">
        <w:rPr>
          <w:lang w:val="es-ES_tradnl"/>
        </w:rPr>
        <w:t>“</w:t>
      </w:r>
      <w:r w:rsidR="0044765B">
        <w:rPr>
          <w:lang w:val="es-ES_tradnl"/>
        </w:rPr>
        <w:t>Sin consignar</w:t>
      </w:r>
      <w:r w:rsidR="00725A8F">
        <w:rPr>
          <w:lang w:val="es-ES_tradnl"/>
        </w:rPr>
        <w:t xml:space="preserve"> (Personal)</w:t>
      </w:r>
      <w:r w:rsidR="0085234C">
        <w:rPr>
          <w:lang w:val="es-ES_tradnl"/>
        </w:rPr>
        <w:t>”</w:t>
      </w:r>
      <w:r w:rsidR="00725A8F">
        <w:rPr>
          <w:lang w:val="es-ES_tradnl"/>
        </w:rPr>
        <w:t xml:space="preserve"> asciende a 4,3 </w:t>
      </w:r>
      <w:r w:rsidR="00C25DAA" w:rsidRPr="00725A8F">
        <w:rPr>
          <w:lang w:val="es-ES_tradnl"/>
        </w:rPr>
        <w:t xml:space="preserve">millones de francos suizos y comprende los siguientes elementos: </w:t>
      </w:r>
    </w:p>
    <w:p w:rsidR="00CA3EBB" w:rsidRPr="00725A8F" w:rsidRDefault="00CA3EBB"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jc w:val="both"/>
        <w:rPr>
          <w:rFonts w:ascii="Arial" w:hAnsi="Arial" w:cs="Arial"/>
          <w:sz w:val="22"/>
          <w:szCs w:val="22"/>
          <w:lang w:val="es-ES_tradnl"/>
        </w:rPr>
      </w:pPr>
    </w:p>
    <w:p w:rsidR="001C28DF" w:rsidRPr="00725A8F" w:rsidRDefault="001C28DF" w:rsidP="0060117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s-ES_tradnl"/>
        </w:rPr>
      </w:pPr>
      <w:r w:rsidRPr="00725A8F">
        <w:rPr>
          <w:rFonts w:ascii="Arial" w:hAnsi="Arial"/>
          <w:sz w:val="22"/>
          <w:lang w:val="es-ES_tradnl"/>
        </w:rPr>
        <w:t>Una dotación de 1,5 millones de francos suizos para reclasificaciones;</w:t>
      </w:r>
    </w:p>
    <w:p w:rsidR="001C28DF" w:rsidRPr="00725A8F" w:rsidRDefault="001C28DF" w:rsidP="0060117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s-ES_tradnl"/>
        </w:rPr>
      </w:pPr>
      <w:r w:rsidRPr="00725A8F">
        <w:rPr>
          <w:rFonts w:ascii="Arial" w:hAnsi="Arial"/>
          <w:sz w:val="22"/>
          <w:lang w:val="es-ES_tradnl"/>
        </w:rPr>
        <w:t>Una dotación de 0,8 millones de francos suizos para la conclusión de la regularización de funciones permanentes (en el marco de la regularización de</w:t>
      </w:r>
      <w:r w:rsidR="00725A8F">
        <w:rPr>
          <w:rFonts w:ascii="Arial" w:hAnsi="Arial"/>
          <w:sz w:val="22"/>
          <w:lang w:val="es-ES_tradnl"/>
        </w:rPr>
        <w:t> 156 </w:t>
      </w:r>
      <w:r w:rsidRPr="00725A8F">
        <w:rPr>
          <w:rFonts w:ascii="Arial" w:hAnsi="Arial"/>
          <w:sz w:val="22"/>
          <w:lang w:val="es-ES_tradnl"/>
        </w:rPr>
        <w:t>puestos aprobada en principio por los Estados miembros (véase WO/CC/63/5));</w:t>
      </w:r>
    </w:p>
    <w:p w:rsidR="001C28DF" w:rsidRPr="00725A8F" w:rsidRDefault="001C28DF" w:rsidP="0060117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sz w:val="22"/>
          <w:szCs w:val="22"/>
          <w:lang w:val="es-ES_tradnl"/>
        </w:rPr>
      </w:pPr>
      <w:r w:rsidRPr="00725A8F">
        <w:rPr>
          <w:rFonts w:ascii="Arial" w:hAnsi="Arial"/>
          <w:sz w:val="22"/>
          <w:lang w:val="es-ES_tradnl"/>
        </w:rPr>
        <w:t>Una dotación de</w:t>
      </w:r>
      <w:r w:rsidR="00725A8F">
        <w:rPr>
          <w:rFonts w:ascii="Arial" w:hAnsi="Arial"/>
          <w:sz w:val="22"/>
          <w:lang w:val="es-ES_tradnl"/>
        </w:rPr>
        <w:t> 2 </w:t>
      </w:r>
      <w:r w:rsidRPr="00725A8F">
        <w:rPr>
          <w:rFonts w:ascii="Arial" w:hAnsi="Arial"/>
          <w:sz w:val="22"/>
          <w:lang w:val="es-ES_tradnl"/>
        </w:rPr>
        <w:t xml:space="preserve">millones de francos suizos para los gastos por horas extraordinarias presupuestados sobre la base de </w:t>
      </w:r>
      <w:r w:rsidR="00B8327C" w:rsidRPr="00725A8F">
        <w:rPr>
          <w:rFonts w:ascii="Arial" w:hAnsi="Arial"/>
          <w:sz w:val="22"/>
          <w:lang w:val="es-ES_tradnl"/>
        </w:rPr>
        <w:t xml:space="preserve">patrones </w:t>
      </w:r>
      <w:r w:rsidRPr="00725A8F">
        <w:rPr>
          <w:rFonts w:ascii="Arial" w:hAnsi="Arial"/>
          <w:sz w:val="22"/>
          <w:lang w:val="es-ES_tradnl"/>
        </w:rPr>
        <w:t>de gasto pasad</w:t>
      </w:r>
      <w:r w:rsidR="00B8327C" w:rsidRPr="00725A8F">
        <w:rPr>
          <w:rFonts w:ascii="Arial" w:hAnsi="Arial"/>
          <w:sz w:val="22"/>
          <w:lang w:val="es-ES_tradnl"/>
        </w:rPr>
        <w:t>o</w:t>
      </w:r>
      <w:r w:rsidRPr="00725A8F">
        <w:rPr>
          <w:rFonts w:ascii="Arial" w:hAnsi="Arial"/>
          <w:sz w:val="22"/>
          <w:lang w:val="es-ES_tradnl"/>
        </w:rPr>
        <w:t>s.</w:t>
      </w:r>
    </w:p>
    <w:p w:rsidR="00CA3EBB" w:rsidRPr="00725A8F" w:rsidRDefault="00CA3EBB"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jc w:val="both"/>
        <w:rPr>
          <w:rFonts w:ascii="Arial" w:hAnsi="Arial" w:cs="Arial"/>
          <w:sz w:val="22"/>
          <w:szCs w:val="22"/>
          <w:lang w:val="es-ES_tradnl"/>
        </w:rPr>
      </w:pPr>
    </w:p>
    <w:p w:rsidR="001C28DF" w:rsidRDefault="001C28DF" w:rsidP="0060117F">
      <w:pPr>
        <w:ind w:firstLine="567"/>
        <w:jc w:val="both"/>
        <w:rPr>
          <w:lang w:val="es-ES_tradnl"/>
        </w:rPr>
      </w:pPr>
      <w:r w:rsidRPr="00725A8F">
        <w:rPr>
          <w:lang w:val="es-ES_tradnl"/>
        </w:rPr>
        <w:t xml:space="preserve">El importe de la categoría </w:t>
      </w:r>
      <w:r w:rsidR="0085234C">
        <w:rPr>
          <w:lang w:val="es-ES_tradnl"/>
        </w:rPr>
        <w:t>“</w:t>
      </w:r>
      <w:r w:rsidR="0044765B">
        <w:rPr>
          <w:lang w:val="es-ES_tradnl"/>
        </w:rPr>
        <w:t>Sin consignar</w:t>
      </w:r>
      <w:r w:rsidRPr="00725A8F">
        <w:rPr>
          <w:lang w:val="es-ES_tradnl"/>
        </w:rPr>
        <w:t xml:space="preserve"> (</w:t>
      </w:r>
      <w:r w:rsidR="0044765B">
        <w:rPr>
          <w:lang w:val="es-ES_tradnl"/>
        </w:rPr>
        <w:t>no relativos a personal</w:t>
      </w:r>
      <w:r w:rsidRPr="00725A8F">
        <w:rPr>
          <w:lang w:val="es-ES_tradnl"/>
        </w:rPr>
        <w:t>)</w:t>
      </w:r>
      <w:r w:rsidR="0085234C">
        <w:rPr>
          <w:lang w:val="es-ES_tradnl"/>
        </w:rPr>
        <w:t>”</w:t>
      </w:r>
      <w:r w:rsidRPr="00725A8F">
        <w:rPr>
          <w:lang w:val="es-ES_tradnl"/>
        </w:rPr>
        <w:t xml:space="preserve"> asciende a</w:t>
      </w:r>
      <w:r w:rsidR="00725A8F">
        <w:rPr>
          <w:lang w:val="es-ES_tradnl"/>
        </w:rPr>
        <w:t> 2 </w:t>
      </w:r>
      <w:r w:rsidRPr="00725A8F">
        <w:rPr>
          <w:lang w:val="es-ES_tradnl"/>
        </w:rPr>
        <w:t xml:space="preserve">millones de francos suizos y comprende los siguientes elementos: </w:t>
      </w:r>
    </w:p>
    <w:p w:rsidR="00725A8F" w:rsidRPr="00725A8F" w:rsidRDefault="00725A8F" w:rsidP="0060117F">
      <w:pPr>
        <w:ind w:firstLine="567"/>
        <w:jc w:val="both"/>
        <w:rPr>
          <w:bCs/>
          <w:szCs w:val="22"/>
          <w:lang w:val="es-ES_tradnl"/>
        </w:rPr>
      </w:pPr>
    </w:p>
    <w:p w:rsidR="001C28DF" w:rsidRPr="00725A8F" w:rsidRDefault="001C28DF" w:rsidP="0060117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lang w:val="es-ES_tradnl"/>
        </w:rPr>
      </w:pPr>
      <w:r w:rsidRPr="00725A8F">
        <w:rPr>
          <w:rFonts w:ascii="Arial" w:hAnsi="Arial"/>
          <w:sz w:val="22"/>
          <w:lang w:val="es-ES_tradnl"/>
        </w:rPr>
        <w:t>Una dotación de 1</w:t>
      </w:r>
      <w:r w:rsidR="00725A8F">
        <w:rPr>
          <w:rFonts w:ascii="Arial" w:hAnsi="Arial"/>
          <w:sz w:val="22"/>
          <w:lang w:val="es-ES_tradnl"/>
        </w:rPr>
        <w:t> </w:t>
      </w:r>
      <w:r w:rsidRPr="00725A8F">
        <w:rPr>
          <w:rFonts w:ascii="Arial" w:hAnsi="Arial"/>
          <w:sz w:val="22"/>
          <w:lang w:val="es-ES_tradnl"/>
        </w:rPr>
        <w:t xml:space="preserve">millón de francos suizos para el </w:t>
      </w:r>
      <w:r w:rsidR="00465EAF" w:rsidRPr="00725A8F">
        <w:rPr>
          <w:rFonts w:ascii="Arial" w:hAnsi="Arial"/>
          <w:sz w:val="22"/>
          <w:lang w:val="es-ES_tradnl"/>
        </w:rPr>
        <w:t xml:space="preserve">supuesto </w:t>
      </w:r>
      <w:r w:rsidRPr="00725A8F">
        <w:rPr>
          <w:rFonts w:ascii="Arial" w:hAnsi="Arial"/>
          <w:sz w:val="22"/>
          <w:lang w:val="es-ES_tradnl"/>
        </w:rPr>
        <w:t>de que los Estados miembros decidieran convocar una conferencia diplomática en el bienio</w:t>
      </w:r>
      <w:r w:rsidR="00725A8F">
        <w:rPr>
          <w:rFonts w:ascii="Arial" w:hAnsi="Arial"/>
          <w:sz w:val="22"/>
          <w:lang w:val="es-ES_tradnl"/>
        </w:rPr>
        <w:t> </w:t>
      </w:r>
      <w:r w:rsidRPr="00725A8F">
        <w:rPr>
          <w:rFonts w:ascii="Arial" w:hAnsi="Arial"/>
          <w:sz w:val="22"/>
          <w:lang w:val="es-ES_tradnl"/>
        </w:rPr>
        <w:t>2016/17;</w:t>
      </w:r>
    </w:p>
    <w:p w:rsidR="001C28DF" w:rsidRPr="00725A8F" w:rsidRDefault="00725A8F" w:rsidP="0060117F">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bCs/>
          <w:sz w:val="22"/>
          <w:szCs w:val="22"/>
          <w:lang w:val="es-ES_tradnl"/>
        </w:rPr>
      </w:pPr>
      <w:r>
        <w:rPr>
          <w:rFonts w:ascii="Arial" w:hAnsi="Arial"/>
          <w:sz w:val="22"/>
          <w:lang w:val="es-ES_tradnl"/>
        </w:rPr>
        <w:t>Una dotación de 1 </w:t>
      </w:r>
      <w:r w:rsidR="001C28DF" w:rsidRPr="00725A8F">
        <w:rPr>
          <w:rFonts w:ascii="Arial" w:hAnsi="Arial"/>
          <w:sz w:val="22"/>
          <w:lang w:val="es-ES_tradnl"/>
        </w:rPr>
        <w:t xml:space="preserve">millón de francos suizos para el supuesto de que los Estados miembros decidieran abrir nuevas oficinas en el exterior. </w:t>
      </w:r>
    </w:p>
    <w:p w:rsidR="00C25DAA" w:rsidRPr="00725A8F" w:rsidRDefault="00C25DAA" w:rsidP="0060117F">
      <w:pPr>
        <w:jc w:val="both"/>
        <w:rPr>
          <w:lang w:val="es-ES_tradnl"/>
        </w:rPr>
      </w:pPr>
    </w:p>
    <w:p w:rsidR="007F094A" w:rsidRPr="00725A8F" w:rsidRDefault="007F094A" w:rsidP="0060117F">
      <w:pPr>
        <w:pStyle w:val="ONUME"/>
        <w:numPr>
          <w:ilvl w:val="0"/>
          <w:numId w:val="0"/>
        </w:numPr>
        <w:spacing w:after="0"/>
        <w:jc w:val="both"/>
        <w:rPr>
          <w:b/>
          <w:bCs/>
          <w:lang w:val="es-ES_tradnl"/>
        </w:rPr>
      </w:pPr>
    </w:p>
    <w:p w:rsidR="00C25DAA" w:rsidRPr="00725A8F" w:rsidRDefault="007D5422" w:rsidP="0060117F">
      <w:pPr>
        <w:pStyle w:val="ONUME"/>
        <w:numPr>
          <w:ilvl w:val="0"/>
          <w:numId w:val="0"/>
        </w:numPr>
        <w:jc w:val="both"/>
        <w:rPr>
          <w:b/>
          <w:bCs/>
          <w:lang w:val="es-ES_tradnl"/>
        </w:rPr>
      </w:pPr>
      <w:r w:rsidRPr="00725A8F">
        <w:rPr>
          <w:b/>
          <w:lang w:val="es-ES_tradnl"/>
        </w:rPr>
        <w:t>P2:  ¿En el cuadro</w:t>
      </w:r>
      <w:r w:rsidR="00725A8F">
        <w:rPr>
          <w:b/>
          <w:lang w:val="es-ES_tradnl"/>
        </w:rPr>
        <w:t> </w:t>
      </w:r>
      <w:r w:rsidRPr="00725A8F">
        <w:rPr>
          <w:b/>
          <w:lang w:val="es-ES_tradnl"/>
        </w:rPr>
        <w:t xml:space="preserve">3, </w:t>
      </w:r>
      <w:r w:rsidR="0085234C">
        <w:rPr>
          <w:b/>
          <w:lang w:val="es-ES_tradnl"/>
        </w:rPr>
        <w:t>“</w:t>
      </w:r>
      <w:r w:rsidRPr="00725A8F">
        <w:rPr>
          <w:b/>
          <w:lang w:val="es-ES_tradnl"/>
        </w:rPr>
        <w:t>Evolución de los in</w:t>
      </w:r>
      <w:r w:rsidR="00725A8F">
        <w:rPr>
          <w:b/>
          <w:lang w:val="es-ES_tradnl"/>
        </w:rPr>
        <w:t xml:space="preserve">gresos de la Organización </w:t>
      </w:r>
      <w:r w:rsidR="001D294E">
        <w:rPr>
          <w:b/>
          <w:lang w:val="es-ES_tradnl"/>
        </w:rPr>
        <w:t>de</w:t>
      </w:r>
      <w:r w:rsidR="00725A8F">
        <w:rPr>
          <w:b/>
          <w:lang w:val="es-ES_tradnl"/>
        </w:rPr>
        <w:t> </w:t>
      </w:r>
      <w:r w:rsidRPr="00725A8F">
        <w:rPr>
          <w:b/>
          <w:lang w:val="es-ES_tradnl"/>
        </w:rPr>
        <w:t xml:space="preserve">2006/07 </w:t>
      </w:r>
      <w:r w:rsidR="001D294E">
        <w:rPr>
          <w:b/>
          <w:lang w:val="es-ES_tradnl"/>
        </w:rPr>
        <w:t>a</w:t>
      </w:r>
      <w:r w:rsidR="00725A8F">
        <w:rPr>
          <w:b/>
          <w:lang w:val="es-ES_tradnl"/>
        </w:rPr>
        <w:t> </w:t>
      </w:r>
      <w:r w:rsidRPr="00725A8F">
        <w:rPr>
          <w:b/>
          <w:lang w:val="es-ES_tradnl"/>
        </w:rPr>
        <w:t>2016/17</w:t>
      </w:r>
      <w:r w:rsidR="0085234C">
        <w:rPr>
          <w:b/>
          <w:lang w:val="es-ES_tradnl"/>
        </w:rPr>
        <w:t>”</w:t>
      </w:r>
      <w:r w:rsidRPr="00725A8F">
        <w:rPr>
          <w:b/>
          <w:lang w:val="es-ES_tradnl"/>
        </w:rPr>
        <w:t xml:space="preserve">, se incluyen los ingresos relacionados con los fondos fiduciarios? </w:t>
      </w:r>
    </w:p>
    <w:p w:rsidR="00C25DAA" w:rsidRPr="00725A8F" w:rsidRDefault="00C25DAA" w:rsidP="0060117F">
      <w:pPr>
        <w:jc w:val="both"/>
        <w:rPr>
          <w:lang w:val="es-ES_tradnl"/>
        </w:rPr>
      </w:pPr>
      <w:r w:rsidRPr="00725A8F">
        <w:rPr>
          <w:lang w:val="es-ES_tradnl"/>
        </w:rPr>
        <w:t>R2:  No. El cuadro</w:t>
      </w:r>
      <w:r w:rsidR="00725A8F">
        <w:rPr>
          <w:lang w:val="es-ES_tradnl"/>
        </w:rPr>
        <w:t> </w:t>
      </w:r>
      <w:r w:rsidRPr="00725A8F">
        <w:rPr>
          <w:lang w:val="es-ES_tradnl"/>
        </w:rPr>
        <w:t>3 se refiere únicamente al presupuesto ordinario</w:t>
      </w:r>
      <w:r w:rsidR="0085234C">
        <w:rPr>
          <w:lang w:val="es-ES_tradnl"/>
        </w:rPr>
        <w:t xml:space="preserve">. </w:t>
      </w:r>
      <w:r w:rsidRPr="00725A8F">
        <w:rPr>
          <w:lang w:val="es-ES_tradnl"/>
        </w:rPr>
        <w:t xml:space="preserve">En el </w:t>
      </w:r>
      <w:r w:rsidR="00FC091D" w:rsidRPr="00725A8F">
        <w:rPr>
          <w:lang w:val="es-ES_tradnl"/>
        </w:rPr>
        <w:t>A</w:t>
      </w:r>
      <w:r w:rsidRPr="00725A8F">
        <w:rPr>
          <w:lang w:val="es-ES_tradnl"/>
        </w:rPr>
        <w:t>nexo</w:t>
      </w:r>
      <w:r w:rsidR="00725A8F">
        <w:rPr>
          <w:lang w:val="es-ES_tradnl"/>
        </w:rPr>
        <w:t> </w:t>
      </w:r>
      <w:r w:rsidRPr="00725A8F">
        <w:rPr>
          <w:lang w:val="es-ES_tradnl"/>
        </w:rPr>
        <w:t>VIII se recoge una estimación de los fondos fiduciarios disponibles potencialmente p</w:t>
      </w:r>
      <w:r w:rsidR="00725A8F">
        <w:rPr>
          <w:lang w:val="es-ES_tradnl"/>
        </w:rPr>
        <w:t>ara su utilización en el bienio </w:t>
      </w:r>
      <w:r w:rsidRPr="00725A8F">
        <w:rPr>
          <w:lang w:val="es-ES_tradnl"/>
        </w:rPr>
        <w:t>2016/17.</w:t>
      </w:r>
    </w:p>
    <w:p w:rsidR="00C25DAA" w:rsidRPr="00725A8F" w:rsidRDefault="00C25DAA" w:rsidP="0060117F">
      <w:pPr>
        <w:jc w:val="both"/>
        <w:rPr>
          <w:lang w:val="es-ES_tradnl"/>
        </w:rPr>
      </w:pPr>
    </w:p>
    <w:p w:rsidR="00A6648F" w:rsidRPr="00725A8F" w:rsidRDefault="00A6648F" w:rsidP="0060117F">
      <w:pPr>
        <w:jc w:val="both"/>
        <w:rPr>
          <w:lang w:val="es-ES_tradnl"/>
        </w:rPr>
      </w:pPr>
    </w:p>
    <w:p w:rsidR="00C25DAA" w:rsidRPr="00725A8F" w:rsidRDefault="007D5422" w:rsidP="0060117F">
      <w:pPr>
        <w:pStyle w:val="ONUME"/>
        <w:numPr>
          <w:ilvl w:val="0"/>
          <w:numId w:val="0"/>
        </w:numPr>
        <w:jc w:val="both"/>
        <w:rPr>
          <w:b/>
          <w:lang w:val="es-ES_tradnl"/>
        </w:rPr>
      </w:pPr>
      <w:r w:rsidRPr="00725A8F">
        <w:rPr>
          <w:b/>
          <w:lang w:val="es-ES_tradnl"/>
        </w:rPr>
        <w:t>P3:  ¿En dónde se hacen constar los ahorros y la</w:t>
      </w:r>
      <w:r w:rsidR="00372483" w:rsidRPr="00725A8F">
        <w:rPr>
          <w:b/>
          <w:lang w:val="es-ES_tradnl"/>
        </w:rPr>
        <w:t>s</w:t>
      </w:r>
      <w:r w:rsidRPr="00725A8F">
        <w:rPr>
          <w:b/>
          <w:lang w:val="es-ES_tradnl"/>
        </w:rPr>
        <w:t xml:space="preserve"> </w:t>
      </w:r>
      <w:r w:rsidR="00372483" w:rsidRPr="00725A8F">
        <w:rPr>
          <w:b/>
          <w:lang w:val="es-ES_tradnl"/>
        </w:rPr>
        <w:t xml:space="preserve">mejoras de la </w:t>
      </w:r>
      <w:r w:rsidRPr="00725A8F">
        <w:rPr>
          <w:b/>
          <w:lang w:val="es-ES_tradnl"/>
        </w:rPr>
        <w:t>eficacia en función de los costos en 2014?</w:t>
      </w:r>
      <w:r w:rsidR="0026751D" w:rsidRPr="00725A8F">
        <w:rPr>
          <w:lang w:val="es-ES_tradnl"/>
        </w:rPr>
        <w:t xml:space="preserve"> </w:t>
      </w:r>
    </w:p>
    <w:p w:rsidR="00C25DAA" w:rsidRPr="00725A8F" w:rsidRDefault="00C25DAA" w:rsidP="0060117F">
      <w:pPr>
        <w:jc w:val="both"/>
        <w:rPr>
          <w:lang w:val="es-ES_tradnl"/>
        </w:rPr>
      </w:pPr>
      <w:r w:rsidRPr="00725A8F">
        <w:rPr>
          <w:lang w:val="es-ES_tradnl"/>
        </w:rPr>
        <w:t>R3:  Los ahorros y la</w:t>
      </w:r>
      <w:r w:rsidR="00372483" w:rsidRPr="00725A8F">
        <w:rPr>
          <w:lang w:val="es-ES_tradnl"/>
        </w:rPr>
        <w:t>s</w:t>
      </w:r>
      <w:r w:rsidRPr="00725A8F">
        <w:rPr>
          <w:lang w:val="es-ES_tradnl"/>
        </w:rPr>
        <w:t xml:space="preserve"> </w:t>
      </w:r>
      <w:r w:rsidR="00372483" w:rsidRPr="00725A8F">
        <w:rPr>
          <w:lang w:val="es-ES_tradnl"/>
        </w:rPr>
        <w:t xml:space="preserve">mejoras de la </w:t>
      </w:r>
      <w:r w:rsidRPr="00725A8F">
        <w:rPr>
          <w:lang w:val="es-ES_tradnl"/>
        </w:rPr>
        <w:t>eficacia en función de los costos conseguidos en</w:t>
      </w:r>
      <w:r w:rsidR="00314399">
        <w:rPr>
          <w:lang w:val="es-ES_tradnl"/>
        </w:rPr>
        <w:t> </w:t>
      </w:r>
      <w:r w:rsidRPr="00725A8F">
        <w:rPr>
          <w:lang w:val="es-ES_tradnl"/>
        </w:rPr>
        <w:t xml:space="preserve">2014 se indican en el Informe sobre el </w:t>
      </w:r>
      <w:r w:rsidR="00314399">
        <w:rPr>
          <w:lang w:val="es-ES_tradnl"/>
        </w:rPr>
        <w:t>rendimiento de los programas en </w:t>
      </w:r>
      <w:r w:rsidRPr="00725A8F">
        <w:rPr>
          <w:lang w:val="es-ES_tradnl"/>
        </w:rPr>
        <w:t xml:space="preserve">2014. En la </w:t>
      </w:r>
      <w:r w:rsidR="001D294E" w:rsidRPr="00725A8F">
        <w:rPr>
          <w:lang w:val="es-ES_tradnl"/>
        </w:rPr>
        <w:t>vigesim</w:t>
      </w:r>
      <w:r w:rsidR="001D294E">
        <w:rPr>
          <w:lang w:val="es-ES_tradnl"/>
        </w:rPr>
        <w:t>otercera sesión del PBC</w:t>
      </w:r>
      <w:r w:rsidRPr="00725A8F">
        <w:rPr>
          <w:lang w:val="es-ES_tradnl"/>
        </w:rPr>
        <w:t xml:space="preserve"> se facilitará un documento informativo independiente, en el que se ofrecerá una descripción general consolidada de los ahorros y la</w:t>
      </w:r>
      <w:r w:rsidR="00372483" w:rsidRPr="00725A8F">
        <w:rPr>
          <w:lang w:val="es-ES_tradnl"/>
        </w:rPr>
        <w:t>s</w:t>
      </w:r>
      <w:r w:rsidRPr="00725A8F">
        <w:rPr>
          <w:lang w:val="es-ES_tradnl"/>
        </w:rPr>
        <w:t xml:space="preserve"> </w:t>
      </w:r>
      <w:r w:rsidR="00372483" w:rsidRPr="00725A8F">
        <w:rPr>
          <w:lang w:val="es-ES_tradnl"/>
        </w:rPr>
        <w:t xml:space="preserve">mejoras de la eficacia </w:t>
      </w:r>
      <w:r w:rsidRPr="00725A8F">
        <w:rPr>
          <w:lang w:val="es-ES_tradnl"/>
        </w:rPr>
        <w:t>en función de los costos logrados en</w:t>
      </w:r>
      <w:r w:rsidR="00314399">
        <w:rPr>
          <w:lang w:val="es-ES_tradnl"/>
        </w:rPr>
        <w:t> </w:t>
      </w:r>
      <w:r w:rsidRPr="00725A8F">
        <w:rPr>
          <w:lang w:val="es-ES_tradnl"/>
        </w:rPr>
        <w:t xml:space="preserve">2014 y/o que se </w:t>
      </w:r>
      <w:r w:rsidR="00562F84" w:rsidRPr="00725A8F">
        <w:rPr>
          <w:lang w:val="es-ES_tradnl"/>
        </w:rPr>
        <w:t xml:space="preserve">fijan </w:t>
      </w:r>
      <w:r w:rsidRPr="00725A8F">
        <w:rPr>
          <w:lang w:val="es-ES_tradnl"/>
        </w:rPr>
        <w:t xml:space="preserve">como referencia en </w:t>
      </w:r>
      <w:r w:rsidR="00B8327C" w:rsidRPr="00725A8F">
        <w:rPr>
          <w:lang w:val="es-ES_tradnl"/>
        </w:rPr>
        <w:t>la propuesta d</w:t>
      </w:r>
      <w:r w:rsidRPr="00725A8F">
        <w:rPr>
          <w:lang w:val="es-ES_tradnl"/>
        </w:rPr>
        <w:t xml:space="preserve">e presupuesto por programas </w:t>
      </w:r>
      <w:r w:rsidR="00314399">
        <w:rPr>
          <w:lang w:val="es-ES_tradnl"/>
        </w:rPr>
        <w:t>para </w:t>
      </w:r>
      <w:r w:rsidRPr="00725A8F">
        <w:rPr>
          <w:lang w:val="es-ES_tradnl"/>
        </w:rPr>
        <w:t>2016/17</w:t>
      </w:r>
      <w:r w:rsidR="0085234C">
        <w:rPr>
          <w:lang w:val="es-ES_tradnl"/>
        </w:rPr>
        <w:t xml:space="preserve">. </w:t>
      </w:r>
    </w:p>
    <w:p w:rsidR="009B77F8" w:rsidRPr="00725A8F" w:rsidRDefault="009B77F8" w:rsidP="0060117F">
      <w:pPr>
        <w:pStyle w:val="PlainText"/>
        <w:jc w:val="both"/>
        <w:rPr>
          <w:rFonts w:ascii="Arial" w:hAnsi="Arial" w:cs="Arial"/>
          <w:b/>
          <w:bCs/>
          <w:iCs/>
          <w:lang w:val="es-ES_tradnl"/>
        </w:rPr>
      </w:pPr>
    </w:p>
    <w:p w:rsidR="00F364D6" w:rsidRPr="00725A8F" w:rsidRDefault="00F364D6" w:rsidP="0060117F">
      <w:pPr>
        <w:pStyle w:val="PlainText"/>
        <w:jc w:val="both"/>
        <w:rPr>
          <w:rFonts w:ascii="Arial" w:hAnsi="Arial" w:cs="Arial"/>
          <w:b/>
          <w:bCs/>
          <w:iCs/>
          <w:lang w:val="es-ES_tradnl"/>
        </w:rPr>
      </w:pPr>
    </w:p>
    <w:p w:rsidR="003F2BB6" w:rsidRPr="00725A8F" w:rsidRDefault="003F2BB6" w:rsidP="0060117F">
      <w:pPr>
        <w:pStyle w:val="PlainText"/>
        <w:jc w:val="both"/>
        <w:rPr>
          <w:rFonts w:ascii="Arial" w:eastAsia="SimSun" w:hAnsi="Arial" w:cs="Arial"/>
          <w:b/>
          <w:szCs w:val="20"/>
          <w:lang w:val="es-ES_tradnl"/>
        </w:rPr>
      </w:pPr>
      <w:r w:rsidRPr="00725A8F">
        <w:rPr>
          <w:rFonts w:ascii="Arial" w:hAnsi="Arial"/>
          <w:b/>
          <w:lang w:val="es-ES_tradnl"/>
        </w:rPr>
        <w:t xml:space="preserve">P4:  ¿Cuáles son los principales factores </w:t>
      </w:r>
      <w:r w:rsidR="00686574" w:rsidRPr="00725A8F">
        <w:rPr>
          <w:rFonts w:ascii="Arial" w:hAnsi="Arial"/>
          <w:b/>
          <w:lang w:val="es-ES_tradnl"/>
        </w:rPr>
        <w:t xml:space="preserve">determinantes </w:t>
      </w:r>
      <w:r w:rsidR="0051490E" w:rsidRPr="00725A8F">
        <w:rPr>
          <w:rFonts w:ascii="Arial" w:hAnsi="Arial"/>
          <w:b/>
          <w:lang w:val="es-ES_tradnl"/>
        </w:rPr>
        <w:t>d</w:t>
      </w:r>
      <w:r w:rsidRPr="00725A8F">
        <w:rPr>
          <w:rFonts w:ascii="Arial" w:hAnsi="Arial"/>
          <w:b/>
          <w:lang w:val="es-ES_tradnl"/>
        </w:rPr>
        <w:t xml:space="preserve">el </w:t>
      </w:r>
      <w:r w:rsidR="00686574" w:rsidRPr="00725A8F">
        <w:rPr>
          <w:rFonts w:ascii="Arial" w:hAnsi="Arial"/>
          <w:b/>
          <w:lang w:val="es-ES_tradnl"/>
        </w:rPr>
        <w:t xml:space="preserve">incremento </w:t>
      </w:r>
      <w:r w:rsidR="00314399">
        <w:rPr>
          <w:rFonts w:ascii="Arial" w:hAnsi="Arial"/>
          <w:b/>
          <w:lang w:val="es-ES_tradnl"/>
        </w:rPr>
        <w:t>del </w:t>
      </w:r>
      <w:r w:rsidRPr="00725A8F">
        <w:rPr>
          <w:rFonts w:ascii="Arial" w:hAnsi="Arial"/>
          <w:b/>
          <w:lang w:val="es-ES_tradnl"/>
        </w:rPr>
        <w:t>4</w:t>
      </w:r>
      <w:r w:rsidR="00314399">
        <w:rPr>
          <w:rFonts w:ascii="Arial" w:hAnsi="Arial"/>
          <w:b/>
          <w:lang w:val="es-ES_tradnl"/>
        </w:rPr>
        <w:t>,9% propuesto en el presupuesto </w:t>
      </w:r>
      <w:r w:rsidRPr="00725A8F">
        <w:rPr>
          <w:rFonts w:ascii="Arial" w:hAnsi="Arial"/>
          <w:b/>
          <w:lang w:val="es-ES_tradnl"/>
        </w:rPr>
        <w:t>2016/17?</w:t>
      </w:r>
    </w:p>
    <w:p w:rsidR="00D45E73" w:rsidRPr="00725A8F" w:rsidRDefault="00D45E73" w:rsidP="0060117F">
      <w:pPr>
        <w:pStyle w:val="PlainText"/>
        <w:jc w:val="both"/>
        <w:rPr>
          <w:rFonts w:ascii="Arial" w:hAnsi="Arial" w:cs="Arial"/>
          <w:b/>
          <w:bCs/>
          <w:i/>
          <w:iCs/>
          <w:lang w:val="es-ES_tradnl"/>
        </w:rPr>
      </w:pPr>
    </w:p>
    <w:p w:rsidR="00283E88" w:rsidRPr="00725A8F" w:rsidRDefault="00B51F1D" w:rsidP="0060117F">
      <w:pPr>
        <w:pStyle w:val="PlainText"/>
        <w:jc w:val="both"/>
        <w:rPr>
          <w:rFonts w:ascii="Arial" w:hAnsi="Arial" w:cs="Arial"/>
          <w:lang w:val="es-ES_tradnl"/>
        </w:rPr>
      </w:pPr>
      <w:r>
        <w:rPr>
          <w:rFonts w:ascii="Arial" w:hAnsi="Arial"/>
          <w:lang w:val="es-ES_tradnl"/>
        </w:rPr>
        <w:t>R4:  </w:t>
      </w:r>
      <w:r w:rsidR="00314399">
        <w:rPr>
          <w:rFonts w:ascii="Arial" w:hAnsi="Arial"/>
          <w:lang w:val="es-ES_tradnl"/>
        </w:rPr>
        <w:t>Los párrafos 17 a </w:t>
      </w:r>
      <w:r w:rsidR="003F2BB6" w:rsidRPr="00725A8F">
        <w:rPr>
          <w:rFonts w:ascii="Arial" w:hAnsi="Arial"/>
          <w:lang w:val="es-ES_tradnl"/>
        </w:rPr>
        <w:t xml:space="preserve">39 contienen un resumen de las prioridades fundamentales </w:t>
      </w:r>
      <w:r w:rsidR="0051490E" w:rsidRPr="00725A8F">
        <w:rPr>
          <w:rFonts w:ascii="Arial" w:hAnsi="Arial"/>
          <w:lang w:val="es-ES_tradnl"/>
        </w:rPr>
        <w:t xml:space="preserve">para </w:t>
      </w:r>
      <w:r w:rsidR="00314399">
        <w:rPr>
          <w:rFonts w:ascii="Arial" w:hAnsi="Arial"/>
          <w:lang w:val="es-ES_tradnl"/>
        </w:rPr>
        <w:t>el bienio </w:t>
      </w:r>
      <w:r w:rsidR="003F2BB6" w:rsidRPr="00725A8F">
        <w:rPr>
          <w:rFonts w:ascii="Arial" w:hAnsi="Arial"/>
          <w:lang w:val="es-ES_tradnl"/>
        </w:rPr>
        <w:t>2016/17</w:t>
      </w:r>
      <w:r w:rsidR="0085234C">
        <w:rPr>
          <w:rFonts w:ascii="Arial" w:hAnsi="Arial"/>
          <w:lang w:val="es-ES_tradnl"/>
        </w:rPr>
        <w:t xml:space="preserve">. </w:t>
      </w:r>
      <w:r w:rsidR="00314399">
        <w:rPr>
          <w:rFonts w:ascii="Arial" w:hAnsi="Arial"/>
          <w:lang w:val="es-ES_tradnl"/>
        </w:rPr>
        <w:t>En el cuadro </w:t>
      </w:r>
      <w:r w:rsidR="003F2BB6" w:rsidRPr="00725A8F">
        <w:rPr>
          <w:rFonts w:ascii="Arial" w:hAnsi="Arial"/>
          <w:lang w:val="es-ES_tradnl"/>
        </w:rPr>
        <w:t>5 del Panorama Financiero y de</w:t>
      </w:r>
      <w:r w:rsidR="00314399">
        <w:rPr>
          <w:rFonts w:ascii="Arial" w:hAnsi="Arial"/>
          <w:lang w:val="es-ES_tradnl"/>
        </w:rPr>
        <w:t xml:space="preserve"> Resultados y en el cuadro </w:t>
      </w:r>
      <w:r w:rsidR="003F2BB6" w:rsidRPr="00725A8F">
        <w:rPr>
          <w:rFonts w:ascii="Arial" w:hAnsi="Arial"/>
          <w:lang w:val="es-ES_tradnl"/>
        </w:rPr>
        <w:t xml:space="preserve">9 del </w:t>
      </w:r>
      <w:r w:rsidR="00FC091D" w:rsidRPr="00725A8F">
        <w:rPr>
          <w:rFonts w:ascii="Arial" w:hAnsi="Arial"/>
          <w:lang w:val="es-ES_tradnl"/>
        </w:rPr>
        <w:t>A</w:t>
      </w:r>
      <w:r w:rsidR="003F2BB6" w:rsidRPr="00725A8F">
        <w:rPr>
          <w:rFonts w:ascii="Arial" w:hAnsi="Arial"/>
          <w:lang w:val="es-ES_tradnl"/>
        </w:rPr>
        <w:t>nexo</w:t>
      </w:r>
      <w:r w:rsidR="00314399">
        <w:rPr>
          <w:rFonts w:ascii="Arial" w:hAnsi="Arial"/>
          <w:lang w:val="es-ES_tradnl"/>
        </w:rPr>
        <w:t> II se compara el presupuesto 2016/17 con el presupuesto</w:t>
      </w:r>
      <w:r w:rsidR="001D294E">
        <w:rPr>
          <w:rFonts w:ascii="Arial" w:hAnsi="Arial"/>
          <w:lang w:val="es-ES_tradnl"/>
        </w:rPr>
        <w:t xml:space="preserve"> de</w:t>
      </w:r>
      <w:r w:rsidR="00314399">
        <w:rPr>
          <w:rFonts w:ascii="Arial" w:hAnsi="Arial"/>
          <w:lang w:val="es-ES_tradnl"/>
        </w:rPr>
        <w:t> </w:t>
      </w:r>
      <w:r w:rsidR="003F2BB6" w:rsidRPr="00725A8F">
        <w:rPr>
          <w:rFonts w:ascii="Arial" w:hAnsi="Arial"/>
          <w:lang w:val="es-ES_tradnl"/>
        </w:rPr>
        <w:t xml:space="preserve">2014/15 </w:t>
      </w:r>
      <w:r w:rsidR="001D294E">
        <w:rPr>
          <w:rFonts w:ascii="Arial" w:hAnsi="Arial"/>
          <w:lang w:val="es-ES_tradnl"/>
        </w:rPr>
        <w:t xml:space="preserve">tras </w:t>
      </w:r>
      <w:r w:rsidR="003F2BB6" w:rsidRPr="00725A8F">
        <w:rPr>
          <w:rFonts w:ascii="Arial" w:hAnsi="Arial"/>
          <w:lang w:val="es-ES_tradnl"/>
        </w:rPr>
        <w:t>las transferencias por categorías de costos y programas</w:t>
      </w:r>
      <w:r w:rsidR="0051490E" w:rsidRPr="00725A8F">
        <w:rPr>
          <w:rFonts w:ascii="Arial" w:hAnsi="Arial"/>
          <w:lang w:val="es-ES_tradnl"/>
        </w:rPr>
        <w:t>,</w:t>
      </w:r>
      <w:r w:rsidR="003F2BB6" w:rsidRPr="00725A8F">
        <w:rPr>
          <w:rFonts w:ascii="Arial" w:hAnsi="Arial"/>
          <w:lang w:val="es-ES_tradnl"/>
        </w:rPr>
        <w:t xml:space="preserve"> respectivamente.</w:t>
      </w:r>
    </w:p>
    <w:p w:rsidR="00283E88" w:rsidRPr="00725A8F" w:rsidRDefault="00283E88" w:rsidP="0060117F">
      <w:pPr>
        <w:pStyle w:val="PlainText"/>
        <w:jc w:val="both"/>
        <w:rPr>
          <w:rFonts w:ascii="Arial" w:hAnsi="Arial" w:cs="Arial"/>
          <w:lang w:val="es-ES_tradnl"/>
        </w:rPr>
      </w:pPr>
    </w:p>
    <w:p w:rsidR="000541CF" w:rsidRPr="001D294E" w:rsidRDefault="000541CF" w:rsidP="0060117F">
      <w:pPr>
        <w:pStyle w:val="PlainText"/>
        <w:jc w:val="both"/>
        <w:rPr>
          <w:rFonts w:ascii="Arial" w:hAnsi="Arial"/>
          <w:lang w:val="es-ES_tradnl"/>
        </w:rPr>
      </w:pPr>
      <w:r w:rsidRPr="00725A8F">
        <w:rPr>
          <w:rFonts w:ascii="Arial" w:hAnsi="Arial"/>
          <w:lang w:val="es-ES_tradnl"/>
        </w:rPr>
        <w:t xml:space="preserve">Los principales factores </w:t>
      </w:r>
      <w:r w:rsidR="00686574" w:rsidRPr="00725A8F">
        <w:rPr>
          <w:rFonts w:ascii="Arial" w:hAnsi="Arial"/>
          <w:lang w:val="es-ES_tradnl"/>
        </w:rPr>
        <w:t>responsables d</w:t>
      </w:r>
      <w:r w:rsidRPr="00725A8F">
        <w:rPr>
          <w:rFonts w:ascii="Arial" w:hAnsi="Arial"/>
          <w:lang w:val="es-ES_tradnl"/>
        </w:rPr>
        <w:t xml:space="preserve">el incremento de los recursos de personal se resumen en las </w:t>
      </w:r>
      <w:r w:rsidR="00686574" w:rsidRPr="00725A8F">
        <w:rPr>
          <w:rFonts w:ascii="Arial" w:hAnsi="Arial"/>
          <w:lang w:val="es-ES_tradnl"/>
        </w:rPr>
        <w:t>H</w:t>
      </w:r>
      <w:r w:rsidRPr="00725A8F">
        <w:rPr>
          <w:rFonts w:ascii="Arial" w:hAnsi="Arial"/>
          <w:lang w:val="es-ES_tradnl"/>
        </w:rPr>
        <w:t xml:space="preserve">ipótesis de planificación para gastos de personal </w:t>
      </w:r>
      <w:r w:rsidR="00686574" w:rsidRPr="00725A8F">
        <w:rPr>
          <w:rFonts w:ascii="Arial" w:hAnsi="Arial"/>
          <w:lang w:val="es-ES_tradnl"/>
        </w:rPr>
        <w:t xml:space="preserve">recogidas </w:t>
      </w:r>
      <w:r w:rsidRPr="00725A8F">
        <w:rPr>
          <w:rFonts w:ascii="Arial" w:hAnsi="Arial"/>
          <w:lang w:val="es-ES_tradnl"/>
        </w:rPr>
        <w:t>en los párrafos</w:t>
      </w:r>
      <w:r w:rsidR="00314399">
        <w:rPr>
          <w:rFonts w:ascii="Arial" w:hAnsi="Arial"/>
          <w:lang w:val="es-ES_tradnl"/>
        </w:rPr>
        <w:t> 53 a </w:t>
      </w:r>
      <w:r w:rsidRPr="00725A8F">
        <w:rPr>
          <w:rFonts w:ascii="Arial" w:hAnsi="Arial"/>
          <w:lang w:val="es-ES_tradnl"/>
        </w:rPr>
        <w:t>59</w:t>
      </w:r>
      <w:r w:rsidR="0085234C">
        <w:rPr>
          <w:rFonts w:ascii="Arial" w:hAnsi="Arial"/>
          <w:lang w:val="es-ES_tradnl"/>
        </w:rPr>
        <w:t xml:space="preserve">. </w:t>
      </w:r>
      <w:r w:rsidRPr="00725A8F">
        <w:rPr>
          <w:rFonts w:ascii="Arial" w:hAnsi="Arial"/>
          <w:lang w:val="es-ES_tradnl"/>
        </w:rPr>
        <w:t>No se prevé l</w:t>
      </w:r>
      <w:r w:rsidR="00314399">
        <w:rPr>
          <w:rFonts w:ascii="Arial" w:hAnsi="Arial"/>
          <w:lang w:val="es-ES_tradnl"/>
        </w:rPr>
        <w:t xml:space="preserve">a creación de nuevos </w:t>
      </w:r>
      <w:r w:rsidR="001D294E">
        <w:rPr>
          <w:rFonts w:ascii="Arial" w:hAnsi="Arial"/>
          <w:lang w:val="es-ES_tradnl"/>
        </w:rPr>
        <w:t>cargos</w:t>
      </w:r>
      <w:r w:rsidR="00314399">
        <w:rPr>
          <w:rFonts w:ascii="Arial" w:hAnsi="Arial"/>
          <w:lang w:val="es-ES_tradnl"/>
        </w:rPr>
        <w:t xml:space="preserve"> en 2016/17 (véase el párrafo </w:t>
      </w:r>
      <w:r w:rsidRPr="00725A8F">
        <w:rPr>
          <w:rFonts w:ascii="Arial" w:hAnsi="Arial"/>
          <w:lang w:val="es-ES_tradnl"/>
        </w:rPr>
        <w:t>57)</w:t>
      </w:r>
      <w:r w:rsidR="0085234C">
        <w:rPr>
          <w:rFonts w:ascii="Arial" w:hAnsi="Arial"/>
          <w:lang w:val="es-ES_tradnl"/>
        </w:rPr>
        <w:t xml:space="preserve">. </w:t>
      </w:r>
      <w:r w:rsidRPr="00725A8F">
        <w:rPr>
          <w:rFonts w:ascii="Arial" w:hAnsi="Arial"/>
          <w:lang w:val="es-ES_tradnl"/>
        </w:rPr>
        <w:t xml:space="preserve">Los incrementos de los gastos de personal se deben fundamentalmente a los aumentos reglamentarios y a las regularizaciones realizadas (que se ven compensados por las reducciones en la categoría de costos de </w:t>
      </w:r>
      <w:r w:rsidR="0085234C">
        <w:rPr>
          <w:rFonts w:ascii="Arial" w:hAnsi="Arial"/>
          <w:lang w:val="es-ES_tradnl"/>
        </w:rPr>
        <w:t>“</w:t>
      </w:r>
      <w:r w:rsidRPr="00725A8F">
        <w:rPr>
          <w:rFonts w:ascii="Arial" w:hAnsi="Arial"/>
          <w:lang w:val="es-ES_tradnl"/>
        </w:rPr>
        <w:t>personal tempor</w:t>
      </w:r>
      <w:r w:rsidR="001D294E">
        <w:rPr>
          <w:rFonts w:ascii="Arial" w:hAnsi="Arial"/>
          <w:lang w:val="es-ES_tradnl"/>
        </w:rPr>
        <w:t>al</w:t>
      </w:r>
      <w:r w:rsidR="0085234C">
        <w:rPr>
          <w:rFonts w:ascii="Arial" w:hAnsi="Arial"/>
          <w:lang w:val="es-ES_tradnl"/>
        </w:rPr>
        <w:t>”</w:t>
      </w:r>
      <w:r w:rsidRPr="00725A8F">
        <w:rPr>
          <w:rFonts w:ascii="Arial" w:hAnsi="Arial"/>
          <w:lang w:val="es-ES_tradnl"/>
        </w:rPr>
        <w:t>).</w:t>
      </w:r>
    </w:p>
    <w:p w:rsidR="000541CF" w:rsidRPr="00725A8F" w:rsidRDefault="000541CF" w:rsidP="0060117F">
      <w:pPr>
        <w:pStyle w:val="PlainText"/>
        <w:jc w:val="both"/>
        <w:rPr>
          <w:rFonts w:ascii="Arial" w:hAnsi="Arial" w:cs="Arial"/>
          <w:lang w:val="es-ES_tradnl"/>
        </w:rPr>
      </w:pPr>
    </w:p>
    <w:p w:rsidR="003F2BB6" w:rsidRPr="00725A8F" w:rsidRDefault="00472E81" w:rsidP="0060117F">
      <w:pPr>
        <w:pStyle w:val="PlainText"/>
        <w:jc w:val="both"/>
        <w:rPr>
          <w:rFonts w:ascii="Arial" w:hAnsi="Arial" w:cs="Arial"/>
          <w:lang w:val="es-ES_tradnl"/>
        </w:rPr>
      </w:pPr>
      <w:r w:rsidRPr="00725A8F">
        <w:rPr>
          <w:rFonts w:ascii="Arial" w:hAnsi="Arial"/>
          <w:lang w:val="es-ES_tradnl"/>
        </w:rPr>
        <w:t>En los párrafos</w:t>
      </w:r>
      <w:r w:rsidR="00314399">
        <w:rPr>
          <w:rFonts w:ascii="Arial" w:hAnsi="Arial"/>
          <w:lang w:val="es-ES_tradnl"/>
        </w:rPr>
        <w:t> 40 a </w:t>
      </w:r>
      <w:r w:rsidRPr="00725A8F">
        <w:rPr>
          <w:rFonts w:ascii="Arial" w:hAnsi="Arial"/>
          <w:lang w:val="es-ES_tradnl"/>
        </w:rPr>
        <w:t xml:space="preserve">44 se resumen los principales factores que explican los incrementos de los gastos </w:t>
      </w:r>
      <w:r w:rsidR="0044765B">
        <w:rPr>
          <w:rFonts w:ascii="Arial" w:hAnsi="Arial"/>
          <w:lang w:val="es-ES_tradnl"/>
        </w:rPr>
        <w:t>no relativos a personal</w:t>
      </w:r>
      <w:r w:rsidRPr="00725A8F">
        <w:rPr>
          <w:rFonts w:ascii="Arial" w:hAnsi="Arial"/>
          <w:lang w:val="es-ES_tradnl"/>
        </w:rPr>
        <w:t xml:space="preserve">. Los notables incrementos netos en los recursos </w:t>
      </w:r>
      <w:r w:rsidR="0044765B">
        <w:rPr>
          <w:rFonts w:ascii="Arial" w:hAnsi="Arial"/>
          <w:lang w:val="es-ES_tradnl"/>
        </w:rPr>
        <w:t>no relativos a personal</w:t>
      </w:r>
      <w:r w:rsidRPr="00725A8F">
        <w:rPr>
          <w:rFonts w:ascii="Arial" w:hAnsi="Arial"/>
          <w:lang w:val="es-ES_tradnl"/>
        </w:rPr>
        <w:t xml:space="preserve"> son atribuibles al programa</w:t>
      </w:r>
      <w:r w:rsidR="00314399">
        <w:rPr>
          <w:rFonts w:ascii="Arial" w:hAnsi="Arial"/>
          <w:lang w:val="es-ES_tradnl"/>
        </w:rPr>
        <w:t> </w:t>
      </w:r>
      <w:r w:rsidRPr="00725A8F">
        <w:rPr>
          <w:rFonts w:ascii="Arial" w:hAnsi="Arial"/>
          <w:lang w:val="es-ES_tradnl"/>
        </w:rPr>
        <w:t xml:space="preserve">5, Sistema del PCT (5,6 millones de francos suizos), principalmente debido al aumento del volumen de traducción del PCT y las dotaciones </w:t>
      </w:r>
      <w:r w:rsidR="006A6A89" w:rsidRPr="00725A8F">
        <w:rPr>
          <w:rFonts w:ascii="Arial" w:hAnsi="Arial"/>
          <w:lang w:val="es-ES_tradnl"/>
        </w:rPr>
        <w:t xml:space="preserve">dirigidas a </w:t>
      </w:r>
      <w:r w:rsidR="00686574" w:rsidRPr="00725A8F">
        <w:rPr>
          <w:rFonts w:ascii="Arial" w:hAnsi="Arial"/>
          <w:lang w:val="es-ES_tradnl"/>
        </w:rPr>
        <w:t xml:space="preserve">fortalecer la capacidad de reacción </w:t>
      </w:r>
      <w:r w:rsidR="00314399">
        <w:rPr>
          <w:rFonts w:ascii="Arial" w:hAnsi="Arial"/>
          <w:lang w:val="es-ES_tradnl"/>
        </w:rPr>
        <w:t>del PCT; al programa </w:t>
      </w:r>
      <w:r w:rsidRPr="00725A8F">
        <w:rPr>
          <w:rFonts w:ascii="Arial" w:hAnsi="Arial"/>
          <w:lang w:val="es-ES_tradnl"/>
        </w:rPr>
        <w:t>6, S</w:t>
      </w:r>
      <w:r w:rsidR="00314399">
        <w:rPr>
          <w:rFonts w:ascii="Arial" w:hAnsi="Arial"/>
          <w:lang w:val="es-ES_tradnl"/>
        </w:rPr>
        <w:t>istemas de Madrid y Lisboa (2,5 </w:t>
      </w:r>
      <w:r w:rsidRPr="00725A8F">
        <w:rPr>
          <w:rFonts w:ascii="Arial" w:hAnsi="Arial"/>
          <w:lang w:val="es-ES_tradnl"/>
        </w:rPr>
        <w:t xml:space="preserve">millones de francos suizos), fundamentalmente como consecuencia de la ampliación del número de miembros del </w:t>
      </w:r>
      <w:r w:rsidR="00914767">
        <w:rPr>
          <w:rFonts w:ascii="Arial" w:hAnsi="Arial"/>
          <w:lang w:val="es-ES_tradnl"/>
        </w:rPr>
        <w:t>Sistema</w:t>
      </w:r>
      <w:r w:rsidRPr="00725A8F">
        <w:rPr>
          <w:rFonts w:ascii="Arial" w:hAnsi="Arial"/>
          <w:lang w:val="es-ES_tradnl"/>
        </w:rPr>
        <w:t xml:space="preserve"> de Madrid y la mejora de </w:t>
      </w:r>
      <w:r w:rsidR="00686574" w:rsidRPr="00725A8F">
        <w:rPr>
          <w:rFonts w:ascii="Arial" w:hAnsi="Arial"/>
          <w:lang w:val="es-ES_tradnl"/>
        </w:rPr>
        <w:t xml:space="preserve">su </w:t>
      </w:r>
      <w:r w:rsidR="00314399">
        <w:rPr>
          <w:rFonts w:ascii="Arial" w:hAnsi="Arial"/>
          <w:lang w:val="es-ES_tradnl"/>
        </w:rPr>
        <w:t>eficacia operativa; al programa </w:t>
      </w:r>
      <w:r w:rsidRPr="00725A8F">
        <w:rPr>
          <w:rFonts w:ascii="Arial" w:hAnsi="Arial"/>
          <w:lang w:val="es-ES_tradnl"/>
        </w:rPr>
        <w:t xml:space="preserve">25, Tecnologías de la información y de las comunicaciones (6,9 millones de francos suizos), sobre todo a raíz de la mayor dependencia de </w:t>
      </w:r>
      <w:r w:rsidR="00182ECD" w:rsidRPr="00725A8F">
        <w:rPr>
          <w:rFonts w:ascii="Arial" w:hAnsi="Arial"/>
          <w:lang w:val="es-ES_tradnl"/>
        </w:rPr>
        <w:t xml:space="preserve">unas </w:t>
      </w:r>
      <w:r w:rsidRPr="00725A8F">
        <w:rPr>
          <w:rFonts w:ascii="Arial" w:hAnsi="Arial"/>
          <w:lang w:val="es-ES_tradnl"/>
        </w:rPr>
        <w:t>infraestructuras y servicios fiables y eficaces de TIC; al progr</w:t>
      </w:r>
      <w:r w:rsidR="00314399">
        <w:rPr>
          <w:rFonts w:ascii="Arial" w:hAnsi="Arial"/>
          <w:lang w:val="es-ES_tradnl"/>
        </w:rPr>
        <w:t>ama </w:t>
      </w:r>
      <w:r w:rsidRPr="00725A8F">
        <w:rPr>
          <w:rFonts w:ascii="Arial" w:hAnsi="Arial"/>
          <w:lang w:val="es-ES_tradnl"/>
        </w:rPr>
        <w:t>28, Aseguramiento de la información, seguridad y vigilancia (3,9</w:t>
      </w:r>
      <w:r w:rsidR="00314399">
        <w:rPr>
          <w:rFonts w:ascii="Arial" w:hAnsi="Arial"/>
          <w:lang w:val="es-ES_tradnl"/>
        </w:rPr>
        <w:t> </w:t>
      </w:r>
      <w:r w:rsidRPr="00725A8F">
        <w:rPr>
          <w:rFonts w:ascii="Arial" w:hAnsi="Arial"/>
          <w:lang w:val="es-ES_tradnl"/>
        </w:rPr>
        <w:t xml:space="preserve">millones de francos suizos), principalmente </w:t>
      </w:r>
      <w:r w:rsidR="00686574" w:rsidRPr="00725A8F">
        <w:rPr>
          <w:rFonts w:ascii="Arial" w:hAnsi="Arial"/>
          <w:lang w:val="es-ES_tradnl"/>
        </w:rPr>
        <w:t xml:space="preserve">de cara a </w:t>
      </w:r>
      <w:r w:rsidRPr="00725A8F">
        <w:rPr>
          <w:rFonts w:ascii="Arial" w:hAnsi="Arial"/>
          <w:lang w:val="es-ES_tradnl"/>
        </w:rPr>
        <w:t>la ejecución de estrategias de aseguramiento de la información en 2016/17; y al programa</w:t>
      </w:r>
      <w:r w:rsidR="00314399">
        <w:rPr>
          <w:rFonts w:ascii="Arial" w:hAnsi="Arial"/>
          <w:lang w:val="es-ES_tradnl"/>
        </w:rPr>
        <w:t> </w:t>
      </w:r>
      <w:r w:rsidRPr="00725A8F">
        <w:rPr>
          <w:rFonts w:ascii="Arial" w:hAnsi="Arial"/>
          <w:lang w:val="es-ES_tradnl"/>
        </w:rPr>
        <w:t>22, Ges</w:t>
      </w:r>
      <w:r w:rsidR="00314399">
        <w:rPr>
          <w:rFonts w:ascii="Arial" w:hAnsi="Arial"/>
          <w:lang w:val="es-ES_tradnl"/>
        </w:rPr>
        <w:t>tión de programas y recursos (4 </w:t>
      </w:r>
      <w:r w:rsidRPr="00725A8F">
        <w:rPr>
          <w:rFonts w:ascii="Arial" w:hAnsi="Arial"/>
          <w:lang w:val="es-ES_tradnl"/>
        </w:rPr>
        <w:t>millones de francos suizos), fundamentalmente como consecuencia de la integración operativa de los nuevos módulos y capacidades del sistema de planificación de los recursos institucionales y las provisiones para tipos de interés negativos sobre depósitos en francos suizos.</w:t>
      </w:r>
    </w:p>
    <w:p w:rsidR="003F2BB6" w:rsidRPr="00725A8F" w:rsidRDefault="003F2BB6" w:rsidP="0060117F">
      <w:pPr>
        <w:pStyle w:val="PlainText"/>
        <w:rPr>
          <w:rFonts w:ascii="Arial" w:hAnsi="Arial" w:cs="Arial"/>
          <w:lang w:val="es-ES_tradnl"/>
        </w:rPr>
      </w:pPr>
    </w:p>
    <w:p w:rsidR="002F446C" w:rsidRPr="00725A8F" w:rsidRDefault="002F446C" w:rsidP="0060117F">
      <w:pPr>
        <w:tabs>
          <w:tab w:val="num" w:pos="720"/>
        </w:tabs>
        <w:jc w:val="both"/>
        <w:rPr>
          <w:b/>
          <w:lang w:val="es-ES_tradnl"/>
        </w:rPr>
      </w:pPr>
      <w:r w:rsidRPr="00725A8F">
        <w:rPr>
          <w:b/>
          <w:lang w:val="es-ES_tradnl"/>
        </w:rPr>
        <w:t xml:space="preserve">P5: </w:t>
      </w:r>
      <w:r w:rsidR="00314399">
        <w:rPr>
          <w:b/>
          <w:lang w:val="es-ES_tradnl"/>
        </w:rPr>
        <w:t xml:space="preserve"> </w:t>
      </w:r>
      <w:r w:rsidRPr="00725A8F">
        <w:rPr>
          <w:b/>
          <w:lang w:val="es-ES_tradnl"/>
        </w:rPr>
        <w:t>Uno de los principales factores determinantes del incremento del gasto es la necesidad de reforzar las TIC y la seguridad de la información</w:t>
      </w:r>
      <w:r w:rsidR="0085234C">
        <w:rPr>
          <w:b/>
          <w:lang w:val="es-ES_tradnl"/>
        </w:rPr>
        <w:t xml:space="preserve">. </w:t>
      </w:r>
      <w:r w:rsidRPr="00725A8F">
        <w:rPr>
          <w:b/>
          <w:lang w:val="es-ES_tradnl"/>
        </w:rPr>
        <w:t>¿</w:t>
      </w:r>
      <w:r w:rsidR="00372483" w:rsidRPr="00725A8F">
        <w:rPr>
          <w:b/>
          <w:lang w:val="es-ES_tradnl"/>
        </w:rPr>
        <w:t>Difiere e</w:t>
      </w:r>
      <w:r w:rsidRPr="00725A8F">
        <w:rPr>
          <w:b/>
          <w:lang w:val="es-ES_tradnl"/>
        </w:rPr>
        <w:t>l correspondiente gasto propuesto de</w:t>
      </w:r>
      <w:r w:rsidR="00372483" w:rsidRPr="00725A8F">
        <w:rPr>
          <w:b/>
          <w:lang w:val="es-ES_tradnl"/>
        </w:rPr>
        <w:t xml:space="preserve">l consignado para </w:t>
      </w:r>
      <w:r w:rsidRPr="00725A8F">
        <w:rPr>
          <w:b/>
          <w:lang w:val="es-ES_tradnl"/>
        </w:rPr>
        <w:t xml:space="preserve">los proyectos del Plan maestro de mejoras de infraestructuras </w:t>
      </w:r>
      <w:r w:rsidR="00372483" w:rsidRPr="00725A8F">
        <w:rPr>
          <w:b/>
          <w:lang w:val="es-ES_tradnl"/>
        </w:rPr>
        <w:t xml:space="preserve">aprobado por </w:t>
      </w:r>
      <w:r w:rsidR="00314399">
        <w:rPr>
          <w:b/>
          <w:lang w:val="es-ES_tradnl"/>
        </w:rPr>
        <w:t>los Estados miembros en </w:t>
      </w:r>
      <w:r w:rsidRPr="00725A8F">
        <w:rPr>
          <w:b/>
          <w:lang w:val="es-ES_tradnl"/>
        </w:rPr>
        <w:t xml:space="preserve">2013 </w:t>
      </w:r>
      <w:r w:rsidR="00372483" w:rsidRPr="00725A8F">
        <w:rPr>
          <w:b/>
          <w:lang w:val="es-ES_tradnl"/>
        </w:rPr>
        <w:t xml:space="preserve">y financiado con </w:t>
      </w:r>
      <w:r w:rsidRPr="00725A8F">
        <w:rPr>
          <w:b/>
          <w:lang w:val="es-ES_tradnl"/>
        </w:rPr>
        <w:t xml:space="preserve">cargo a reservas? </w:t>
      </w:r>
    </w:p>
    <w:p w:rsidR="003227DB" w:rsidRPr="00725A8F" w:rsidRDefault="003227DB" w:rsidP="0060117F">
      <w:pPr>
        <w:pStyle w:val="PlainText"/>
        <w:jc w:val="both"/>
        <w:rPr>
          <w:rFonts w:ascii="Arial" w:hAnsi="Arial" w:cs="Arial"/>
          <w:lang w:val="es-ES_tradnl"/>
        </w:rPr>
      </w:pPr>
    </w:p>
    <w:p w:rsidR="002C06D4" w:rsidRPr="00725A8F" w:rsidRDefault="002F446C" w:rsidP="0060117F">
      <w:pPr>
        <w:pStyle w:val="PlainText"/>
        <w:jc w:val="both"/>
        <w:rPr>
          <w:rFonts w:ascii="Arial" w:hAnsi="Arial" w:cs="Arial"/>
          <w:lang w:val="es-ES_tradnl"/>
        </w:rPr>
      </w:pPr>
      <w:r w:rsidRPr="00725A8F">
        <w:rPr>
          <w:rFonts w:ascii="Arial" w:hAnsi="Arial"/>
          <w:lang w:val="es-ES_tradnl"/>
        </w:rPr>
        <w:t xml:space="preserve">R5: </w:t>
      </w:r>
      <w:r w:rsidR="00314399">
        <w:rPr>
          <w:rFonts w:ascii="Arial" w:hAnsi="Arial"/>
          <w:lang w:val="es-ES_tradnl"/>
        </w:rPr>
        <w:t xml:space="preserve"> </w:t>
      </w:r>
      <w:r w:rsidRPr="00725A8F">
        <w:rPr>
          <w:rFonts w:ascii="Arial" w:hAnsi="Arial"/>
          <w:lang w:val="es-ES_tradnl"/>
        </w:rPr>
        <w:t xml:space="preserve">Las inversiones en seguridad de la información y TIC obedecen a la creciente amenaza del ciberterrorismo, la exigencia de </w:t>
      </w:r>
      <w:r w:rsidR="00372483" w:rsidRPr="00725A8F">
        <w:rPr>
          <w:rFonts w:ascii="Arial" w:hAnsi="Arial"/>
          <w:lang w:val="es-ES_tradnl"/>
        </w:rPr>
        <w:t xml:space="preserve">fortalecer la capacidad de reacción </w:t>
      </w:r>
      <w:r w:rsidRPr="00725A8F">
        <w:rPr>
          <w:rFonts w:ascii="Arial" w:hAnsi="Arial"/>
          <w:lang w:val="es-ES_tradnl"/>
        </w:rPr>
        <w:t xml:space="preserve">de la </w:t>
      </w:r>
      <w:r w:rsidR="006A6A89" w:rsidRPr="00725A8F">
        <w:rPr>
          <w:rFonts w:ascii="Arial" w:hAnsi="Arial"/>
          <w:lang w:val="es-ES_tradnl"/>
        </w:rPr>
        <w:t>O</w:t>
      </w:r>
      <w:r w:rsidRPr="00725A8F">
        <w:rPr>
          <w:rFonts w:ascii="Arial" w:hAnsi="Arial"/>
          <w:lang w:val="es-ES_tradnl"/>
        </w:rPr>
        <w:t>rganización y la necesidad de solucionar las deficiencias de seguridad detectadas con ocasión de la auditoría de seguridad de la información llevada a cabo en</w:t>
      </w:r>
      <w:r w:rsidR="00314399">
        <w:rPr>
          <w:rFonts w:ascii="Arial" w:hAnsi="Arial"/>
          <w:lang w:val="es-ES_tradnl"/>
        </w:rPr>
        <w:t> </w:t>
      </w:r>
      <w:r w:rsidRPr="00725A8F">
        <w:rPr>
          <w:rFonts w:ascii="Arial" w:hAnsi="Arial"/>
          <w:lang w:val="es-ES_tradnl"/>
        </w:rPr>
        <w:t>2013. El Plan maestro de mejoras de infraestructuras relativas a TI, aproba</w:t>
      </w:r>
      <w:r w:rsidR="00314399">
        <w:rPr>
          <w:rFonts w:ascii="Arial" w:hAnsi="Arial"/>
          <w:lang w:val="es-ES_tradnl"/>
        </w:rPr>
        <w:t>do en </w:t>
      </w:r>
      <w:r w:rsidRPr="00725A8F">
        <w:rPr>
          <w:rFonts w:ascii="Arial" w:hAnsi="Arial"/>
          <w:lang w:val="es-ES_tradnl"/>
        </w:rPr>
        <w:t xml:space="preserve">2013 por los Estados miembros </w:t>
      </w:r>
      <w:r w:rsidR="00372483" w:rsidRPr="00725A8F">
        <w:rPr>
          <w:rFonts w:ascii="Arial" w:hAnsi="Arial"/>
          <w:lang w:val="es-ES_tradnl"/>
        </w:rPr>
        <w:t xml:space="preserve">y financiado </w:t>
      </w:r>
      <w:r w:rsidRPr="00725A8F">
        <w:rPr>
          <w:rFonts w:ascii="Arial" w:hAnsi="Arial"/>
          <w:lang w:val="es-ES_tradnl"/>
        </w:rPr>
        <w:t xml:space="preserve">con cargo a reservas, se refiere a la gestión de contenidos institucionales y la gestión de identidades. Estos proyectos no se solapan con el gasto propuesto que se recoge en </w:t>
      </w:r>
      <w:r w:rsidR="00314399">
        <w:rPr>
          <w:rFonts w:ascii="Arial" w:hAnsi="Arial"/>
          <w:lang w:val="es-ES_tradnl"/>
        </w:rPr>
        <w:t>el presupuesto por programas de </w:t>
      </w:r>
      <w:r w:rsidRPr="00725A8F">
        <w:rPr>
          <w:rFonts w:ascii="Arial" w:hAnsi="Arial"/>
          <w:lang w:val="es-ES_tradnl"/>
        </w:rPr>
        <w:t>2016/17, sino que lo complementan.</w:t>
      </w:r>
    </w:p>
    <w:p w:rsidR="002F446C" w:rsidRPr="00725A8F" w:rsidRDefault="002F446C" w:rsidP="0060117F">
      <w:pPr>
        <w:pStyle w:val="PlainText"/>
        <w:rPr>
          <w:rFonts w:ascii="Arial" w:hAnsi="Arial" w:cs="Arial"/>
          <w:lang w:val="es-ES_tradnl"/>
        </w:rPr>
      </w:pPr>
    </w:p>
    <w:p w:rsidR="002F446C" w:rsidRPr="00725A8F" w:rsidRDefault="002F446C" w:rsidP="0060117F">
      <w:pPr>
        <w:pStyle w:val="PlainText"/>
        <w:rPr>
          <w:rFonts w:ascii="Arial" w:hAnsi="Arial" w:cs="Arial"/>
          <w:lang w:val="es-ES_tradnl"/>
        </w:rPr>
      </w:pPr>
    </w:p>
    <w:p w:rsidR="00D45E73" w:rsidRPr="00725A8F" w:rsidRDefault="00D45E73" w:rsidP="0060117F">
      <w:pPr>
        <w:pStyle w:val="PlainText"/>
        <w:jc w:val="both"/>
        <w:rPr>
          <w:rFonts w:ascii="Arial" w:hAnsi="Arial" w:cs="Arial"/>
          <w:b/>
          <w:bCs/>
          <w:iCs/>
          <w:lang w:val="es-ES_tradnl"/>
        </w:rPr>
      </w:pPr>
      <w:r w:rsidRPr="00725A8F">
        <w:rPr>
          <w:rFonts w:ascii="Arial" w:hAnsi="Arial"/>
          <w:b/>
          <w:lang w:val="es-ES_tradnl"/>
        </w:rPr>
        <w:t>P6:  La legislación de ciertos Estados miembros no permite dotar una provisión presupuestaria para tipos de interés negativos</w:t>
      </w:r>
      <w:r w:rsidR="0085234C">
        <w:rPr>
          <w:rFonts w:ascii="Arial" w:hAnsi="Arial"/>
          <w:b/>
          <w:lang w:val="es-ES_tradnl"/>
        </w:rPr>
        <w:t xml:space="preserve">. </w:t>
      </w:r>
      <w:r w:rsidRPr="00725A8F">
        <w:rPr>
          <w:rFonts w:ascii="Arial" w:hAnsi="Arial"/>
          <w:b/>
          <w:lang w:val="es-ES_tradnl"/>
        </w:rPr>
        <w:t>¿Ha negociado la OMPI con los bancos a fin de elevar el umbral de 10</w:t>
      </w:r>
      <w:r w:rsidR="00314399">
        <w:rPr>
          <w:rFonts w:ascii="Arial" w:hAnsi="Arial"/>
          <w:b/>
          <w:lang w:val="es-ES_tradnl"/>
        </w:rPr>
        <w:t> </w:t>
      </w:r>
      <w:r w:rsidRPr="00725A8F">
        <w:rPr>
          <w:rFonts w:ascii="Arial" w:hAnsi="Arial"/>
          <w:b/>
          <w:lang w:val="es-ES_tradnl"/>
        </w:rPr>
        <w:t>millones de francos suizos por encima del cual se aplican tipos de interés negativos?</w:t>
      </w:r>
    </w:p>
    <w:p w:rsidR="00D45E73" w:rsidRPr="00725A8F" w:rsidRDefault="00D45E73" w:rsidP="0060117F">
      <w:pPr>
        <w:pStyle w:val="PlainText"/>
        <w:jc w:val="both"/>
        <w:rPr>
          <w:rFonts w:ascii="Arial" w:hAnsi="Arial" w:cs="Arial"/>
          <w:lang w:val="es-ES_tradnl"/>
        </w:rPr>
      </w:pPr>
    </w:p>
    <w:p w:rsidR="00804452" w:rsidRPr="00725A8F" w:rsidRDefault="00D45E73" w:rsidP="0060117F">
      <w:pPr>
        <w:pStyle w:val="PlainText"/>
        <w:jc w:val="both"/>
        <w:rPr>
          <w:rFonts w:ascii="Arial" w:hAnsi="Arial" w:cs="Arial"/>
          <w:lang w:val="es-ES_tradnl"/>
        </w:rPr>
      </w:pPr>
      <w:r w:rsidRPr="00725A8F">
        <w:rPr>
          <w:rFonts w:ascii="Arial" w:hAnsi="Arial"/>
          <w:lang w:val="es-ES_tradnl"/>
        </w:rPr>
        <w:t>R6:</w:t>
      </w:r>
      <w:r w:rsidR="00B51F1D">
        <w:rPr>
          <w:rFonts w:ascii="Arial" w:hAnsi="Arial"/>
          <w:lang w:val="es-ES_tradnl"/>
        </w:rPr>
        <w:t xml:space="preserve"> </w:t>
      </w:r>
      <w:r w:rsidRPr="00725A8F">
        <w:rPr>
          <w:rFonts w:ascii="Arial" w:hAnsi="Arial"/>
          <w:lang w:val="es-ES_tradnl"/>
        </w:rPr>
        <w:t xml:space="preserve"> Los umbrales actualmente vigentes ascienden en total a</w:t>
      </w:r>
      <w:r w:rsidR="00314399">
        <w:rPr>
          <w:rFonts w:ascii="Arial" w:hAnsi="Arial"/>
          <w:lang w:val="es-ES_tradnl"/>
        </w:rPr>
        <w:t> 125 </w:t>
      </w:r>
      <w:r w:rsidRPr="00725A8F">
        <w:rPr>
          <w:rFonts w:ascii="Arial" w:hAnsi="Arial"/>
          <w:lang w:val="es-ES_tradnl"/>
        </w:rPr>
        <w:t>millones de francos suizos (se incluyen los depósitos a corto plazo que no devengan intereses)</w:t>
      </w:r>
      <w:r w:rsidR="0085234C">
        <w:rPr>
          <w:rFonts w:ascii="Arial" w:hAnsi="Arial"/>
          <w:lang w:val="es-ES_tradnl"/>
        </w:rPr>
        <w:t xml:space="preserve">. </w:t>
      </w:r>
      <w:r w:rsidRPr="00725A8F">
        <w:rPr>
          <w:rFonts w:ascii="Arial" w:hAnsi="Arial"/>
          <w:lang w:val="es-ES_tradnl"/>
        </w:rPr>
        <w:t>Es muy improbable que los dos bancos que han ofrecido estos umbrales de exención los aumenten. En realidad, resulta más probable que dichos umbrales se reduzcan como consecuencia de la evolución del mercado.</w:t>
      </w:r>
    </w:p>
    <w:p w:rsidR="00804452" w:rsidRPr="00725A8F" w:rsidRDefault="00804452" w:rsidP="0060117F">
      <w:pPr>
        <w:pStyle w:val="PlainText"/>
        <w:jc w:val="both"/>
        <w:rPr>
          <w:rFonts w:ascii="Arial" w:hAnsi="Arial" w:cs="Arial"/>
          <w:lang w:val="es-ES_tradnl"/>
        </w:rPr>
      </w:pPr>
    </w:p>
    <w:p w:rsidR="00804452" w:rsidRPr="00725A8F" w:rsidRDefault="00804452" w:rsidP="0060117F">
      <w:pPr>
        <w:pStyle w:val="PlainText"/>
        <w:jc w:val="both"/>
        <w:rPr>
          <w:rFonts w:ascii="Arial" w:hAnsi="Arial" w:cs="Arial"/>
          <w:lang w:val="es-ES_tradnl"/>
        </w:rPr>
      </w:pPr>
      <w:r w:rsidRPr="00725A8F">
        <w:rPr>
          <w:rFonts w:ascii="Arial" w:hAnsi="Arial"/>
          <w:lang w:val="es-ES_tradnl"/>
        </w:rPr>
        <w:t>Por otra parte, cada vez es más difícil establecer nuevas relaciones bancarias en francos suizos y, si se consiguiera, no parece previsible que los nuevos bancos ofrecieran umbrales de exención.</w:t>
      </w:r>
    </w:p>
    <w:p w:rsidR="00D45E73" w:rsidRPr="00725A8F" w:rsidRDefault="00D45E73" w:rsidP="0060117F">
      <w:pPr>
        <w:pStyle w:val="PlainText"/>
        <w:rPr>
          <w:rFonts w:ascii="Arial" w:hAnsi="Arial" w:cs="Arial"/>
          <w:lang w:val="es-ES_tradnl"/>
        </w:rPr>
      </w:pPr>
    </w:p>
    <w:p w:rsidR="00D45E73" w:rsidRPr="00725A8F" w:rsidRDefault="00D45E73" w:rsidP="0060117F">
      <w:pPr>
        <w:rPr>
          <w:b/>
          <w:bCs/>
          <w:lang w:val="es-ES_tradnl"/>
        </w:rPr>
      </w:pPr>
    </w:p>
    <w:p w:rsidR="00057080" w:rsidRPr="00725A8F" w:rsidRDefault="00D45E73" w:rsidP="0060117F">
      <w:pPr>
        <w:keepNext/>
        <w:jc w:val="both"/>
        <w:rPr>
          <w:b/>
          <w:lang w:val="es-ES_tradnl"/>
        </w:rPr>
      </w:pPr>
      <w:r w:rsidRPr="00725A8F">
        <w:rPr>
          <w:b/>
          <w:lang w:val="es-ES_tradnl"/>
        </w:rPr>
        <w:lastRenderedPageBreak/>
        <w:t>P7:  ¿Puede evitarse el pago de tipos de interés negativos?</w:t>
      </w:r>
    </w:p>
    <w:p w:rsidR="00D45E73" w:rsidRPr="00725A8F" w:rsidRDefault="00D45E73" w:rsidP="0060117F">
      <w:pPr>
        <w:keepNext/>
        <w:jc w:val="both"/>
        <w:rPr>
          <w:b/>
          <w:lang w:val="es-ES_tradnl"/>
        </w:rPr>
      </w:pPr>
      <w:r w:rsidRPr="00725A8F">
        <w:rPr>
          <w:b/>
          <w:lang w:val="es-ES_tradnl"/>
        </w:rPr>
        <w:t> </w:t>
      </w:r>
    </w:p>
    <w:p w:rsidR="00804452" w:rsidRPr="00725A8F" w:rsidRDefault="00D45E73" w:rsidP="0060117F">
      <w:pPr>
        <w:jc w:val="both"/>
        <w:rPr>
          <w:lang w:val="es-ES_tradnl"/>
        </w:rPr>
      </w:pPr>
      <w:r w:rsidRPr="00725A8F">
        <w:rPr>
          <w:lang w:val="es-ES_tradnl"/>
        </w:rPr>
        <w:t>R7:  Parece muy improbable</w:t>
      </w:r>
      <w:r w:rsidR="0085234C">
        <w:rPr>
          <w:lang w:val="es-ES_tradnl"/>
        </w:rPr>
        <w:t xml:space="preserve">. </w:t>
      </w:r>
      <w:r w:rsidRPr="00725A8F">
        <w:rPr>
          <w:lang w:val="es-ES_tradnl"/>
        </w:rPr>
        <w:t>Aun cuando todas las propuestas recogidas en el documento WO/PBC/23/7 sean aceptadas, se necesitará algún tiempo para contratar a gestores de fondos externos con miras a invertir el efectivo básico y estratégico, mientras que el efectivo para gastos de funcionamiento, que será gestionado internamente, podría superar los umbrales de exención. Los intereses negativos pueden considerarse como una comisión bancaria por mantener una cuenta en francos suizos –no difieren por tanto de los cargos bancarios ordinarios, para los que siempre se consigna un importe en el presupuesto.</w:t>
      </w:r>
    </w:p>
    <w:p w:rsidR="00D45E73" w:rsidRPr="00725A8F" w:rsidRDefault="00D45E73" w:rsidP="0060117F">
      <w:pPr>
        <w:jc w:val="both"/>
        <w:rPr>
          <w:lang w:val="es-ES_tradnl"/>
        </w:rPr>
      </w:pPr>
    </w:p>
    <w:p w:rsidR="00940056" w:rsidRPr="00725A8F" w:rsidRDefault="00940056" w:rsidP="0060117F">
      <w:pPr>
        <w:rPr>
          <w:lang w:val="es-ES_tradnl"/>
        </w:rPr>
      </w:pPr>
    </w:p>
    <w:p w:rsidR="00484228" w:rsidRPr="00725A8F" w:rsidRDefault="00484228" w:rsidP="0060117F">
      <w:pPr>
        <w:jc w:val="both"/>
        <w:rPr>
          <w:b/>
          <w:lang w:val="es-ES_tradnl"/>
        </w:rPr>
      </w:pPr>
      <w:r w:rsidRPr="00725A8F">
        <w:rPr>
          <w:b/>
          <w:lang w:val="es-ES_tradnl"/>
        </w:rPr>
        <w:t>P8:  Si los Estados miembros aceptaran la nueva propuesta de política de inversiones, ¿seguiría s</w:t>
      </w:r>
      <w:r w:rsidR="00314399">
        <w:rPr>
          <w:b/>
          <w:lang w:val="es-ES_tradnl"/>
        </w:rPr>
        <w:t>iendo necesaria la provisión de 2,4 </w:t>
      </w:r>
      <w:r w:rsidRPr="00725A8F">
        <w:rPr>
          <w:b/>
          <w:lang w:val="es-ES_tradnl"/>
        </w:rPr>
        <w:t xml:space="preserve">millones de francos suizos para intereses negativos? </w:t>
      </w:r>
    </w:p>
    <w:p w:rsidR="00484228" w:rsidRPr="00725A8F" w:rsidRDefault="00484228" w:rsidP="0060117F">
      <w:pPr>
        <w:jc w:val="both"/>
        <w:rPr>
          <w:b/>
          <w:lang w:val="es-ES_tradnl"/>
        </w:rPr>
      </w:pPr>
      <w:r w:rsidRPr="00725A8F">
        <w:rPr>
          <w:b/>
          <w:lang w:val="es-ES_tradnl"/>
        </w:rPr>
        <w:t> </w:t>
      </w:r>
    </w:p>
    <w:p w:rsidR="00804452" w:rsidRPr="00725A8F" w:rsidRDefault="00B51F1D" w:rsidP="0060117F">
      <w:pPr>
        <w:jc w:val="both"/>
        <w:rPr>
          <w:b/>
          <w:lang w:val="es-ES_tradnl"/>
        </w:rPr>
      </w:pPr>
      <w:r>
        <w:rPr>
          <w:lang w:val="es-ES_tradnl"/>
        </w:rPr>
        <w:t>R8:  </w:t>
      </w:r>
      <w:r w:rsidR="00484228" w:rsidRPr="00725A8F">
        <w:rPr>
          <w:lang w:val="es-ES_tradnl"/>
        </w:rPr>
        <w:t>V</w:t>
      </w:r>
      <w:r w:rsidR="00314399">
        <w:rPr>
          <w:lang w:val="es-ES_tradnl"/>
        </w:rPr>
        <w:t>éase la respuesta a la pregunta </w:t>
      </w:r>
      <w:r w:rsidR="00484228" w:rsidRPr="00725A8F">
        <w:rPr>
          <w:lang w:val="es-ES_tradnl"/>
        </w:rPr>
        <w:t>7.</w:t>
      </w:r>
    </w:p>
    <w:p w:rsidR="00484228" w:rsidRPr="00725A8F" w:rsidRDefault="00484228" w:rsidP="0060117F">
      <w:pPr>
        <w:jc w:val="both"/>
        <w:rPr>
          <w:lang w:val="es-ES_tradnl"/>
        </w:rPr>
      </w:pPr>
    </w:p>
    <w:p w:rsidR="00792C4C" w:rsidRPr="00725A8F" w:rsidRDefault="00792C4C" w:rsidP="0060117F">
      <w:pPr>
        <w:jc w:val="both"/>
        <w:rPr>
          <w:b/>
          <w:lang w:val="es-ES_tradnl"/>
        </w:rPr>
      </w:pPr>
    </w:p>
    <w:p w:rsidR="00792C4C" w:rsidRPr="00725A8F" w:rsidRDefault="00940056" w:rsidP="0060117F">
      <w:pPr>
        <w:jc w:val="both"/>
        <w:rPr>
          <w:b/>
          <w:lang w:val="es-ES_tradnl"/>
        </w:rPr>
      </w:pPr>
      <w:r w:rsidRPr="00725A8F">
        <w:rPr>
          <w:b/>
          <w:lang w:val="es-ES_tradnl"/>
        </w:rPr>
        <w:t xml:space="preserve">P9:  ¿Cuál será el impacto de los tipos de interés negativos en los resultados financieros? </w:t>
      </w:r>
    </w:p>
    <w:p w:rsidR="00792C4C" w:rsidRPr="00725A8F" w:rsidRDefault="00792C4C" w:rsidP="0060117F">
      <w:pPr>
        <w:jc w:val="both"/>
        <w:rPr>
          <w:b/>
          <w:lang w:val="es-ES_tradnl"/>
        </w:rPr>
      </w:pPr>
      <w:r w:rsidRPr="00725A8F">
        <w:rPr>
          <w:b/>
          <w:lang w:val="es-ES_tradnl"/>
        </w:rPr>
        <w:t> </w:t>
      </w:r>
    </w:p>
    <w:p w:rsidR="00804452" w:rsidRPr="00725A8F" w:rsidRDefault="00940056" w:rsidP="0060117F">
      <w:pPr>
        <w:jc w:val="both"/>
        <w:rPr>
          <w:lang w:val="es-ES_tradnl"/>
        </w:rPr>
      </w:pPr>
      <w:r w:rsidRPr="00725A8F">
        <w:rPr>
          <w:lang w:val="es-ES_tradnl"/>
        </w:rPr>
        <w:t>R9:</w:t>
      </w:r>
      <w:r w:rsidRPr="00725A8F">
        <w:rPr>
          <w:b/>
          <w:lang w:val="es-ES_tradnl"/>
        </w:rPr>
        <w:t xml:space="preserve"> </w:t>
      </w:r>
      <w:r w:rsidR="00314399">
        <w:rPr>
          <w:b/>
          <w:lang w:val="es-ES_tradnl"/>
        </w:rPr>
        <w:t xml:space="preserve"> </w:t>
      </w:r>
      <w:r w:rsidRPr="00725A8F">
        <w:rPr>
          <w:lang w:val="es-ES_tradnl"/>
        </w:rPr>
        <w:t>Los intereses negativos supondrán obviamente un costo para la Organización, por lo que se contabilizarán como gastos. Los resultados financieros globales se verán reducidos en consecuencia.</w:t>
      </w:r>
    </w:p>
    <w:p w:rsidR="00792C4C" w:rsidRPr="00725A8F" w:rsidRDefault="00792C4C" w:rsidP="0060117F">
      <w:pPr>
        <w:jc w:val="both"/>
        <w:rPr>
          <w:lang w:val="es-ES_tradnl"/>
        </w:rPr>
      </w:pPr>
    </w:p>
    <w:p w:rsidR="00792C4C" w:rsidRPr="00725A8F" w:rsidRDefault="00792C4C" w:rsidP="0060117F">
      <w:pPr>
        <w:jc w:val="both"/>
        <w:rPr>
          <w:b/>
          <w:lang w:val="es-ES_tradnl"/>
        </w:rPr>
      </w:pPr>
    </w:p>
    <w:p w:rsidR="004D3FE4" w:rsidRPr="00725A8F" w:rsidRDefault="004D3FE4" w:rsidP="0060117F">
      <w:pPr>
        <w:jc w:val="both"/>
        <w:rPr>
          <w:b/>
          <w:lang w:val="es-ES_tradnl"/>
        </w:rPr>
      </w:pPr>
      <w:r w:rsidRPr="00725A8F">
        <w:rPr>
          <w:b/>
          <w:lang w:val="es-ES_tradnl"/>
        </w:rPr>
        <w:t xml:space="preserve">P10: </w:t>
      </w:r>
      <w:r w:rsidR="00314399">
        <w:rPr>
          <w:b/>
          <w:lang w:val="es-ES_tradnl"/>
        </w:rPr>
        <w:t xml:space="preserve"> </w:t>
      </w:r>
      <w:r w:rsidRPr="00725A8F">
        <w:rPr>
          <w:b/>
          <w:lang w:val="es-ES_tradnl"/>
        </w:rPr>
        <w:t>¿Por qué no figura la provisión de</w:t>
      </w:r>
      <w:r w:rsidR="00314399">
        <w:rPr>
          <w:b/>
          <w:lang w:val="es-ES_tradnl"/>
        </w:rPr>
        <w:t> 2,4 </w:t>
      </w:r>
      <w:r w:rsidRPr="00725A8F">
        <w:rPr>
          <w:b/>
          <w:lang w:val="es-ES_tradnl"/>
        </w:rPr>
        <w:t>millones de francos suizos para tipos de</w:t>
      </w:r>
      <w:r w:rsidR="00314399">
        <w:rPr>
          <w:b/>
          <w:lang w:val="es-ES_tradnl"/>
        </w:rPr>
        <w:t xml:space="preserve"> interés negativos en el cuadro </w:t>
      </w:r>
      <w:r w:rsidRPr="00725A8F">
        <w:rPr>
          <w:b/>
          <w:lang w:val="es-ES_tradnl"/>
        </w:rPr>
        <w:t xml:space="preserve">3 </w:t>
      </w:r>
      <w:r w:rsidR="0085234C">
        <w:rPr>
          <w:b/>
          <w:lang w:val="es-ES_tradnl"/>
        </w:rPr>
        <w:t>“</w:t>
      </w:r>
      <w:r w:rsidRPr="00725A8F">
        <w:rPr>
          <w:b/>
          <w:lang w:val="es-ES_tradnl"/>
        </w:rPr>
        <w:t>Evolución de los in</w:t>
      </w:r>
      <w:r w:rsidR="00314399">
        <w:rPr>
          <w:b/>
          <w:lang w:val="es-ES_tradnl"/>
        </w:rPr>
        <w:t xml:space="preserve">gresos de la Organización </w:t>
      </w:r>
      <w:r w:rsidR="001D294E">
        <w:rPr>
          <w:b/>
          <w:lang w:val="es-ES_tradnl"/>
        </w:rPr>
        <w:t>de 2006/07 a</w:t>
      </w:r>
      <w:r w:rsidR="00314399">
        <w:rPr>
          <w:b/>
          <w:lang w:val="es-ES_tradnl"/>
        </w:rPr>
        <w:t> </w:t>
      </w:r>
      <w:r w:rsidRPr="00725A8F">
        <w:rPr>
          <w:b/>
          <w:lang w:val="es-ES_tradnl"/>
        </w:rPr>
        <w:t>2016/17</w:t>
      </w:r>
      <w:r w:rsidR="0085234C">
        <w:rPr>
          <w:b/>
          <w:lang w:val="es-ES_tradnl"/>
        </w:rPr>
        <w:t>”</w:t>
      </w:r>
      <w:r w:rsidRPr="00725A8F">
        <w:rPr>
          <w:b/>
          <w:lang w:val="es-ES_tradnl"/>
        </w:rPr>
        <w:t xml:space="preserve">? </w:t>
      </w:r>
    </w:p>
    <w:p w:rsidR="00664874" w:rsidRPr="00725A8F" w:rsidRDefault="00664874" w:rsidP="0060117F">
      <w:pPr>
        <w:pStyle w:val="ONUME"/>
        <w:numPr>
          <w:ilvl w:val="0"/>
          <w:numId w:val="0"/>
        </w:numPr>
        <w:spacing w:after="0"/>
        <w:jc w:val="both"/>
        <w:rPr>
          <w:b/>
          <w:bCs/>
          <w:lang w:val="es-ES_tradnl"/>
        </w:rPr>
      </w:pPr>
    </w:p>
    <w:p w:rsidR="00BB10D4" w:rsidRPr="00725A8F" w:rsidRDefault="00EF77EB" w:rsidP="0060117F">
      <w:pPr>
        <w:jc w:val="both"/>
        <w:rPr>
          <w:lang w:val="es-ES_tradnl"/>
        </w:rPr>
      </w:pPr>
      <w:r w:rsidRPr="00725A8F">
        <w:rPr>
          <w:b/>
          <w:lang w:val="es-ES_tradnl"/>
        </w:rPr>
        <w:t xml:space="preserve">R10:  </w:t>
      </w:r>
      <w:r w:rsidRPr="00725A8F">
        <w:rPr>
          <w:lang w:val="es-ES_tradnl"/>
        </w:rPr>
        <w:t xml:space="preserve">Los tipos de interés negativos se recogen en el epígrafe de </w:t>
      </w:r>
      <w:r w:rsidR="001D294E">
        <w:rPr>
          <w:lang w:val="es-ES_tradnl"/>
        </w:rPr>
        <w:t>Costos</w:t>
      </w:r>
      <w:r w:rsidRPr="00725A8F">
        <w:rPr>
          <w:lang w:val="es-ES_tradnl"/>
        </w:rPr>
        <w:t xml:space="preserve"> </w:t>
      </w:r>
      <w:r w:rsidR="001D294E" w:rsidRPr="00725A8F">
        <w:rPr>
          <w:lang w:val="es-ES_tradnl"/>
        </w:rPr>
        <w:t xml:space="preserve">financieros </w:t>
      </w:r>
      <w:r w:rsidRPr="00725A8F">
        <w:rPr>
          <w:lang w:val="es-ES_tradnl"/>
        </w:rPr>
        <w:t>(gasto presupuestado), ya que constituyen pagos a proveedores de servicios (bancos)</w:t>
      </w:r>
      <w:r w:rsidR="0085234C">
        <w:rPr>
          <w:lang w:val="es-ES_tradnl"/>
        </w:rPr>
        <w:t xml:space="preserve">. </w:t>
      </w:r>
      <w:r w:rsidRPr="00725A8F">
        <w:rPr>
          <w:lang w:val="es-ES_tradnl"/>
        </w:rPr>
        <w:t xml:space="preserve">Pueden considerarse equiparables a los cargos bancarios. </w:t>
      </w:r>
    </w:p>
    <w:p w:rsidR="00EF77EB" w:rsidRPr="00725A8F" w:rsidRDefault="00EF77EB" w:rsidP="0060117F">
      <w:pPr>
        <w:pStyle w:val="ONUME"/>
        <w:numPr>
          <w:ilvl w:val="0"/>
          <w:numId w:val="0"/>
        </w:numPr>
        <w:spacing w:after="0"/>
        <w:jc w:val="both"/>
        <w:rPr>
          <w:b/>
          <w:bCs/>
          <w:lang w:val="es-ES_tradnl"/>
        </w:rPr>
      </w:pPr>
    </w:p>
    <w:p w:rsidR="00664874" w:rsidRPr="00725A8F" w:rsidRDefault="00664874" w:rsidP="0060117F">
      <w:pPr>
        <w:pStyle w:val="ONUME"/>
        <w:numPr>
          <w:ilvl w:val="0"/>
          <w:numId w:val="0"/>
        </w:numPr>
        <w:spacing w:after="0"/>
        <w:jc w:val="both"/>
        <w:rPr>
          <w:b/>
          <w:bCs/>
          <w:lang w:val="es-ES_tradnl"/>
        </w:rPr>
      </w:pPr>
    </w:p>
    <w:p w:rsidR="00057080" w:rsidRPr="00725A8F" w:rsidRDefault="00057080" w:rsidP="0060117F">
      <w:pPr>
        <w:pStyle w:val="ONUME"/>
        <w:numPr>
          <w:ilvl w:val="0"/>
          <w:numId w:val="0"/>
        </w:numPr>
        <w:jc w:val="both"/>
        <w:rPr>
          <w:b/>
          <w:bCs/>
          <w:lang w:val="es-ES_tradnl"/>
        </w:rPr>
      </w:pPr>
      <w:r w:rsidRPr="00725A8F">
        <w:rPr>
          <w:b/>
          <w:lang w:val="es-ES_tradnl"/>
        </w:rPr>
        <w:t xml:space="preserve">P11:  El </w:t>
      </w:r>
      <w:r w:rsidR="00314399">
        <w:rPr>
          <w:b/>
          <w:lang w:val="es-ES_tradnl"/>
        </w:rPr>
        <w:t>presupuesto</w:t>
      </w:r>
      <w:r w:rsidR="001D294E">
        <w:rPr>
          <w:b/>
          <w:lang w:val="es-ES_tradnl"/>
        </w:rPr>
        <w:t xml:space="preserve"> de</w:t>
      </w:r>
      <w:r w:rsidR="00314399">
        <w:rPr>
          <w:b/>
          <w:lang w:val="es-ES_tradnl"/>
        </w:rPr>
        <w:t> </w:t>
      </w:r>
      <w:r w:rsidRPr="00725A8F">
        <w:rPr>
          <w:b/>
          <w:lang w:val="es-ES_tradnl"/>
        </w:rPr>
        <w:t xml:space="preserve">2014/15 </w:t>
      </w:r>
      <w:r w:rsidR="001D294E">
        <w:rPr>
          <w:b/>
          <w:lang w:val="es-ES_tradnl"/>
        </w:rPr>
        <w:t>tras</w:t>
      </w:r>
      <w:r w:rsidRPr="00725A8F">
        <w:rPr>
          <w:b/>
          <w:lang w:val="es-ES_tradnl"/>
        </w:rPr>
        <w:t xml:space="preserve"> las transferencias </w:t>
      </w:r>
      <w:r w:rsidR="001D294E">
        <w:rPr>
          <w:b/>
          <w:lang w:val="es-ES_tradnl"/>
        </w:rPr>
        <w:t xml:space="preserve">abarca el período hasta fines </w:t>
      </w:r>
      <w:r w:rsidR="00314399">
        <w:rPr>
          <w:b/>
          <w:lang w:val="es-ES_tradnl"/>
        </w:rPr>
        <w:t>de marzo de </w:t>
      </w:r>
      <w:r w:rsidRPr="00725A8F">
        <w:rPr>
          <w:b/>
          <w:lang w:val="es-ES_tradnl"/>
        </w:rPr>
        <w:t>2015</w:t>
      </w:r>
      <w:r w:rsidR="0085234C">
        <w:rPr>
          <w:b/>
          <w:lang w:val="es-ES_tradnl"/>
        </w:rPr>
        <w:t xml:space="preserve">. </w:t>
      </w:r>
      <w:r w:rsidRPr="00725A8F">
        <w:rPr>
          <w:b/>
          <w:lang w:val="es-ES_tradnl"/>
        </w:rPr>
        <w:t xml:space="preserve">¿Se actualizará el presupuesto </w:t>
      </w:r>
      <w:r w:rsidR="001D294E">
        <w:rPr>
          <w:b/>
          <w:lang w:val="es-ES_tradnl"/>
        </w:rPr>
        <w:t>tras</w:t>
      </w:r>
      <w:r w:rsidRPr="00725A8F">
        <w:rPr>
          <w:b/>
          <w:lang w:val="es-ES_tradnl"/>
        </w:rPr>
        <w:t xml:space="preserve"> las transferencias para la </w:t>
      </w:r>
      <w:r w:rsidR="00314399">
        <w:rPr>
          <w:b/>
          <w:lang w:val="es-ES_tradnl"/>
        </w:rPr>
        <w:t>sesión del PBC de septiembre de </w:t>
      </w:r>
      <w:r w:rsidRPr="00725A8F">
        <w:rPr>
          <w:b/>
          <w:lang w:val="es-ES_tradnl"/>
        </w:rPr>
        <w:t xml:space="preserve">2015? </w:t>
      </w:r>
    </w:p>
    <w:p w:rsidR="00057080" w:rsidRPr="00725A8F" w:rsidRDefault="00057080" w:rsidP="0060117F">
      <w:pPr>
        <w:jc w:val="both"/>
        <w:rPr>
          <w:bCs/>
          <w:lang w:val="es-ES_tradnl"/>
        </w:rPr>
      </w:pPr>
      <w:r w:rsidRPr="00725A8F">
        <w:rPr>
          <w:lang w:val="es-ES_tradnl"/>
        </w:rPr>
        <w:t>R11:  El presupuesto</w:t>
      </w:r>
      <w:r w:rsidR="001D294E">
        <w:rPr>
          <w:lang w:val="es-ES_tradnl"/>
        </w:rPr>
        <w:t xml:space="preserve"> de</w:t>
      </w:r>
      <w:r w:rsidR="00314399">
        <w:rPr>
          <w:lang w:val="es-ES_tradnl"/>
        </w:rPr>
        <w:t> </w:t>
      </w:r>
      <w:r w:rsidRPr="00725A8F">
        <w:rPr>
          <w:lang w:val="es-ES_tradnl"/>
        </w:rPr>
        <w:t xml:space="preserve">2014/15 </w:t>
      </w:r>
      <w:r w:rsidR="001D294E">
        <w:rPr>
          <w:lang w:val="es-ES_tradnl"/>
        </w:rPr>
        <w:t>tras</w:t>
      </w:r>
      <w:r w:rsidRPr="00725A8F">
        <w:rPr>
          <w:lang w:val="es-ES_tradnl"/>
        </w:rPr>
        <w:t xml:space="preserve"> las transferencias se form</w:t>
      </w:r>
      <w:r w:rsidR="00314399">
        <w:rPr>
          <w:lang w:val="es-ES_tradnl"/>
        </w:rPr>
        <w:t>ula a 31 de marzo de </w:t>
      </w:r>
      <w:r w:rsidR="00182ECD" w:rsidRPr="00725A8F">
        <w:rPr>
          <w:lang w:val="es-ES_tradnl"/>
        </w:rPr>
        <w:t>2015</w:t>
      </w:r>
      <w:r w:rsidR="0085234C">
        <w:rPr>
          <w:lang w:val="es-ES_tradnl"/>
        </w:rPr>
        <w:t xml:space="preserve">. </w:t>
      </w:r>
      <w:r w:rsidR="00182ECD" w:rsidRPr="00725A8F">
        <w:rPr>
          <w:lang w:val="es-ES_tradnl"/>
        </w:rPr>
        <w:t>El p</w:t>
      </w:r>
      <w:r w:rsidRPr="00725A8F">
        <w:rPr>
          <w:lang w:val="es-ES_tradnl"/>
        </w:rPr>
        <w:t>res</w:t>
      </w:r>
      <w:r w:rsidR="00314399">
        <w:rPr>
          <w:lang w:val="es-ES_tradnl"/>
        </w:rPr>
        <w:t>upuesto definitivo</w:t>
      </w:r>
      <w:r w:rsidR="001D294E">
        <w:rPr>
          <w:lang w:val="es-ES_tradnl"/>
        </w:rPr>
        <w:t xml:space="preserve"> de</w:t>
      </w:r>
      <w:r w:rsidR="00314399">
        <w:rPr>
          <w:lang w:val="es-ES_tradnl"/>
        </w:rPr>
        <w:t> </w:t>
      </w:r>
      <w:r w:rsidRPr="00725A8F">
        <w:rPr>
          <w:lang w:val="es-ES_tradnl"/>
        </w:rPr>
        <w:t xml:space="preserve">2014/15 </w:t>
      </w:r>
      <w:r w:rsidR="001D294E">
        <w:rPr>
          <w:lang w:val="es-ES_tradnl"/>
        </w:rPr>
        <w:t xml:space="preserve">tras </w:t>
      </w:r>
      <w:r w:rsidRPr="00725A8F">
        <w:rPr>
          <w:lang w:val="es-ES_tradnl"/>
        </w:rPr>
        <w:t xml:space="preserve">las transferencias se dará a conocer en el Informe sobre el rendimiento de los programas </w:t>
      </w:r>
      <w:r w:rsidR="00B9212E" w:rsidRPr="00725A8F">
        <w:rPr>
          <w:lang w:val="es-ES_tradnl"/>
        </w:rPr>
        <w:t xml:space="preserve">en </w:t>
      </w:r>
      <w:r w:rsidR="00314399">
        <w:rPr>
          <w:lang w:val="es-ES_tradnl"/>
        </w:rPr>
        <w:t>el bienio </w:t>
      </w:r>
      <w:r w:rsidRPr="00725A8F">
        <w:rPr>
          <w:lang w:val="es-ES_tradnl"/>
        </w:rPr>
        <w:t>2014/15.</w:t>
      </w:r>
    </w:p>
    <w:p w:rsidR="00D62B83" w:rsidRPr="00725A8F" w:rsidRDefault="00D62B83" w:rsidP="0060117F">
      <w:pPr>
        <w:rPr>
          <w:b/>
          <w:sz w:val="24"/>
          <w:szCs w:val="24"/>
          <w:lang w:val="es-ES_tradnl"/>
        </w:rPr>
      </w:pPr>
    </w:p>
    <w:p w:rsidR="00F364D6" w:rsidRPr="00725A8F" w:rsidRDefault="00F364D6" w:rsidP="0060117F">
      <w:pPr>
        <w:rPr>
          <w:b/>
          <w:sz w:val="24"/>
          <w:szCs w:val="24"/>
          <w:lang w:val="es-ES_tradnl"/>
        </w:rPr>
      </w:pPr>
    </w:p>
    <w:p w:rsidR="003D469B" w:rsidRPr="00725A8F" w:rsidRDefault="00193020" w:rsidP="0060117F">
      <w:pPr>
        <w:jc w:val="both"/>
        <w:rPr>
          <w:b/>
          <w:lang w:val="es-ES_tradnl"/>
        </w:rPr>
      </w:pPr>
      <w:r w:rsidRPr="00725A8F">
        <w:rPr>
          <w:b/>
          <w:lang w:val="es-ES_tradnl"/>
        </w:rPr>
        <w:t xml:space="preserve">P12: </w:t>
      </w:r>
      <w:r w:rsidR="00314399">
        <w:rPr>
          <w:b/>
          <w:lang w:val="es-ES_tradnl"/>
        </w:rPr>
        <w:t xml:space="preserve"> </w:t>
      </w:r>
      <w:r w:rsidRPr="00725A8F">
        <w:rPr>
          <w:b/>
          <w:lang w:val="es-ES_tradnl"/>
        </w:rPr>
        <w:t xml:space="preserve">Tal como se indica en el párrafo 8, se prevé que la partida de ingresos </w:t>
      </w:r>
      <w:r w:rsidR="001D294E">
        <w:rPr>
          <w:b/>
          <w:lang w:val="es-ES_tradnl"/>
        </w:rPr>
        <w:t xml:space="preserve">varios </w:t>
      </w:r>
      <w:r w:rsidRPr="00725A8F">
        <w:rPr>
          <w:b/>
          <w:lang w:val="es-ES_tradnl"/>
        </w:rPr>
        <w:t xml:space="preserve">se mantendrá estable, sin embargo, el cuadro 3, </w:t>
      </w:r>
      <w:r w:rsidR="0085234C">
        <w:rPr>
          <w:b/>
          <w:lang w:val="es-ES_tradnl"/>
        </w:rPr>
        <w:t>“</w:t>
      </w:r>
      <w:r w:rsidRPr="00725A8F">
        <w:rPr>
          <w:b/>
          <w:i/>
          <w:lang w:val="es-ES_tradnl"/>
        </w:rPr>
        <w:t>Evolución de los in</w:t>
      </w:r>
      <w:r w:rsidR="00314399">
        <w:rPr>
          <w:b/>
          <w:i/>
          <w:lang w:val="es-ES_tradnl"/>
        </w:rPr>
        <w:t xml:space="preserve">gresos de la organización </w:t>
      </w:r>
      <w:r w:rsidR="001D294E">
        <w:rPr>
          <w:b/>
          <w:i/>
          <w:lang w:val="es-ES_tradnl"/>
        </w:rPr>
        <w:t>de</w:t>
      </w:r>
      <w:r w:rsidR="00314399">
        <w:rPr>
          <w:b/>
          <w:i/>
          <w:lang w:val="es-ES_tradnl"/>
        </w:rPr>
        <w:t xml:space="preserve"> 2006/07 </w:t>
      </w:r>
      <w:r w:rsidR="001D294E">
        <w:rPr>
          <w:b/>
          <w:i/>
          <w:lang w:val="es-ES_tradnl"/>
        </w:rPr>
        <w:t>a</w:t>
      </w:r>
      <w:r w:rsidR="00314399">
        <w:rPr>
          <w:b/>
          <w:i/>
          <w:lang w:val="es-ES_tradnl"/>
        </w:rPr>
        <w:t> </w:t>
      </w:r>
      <w:r w:rsidRPr="00725A8F">
        <w:rPr>
          <w:b/>
          <w:i/>
          <w:lang w:val="es-ES_tradnl"/>
        </w:rPr>
        <w:t>2016/17</w:t>
      </w:r>
      <w:r w:rsidR="0085234C">
        <w:rPr>
          <w:b/>
          <w:i/>
          <w:lang w:val="es-ES_tradnl"/>
        </w:rPr>
        <w:t>”</w:t>
      </w:r>
      <w:r w:rsidRPr="00725A8F">
        <w:rPr>
          <w:b/>
          <w:i/>
          <w:lang w:val="es-ES_tradnl"/>
        </w:rPr>
        <w:t xml:space="preserve"> </w:t>
      </w:r>
      <w:r w:rsidR="00314399">
        <w:rPr>
          <w:b/>
          <w:lang w:val="es-ES_tradnl"/>
        </w:rPr>
        <w:t>recoge una estimación para </w:t>
      </w:r>
      <w:r w:rsidRPr="00725A8F">
        <w:rPr>
          <w:b/>
          <w:lang w:val="es-ES_tradnl"/>
        </w:rPr>
        <w:t>2016/17 significativamente infer</w:t>
      </w:r>
      <w:r w:rsidR="00314399">
        <w:rPr>
          <w:b/>
          <w:lang w:val="es-ES_tradnl"/>
        </w:rPr>
        <w:t>ior a la estimación actual para </w:t>
      </w:r>
      <w:r w:rsidRPr="00725A8F">
        <w:rPr>
          <w:b/>
          <w:lang w:val="es-ES_tradnl"/>
        </w:rPr>
        <w:t>2014/15</w:t>
      </w:r>
      <w:r w:rsidR="0085234C">
        <w:rPr>
          <w:b/>
          <w:lang w:val="es-ES_tradnl"/>
        </w:rPr>
        <w:t xml:space="preserve">. </w:t>
      </w:r>
      <w:r w:rsidRPr="00725A8F">
        <w:rPr>
          <w:b/>
          <w:lang w:val="es-ES_tradnl"/>
        </w:rPr>
        <w:t xml:space="preserve">¿Podría aclararlo? </w:t>
      </w:r>
    </w:p>
    <w:p w:rsidR="003D469B" w:rsidRPr="00725A8F" w:rsidRDefault="003D469B" w:rsidP="0060117F">
      <w:pPr>
        <w:jc w:val="both"/>
        <w:rPr>
          <w:lang w:val="es-ES_tradnl"/>
        </w:rPr>
      </w:pPr>
    </w:p>
    <w:p w:rsidR="0056325C" w:rsidRPr="00725A8F" w:rsidRDefault="00193020" w:rsidP="0060117F">
      <w:pPr>
        <w:jc w:val="both"/>
        <w:rPr>
          <w:lang w:val="es-ES_tradnl"/>
        </w:rPr>
      </w:pPr>
      <w:r w:rsidRPr="00725A8F">
        <w:rPr>
          <w:lang w:val="es-ES_tradnl"/>
        </w:rPr>
        <w:t xml:space="preserve">R12:  La partida de ingresos </w:t>
      </w:r>
      <w:r w:rsidR="001D294E">
        <w:rPr>
          <w:lang w:val="es-ES_tradnl"/>
        </w:rPr>
        <w:t xml:space="preserve">varios </w:t>
      </w:r>
      <w:r w:rsidRPr="00725A8F">
        <w:rPr>
          <w:lang w:val="es-ES_tradnl"/>
        </w:rPr>
        <w:t>se</w:t>
      </w:r>
      <w:r w:rsidR="00314399">
        <w:rPr>
          <w:lang w:val="es-ES_tradnl"/>
        </w:rPr>
        <w:t xml:space="preserve"> mantiene estable en </w:t>
      </w:r>
      <w:r w:rsidRPr="00725A8F">
        <w:rPr>
          <w:lang w:val="es-ES_tradnl"/>
        </w:rPr>
        <w:t>2016/17 en comparación</w:t>
      </w:r>
      <w:r w:rsidR="00314399">
        <w:rPr>
          <w:lang w:val="es-ES_tradnl"/>
        </w:rPr>
        <w:t xml:space="preserve"> con el presupuesto aprobado de </w:t>
      </w:r>
      <w:r w:rsidRPr="00725A8F">
        <w:rPr>
          <w:lang w:val="es-ES_tradnl"/>
        </w:rPr>
        <w:t>2014/15 (véase la última columna del cuadr</w:t>
      </w:r>
      <w:r w:rsidR="00314399">
        <w:rPr>
          <w:lang w:val="es-ES_tradnl"/>
        </w:rPr>
        <w:t>o 3). La estimación actual para </w:t>
      </w:r>
      <w:r w:rsidRPr="00725A8F">
        <w:rPr>
          <w:lang w:val="es-ES_tradnl"/>
        </w:rPr>
        <w:t>2014/15 es superior a la que figur</w:t>
      </w:r>
      <w:r w:rsidR="00314399">
        <w:rPr>
          <w:lang w:val="es-ES_tradnl"/>
        </w:rPr>
        <w:t>a en el presupuesto aprobado de </w:t>
      </w:r>
      <w:r w:rsidRPr="00725A8F">
        <w:rPr>
          <w:lang w:val="es-ES_tradnl"/>
        </w:rPr>
        <w:t>2014/15, debido al impacto positivo de las diferencias de cambio y al hecho de que en</w:t>
      </w:r>
      <w:r w:rsidR="00314399">
        <w:rPr>
          <w:lang w:val="es-ES_tradnl"/>
        </w:rPr>
        <w:t> </w:t>
      </w:r>
      <w:r w:rsidRPr="00725A8F">
        <w:rPr>
          <w:lang w:val="es-ES_tradnl"/>
        </w:rPr>
        <w:t xml:space="preserve">2014 </w:t>
      </w:r>
      <w:r w:rsidR="00B9212E" w:rsidRPr="00725A8F">
        <w:rPr>
          <w:lang w:val="es-ES_tradnl"/>
        </w:rPr>
        <w:t xml:space="preserve">se hayan contabilizado </w:t>
      </w:r>
      <w:r w:rsidRPr="00725A8F">
        <w:rPr>
          <w:lang w:val="es-ES_tradnl"/>
        </w:rPr>
        <w:t>unos ajustes contables positivos</w:t>
      </w:r>
      <w:r w:rsidR="00FC091D" w:rsidRPr="00725A8F">
        <w:rPr>
          <w:lang w:val="es-ES_tradnl"/>
        </w:rPr>
        <w:t xml:space="preserve">, superiores a lo esperado, </w:t>
      </w:r>
      <w:r w:rsidRPr="00725A8F">
        <w:rPr>
          <w:lang w:val="es-ES_tradnl"/>
        </w:rPr>
        <w:t xml:space="preserve">correspondientes a años </w:t>
      </w:r>
      <w:r w:rsidR="00B9212E" w:rsidRPr="00725A8F">
        <w:rPr>
          <w:lang w:val="es-ES_tradnl"/>
        </w:rPr>
        <w:t>anteriores</w:t>
      </w:r>
      <w:r w:rsidRPr="00725A8F">
        <w:rPr>
          <w:lang w:val="es-ES_tradnl"/>
        </w:rPr>
        <w:t xml:space="preserve">. </w:t>
      </w:r>
    </w:p>
    <w:p w:rsidR="00193020" w:rsidRPr="00725A8F" w:rsidRDefault="00193020" w:rsidP="0060117F">
      <w:pPr>
        <w:rPr>
          <w:szCs w:val="22"/>
          <w:lang w:val="es-ES_tradnl"/>
        </w:rPr>
      </w:pPr>
    </w:p>
    <w:p w:rsidR="003D469B" w:rsidRPr="00725A8F" w:rsidRDefault="003D469B" w:rsidP="0060117F">
      <w:pPr>
        <w:rPr>
          <w:lang w:val="es-ES_tradnl"/>
        </w:rPr>
      </w:pPr>
    </w:p>
    <w:p w:rsidR="003D469B" w:rsidRPr="00725A8F" w:rsidRDefault="003D469B" w:rsidP="001D294E">
      <w:pPr>
        <w:keepNext/>
        <w:jc w:val="both"/>
        <w:rPr>
          <w:b/>
          <w:lang w:val="es-ES_tradnl"/>
        </w:rPr>
      </w:pPr>
      <w:r w:rsidRPr="00725A8F">
        <w:rPr>
          <w:b/>
          <w:lang w:val="es-ES_tradnl"/>
        </w:rPr>
        <w:lastRenderedPageBreak/>
        <w:t xml:space="preserve">P13: </w:t>
      </w:r>
      <w:r w:rsidR="00314399">
        <w:rPr>
          <w:b/>
          <w:lang w:val="es-ES_tradnl"/>
        </w:rPr>
        <w:t xml:space="preserve"> </w:t>
      </w:r>
      <w:r w:rsidRPr="00725A8F">
        <w:rPr>
          <w:b/>
          <w:lang w:val="es-ES_tradnl"/>
        </w:rPr>
        <w:t>¿Podría desglosar la partida de otros ingresos presupuestada para</w:t>
      </w:r>
      <w:r w:rsidR="00314399">
        <w:rPr>
          <w:b/>
          <w:lang w:val="es-ES_tradnl"/>
        </w:rPr>
        <w:t> </w:t>
      </w:r>
      <w:r w:rsidRPr="00725A8F">
        <w:rPr>
          <w:b/>
          <w:lang w:val="es-ES_tradnl"/>
        </w:rPr>
        <w:t xml:space="preserve">2016/17? </w:t>
      </w:r>
    </w:p>
    <w:p w:rsidR="003D469B" w:rsidRPr="00725A8F" w:rsidRDefault="003D469B" w:rsidP="001D294E">
      <w:pPr>
        <w:keepNext/>
        <w:jc w:val="both"/>
        <w:rPr>
          <w:lang w:val="es-ES_tradnl"/>
        </w:rPr>
      </w:pPr>
    </w:p>
    <w:p w:rsidR="009119E8" w:rsidRPr="00725A8F" w:rsidRDefault="003D469B" w:rsidP="0060117F">
      <w:pPr>
        <w:jc w:val="both"/>
        <w:rPr>
          <w:lang w:val="es-ES_tradnl"/>
        </w:rPr>
      </w:pPr>
      <w:r w:rsidRPr="00725A8F">
        <w:rPr>
          <w:lang w:val="es-ES_tradnl"/>
        </w:rPr>
        <w:t xml:space="preserve">R13: En la partida de otros ingresos se comprenden las tasas de inscripción en conferencias y cursos de formación, gastos de apoyo en relación con actividades extrapresupuestarias realizadas por la OMPI y financiadas mediante fondos fiduciarios, ajustes contables (créditos) en relación con años anteriores, ajustes por variación de los tipos de cambio </w:t>
      </w:r>
      <w:r w:rsidR="00B9212E" w:rsidRPr="00725A8F">
        <w:rPr>
          <w:lang w:val="es-ES_tradnl"/>
        </w:rPr>
        <w:t xml:space="preserve">y </w:t>
      </w:r>
      <w:r w:rsidRPr="00725A8F">
        <w:rPr>
          <w:lang w:val="es-ES_tradnl"/>
        </w:rPr>
        <w:t>pagos de la UPOV a la OMPI por servicios administrativos de apoyo (véase también la definición</w:t>
      </w:r>
      <w:r w:rsidR="00FC091D" w:rsidRPr="00725A8F">
        <w:rPr>
          <w:lang w:val="es-ES_tradnl"/>
        </w:rPr>
        <w:t xml:space="preserve"> de categorías de costos en el A</w:t>
      </w:r>
      <w:r w:rsidR="00314399">
        <w:rPr>
          <w:lang w:val="es-ES_tradnl"/>
        </w:rPr>
        <w:t>péndice </w:t>
      </w:r>
      <w:r w:rsidRPr="00725A8F">
        <w:rPr>
          <w:lang w:val="es-ES_tradnl"/>
        </w:rPr>
        <w:t>B).</w:t>
      </w:r>
    </w:p>
    <w:p w:rsidR="009119E8" w:rsidRPr="00725A8F" w:rsidRDefault="009119E8" w:rsidP="0060117F">
      <w:pPr>
        <w:rPr>
          <w:lang w:val="es-ES_tradnl"/>
        </w:rPr>
      </w:pPr>
    </w:p>
    <w:p w:rsidR="009119E8" w:rsidRPr="00725A8F" w:rsidRDefault="009119E8" w:rsidP="0060117F">
      <w:pPr>
        <w:rPr>
          <w:b/>
          <w:lang w:val="es-ES_tradnl"/>
        </w:rPr>
      </w:pPr>
    </w:p>
    <w:p w:rsidR="00517C4B" w:rsidRPr="00725A8F" w:rsidRDefault="00517C4B" w:rsidP="0060117F">
      <w:pPr>
        <w:jc w:val="both"/>
        <w:rPr>
          <w:b/>
          <w:lang w:val="es-ES_tradnl"/>
        </w:rPr>
      </w:pPr>
      <w:r w:rsidRPr="00725A8F">
        <w:rPr>
          <w:b/>
          <w:lang w:val="es-ES_tradnl"/>
        </w:rPr>
        <w:t xml:space="preserve">P14: </w:t>
      </w:r>
      <w:r w:rsidR="00314399">
        <w:rPr>
          <w:b/>
          <w:lang w:val="es-ES_tradnl"/>
        </w:rPr>
        <w:t xml:space="preserve"> </w:t>
      </w:r>
      <w:r w:rsidRPr="00725A8F">
        <w:rPr>
          <w:b/>
          <w:lang w:val="es-ES_tradnl"/>
        </w:rPr>
        <w:t xml:space="preserve">¿Qué incluye la asignación presupuestaria para </w:t>
      </w:r>
      <w:r w:rsidR="001D294E">
        <w:rPr>
          <w:b/>
          <w:lang w:val="es-ES_tradnl"/>
        </w:rPr>
        <w:t>costos</w:t>
      </w:r>
      <w:r w:rsidRPr="00725A8F">
        <w:rPr>
          <w:b/>
          <w:lang w:val="es-ES_tradnl"/>
        </w:rPr>
        <w:t xml:space="preserve"> financieros que figura en el cuadro</w:t>
      </w:r>
      <w:r w:rsidR="00314399">
        <w:rPr>
          <w:b/>
          <w:lang w:val="es-ES_tradnl"/>
        </w:rPr>
        <w:t> 5 por importe de 7,3 </w:t>
      </w:r>
      <w:r w:rsidR="00B51F1D">
        <w:rPr>
          <w:b/>
          <w:lang w:val="es-ES_tradnl"/>
        </w:rPr>
        <w:t xml:space="preserve">millones de francos suizos? </w:t>
      </w:r>
      <w:r w:rsidRPr="00725A8F">
        <w:rPr>
          <w:b/>
          <w:lang w:val="es-ES_tradnl"/>
        </w:rPr>
        <w:t>¿Comprende el pago de los intereses de los préstamos? De ser así, ¿cuándo podrá amortizarse la deuda? ¿Qué programas entrañan gastos financieros?</w:t>
      </w:r>
    </w:p>
    <w:p w:rsidR="003D469B" w:rsidRPr="00725A8F" w:rsidRDefault="003D469B" w:rsidP="0060117F">
      <w:pPr>
        <w:jc w:val="both"/>
        <w:rPr>
          <w:sz w:val="24"/>
          <w:szCs w:val="24"/>
          <w:lang w:val="es-ES_tradnl"/>
        </w:rPr>
      </w:pPr>
    </w:p>
    <w:p w:rsidR="00517C4B" w:rsidRPr="00725A8F" w:rsidRDefault="00517C4B" w:rsidP="0060117F">
      <w:pPr>
        <w:jc w:val="both"/>
        <w:rPr>
          <w:szCs w:val="24"/>
          <w:lang w:val="es-ES_tradnl"/>
        </w:rPr>
      </w:pPr>
      <w:r w:rsidRPr="00725A8F">
        <w:rPr>
          <w:lang w:val="es-ES_tradnl"/>
        </w:rPr>
        <w:t>R14:</w:t>
      </w:r>
      <w:r w:rsidR="00314399">
        <w:rPr>
          <w:lang w:val="es-ES_tradnl"/>
        </w:rPr>
        <w:t xml:space="preserve"> </w:t>
      </w:r>
      <w:r w:rsidRPr="00725A8F">
        <w:rPr>
          <w:lang w:val="es-ES_tradnl"/>
        </w:rPr>
        <w:t xml:space="preserve"> En la partida de </w:t>
      </w:r>
      <w:r w:rsidR="001D294E">
        <w:rPr>
          <w:lang w:val="es-ES_tradnl"/>
        </w:rPr>
        <w:t>costos</w:t>
      </w:r>
      <w:r w:rsidRPr="00725A8F">
        <w:rPr>
          <w:lang w:val="es-ES_tradnl"/>
        </w:rPr>
        <w:t xml:space="preserve"> financieros se incluyen reservas para el pago de intereses de préstamos y cargos bancarios. </w:t>
      </w:r>
      <w:r w:rsidR="00FC091D" w:rsidRPr="00725A8F">
        <w:rPr>
          <w:lang w:val="es-ES_tradnl"/>
        </w:rPr>
        <w:t xml:space="preserve">Existen </w:t>
      </w:r>
      <w:r w:rsidRPr="00725A8F">
        <w:rPr>
          <w:lang w:val="es-ES_tradnl"/>
        </w:rPr>
        <w:t xml:space="preserve">presupuestados </w:t>
      </w:r>
      <w:r w:rsidR="001D294E">
        <w:rPr>
          <w:lang w:val="es-ES_tradnl"/>
        </w:rPr>
        <w:t>costos</w:t>
      </w:r>
      <w:r w:rsidRPr="00725A8F">
        <w:rPr>
          <w:lang w:val="es-ES_tradnl"/>
        </w:rPr>
        <w:t xml:space="preserve"> financieros </w:t>
      </w:r>
      <w:r w:rsidR="00B9212E" w:rsidRPr="00725A8F">
        <w:rPr>
          <w:lang w:val="es-ES_tradnl"/>
        </w:rPr>
        <w:t xml:space="preserve">en el marco del </w:t>
      </w:r>
      <w:r w:rsidRPr="00725A8F">
        <w:rPr>
          <w:lang w:val="es-ES_tradnl"/>
        </w:rPr>
        <w:t>programa</w:t>
      </w:r>
      <w:r w:rsidR="00314399">
        <w:rPr>
          <w:lang w:val="es-ES_tradnl"/>
        </w:rPr>
        <w:t> 24 (4,2 </w:t>
      </w:r>
      <w:r w:rsidRPr="00725A8F">
        <w:rPr>
          <w:lang w:val="es-ES_tradnl"/>
        </w:rPr>
        <w:t xml:space="preserve">millones de francos suizos) para el pago de los intereses del préstamo correspondiente al nuevo edificio y </w:t>
      </w:r>
      <w:r w:rsidR="00B9212E" w:rsidRPr="00725A8F">
        <w:rPr>
          <w:lang w:val="es-ES_tradnl"/>
        </w:rPr>
        <w:t xml:space="preserve">del </w:t>
      </w:r>
      <w:r w:rsidR="00314399">
        <w:rPr>
          <w:lang w:val="es-ES_tradnl"/>
        </w:rPr>
        <w:t>programa </w:t>
      </w:r>
      <w:r w:rsidRPr="00725A8F">
        <w:rPr>
          <w:lang w:val="es-ES_tradnl"/>
        </w:rPr>
        <w:t>22, en</w:t>
      </w:r>
      <w:r w:rsidR="00314399">
        <w:rPr>
          <w:lang w:val="es-ES_tradnl"/>
        </w:rPr>
        <w:t xml:space="preserve"> particular una dotación de 2,4 </w:t>
      </w:r>
      <w:r w:rsidRPr="00725A8F">
        <w:rPr>
          <w:lang w:val="es-ES_tradnl"/>
        </w:rPr>
        <w:t>millone</w:t>
      </w:r>
      <w:r w:rsidR="00314399">
        <w:rPr>
          <w:lang w:val="es-ES_tradnl"/>
        </w:rPr>
        <w:t>s para intereses negativos y de 0,75 </w:t>
      </w:r>
      <w:r w:rsidRPr="00725A8F">
        <w:rPr>
          <w:lang w:val="es-ES_tradnl"/>
        </w:rPr>
        <w:t>millones para cargos bancarios.</w:t>
      </w:r>
    </w:p>
    <w:p w:rsidR="00E01C28" w:rsidRPr="00725A8F" w:rsidRDefault="00E01C28" w:rsidP="0060117F">
      <w:pPr>
        <w:jc w:val="both"/>
        <w:rPr>
          <w:szCs w:val="24"/>
          <w:lang w:val="es-ES_tradnl"/>
        </w:rPr>
      </w:pPr>
    </w:p>
    <w:p w:rsidR="00E01C28" w:rsidRPr="00725A8F" w:rsidRDefault="00E01C28" w:rsidP="0060117F">
      <w:pPr>
        <w:jc w:val="both"/>
        <w:rPr>
          <w:szCs w:val="24"/>
          <w:lang w:val="es-ES_tradnl"/>
        </w:rPr>
      </w:pPr>
      <w:r w:rsidRPr="00725A8F">
        <w:rPr>
          <w:lang w:val="es-ES_tradnl"/>
        </w:rPr>
        <w:t>La disposición del préstamo comercial suscrito para financiar el nuevo edificio se efectuó en cuatro tramos independientes, dos de los cuales vencen en los próximos siete meses. Estos dos tramos, que suponen un total de</w:t>
      </w:r>
      <w:r w:rsidR="00314399">
        <w:rPr>
          <w:lang w:val="es-ES_tradnl"/>
        </w:rPr>
        <w:t> 40 </w:t>
      </w:r>
      <w:r w:rsidRPr="00725A8F">
        <w:rPr>
          <w:lang w:val="es-ES_tradnl"/>
        </w:rPr>
        <w:t>millones de francos suizos, serán reembolsados (documento WO/PBC/23/7) a su fecha de vencimiento. Los otros dos tramos vencen en marzo de</w:t>
      </w:r>
      <w:r w:rsidR="00314399">
        <w:rPr>
          <w:lang w:val="es-ES_tradnl"/>
        </w:rPr>
        <w:t> 2019 y noviembre de </w:t>
      </w:r>
      <w:r w:rsidRPr="00725A8F">
        <w:rPr>
          <w:lang w:val="es-ES_tradnl"/>
        </w:rPr>
        <w:t>2025. Si esos importes se amortizasen anticipadamente, la Organización soportaría penalizaciones significativas.</w:t>
      </w:r>
    </w:p>
    <w:p w:rsidR="00E01C28" w:rsidRPr="00725A8F" w:rsidRDefault="00E01C28" w:rsidP="0060117F">
      <w:pPr>
        <w:jc w:val="both"/>
        <w:rPr>
          <w:szCs w:val="24"/>
          <w:lang w:val="es-ES_tradnl"/>
        </w:rPr>
      </w:pPr>
    </w:p>
    <w:p w:rsidR="00E01C28" w:rsidRPr="00725A8F" w:rsidRDefault="00E01C28" w:rsidP="0060117F">
      <w:pPr>
        <w:jc w:val="both"/>
        <w:rPr>
          <w:szCs w:val="24"/>
          <w:lang w:val="es-ES_tradnl"/>
        </w:rPr>
      </w:pPr>
      <w:r w:rsidRPr="00725A8F">
        <w:rPr>
          <w:lang w:val="es-ES_tradnl"/>
        </w:rPr>
        <w:t>El préstamo concedido por la FIPOI no devenga</w:t>
      </w:r>
      <w:r w:rsidR="00314399">
        <w:rPr>
          <w:lang w:val="es-ES_tradnl"/>
        </w:rPr>
        <w:t xml:space="preserve"> intereses y será amortizado en 16 </w:t>
      </w:r>
      <w:r w:rsidRPr="00725A8F">
        <w:rPr>
          <w:lang w:val="es-ES_tradnl"/>
        </w:rPr>
        <w:t>años.</w:t>
      </w:r>
    </w:p>
    <w:p w:rsidR="00E01C28" w:rsidRPr="00725A8F" w:rsidRDefault="00E01C28" w:rsidP="0060117F">
      <w:pPr>
        <w:jc w:val="both"/>
        <w:rPr>
          <w:szCs w:val="24"/>
          <w:lang w:val="es-ES_tradnl"/>
        </w:rPr>
      </w:pPr>
    </w:p>
    <w:p w:rsidR="00517C4B" w:rsidRPr="00725A8F" w:rsidRDefault="00517C4B" w:rsidP="0060117F">
      <w:pPr>
        <w:rPr>
          <w:sz w:val="24"/>
          <w:szCs w:val="24"/>
          <w:lang w:val="es-ES_tradnl"/>
        </w:rPr>
      </w:pPr>
    </w:p>
    <w:p w:rsidR="00D62B83" w:rsidRPr="00725A8F" w:rsidRDefault="00D62B83" w:rsidP="0060117F">
      <w:pPr>
        <w:jc w:val="both"/>
        <w:rPr>
          <w:sz w:val="24"/>
          <w:szCs w:val="24"/>
          <w:lang w:val="es-ES_tradnl"/>
        </w:rPr>
      </w:pPr>
      <w:r w:rsidRPr="00725A8F">
        <w:rPr>
          <w:sz w:val="24"/>
          <w:lang w:val="es-ES_tradnl"/>
        </w:rPr>
        <w:t>RECURSOS DE PERSONAL</w:t>
      </w:r>
    </w:p>
    <w:p w:rsidR="00D62B83" w:rsidRPr="00725A8F" w:rsidRDefault="00D62B83" w:rsidP="0060117F">
      <w:pPr>
        <w:jc w:val="both"/>
        <w:rPr>
          <w:sz w:val="24"/>
          <w:szCs w:val="24"/>
          <w:lang w:val="es-ES_tradnl"/>
        </w:rPr>
      </w:pPr>
    </w:p>
    <w:p w:rsidR="00D45E73" w:rsidRPr="00725A8F" w:rsidRDefault="00D45E73" w:rsidP="0060117F">
      <w:pPr>
        <w:pStyle w:val="ONUME"/>
        <w:keepNext/>
        <w:keepLines/>
        <w:numPr>
          <w:ilvl w:val="0"/>
          <w:numId w:val="0"/>
        </w:numPr>
        <w:jc w:val="both"/>
        <w:rPr>
          <w:b/>
          <w:bCs/>
          <w:lang w:val="es-ES_tradnl"/>
        </w:rPr>
      </w:pPr>
      <w:r w:rsidRPr="00725A8F">
        <w:rPr>
          <w:b/>
          <w:lang w:val="es-ES_tradnl"/>
        </w:rPr>
        <w:t>P1:  ¿En</w:t>
      </w:r>
      <w:r w:rsidR="00314399">
        <w:rPr>
          <w:b/>
          <w:lang w:val="es-ES_tradnl"/>
        </w:rPr>
        <w:t xml:space="preserve"> qué consiste el incremento del </w:t>
      </w:r>
      <w:r w:rsidRPr="00725A8F">
        <w:rPr>
          <w:b/>
          <w:lang w:val="es-ES_tradnl"/>
        </w:rPr>
        <w:t>2,1% de los gastos de personal?</w:t>
      </w:r>
    </w:p>
    <w:p w:rsidR="002064BD" w:rsidRPr="00725A8F" w:rsidRDefault="00D45E73" w:rsidP="0060117F">
      <w:pPr>
        <w:keepNext/>
        <w:keepLines/>
        <w:jc w:val="both"/>
        <w:rPr>
          <w:bCs/>
          <w:lang w:val="es-ES_tradnl"/>
        </w:rPr>
      </w:pPr>
      <w:r w:rsidRPr="00725A8F">
        <w:rPr>
          <w:lang w:val="es-ES_tradnl"/>
        </w:rPr>
        <w:t>R1:  El incremento global de los gastos de personal con respecto a los importes consignado</w:t>
      </w:r>
      <w:r w:rsidR="00314399">
        <w:rPr>
          <w:lang w:val="es-ES_tradnl"/>
        </w:rPr>
        <w:t>s en el presupuesto aprobado de </w:t>
      </w:r>
      <w:r w:rsidRPr="00725A8F">
        <w:rPr>
          <w:lang w:val="es-ES_tradnl"/>
        </w:rPr>
        <w:t xml:space="preserve">2014/15 asciende </w:t>
      </w:r>
      <w:r w:rsidR="00314399">
        <w:rPr>
          <w:lang w:val="es-ES_tradnl"/>
        </w:rPr>
        <w:t>a 9,6 </w:t>
      </w:r>
      <w:r w:rsidRPr="00725A8F">
        <w:rPr>
          <w:lang w:val="es-ES_tradnl"/>
        </w:rPr>
        <w:t xml:space="preserve">millones, </w:t>
      </w:r>
      <w:r w:rsidR="00314399">
        <w:rPr>
          <w:lang w:val="es-ES_tradnl"/>
        </w:rPr>
        <w:t>es decir un </w:t>
      </w:r>
      <w:r w:rsidRPr="00725A8F">
        <w:rPr>
          <w:lang w:val="es-ES_tradnl"/>
        </w:rPr>
        <w:t xml:space="preserve">2,6%, y se deriva principalmente de los aumentos reglamentarios (establecidos por la CAPI) y, en mucho menor medida, de los aumentos de las contribuciones a la CCPPNU (fondo de pensiones) y las provisiones para el seguro médico </w:t>
      </w:r>
      <w:r w:rsidR="00566C5A" w:rsidRPr="00725A8F">
        <w:rPr>
          <w:lang w:val="es-ES_tradnl"/>
        </w:rPr>
        <w:t xml:space="preserve">después de </w:t>
      </w:r>
      <w:r w:rsidRPr="00725A8F">
        <w:rPr>
          <w:lang w:val="es-ES_tradnl"/>
        </w:rPr>
        <w:t>la separación del servicio. No se prevé la</w:t>
      </w:r>
      <w:r w:rsidR="00314399">
        <w:rPr>
          <w:lang w:val="es-ES_tradnl"/>
        </w:rPr>
        <w:t xml:space="preserve"> creación de nuevos </w:t>
      </w:r>
      <w:r w:rsidR="001D294E">
        <w:rPr>
          <w:lang w:val="es-ES_tradnl"/>
        </w:rPr>
        <w:t>cargos</w:t>
      </w:r>
      <w:r w:rsidR="00314399">
        <w:rPr>
          <w:lang w:val="es-ES_tradnl"/>
        </w:rPr>
        <w:t xml:space="preserve"> en 2016/17</w:t>
      </w:r>
      <w:r w:rsidR="0085234C">
        <w:rPr>
          <w:lang w:val="es-ES_tradnl"/>
        </w:rPr>
        <w:t xml:space="preserve">. </w:t>
      </w:r>
      <w:r w:rsidR="00314399">
        <w:rPr>
          <w:lang w:val="es-ES_tradnl"/>
        </w:rPr>
        <w:t>En los párrafos 53 a 59 y en el Apéndice </w:t>
      </w:r>
      <w:r w:rsidRPr="00725A8F">
        <w:rPr>
          <w:lang w:val="es-ES_tradnl"/>
        </w:rPr>
        <w:t xml:space="preserve">C, titulado </w:t>
      </w:r>
      <w:r w:rsidR="0085234C">
        <w:rPr>
          <w:lang w:val="es-ES_tradnl"/>
        </w:rPr>
        <w:t>“</w:t>
      </w:r>
      <w:r w:rsidRPr="00725A8F">
        <w:rPr>
          <w:lang w:val="es-ES_tradnl"/>
        </w:rPr>
        <w:t>Cálculo de</w:t>
      </w:r>
      <w:r w:rsidR="001D294E">
        <w:rPr>
          <w:lang w:val="es-ES_tradnl"/>
        </w:rPr>
        <w:t>l costo</w:t>
      </w:r>
      <w:r w:rsidRPr="00725A8F">
        <w:rPr>
          <w:lang w:val="es-ES_tradnl"/>
        </w:rPr>
        <w:t xml:space="preserve"> de personal</w:t>
      </w:r>
      <w:r w:rsidR="0085234C">
        <w:rPr>
          <w:lang w:val="es-ES_tradnl"/>
        </w:rPr>
        <w:t>”</w:t>
      </w:r>
      <w:r w:rsidR="00B9212E" w:rsidRPr="00725A8F">
        <w:rPr>
          <w:lang w:val="es-ES_tradnl"/>
        </w:rPr>
        <w:t>,</w:t>
      </w:r>
      <w:r w:rsidRPr="00725A8F">
        <w:rPr>
          <w:lang w:val="es-ES_tradnl"/>
        </w:rPr>
        <w:t xml:space="preserve"> se facilita más información </w:t>
      </w:r>
      <w:r w:rsidR="00566C5A" w:rsidRPr="00725A8F">
        <w:rPr>
          <w:lang w:val="es-ES_tradnl"/>
        </w:rPr>
        <w:t xml:space="preserve">acerca de </w:t>
      </w:r>
      <w:r w:rsidRPr="00725A8F">
        <w:rPr>
          <w:lang w:val="es-ES_tradnl"/>
        </w:rPr>
        <w:t>las hipótesis de planificación y la metodología para el cálculo de los gastos de personal.</w:t>
      </w:r>
    </w:p>
    <w:p w:rsidR="008E5F97" w:rsidRPr="00725A8F" w:rsidRDefault="008E5F97" w:rsidP="0060117F">
      <w:pPr>
        <w:keepNext/>
        <w:keepLines/>
        <w:jc w:val="both"/>
        <w:rPr>
          <w:bCs/>
          <w:lang w:val="es-ES_tradnl"/>
        </w:rPr>
      </w:pPr>
    </w:p>
    <w:p w:rsidR="008E5F97" w:rsidRPr="00725A8F" w:rsidRDefault="002064BD" w:rsidP="0060117F">
      <w:pPr>
        <w:keepNext/>
        <w:keepLines/>
        <w:jc w:val="both"/>
        <w:rPr>
          <w:bCs/>
          <w:lang w:val="es-ES_tradnl"/>
        </w:rPr>
      </w:pPr>
      <w:r w:rsidRPr="00725A8F">
        <w:rPr>
          <w:lang w:val="es-ES_tradnl"/>
        </w:rPr>
        <w:t>Como consecuencia de la contención del incremento de los gastos de personal en el bienio</w:t>
      </w:r>
      <w:r w:rsidR="00314399">
        <w:rPr>
          <w:lang w:val="es-ES_tradnl"/>
        </w:rPr>
        <w:t> </w:t>
      </w:r>
      <w:r w:rsidRPr="00725A8F">
        <w:rPr>
          <w:lang w:val="es-ES_tradnl"/>
        </w:rPr>
        <w:t>2016/17, en el presupuesto total el porcentaje de los gastos de personal pre</w:t>
      </w:r>
      <w:r w:rsidR="00314399">
        <w:rPr>
          <w:lang w:val="es-ES_tradnl"/>
        </w:rPr>
        <w:t>supuestados ha descendido de un </w:t>
      </w:r>
      <w:r w:rsidRPr="00725A8F">
        <w:rPr>
          <w:lang w:val="es-ES_tradnl"/>
        </w:rPr>
        <w:t>66,3</w:t>
      </w:r>
      <w:r w:rsidR="00566C5A" w:rsidRPr="00725A8F">
        <w:rPr>
          <w:lang w:val="es-ES_tradnl"/>
        </w:rPr>
        <w:t>%</w:t>
      </w:r>
      <w:r w:rsidR="00314399">
        <w:rPr>
          <w:lang w:val="es-ES_tradnl"/>
        </w:rPr>
        <w:t xml:space="preserve"> en </w:t>
      </w:r>
      <w:r w:rsidRPr="00725A8F">
        <w:rPr>
          <w:lang w:val="es-ES_tradnl"/>
        </w:rPr>
        <w:t xml:space="preserve">2014/15 </w:t>
      </w:r>
      <w:r w:rsidR="00314399">
        <w:rPr>
          <w:lang w:val="es-ES_tradnl"/>
        </w:rPr>
        <w:t>a un </w:t>
      </w:r>
      <w:r w:rsidRPr="00725A8F">
        <w:rPr>
          <w:lang w:val="es-ES_tradnl"/>
        </w:rPr>
        <w:t>64,6</w:t>
      </w:r>
      <w:r w:rsidR="00566C5A" w:rsidRPr="00725A8F">
        <w:rPr>
          <w:lang w:val="es-ES_tradnl"/>
        </w:rPr>
        <w:t>%</w:t>
      </w:r>
      <w:r w:rsidR="00314399">
        <w:rPr>
          <w:lang w:val="es-ES_tradnl"/>
        </w:rPr>
        <w:t xml:space="preserve"> en 2016/17 (véase el párrafo </w:t>
      </w:r>
      <w:r w:rsidRPr="00725A8F">
        <w:rPr>
          <w:lang w:val="es-ES_tradnl"/>
        </w:rPr>
        <w:t xml:space="preserve">56). </w:t>
      </w:r>
    </w:p>
    <w:p w:rsidR="008E5F97" w:rsidRPr="00725A8F" w:rsidRDefault="008E5F97" w:rsidP="0060117F">
      <w:pPr>
        <w:keepNext/>
        <w:keepLines/>
        <w:jc w:val="both"/>
        <w:rPr>
          <w:bCs/>
          <w:lang w:val="es-ES_tradnl"/>
        </w:rPr>
      </w:pPr>
    </w:p>
    <w:p w:rsidR="002F446C" w:rsidRPr="00725A8F" w:rsidRDefault="002F446C" w:rsidP="0060117F">
      <w:pPr>
        <w:tabs>
          <w:tab w:val="num" w:pos="720"/>
        </w:tabs>
        <w:jc w:val="both"/>
        <w:rPr>
          <w:lang w:val="es-ES_tradnl"/>
        </w:rPr>
      </w:pPr>
    </w:p>
    <w:p w:rsidR="00AE54E0" w:rsidRPr="00725A8F" w:rsidRDefault="002F446C" w:rsidP="0060117F">
      <w:pPr>
        <w:tabs>
          <w:tab w:val="num" w:pos="720"/>
        </w:tabs>
        <w:jc w:val="both"/>
        <w:rPr>
          <w:b/>
          <w:lang w:val="es-ES_tradnl"/>
        </w:rPr>
      </w:pPr>
      <w:r w:rsidRPr="00725A8F">
        <w:rPr>
          <w:b/>
          <w:lang w:val="es-ES_tradnl"/>
        </w:rPr>
        <w:t>P2: ¿En la revisión al alza de los gastos de personal en un</w:t>
      </w:r>
      <w:r w:rsidR="00314399">
        <w:rPr>
          <w:b/>
          <w:lang w:val="es-ES_tradnl"/>
        </w:rPr>
        <w:t> </w:t>
      </w:r>
      <w:r w:rsidRPr="00725A8F">
        <w:rPr>
          <w:b/>
          <w:lang w:val="es-ES_tradnl"/>
        </w:rPr>
        <w:t xml:space="preserve">2,1% se tiene en cuenta el ahorro de 4 millones de francos suizos que se prevé conseguir </w:t>
      </w:r>
      <w:r w:rsidR="00566C5A" w:rsidRPr="00725A8F">
        <w:rPr>
          <w:b/>
          <w:lang w:val="es-ES_tradnl"/>
        </w:rPr>
        <w:t xml:space="preserve">mediante </w:t>
      </w:r>
      <w:r w:rsidRPr="00725A8F">
        <w:rPr>
          <w:b/>
          <w:lang w:val="es-ES_tradnl"/>
        </w:rPr>
        <w:t xml:space="preserve">la aplicación de la nueva política sobre viajes por vacaciones en el país de origen? </w:t>
      </w:r>
    </w:p>
    <w:p w:rsidR="00AE54E0" w:rsidRPr="00725A8F" w:rsidRDefault="00AE54E0" w:rsidP="0060117F">
      <w:pPr>
        <w:tabs>
          <w:tab w:val="num" w:pos="720"/>
        </w:tabs>
        <w:jc w:val="both"/>
        <w:rPr>
          <w:lang w:val="es-ES_tradnl"/>
        </w:rPr>
      </w:pPr>
    </w:p>
    <w:p w:rsidR="00AE54E0" w:rsidRPr="00725A8F" w:rsidRDefault="00AE54E0" w:rsidP="0060117F">
      <w:pPr>
        <w:tabs>
          <w:tab w:val="num" w:pos="720"/>
        </w:tabs>
        <w:jc w:val="both"/>
        <w:rPr>
          <w:lang w:val="es-ES_tradnl"/>
        </w:rPr>
      </w:pPr>
      <w:r w:rsidRPr="00725A8F">
        <w:rPr>
          <w:lang w:val="es-ES_tradnl"/>
        </w:rPr>
        <w:t>R2: En la estimación de gastos de personal correspondientes a 2016/17 se toman en consideración los derechos a vacaciones en el país de origen</w:t>
      </w:r>
      <w:r w:rsidR="0085234C">
        <w:rPr>
          <w:lang w:val="es-ES_tradnl"/>
        </w:rPr>
        <w:t xml:space="preserve">. </w:t>
      </w:r>
      <w:r w:rsidRPr="00725A8F">
        <w:rPr>
          <w:lang w:val="es-ES_tradnl"/>
        </w:rPr>
        <w:t xml:space="preserve">Se tiene </w:t>
      </w:r>
      <w:r w:rsidR="00566C5A" w:rsidRPr="00725A8F">
        <w:rPr>
          <w:lang w:val="es-ES_tradnl"/>
        </w:rPr>
        <w:t xml:space="preserve">debidamente </w:t>
      </w:r>
      <w:r w:rsidRPr="00725A8F">
        <w:rPr>
          <w:lang w:val="es-ES_tradnl"/>
        </w:rPr>
        <w:t>en cuenta el ahorro de</w:t>
      </w:r>
      <w:r w:rsidR="00314399">
        <w:rPr>
          <w:lang w:val="es-ES_tradnl"/>
        </w:rPr>
        <w:t> 4 </w:t>
      </w:r>
      <w:r w:rsidRPr="00725A8F">
        <w:rPr>
          <w:lang w:val="es-ES_tradnl"/>
        </w:rPr>
        <w:t xml:space="preserve">millones de francos suizos que se prevé conseguir </w:t>
      </w:r>
      <w:r w:rsidR="00566C5A" w:rsidRPr="00725A8F">
        <w:rPr>
          <w:lang w:val="es-ES_tradnl"/>
        </w:rPr>
        <w:t xml:space="preserve">mediante </w:t>
      </w:r>
      <w:r w:rsidRPr="00725A8F">
        <w:rPr>
          <w:lang w:val="es-ES_tradnl"/>
        </w:rPr>
        <w:t xml:space="preserve">la aplicación de la nueva política sobre viajes por vacaciones en el país de origen (véase el quinto punto de las </w:t>
      </w:r>
      <w:r w:rsidR="0085234C">
        <w:rPr>
          <w:lang w:val="es-ES_tradnl"/>
        </w:rPr>
        <w:t>“</w:t>
      </w:r>
      <w:r w:rsidRPr="00725A8F">
        <w:rPr>
          <w:lang w:val="es-ES_tradnl"/>
        </w:rPr>
        <w:t>Hipótesis de</w:t>
      </w:r>
      <w:r w:rsidR="00314399">
        <w:rPr>
          <w:lang w:val="es-ES_tradnl"/>
        </w:rPr>
        <w:t xml:space="preserve"> planificación</w:t>
      </w:r>
      <w:r w:rsidR="0085234C">
        <w:rPr>
          <w:lang w:val="es-ES_tradnl"/>
        </w:rPr>
        <w:t>”</w:t>
      </w:r>
      <w:r w:rsidR="00314399">
        <w:rPr>
          <w:lang w:val="es-ES_tradnl"/>
        </w:rPr>
        <w:t xml:space="preserve"> en los párrafos 56 a </w:t>
      </w:r>
      <w:r w:rsidRPr="00725A8F">
        <w:rPr>
          <w:lang w:val="es-ES_tradnl"/>
        </w:rPr>
        <w:t>59)</w:t>
      </w:r>
      <w:r w:rsidR="0085234C">
        <w:rPr>
          <w:lang w:val="es-ES_tradnl"/>
        </w:rPr>
        <w:t xml:space="preserve">. </w:t>
      </w:r>
    </w:p>
    <w:p w:rsidR="00AE54E0" w:rsidRPr="00725A8F" w:rsidRDefault="00AE54E0" w:rsidP="0060117F">
      <w:pPr>
        <w:tabs>
          <w:tab w:val="num" w:pos="720"/>
        </w:tabs>
        <w:rPr>
          <w:lang w:val="es-ES_tradnl"/>
        </w:rPr>
      </w:pPr>
    </w:p>
    <w:p w:rsidR="00E54C63" w:rsidRPr="00725A8F" w:rsidRDefault="00E54C63" w:rsidP="0060117F">
      <w:pPr>
        <w:tabs>
          <w:tab w:val="num" w:pos="720"/>
        </w:tabs>
        <w:rPr>
          <w:b/>
          <w:lang w:val="es-ES_tradnl"/>
        </w:rPr>
      </w:pPr>
    </w:p>
    <w:p w:rsidR="002F446C" w:rsidRPr="00725A8F" w:rsidRDefault="00AE54E0" w:rsidP="0060117F">
      <w:pPr>
        <w:tabs>
          <w:tab w:val="num" w:pos="720"/>
        </w:tabs>
        <w:jc w:val="both"/>
        <w:rPr>
          <w:rFonts w:eastAsia="Arial"/>
          <w:b/>
          <w:lang w:val="es-ES_tradnl"/>
        </w:rPr>
      </w:pPr>
      <w:r w:rsidRPr="00725A8F">
        <w:rPr>
          <w:b/>
          <w:lang w:val="es-ES_tradnl"/>
        </w:rPr>
        <w:t xml:space="preserve">P3: </w:t>
      </w:r>
      <w:r w:rsidR="00314399">
        <w:rPr>
          <w:b/>
          <w:lang w:val="es-ES_tradnl"/>
        </w:rPr>
        <w:t xml:space="preserve"> </w:t>
      </w:r>
      <w:r w:rsidRPr="00725A8F">
        <w:rPr>
          <w:b/>
          <w:lang w:val="es-ES_tradnl"/>
        </w:rPr>
        <w:t>¿Se tiene en cuenta en la estimación de gastos d</w:t>
      </w:r>
      <w:r w:rsidR="00314399">
        <w:rPr>
          <w:b/>
          <w:lang w:val="es-ES_tradnl"/>
        </w:rPr>
        <w:t>e personal para </w:t>
      </w:r>
      <w:r w:rsidRPr="00725A8F">
        <w:rPr>
          <w:b/>
          <w:lang w:val="es-ES_tradnl"/>
        </w:rPr>
        <w:t xml:space="preserve">2016/17 la revisión que se está llevando </w:t>
      </w:r>
      <w:r w:rsidR="00566C5A" w:rsidRPr="00725A8F">
        <w:rPr>
          <w:b/>
          <w:lang w:val="es-ES_tradnl"/>
        </w:rPr>
        <w:t xml:space="preserve">a cabo </w:t>
      </w:r>
      <w:r w:rsidR="00B9212E" w:rsidRPr="00725A8F">
        <w:rPr>
          <w:b/>
          <w:lang w:val="es-ES_tradnl"/>
        </w:rPr>
        <w:t xml:space="preserve">actualmente </w:t>
      </w:r>
      <w:r w:rsidRPr="00725A8F">
        <w:rPr>
          <w:b/>
          <w:lang w:val="es-ES_tradnl"/>
        </w:rPr>
        <w:t xml:space="preserve">del paquete retributivo ordinario de las NN.UU.? </w:t>
      </w:r>
    </w:p>
    <w:p w:rsidR="00D261A0" w:rsidRPr="00725A8F" w:rsidRDefault="00D261A0" w:rsidP="0060117F">
      <w:pPr>
        <w:jc w:val="both"/>
        <w:rPr>
          <w:bCs/>
          <w:lang w:val="es-ES_tradnl"/>
        </w:rPr>
      </w:pPr>
    </w:p>
    <w:p w:rsidR="00D45E73" w:rsidRPr="00725A8F" w:rsidRDefault="002F446C" w:rsidP="0060117F">
      <w:pPr>
        <w:jc w:val="both"/>
        <w:rPr>
          <w:bCs/>
          <w:szCs w:val="22"/>
          <w:lang w:val="es-ES_tradnl"/>
        </w:rPr>
      </w:pPr>
      <w:r w:rsidRPr="00725A8F">
        <w:rPr>
          <w:lang w:val="es-ES_tradnl"/>
        </w:rPr>
        <w:t xml:space="preserve">R3: </w:t>
      </w:r>
      <w:r w:rsidR="00314399">
        <w:rPr>
          <w:lang w:val="es-ES_tradnl"/>
        </w:rPr>
        <w:t xml:space="preserve"> </w:t>
      </w:r>
      <w:r w:rsidRPr="00725A8F">
        <w:rPr>
          <w:lang w:val="es-ES_tradnl"/>
        </w:rPr>
        <w:t xml:space="preserve">En la actualidad, no hay suficiente información acerca de las repercusiones financieras de las modificaciones propuestas y debatidas en el examen de retribuciones de la CAPI. Cabe </w:t>
      </w:r>
      <w:r w:rsidR="00B9212E" w:rsidRPr="00725A8F">
        <w:rPr>
          <w:lang w:val="es-ES_tradnl"/>
        </w:rPr>
        <w:t>considerar</w:t>
      </w:r>
      <w:r w:rsidRPr="00725A8F">
        <w:rPr>
          <w:lang w:val="es-ES_tradnl"/>
        </w:rPr>
        <w:t xml:space="preserve">, sin embargo, </w:t>
      </w:r>
      <w:r w:rsidR="00B9212E" w:rsidRPr="00725A8F">
        <w:rPr>
          <w:lang w:val="es-ES_tradnl"/>
        </w:rPr>
        <w:t xml:space="preserve">poco </w:t>
      </w:r>
      <w:r w:rsidRPr="00725A8F">
        <w:rPr>
          <w:lang w:val="es-ES_tradnl"/>
        </w:rPr>
        <w:t>probable que tales modificaciones produzcan a corto plazo un impacto significativo en los costos. La estimación de los gastos de personal en</w:t>
      </w:r>
      <w:r w:rsidR="00314399">
        <w:rPr>
          <w:lang w:val="es-ES_tradnl"/>
        </w:rPr>
        <w:t> </w:t>
      </w:r>
      <w:r w:rsidRPr="00725A8F">
        <w:rPr>
          <w:lang w:val="es-ES_tradnl"/>
        </w:rPr>
        <w:t xml:space="preserve">2016/17 se basa por tanto en la hipótesis </w:t>
      </w:r>
      <w:r w:rsidR="0085234C">
        <w:rPr>
          <w:lang w:val="es-ES_tradnl"/>
        </w:rPr>
        <w:t>“</w:t>
      </w:r>
      <w:r w:rsidRPr="00725A8F">
        <w:rPr>
          <w:lang w:val="es-ES_tradnl"/>
        </w:rPr>
        <w:t>sin cambios</w:t>
      </w:r>
      <w:r w:rsidR="0085234C">
        <w:rPr>
          <w:lang w:val="es-ES_tradnl"/>
        </w:rPr>
        <w:t>”</w:t>
      </w:r>
      <w:r w:rsidRPr="00725A8F">
        <w:rPr>
          <w:lang w:val="es-ES_tradnl"/>
        </w:rPr>
        <w:t xml:space="preserve">. </w:t>
      </w:r>
    </w:p>
    <w:p w:rsidR="002F446C" w:rsidRPr="00725A8F" w:rsidRDefault="002F446C" w:rsidP="0060117F">
      <w:pPr>
        <w:rPr>
          <w:b/>
          <w:bCs/>
          <w:lang w:val="es-ES_tradnl"/>
        </w:rPr>
      </w:pPr>
    </w:p>
    <w:p w:rsidR="003A778D" w:rsidRPr="00725A8F" w:rsidRDefault="003A778D" w:rsidP="0060117F">
      <w:pPr>
        <w:rPr>
          <w:lang w:val="es-ES_tradnl"/>
        </w:rPr>
      </w:pPr>
    </w:p>
    <w:p w:rsidR="00D62B83" w:rsidRPr="00725A8F" w:rsidRDefault="00D62B83" w:rsidP="0060117F">
      <w:pPr>
        <w:pStyle w:val="ONUME"/>
        <w:numPr>
          <w:ilvl w:val="0"/>
          <w:numId w:val="0"/>
        </w:numPr>
        <w:jc w:val="both"/>
        <w:rPr>
          <w:b/>
          <w:lang w:val="es-ES_tradnl"/>
        </w:rPr>
      </w:pPr>
      <w:r w:rsidRPr="00725A8F">
        <w:rPr>
          <w:b/>
          <w:lang w:val="es-ES_tradnl"/>
        </w:rPr>
        <w:t xml:space="preserve">P4:  ¿Por qué decrece el gasto en personal </w:t>
      </w:r>
      <w:r w:rsidR="001D294E">
        <w:rPr>
          <w:b/>
          <w:lang w:val="es-ES_tradnl"/>
        </w:rPr>
        <w:t>temporal</w:t>
      </w:r>
      <w:r w:rsidRPr="00725A8F">
        <w:rPr>
          <w:b/>
          <w:lang w:val="es-ES_tradnl"/>
        </w:rPr>
        <w:t>?</w:t>
      </w:r>
    </w:p>
    <w:p w:rsidR="00D62B83" w:rsidRPr="00725A8F" w:rsidRDefault="00D62B83" w:rsidP="0060117F">
      <w:pPr>
        <w:jc w:val="both"/>
        <w:rPr>
          <w:lang w:val="es-ES_tradnl"/>
        </w:rPr>
      </w:pPr>
      <w:r w:rsidRPr="00725A8F">
        <w:rPr>
          <w:lang w:val="es-ES_tradnl"/>
        </w:rPr>
        <w:t xml:space="preserve">R4:  La disminución del gasto en personal </w:t>
      </w:r>
      <w:r w:rsidR="001D294E">
        <w:rPr>
          <w:lang w:val="es-ES_tradnl"/>
        </w:rPr>
        <w:t>temporal</w:t>
      </w:r>
      <w:r w:rsidR="006F1931" w:rsidRPr="00725A8F">
        <w:rPr>
          <w:lang w:val="es-ES_tradnl"/>
        </w:rPr>
        <w:t xml:space="preserve"> </w:t>
      </w:r>
      <w:r w:rsidRPr="00725A8F">
        <w:rPr>
          <w:lang w:val="es-ES_tradnl"/>
        </w:rPr>
        <w:t>obedece a la regularización de funcio</w:t>
      </w:r>
      <w:r w:rsidR="00314399">
        <w:rPr>
          <w:lang w:val="es-ES_tradnl"/>
        </w:rPr>
        <w:t>nes permanentes que concluyó en </w:t>
      </w:r>
      <w:r w:rsidRPr="00725A8F">
        <w:rPr>
          <w:lang w:val="es-ES_tradnl"/>
        </w:rPr>
        <w:t>2014/15 (en el marco de la regularización de</w:t>
      </w:r>
      <w:r w:rsidR="00314399">
        <w:rPr>
          <w:lang w:val="es-ES_tradnl"/>
        </w:rPr>
        <w:t> 156 </w:t>
      </w:r>
      <w:r w:rsidRPr="00725A8F">
        <w:rPr>
          <w:lang w:val="es-ES_tradnl"/>
        </w:rPr>
        <w:t>puestos aprobada en principio por los Estados miembros (véase WO/CC/63/5))</w:t>
      </w:r>
      <w:r w:rsidR="0085234C">
        <w:rPr>
          <w:lang w:val="es-ES_tradnl"/>
        </w:rPr>
        <w:t xml:space="preserve">. </w:t>
      </w:r>
      <w:r w:rsidRPr="00725A8F">
        <w:rPr>
          <w:lang w:val="es-ES_tradnl"/>
        </w:rPr>
        <w:t>Así pues, el número de puestos temporales presupuestados para</w:t>
      </w:r>
      <w:r w:rsidR="00314399">
        <w:rPr>
          <w:lang w:val="es-ES_tradnl"/>
        </w:rPr>
        <w:t> 2016/17 es de 111, frente a 144 en el bienio </w:t>
      </w:r>
      <w:r w:rsidRPr="00725A8F">
        <w:rPr>
          <w:lang w:val="es-ES_tradnl"/>
        </w:rPr>
        <w:t>2014/15.</w:t>
      </w:r>
    </w:p>
    <w:p w:rsidR="00D62B83" w:rsidRPr="00725A8F" w:rsidRDefault="00D62B83" w:rsidP="0060117F">
      <w:pPr>
        <w:rPr>
          <w:lang w:val="es-ES_tradnl"/>
        </w:rPr>
      </w:pPr>
    </w:p>
    <w:p w:rsidR="00417ED8" w:rsidRPr="00725A8F" w:rsidRDefault="00417ED8" w:rsidP="0060117F">
      <w:pPr>
        <w:pStyle w:val="ONUME"/>
        <w:numPr>
          <w:ilvl w:val="0"/>
          <w:numId w:val="0"/>
        </w:numPr>
        <w:spacing w:after="0"/>
        <w:jc w:val="both"/>
        <w:rPr>
          <w:b/>
          <w:lang w:val="es-ES_tradnl"/>
        </w:rPr>
      </w:pPr>
    </w:p>
    <w:p w:rsidR="00D62B83" w:rsidRPr="00725A8F" w:rsidRDefault="00D62B83" w:rsidP="0060117F">
      <w:pPr>
        <w:pStyle w:val="ONUME"/>
        <w:numPr>
          <w:ilvl w:val="0"/>
          <w:numId w:val="0"/>
        </w:numPr>
        <w:spacing w:after="0"/>
        <w:jc w:val="both"/>
        <w:rPr>
          <w:b/>
          <w:lang w:val="es-ES_tradnl"/>
        </w:rPr>
      </w:pPr>
      <w:r w:rsidRPr="00725A8F">
        <w:rPr>
          <w:b/>
          <w:lang w:val="es-ES_tradnl"/>
        </w:rPr>
        <w:t xml:space="preserve">P5:  ¿La regularización de funciones permanentes entraña un mayor gasto en la partida </w:t>
      </w:r>
      <w:r w:rsidR="0085234C">
        <w:rPr>
          <w:b/>
          <w:lang w:val="es-ES_tradnl"/>
        </w:rPr>
        <w:t>“</w:t>
      </w:r>
      <w:r w:rsidRPr="00725A8F">
        <w:rPr>
          <w:b/>
          <w:lang w:val="es-ES_tradnl"/>
        </w:rPr>
        <w:t>Puestos</w:t>
      </w:r>
      <w:r w:rsidR="0085234C">
        <w:rPr>
          <w:b/>
          <w:lang w:val="es-ES_tradnl"/>
        </w:rPr>
        <w:t>”</w:t>
      </w:r>
      <w:r w:rsidRPr="00725A8F">
        <w:rPr>
          <w:b/>
          <w:lang w:val="es-ES_tradnl"/>
        </w:rPr>
        <w:t xml:space="preserve">? </w:t>
      </w:r>
    </w:p>
    <w:p w:rsidR="00417ED8" w:rsidRPr="00725A8F" w:rsidRDefault="00417ED8" w:rsidP="0060117F">
      <w:pPr>
        <w:jc w:val="both"/>
        <w:rPr>
          <w:lang w:val="es-ES_tradnl"/>
        </w:rPr>
      </w:pPr>
    </w:p>
    <w:p w:rsidR="0058105B" w:rsidRPr="00725A8F" w:rsidRDefault="00D62B83" w:rsidP="0060117F">
      <w:pPr>
        <w:jc w:val="both"/>
        <w:rPr>
          <w:lang w:val="es-ES_tradnl"/>
        </w:rPr>
      </w:pPr>
      <w:r w:rsidRPr="00725A8F">
        <w:rPr>
          <w:lang w:val="es-ES_tradnl"/>
        </w:rPr>
        <w:t xml:space="preserve">R5:  Mediante la regularización de </w:t>
      </w:r>
      <w:r w:rsidR="00314399">
        <w:rPr>
          <w:lang w:val="es-ES_tradnl"/>
        </w:rPr>
        <w:t>funciones permanentes (véase la </w:t>
      </w:r>
      <w:r w:rsidRPr="00725A8F">
        <w:rPr>
          <w:lang w:val="es-ES_tradnl"/>
        </w:rPr>
        <w:t xml:space="preserve">P4 más arriba) se transforman plazas temporales en puestos de plantilla. Por tanto, el consiguiente aumento de la partida </w:t>
      </w:r>
      <w:r w:rsidR="0085234C">
        <w:rPr>
          <w:lang w:val="es-ES_tradnl"/>
        </w:rPr>
        <w:t>“</w:t>
      </w:r>
      <w:r w:rsidRPr="00725A8F">
        <w:rPr>
          <w:lang w:val="es-ES_tradnl"/>
        </w:rPr>
        <w:t>Puestos</w:t>
      </w:r>
      <w:r w:rsidR="0085234C">
        <w:rPr>
          <w:lang w:val="es-ES_tradnl"/>
        </w:rPr>
        <w:t>”</w:t>
      </w:r>
      <w:r w:rsidRPr="00725A8F">
        <w:rPr>
          <w:lang w:val="es-ES_tradnl"/>
        </w:rPr>
        <w:t xml:space="preserve"> (y la disminución de la partida </w:t>
      </w:r>
      <w:r w:rsidR="0085234C">
        <w:rPr>
          <w:lang w:val="es-ES_tradnl"/>
        </w:rPr>
        <w:t>“</w:t>
      </w:r>
      <w:r w:rsidRPr="00725A8F">
        <w:rPr>
          <w:lang w:val="es-ES_tradnl"/>
        </w:rPr>
        <w:t>Personal tempor</w:t>
      </w:r>
      <w:r w:rsidR="001D294E">
        <w:rPr>
          <w:lang w:val="es-ES_tradnl"/>
        </w:rPr>
        <w:t>al</w:t>
      </w:r>
      <w:r w:rsidR="0085234C">
        <w:rPr>
          <w:lang w:val="es-ES_tradnl"/>
        </w:rPr>
        <w:t>”</w:t>
      </w:r>
      <w:r w:rsidRPr="00725A8F">
        <w:rPr>
          <w:lang w:val="es-ES_tradnl"/>
        </w:rPr>
        <w:t xml:space="preserve">) equivale a la diferencia entre los costos de una plaza temporal y de un puesto permanente (diferencias en beneficios y prestaciones entre estas dos clases de contratos). </w:t>
      </w:r>
    </w:p>
    <w:p w:rsidR="00D62B83" w:rsidRPr="00725A8F" w:rsidRDefault="0058105B" w:rsidP="0060117F">
      <w:pPr>
        <w:jc w:val="both"/>
        <w:rPr>
          <w:lang w:val="es-ES_tradnl"/>
        </w:rPr>
      </w:pPr>
      <w:r w:rsidRPr="00725A8F">
        <w:rPr>
          <w:lang w:val="es-ES_tradnl"/>
        </w:rPr>
        <w:t xml:space="preserve"> </w:t>
      </w:r>
    </w:p>
    <w:p w:rsidR="00D62B83" w:rsidRPr="00725A8F" w:rsidRDefault="00D62B83" w:rsidP="0060117F">
      <w:pPr>
        <w:keepNext/>
        <w:keepLines/>
        <w:jc w:val="both"/>
        <w:rPr>
          <w:lang w:val="es-ES_tradnl"/>
        </w:rPr>
      </w:pPr>
    </w:p>
    <w:p w:rsidR="00523716" w:rsidRPr="00725A8F" w:rsidRDefault="00523716" w:rsidP="0060117F">
      <w:pPr>
        <w:jc w:val="both"/>
        <w:rPr>
          <w:lang w:val="es-ES_tradnl"/>
        </w:rPr>
      </w:pPr>
      <w:r w:rsidRPr="00725A8F">
        <w:rPr>
          <w:b/>
          <w:lang w:val="es-ES_tradnl"/>
        </w:rPr>
        <w:t>P6:  ¿El incremento del 2,1% en gastos de personal incluye una provisión para el seguro médico después de la separación del servicio?</w:t>
      </w:r>
    </w:p>
    <w:p w:rsidR="00523716" w:rsidRPr="00725A8F" w:rsidRDefault="00523716" w:rsidP="0060117F">
      <w:pPr>
        <w:jc w:val="both"/>
        <w:rPr>
          <w:b/>
          <w:bCs/>
          <w:lang w:val="es-ES_tradnl"/>
        </w:rPr>
      </w:pPr>
    </w:p>
    <w:p w:rsidR="00804452" w:rsidRPr="00725A8F" w:rsidRDefault="00523716" w:rsidP="0060117F">
      <w:pPr>
        <w:jc w:val="both"/>
        <w:rPr>
          <w:b/>
          <w:bCs/>
          <w:lang w:val="es-ES_tradnl"/>
        </w:rPr>
      </w:pPr>
      <w:r w:rsidRPr="00725A8F">
        <w:rPr>
          <w:lang w:val="es-ES_tradnl"/>
        </w:rPr>
        <w:t xml:space="preserve">R6:  Las provisiones para el seguro médico después de la separación del </w:t>
      </w:r>
      <w:r w:rsidR="00314399">
        <w:rPr>
          <w:lang w:val="es-ES_tradnl"/>
        </w:rPr>
        <w:t>servicio se han mantenido en un </w:t>
      </w:r>
      <w:r w:rsidRPr="00725A8F">
        <w:rPr>
          <w:lang w:val="es-ES_tradnl"/>
        </w:rPr>
        <w:t xml:space="preserve">6%, que es el mismo nivel </w:t>
      </w:r>
      <w:r w:rsidR="00566C5A" w:rsidRPr="00725A8F">
        <w:rPr>
          <w:lang w:val="es-ES_tradnl"/>
        </w:rPr>
        <w:t xml:space="preserve">que se prevé </w:t>
      </w:r>
      <w:r w:rsidRPr="00725A8F">
        <w:rPr>
          <w:lang w:val="es-ES_tradnl"/>
        </w:rPr>
        <w:t>en el presupuesto por progr</w:t>
      </w:r>
      <w:r w:rsidR="00314399">
        <w:rPr>
          <w:lang w:val="es-ES_tradnl"/>
        </w:rPr>
        <w:t>amas de </w:t>
      </w:r>
      <w:r w:rsidRPr="00725A8F">
        <w:rPr>
          <w:lang w:val="es-ES_tradnl"/>
        </w:rPr>
        <w:t xml:space="preserve">2014/15 (véanse las hipótesis de planificación de gastos de personal </w:t>
      </w:r>
      <w:r w:rsidR="006F1931" w:rsidRPr="00725A8F">
        <w:rPr>
          <w:lang w:val="es-ES_tradnl"/>
        </w:rPr>
        <w:t xml:space="preserve">contempladas </w:t>
      </w:r>
      <w:r w:rsidRPr="00725A8F">
        <w:rPr>
          <w:lang w:val="es-ES_tradnl"/>
        </w:rPr>
        <w:t>en los párrafos</w:t>
      </w:r>
      <w:r w:rsidR="00314399">
        <w:rPr>
          <w:lang w:val="es-ES_tradnl"/>
        </w:rPr>
        <w:t> 56 a </w:t>
      </w:r>
      <w:r w:rsidRPr="00725A8F">
        <w:rPr>
          <w:lang w:val="es-ES_tradnl"/>
        </w:rPr>
        <w:t xml:space="preserve">59). </w:t>
      </w:r>
    </w:p>
    <w:p w:rsidR="00523716" w:rsidRPr="00725A8F" w:rsidRDefault="00523716" w:rsidP="0060117F">
      <w:pPr>
        <w:rPr>
          <w:bCs/>
          <w:lang w:val="es-ES_tradnl"/>
        </w:rPr>
      </w:pPr>
    </w:p>
    <w:p w:rsidR="00523716" w:rsidRPr="00725A8F" w:rsidRDefault="00523716" w:rsidP="0060117F">
      <w:pPr>
        <w:keepNext/>
        <w:keepLines/>
        <w:spacing w:before="120"/>
        <w:rPr>
          <w:b/>
          <w:bCs/>
          <w:lang w:val="es-ES_tradnl"/>
        </w:rPr>
      </w:pPr>
    </w:p>
    <w:p w:rsidR="005F0E99" w:rsidRPr="00725A8F" w:rsidRDefault="005F0E99" w:rsidP="0060117F">
      <w:pPr>
        <w:pStyle w:val="ONUME"/>
        <w:keepNext/>
        <w:keepLines/>
        <w:numPr>
          <w:ilvl w:val="0"/>
          <w:numId w:val="0"/>
        </w:numPr>
        <w:jc w:val="both"/>
        <w:rPr>
          <w:b/>
          <w:lang w:val="es-ES_tradnl"/>
        </w:rPr>
      </w:pPr>
      <w:r w:rsidRPr="00725A8F">
        <w:rPr>
          <w:b/>
          <w:lang w:val="es-ES_tradnl"/>
        </w:rPr>
        <w:t xml:space="preserve">P7:  ¿Desde 2013, qué avances se han conseguido en la contención de los pasivos correspondientes al seguro médico después de la separación del servicio y en la gestión de </w:t>
      </w:r>
      <w:r w:rsidR="001D294E">
        <w:rPr>
          <w:b/>
          <w:lang w:val="es-ES_tradnl"/>
        </w:rPr>
        <w:t>estos</w:t>
      </w:r>
      <w:r w:rsidRPr="00725A8F">
        <w:rPr>
          <w:b/>
          <w:lang w:val="es-ES_tradnl"/>
        </w:rPr>
        <w:t xml:space="preserve"> fondos?  </w:t>
      </w:r>
    </w:p>
    <w:p w:rsidR="00670D4C" w:rsidRPr="00725A8F" w:rsidRDefault="005F0E99" w:rsidP="0060117F">
      <w:pPr>
        <w:jc w:val="both"/>
        <w:textAlignment w:val="top"/>
        <w:rPr>
          <w:lang w:val="es-ES_tradnl"/>
        </w:rPr>
      </w:pPr>
      <w:r w:rsidRPr="00725A8F">
        <w:rPr>
          <w:lang w:val="es-ES_tradnl"/>
        </w:rPr>
        <w:t>R7:  La Secretaría se ha propuesto de forma deliberada una estrategia de contención de los gastos de personal, pasando a una plantilla más ágil y con mayor movilidad que pueda adaptarse con facilidad a las necesidades operativas, y promoviendo modelos flexibles de dotación de personal a fin de limitar el incremento de los pasivos por prestaciones a empleados. Por consiguiente, no se han propuesto nuevos puestos para</w:t>
      </w:r>
      <w:r w:rsidR="00314399">
        <w:rPr>
          <w:lang w:val="es-ES_tradnl"/>
        </w:rPr>
        <w:t> </w:t>
      </w:r>
      <w:r w:rsidRPr="00725A8F">
        <w:rPr>
          <w:lang w:val="es-ES_tradnl"/>
        </w:rPr>
        <w:t xml:space="preserve">2016/17. </w:t>
      </w:r>
    </w:p>
    <w:p w:rsidR="00670D4C" w:rsidRPr="00725A8F" w:rsidRDefault="00670D4C" w:rsidP="0060117F">
      <w:pPr>
        <w:keepNext/>
        <w:keepLines/>
        <w:jc w:val="both"/>
        <w:rPr>
          <w:bCs/>
          <w:lang w:val="es-ES_tradnl"/>
        </w:rPr>
      </w:pPr>
    </w:p>
    <w:p w:rsidR="00804452" w:rsidRPr="00725A8F" w:rsidRDefault="00804452" w:rsidP="0060117F">
      <w:pPr>
        <w:keepNext/>
        <w:keepLines/>
        <w:jc w:val="both"/>
        <w:rPr>
          <w:lang w:val="es-ES_tradnl"/>
        </w:rPr>
      </w:pPr>
      <w:r w:rsidRPr="00725A8F">
        <w:rPr>
          <w:lang w:val="es-ES_tradnl"/>
        </w:rPr>
        <w:t>Asimismo, la O</w:t>
      </w:r>
      <w:r w:rsidR="00566C5A" w:rsidRPr="00725A8F">
        <w:rPr>
          <w:lang w:val="es-ES_tradnl"/>
        </w:rPr>
        <w:t xml:space="preserve">MPI ha sido miembro activo del </w:t>
      </w:r>
      <w:r w:rsidR="00800212" w:rsidRPr="00725A8F">
        <w:rPr>
          <w:lang w:val="es-ES_tradnl"/>
        </w:rPr>
        <w:t>g</w:t>
      </w:r>
      <w:r w:rsidRPr="00725A8F">
        <w:rPr>
          <w:lang w:val="es-ES_tradnl"/>
        </w:rPr>
        <w:t xml:space="preserve">rupo de </w:t>
      </w:r>
      <w:r w:rsidR="00800212" w:rsidRPr="00725A8F">
        <w:rPr>
          <w:lang w:val="es-ES_tradnl"/>
        </w:rPr>
        <w:t>t</w:t>
      </w:r>
      <w:r w:rsidRPr="00725A8F">
        <w:rPr>
          <w:lang w:val="es-ES_tradnl"/>
        </w:rPr>
        <w:t xml:space="preserve">rabajo </w:t>
      </w:r>
      <w:r w:rsidR="00800212" w:rsidRPr="00725A8F">
        <w:rPr>
          <w:lang w:val="es-ES_tradnl"/>
        </w:rPr>
        <w:t xml:space="preserve">sobre el </w:t>
      </w:r>
      <w:r w:rsidRPr="00725A8F">
        <w:rPr>
          <w:lang w:val="es-ES_tradnl"/>
        </w:rPr>
        <w:t>seguro médico después de la separaci</w:t>
      </w:r>
      <w:r w:rsidR="00314399">
        <w:rPr>
          <w:lang w:val="es-ES_tradnl"/>
        </w:rPr>
        <w:t>ón del servicio, constituido en </w:t>
      </w:r>
      <w:r w:rsidRPr="00725A8F">
        <w:rPr>
          <w:lang w:val="es-ES_tradnl"/>
        </w:rPr>
        <w:t xml:space="preserve">2013 por la </w:t>
      </w:r>
      <w:r w:rsidR="0026751D" w:rsidRPr="00725A8F">
        <w:rPr>
          <w:lang w:val="es-ES_tradnl"/>
        </w:rPr>
        <w:t>R</w:t>
      </w:r>
      <w:r w:rsidRPr="00725A8F">
        <w:rPr>
          <w:lang w:val="es-ES_tradnl"/>
        </w:rPr>
        <w:t xml:space="preserve">ed de </w:t>
      </w:r>
      <w:r w:rsidR="0026751D" w:rsidRPr="00725A8F">
        <w:rPr>
          <w:lang w:val="es-ES_tradnl"/>
        </w:rPr>
        <w:t>F</w:t>
      </w:r>
      <w:r w:rsidRPr="00725A8F">
        <w:rPr>
          <w:lang w:val="es-ES_tradnl"/>
        </w:rPr>
        <w:t xml:space="preserve">inanzas y </w:t>
      </w:r>
      <w:r w:rsidR="0026751D" w:rsidRPr="00725A8F">
        <w:rPr>
          <w:lang w:val="es-ES_tradnl"/>
        </w:rPr>
        <w:t>P</w:t>
      </w:r>
      <w:r w:rsidRPr="00725A8F">
        <w:rPr>
          <w:lang w:val="es-ES_tradnl"/>
        </w:rPr>
        <w:t>resupuesto de las NN.UU., y es también miembro del equipo directivo</w:t>
      </w:r>
      <w:r w:rsidR="0085234C">
        <w:rPr>
          <w:lang w:val="es-ES_tradnl"/>
        </w:rPr>
        <w:t xml:space="preserve">. </w:t>
      </w:r>
      <w:r w:rsidRPr="00725A8F">
        <w:rPr>
          <w:lang w:val="es-ES_tradnl"/>
        </w:rPr>
        <w:t xml:space="preserve">Habida cuenta de la amplitud y complejidad </w:t>
      </w:r>
      <w:r w:rsidR="00800212" w:rsidRPr="00725A8F">
        <w:rPr>
          <w:lang w:val="es-ES_tradnl"/>
        </w:rPr>
        <w:t>d</w:t>
      </w:r>
      <w:r w:rsidRPr="00725A8F">
        <w:rPr>
          <w:lang w:val="es-ES_tradnl"/>
        </w:rPr>
        <w:t xml:space="preserve">el objeto de </w:t>
      </w:r>
      <w:r w:rsidR="00800212" w:rsidRPr="00725A8F">
        <w:rPr>
          <w:lang w:val="es-ES_tradnl"/>
        </w:rPr>
        <w:t xml:space="preserve">este </w:t>
      </w:r>
      <w:r w:rsidRPr="00725A8F">
        <w:rPr>
          <w:lang w:val="es-ES_tradnl"/>
        </w:rPr>
        <w:t xml:space="preserve">seguro, el año pasado el </w:t>
      </w:r>
      <w:r w:rsidR="00800212" w:rsidRPr="00725A8F">
        <w:rPr>
          <w:lang w:val="es-ES_tradnl"/>
        </w:rPr>
        <w:t>g</w:t>
      </w:r>
      <w:r w:rsidRPr="00725A8F">
        <w:rPr>
          <w:lang w:val="es-ES_tradnl"/>
        </w:rPr>
        <w:t xml:space="preserve">rupo de </w:t>
      </w:r>
      <w:r w:rsidR="00800212" w:rsidRPr="00725A8F">
        <w:rPr>
          <w:lang w:val="es-ES_tradnl"/>
        </w:rPr>
        <w:t>t</w:t>
      </w:r>
      <w:r w:rsidRPr="00725A8F">
        <w:rPr>
          <w:lang w:val="es-ES_tradnl"/>
        </w:rPr>
        <w:t xml:space="preserve">rabajo reconoció que era necesaria la ayuda </w:t>
      </w:r>
      <w:r w:rsidR="00314399">
        <w:rPr>
          <w:lang w:val="es-ES_tradnl"/>
        </w:rPr>
        <w:t>de consultores. A principios de </w:t>
      </w:r>
      <w:r w:rsidRPr="00725A8F">
        <w:rPr>
          <w:lang w:val="es-ES_tradnl"/>
        </w:rPr>
        <w:t xml:space="preserve">2015 se contrataron consultores, que han estado colaborando con el </w:t>
      </w:r>
      <w:r w:rsidR="00800212" w:rsidRPr="00725A8F">
        <w:rPr>
          <w:lang w:val="es-ES_tradnl"/>
        </w:rPr>
        <w:t>g</w:t>
      </w:r>
      <w:r w:rsidRPr="00725A8F">
        <w:rPr>
          <w:lang w:val="es-ES_tradnl"/>
        </w:rPr>
        <w:t xml:space="preserve">rupo de </w:t>
      </w:r>
      <w:r w:rsidR="00800212" w:rsidRPr="00725A8F">
        <w:rPr>
          <w:lang w:val="es-ES_tradnl"/>
        </w:rPr>
        <w:t>t</w:t>
      </w:r>
      <w:r w:rsidRPr="00725A8F">
        <w:rPr>
          <w:lang w:val="es-ES_tradnl"/>
        </w:rPr>
        <w:t>rabajo en la publicación y análisis de un estudio exhaustivo sobre los planes de salud en el sistema de las NN.UU. Ahora se han solicitado datos adicionales a todos los organismos y se han identificado ya vari</w:t>
      </w:r>
      <w:r w:rsidR="00566C5A" w:rsidRPr="00725A8F">
        <w:rPr>
          <w:lang w:val="es-ES_tradnl"/>
        </w:rPr>
        <w:t>o</w:t>
      </w:r>
      <w:r w:rsidRPr="00725A8F">
        <w:rPr>
          <w:lang w:val="es-ES_tradnl"/>
        </w:rPr>
        <w:t xml:space="preserve">s </w:t>
      </w:r>
      <w:r w:rsidR="00566C5A" w:rsidRPr="00725A8F">
        <w:rPr>
          <w:lang w:val="es-ES_tradnl"/>
        </w:rPr>
        <w:t xml:space="preserve">ámbitos </w:t>
      </w:r>
      <w:r w:rsidRPr="00725A8F">
        <w:rPr>
          <w:lang w:val="es-ES_tradnl"/>
        </w:rPr>
        <w:t xml:space="preserve">que han de analizarse en profundidad. Entre </w:t>
      </w:r>
      <w:r w:rsidR="00404CE4" w:rsidRPr="00725A8F">
        <w:rPr>
          <w:lang w:val="es-ES_tradnl"/>
        </w:rPr>
        <w:t xml:space="preserve">esos ámbitos </w:t>
      </w:r>
      <w:r w:rsidRPr="00725A8F">
        <w:rPr>
          <w:lang w:val="es-ES_tradnl"/>
        </w:rPr>
        <w:t xml:space="preserve">se incluyen el uso de los sistemas nacionales de salud, la colaboración entre organismos a fin de conseguir mejores precios de los proveedores de asistencia sanitaria y la creación de planes de salud gestionados internamente. Esta labor continúa y está previsto que el </w:t>
      </w:r>
      <w:r w:rsidR="00800212" w:rsidRPr="00725A8F">
        <w:rPr>
          <w:lang w:val="es-ES_tradnl"/>
        </w:rPr>
        <w:t>g</w:t>
      </w:r>
      <w:r w:rsidRPr="00725A8F">
        <w:rPr>
          <w:lang w:val="es-ES_tradnl"/>
        </w:rPr>
        <w:t xml:space="preserve">rupo de </w:t>
      </w:r>
      <w:r w:rsidR="00800212" w:rsidRPr="00725A8F">
        <w:rPr>
          <w:lang w:val="es-ES_tradnl"/>
        </w:rPr>
        <w:t>t</w:t>
      </w:r>
      <w:r w:rsidRPr="00725A8F">
        <w:rPr>
          <w:lang w:val="es-ES_tradnl"/>
        </w:rPr>
        <w:t>rabajo informe a la Asamblea General con ocasión de la reanudación de su perí</w:t>
      </w:r>
      <w:r w:rsidR="00314399">
        <w:rPr>
          <w:lang w:val="es-ES_tradnl"/>
        </w:rPr>
        <w:t>odo de sesiones a principios de </w:t>
      </w:r>
      <w:r w:rsidRPr="00725A8F">
        <w:rPr>
          <w:lang w:val="es-ES_tradnl"/>
        </w:rPr>
        <w:t>2016.</w:t>
      </w:r>
    </w:p>
    <w:p w:rsidR="005F0E99" w:rsidRPr="00725A8F" w:rsidRDefault="005F0E99" w:rsidP="0060117F">
      <w:pPr>
        <w:keepNext/>
        <w:keepLines/>
        <w:rPr>
          <w:bCs/>
          <w:lang w:val="es-ES_tradnl"/>
        </w:rPr>
      </w:pPr>
    </w:p>
    <w:p w:rsidR="005F0E99" w:rsidRPr="00725A8F" w:rsidRDefault="005F0E99" w:rsidP="0060117F">
      <w:pPr>
        <w:spacing w:before="120"/>
        <w:rPr>
          <w:b/>
          <w:bCs/>
          <w:lang w:val="es-ES_tradnl"/>
        </w:rPr>
      </w:pPr>
    </w:p>
    <w:p w:rsidR="005F0E99" w:rsidRPr="00725A8F" w:rsidRDefault="005F0E99" w:rsidP="0060117F">
      <w:pPr>
        <w:pStyle w:val="ONUME"/>
        <w:numPr>
          <w:ilvl w:val="0"/>
          <w:numId w:val="0"/>
        </w:numPr>
        <w:jc w:val="both"/>
        <w:rPr>
          <w:b/>
          <w:bCs/>
          <w:lang w:val="es-ES_tradnl"/>
        </w:rPr>
      </w:pPr>
      <w:r w:rsidRPr="00725A8F">
        <w:rPr>
          <w:b/>
          <w:lang w:val="es-ES_tradnl"/>
        </w:rPr>
        <w:t>P8:  ¿Los pasivos correspondientes al seguro médico después de la separación del servicio que figuran en los estados financieros toman en consideración el tipo de descuento tras la aplicación de los tipos de interés negativos?</w:t>
      </w:r>
    </w:p>
    <w:p w:rsidR="00804452" w:rsidRPr="00725A8F" w:rsidRDefault="005F0E99" w:rsidP="0060117F">
      <w:pPr>
        <w:jc w:val="both"/>
        <w:rPr>
          <w:lang w:val="es-ES_tradnl"/>
        </w:rPr>
      </w:pPr>
      <w:r w:rsidRPr="00725A8F">
        <w:rPr>
          <w:lang w:val="es-ES_tradnl"/>
        </w:rPr>
        <w:t>R8:  El tipo de descuento refleja la sit</w:t>
      </w:r>
      <w:r w:rsidR="00314399">
        <w:rPr>
          <w:lang w:val="es-ES_tradnl"/>
        </w:rPr>
        <w:t>uación al final de diciembre de </w:t>
      </w:r>
      <w:r w:rsidRPr="00725A8F">
        <w:rPr>
          <w:lang w:val="es-ES_tradnl"/>
        </w:rPr>
        <w:t>2014, antes del abandono del tipo de cambio fijo entre el franco suizo y el euro y la introducción generalizada de tipos de interés negativos.</w:t>
      </w:r>
    </w:p>
    <w:p w:rsidR="005F0E99" w:rsidRPr="00725A8F" w:rsidRDefault="005F0E99" w:rsidP="0060117F">
      <w:pPr>
        <w:rPr>
          <w:lang w:val="es-ES_tradnl"/>
        </w:rPr>
      </w:pPr>
    </w:p>
    <w:p w:rsidR="005F0E99" w:rsidRPr="00725A8F" w:rsidRDefault="005F0E99" w:rsidP="0060117F">
      <w:pPr>
        <w:rPr>
          <w:b/>
          <w:bCs/>
          <w:lang w:val="es-ES_tradnl"/>
        </w:rPr>
      </w:pPr>
    </w:p>
    <w:p w:rsidR="005F0E99" w:rsidRPr="00725A8F" w:rsidRDefault="005F0E99" w:rsidP="0060117F">
      <w:pPr>
        <w:pStyle w:val="ONUME"/>
        <w:numPr>
          <w:ilvl w:val="0"/>
          <w:numId w:val="0"/>
        </w:numPr>
        <w:jc w:val="both"/>
        <w:rPr>
          <w:b/>
          <w:bCs/>
          <w:lang w:val="es-ES_tradnl"/>
        </w:rPr>
      </w:pPr>
      <w:r w:rsidRPr="00725A8F">
        <w:rPr>
          <w:b/>
          <w:lang w:val="es-ES_tradnl"/>
        </w:rPr>
        <w:t>P9:  ¿Existen cifras actualizadas correspondientes al seguro médico después de la separación del servicio? ¿Se ha realizado un estudio actuarial con miras a actualizar esas cifras?</w:t>
      </w:r>
    </w:p>
    <w:p w:rsidR="00804452" w:rsidRPr="00725A8F" w:rsidRDefault="006C37C3" w:rsidP="0060117F">
      <w:pPr>
        <w:pStyle w:val="ONUME"/>
        <w:numPr>
          <w:ilvl w:val="0"/>
          <w:numId w:val="0"/>
        </w:numPr>
        <w:spacing w:after="0"/>
        <w:jc w:val="both"/>
        <w:rPr>
          <w:bCs/>
          <w:lang w:val="es-ES_tradnl"/>
        </w:rPr>
      </w:pPr>
      <w:r w:rsidRPr="00725A8F">
        <w:rPr>
          <w:lang w:val="es-ES_tradnl"/>
        </w:rPr>
        <w:t xml:space="preserve">R9: </w:t>
      </w:r>
      <w:r w:rsidR="00314399">
        <w:rPr>
          <w:lang w:val="es-ES_tradnl"/>
        </w:rPr>
        <w:t xml:space="preserve"> </w:t>
      </w:r>
      <w:r w:rsidRPr="00725A8F">
        <w:rPr>
          <w:lang w:val="es-ES_tradnl"/>
        </w:rPr>
        <w:t>A princi</w:t>
      </w:r>
      <w:r w:rsidR="00314399">
        <w:rPr>
          <w:lang w:val="es-ES_tradnl"/>
        </w:rPr>
        <w:t>pios de </w:t>
      </w:r>
      <w:r w:rsidRPr="00725A8F">
        <w:rPr>
          <w:lang w:val="es-ES_tradnl"/>
        </w:rPr>
        <w:t xml:space="preserve">2015 se llevó a cabo un estudio actuarial con </w:t>
      </w:r>
      <w:r w:rsidR="00800212" w:rsidRPr="00725A8F">
        <w:rPr>
          <w:lang w:val="es-ES_tradnl"/>
        </w:rPr>
        <w:t xml:space="preserve">miras a </w:t>
      </w:r>
      <w:r w:rsidRPr="00725A8F">
        <w:rPr>
          <w:lang w:val="es-ES_tradnl"/>
        </w:rPr>
        <w:t>actualizar las cifras del seguro médico después de la separación del servicio. Esta labor se realiza todos los años. El pasivo que figur</w:t>
      </w:r>
      <w:r w:rsidR="00314399">
        <w:rPr>
          <w:lang w:val="es-ES_tradnl"/>
        </w:rPr>
        <w:t>a en los estados financieros de 2014 es de 127,858 </w:t>
      </w:r>
      <w:r w:rsidRPr="00725A8F">
        <w:rPr>
          <w:lang w:val="es-ES_tradnl"/>
        </w:rPr>
        <w:t>millones de francos suizos.</w:t>
      </w:r>
    </w:p>
    <w:p w:rsidR="00D45E73" w:rsidRPr="00725A8F" w:rsidRDefault="00D45E73" w:rsidP="0060117F">
      <w:pPr>
        <w:pStyle w:val="ONUME"/>
        <w:numPr>
          <w:ilvl w:val="0"/>
          <w:numId w:val="0"/>
        </w:numPr>
        <w:rPr>
          <w:bCs/>
          <w:lang w:val="es-ES_tradnl"/>
        </w:rPr>
      </w:pPr>
    </w:p>
    <w:p w:rsidR="00193020" w:rsidRPr="00725A8F" w:rsidRDefault="00193020" w:rsidP="0060117F">
      <w:pPr>
        <w:jc w:val="both"/>
        <w:rPr>
          <w:b/>
          <w:lang w:val="es-ES_tradnl"/>
        </w:rPr>
      </w:pPr>
      <w:r w:rsidRPr="00725A8F">
        <w:rPr>
          <w:b/>
          <w:lang w:val="es-ES_tradnl"/>
        </w:rPr>
        <w:t xml:space="preserve">P10: </w:t>
      </w:r>
      <w:r w:rsidR="00314399">
        <w:rPr>
          <w:b/>
          <w:lang w:val="es-ES_tradnl"/>
        </w:rPr>
        <w:t xml:space="preserve"> </w:t>
      </w:r>
      <w:r w:rsidRPr="00725A8F">
        <w:rPr>
          <w:b/>
          <w:lang w:val="es-ES_tradnl"/>
        </w:rPr>
        <w:t>¿Cómo se reparte entre los programas la asignación para horas extraordinaria</w:t>
      </w:r>
      <w:r w:rsidR="0026751D" w:rsidRPr="00725A8F">
        <w:rPr>
          <w:b/>
          <w:lang w:val="es-ES_tradnl"/>
        </w:rPr>
        <w:t xml:space="preserve">s comprendida en la categoría </w:t>
      </w:r>
      <w:r w:rsidR="0085234C">
        <w:rPr>
          <w:b/>
          <w:lang w:val="es-ES_tradnl"/>
        </w:rPr>
        <w:t>“</w:t>
      </w:r>
      <w:r w:rsidR="0044765B">
        <w:rPr>
          <w:b/>
          <w:lang w:val="es-ES_tradnl"/>
        </w:rPr>
        <w:t>Sin consignar</w:t>
      </w:r>
      <w:r w:rsidR="0085234C">
        <w:rPr>
          <w:b/>
          <w:lang w:val="es-ES_tradnl"/>
        </w:rPr>
        <w:t>”</w:t>
      </w:r>
      <w:r w:rsidRPr="00725A8F">
        <w:rPr>
          <w:b/>
          <w:lang w:val="es-ES_tradnl"/>
        </w:rPr>
        <w:t xml:space="preserve">? </w:t>
      </w:r>
    </w:p>
    <w:p w:rsidR="00193020" w:rsidRPr="00725A8F" w:rsidRDefault="00193020" w:rsidP="0060117F">
      <w:pPr>
        <w:jc w:val="both"/>
        <w:rPr>
          <w:lang w:val="es-ES_tradnl"/>
        </w:rPr>
      </w:pPr>
    </w:p>
    <w:p w:rsidR="00193020" w:rsidRPr="00725A8F" w:rsidRDefault="00193020" w:rsidP="0060117F">
      <w:pPr>
        <w:jc w:val="both"/>
        <w:rPr>
          <w:lang w:val="es-ES_tradnl"/>
        </w:rPr>
      </w:pPr>
      <w:r w:rsidRPr="00725A8F">
        <w:rPr>
          <w:lang w:val="es-ES_tradnl"/>
        </w:rPr>
        <w:t xml:space="preserve">R10: </w:t>
      </w:r>
      <w:r w:rsidR="00314399">
        <w:rPr>
          <w:lang w:val="es-ES_tradnl"/>
        </w:rPr>
        <w:t xml:space="preserve"> </w:t>
      </w:r>
      <w:r w:rsidRPr="00725A8F">
        <w:rPr>
          <w:lang w:val="es-ES_tradnl"/>
        </w:rPr>
        <w:t xml:space="preserve">Con objeto de que la Secretaría pueda ejercer una mayor supervisión y control, </w:t>
      </w:r>
      <w:r w:rsidR="00800212" w:rsidRPr="00725A8F">
        <w:rPr>
          <w:lang w:val="es-ES_tradnl"/>
        </w:rPr>
        <w:t xml:space="preserve">los gastos </w:t>
      </w:r>
      <w:r w:rsidRPr="00725A8F">
        <w:rPr>
          <w:lang w:val="es-ES_tradnl"/>
        </w:rPr>
        <w:t xml:space="preserve">por horas extraordinarias </w:t>
      </w:r>
      <w:r w:rsidR="00800212" w:rsidRPr="00725A8F">
        <w:rPr>
          <w:lang w:val="es-ES_tradnl"/>
        </w:rPr>
        <w:t xml:space="preserve">estimados se </w:t>
      </w:r>
      <w:r w:rsidRPr="00725A8F">
        <w:rPr>
          <w:lang w:val="es-ES_tradnl"/>
        </w:rPr>
        <w:t>consigna</w:t>
      </w:r>
      <w:r w:rsidR="00800212" w:rsidRPr="00725A8F">
        <w:rPr>
          <w:lang w:val="es-ES_tradnl"/>
        </w:rPr>
        <w:t>n</w:t>
      </w:r>
      <w:r w:rsidRPr="00725A8F">
        <w:rPr>
          <w:lang w:val="es-ES_tradnl"/>
        </w:rPr>
        <w:t xml:space="preserve"> en una </w:t>
      </w:r>
      <w:r w:rsidR="00800212" w:rsidRPr="00725A8F">
        <w:rPr>
          <w:lang w:val="es-ES_tradnl"/>
        </w:rPr>
        <w:t xml:space="preserve">partida </w:t>
      </w:r>
      <w:r w:rsidR="00314399">
        <w:rPr>
          <w:lang w:val="es-ES_tradnl"/>
        </w:rPr>
        <w:t>presupuestaria independiente (2 </w:t>
      </w:r>
      <w:r w:rsidRPr="00725A8F">
        <w:rPr>
          <w:lang w:val="es-ES_tradnl"/>
        </w:rPr>
        <w:t>millones de francos s</w:t>
      </w:r>
      <w:r w:rsidR="0026751D" w:rsidRPr="00725A8F">
        <w:rPr>
          <w:lang w:val="es-ES_tradnl"/>
        </w:rPr>
        <w:t xml:space="preserve">uizos) dentro de la categoría </w:t>
      </w:r>
      <w:r w:rsidR="0085234C">
        <w:rPr>
          <w:lang w:val="es-ES_tradnl"/>
        </w:rPr>
        <w:t>“</w:t>
      </w:r>
      <w:r w:rsidR="0044765B">
        <w:rPr>
          <w:lang w:val="es-ES_tradnl"/>
        </w:rPr>
        <w:t>Sin consignar</w:t>
      </w:r>
      <w:r w:rsidRPr="00725A8F">
        <w:rPr>
          <w:lang w:val="es-ES_tradnl"/>
        </w:rPr>
        <w:t xml:space="preserve"> (personal)</w:t>
      </w:r>
      <w:r w:rsidR="0085234C">
        <w:rPr>
          <w:lang w:val="es-ES_tradnl"/>
        </w:rPr>
        <w:t>”</w:t>
      </w:r>
      <w:r w:rsidRPr="00725A8F">
        <w:rPr>
          <w:lang w:val="es-ES_tradnl"/>
        </w:rPr>
        <w:t xml:space="preserve">. Por tanto, los gastos por horas extraordinarias </w:t>
      </w:r>
      <w:r w:rsidR="006F1931" w:rsidRPr="00725A8F">
        <w:rPr>
          <w:lang w:val="es-ES_tradnl"/>
        </w:rPr>
        <w:t xml:space="preserve">estimados </w:t>
      </w:r>
      <w:r w:rsidR="00314399">
        <w:rPr>
          <w:lang w:val="es-ES_tradnl"/>
        </w:rPr>
        <w:t>para </w:t>
      </w:r>
      <w:r w:rsidRPr="00725A8F">
        <w:rPr>
          <w:lang w:val="es-ES_tradnl"/>
        </w:rPr>
        <w:t xml:space="preserve">2016/17 no se </w:t>
      </w:r>
      <w:r w:rsidR="006F1931" w:rsidRPr="00725A8F">
        <w:rPr>
          <w:lang w:val="es-ES_tradnl"/>
        </w:rPr>
        <w:t xml:space="preserve">dotan en el marco de los </w:t>
      </w:r>
      <w:r w:rsidRPr="00725A8F">
        <w:rPr>
          <w:lang w:val="es-ES_tradnl"/>
        </w:rPr>
        <w:t xml:space="preserve">programas individuales. </w:t>
      </w:r>
    </w:p>
    <w:p w:rsidR="006C37C3" w:rsidRPr="00725A8F" w:rsidRDefault="006C37C3" w:rsidP="0060117F">
      <w:pPr>
        <w:rPr>
          <w:sz w:val="24"/>
          <w:szCs w:val="24"/>
          <w:lang w:val="es-ES_tradnl"/>
        </w:rPr>
      </w:pPr>
    </w:p>
    <w:p w:rsidR="00E3161B" w:rsidRPr="00725A8F" w:rsidRDefault="00E3161B" w:rsidP="0060117F">
      <w:pPr>
        <w:rPr>
          <w:sz w:val="24"/>
          <w:szCs w:val="24"/>
          <w:lang w:val="es-ES_tradnl"/>
        </w:rPr>
      </w:pPr>
    </w:p>
    <w:p w:rsidR="005F0E99" w:rsidRPr="00725A8F" w:rsidRDefault="005F0E99" w:rsidP="0060117F">
      <w:pPr>
        <w:rPr>
          <w:sz w:val="24"/>
          <w:szCs w:val="24"/>
          <w:lang w:val="es-ES_tradnl"/>
        </w:rPr>
      </w:pPr>
      <w:r w:rsidRPr="00725A8F">
        <w:rPr>
          <w:sz w:val="24"/>
          <w:lang w:val="es-ES_tradnl"/>
        </w:rPr>
        <w:t>GASTOS DESTINADOS A DESARROLLO</w:t>
      </w:r>
    </w:p>
    <w:p w:rsidR="005F0E99" w:rsidRPr="00725A8F" w:rsidRDefault="005F0E99" w:rsidP="0060117F">
      <w:pPr>
        <w:rPr>
          <w:sz w:val="24"/>
          <w:szCs w:val="24"/>
          <w:lang w:val="es-ES_tradnl"/>
        </w:rPr>
      </w:pPr>
    </w:p>
    <w:p w:rsidR="005F0E99" w:rsidRPr="00725A8F" w:rsidRDefault="005F0E99" w:rsidP="0060117F">
      <w:pPr>
        <w:pStyle w:val="ONUME"/>
        <w:numPr>
          <w:ilvl w:val="0"/>
          <w:numId w:val="0"/>
        </w:numPr>
        <w:jc w:val="both"/>
        <w:rPr>
          <w:b/>
          <w:lang w:val="es-ES_tradnl"/>
        </w:rPr>
      </w:pPr>
      <w:r w:rsidRPr="00725A8F">
        <w:rPr>
          <w:b/>
          <w:lang w:val="es-ES_tradnl"/>
        </w:rPr>
        <w:t xml:space="preserve">P1:  Si se alcanzara un consenso sobre una definición revisada de gastos destinados a desarrollo, ¿podría aplicarse esa definición revisada </w:t>
      </w:r>
      <w:r w:rsidR="00314399">
        <w:rPr>
          <w:b/>
          <w:lang w:val="es-ES_tradnl"/>
        </w:rPr>
        <w:t>al presupuesto por programas de </w:t>
      </w:r>
      <w:r w:rsidRPr="00725A8F">
        <w:rPr>
          <w:b/>
          <w:lang w:val="es-ES_tradnl"/>
        </w:rPr>
        <w:t>2016/17?</w:t>
      </w:r>
    </w:p>
    <w:p w:rsidR="005F0E99" w:rsidRPr="00725A8F" w:rsidRDefault="005F0E99" w:rsidP="0060117F">
      <w:pPr>
        <w:jc w:val="both"/>
        <w:rPr>
          <w:lang w:val="es-ES_tradnl"/>
        </w:rPr>
      </w:pPr>
      <w:r w:rsidRPr="00725A8F">
        <w:rPr>
          <w:lang w:val="es-ES_tradnl"/>
        </w:rPr>
        <w:t>R1: Teniendo en cuenta el considerable esfuerzo que supone formular un presupuesto por programas, en particular la estimación de los gastos destinados a desarrollo, una definición revisada de gastos destinados a desarrollo, acordada por todos los Estados miembros en</w:t>
      </w:r>
      <w:r w:rsidR="00314399">
        <w:rPr>
          <w:lang w:val="es-ES_tradnl"/>
        </w:rPr>
        <w:t> </w:t>
      </w:r>
      <w:r w:rsidRPr="00725A8F">
        <w:rPr>
          <w:lang w:val="es-ES_tradnl"/>
        </w:rPr>
        <w:t>2015, podría aplicarse a la formulación del presupuesto por prog</w:t>
      </w:r>
      <w:r w:rsidR="00314399">
        <w:rPr>
          <w:lang w:val="es-ES_tradnl"/>
        </w:rPr>
        <w:t>ramas correspondiente al bienio </w:t>
      </w:r>
      <w:r w:rsidRPr="00725A8F">
        <w:rPr>
          <w:lang w:val="es-ES_tradnl"/>
        </w:rPr>
        <w:t>2018/19</w:t>
      </w:r>
      <w:r w:rsidR="0085234C">
        <w:rPr>
          <w:lang w:val="es-ES_tradnl"/>
        </w:rPr>
        <w:t xml:space="preserve">. </w:t>
      </w:r>
    </w:p>
    <w:p w:rsidR="005F0E99" w:rsidRPr="00725A8F" w:rsidRDefault="005F0E99" w:rsidP="0060117F">
      <w:pPr>
        <w:rPr>
          <w:lang w:val="es-ES_tradnl"/>
        </w:rPr>
      </w:pPr>
    </w:p>
    <w:p w:rsidR="006008FC" w:rsidRPr="00725A8F" w:rsidRDefault="006008FC" w:rsidP="0060117F">
      <w:pPr>
        <w:rPr>
          <w:lang w:val="es-ES_tradnl"/>
        </w:rPr>
      </w:pPr>
    </w:p>
    <w:p w:rsidR="005F0E99" w:rsidRPr="00725A8F" w:rsidRDefault="005F0E99" w:rsidP="0060117F">
      <w:pPr>
        <w:pStyle w:val="ONUME"/>
        <w:numPr>
          <w:ilvl w:val="0"/>
          <w:numId w:val="0"/>
        </w:numPr>
        <w:spacing w:after="0"/>
        <w:jc w:val="both"/>
        <w:rPr>
          <w:b/>
          <w:lang w:val="es-ES_tradnl"/>
        </w:rPr>
      </w:pPr>
      <w:r w:rsidRPr="00725A8F">
        <w:rPr>
          <w:b/>
          <w:lang w:val="es-ES_tradnl"/>
        </w:rPr>
        <w:lastRenderedPageBreak/>
        <w:t>P2:  ¿Qué programas, si los hubiere, no prevén gastos destinados a desarrollo?</w:t>
      </w:r>
    </w:p>
    <w:p w:rsidR="008218A1" w:rsidRPr="00725A8F" w:rsidRDefault="008218A1" w:rsidP="0060117F">
      <w:pPr>
        <w:jc w:val="both"/>
        <w:rPr>
          <w:lang w:val="es-ES_tradnl"/>
        </w:rPr>
      </w:pPr>
    </w:p>
    <w:p w:rsidR="005F0E99" w:rsidRPr="00725A8F" w:rsidRDefault="005F0E99" w:rsidP="0060117F">
      <w:pPr>
        <w:jc w:val="both"/>
        <w:rPr>
          <w:lang w:val="es-ES_tradnl"/>
        </w:rPr>
      </w:pPr>
      <w:r w:rsidRPr="00725A8F">
        <w:rPr>
          <w:lang w:val="es-ES_tradnl"/>
        </w:rPr>
        <w:t>R2:  En la mayoría de los programas asociados a la meta estratégica</w:t>
      </w:r>
      <w:r w:rsidR="00314399">
        <w:rPr>
          <w:lang w:val="es-ES_tradnl"/>
        </w:rPr>
        <w:t> </w:t>
      </w:r>
      <w:r w:rsidRPr="00725A8F">
        <w:rPr>
          <w:lang w:val="es-ES_tradnl"/>
        </w:rPr>
        <w:t xml:space="preserve">IX, </w:t>
      </w:r>
      <w:r w:rsidR="0085234C">
        <w:rPr>
          <w:lang w:val="es-ES_tradnl"/>
        </w:rPr>
        <w:t>“</w:t>
      </w:r>
      <w:r w:rsidRPr="00725A8F">
        <w:rPr>
          <w:lang w:val="es-ES_tradnl"/>
        </w:rPr>
        <w:t>Apoyo administrativo y financiero eficiente</w:t>
      </w:r>
      <w:r w:rsidR="0085234C">
        <w:rPr>
          <w:lang w:val="es-ES_tradnl"/>
        </w:rPr>
        <w:t>”</w:t>
      </w:r>
      <w:r w:rsidRPr="00725A8F">
        <w:rPr>
          <w:lang w:val="es-ES_tradnl"/>
        </w:rPr>
        <w:t>, no existe una cuota asignada a</w:t>
      </w:r>
      <w:r w:rsidR="0026751D" w:rsidRPr="00725A8F">
        <w:rPr>
          <w:lang w:val="es-ES_tradnl"/>
        </w:rPr>
        <w:t>l</w:t>
      </w:r>
      <w:r w:rsidR="00314399">
        <w:rPr>
          <w:lang w:val="es-ES_tradnl"/>
        </w:rPr>
        <w:t xml:space="preserve"> desarrollo (véase el cuadro </w:t>
      </w:r>
      <w:r w:rsidRPr="00725A8F">
        <w:rPr>
          <w:lang w:val="es-ES_tradnl"/>
        </w:rPr>
        <w:t xml:space="preserve">6, </w:t>
      </w:r>
      <w:r w:rsidR="0085234C">
        <w:rPr>
          <w:lang w:val="es-ES_tradnl"/>
        </w:rPr>
        <w:t>“</w:t>
      </w:r>
      <w:r w:rsidRPr="00725A8F">
        <w:rPr>
          <w:lang w:val="es-ES_tradnl"/>
        </w:rPr>
        <w:t>Ga</w:t>
      </w:r>
      <w:r w:rsidR="00314399">
        <w:rPr>
          <w:lang w:val="es-ES_tradnl"/>
        </w:rPr>
        <w:t>stos destinados a desarrollo en </w:t>
      </w:r>
      <w:r w:rsidRPr="00725A8F">
        <w:rPr>
          <w:lang w:val="es-ES_tradnl"/>
        </w:rPr>
        <w:t>2016/17</w:t>
      </w:r>
      <w:r w:rsidR="00404CE4" w:rsidRPr="00725A8F">
        <w:rPr>
          <w:lang w:val="es-ES_tradnl"/>
        </w:rPr>
        <w:t>,</w:t>
      </w:r>
      <w:r w:rsidRPr="00725A8F">
        <w:rPr>
          <w:lang w:val="es-ES_tradnl"/>
        </w:rPr>
        <w:t xml:space="preserve"> por programa</w:t>
      </w:r>
      <w:r w:rsidR="0085234C">
        <w:rPr>
          <w:lang w:val="es-ES_tradnl"/>
        </w:rPr>
        <w:t>”</w:t>
      </w:r>
      <w:r w:rsidRPr="00725A8F">
        <w:rPr>
          <w:lang w:val="es-ES_tradnl"/>
        </w:rPr>
        <w:t>).</w:t>
      </w:r>
    </w:p>
    <w:p w:rsidR="005F0E99" w:rsidRPr="00725A8F" w:rsidRDefault="005F0E99" w:rsidP="0060117F">
      <w:pPr>
        <w:rPr>
          <w:lang w:val="es-ES_tradnl"/>
        </w:rPr>
      </w:pPr>
    </w:p>
    <w:p w:rsidR="00F364D6" w:rsidRPr="00725A8F" w:rsidRDefault="00F364D6" w:rsidP="0060117F">
      <w:pPr>
        <w:rPr>
          <w:lang w:val="es-ES_tradnl"/>
        </w:rPr>
      </w:pPr>
    </w:p>
    <w:p w:rsidR="005F0E99" w:rsidRPr="00725A8F" w:rsidRDefault="005F0E99" w:rsidP="0060117F">
      <w:pPr>
        <w:pStyle w:val="ONUME"/>
        <w:numPr>
          <w:ilvl w:val="0"/>
          <w:numId w:val="0"/>
        </w:numPr>
        <w:jc w:val="both"/>
        <w:rPr>
          <w:b/>
          <w:lang w:val="es-ES_tradnl"/>
        </w:rPr>
      </w:pPr>
      <w:r w:rsidRPr="00725A8F">
        <w:rPr>
          <w:b/>
          <w:lang w:val="es-ES_tradnl"/>
        </w:rPr>
        <w:t xml:space="preserve">P3:  ¿La cuota asignada al desarrollo que figura en </w:t>
      </w:r>
      <w:r w:rsidR="005F7964" w:rsidRPr="00725A8F">
        <w:rPr>
          <w:b/>
          <w:lang w:val="es-ES_tradnl"/>
        </w:rPr>
        <w:t>la propuesta de presup</w:t>
      </w:r>
      <w:r w:rsidR="00314399">
        <w:rPr>
          <w:b/>
          <w:lang w:val="es-ES_tradnl"/>
        </w:rPr>
        <w:t>uesto por programas para </w:t>
      </w:r>
      <w:r w:rsidR="005F7964" w:rsidRPr="00725A8F">
        <w:rPr>
          <w:b/>
          <w:lang w:val="es-ES_tradnl"/>
        </w:rPr>
        <w:t xml:space="preserve">2016/17 </w:t>
      </w:r>
      <w:r w:rsidRPr="00725A8F">
        <w:rPr>
          <w:b/>
          <w:lang w:val="es-ES_tradnl"/>
        </w:rPr>
        <w:t>es similar a la cuota asignada al desarrollo d</w:t>
      </w:r>
      <w:r w:rsidR="00314399">
        <w:rPr>
          <w:b/>
          <w:lang w:val="es-ES_tradnl"/>
        </w:rPr>
        <w:t>el presupuesto por programas de </w:t>
      </w:r>
      <w:r w:rsidRPr="00725A8F">
        <w:rPr>
          <w:b/>
          <w:lang w:val="es-ES_tradnl"/>
        </w:rPr>
        <w:t xml:space="preserve">2014/15? </w:t>
      </w:r>
    </w:p>
    <w:p w:rsidR="005F0E99" w:rsidRPr="00725A8F" w:rsidRDefault="005F0E99" w:rsidP="0060117F">
      <w:pPr>
        <w:jc w:val="both"/>
        <w:rPr>
          <w:lang w:val="es-ES_tradnl"/>
        </w:rPr>
      </w:pPr>
      <w:r w:rsidRPr="00725A8F">
        <w:rPr>
          <w:lang w:val="es-ES_tradnl"/>
        </w:rPr>
        <w:t>R3:  El desarrollo continúa</w:t>
      </w:r>
      <w:r w:rsidR="00314399">
        <w:rPr>
          <w:lang w:val="es-ES_tradnl"/>
        </w:rPr>
        <w:t xml:space="preserve"> constituyendo una prioridad en </w:t>
      </w:r>
      <w:r w:rsidRPr="00725A8F">
        <w:rPr>
          <w:lang w:val="es-ES_tradnl"/>
        </w:rPr>
        <w:t>2016/17, tal como refleja el hecho de que la cuota asignada al desarrollo se ha</w:t>
      </w:r>
      <w:r w:rsidR="005F7964" w:rsidRPr="00725A8F">
        <w:rPr>
          <w:lang w:val="es-ES_tradnl"/>
        </w:rPr>
        <w:t>ya</w:t>
      </w:r>
      <w:r w:rsidR="00314399">
        <w:rPr>
          <w:lang w:val="es-ES_tradnl"/>
        </w:rPr>
        <w:t xml:space="preserve"> mantenido en un </w:t>
      </w:r>
      <w:r w:rsidRPr="00725A8F">
        <w:rPr>
          <w:lang w:val="es-ES_tradnl"/>
        </w:rPr>
        <w:t>21,3%. Procede señalar que, en números absolutos, el incremento de los ga</w:t>
      </w:r>
      <w:r w:rsidR="00314399">
        <w:rPr>
          <w:lang w:val="es-ES_tradnl"/>
        </w:rPr>
        <w:t>stos destinados a desarrollo en 2016/17 asciende a 7,6 </w:t>
      </w:r>
      <w:r w:rsidRPr="00725A8F">
        <w:rPr>
          <w:lang w:val="es-ES_tradnl"/>
        </w:rPr>
        <w:t xml:space="preserve">millones </w:t>
      </w:r>
      <w:r w:rsidR="00314399">
        <w:rPr>
          <w:lang w:val="es-ES_tradnl"/>
        </w:rPr>
        <w:t>de francos suizos, es decir, un </w:t>
      </w:r>
      <w:r w:rsidRPr="00725A8F">
        <w:rPr>
          <w:lang w:val="es-ES_tradnl"/>
        </w:rPr>
        <w:t>5,2%, en comparación</w:t>
      </w:r>
      <w:r w:rsidR="00314399">
        <w:rPr>
          <w:lang w:val="es-ES_tradnl"/>
        </w:rPr>
        <w:t xml:space="preserve"> con el presupuesto aprobado de </w:t>
      </w:r>
      <w:r w:rsidRPr="00725A8F">
        <w:rPr>
          <w:lang w:val="es-ES_tradnl"/>
        </w:rPr>
        <w:t>2014/15 (véase también la sinopsis del m</w:t>
      </w:r>
      <w:r w:rsidR="00314399">
        <w:rPr>
          <w:lang w:val="es-ES_tradnl"/>
        </w:rPr>
        <w:t>arco de resultados en la página 11, párrafo 60, y el cuadro </w:t>
      </w:r>
      <w:r w:rsidRPr="00725A8F">
        <w:rPr>
          <w:lang w:val="es-ES_tradnl"/>
        </w:rPr>
        <w:t xml:space="preserve">6, </w:t>
      </w:r>
      <w:r w:rsidR="0085234C">
        <w:rPr>
          <w:lang w:val="es-ES_tradnl"/>
        </w:rPr>
        <w:t>“</w:t>
      </w:r>
      <w:r w:rsidRPr="00725A8F">
        <w:rPr>
          <w:lang w:val="es-ES_tradnl"/>
        </w:rPr>
        <w:t>Ga</w:t>
      </w:r>
      <w:r w:rsidR="00314399">
        <w:rPr>
          <w:lang w:val="es-ES_tradnl"/>
        </w:rPr>
        <w:t>stos destinados a desarrollo en </w:t>
      </w:r>
      <w:r w:rsidRPr="00725A8F">
        <w:rPr>
          <w:lang w:val="es-ES_tradnl"/>
        </w:rPr>
        <w:t>2016/17, por programa</w:t>
      </w:r>
      <w:r w:rsidR="0085234C">
        <w:rPr>
          <w:lang w:val="es-ES_tradnl"/>
        </w:rPr>
        <w:t>”</w:t>
      </w:r>
      <w:r w:rsidRPr="00725A8F">
        <w:rPr>
          <w:lang w:val="es-ES_tradnl"/>
        </w:rPr>
        <w:t>).</w:t>
      </w:r>
    </w:p>
    <w:p w:rsidR="0078453E" w:rsidRPr="00725A8F" w:rsidRDefault="0078453E" w:rsidP="0060117F">
      <w:pPr>
        <w:rPr>
          <w:b/>
          <w:bCs/>
          <w:lang w:val="es-ES_tradnl"/>
        </w:rPr>
      </w:pPr>
    </w:p>
    <w:p w:rsidR="000C32DE" w:rsidRPr="00725A8F" w:rsidRDefault="000C32DE" w:rsidP="0060117F">
      <w:pPr>
        <w:rPr>
          <w:b/>
          <w:bCs/>
          <w:lang w:val="es-ES_tradnl"/>
        </w:rPr>
      </w:pPr>
    </w:p>
    <w:p w:rsidR="005F0E99" w:rsidRPr="00725A8F" w:rsidRDefault="005F0E99" w:rsidP="0060117F">
      <w:pPr>
        <w:jc w:val="both"/>
        <w:rPr>
          <w:b/>
          <w:lang w:val="es-ES_tradnl"/>
        </w:rPr>
      </w:pPr>
      <w:r w:rsidRPr="00725A8F">
        <w:rPr>
          <w:b/>
          <w:lang w:val="es-ES_tradnl"/>
        </w:rPr>
        <w:t>P4:  ¿Cuál es el proceso de aprobación por el CDIP de los proyectos</w:t>
      </w:r>
      <w:r w:rsidR="00314399">
        <w:rPr>
          <w:b/>
          <w:lang w:val="es-ES_tradnl"/>
        </w:rPr>
        <w:t xml:space="preserve"> de la A.D. presupuestados para </w:t>
      </w:r>
      <w:r w:rsidRPr="00725A8F">
        <w:rPr>
          <w:b/>
          <w:lang w:val="es-ES_tradnl"/>
        </w:rPr>
        <w:t>2016/17?</w:t>
      </w:r>
    </w:p>
    <w:p w:rsidR="000C32DE" w:rsidRPr="00725A8F" w:rsidRDefault="000C32DE" w:rsidP="0060117F">
      <w:pPr>
        <w:jc w:val="both"/>
        <w:rPr>
          <w:lang w:val="es-ES_tradnl"/>
        </w:rPr>
      </w:pPr>
    </w:p>
    <w:p w:rsidR="000C32DE" w:rsidRPr="00725A8F" w:rsidRDefault="005F0E99" w:rsidP="0060117F">
      <w:pPr>
        <w:jc w:val="both"/>
        <w:rPr>
          <w:szCs w:val="22"/>
          <w:lang w:val="es-ES_tradnl"/>
        </w:rPr>
      </w:pPr>
      <w:r w:rsidRPr="00725A8F">
        <w:rPr>
          <w:lang w:val="es-ES_tradnl"/>
        </w:rPr>
        <w:t xml:space="preserve">R4: </w:t>
      </w:r>
      <w:r w:rsidR="00314399">
        <w:rPr>
          <w:lang w:val="es-ES_tradnl"/>
        </w:rPr>
        <w:t xml:space="preserve"> </w:t>
      </w:r>
      <w:r w:rsidRPr="00725A8F">
        <w:rPr>
          <w:lang w:val="es-ES_tradnl"/>
        </w:rPr>
        <w:t>Los proy</w:t>
      </w:r>
      <w:r w:rsidR="00314399">
        <w:rPr>
          <w:lang w:val="es-ES_tradnl"/>
        </w:rPr>
        <w:t>ectos de la A.D. previstos para </w:t>
      </w:r>
      <w:r w:rsidRPr="00725A8F">
        <w:rPr>
          <w:lang w:val="es-ES_tradnl"/>
        </w:rPr>
        <w:t xml:space="preserve">2016/17 se dividen en tres categorías: </w:t>
      </w:r>
    </w:p>
    <w:p w:rsidR="000C32DE" w:rsidRPr="00725A8F" w:rsidRDefault="000C32DE" w:rsidP="0060117F">
      <w:pPr>
        <w:jc w:val="both"/>
        <w:rPr>
          <w:szCs w:val="22"/>
          <w:lang w:val="es-ES_tradnl"/>
        </w:rPr>
      </w:pPr>
    </w:p>
    <w:p w:rsidR="000C32DE" w:rsidRPr="00725A8F" w:rsidRDefault="000C32DE" w:rsidP="0060117F">
      <w:pPr>
        <w:pStyle w:val="ListParagraph"/>
        <w:numPr>
          <w:ilvl w:val="0"/>
          <w:numId w:val="13"/>
        </w:numPr>
        <w:spacing w:after="120"/>
        <w:ind w:left="1282"/>
        <w:jc w:val="both"/>
        <w:rPr>
          <w:rFonts w:ascii="Arial" w:hAnsi="Arial" w:cs="Arial"/>
          <w:sz w:val="22"/>
          <w:szCs w:val="22"/>
          <w:lang w:val="es-ES_tradnl"/>
        </w:rPr>
      </w:pPr>
      <w:r w:rsidRPr="00725A8F">
        <w:rPr>
          <w:rFonts w:ascii="Arial" w:hAnsi="Arial"/>
          <w:sz w:val="22"/>
          <w:lang w:val="es-ES_tradnl"/>
        </w:rPr>
        <w:t>los proyectos que han sido ya aprobados por el CDIP y cuya ejecuci</w:t>
      </w:r>
      <w:r w:rsidR="00314399">
        <w:rPr>
          <w:rFonts w:ascii="Arial" w:hAnsi="Arial"/>
          <w:sz w:val="22"/>
          <w:lang w:val="es-ES_tradnl"/>
        </w:rPr>
        <w:t>ón está previsto que prosiga en </w:t>
      </w:r>
      <w:r w:rsidRPr="00725A8F">
        <w:rPr>
          <w:rFonts w:ascii="Arial" w:hAnsi="Arial"/>
          <w:sz w:val="22"/>
          <w:lang w:val="es-ES_tradnl"/>
        </w:rPr>
        <w:t>2016/17 (con arreglo a los documentos de proyecto aprobados por el CDIP);</w:t>
      </w:r>
    </w:p>
    <w:p w:rsidR="000C32DE" w:rsidRPr="00725A8F" w:rsidRDefault="000C32DE" w:rsidP="0060117F">
      <w:pPr>
        <w:pStyle w:val="ListParagraph"/>
        <w:numPr>
          <w:ilvl w:val="0"/>
          <w:numId w:val="13"/>
        </w:numPr>
        <w:spacing w:after="120"/>
        <w:ind w:left="1282"/>
        <w:jc w:val="both"/>
        <w:rPr>
          <w:rFonts w:ascii="Arial" w:hAnsi="Arial" w:cs="Arial"/>
          <w:sz w:val="22"/>
          <w:szCs w:val="22"/>
          <w:lang w:val="es-ES_tradnl"/>
        </w:rPr>
      </w:pPr>
      <w:r w:rsidRPr="00725A8F">
        <w:rPr>
          <w:rFonts w:ascii="Arial" w:hAnsi="Arial"/>
          <w:sz w:val="22"/>
          <w:lang w:val="es-ES_tradnl"/>
        </w:rPr>
        <w:t xml:space="preserve">la fase II de proyectos que ya se están ejecutando en la actualidad (con sujeción a la aprobación del CDIP); y </w:t>
      </w:r>
    </w:p>
    <w:p w:rsidR="000C32DE" w:rsidRPr="00725A8F" w:rsidRDefault="004537FF" w:rsidP="0060117F">
      <w:pPr>
        <w:pStyle w:val="ListParagraph"/>
        <w:numPr>
          <w:ilvl w:val="0"/>
          <w:numId w:val="13"/>
        </w:numPr>
        <w:jc w:val="both"/>
        <w:rPr>
          <w:rFonts w:ascii="Arial" w:hAnsi="Arial" w:cs="Arial"/>
          <w:sz w:val="22"/>
          <w:szCs w:val="22"/>
          <w:lang w:val="es-ES_tradnl"/>
        </w:rPr>
      </w:pPr>
      <w:r w:rsidRPr="00725A8F">
        <w:rPr>
          <w:rFonts w:ascii="Arial" w:hAnsi="Arial"/>
          <w:sz w:val="22"/>
          <w:lang w:val="es-ES_tradnl"/>
        </w:rPr>
        <w:t>propuestas de nuevos proyectos (con sujeción a la aprobación del CDIP)</w:t>
      </w:r>
      <w:r w:rsidR="0085234C">
        <w:rPr>
          <w:rFonts w:ascii="Arial" w:hAnsi="Arial"/>
          <w:sz w:val="22"/>
          <w:lang w:val="es-ES_tradnl"/>
        </w:rPr>
        <w:t xml:space="preserve">. </w:t>
      </w:r>
    </w:p>
    <w:p w:rsidR="00CB0F2F" w:rsidRPr="00725A8F" w:rsidRDefault="000C32DE" w:rsidP="0060117F">
      <w:pPr>
        <w:ind w:left="927"/>
        <w:rPr>
          <w:szCs w:val="22"/>
          <w:lang w:val="es-ES_tradnl"/>
        </w:rPr>
      </w:pPr>
      <w:r w:rsidRPr="00725A8F">
        <w:rPr>
          <w:lang w:val="es-ES_tradnl"/>
        </w:rPr>
        <w:t xml:space="preserve">   </w:t>
      </w:r>
    </w:p>
    <w:p w:rsidR="000C32DE" w:rsidRPr="00725A8F" w:rsidRDefault="000C32DE" w:rsidP="0060117F">
      <w:pPr>
        <w:jc w:val="both"/>
        <w:rPr>
          <w:b/>
          <w:szCs w:val="22"/>
          <w:lang w:val="es-ES_tradnl"/>
        </w:rPr>
      </w:pPr>
    </w:p>
    <w:p w:rsidR="00BB10D4" w:rsidRPr="00725A8F" w:rsidRDefault="00BB10D4" w:rsidP="0060117F">
      <w:pPr>
        <w:jc w:val="both"/>
        <w:rPr>
          <w:sz w:val="24"/>
          <w:szCs w:val="24"/>
          <w:lang w:val="es-ES_tradnl"/>
        </w:rPr>
      </w:pPr>
      <w:r w:rsidRPr="00725A8F">
        <w:rPr>
          <w:b/>
          <w:lang w:val="es-ES_tradnl"/>
        </w:rPr>
        <w:t xml:space="preserve">P5: </w:t>
      </w:r>
      <w:r w:rsidR="00314399">
        <w:rPr>
          <w:b/>
          <w:lang w:val="es-ES_tradnl"/>
        </w:rPr>
        <w:t xml:space="preserve"> En el cuadro </w:t>
      </w:r>
      <w:r w:rsidRPr="00725A8F">
        <w:rPr>
          <w:b/>
          <w:lang w:val="es-ES_tradnl"/>
        </w:rPr>
        <w:t xml:space="preserve">6, </w:t>
      </w:r>
      <w:r w:rsidR="0085234C">
        <w:rPr>
          <w:b/>
          <w:lang w:val="es-ES_tradnl"/>
        </w:rPr>
        <w:t>“</w:t>
      </w:r>
      <w:r w:rsidRPr="00725A8F">
        <w:rPr>
          <w:b/>
          <w:i/>
          <w:lang w:val="es-ES_tradnl"/>
        </w:rPr>
        <w:t>Ga</w:t>
      </w:r>
      <w:r w:rsidR="00314399">
        <w:rPr>
          <w:b/>
          <w:i/>
          <w:lang w:val="es-ES_tradnl"/>
        </w:rPr>
        <w:t>stos destinados a desarrollo en </w:t>
      </w:r>
      <w:r w:rsidRPr="00725A8F">
        <w:rPr>
          <w:b/>
          <w:i/>
          <w:lang w:val="es-ES_tradnl"/>
        </w:rPr>
        <w:t>2016/17, por programa</w:t>
      </w:r>
      <w:r w:rsidR="0085234C">
        <w:rPr>
          <w:b/>
          <w:lang w:val="es-ES_tradnl"/>
        </w:rPr>
        <w:t>”</w:t>
      </w:r>
      <w:r w:rsidRPr="00725A8F">
        <w:rPr>
          <w:b/>
          <w:lang w:val="es-ES_tradnl"/>
        </w:rPr>
        <w:t xml:space="preserve"> se recoge una única estimación de gastos destinados a desarrollo tanto para el </w:t>
      </w:r>
      <w:r w:rsidR="001D294E" w:rsidRPr="00725A8F">
        <w:rPr>
          <w:b/>
          <w:lang w:val="es-ES_tradnl"/>
        </w:rPr>
        <w:t xml:space="preserve">Sistema </w:t>
      </w:r>
      <w:r w:rsidRPr="00725A8F">
        <w:rPr>
          <w:b/>
          <w:lang w:val="es-ES_tradnl"/>
        </w:rPr>
        <w:t xml:space="preserve">de Madrid como para el </w:t>
      </w:r>
      <w:r w:rsidR="001D294E" w:rsidRPr="00725A8F">
        <w:rPr>
          <w:b/>
          <w:lang w:val="es-ES_tradnl"/>
        </w:rPr>
        <w:t xml:space="preserve">Sistema </w:t>
      </w:r>
      <w:r w:rsidRPr="00725A8F">
        <w:rPr>
          <w:b/>
          <w:lang w:val="es-ES_tradnl"/>
        </w:rPr>
        <w:t>de Lisboa en el marco del programa</w:t>
      </w:r>
      <w:r w:rsidR="00314399">
        <w:rPr>
          <w:b/>
          <w:lang w:val="es-ES_tradnl"/>
        </w:rPr>
        <w:t> </w:t>
      </w:r>
      <w:r w:rsidRPr="00725A8F">
        <w:rPr>
          <w:b/>
          <w:lang w:val="es-ES_tradnl"/>
        </w:rPr>
        <w:t xml:space="preserve">6. ¿Podría especificar como se reparte entre los dos sistemas?  </w:t>
      </w:r>
    </w:p>
    <w:p w:rsidR="00D45E73" w:rsidRPr="00725A8F" w:rsidRDefault="00D45E73" w:rsidP="0060117F">
      <w:pPr>
        <w:jc w:val="both"/>
        <w:rPr>
          <w:sz w:val="24"/>
          <w:szCs w:val="24"/>
          <w:lang w:val="es-ES_tradnl"/>
        </w:rPr>
      </w:pPr>
    </w:p>
    <w:p w:rsidR="00BB10D4" w:rsidRPr="00725A8F" w:rsidRDefault="00BB10D4" w:rsidP="0060117F">
      <w:pPr>
        <w:jc w:val="both"/>
        <w:rPr>
          <w:b/>
          <w:lang w:val="es-ES_tradnl"/>
        </w:rPr>
      </w:pPr>
      <w:r w:rsidRPr="00725A8F">
        <w:rPr>
          <w:lang w:val="es-ES_tradnl"/>
        </w:rPr>
        <w:t>R5:</w:t>
      </w:r>
      <w:r w:rsidRPr="00725A8F">
        <w:rPr>
          <w:sz w:val="24"/>
          <w:lang w:val="es-ES_tradnl"/>
        </w:rPr>
        <w:t xml:space="preserve">  </w:t>
      </w:r>
      <w:r w:rsidR="00314399">
        <w:rPr>
          <w:lang w:val="es-ES_tradnl"/>
        </w:rPr>
        <w:t>Del total de 13,5 </w:t>
      </w:r>
      <w:r w:rsidRPr="00725A8F">
        <w:rPr>
          <w:lang w:val="es-ES_tradnl"/>
        </w:rPr>
        <w:t xml:space="preserve">millones de francos suizos </w:t>
      </w:r>
      <w:r w:rsidR="005F7964" w:rsidRPr="00725A8F">
        <w:rPr>
          <w:lang w:val="es-ES_tradnl"/>
        </w:rPr>
        <w:t xml:space="preserve">que </w:t>
      </w:r>
      <w:r w:rsidR="00314399">
        <w:rPr>
          <w:lang w:val="es-ES_tradnl"/>
        </w:rPr>
        <w:t>en el programa </w:t>
      </w:r>
      <w:r w:rsidRPr="00725A8F">
        <w:rPr>
          <w:lang w:val="es-ES_tradnl"/>
        </w:rPr>
        <w:t xml:space="preserve">6 </w:t>
      </w:r>
      <w:r w:rsidR="005F7964" w:rsidRPr="00725A8F">
        <w:rPr>
          <w:lang w:val="es-ES_tradnl"/>
        </w:rPr>
        <w:t xml:space="preserve">se asignan </w:t>
      </w:r>
      <w:r w:rsidRPr="00725A8F">
        <w:rPr>
          <w:lang w:val="es-ES_tradnl"/>
        </w:rPr>
        <w:t>a gastos desti</w:t>
      </w:r>
      <w:r w:rsidR="00314399">
        <w:rPr>
          <w:lang w:val="es-ES_tradnl"/>
        </w:rPr>
        <w:t>nados a desarrollo, un total de 13,0 </w:t>
      </w:r>
      <w:r w:rsidRPr="00725A8F">
        <w:rPr>
          <w:lang w:val="es-ES_tradnl"/>
        </w:rPr>
        <w:t>millones de francos suizos son atr</w:t>
      </w:r>
      <w:r w:rsidR="00314399">
        <w:rPr>
          <w:lang w:val="es-ES_tradnl"/>
        </w:rPr>
        <w:t xml:space="preserve">ibuibles al </w:t>
      </w:r>
      <w:r w:rsidR="001D294E">
        <w:rPr>
          <w:lang w:val="es-ES_tradnl"/>
        </w:rPr>
        <w:t xml:space="preserve">Sistema </w:t>
      </w:r>
      <w:r w:rsidR="00314399">
        <w:rPr>
          <w:lang w:val="es-ES_tradnl"/>
        </w:rPr>
        <w:t>de Madrid y 0,5 </w:t>
      </w:r>
      <w:r w:rsidRPr="00725A8F">
        <w:rPr>
          <w:lang w:val="es-ES_tradnl"/>
        </w:rPr>
        <w:t xml:space="preserve">millones de francos suizos al </w:t>
      </w:r>
      <w:r w:rsidR="001D294E" w:rsidRPr="00725A8F">
        <w:rPr>
          <w:lang w:val="es-ES_tradnl"/>
        </w:rPr>
        <w:t xml:space="preserve">Sistema </w:t>
      </w:r>
      <w:r w:rsidRPr="00725A8F">
        <w:rPr>
          <w:lang w:val="es-ES_tradnl"/>
        </w:rPr>
        <w:t>de Lisboa</w:t>
      </w:r>
      <w:r w:rsidR="0085234C">
        <w:rPr>
          <w:lang w:val="es-ES_tradnl"/>
        </w:rPr>
        <w:t xml:space="preserve">. </w:t>
      </w:r>
    </w:p>
    <w:p w:rsidR="00BB10D4" w:rsidRPr="00725A8F" w:rsidRDefault="00BB10D4" w:rsidP="0060117F">
      <w:pPr>
        <w:jc w:val="both"/>
        <w:rPr>
          <w:sz w:val="24"/>
          <w:szCs w:val="24"/>
          <w:lang w:val="es-ES_tradnl"/>
        </w:rPr>
      </w:pPr>
    </w:p>
    <w:p w:rsidR="00562E3F" w:rsidRPr="00725A8F" w:rsidRDefault="00562E3F" w:rsidP="0060117F">
      <w:pPr>
        <w:rPr>
          <w:sz w:val="24"/>
          <w:szCs w:val="24"/>
          <w:lang w:val="es-ES_tradnl"/>
        </w:rPr>
      </w:pPr>
    </w:p>
    <w:p w:rsidR="004C197A" w:rsidRPr="00725A8F" w:rsidRDefault="004C197A" w:rsidP="0060117F">
      <w:pPr>
        <w:rPr>
          <w:sz w:val="24"/>
          <w:szCs w:val="24"/>
          <w:lang w:val="es-ES_tradnl"/>
        </w:rPr>
      </w:pPr>
    </w:p>
    <w:p w:rsidR="00C25DAA" w:rsidRPr="00725A8F" w:rsidRDefault="00CD11C1" w:rsidP="0060117F">
      <w:pPr>
        <w:rPr>
          <w:sz w:val="24"/>
          <w:szCs w:val="24"/>
          <w:lang w:val="es-ES_tradnl"/>
        </w:rPr>
      </w:pPr>
      <w:r w:rsidRPr="00725A8F">
        <w:rPr>
          <w:sz w:val="24"/>
          <w:lang w:val="es-ES_tradnl"/>
        </w:rPr>
        <w:t>META ESTRATÉGICA</w:t>
      </w:r>
      <w:r w:rsidR="00314399">
        <w:rPr>
          <w:sz w:val="24"/>
          <w:lang w:val="es-ES_tradnl"/>
        </w:rPr>
        <w:t> </w:t>
      </w:r>
      <w:r w:rsidR="00B51F1D">
        <w:rPr>
          <w:sz w:val="24"/>
          <w:lang w:val="es-ES_tradnl"/>
        </w:rPr>
        <w:t>I:</w:t>
      </w:r>
      <w:r w:rsidRPr="00725A8F">
        <w:rPr>
          <w:sz w:val="24"/>
          <w:lang w:val="es-ES_tradnl"/>
        </w:rPr>
        <w:t xml:space="preserve"> EVOLUCIÓN EQUILIBRADA DEL MARCO NORMATIVO INTERNACIONAL DE P.I.</w:t>
      </w:r>
    </w:p>
    <w:p w:rsidR="007D5422" w:rsidRPr="00725A8F" w:rsidRDefault="007D5422" w:rsidP="0060117F">
      <w:pPr>
        <w:spacing w:before="120"/>
        <w:rPr>
          <w:smallCaps/>
          <w:lang w:val="es-ES_tradnl"/>
        </w:rPr>
      </w:pPr>
    </w:p>
    <w:p w:rsidR="00C25DAA" w:rsidRPr="00725A8F" w:rsidRDefault="007D5422" w:rsidP="0060117F">
      <w:pPr>
        <w:pStyle w:val="ONUME"/>
        <w:numPr>
          <w:ilvl w:val="0"/>
          <w:numId w:val="0"/>
        </w:numPr>
        <w:jc w:val="both"/>
        <w:rPr>
          <w:b/>
          <w:lang w:val="es-ES_tradnl"/>
        </w:rPr>
      </w:pPr>
      <w:r w:rsidRPr="00725A8F">
        <w:rPr>
          <w:b/>
          <w:lang w:val="es-ES_tradnl"/>
        </w:rPr>
        <w:t xml:space="preserve">P1:  ¿Por qué el número de sesiones presupuestadas para el SCP y el SCT </w:t>
      </w:r>
      <w:r w:rsidR="00404CE4" w:rsidRPr="00725A8F">
        <w:rPr>
          <w:b/>
          <w:lang w:val="es-ES_tradnl"/>
        </w:rPr>
        <w:t xml:space="preserve">difiere </w:t>
      </w:r>
      <w:r w:rsidRPr="00725A8F">
        <w:rPr>
          <w:b/>
          <w:lang w:val="es-ES_tradnl"/>
        </w:rPr>
        <w:t>de las presupuestadas para el SCCR y el CIG?</w:t>
      </w:r>
    </w:p>
    <w:p w:rsidR="0054119F" w:rsidRPr="00725A8F" w:rsidRDefault="00C25DAA" w:rsidP="0060117F">
      <w:pPr>
        <w:tabs>
          <w:tab w:val="num" w:pos="690"/>
        </w:tabs>
        <w:jc w:val="both"/>
        <w:rPr>
          <w:lang w:val="es-ES_tradnl"/>
        </w:rPr>
      </w:pPr>
      <w:r w:rsidRPr="00725A8F">
        <w:rPr>
          <w:lang w:val="es-ES_tradnl"/>
        </w:rPr>
        <w:t>R1:  Las hipótesis de planificación de</w:t>
      </w:r>
      <w:r w:rsidR="00314399">
        <w:rPr>
          <w:lang w:val="es-ES_tradnl"/>
        </w:rPr>
        <w:t> </w:t>
      </w:r>
      <w:r w:rsidRPr="00725A8F">
        <w:rPr>
          <w:lang w:val="es-ES_tradnl"/>
        </w:rPr>
        <w:t>2016/17 relativas al número de sesiones del SCP, SCT, SCCR y CIG no han registrado</w:t>
      </w:r>
      <w:r w:rsidR="00314399">
        <w:rPr>
          <w:lang w:val="es-ES_tradnl"/>
        </w:rPr>
        <w:t xml:space="preserve"> cambios con respecto al bienio </w:t>
      </w:r>
      <w:r w:rsidRPr="00725A8F">
        <w:rPr>
          <w:lang w:val="es-ES_tradnl"/>
        </w:rPr>
        <w:t>2014/15</w:t>
      </w:r>
      <w:r w:rsidR="0085234C">
        <w:rPr>
          <w:lang w:val="es-ES_tradnl"/>
        </w:rPr>
        <w:t xml:space="preserve">. </w:t>
      </w:r>
      <w:r w:rsidRPr="00725A8F">
        <w:rPr>
          <w:lang w:val="es-ES_tradnl"/>
        </w:rPr>
        <w:t>Los principales elementos que determinan los costos de los comités permanentes son el número de sesiones, el número de días por sesión y los costos de traducción y de viaje</w:t>
      </w:r>
      <w:r w:rsidR="0085234C">
        <w:rPr>
          <w:lang w:val="es-ES_tradnl"/>
        </w:rPr>
        <w:t xml:space="preserve">. </w:t>
      </w:r>
      <w:r w:rsidRPr="00725A8F">
        <w:rPr>
          <w:lang w:val="es-ES_tradnl"/>
        </w:rPr>
        <w:t>Las estimaciones presupuestarias correspondientes al bienio</w:t>
      </w:r>
      <w:r w:rsidR="00314399">
        <w:rPr>
          <w:lang w:val="es-ES_tradnl"/>
        </w:rPr>
        <w:t> </w:t>
      </w:r>
      <w:r w:rsidRPr="00725A8F">
        <w:rPr>
          <w:lang w:val="es-ES_tradnl"/>
        </w:rPr>
        <w:t xml:space="preserve">2016/17 han sido afinadas a la luz de </w:t>
      </w:r>
      <w:r w:rsidR="0026751D" w:rsidRPr="00725A8F">
        <w:rPr>
          <w:lang w:val="es-ES_tradnl"/>
        </w:rPr>
        <w:t xml:space="preserve">patrones </w:t>
      </w:r>
      <w:r w:rsidRPr="00725A8F">
        <w:rPr>
          <w:lang w:val="es-ES_tradnl"/>
        </w:rPr>
        <w:t>de gasto pasad</w:t>
      </w:r>
      <w:r w:rsidR="0026751D" w:rsidRPr="00725A8F">
        <w:rPr>
          <w:lang w:val="es-ES_tradnl"/>
        </w:rPr>
        <w:t>o</w:t>
      </w:r>
      <w:r w:rsidRPr="00725A8F">
        <w:rPr>
          <w:lang w:val="es-ES_tradnl"/>
        </w:rPr>
        <w:t>s y se presuponen cinco días laborables por sesión</w:t>
      </w:r>
      <w:r w:rsidR="0085234C">
        <w:rPr>
          <w:lang w:val="es-ES_tradnl"/>
        </w:rPr>
        <w:t xml:space="preserve">. </w:t>
      </w:r>
      <w:r w:rsidRPr="00725A8F">
        <w:rPr>
          <w:lang w:val="es-ES_tradnl"/>
        </w:rPr>
        <w:t xml:space="preserve">En caso de que los Estados miembros decidieran convocar, durante el bienio, más sesiones de un comité permanente que </w:t>
      </w:r>
      <w:r w:rsidRPr="00725A8F">
        <w:rPr>
          <w:lang w:val="es-ES_tradnl"/>
        </w:rPr>
        <w:lastRenderedPageBreak/>
        <w:t>las inicialmente presupuestadas, la Secretaría extraerá los recursos necesarios de la</w:t>
      </w:r>
      <w:r w:rsidR="00A17C78" w:rsidRPr="00725A8F">
        <w:rPr>
          <w:lang w:val="es-ES_tradnl"/>
        </w:rPr>
        <w:t>s</w:t>
      </w:r>
      <w:r w:rsidRPr="00725A8F">
        <w:rPr>
          <w:lang w:val="es-ES_tradnl"/>
        </w:rPr>
        <w:t xml:space="preserve"> mejora</w:t>
      </w:r>
      <w:r w:rsidR="00A17C78" w:rsidRPr="00725A8F">
        <w:rPr>
          <w:lang w:val="es-ES_tradnl"/>
        </w:rPr>
        <w:t>s</w:t>
      </w:r>
      <w:r w:rsidRPr="00725A8F">
        <w:rPr>
          <w:lang w:val="es-ES_tradnl"/>
        </w:rPr>
        <w:t xml:space="preserve"> de la eficacia en función de los costos lograda</w:t>
      </w:r>
      <w:r w:rsidR="00A17C78" w:rsidRPr="00725A8F">
        <w:rPr>
          <w:lang w:val="es-ES_tradnl"/>
        </w:rPr>
        <w:t>s</w:t>
      </w:r>
      <w:r w:rsidRPr="00725A8F">
        <w:rPr>
          <w:lang w:val="es-ES_tradnl"/>
        </w:rPr>
        <w:t xml:space="preserve"> en el bienio</w:t>
      </w:r>
      <w:r w:rsidR="0085234C">
        <w:rPr>
          <w:lang w:val="es-ES_tradnl"/>
        </w:rPr>
        <w:t xml:space="preserve">. </w:t>
      </w:r>
    </w:p>
    <w:p w:rsidR="00F2007B" w:rsidRPr="00725A8F" w:rsidRDefault="00F2007B" w:rsidP="0060117F">
      <w:pPr>
        <w:pStyle w:val="ONUME"/>
        <w:numPr>
          <w:ilvl w:val="0"/>
          <w:numId w:val="0"/>
        </w:numPr>
        <w:spacing w:after="0"/>
        <w:rPr>
          <w:b/>
          <w:lang w:val="es-ES_tradnl"/>
        </w:rPr>
      </w:pPr>
    </w:p>
    <w:p w:rsidR="009E4BAD" w:rsidRPr="00725A8F" w:rsidRDefault="009E4BAD" w:rsidP="0060117F">
      <w:pPr>
        <w:pStyle w:val="ONUME"/>
        <w:numPr>
          <w:ilvl w:val="0"/>
          <w:numId w:val="0"/>
        </w:numPr>
        <w:spacing w:after="0"/>
        <w:jc w:val="both"/>
        <w:rPr>
          <w:b/>
          <w:lang w:val="es-ES_tradnl"/>
        </w:rPr>
      </w:pPr>
    </w:p>
    <w:p w:rsidR="0054119F" w:rsidRPr="00725A8F" w:rsidRDefault="0054119F" w:rsidP="0060117F">
      <w:pPr>
        <w:pStyle w:val="ONUME"/>
        <w:numPr>
          <w:ilvl w:val="0"/>
          <w:numId w:val="0"/>
        </w:numPr>
        <w:spacing w:after="0"/>
        <w:jc w:val="both"/>
        <w:rPr>
          <w:b/>
          <w:lang w:val="es-ES_tradnl"/>
        </w:rPr>
      </w:pPr>
      <w:r w:rsidRPr="00725A8F">
        <w:rPr>
          <w:b/>
          <w:lang w:val="es-ES_tradnl"/>
        </w:rPr>
        <w:t>P2:  La hipótesis de planificación pa</w:t>
      </w:r>
      <w:r w:rsidR="00314399">
        <w:rPr>
          <w:b/>
          <w:lang w:val="es-ES_tradnl"/>
        </w:rPr>
        <w:t>ra </w:t>
      </w:r>
      <w:r w:rsidRPr="00725A8F">
        <w:rPr>
          <w:b/>
          <w:lang w:val="es-ES_tradnl"/>
        </w:rPr>
        <w:t>2016/17 prevé hasta cuatro sesiones del CIG</w:t>
      </w:r>
      <w:r w:rsidR="0085234C">
        <w:rPr>
          <w:b/>
          <w:lang w:val="es-ES_tradnl"/>
        </w:rPr>
        <w:t xml:space="preserve">. </w:t>
      </w:r>
      <w:r w:rsidRPr="00725A8F">
        <w:rPr>
          <w:b/>
          <w:lang w:val="es-ES_tradnl"/>
        </w:rPr>
        <w:t>¿Los recursos propuestos para el proceso del CIG en 2016/17 se encuentran al mismo nivel que en</w:t>
      </w:r>
      <w:r w:rsidR="00314399">
        <w:rPr>
          <w:b/>
          <w:lang w:val="es-ES_tradnl"/>
        </w:rPr>
        <w:t> </w:t>
      </w:r>
      <w:r w:rsidRPr="00725A8F">
        <w:rPr>
          <w:b/>
          <w:lang w:val="es-ES_tradnl"/>
        </w:rPr>
        <w:t xml:space="preserve">2014/15? </w:t>
      </w:r>
    </w:p>
    <w:p w:rsidR="0076128F" w:rsidRPr="00725A8F" w:rsidRDefault="0076128F" w:rsidP="0060117F">
      <w:pPr>
        <w:jc w:val="both"/>
        <w:rPr>
          <w:lang w:val="es-ES_tradnl"/>
        </w:rPr>
      </w:pPr>
    </w:p>
    <w:p w:rsidR="0054119F" w:rsidRPr="00725A8F" w:rsidRDefault="0054119F" w:rsidP="0060117F">
      <w:pPr>
        <w:jc w:val="both"/>
        <w:rPr>
          <w:lang w:val="es-ES_tradnl"/>
        </w:rPr>
      </w:pPr>
      <w:r w:rsidRPr="00725A8F">
        <w:rPr>
          <w:lang w:val="es-ES_tradnl"/>
        </w:rPr>
        <w:t>R2:  Los recursos presupuestados para apoyar el proceso del CIG en el bienio</w:t>
      </w:r>
      <w:r w:rsidR="00314399">
        <w:rPr>
          <w:lang w:val="es-ES_tradnl"/>
        </w:rPr>
        <w:t> </w:t>
      </w:r>
      <w:r w:rsidRPr="00725A8F">
        <w:rPr>
          <w:lang w:val="es-ES_tradnl"/>
        </w:rPr>
        <w:t>2016/17 están en consonancia con</w:t>
      </w:r>
      <w:r w:rsidR="00314399">
        <w:rPr>
          <w:lang w:val="es-ES_tradnl"/>
        </w:rPr>
        <w:t xml:space="preserve"> los recursos presupuestados en </w:t>
      </w:r>
      <w:r w:rsidRPr="00725A8F">
        <w:rPr>
          <w:lang w:val="es-ES_tradnl"/>
        </w:rPr>
        <w:t>2014/15</w:t>
      </w:r>
      <w:r w:rsidR="0085234C">
        <w:rPr>
          <w:lang w:val="es-ES_tradnl"/>
        </w:rPr>
        <w:t xml:space="preserve">. </w:t>
      </w:r>
      <w:r w:rsidRPr="00725A8F">
        <w:rPr>
          <w:lang w:val="es-ES_tradnl"/>
        </w:rPr>
        <w:t>En 2016/17, la asignación para una eventual conferencia diplomát</w:t>
      </w:r>
      <w:r w:rsidR="0026751D" w:rsidRPr="00725A8F">
        <w:rPr>
          <w:lang w:val="es-ES_tradnl"/>
        </w:rPr>
        <w:t xml:space="preserve">ica se recoge en la categoría </w:t>
      </w:r>
      <w:r w:rsidR="0085234C">
        <w:rPr>
          <w:lang w:val="es-ES_tradnl"/>
        </w:rPr>
        <w:t>“</w:t>
      </w:r>
      <w:r w:rsidR="0044765B">
        <w:rPr>
          <w:lang w:val="es-ES_tradnl"/>
        </w:rPr>
        <w:t>Sin consignar</w:t>
      </w:r>
      <w:r w:rsidR="0085234C">
        <w:rPr>
          <w:lang w:val="es-ES_tradnl"/>
        </w:rPr>
        <w:t>”</w:t>
      </w:r>
      <w:r w:rsidRPr="00725A8F">
        <w:rPr>
          <w:lang w:val="es-ES_tradnl"/>
        </w:rPr>
        <w:t>.</w:t>
      </w:r>
    </w:p>
    <w:p w:rsidR="009A0CE7" w:rsidRPr="00725A8F" w:rsidRDefault="009A0CE7" w:rsidP="0060117F">
      <w:pPr>
        <w:rPr>
          <w:lang w:val="es-ES_tradnl"/>
        </w:rPr>
      </w:pPr>
    </w:p>
    <w:p w:rsidR="0054119F" w:rsidRPr="00725A8F" w:rsidRDefault="0054119F" w:rsidP="0060117F">
      <w:pPr>
        <w:spacing w:before="120"/>
        <w:rPr>
          <w:b/>
          <w:lang w:val="es-ES_tradnl"/>
        </w:rPr>
      </w:pPr>
    </w:p>
    <w:p w:rsidR="003D469B" w:rsidRPr="00725A8F" w:rsidRDefault="00314399" w:rsidP="0060117F">
      <w:pPr>
        <w:keepNext/>
        <w:keepLines/>
        <w:rPr>
          <w:sz w:val="24"/>
          <w:szCs w:val="24"/>
          <w:lang w:val="es-ES_tradnl"/>
        </w:rPr>
      </w:pPr>
      <w:r>
        <w:rPr>
          <w:sz w:val="24"/>
          <w:lang w:val="es-ES_tradnl"/>
        </w:rPr>
        <w:t>META ESTRATÉGICA </w:t>
      </w:r>
      <w:r w:rsidR="003D469B" w:rsidRPr="00725A8F">
        <w:rPr>
          <w:sz w:val="24"/>
          <w:lang w:val="es-ES_tradnl"/>
        </w:rPr>
        <w:t xml:space="preserve">II: PRESTACIÓN DE SERVICIOS MUNDIALES DE P.I. DE CALIDAD </w:t>
      </w:r>
    </w:p>
    <w:p w:rsidR="004329E3" w:rsidRPr="00725A8F" w:rsidRDefault="004329E3" w:rsidP="0060117F">
      <w:pPr>
        <w:rPr>
          <w:b/>
          <w:u w:val="single"/>
          <w:lang w:val="es-ES_tradnl"/>
        </w:rPr>
      </w:pPr>
    </w:p>
    <w:p w:rsidR="003D469B" w:rsidRPr="00725A8F" w:rsidRDefault="003D469B" w:rsidP="0060117F">
      <w:pPr>
        <w:jc w:val="both"/>
        <w:rPr>
          <w:b/>
          <w:lang w:val="es-ES_tradnl"/>
        </w:rPr>
      </w:pPr>
      <w:r w:rsidRPr="00725A8F">
        <w:rPr>
          <w:b/>
          <w:lang w:val="es-ES_tradnl"/>
        </w:rPr>
        <w:t xml:space="preserve">P1: Es previsible que el uso del </w:t>
      </w:r>
      <w:r w:rsidR="001D294E" w:rsidRPr="00725A8F">
        <w:rPr>
          <w:b/>
          <w:lang w:val="es-ES_tradnl"/>
        </w:rPr>
        <w:t xml:space="preserve">Sistema </w:t>
      </w:r>
      <w:r w:rsidRPr="00725A8F">
        <w:rPr>
          <w:b/>
          <w:lang w:val="es-ES_tradnl"/>
        </w:rPr>
        <w:t>de La Ha</w:t>
      </w:r>
      <w:r w:rsidR="00314399">
        <w:rPr>
          <w:b/>
          <w:lang w:val="es-ES_tradnl"/>
        </w:rPr>
        <w:t>ya aumente considerablemente en </w:t>
      </w:r>
      <w:r w:rsidRPr="00725A8F">
        <w:rPr>
          <w:b/>
          <w:lang w:val="es-ES_tradnl"/>
        </w:rPr>
        <w:t>2016/17</w:t>
      </w:r>
      <w:r w:rsidR="0085234C">
        <w:rPr>
          <w:b/>
          <w:lang w:val="es-ES_tradnl"/>
        </w:rPr>
        <w:t xml:space="preserve">. </w:t>
      </w:r>
      <w:r w:rsidRPr="00725A8F">
        <w:rPr>
          <w:b/>
          <w:lang w:val="es-ES_tradnl"/>
        </w:rPr>
        <w:t xml:space="preserve">¿Por qué no se propone un incremento de los recursos asignados a </w:t>
      </w:r>
      <w:r w:rsidR="00A17C78" w:rsidRPr="00725A8F">
        <w:rPr>
          <w:b/>
          <w:lang w:val="es-ES_tradnl"/>
        </w:rPr>
        <w:t xml:space="preserve">este </w:t>
      </w:r>
      <w:r w:rsidRPr="00725A8F">
        <w:rPr>
          <w:b/>
          <w:lang w:val="es-ES_tradnl"/>
        </w:rPr>
        <w:t>sistema?</w:t>
      </w:r>
    </w:p>
    <w:p w:rsidR="003D469B" w:rsidRPr="00725A8F" w:rsidRDefault="003D469B" w:rsidP="0060117F">
      <w:pPr>
        <w:jc w:val="both"/>
        <w:rPr>
          <w:lang w:val="es-ES_tradnl"/>
        </w:rPr>
      </w:pPr>
      <w:r w:rsidRPr="00725A8F">
        <w:rPr>
          <w:lang w:val="es-ES_tradnl"/>
        </w:rPr>
        <w:t xml:space="preserve"> </w:t>
      </w:r>
    </w:p>
    <w:p w:rsidR="003D469B" w:rsidRPr="00725A8F" w:rsidRDefault="008C26E8" w:rsidP="0060117F">
      <w:pPr>
        <w:jc w:val="both"/>
        <w:rPr>
          <w:lang w:val="es-ES_tradnl"/>
        </w:rPr>
      </w:pPr>
      <w:r w:rsidRPr="00725A8F">
        <w:rPr>
          <w:lang w:val="es-ES_tradnl"/>
        </w:rPr>
        <w:t>R1:</w:t>
      </w:r>
      <w:r w:rsidR="00314399">
        <w:rPr>
          <w:lang w:val="es-ES_tradnl"/>
        </w:rPr>
        <w:t xml:space="preserve"> Los recursos presupuestados en </w:t>
      </w:r>
      <w:r w:rsidRPr="00725A8F">
        <w:rPr>
          <w:lang w:val="es-ES_tradnl"/>
        </w:rPr>
        <w:t xml:space="preserve">2016/17 para el </w:t>
      </w:r>
      <w:r w:rsidR="00914767">
        <w:rPr>
          <w:lang w:val="es-ES_tradnl"/>
        </w:rPr>
        <w:t>Sistema</w:t>
      </w:r>
      <w:r w:rsidRPr="00725A8F">
        <w:rPr>
          <w:lang w:val="es-ES_tradnl"/>
        </w:rPr>
        <w:t xml:space="preserve"> de La Haya se basan en la tasa efectiva de</w:t>
      </w:r>
      <w:r w:rsidR="00314399">
        <w:rPr>
          <w:lang w:val="es-ES_tradnl"/>
        </w:rPr>
        <w:t xml:space="preserve"> utilización del presupuesto en </w:t>
      </w:r>
      <w:r w:rsidRPr="00725A8F">
        <w:rPr>
          <w:lang w:val="es-ES_tradnl"/>
        </w:rPr>
        <w:t>2014/15, teniendo debidamente en cuenta el volumen de trabajo previsto a la luz del crecimiento estimado del número de registros y renovaciones (t</w:t>
      </w:r>
      <w:r w:rsidR="00314399">
        <w:rPr>
          <w:lang w:val="es-ES_tradnl"/>
        </w:rPr>
        <w:t>al como se refleja en el cuadro </w:t>
      </w:r>
      <w:r w:rsidRPr="00725A8F">
        <w:rPr>
          <w:lang w:val="es-ES_tradnl"/>
        </w:rPr>
        <w:t xml:space="preserve">2, </w:t>
      </w:r>
      <w:r w:rsidR="0085234C">
        <w:rPr>
          <w:lang w:val="es-ES_tradnl"/>
        </w:rPr>
        <w:t>“</w:t>
      </w:r>
      <w:r w:rsidRPr="00725A8F">
        <w:rPr>
          <w:lang w:val="es-ES_tradnl"/>
        </w:rPr>
        <w:t xml:space="preserve">Estimación de la demanda de servicios en el marco de los </w:t>
      </w:r>
      <w:r w:rsidR="001D294E" w:rsidRPr="00725A8F">
        <w:rPr>
          <w:lang w:val="es-ES_tradnl"/>
        </w:rPr>
        <w:t xml:space="preserve">Sistemas </w:t>
      </w:r>
      <w:r w:rsidRPr="00725A8F">
        <w:rPr>
          <w:lang w:val="es-ES_tradnl"/>
        </w:rPr>
        <w:t>del PCT, de Madrid y de La Haya</w:t>
      </w:r>
      <w:r w:rsidR="0085234C">
        <w:rPr>
          <w:lang w:val="es-ES_tradnl"/>
        </w:rPr>
        <w:t>”</w:t>
      </w:r>
      <w:r w:rsidRPr="00725A8F">
        <w:rPr>
          <w:lang w:val="es-ES_tradnl"/>
        </w:rPr>
        <w:t>). Debe señalarse asimismo que, en el momento de elaborar el presupuesto por programas propuesto, estaba</w:t>
      </w:r>
      <w:r w:rsidR="00314399">
        <w:rPr>
          <w:lang w:val="es-ES_tradnl"/>
        </w:rPr>
        <w:t>n aún pendientes en el programa </w:t>
      </w:r>
      <w:r w:rsidRPr="00725A8F">
        <w:rPr>
          <w:lang w:val="es-ES_tradnl"/>
        </w:rPr>
        <w:t xml:space="preserve">31 una serie de regularizaciones de funciones permanentes </w:t>
      </w:r>
      <w:r w:rsidR="00A17C78" w:rsidRPr="00725A8F">
        <w:rPr>
          <w:lang w:val="es-ES_tradnl"/>
        </w:rPr>
        <w:t xml:space="preserve">a título de </w:t>
      </w:r>
      <w:r w:rsidRPr="00725A8F">
        <w:rPr>
          <w:lang w:val="es-ES_tradnl"/>
        </w:rPr>
        <w:t xml:space="preserve">examinador. Cuando se lleven a cabo, producirán un aumento del número de puestos del programa. </w:t>
      </w:r>
    </w:p>
    <w:p w:rsidR="008C26E8" w:rsidRPr="00725A8F" w:rsidRDefault="008C26E8" w:rsidP="0060117F">
      <w:pPr>
        <w:rPr>
          <w:lang w:val="es-ES_tradnl"/>
        </w:rPr>
      </w:pPr>
    </w:p>
    <w:p w:rsidR="005E5A91" w:rsidRPr="00725A8F" w:rsidRDefault="005E5A91" w:rsidP="0060117F">
      <w:pPr>
        <w:rPr>
          <w:b/>
          <w:lang w:val="es-ES_tradnl"/>
        </w:rPr>
      </w:pPr>
    </w:p>
    <w:p w:rsidR="003D469B" w:rsidRPr="00725A8F" w:rsidRDefault="003D469B" w:rsidP="0060117F">
      <w:pPr>
        <w:jc w:val="both"/>
        <w:rPr>
          <w:b/>
          <w:lang w:val="es-ES_tradnl"/>
        </w:rPr>
      </w:pPr>
      <w:r w:rsidRPr="00725A8F">
        <w:rPr>
          <w:b/>
          <w:lang w:val="es-ES_tradnl"/>
        </w:rPr>
        <w:t xml:space="preserve">P2: </w:t>
      </w:r>
      <w:r w:rsidR="00314399">
        <w:rPr>
          <w:b/>
          <w:lang w:val="es-ES_tradnl"/>
        </w:rPr>
        <w:t xml:space="preserve"> </w:t>
      </w:r>
      <w:r w:rsidRPr="00725A8F">
        <w:rPr>
          <w:b/>
          <w:lang w:val="es-ES_tradnl"/>
        </w:rPr>
        <w:t>En el presupuesto propuesto para el programa</w:t>
      </w:r>
      <w:r w:rsidR="00314399">
        <w:rPr>
          <w:b/>
          <w:lang w:val="es-ES_tradnl"/>
        </w:rPr>
        <w:t> </w:t>
      </w:r>
      <w:r w:rsidRPr="00725A8F">
        <w:rPr>
          <w:b/>
          <w:lang w:val="es-ES_tradnl"/>
        </w:rPr>
        <w:t>6</w:t>
      </w:r>
      <w:r w:rsidRPr="00725A8F">
        <w:rPr>
          <w:b/>
          <w:i/>
          <w:lang w:val="es-ES_tradnl"/>
        </w:rPr>
        <w:t xml:space="preserve"> </w:t>
      </w:r>
      <w:r w:rsidRPr="00725A8F">
        <w:rPr>
          <w:b/>
          <w:lang w:val="es-ES_tradnl"/>
        </w:rPr>
        <w:t xml:space="preserve">se recoge una única cifra presupuestada tanto para el </w:t>
      </w:r>
      <w:r w:rsidR="001D294E" w:rsidRPr="00725A8F">
        <w:rPr>
          <w:b/>
          <w:lang w:val="es-ES_tradnl"/>
        </w:rPr>
        <w:t xml:space="preserve">Sistema </w:t>
      </w:r>
      <w:r w:rsidRPr="00725A8F">
        <w:rPr>
          <w:b/>
          <w:lang w:val="es-ES_tradnl"/>
        </w:rPr>
        <w:t xml:space="preserve">de Madrid como para el </w:t>
      </w:r>
      <w:r w:rsidR="001D294E" w:rsidRPr="00725A8F">
        <w:rPr>
          <w:b/>
          <w:lang w:val="es-ES_tradnl"/>
        </w:rPr>
        <w:t xml:space="preserve">Sistema </w:t>
      </w:r>
      <w:r w:rsidRPr="00725A8F">
        <w:rPr>
          <w:b/>
          <w:lang w:val="es-ES_tradnl"/>
        </w:rPr>
        <w:t xml:space="preserve">de Lisboa. ¿Podría usted desglosar las cifras presupuestadas para ambos sistemas? </w:t>
      </w:r>
    </w:p>
    <w:p w:rsidR="003D469B" w:rsidRPr="00725A8F" w:rsidRDefault="003D469B" w:rsidP="0060117F">
      <w:pPr>
        <w:jc w:val="both"/>
        <w:rPr>
          <w:lang w:val="es-ES_tradnl"/>
        </w:rPr>
      </w:pPr>
    </w:p>
    <w:p w:rsidR="007B6F22" w:rsidRPr="00725A8F" w:rsidRDefault="008C26E8" w:rsidP="0060117F">
      <w:pPr>
        <w:jc w:val="both"/>
        <w:rPr>
          <w:lang w:val="es-ES_tradnl"/>
        </w:rPr>
      </w:pPr>
      <w:r w:rsidRPr="00725A8F">
        <w:rPr>
          <w:lang w:val="es-ES_tradnl"/>
        </w:rPr>
        <w:t xml:space="preserve">R2: </w:t>
      </w:r>
      <w:r w:rsidR="00314399">
        <w:rPr>
          <w:lang w:val="es-ES_tradnl"/>
        </w:rPr>
        <w:t xml:space="preserve"> </w:t>
      </w:r>
      <w:r w:rsidRPr="00725A8F">
        <w:rPr>
          <w:lang w:val="es-ES_tradnl"/>
        </w:rPr>
        <w:t>De un total presupuestado de</w:t>
      </w:r>
      <w:r w:rsidR="00314399">
        <w:rPr>
          <w:lang w:val="es-ES_tradnl"/>
        </w:rPr>
        <w:t> 59,4 </w:t>
      </w:r>
      <w:r w:rsidRPr="00725A8F">
        <w:rPr>
          <w:lang w:val="es-ES_tradnl"/>
        </w:rPr>
        <w:t xml:space="preserve">millones de </w:t>
      </w:r>
      <w:r w:rsidR="00314399">
        <w:rPr>
          <w:lang w:val="es-ES_tradnl"/>
        </w:rPr>
        <w:t>francos suizos para el programa 6, un total de </w:t>
      </w:r>
      <w:r w:rsidRPr="00725A8F">
        <w:rPr>
          <w:lang w:val="es-ES_tradnl"/>
        </w:rPr>
        <w:t>58,1</w:t>
      </w:r>
      <w:r w:rsidR="00314399">
        <w:rPr>
          <w:lang w:val="es-ES_tradnl"/>
        </w:rPr>
        <w:t> </w:t>
      </w:r>
      <w:r w:rsidR="00BD28FF" w:rsidRPr="00725A8F">
        <w:rPr>
          <w:lang w:val="es-ES_tradnl"/>
        </w:rPr>
        <w:t>millones</w:t>
      </w:r>
      <w:r w:rsidRPr="00725A8F">
        <w:rPr>
          <w:lang w:val="es-ES_tradnl"/>
        </w:rPr>
        <w:t xml:space="preserve"> de francos suizos son atribui</w:t>
      </w:r>
      <w:r w:rsidR="00314399">
        <w:rPr>
          <w:lang w:val="es-ES_tradnl"/>
        </w:rPr>
        <w:t xml:space="preserve">bles al </w:t>
      </w:r>
      <w:r w:rsidR="001D294E">
        <w:rPr>
          <w:lang w:val="es-ES_tradnl"/>
        </w:rPr>
        <w:t xml:space="preserve">Sistema </w:t>
      </w:r>
      <w:r w:rsidR="00314399">
        <w:rPr>
          <w:lang w:val="es-ES_tradnl"/>
        </w:rPr>
        <w:t>de Madrid y 1,3 </w:t>
      </w:r>
      <w:r w:rsidRPr="00725A8F">
        <w:rPr>
          <w:lang w:val="es-ES_tradnl"/>
        </w:rPr>
        <w:t xml:space="preserve">millones de francos al </w:t>
      </w:r>
      <w:r w:rsidR="001D294E" w:rsidRPr="00725A8F">
        <w:rPr>
          <w:lang w:val="es-ES_tradnl"/>
        </w:rPr>
        <w:t xml:space="preserve">Sistema </w:t>
      </w:r>
      <w:r w:rsidRPr="00725A8F">
        <w:rPr>
          <w:lang w:val="es-ES_tradnl"/>
        </w:rPr>
        <w:t>de Lisboa.</w:t>
      </w:r>
    </w:p>
    <w:p w:rsidR="003D469B" w:rsidRPr="00725A8F" w:rsidRDefault="003D469B" w:rsidP="0060117F">
      <w:pPr>
        <w:jc w:val="both"/>
        <w:rPr>
          <w:lang w:val="es-ES_tradnl"/>
        </w:rPr>
      </w:pPr>
    </w:p>
    <w:p w:rsidR="008C26E8" w:rsidRPr="00725A8F" w:rsidRDefault="008C26E8" w:rsidP="0060117F">
      <w:pPr>
        <w:jc w:val="both"/>
        <w:rPr>
          <w:b/>
          <w:u w:val="single"/>
          <w:lang w:val="es-ES_tradnl"/>
        </w:rPr>
      </w:pPr>
    </w:p>
    <w:p w:rsidR="00B328D8" w:rsidRPr="00725A8F" w:rsidRDefault="00B328D8" w:rsidP="0060117F">
      <w:pPr>
        <w:jc w:val="both"/>
        <w:rPr>
          <w:b/>
          <w:lang w:val="es-ES_tradnl"/>
        </w:rPr>
      </w:pPr>
      <w:r w:rsidRPr="00725A8F">
        <w:rPr>
          <w:b/>
          <w:lang w:val="es-ES_tradnl"/>
        </w:rPr>
        <w:t xml:space="preserve">P3: </w:t>
      </w:r>
      <w:r w:rsidR="00314399">
        <w:rPr>
          <w:b/>
          <w:lang w:val="es-ES_tradnl"/>
        </w:rPr>
        <w:t xml:space="preserve"> </w:t>
      </w:r>
      <w:r w:rsidRPr="00725A8F">
        <w:rPr>
          <w:b/>
          <w:lang w:val="es-ES_tradnl"/>
        </w:rPr>
        <w:t xml:space="preserve">¿Por qué no son iguales los indicadores de rendimiento </w:t>
      </w:r>
      <w:r w:rsidR="008917B9" w:rsidRPr="00725A8F">
        <w:rPr>
          <w:b/>
          <w:lang w:val="es-ES_tradnl"/>
        </w:rPr>
        <w:t xml:space="preserve">correspondientes a </w:t>
      </w:r>
      <w:r w:rsidR="00862CA4" w:rsidRPr="00725A8F">
        <w:rPr>
          <w:b/>
          <w:lang w:val="es-ES_tradnl"/>
        </w:rPr>
        <w:t xml:space="preserve">la </w:t>
      </w:r>
      <w:r w:rsidR="0085234C">
        <w:rPr>
          <w:b/>
          <w:lang w:val="es-ES_tradnl"/>
        </w:rPr>
        <w:t>“</w:t>
      </w:r>
      <w:r w:rsidRPr="00725A8F">
        <w:rPr>
          <w:b/>
          <w:lang w:val="es-ES_tradnl"/>
        </w:rPr>
        <w:t>Mejora de la productividad y de la calidad de los servicios</w:t>
      </w:r>
      <w:r w:rsidR="0085234C">
        <w:rPr>
          <w:b/>
          <w:lang w:val="es-ES_tradnl"/>
        </w:rPr>
        <w:t>”</w:t>
      </w:r>
      <w:r w:rsidRPr="00725A8F">
        <w:rPr>
          <w:b/>
          <w:lang w:val="es-ES_tradnl"/>
        </w:rPr>
        <w:t xml:space="preserve"> en los </w:t>
      </w:r>
      <w:r w:rsidR="001D294E" w:rsidRPr="00725A8F">
        <w:rPr>
          <w:b/>
          <w:lang w:val="es-ES_tradnl"/>
        </w:rPr>
        <w:t xml:space="preserve">Sistemas </w:t>
      </w:r>
      <w:r w:rsidRPr="00725A8F">
        <w:rPr>
          <w:b/>
          <w:lang w:val="es-ES_tradnl"/>
        </w:rPr>
        <w:t>del PCT, La Haya, Madrid y Lisboa?</w:t>
      </w:r>
    </w:p>
    <w:p w:rsidR="00B328D8" w:rsidRPr="00725A8F" w:rsidRDefault="00B328D8" w:rsidP="0060117F">
      <w:pPr>
        <w:jc w:val="both"/>
        <w:rPr>
          <w:b/>
          <w:lang w:val="es-ES_tradnl"/>
        </w:rPr>
      </w:pPr>
    </w:p>
    <w:p w:rsidR="00B328D8" w:rsidRPr="00725A8F" w:rsidRDefault="00B328D8" w:rsidP="0060117F">
      <w:pPr>
        <w:jc w:val="both"/>
        <w:rPr>
          <w:lang w:val="es-ES_tradnl"/>
        </w:rPr>
      </w:pPr>
      <w:r w:rsidRPr="00725A8F">
        <w:rPr>
          <w:lang w:val="es-ES_tradnl"/>
        </w:rPr>
        <w:t xml:space="preserve">R3: </w:t>
      </w:r>
      <w:r w:rsidR="00314399">
        <w:rPr>
          <w:lang w:val="es-ES_tradnl"/>
        </w:rPr>
        <w:t xml:space="preserve"> </w:t>
      </w:r>
      <w:r w:rsidRPr="00725A8F">
        <w:rPr>
          <w:lang w:val="es-ES_tradnl"/>
        </w:rPr>
        <w:t xml:space="preserve">Teniendo en cuenta las peculiaridades y exigencias </w:t>
      </w:r>
      <w:r w:rsidR="00862CA4" w:rsidRPr="00725A8F">
        <w:rPr>
          <w:lang w:val="es-ES_tradnl"/>
        </w:rPr>
        <w:t xml:space="preserve">particulares </w:t>
      </w:r>
      <w:r w:rsidRPr="00725A8F">
        <w:rPr>
          <w:lang w:val="es-ES_tradnl"/>
        </w:rPr>
        <w:t xml:space="preserve">de cada sistema, así como sus distintos niveles de desarrollo, los indicadores de rendimiento </w:t>
      </w:r>
      <w:r w:rsidR="008917B9" w:rsidRPr="00725A8F">
        <w:rPr>
          <w:lang w:val="es-ES_tradnl"/>
        </w:rPr>
        <w:t xml:space="preserve">correspondientes a </w:t>
      </w:r>
      <w:r w:rsidRPr="00725A8F">
        <w:rPr>
          <w:lang w:val="es-ES_tradnl"/>
        </w:rPr>
        <w:t xml:space="preserve">la </w:t>
      </w:r>
      <w:r w:rsidR="0085234C">
        <w:rPr>
          <w:lang w:val="es-ES_tradnl"/>
        </w:rPr>
        <w:t>“</w:t>
      </w:r>
      <w:r w:rsidRPr="00725A8F">
        <w:rPr>
          <w:lang w:val="es-ES_tradnl"/>
        </w:rPr>
        <w:t>Mejora de la productividad y de la calidad de los servicios</w:t>
      </w:r>
      <w:r w:rsidR="0085234C">
        <w:rPr>
          <w:lang w:val="es-ES_tradnl"/>
        </w:rPr>
        <w:t>”</w:t>
      </w:r>
      <w:r w:rsidRPr="00725A8F">
        <w:rPr>
          <w:lang w:val="es-ES_tradnl"/>
        </w:rPr>
        <w:t xml:space="preserve"> en los </w:t>
      </w:r>
      <w:r w:rsidR="001D294E" w:rsidRPr="00725A8F">
        <w:rPr>
          <w:lang w:val="es-ES_tradnl"/>
        </w:rPr>
        <w:t xml:space="preserve">Sistemas </w:t>
      </w:r>
      <w:r w:rsidRPr="00725A8F">
        <w:rPr>
          <w:lang w:val="es-ES_tradnl"/>
        </w:rPr>
        <w:t xml:space="preserve">del PCT, La Haya, Madrid y Lisboa han sido definidos </w:t>
      </w:r>
      <w:r w:rsidR="00862CA4" w:rsidRPr="00725A8F">
        <w:rPr>
          <w:lang w:val="es-ES_tradnl"/>
        </w:rPr>
        <w:t xml:space="preserve">al </w:t>
      </w:r>
      <w:r w:rsidRPr="00725A8F">
        <w:rPr>
          <w:lang w:val="es-ES_tradnl"/>
        </w:rPr>
        <w:t>objeto de reflejar los parámetros más pertinentes para</w:t>
      </w:r>
      <w:r w:rsidR="00314399">
        <w:rPr>
          <w:lang w:val="es-ES_tradnl"/>
        </w:rPr>
        <w:t xml:space="preserve"> cada sistema durante el bienio </w:t>
      </w:r>
      <w:r w:rsidRPr="00725A8F">
        <w:rPr>
          <w:lang w:val="es-ES_tradnl"/>
        </w:rPr>
        <w:t>2016/17.</w:t>
      </w:r>
    </w:p>
    <w:p w:rsidR="00BB0F4A" w:rsidRPr="00725A8F" w:rsidRDefault="00BB0F4A" w:rsidP="0060117F">
      <w:pPr>
        <w:jc w:val="both"/>
        <w:rPr>
          <w:b/>
          <w:lang w:val="es-ES_tradnl"/>
        </w:rPr>
      </w:pPr>
    </w:p>
    <w:p w:rsidR="000B384F" w:rsidRPr="00725A8F" w:rsidRDefault="000B384F" w:rsidP="0060117F">
      <w:pPr>
        <w:jc w:val="both"/>
        <w:rPr>
          <w:b/>
          <w:lang w:val="es-ES_tradnl"/>
        </w:rPr>
      </w:pPr>
    </w:p>
    <w:p w:rsidR="00BB0F4A" w:rsidRPr="00725A8F" w:rsidRDefault="00BB0F4A" w:rsidP="0060117F">
      <w:pPr>
        <w:jc w:val="both"/>
        <w:rPr>
          <w:b/>
          <w:lang w:val="es-ES_tradnl"/>
        </w:rPr>
      </w:pPr>
      <w:r w:rsidRPr="00725A8F">
        <w:rPr>
          <w:b/>
          <w:lang w:val="es-ES_tradnl"/>
        </w:rPr>
        <w:t xml:space="preserve">P4: </w:t>
      </w:r>
      <w:r w:rsidR="00314399">
        <w:rPr>
          <w:b/>
          <w:lang w:val="es-ES_tradnl"/>
        </w:rPr>
        <w:t xml:space="preserve"> </w:t>
      </w:r>
      <w:r w:rsidRPr="00725A8F">
        <w:rPr>
          <w:b/>
          <w:lang w:val="es-ES_tradnl"/>
        </w:rPr>
        <w:t>En el m</w:t>
      </w:r>
      <w:r w:rsidR="00314399">
        <w:rPr>
          <w:b/>
          <w:lang w:val="es-ES_tradnl"/>
        </w:rPr>
        <w:t>arco de resultados del programa </w:t>
      </w:r>
      <w:r w:rsidRPr="00725A8F">
        <w:rPr>
          <w:b/>
          <w:lang w:val="es-ES_tradnl"/>
        </w:rPr>
        <w:t xml:space="preserve">6, ¿qué significa el indicador de rendimiento llamado </w:t>
      </w:r>
      <w:r w:rsidR="0085234C">
        <w:rPr>
          <w:b/>
          <w:lang w:val="es-ES_tradnl"/>
        </w:rPr>
        <w:t>“</w:t>
      </w:r>
      <w:r w:rsidR="005B7C5A">
        <w:rPr>
          <w:b/>
          <w:lang w:val="es-ES_tradnl"/>
        </w:rPr>
        <w:t>Índice</w:t>
      </w:r>
      <w:r w:rsidRPr="00725A8F">
        <w:rPr>
          <w:b/>
          <w:lang w:val="es-ES_tradnl"/>
        </w:rPr>
        <w:t xml:space="preserve"> de presentación de solicitudes</w:t>
      </w:r>
      <w:r w:rsidR="0085234C">
        <w:rPr>
          <w:b/>
          <w:lang w:val="es-ES_tradnl"/>
        </w:rPr>
        <w:t>”</w:t>
      </w:r>
      <w:r w:rsidRPr="00725A8F">
        <w:rPr>
          <w:b/>
          <w:lang w:val="es-ES_tradnl"/>
        </w:rPr>
        <w:t>?</w:t>
      </w:r>
    </w:p>
    <w:p w:rsidR="00BB0F4A" w:rsidRPr="00725A8F" w:rsidRDefault="00BB0F4A" w:rsidP="0060117F">
      <w:pPr>
        <w:jc w:val="both"/>
        <w:rPr>
          <w:b/>
          <w:lang w:val="es-ES_tradnl"/>
        </w:rPr>
      </w:pPr>
    </w:p>
    <w:p w:rsidR="00BB0F4A" w:rsidRPr="00725A8F" w:rsidRDefault="00BB0F4A" w:rsidP="0060117F">
      <w:pPr>
        <w:jc w:val="both"/>
        <w:rPr>
          <w:lang w:val="es-ES_tradnl"/>
        </w:rPr>
      </w:pPr>
      <w:r w:rsidRPr="00725A8F">
        <w:rPr>
          <w:lang w:val="es-ES_tradnl"/>
        </w:rPr>
        <w:t xml:space="preserve">R4:  En el </w:t>
      </w:r>
      <w:r w:rsidR="005B7C5A" w:rsidRPr="00725A8F">
        <w:rPr>
          <w:lang w:val="es-ES_tradnl"/>
        </w:rPr>
        <w:t xml:space="preserve">Sistema </w:t>
      </w:r>
      <w:r w:rsidRPr="00725A8F">
        <w:rPr>
          <w:lang w:val="es-ES_tradnl"/>
        </w:rPr>
        <w:t xml:space="preserve">de Madrid, </w:t>
      </w:r>
      <w:r w:rsidR="005B7C5A">
        <w:rPr>
          <w:lang w:val="es-ES_tradnl"/>
        </w:rPr>
        <w:t>el índice</w:t>
      </w:r>
      <w:r w:rsidRPr="00725A8F">
        <w:rPr>
          <w:lang w:val="es-ES_tradnl"/>
        </w:rPr>
        <w:t xml:space="preserve"> de presentación de solicitudes hace referencia al número de solicitudes presentadas en un añ</w:t>
      </w:r>
      <w:r w:rsidR="00314399">
        <w:rPr>
          <w:lang w:val="es-ES_tradnl"/>
        </w:rPr>
        <w:t>o determinado. Por ejemplo, en 2014 se presentaron 47.885 </w:t>
      </w:r>
      <w:r w:rsidRPr="00725A8F">
        <w:rPr>
          <w:lang w:val="es-ES_tradnl"/>
        </w:rPr>
        <w:t>solicitudes, l</w:t>
      </w:r>
      <w:r w:rsidR="00314399">
        <w:rPr>
          <w:lang w:val="es-ES_tradnl"/>
        </w:rPr>
        <w:t>o que representa un ascenso del </w:t>
      </w:r>
      <w:r w:rsidRPr="00725A8F">
        <w:rPr>
          <w:lang w:val="es-ES_tradnl"/>
        </w:rPr>
        <w:t>2,3% c</w:t>
      </w:r>
      <w:r w:rsidR="00314399">
        <w:rPr>
          <w:lang w:val="es-ES_tradnl"/>
        </w:rPr>
        <w:t xml:space="preserve">on respecto </w:t>
      </w:r>
      <w:r w:rsidR="005B7C5A">
        <w:rPr>
          <w:lang w:val="es-ES_tradnl"/>
        </w:rPr>
        <w:t>al índice</w:t>
      </w:r>
      <w:r w:rsidR="00314399">
        <w:rPr>
          <w:lang w:val="es-ES_tradnl"/>
        </w:rPr>
        <w:t xml:space="preserve"> de </w:t>
      </w:r>
      <w:r w:rsidRPr="00725A8F">
        <w:rPr>
          <w:lang w:val="es-ES_tradnl"/>
        </w:rPr>
        <w:t>2013.</w:t>
      </w:r>
    </w:p>
    <w:p w:rsidR="00BB0F4A" w:rsidRPr="00725A8F" w:rsidRDefault="00BB0F4A" w:rsidP="0060117F">
      <w:pPr>
        <w:rPr>
          <w:b/>
          <w:lang w:val="es-ES_tradnl"/>
        </w:rPr>
      </w:pPr>
    </w:p>
    <w:p w:rsidR="000B384F" w:rsidRPr="00725A8F" w:rsidRDefault="000B384F" w:rsidP="0060117F">
      <w:pPr>
        <w:rPr>
          <w:b/>
          <w:lang w:val="es-ES_tradnl"/>
        </w:rPr>
      </w:pPr>
    </w:p>
    <w:p w:rsidR="002F00FA" w:rsidRPr="00725A8F" w:rsidRDefault="002F00FA" w:rsidP="0060117F">
      <w:pPr>
        <w:jc w:val="both"/>
        <w:rPr>
          <w:b/>
          <w:lang w:val="es-ES_tradnl"/>
        </w:rPr>
      </w:pPr>
      <w:r w:rsidRPr="00725A8F">
        <w:rPr>
          <w:b/>
          <w:lang w:val="es-ES_tradnl"/>
        </w:rPr>
        <w:t>P5: En el m</w:t>
      </w:r>
      <w:r w:rsidR="00314399">
        <w:rPr>
          <w:b/>
          <w:lang w:val="es-ES_tradnl"/>
        </w:rPr>
        <w:t>arco de resultados del programa </w:t>
      </w:r>
      <w:r w:rsidRPr="00725A8F">
        <w:rPr>
          <w:b/>
          <w:lang w:val="es-ES_tradnl"/>
        </w:rPr>
        <w:t xml:space="preserve">6, ¿cómo se diferencian los indicadores de rendimiento del </w:t>
      </w:r>
      <w:r w:rsidR="00914767" w:rsidRPr="00725A8F">
        <w:rPr>
          <w:b/>
          <w:lang w:val="es-ES_tradnl"/>
        </w:rPr>
        <w:t xml:space="preserve">Sistema </w:t>
      </w:r>
      <w:r w:rsidRPr="00725A8F">
        <w:rPr>
          <w:b/>
          <w:lang w:val="es-ES_tradnl"/>
        </w:rPr>
        <w:t xml:space="preserve">de Madrid y del </w:t>
      </w:r>
      <w:r w:rsidR="00914767" w:rsidRPr="00725A8F">
        <w:rPr>
          <w:b/>
          <w:lang w:val="es-ES_tradnl"/>
        </w:rPr>
        <w:t xml:space="preserve">Sistema </w:t>
      </w:r>
      <w:r w:rsidRPr="00725A8F">
        <w:rPr>
          <w:b/>
          <w:lang w:val="es-ES_tradnl"/>
        </w:rPr>
        <w:t>de Lisboa?</w:t>
      </w:r>
    </w:p>
    <w:p w:rsidR="002F00FA" w:rsidRPr="00725A8F" w:rsidRDefault="002F00FA" w:rsidP="0060117F">
      <w:pPr>
        <w:jc w:val="both"/>
        <w:rPr>
          <w:b/>
          <w:lang w:val="es-ES_tradnl"/>
        </w:rPr>
      </w:pPr>
    </w:p>
    <w:p w:rsidR="002F00FA" w:rsidRPr="00725A8F" w:rsidRDefault="002F00FA" w:rsidP="0060117F">
      <w:pPr>
        <w:jc w:val="both"/>
        <w:rPr>
          <w:lang w:val="es-ES_tradnl"/>
        </w:rPr>
      </w:pPr>
      <w:r w:rsidRPr="00725A8F">
        <w:rPr>
          <w:lang w:val="es-ES_tradnl"/>
        </w:rPr>
        <w:t>R5:  En el m</w:t>
      </w:r>
      <w:r w:rsidR="00314399">
        <w:rPr>
          <w:lang w:val="es-ES_tradnl"/>
        </w:rPr>
        <w:t>arco de resultados del programa </w:t>
      </w:r>
      <w:r w:rsidRPr="00725A8F">
        <w:rPr>
          <w:lang w:val="es-ES_tradnl"/>
        </w:rPr>
        <w:t xml:space="preserve">6, para cada resultado previsto, los indicadores de rendimiento del </w:t>
      </w:r>
      <w:r w:rsidR="00914767" w:rsidRPr="00725A8F">
        <w:rPr>
          <w:lang w:val="es-ES_tradnl"/>
        </w:rPr>
        <w:t xml:space="preserve">Sistema </w:t>
      </w:r>
      <w:r w:rsidRPr="00725A8F">
        <w:rPr>
          <w:lang w:val="es-ES_tradnl"/>
        </w:rPr>
        <w:t xml:space="preserve">de Madrid </w:t>
      </w:r>
      <w:r w:rsidR="00A17C78" w:rsidRPr="00725A8F">
        <w:rPr>
          <w:lang w:val="es-ES_tradnl"/>
        </w:rPr>
        <w:t xml:space="preserve">se relacionan </w:t>
      </w:r>
      <w:r w:rsidRPr="00725A8F">
        <w:rPr>
          <w:lang w:val="es-ES_tradnl"/>
        </w:rPr>
        <w:t xml:space="preserve">en primer lugar, seguidos </w:t>
      </w:r>
      <w:r w:rsidR="00A17C78" w:rsidRPr="00725A8F">
        <w:rPr>
          <w:lang w:val="es-ES_tradnl"/>
        </w:rPr>
        <w:t xml:space="preserve">de </w:t>
      </w:r>
      <w:r w:rsidRPr="00725A8F">
        <w:rPr>
          <w:lang w:val="es-ES_tradnl"/>
        </w:rPr>
        <w:t xml:space="preserve">los indicadores de rendimiento del </w:t>
      </w:r>
      <w:r w:rsidR="00914767" w:rsidRPr="00725A8F">
        <w:rPr>
          <w:lang w:val="es-ES_tradnl"/>
        </w:rPr>
        <w:t xml:space="preserve">Sistema </w:t>
      </w:r>
      <w:r w:rsidRPr="00725A8F">
        <w:rPr>
          <w:lang w:val="es-ES_tradnl"/>
        </w:rPr>
        <w:t xml:space="preserve">de Lisboa. En el </w:t>
      </w:r>
      <w:r w:rsidR="00A17C78" w:rsidRPr="00725A8F">
        <w:rPr>
          <w:lang w:val="es-ES_tradnl"/>
        </w:rPr>
        <w:t xml:space="preserve">caso del </w:t>
      </w:r>
      <w:r w:rsidR="00914767" w:rsidRPr="00725A8F">
        <w:rPr>
          <w:lang w:val="es-ES_tradnl"/>
        </w:rPr>
        <w:t xml:space="preserve">Sistema </w:t>
      </w:r>
      <w:r w:rsidRPr="00725A8F">
        <w:rPr>
          <w:lang w:val="es-ES_tradnl"/>
        </w:rPr>
        <w:t>de Lisboa, cuando proced</w:t>
      </w:r>
      <w:r w:rsidR="00A17C78" w:rsidRPr="00725A8F">
        <w:rPr>
          <w:lang w:val="es-ES_tradnl"/>
        </w:rPr>
        <w:t>e</w:t>
      </w:r>
      <w:r w:rsidRPr="00725A8F">
        <w:rPr>
          <w:lang w:val="es-ES_tradnl"/>
        </w:rPr>
        <w:t xml:space="preserve">, se incluye una referencia específica a Lisboa en la descripción, referencia u objetivo del indicador de rendimiento. </w:t>
      </w:r>
    </w:p>
    <w:p w:rsidR="00F364D6" w:rsidRPr="00725A8F" w:rsidRDefault="00F364D6" w:rsidP="0060117F">
      <w:pPr>
        <w:jc w:val="both"/>
        <w:rPr>
          <w:b/>
          <w:lang w:val="es-ES_tradnl"/>
        </w:rPr>
      </w:pPr>
    </w:p>
    <w:p w:rsidR="00A74F4B" w:rsidRPr="00725A8F" w:rsidRDefault="00A74F4B" w:rsidP="0060117F">
      <w:pPr>
        <w:jc w:val="both"/>
        <w:rPr>
          <w:b/>
          <w:lang w:val="es-ES_tradnl"/>
        </w:rPr>
      </w:pPr>
      <w:r w:rsidRPr="00725A8F">
        <w:rPr>
          <w:b/>
          <w:lang w:val="es-ES_tradnl"/>
        </w:rPr>
        <w:t xml:space="preserve">P6: </w:t>
      </w:r>
      <w:r w:rsidR="00B51F1D">
        <w:rPr>
          <w:b/>
          <w:lang w:val="es-ES_tradnl"/>
        </w:rPr>
        <w:t xml:space="preserve"> </w:t>
      </w:r>
      <w:r w:rsidRPr="00725A8F">
        <w:rPr>
          <w:b/>
          <w:lang w:val="es-ES_tradnl"/>
        </w:rPr>
        <w:t>En el marco de resultados del programa</w:t>
      </w:r>
      <w:r w:rsidR="00314399">
        <w:rPr>
          <w:b/>
          <w:lang w:val="es-ES_tradnl"/>
        </w:rPr>
        <w:t> </w:t>
      </w:r>
      <w:r w:rsidRPr="00725A8F">
        <w:rPr>
          <w:b/>
          <w:lang w:val="es-ES_tradnl"/>
        </w:rPr>
        <w:t>6, ¿</w:t>
      </w:r>
      <w:r w:rsidR="00A17C78" w:rsidRPr="00725A8F">
        <w:rPr>
          <w:b/>
          <w:lang w:val="es-ES_tradnl"/>
        </w:rPr>
        <w:t xml:space="preserve">Se refieren </w:t>
      </w:r>
      <w:r w:rsidRPr="00725A8F">
        <w:rPr>
          <w:b/>
          <w:lang w:val="es-ES_tradnl"/>
        </w:rPr>
        <w:t>los indicadores de rendimiento correspondientes a satisfacción de</w:t>
      </w:r>
      <w:r w:rsidR="00914767">
        <w:rPr>
          <w:b/>
          <w:lang w:val="es-ES_tradnl"/>
        </w:rPr>
        <w:t>l cliente</w:t>
      </w:r>
      <w:r w:rsidRPr="00725A8F">
        <w:rPr>
          <w:b/>
          <w:lang w:val="es-ES_tradnl"/>
        </w:rPr>
        <w:t xml:space="preserve">, costo unitario, </w:t>
      </w:r>
      <w:r w:rsidR="00914767">
        <w:rPr>
          <w:b/>
          <w:lang w:val="es-ES_tradnl"/>
        </w:rPr>
        <w:t>puntualidad de</w:t>
      </w:r>
      <w:r w:rsidRPr="00725A8F">
        <w:rPr>
          <w:b/>
          <w:lang w:val="es-ES_tradnl"/>
        </w:rPr>
        <w:t xml:space="preserve"> las transacciones (días) y calidad tanto al </w:t>
      </w:r>
      <w:r w:rsidR="00914767" w:rsidRPr="00725A8F">
        <w:rPr>
          <w:b/>
          <w:lang w:val="es-ES_tradnl"/>
        </w:rPr>
        <w:t xml:space="preserve">Sistema </w:t>
      </w:r>
      <w:r w:rsidRPr="00725A8F">
        <w:rPr>
          <w:b/>
          <w:lang w:val="es-ES_tradnl"/>
        </w:rPr>
        <w:t xml:space="preserve">de Madrid como al </w:t>
      </w:r>
      <w:r w:rsidR="00914767" w:rsidRPr="00725A8F">
        <w:rPr>
          <w:b/>
          <w:lang w:val="es-ES_tradnl"/>
        </w:rPr>
        <w:t xml:space="preserve">Sistema </w:t>
      </w:r>
      <w:r w:rsidRPr="00725A8F">
        <w:rPr>
          <w:b/>
          <w:lang w:val="es-ES_tradnl"/>
        </w:rPr>
        <w:t>de Lisboa?</w:t>
      </w:r>
    </w:p>
    <w:p w:rsidR="00A74F4B" w:rsidRPr="00725A8F" w:rsidRDefault="00A74F4B" w:rsidP="0060117F">
      <w:pPr>
        <w:jc w:val="both"/>
        <w:rPr>
          <w:b/>
          <w:lang w:val="es-ES_tradnl"/>
        </w:rPr>
      </w:pPr>
    </w:p>
    <w:p w:rsidR="00A74F4B" w:rsidRPr="00725A8F" w:rsidRDefault="00A74F4B" w:rsidP="0060117F">
      <w:pPr>
        <w:jc w:val="both"/>
        <w:rPr>
          <w:lang w:val="es-ES_tradnl"/>
        </w:rPr>
      </w:pPr>
      <w:r w:rsidRPr="00725A8F">
        <w:rPr>
          <w:lang w:val="es-ES_tradnl"/>
        </w:rPr>
        <w:t xml:space="preserve">R6:  Las cifras de satisfacción de los clientes, costo unitario, </w:t>
      </w:r>
      <w:r w:rsidR="00914767">
        <w:rPr>
          <w:lang w:val="es-ES_tradnl"/>
        </w:rPr>
        <w:t>puntualidad de</w:t>
      </w:r>
      <w:r w:rsidRPr="00725A8F">
        <w:rPr>
          <w:lang w:val="es-ES_tradnl"/>
        </w:rPr>
        <w:t xml:space="preserve"> las transacciones (días) y calidad que constan en el marco de resultados del pro</w:t>
      </w:r>
      <w:r w:rsidR="00314399">
        <w:rPr>
          <w:lang w:val="es-ES_tradnl"/>
        </w:rPr>
        <w:t>grama </w:t>
      </w:r>
      <w:r w:rsidRPr="00725A8F">
        <w:rPr>
          <w:lang w:val="es-ES_tradnl"/>
        </w:rPr>
        <w:t xml:space="preserve">6 se refieren únicamente al </w:t>
      </w:r>
      <w:r w:rsidR="00914767" w:rsidRPr="00725A8F">
        <w:rPr>
          <w:lang w:val="es-ES_tradnl"/>
        </w:rPr>
        <w:t xml:space="preserve">Sistema </w:t>
      </w:r>
      <w:r w:rsidRPr="00725A8F">
        <w:rPr>
          <w:lang w:val="es-ES_tradnl"/>
        </w:rPr>
        <w:t>de Madrid.</w:t>
      </w:r>
    </w:p>
    <w:p w:rsidR="008D104C" w:rsidRPr="00725A8F" w:rsidRDefault="008D104C" w:rsidP="0060117F">
      <w:pPr>
        <w:rPr>
          <w:lang w:val="es-ES_tradnl"/>
        </w:rPr>
      </w:pPr>
    </w:p>
    <w:p w:rsidR="00F364D6" w:rsidRPr="00725A8F" w:rsidRDefault="00F364D6" w:rsidP="0060117F">
      <w:pPr>
        <w:rPr>
          <w:lang w:val="es-ES_tradnl"/>
        </w:rPr>
      </w:pPr>
    </w:p>
    <w:p w:rsidR="00C25DAA" w:rsidRPr="00725A8F" w:rsidRDefault="00CD11C1" w:rsidP="0060117F">
      <w:pPr>
        <w:keepNext/>
        <w:keepLines/>
        <w:rPr>
          <w:sz w:val="24"/>
          <w:szCs w:val="24"/>
          <w:lang w:val="es-ES_tradnl"/>
        </w:rPr>
      </w:pPr>
      <w:r w:rsidRPr="00725A8F">
        <w:rPr>
          <w:sz w:val="24"/>
          <w:lang w:val="es-ES_tradnl"/>
        </w:rPr>
        <w:t>META ESTRATÉGICA III:  FACILITAR EL USO DE LA P.I. EN ARAS DEL DESARROLLO</w:t>
      </w:r>
    </w:p>
    <w:p w:rsidR="00C25DAA" w:rsidRPr="00725A8F" w:rsidRDefault="00C25DAA" w:rsidP="0060117F">
      <w:pPr>
        <w:keepNext/>
        <w:keepLines/>
        <w:spacing w:before="120"/>
        <w:rPr>
          <w:b/>
          <w:lang w:val="es-ES_tradnl"/>
        </w:rPr>
      </w:pPr>
    </w:p>
    <w:p w:rsidR="00707288" w:rsidRPr="00725A8F" w:rsidRDefault="00707288" w:rsidP="0060117F">
      <w:pPr>
        <w:pStyle w:val="ONUME"/>
        <w:numPr>
          <w:ilvl w:val="0"/>
          <w:numId w:val="0"/>
        </w:numPr>
        <w:jc w:val="both"/>
        <w:rPr>
          <w:b/>
          <w:lang w:val="es-ES_tradnl"/>
        </w:rPr>
      </w:pPr>
      <w:r w:rsidRPr="00725A8F">
        <w:rPr>
          <w:b/>
          <w:lang w:val="es-ES_tradnl"/>
        </w:rPr>
        <w:t xml:space="preserve">P1:  ¿En </w:t>
      </w:r>
      <w:r w:rsidR="00BD28FF" w:rsidRPr="00725A8F">
        <w:rPr>
          <w:b/>
          <w:lang w:val="es-ES_tradnl"/>
        </w:rPr>
        <w:t>qué</w:t>
      </w:r>
      <w:r w:rsidRPr="00725A8F">
        <w:rPr>
          <w:b/>
          <w:lang w:val="es-ES_tradnl"/>
        </w:rPr>
        <w:t xml:space="preserve"> programa se refleja la labor relativa a las pymes y universidades en países con economías en transición? </w:t>
      </w:r>
    </w:p>
    <w:p w:rsidR="00C25DAA" w:rsidRPr="00725A8F" w:rsidRDefault="00C25DAA" w:rsidP="0060117F">
      <w:pPr>
        <w:jc w:val="both"/>
        <w:rPr>
          <w:lang w:val="es-ES_tradnl"/>
        </w:rPr>
      </w:pPr>
      <w:r w:rsidRPr="00725A8F">
        <w:rPr>
          <w:lang w:val="es-ES_tradnl"/>
        </w:rPr>
        <w:t>R1:    La labor relacionada con pymes y universidades en países con economías en transición figura en el programa</w:t>
      </w:r>
      <w:r w:rsidR="00314399">
        <w:rPr>
          <w:lang w:val="es-ES_tradnl"/>
        </w:rPr>
        <w:t> </w:t>
      </w:r>
      <w:r w:rsidRPr="00725A8F">
        <w:rPr>
          <w:lang w:val="es-ES_tradnl"/>
        </w:rPr>
        <w:t>30, Apoyo a las pymes y a la capacidad empresarial</w:t>
      </w:r>
      <w:r w:rsidR="0085234C">
        <w:rPr>
          <w:lang w:val="es-ES_tradnl"/>
        </w:rPr>
        <w:t xml:space="preserve">. </w:t>
      </w:r>
    </w:p>
    <w:p w:rsidR="004808E5" w:rsidRPr="00725A8F" w:rsidRDefault="004808E5" w:rsidP="0060117F">
      <w:pPr>
        <w:jc w:val="both"/>
        <w:rPr>
          <w:lang w:val="es-ES_tradnl"/>
        </w:rPr>
      </w:pPr>
    </w:p>
    <w:p w:rsidR="002C315F" w:rsidRPr="00725A8F" w:rsidRDefault="002C315F" w:rsidP="0060117F">
      <w:pPr>
        <w:jc w:val="both"/>
        <w:rPr>
          <w:lang w:val="es-ES_tradnl"/>
        </w:rPr>
      </w:pPr>
    </w:p>
    <w:p w:rsidR="0078453E" w:rsidRPr="00725A8F" w:rsidRDefault="0078453E" w:rsidP="0060117F">
      <w:pPr>
        <w:jc w:val="both"/>
        <w:rPr>
          <w:b/>
          <w:bCs/>
          <w:lang w:val="es-ES_tradnl"/>
        </w:rPr>
      </w:pPr>
      <w:r w:rsidRPr="00725A8F">
        <w:rPr>
          <w:b/>
          <w:lang w:val="es-ES_tradnl"/>
        </w:rPr>
        <w:t xml:space="preserve">P2:  ¿Dónde se plasma la cooperación Sur-Sur en </w:t>
      </w:r>
      <w:r w:rsidR="005F7964" w:rsidRPr="00725A8F">
        <w:rPr>
          <w:b/>
          <w:lang w:val="es-ES_tradnl"/>
        </w:rPr>
        <w:t xml:space="preserve">la propuesta de </w:t>
      </w:r>
      <w:r w:rsidRPr="00725A8F">
        <w:rPr>
          <w:b/>
          <w:lang w:val="es-ES_tradnl"/>
        </w:rPr>
        <w:t xml:space="preserve">presupuesto por programas </w:t>
      </w:r>
      <w:r w:rsidR="005F7964" w:rsidRPr="00725A8F">
        <w:rPr>
          <w:b/>
          <w:lang w:val="es-ES_tradnl"/>
        </w:rPr>
        <w:t>par</w:t>
      </w:r>
      <w:r w:rsidR="00314399">
        <w:rPr>
          <w:b/>
          <w:lang w:val="es-ES_tradnl"/>
        </w:rPr>
        <w:t>a </w:t>
      </w:r>
      <w:r w:rsidRPr="00725A8F">
        <w:rPr>
          <w:b/>
          <w:lang w:val="es-ES_tradnl"/>
        </w:rPr>
        <w:t>2016/17?</w:t>
      </w:r>
    </w:p>
    <w:p w:rsidR="002C315F" w:rsidRPr="00725A8F" w:rsidRDefault="002C315F" w:rsidP="0060117F">
      <w:pPr>
        <w:jc w:val="both"/>
        <w:rPr>
          <w:lang w:val="es-ES_tradnl"/>
        </w:rPr>
      </w:pPr>
    </w:p>
    <w:p w:rsidR="0078453E" w:rsidRPr="00725A8F" w:rsidRDefault="0078453E" w:rsidP="0060117F">
      <w:pPr>
        <w:jc w:val="both"/>
        <w:rPr>
          <w:lang w:val="es-ES_tradnl"/>
        </w:rPr>
      </w:pPr>
      <w:r w:rsidRPr="00725A8F">
        <w:rPr>
          <w:lang w:val="es-ES_tradnl"/>
        </w:rPr>
        <w:t>R2:  La cooperación S</w:t>
      </w:r>
      <w:r w:rsidR="00314399">
        <w:rPr>
          <w:lang w:val="es-ES_tradnl"/>
        </w:rPr>
        <w:t>ur-Sur se recoge en el programa </w:t>
      </w:r>
      <w:r w:rsidRPr="00725A8F">
        <w:rPr>
          <w:lang w:val="es-ES_tradnl"/>
        </w:rPr>
        <w:t>9 (véase el párrafo</w:t>
      </w:r>
      <w:r w:rsidR="00314399">
        <w:rPr>
          <w:lang w:val="es-ES_tradnl"/>
        </w:rPr>
        <w:t> </w:t>
      </w:r>
      <w:r w:rsidRPr="00725A8F">
        <w:rPr>
          <w:lang w:val="es-ES_tradnl"/>
        </w:rPr>
        <w:t>9.11).</w:t>
      </w:r>
    </w:p>
    <w:p w:rsidR="00332128" w:rsidRPr="00725A8F" w:rsidRDefault="00332128" w:rsidP="0060117F">
      <w:pPr>
        <w:rPr>
          <w:lang w:val="es-ES_tradnl"/>
        </w:rPr>
      </w:pPr>
    </w:p>
    <w:p w:rsidR="002C315F" w:rsidRPr="00725A8F" w:rsidRDefault="002C315F" w:rsidP="0060117F">
      <w:pPr>
        <w:pStyle w:val="ONUME"/>
        <w:numPr>
          <w:ilvl w:val="0"/>
          <w:numId w:val="0"/>
        </w:numPr>
        <w:spacing w:after="0"/>
        <w:rPr>
          <w:b/>
          <w:lang w:val="es-ES_tradnl"/>
        </w:rPr>
      </w:pPr>
    </w:p>
    <w:p w:rsidR="009A0CE7" w:rsidRPr="00725A8F" w:rsidRDefault="00314399" w:rsidP="0060117F">
      <w:pPr>
        <w:pStyle w:val="ONUME"/>
        <w:numPr>
          <w:ilvl w:val="0"/>
          <w:numId w:val="0"/>
        </w:numPr>
        <w:jc w:val="both"/>
        <w:rPr>
          <w:b/>
          <w:lang w:val="es-ES_tradnl"/>
        </w:rPr>
      </w:pPr>
      <w:r>
        <w:rPr>
          <w:b/>
          <w:lang w:val="es-ES_tradnl"/>
        </w:rPr>
        <w:t>P3:  En el programa </w:t>
      </w:r>
      <w:r w:rsidR="009A0CE7" w:rsidRPr="00725A8F">
        <w:rPr>
          <w:b/>
          <w:lang w:val="es-ES_tradnl"/>
        </w:rPr>
        <w:t>2, el cuadro de recursos por resultado</w:t>
      </w:r>
      <w:r>
        <w:rPr>
          <w:b/>
          <w:lang w:val="es-ES_tradnl"/>
        </w:rPr>
        <w:t xml:space="preserve"> menciona el resultado previsto </w:t>
      </w:r>
      <w:r w:rsidR="009A0CE7" w:rsidRPr="00725A8F">
        <w:rPr>
          <w:b/>
          <w:lang w:val="es-ES_tradnl"/>
        </w:rPr>
        <w:t xml:space="preserve">III.4: Fortalecimiento de los mecanismos </w:t>
      </w:r>
      <w:r w:rsidR="00914767" w:rsidRPr="00725A8F">
        <w:rPr>
          <w:b/>
          <w:lang w:val="es-ES_tradnl"/>
        </w:rPr>
        <w:t xml:space="preserve">y de los programas </w:t>
      </w:r>
      <w:r w:rsidR="009A0CE7" w:rsidRPr="00725A8F">
        <w:rPr>
          <w:b/>
          <w:lang w:val="es-ES_tradnl"/>
        </w:rPr>
        <w:t xml:space="preserve">de cooperación </w:t>
      </w:r>
      <w:r w:rsidR="00914767">
        <w:rPr>
          <w:b/>
          <w:lang w:val="es-ES_tradnl"/>
        </w:rPr>
        <w:t>conforme</w:t>
      </w:r>
      <w:r w:rsidR="009A0CE7" w:rsidRPr="00725A8F">
        <w:rPr>
          <w:b/>
          <w:lang w:val="es-ES_tradnl"/>
        </w:rPr>
        <w:t xml:space="preserve"> a las necesidades de los países en desarrollo y los PMA</w:t>
      </w:r>
      <w:r w:rsidR="0085234C">
        <w:rPr>
          <w:b/>
          <w:lang w:val="es-ES_tradnl"/>
        </w:rPr>
        <w:t xml:space="preserve">. </w:t>
      </w:r>
      <w:r w:rsidR="009A0CE7" w:rsidRPr="00725A8F">
        <w:rPr>
          <w:b/>
          <w:lang w:val="es-ES_tradnl"/>
        </w:rPr>
        <w:t xml:space="preserve">¿Por qué no </w:t>
      </w:r>
      <w:r w:rsidR="0079419A" w:rsidRPr="00725A8F">
        <w:rPr>
          <w:b/>
          <w:lang w:val="es-ES_tradnl"/>
        </w:rPr>
        <w:t xml:space="preserve">se refleja </w:t>
      </w:r>
      <w:r w:rsidR="009A0CE7" w:rsidRPr="00725A8F">
        <w:rPr>
          <w:b/>
          <w:lang w:val="es-ES_tradnl"/>
        </w:rPr>
        <w:t>este resultado en el marco de resultados?</w:t>
      </w:r>
    </w:p>
    <w:p w:rsidR="009A0CE7" w:rsidRPr="00725A8F" w:rsidRDefault="009A0CE7" w:rsidP="0060117F">
      <w:pPr>
        <w:jc w:val="both"/>
        <w:rPr>
          <w:lang w:val="es-ES_tradnl"/>
        </w:rPr>
      </w:pPr>
      <w:r w:rsidRPr="00725A8F">
        <w:rPr>
          <w:lang w:val="es-ES_tradnl"/>
        </w:rPr>
        <w:t xml:space="preserve">R3:  Los recursos </w:t>
      </w:r>
      <w:r w:rsidR="00314399">
        <w:rPr>
          <w:lang w:val="es-ES_tradnl"/>
        </w:rPr>
        <w:t>asignados al resultado previsto </w:t>
      </w:r>
      <w:r w:rsidRPr="00725A8F">
        <w:rPr>
          <w:lang w:val="es-ES_tradnl"/>
        </w:rPr>
        <w:t>III.4 en el cuadro de recu</w:t>
      </w:r>
      <w:r w:rsidR="00314399">
        <w:rPr>
          <w:lang w:val="es-ES_tradnl"/>
        </w:rPr>
        <w:t>rsos por resultado del programa </w:t>
      </w:r>
      <w:r w:rsidRPr="00725A8F">
        <w:rPr>
          <w:lang w:val="es-ES_tradnl"/>
        </w:rPr>
        <w:t>2 se refieren al proyecto de la A.D. sobre la P.I. y la creación de diseños para fomentar las actividades comerciales en los países en desarrollo y los países menos adelantados (PMA) (D0040)</w:t>
      </w:r>
      <w:r w:rsidR="0085234C">
        <w:rPr>
          <w:lang w:val="es-ES_tradnl"/>
        </w:rPr>
        <w:t xml:space="preserve">. </w:t>
      </w:r>
      <w:r w:rsidRPr="00725A8F">
        <w:rPr>
          <w:lang w:val="es-ES_tradnl"/>
        </w:rPr>
        <w:t xml:space="preserve">El marco de resultados de cada programa refleja los indicadores de rendimiento correspondientes únicamente a la labor ordinaria del programa y no incluye los proyectos de la A.D. ni </w:t>
      </w:r>
      <w:r w:rsidR="00831897" w:rsidRPr="00725A8F">
        <w:rPr>
          <w:lang w:val="es-ES_tradnl"/>
        </w:rPr>
        <w:t>la Reserva para Proyectos Especiales</w:t>
      </w:r>
      <w:r w:rsidR="0085234C">
        <w:rPr>
          <w:lang w:val="es-ES_tradnl"/>
        </w:rPr>
        <w:t xml:space="preserve">. </w:t>
      </w:r>
      <w:r w:rsidRPr="00725A8F">
        <w:rPr>
          <w:lang w:val="es-ES_tradnl"/>
        </w:rPr>
        <w:t xml:space="preserve">  </w:t>
      </w:r>
    </w:p>
    <w:p w:rsidR="009A0CE7" w:rsidRPr="00725A8F" w:rsidRDefault="009A0CE7" w:rsidP="0060117F">
      <w:pPr>
        <w:rPr>
          <w:sz w:val="24"/>
          <w:szCs w:val="24"/>
          <w:lang w:val="es-ES_tradnl"/>
        </w:rPr>
      </w:pPr>
    </w:p>
    <w:p w:rsidR="002C315F" w:rsidRPr="00725A8F" w:rsidRDefault="002C315F" w:rsidP="0060117F">
      <w:pPr>
        <w:rPr>
          <w:b/>
          <w:lang w:val="es-ES_tradnl"/>
        </w:rPr>
      </w:pPr>
    </w:p>
    <w:p w:rsidR="009A0CE7" w:rsidRPr="00725A8F" w:rsidRDefault="00314399" w:rsidP="0060117F">
      <w:pPr>
        <w:jc w:val="both"/>
        <w:rPr>
          <w:b/>
          <w:lang w:val="es-ES_tradnl"/>
        </w:rPr>
      </w:pPr>
      <w:r>
        <w:rPr>
          <w:b/>
          <w:lang w:val="es-ES_tradnl"/>
        </w:rPr>
        <w:t>P4: En el programa </w:t>
      </w:r>
      <w:r w:rsidR="009C1F6E" w:rsidRPr="00725A8F">
        <w:rPr>
          <w:b/>
          <w:lang w:val="es-ES_tradnl"/>
        </w:rPr>
        <w:t>30, en el marco del resultado previsto</w:t>
      </w:r>
      <w:r>
        <w:rPr>
          <w:b/>
          <w:lang w:val="es-ES_tradnl"/>
        </w:rPr>
        <w:t> </w:t>
      </w:r>
      <w:r w:rsidR="009C1F6E" w:rsidRPr="00725A8F">
        <w:rPr>
          <w:b/>
          <w:lang w:val="es-ES_tradnl"/>
        </w:rPr>
        <w:t xml:space="preserve">III.1: Estrategias y planes nacionales de innovación y de P.I. que estén en sintonía con los objetivos nacionales de desarrollo, ¿cuál es el número acumulado de estrategias nacionales de innovación iniciadas, en curso o adoptadas con la asistencia de la OMPI?  </w:t>
      </w:r>
    </w:p>
    <w:p w:rsidR="009C1F6E" w:rsidRPr="00725A8F" w:rsidRDefault="009C1F6E" w:rsidP="0060117F">
      <w:pPr>
        <w:jc w:val="both"/>
        <w:rPr>
          <w:b/>
          <w:lang w:val="es-ES_tradnl"/>
        </w:rPr>
      </w:pPr>
    </w:p>
    <w:p w:rsidR="009C1F6E" w:rsidRPr="00725A8F" w:rsidRDefault="009C1F6E" w:rsidP="0060117F">
      <w:pPr>
        <w:jc w:val="both"/>
        <w:rPr>
          <w:lang w:val="es-ES_tradnl"/>
        </w:rPr>
      </w:pPr>
      <w:r w:rsidRPr="00725A8F">
        <w:rPr>
          <w:lang w:val="es-ES_tradnl"/>
        </w:rPr>
        <w:t>R4:  Al final de</w:t>
      </w:r>
      <w:r w:rsidR="00314399">
        <w:rPr>
          <w:lang w:val="es-ES_tradnl"/>
        </w:rPr>
        <w:t> </w:t>
      </w:r>
      <w:r w:rsidRPr="00725A8F">
        <w:rPr>
          <w:lang w:val="es-ES_tradnl"/>
        </w:rPr>
        <w:t xml:space="preserve">2014, tal como se señala en el Informe sobre el rendimiento de los programas </w:t>
      </w:r>
      <w:r w:rsidR="00314399">
        <w:rPr>
          <w:lang w:val="es-ES_tradnl"/>
        </w:rPr>
        <w:t>en </w:t>
      </w:r>
      <w:r w:rsidRPr="00725A8F">
        <w:rPr>
          <w:lang w:val="es-ES_tradnl"/>
        </w:rPr>
        <w:t>2014, cuatro países habían iniciado el proceso de desarrollar políticas nacionales de innovación con la asistencia de la OMPI</w:t>
      </w:r>
      <w:r w:rsidR="0085234C">
        <w:rPr>
          <w:lang w:val="es-ES_tradnl"/>
        </w:rPr>
        <w:t xml:space="preserve">. </w:t>
      </w:r>
      <w:r w:rsidRPr="00725A8F">
        <w:rPr>
          <w:lang w:val="es-ES_tradnl"/>
        </w:rPr>
        <w:t xml:space="preserve">Así se refleja en </w:t>
      </w:r>
      <w:r w:rsidR="00314399">
        <w:rPr>
          <w:lang w:val="es-ES_tradnl"/>
        </w:rPr>
        <w:t>la referencia correspondiente a </w:t>
      </w:r>
      <w:r w:rsidRPr="00725A8F">
        <w:rPr>
          <w:lang w:val="es-ES_tradnl"/>
        </w:rPr>
        <w:t>2016/17 que figura en el marco de resultados del programa</w:t>
      </w:r>
      <w:r w:rsidR="00314399">
        <w:rPr>
          <w:lang w:val="es-ES_tradnl"/>
        </w:rPr>
        <w:t> </w:t>
      </w:r>
      <w:r w:rsidRPr="00725A8F">
        <w:rPr>
          <w:lang w:val="es-ES_tradnl"/>
        </w:rPr>
        <w:t>30.</w:t>
      </w:r>
    </w:p>
    <w:p w:rsidR="00F364D6" w:rsidRPr="00725A8F" w:rsidRDefault="00F364D6" w:rsidP="0060117F">
      <w:pPr>
        <w:jc w:val="both"/>
        <w:rPr>
          <w:b/>
          <w:lang w:val="es-ES_tradnl"/>
        </w:rPr>
      </w:pPr>
    </w:p>
    <w:p w:rsidR="00F364D6" w:rsidRPr="00725A8F" w:rsidRDefault="00F364D6" w:rsidP="0060117F">
      <w:pPr>
        <w:jc w:val="both"/>
        <w:rPr>
          <w:b/>
          <w:lang w:val="es-ES_tradnl"/>
        </w:rPr>
      </w:pPr>
    </w:p>
    <w:p w:rsidR="009C1F6E" w:rsidRPr="00725A8F" w:rsidRDefault="009C1F6E" w:rsidP="0060117F">
      <w:pPr>
        <w:jc w:val="both"/>
        <w:rPr>
          <w:lang w:val="es-ES_tradnl"/>
        </w:rPr>
      </w:pPr>
      <w:r w:rsidRPr="00725A8F">
        <w:rPr>
          <w:b/>
          <w:lang w:val="es-ES_tradnl"/>
        </w:rPr>
        <w:t xml:space="preserve">P5:  En el indicador de rendimiento </w:t>
      </w:r>
      <w:r w:rsidR="0085234C">
        <w:rPr>
          <w:b/>
          <w:lang w:val="es-ES_tradnl"/>
        </w:rPr>
        <w:t>“</w:t>
      </w:r>
      <w:r w:rsidRPr="00725A8F">
        <w:rPr>
          <w:b/>
          <w:lang w:val="es-ES_tradnl"/>
        </w:rPr>
        <w:t xml:space="preserve">Número de países que han establecido o mejorado programas de formación </w:t>
      </w:r>
      <w:r w:rsidR="00914767">
        <w:rPr>
          <w:b/>
          <w:lang w:val="es-ES_tradnl"/>
        </w:rPr>
        <w:t xml:space="preserve">sobre P.I. </w:t>
      </w:r>
      <w:r w:rsidRPr="00725A8F">
        <w:rPr>
          <w:b/>
          <w:lang w:val="es-ES_tradnl"/>
        </w:rPr>
        <w:t>para las pymes</w:t>
      </w:r>
      <w:r w:rsidR="0085234C">
        <w:rPr>
          <w:b/>
          <w:lang w:val="es-ES_tradnl"/>
        </w:rPr>
        <w:t>”</w:t>
      </w:r>
      <w:r w:rsidRPr="00725A8F">
        <w:rPr>
          <w:b/>
          <w:lang w:val="es-ES_tradnl"/>
        </w:rPr>
        <w:t xml:space="preserve"> del programa</w:t>
      </w:r>
      <w:r w:rsidR="00314399">
        <w:rPr>
          <w:b/>
          <w:lang w:val="es-ES_tradnl"/>
        </w:rPr>
        <w:t> 30, ¿la referencia de </w:t>
      </w:r>
      <w:r w:rsidRPr="00725A8F">
        <w:rPr>
          <w:b/>
          <w:lang w:val="es-ES_tradnl"/>
        </w:rPr>
        <w:t xml:space="preserve">13 indica el número acumulado de países? </w:t>
      </w:r>
    </w:p>
    <w:p w:rsidR="009C1F6E" w:rsidRPr="00725A8F" w:rsidRDefault="009C1F6E" w:rsidP="0060117F">
      <w:pPr>
        <w:jc w:val="both"/>
        <w:rPr>
          <w:lang w:val="es-ES_tradnl"/>
        </w:rPr>
      </w:pPr>
    </w:p>
    <w:p w:rsidR="009C1F6E" w:rsidRPr="00725A8F" w:rsidRDefault="009C1F6E" w:rsidP="0060117F">
      <w:pPr>
        <w:jc w:val="both"/>
        <w:rPr>
          <w:lang w:val="es-ES_tradnl"/>
        </w:rPr>
      </w:pPr>
      <w:r w:rsidRPr="00725A8F">
        <w:rPr>
          <w:lang w:val="es-ES_tradnl"/>
        </w:rPr>
        <w:t>R5: La referencia de</w:t>
      </w:r>
      <w:r w:rsidR="00314399">
        <w:rPr>
          <w:lang w:val="es-ES_tradnl"/>
        </w:rPr>
        <w:t> </w:t>
      </w:r>
      <w:r w:rsidRPr="00725A8F">
        <w:rPr>
          <w:lang w:val="es-ES_tradnl"/>
        </w:rPr>
        <w:t>13 indica el número de países que han establecido programas de formación en</w:t>
      </w:r>
      <w:r w:rsidR="00314399">
        <w:rPr>
          <w:lang w:val="es-ES_tradnl"/>
        </w:rPr>
        <w:t> </w:t>
      </w:r>
      <w:r w:rsidRPr="00725A8F">
        <w:rPr>
          <w:lang w:val="es-ES_tradnl"/>
        </w:rPr>
        <w:t xml:space="preserve">2014, tal como consta en el Informe sobre el rendimiento de los programas </w:t>
      </w:r>
      <w:r w:rsidR="00314399">
        <w:rPr>
          <w:lang w:val="es-ES_tradnl"/>
        </w:rPr>
        <w:t xml:space="preserve">en 2014. </w:t>
      </w:r>
      <w:r w:rsidRPr="00725A8F">
        <w:rPr>
          <w:lang w:val="es-ES_tradnl"/>
        </w:rPr>
        <w:t>No ex</w:t>
      </w:r>
      <w:r w:rsidR="00314399">
        <w:rPr>
          <w:lang w:val="es-ES_tradnl"/>
        </w:rPr>
        <w:t>isten cifras acumuladas, ya que </w:t>
      </w:r>
      <w:r w:rsidRPr="00725A8F">
        <w:rPr>
          <w:lang w:val="es-ES_tradnl"/>
        </w:rPr>
        <w:t xml:space="preserve">2014/15 fue el primer bienio en que se utilizó este indicador de rendimiento. </w:t>
      </w:r>
    </w:p>
    <w:p w:rsidR="009C1F6E" w:rsidRPr="00725A8F" w:rsidRDefault="009C1F6E" w:rsidP="0060117F">
      <w:pPr>
        <w:rPr>
          <w:sz w:val="24"/>
          <w:szCs w:val="24"/>
          <w:lang w:val="es-ES_tradnl"/>
        </w:rPr>
      </w:pPr>
    </w:p>
    <w:p w:rsidR="00927F87" w:rsidRPr="00725A8F" w:rsidRDefault="00927F87" w:rsidP="0060117F">
      <w:pPr>
        <w:rPr>
          <w:sz w:val="24"/>
          <w:szCs w:val="24"/>
          <w:lang w:val="es-ES_tradnl"/>
        </w:rPr>
      </w:pPr>
    </w:p>
    <w:p w:rsidR="00BD733E" w:rsidRPr="00725A8F" w:rsidRDefault="00BD733E" w:rsidP="0060117F">
      <w:pPr>
        <w:jc w:val="both"/>
        <w:rPr>
          <w:b/>
          <w:sz w:val="24"/>
          <w:szCs w:val="24"/>
          <w:lang w:val="es-ES_tradnl"/>
        </w:rPr>
      </w:pPr>
      <w:r w:rsidRPr="00725A8F">
        <w:rPr>
          <w:b/>
          <w:lang w:val="es-ES_tradnl"/>
        </w:rPr>
        <w:t xml:space="preserve">P6: ¿Deberían </w:t>
      </w:r>
      <w:r w:rsidR="00314399">
        <w:rPr>
          <w:b/>
          <w:lang w:val="es-ES_tradnl"/>
        </w:rPr>
        <w:t>incluirse también los programas 14 y </w:t>
      </w:r>
      <w:r w:rsidRPr="00725A8F">
        <w:rPr>
          <w:b/>
          <w:lang w:val="es-ES_tradnl"/>
        </w:rPr>
        <w:t>16 en el cuadro en que se resumen los resultados previstos y los indicadores de rendimiento correspondientes a la meta estratégica</w:t>
      </w:r>
      <w:r w:rsidR="0060117F">
        <w:rPr>
          <w:b/>
          <w:lang w:val="es-ES_tradnl"/>
        </w:rPr>
        <w:t> </w:t>
      </w:r>
      <w:r w:rsidRPr="00725A8F">
        <w:rPr>
          <w:b/>
          <w:lang w:val="es-ES_tradnl"/>
        </w:rPr>
        <w:t>III (el cuadro que figura en las páginas</w:t>
      </w:r>
      <w:r w:rsidR="00314399">
        <w:rPr>
          <w:b/>
          <w:lang w:val="es-ES_tradnl"/>
        </w:rPr>
        <w:t> </w:t>
      </w:r>
      <w:r w:rsidR="00914767">
        <w:rPr>
          <w:b/>
          <w:lang w:val="es-ES_tradnl"/>
        </w:rPr>
        <w:t>77</w:t>
      </w:r>
      <w:r w:rsidRPr="00725A8F">
        <w:rPr>
          <w:b/>
          <w:lang w:val="es-ES_tradnl"/>
        </w:rPr>
        <w:t xml:space="preserve"> – </w:t>
      </w:r>
      <w:r w:rsidR="00914767">
        <w:rPr>
          <w:b/>
          <w:lang w:val="es-ES_tradnl"/>
        </w:rPr>
        <w:t>79</w:t>
      </w:r>
      <w:r w:rsidRPr="00725A8F">
        <w:rPr>
          <w:b/>
          <w:lang w:val="es-ES_tradnl"/>
        </w:rPr>
        <w:t xml:space="preserve">6 de la versión </w:t>
      </w:r>
      <w:r w:rsidR="00914767">
        <w:rPr>
          <w:b/>
          <w:lang w:val="es-ES_tradnl"/>
        </w:rPr>
        <w:t>española</w:t>
      </w:r>
      <w:r w:rsidRPr="00725A8F">
        <w:rPr>
          <w:b/>
          <w:lang w:val="es-ES_tradnl"/>
        </w:rPr>
        <w:t xml:space="preserve"> del documento)?</w:t>
      </w:r>
    </w:p>
    <w:p w:rsidR="00BD733E" w:rsidRPr="00725A8F" w:rsidRDefault="00BD733E" w:rsidP="0060117F">
      <w:pPr>
        <w:jc w:val="both"/>
        <w:rPr>
          <w:sz w:val="24"/>
          <w:szCs w:val="24"/>
          <w:lang w:val="es-ES_tradnl"/>
        </w:rPr>
      </w:pPr>
    </w:p>
    <w:p w:rsidR="00BD733E" w:rsidRPr="00725A8F" w:rsidRDefault="00BD733E" w:rsidP="0060117F">
      <w:pPr>
        <w:jc w:val="both"/>
        <w:rPr>
          <w:lang w:val="es-ES_tradnl"/>
        </w:rPr>
      </w:pPr>
      <w:r w:rsidRPr="00725A8F">
        <w:rPr>
          <w:lang w:val="es-ES_tradnl"/>
        </w:rPr>
        <w:t>R6:</w:t>
      </w:r>
      <w:r w:rsidRPr="00725A8F">
        <w:rPr>
          <w:sz w:val="24"/>
          <w:lang w:val="es-ES_tradnl"/>
        </w:rPr>
        <w:t xml:space="preserve"> </w:t>
      </w:r>
      <w:r w:rsidR="0060117F">
        <w:rPr>
          <w:sz w:val="24"/>
          <w:lang w:val="es-ES_tradnl"/>
        </w:rPr>
        <w:t xml:space="preserve"> </w:t>
      </w:r>
      <w:r w:rsidR="0060117F">
        <w:rPr>
          <w:lang w:val="es-ES_tradnl"/>
        </w:rPr>
        <w:t>Mediante el programa </w:t>
      </w:r>
      <w:r w:rsidRPr="00725A8F">
        <w:rPr>
          <w:lang w:val="es-ES_tradnl"/>
        </w:rPr>
        <w:t>14 se contribuye al resultado previsto</w:t>
      </w:r>
      <w:r w:rsidR="0060117F">
        <w:rPr>
          <w:lang w:val="es-ES_tradnl"/>
        </w:rPr>
        <w:t> IV.2 y mediante el programa </w:t>
      </w:r>
      <w:r w:rsidRPr="00725A8F">
        <w:rPr>
          <w:lang w:val="es-ES_tradnl"/>
        </w:rPr>
        <w:t>16 se contri</w:t>
      </w:r>
      <w:r w:rsidR="0060117F">
        <w:rPr>
          <w:lang w:val="es-ES_tradnl"/>
        </w:rPr>
        <w:t>buye a los resultados previstos V.1 y </w:t>
      </w:r>
      <w:r w:rsidRPr="00725A8F">
        <w:rPr>
          <w:lang w:val="es-ES_tradnl"/>
        </w:rPr>
        <w:t>V.2. Por tanto, estos programas no se enumeran en la meta estratégica III aunque contribuyen al desarrollo. Sus contribuciones quedan reflejadas en la cuota asignada al desarrollo de estos dos programas.</w:t>
      </w:r>
    </w:p>
    <w:p w:rsidR="00BD733E" w:rsidRPr="00725A8F" w:rsidRDefault="00BD733E" w:rsidP="0060117F">
      <w:pPr>
        <w:rPr>
          <w:sz w:val="24"/>
          <w:szCs w:val="24"/>
          <w:lang w:val="es-ES_tradnl"/>
        </w:rPr>
      </w:pPr>
    </w:p>
    <w:p w:rsidR="00A45861" w:rsidRPr="00725A8F" w:rsidRDefault="00A45861" w:rsidP="0060117F">
      <w:pPr>
        <w:rPr>
          <w:sz w:val="24"/>
          <w:szCs w:val="24"/>
          <w:lang w:val="es-ES_tradnl"/>
        </w:rPr>
      </w:pPr>
    </w:p>
    <w:p w:rsidR="002C315F" w:rsidRPr="00725A8F" w:rsidRDefault="002C315F" w:rsidP="0060117F">
      <w:pPr>
        <w:jc w:val="both"/>
        <w:rPr>
          <w:b/>
          <w:lang w:val="es-ES_tradnl"/>
        </w:rPr>
      </w:pPr>
      <w:r w:rsidRPr="00725A8F">
        <w:rPr>
          <w:b/>
          <w:lang w:val="es-ES_tradnl"/>
        </w:rPr>
        <w:t>P7:</w:t>
      </w:r>
      <w:r w:rsidR="0060117F">
        <w:rPr>
          <w:b/>
          <w:lang w:val="es-ES_tradnl"/>
        </w:rPr>
        <w:t xml:space="preserve"> </w:t>
      </w:r>
      <w:r w:rsidRPr="00725A8F">
        <w:rPr>
          <w:b/>
          <w:lang w:val="es-ES_tradnl"/>
        </w:rPr>
        <w:t xml:space="preserve"> ¿Por qué los resultados previstos</w:t>
      </w:r>
      <w:r w:rsidR="0060117F">
        <w:rPr>
          <w:b/>
          <w:lang w:val="es-ES_tradnl"/>
        </w:rPr>
        <w:t> II.1, II.4 y </w:t>
      </w:r>
      <w:r w:rsidRPr="00725A8F">
        <w:rPr>
          <w:b/>
          <w:lang w:val="es-ES_tradnl"/>
        </w:rPr>
        <w:t xml:space="preserve">II.6 </w:t>
      </w:r>
      <w:r w:rsidR="00BD28FF" w:rsidRPr="00725A8F">
        <w:rPr>
          <w:b/>
          <w:lang w:val="es-ES_tradnl"/>
        </w:rPr>
        <w:t>que se refieren a</w:t>
      </w:r>
      <w:r w:rsidRPr="00725A8F">
        <w:rPr>
          <w:b/>
          <w:lang w:val="es-ES_tradnl"/>
        </w:rPr>
        <w:t xml:space="preserve"> una mejor utilización y mayor difusión de los </w:t>
      </w:r>
      <w:r w:rsidR="00914767" w:rsidRPr="00725A8F">
        <w:rPr>
          <w:b/>
          <w:lang w:val="es-ES_tradnl"/>
        </w:rPr>
        <w:t xml:space="preserve">Sistemas </w:t>
      </w:r>
      <w:r w:rsidRPr="00725A8F">
        <w:rPr>
          <w:b/>
          <w:lang w:val="es-ES_tradnl"/>
        </w:rPr>
        <w:t>del PCT, La Haya, Madrid y Lisboa</w:t>
      </w:r>
      <w:r w:rsidR="00831897" w:rsidRPr="00725A8F">
        <w:rPr>
          <w:b/>
          <w:lang w:val="es-ES_tradnl"/>
        </w:rPr>
        <w:t>,</w:t>
      </w:r>
      <w:r w:rsidRPr="00725A8F">
        <w:rPr>
          <w:b/>
          <w:lang w:val="es-ES_tradnl"/>
        </w:rPr>
        <w:t xml:space="preserve"> respectivamente</w:t>
      </w:r>
      <w:r w:rsidR="00831897" w:rsidRPr="00725A8F">
        <w:rPr>
          <w:b/>
          <w:lang w:val="es-ES_tradnl"/>
        </w:rPr>
        <w:t>,</w:t>
      </w:r>
      <w:r w:rsidRPr="00725A8F">
        <w:rPr>
          <w:b/>
          <w:lang w:val="es-ES_tradnl"/>
        </w:rPr>
        <w:t xml:space="preserve"> se recogen en el m</w:t>
      </w:r>
      <w:r w:rsidR="0060117F">
        <w:rPr>
          <w:b/>
          <w:lang w:val="es-ES_tradnl"/>
        </w:rPr>
        <w:t>arco de resultados del programa </w:t>
      </w:r>
      <w:r w:rsidRPr="00725A8F">
        <w:rPr>
          <w:b/>
          <w:lang w:val="es-ES_tradnl"/>
        </w:rPr>
        <w:t xml:space="preserve">10?  </w:t>
      </w:r>
    </w:p>
    <w:p w:rsidR="002C315F" w:rsidRPr="00725A8F" w:rsidRDefault="002C315F" w:rsidP="0060117F">
      <w:pPr>
        <w:jc w:val="both"/>
        <w:rPr>
          <w:b/>
          <w:lang w:val="es-ES_tradnl"/>
        </w:rPr>
      </w:pPr>
    </w:p>
    <w:p w:rsidR="002C315F" w:rsidRPr="00725A8F" w:rsidRDefault="002C315F" w:rsidP="0060117F">
      <w:pPr>
        <w:jc w:val="both"/>
        <w:rPr>
          <w:lang w:val="es-ES_tradnl"/>
        </w:rPr>
      </w:pPr>
      <w:r w:rsidRPr="00725A8F">
        <w:rPr>
          <w:lang w:val="es-ES_tradnl"/>
        </w:rPr>
        <w:t>R7:  En consonanci</w:t>
      </w:r>
      <w:r w:rsidR="0060117F">
        <w:rPr>
          <w:lang w:val="es-ES_tradnl"/>
        </w:rPr>
        <w:t>a con el marco de resultados de </w:t>
      </w:r>
      <w:r w:rsidRPr="00725A8F">
        <w:rPr>
          <w:lang w:val="es-ES_tradnl"/>
        </w:rPr>
        <w:t>2014</w:t>
      </w:r>
      <w:r w:rsidR="0060117F">
        <w:rPr>
          <w:lang w:val="es-ES_tradnl"/>
        </w:rPr>
        <w:t>/15 correspondiente al programa </w:t>
      </w:r>
      <w:r w:rsidRPr="00725A8F">
        <w:rPr>
          <w:lang w:val="es-ES_tradnl"/>
        </w:rPr>
        <w:t>10, durante el bienio</w:t>
      </w:r>
      <w:r w:rsidR="0060117F">
        <w:rPr>
          <w:lang w:val="es-ES_tradnl"/>
        </w:rPr>
        <w:t> </w:t>
      </w:r>
      <w:r w:rsidRPr="00725A8F">
        <w:rPr>
          <w:lang w:val="es-ES_tradnl"/>
        </w:rPr>
        <w:t xml:space="preserve">2016/17 la promoción de los productos y servicios de la OMPI seguirá siendo una prioridad en </w:t>
      </w:r>
      <w:r w:rsidR="00BD28FF" w:rsidRPr="00725A8F">
        <w:rPr>
          <w:lang w:val="es-ES_tradnl"/>
        </w:rPr>
        <w:t xml:space="preserve">los países </w:t>
      </w:r>
      <w:r w:rsidRPr="00725A8F">
        <w:rPr>
          <w:lang w:val="es-ES_tradnl"/>
        </w:rPr>
        <w:t>con economías en transición</w:t>
      </w:r>
      <w:r w:rsidR="00831897" w:rsidRPr="00725A8F">
        <w:rPr>
          <w:lang w:val="es-ES_tradnl"/>
        </w:rPr>
        <w:t xml:space="preserve"> y desarrollados</w:t>
      </w:r>
      <w:r w:rsidRPr="00725A8F">
        <w:rPr>
          <w:lang w:val="es-ES_tradnl"/>
        </w:rPr>
        <w:t>.</w:t>
      </w:r>
    </w:p>
    <w:p w:rsidR="002C315F" w:rsidRPr="00725A8F" w:rsidRDefault="002C315F" w:rsidP="0060117F">
      <w:pPr>
        <w:rPr>
          <w:lang w:val="es-ES_tradnl"/>
        </w:rPr>
      </w:pPr>
    </w:p>
    <w:p w:rsidR="002C315F" w:rsidRPr="00725A8F" w:rsidRDefault="002C315F" w:rsidP="0060117F">
      <w:pPr>
        <w:rPr>
          <w:b/>
          <w:lang w:val="es-ES_tradnl"/>
        </w:rPr>
      </w:pPr>
    </w:p>
    <w:p w:rsidR="002C315F" w:rsidRPr="00725A8F" w:rsidRDefault="002C315F" w:rsidP="0060117F">
      <w:pPr>
        <w:jc w:val="both"/>
        <w:rPr>
          <w:b/>
          <w:lang w:val="es-ES_tradnl"/>
        </w:rPr>
      </w:pPr>
      <w:r w:rsidRPr="00725A8F">
        <w:rPr>
          <w:b/>
          <w:lang w:val="es-ES_tradnl"/>
        </w:rPr>
        <w:t xml:space="preserve">P8: </w:t>
      </w:r>
      <w:r w:rsidR="0060117F">
        <w:rPr>
          <w:b/>
          <w:lang w:val="es-ES_tradnl"/>
        </w:rPr>
        <w:t xml:space="preserve"> </w:t>
      </w:r>
      <w:r w:rsidRPr="00725A8F">
        <w:rPr>
          <w:b/>
          <w:lang w:val="es-ES_tradnl"/>
        </w:rPr>
        <w:t>En el resultado previsto II.8 del m</w:t>
      </w:r>
      <w:r w:rsidR="0060117F">
        <w:rPr>
          <w:b/>
          <w:lang w:val="es-ES_tradnl"/>
        </w:rPr>
        <w:t>arco de resultados del programa </w:t>
      </w:r>
      <w:r w:rsidRPr="00725A8F">
        <w:rPr>
          <w:b/>
          <w:lang w:val="es-ES_tradnl"/>
        </w:rPr>
        <w:t xml:space="preserve">10, ¿cuál es el número acumulado de controversias y mediaciones </w:t>
      </w:r>
      <w:r w:rsidR="00CB4F9B" w:rsidRPr="00725A8F">
        <w:rPr>
          <w:b/>
          <w:lang w:val="es-ES_tradnl"/>
        </w:rPr>
        <w:t xml:space="preserve">que atañen a </w:t>
      </w:r>
      <w:r w:rsidRPr="00725A8F">
        <w:rPr>
          <w:b/>
          <w:lang w:val="es-ES_tradnl"/>
        </w:rPr>
        <w:t>países con economías en transición y desarrollados?</w:t>
      </w:r>
    </w:p>
    <w:p w:rsidR="002C315F" w:rsidRPr="00725A8F" w:rsidRDefault="002C315F" w:rsidP="0060117F">
      <w:pPr>
        <w:jc w:val="both"/>
        <w:rPr>
          <w:b/>
          <w:lang w:val="es-ES_tradnl"/>
        </w:rPr>
      </w:pPr>
    </w:p>
    <w:p w:rsidR="002C315F" w:rsidRPr="00725A8F" w:rsidRDefault="002C315F" w:rsidP="0060117F">
      <w:pPr>
        <w:jc w:val="both"/>
        <w:rPr>
          <w:lang w:val="es-ES_tradnl"/>
        </w:rPr>
      </w:pPr>
      <w:r w:rsidRPr="00725A8F">
        <w:rPr>
          <w:lang w:val="es-ES_tradnl"/>
        </w:rPr>
        <w:t>R8:  Al final de</w:t>
      </w:r>
      <w:r w:rsidR="0060117F">
        <w:rPr>
          <w:lang w:val="es-ES_tradnl"/>
        </w:rPr>
        <w:t> </w:t>
      </w:r>
      <w:r w:rsidRPr="00725A8F">
        <w:rPr>
          <w:lang w:val="es-ES_tradnl"/>
        </w:rPr>
        <w:t xml:space="preserve">2014, </w:t>
      </w:r>
      <w:r w:rsidR="00CB4F9B" w:rsidRPr="00725A8F">
        <w:rPr>
          <w:lang w:val="es-ES_tradnl"/>
        </w:rPr>
        <w:t xml:space="preserve">se encontraban </w:t>
      </w:r>
      <w:r w:rsidR="0060117F">
        <w:rPr>
          <w:lang w:val="es-ES_tradnl"/>
        </w:rPr>
        <w:t>pendientes 377 controversias y </w:t>
      </w:r>
      <w:r w:rsidRPr="00725A8F">
        <w:rPr>
          <w:lang w:val="es-ES_tradnl"/>
        </w:rPr>
        <w:t xml:space="preserve">76 mediaciones </w:t>
      </w:r>
      <w:r w:rsidR="00CB4F9B" w:rsidRPr="00725A8F">
        <w:rPr>
          <w:lang w:val="es-ES_tradnl"/>
        </w:rPr>
        <w:t xml:space="preserve">que incumbían a </w:t>
      </w:r>
      <w:r w:rsidRPr="00725A8F">
        <w:rPr>
          <w:lang w:val="es-ES_tradnl"/>
        </w:rPr>
        <w:t xml:space="preserve">partes de países con economías en transición y desarrollados (acumulado). (Según datos </w:t>
      </w:r>
      <w:r w:rsidR="00831897" w:rsidRPr="00725A8F">
        <w:rPr>
          <w:lang w:val="es-ES_tradnl"/>
        </w:rPr>
        <w:t xml:space="preserve">obtenidos </w:t>
      </w:r>
      <w:r w:rsidRPr="00725A8F">
        <w:rPr>
          <w:lang w:val="es-ES_tradnl"/>
        </w:rPr>
        <w:t xml:space="preserve">del Informe sobre el rendimiento de los programas </w:t>
      </w:r>
      <w:r w:rsidR="0060117F">
        <w:rPr>
          <w:lang w:val="es-ES_tradnl"/>
        </w:rPr>
        <w:t>en </w:t>
      </w:r>
      <w:r w:rsidRPr="00725A8F">
        <w:rPr>
          <w:lang w:val="es-ES_tradnl"/>
        </w:rPr>
        <w:t>2014).</w:t>
      </w:r>
    </w:p>
    <w:p w:rsidR="002C315F" w:rsidRPr="00725A8F" w:rsidRDefault="002C315F" w:rsidP="0060117F">
      <w:pPr>
        <w:rPr>
          <w:sz w:val="24"/>
          <w:szCs w:val="24"/>
          <w:lang w:val="es-ES_tradnl"/>
        </w:rPr>
      </w:pPr>
    </w:p>
    <w:p w:rsidR="00BD733E" w:rsidRPr="00725A8F" w:rsidRDefault="00BD733E" w:rsidP="0060117F">
      <w:pPr>
        <w:rPr>
          <w:sz w:val="24"/>
          <w:szCs w:val="24"/>
          <w:lang w:val="es-ES_tradnl"/>
        </w:rPr>
      </w:pPr>
    </w:p>
    <w:p w:rsidR="0077360E" w:rsidRPr="00725A8F" w:rsidRDefault="00091989" w:rsidP="0060117F">
      <w:pPr>
        <w:jc w:val="both"/>
        <w:rPr>
          <w:sz w:val="24"/>
          <w:szCs w:val="24"/>
          <w:lang w:val="es-ES_tradnl"/>
        </w:rPr>
      </w:pPr>
      <w:r w:rsidRPr="00725A8F">
        <w:rPr>
          <w:sz w:val="24"/>
          <w:lang w:val="es-ES_tradnl"/>
        </w:rPr>
        <w:t>META ESTRATÉGICA V: FUENTE DE REFERENCIA EN EL MUNDO DE INFORMACIÓN Y ANÁLISIS EN MATERIA DE P.I.</w:t>
      </w:r>
    </w:p>
    <w:p w:rsidR="00091989" w:rsidRPr="00725A8F" w:rsidRDefault="00091989" w:rsidP="0060117F">
      <w:pPr>
        <w:jc w:val="both"/>
        <w:rPr>
          <w:sz w:val="24"/>
          <w:szCs w:val="24"/>
          <w:lang w:val="es-ES_tradnl"/>
        </w:rPr>
      </w:pPr>
    </w:p>
    <w:p w:rsidR="00091989" w:rsidRPr="00725A8F" w:rsidRDefault="00091989" w:rsidP="0060117F">
      <w:pPr>
        <w:jc w:val="both"/>
        <w:rPr>
          <w:b/>
          <w:lang w:val="es-ES_tradnl"/>
        </w:rPr>
      </w:pPr>
      <w:r w:rsidRPr="00725A8F">
        <w:rPr>
          <w:b/>
          <w:lang w:val="es-ES_tradnl"/>
        </w:rPr>
        <w:t>P1: ¿Por qué se han increme</w:t>
      </w:r>
      <w:r w:rsidR="0060117F">
        <w:rPr>
          <w:b/>
          <w:lang w:val="es-ES_tradnl"/>
        </w:rPr>
        <w:t xml:space="preserve">ntado los recursos del programa 16? </w:t>
      </w:r>
      <w:r w:rsidRPr="00725A8F">
        <w:rPr>
          <w:b/>
          <w:lang w:val="es-ES_tradnl"/>
        </w:rPr>
        <w:t>¿Los recursos asignados al proyecto de la A.D. son adiciona</w:t>
      </w:r>
      <w:r w:rsidR="0060117F">
        <w:rPr>
          <w:b/>
          <w:lang w:val="es-ES_tradnl"/>
        </w:rPr>
        <w:t>les al presupuesto propuesto de 6 </w:t>
      </w:r>
      <w:r w:rsidRPr="00725A8F">
        <w:rPr>
          <w:b/>
          <w:lang w:val="es-ES_tradnl"/>
        </w:rPr>
        <w:t>millones de francos suizos?</w:t>
      </w:r>
    </w:p>
    <w:p w:rsidR="00091989" w:rsidRPr="00725A8F" w:rsidRDefault="00091989" w:rsidP="0060117F">
      <w:pPr>
        <w:jc w:val="both"/>
        <w:rPr>
          <w:szCs w:val="22"/>
          <w:lang w:val="es-ES_tradnl"/>
        </w:rPr>
      </w:pPr>
    </w:p>
    <w:p w:rsidR="00A0783F" w:rsidRPr="00725A8F" w:rsidRDefault="00091989" w:rsidP="0060117F">
      <w:pPr>
        <w:jc w:val="both"/>
        <w:rPr>
          <w:szCs w:val="22"/>
          <w:lang w:val="es-ES_tradnl"/>
        </w:rPr>
      </w:pPr>
      <w:r w:rsidRPr="00725A8F">
        <w:rPr>
          <w:lang w:val="es-ES_tradnl"/>
        </w:rPr>
        <w:t>R1: Los recu</w:t>
      </w:r>
      <w:r w:rsidR="0060117F">
        <w:rPr>
          <w:lang w:val="es-ES_tradnl"/>
        </w:rPr>
        <w:t>rsos estimados para el programa </w:t>
      </w:r>
      <w:r w:rsidRPr="00725A8F">
        <w:rPr>
          <w:lang w:val="es-ES_tradnl"/>
        </w:rPr>
        <w:t>16, en comparación</w:t>
      </w:r>
      <w:r w:rsidR="0060117F">
        <w:rPr>
          <w:lang w:val="es-ES_tradnl"/>
        </w:rPr>
        <w:t xml:space="preserve"> con el presupuesto aprobado de </w:t>
      </w:r>
      <w:r w:rsidRPr="00725A8F">
        <w:rPr>
          <w:lang w:val="es-ES_tradnl"/>
        </w:rPr>
        <w:t>2014/15, han aumentado en</w:t>
      </w:r>
      <w:r w:rsidR="0060117F">
        <w:rPr>
          <w:lang w:val="es-ES_tradnl"/>
        </w:rPr>
        <w:t> 0,7 </w:t>
      </w:r>
      <w:r w:rsidRPr="00725A8F">
        <w:rPr>
          <w:lang w:val="es-ES_tradnl"/>
        </w:rPr>
        <w:t xml:space="preserve">millones de francos suizos, principalmente como consecuencia de: </w:t>
      </w:r>
    </w:p>
    <w:p w:rsidR="007F2DD9" w:rsidRPr="00725A8F" w:rsidRDefault="007F2DD9" w:rsidP="0060117F">
      <w:pPr>
        <w:jc w:val="both"/>
        <w:rPr>
          <w:szCs w:val="22"/>
          <w:lang w:val="es-ES_tradnl"/>
        </w:rPr>
      </w:pPr>
    </w:p>
    <w:p w:rsidR="00B744C6" w:rsidRPr="00725A8F" w:rsidRDefault="00B744C6" w:rsidP="0060117F">
      <w:pPr>
        <w:pStyle w:val="ListParagraph"/>
        <w:numPr>
          <w:ilvl w:val="0"/>
          <w:numId w:val="13"/>
        </w:numPr>
        <w:ind w:left="1282"/>
        <w:jc w:val="both"/>
        <w:rPr>
          <w:rFonts w:ascii="Arial" w:hAnsi="Arial" w:cs="Arial"/>
          <w:sz w:val="22"/>
          <w:szCs w:val="22"/>
          <w:lang w:val="es-ES_tradnl"/>
        </w:rPr>
      </w:pPr>
      <w:r w:rsidRPr="00725A8F">
        <w:rPr>
          <w:rFonts w:ascii="Arial" w:hAnsi="Arial"/>
          <w:sz w:val="22"/>
          <w:lang w:val="es-ES_tradnl"/>
        </w:rPr>
        <w:t xml:space="preserve">los redoblados esfuerzos para mejorar la recopilación y el suministro de información estadística acerca del rendimiento del sistema de P.I. en todo el mundo, en particular la recopilación y difusión de información estadística sobre indicaciones geográficas y derechos de autor, así como una mayor profesionalización de los informes esenciales de la OMPI; </w:t>
      </w:r>
    </w:p>
    <w:p w:rsidR="007F2DD9" w:rsidRPr="00725A8F" w:rsidRDefault="007F2DD9" w:rsidP="0060117F">
      <w:pPr>
        <w:pStyle w:val="ListParagraph"/>
        <w:ind w:left="1287"/>
        <w:jc w:val="both"/>
        <w:rPr>
          <w:rFonts w:ascii="Arial" w:hAnsi="Arial" w:cs="Arial"/>
          <w:sz w:val="22"/>
          <w:szCs w:val="22"/>
          <w:lang w:val="es-ES_tradnl"/>
        </w:rPr>
      </w:pPr>
    </w:p>
    <w:p w:rsidR="00A0783F" w:rsidRPr="00725A8F" w:rsidRDefault="00383257" w:rsidP="0060117F">
      <w:pPr>
        <w:pStyle w:val="ListParagraph"/>
        <w:numPr>
          <w:ilvl w:val="0"/>
          <w:numId w:val="13"/>
        </w:numPr>
        <w:jc w:val="both"/>
        <w:rPr>
          <w:rFonts w:ascii="Arial" w:hAnsi="Arial" w:cs="Arial"/>
          <w:sz w:val="22"/>
          <w:szCs w:val="22"/>
          <w:lang w:val="es-ES_tradnl"/>
        </w:rPr>
      </w:pPr>
      <w:r w:rsidRPr="00725A8F">
        <w:rPr>
          <w:rFonts w:ascii="Arial" w:hAnsi="Arial"/>
          <w:sz w:val="22"/>
          <w:lang w:val="es-ES_tradnl"/>
        </w:rPr>
        <w:lastRenderedPageBreak/>
        <w:t>unos mayores compromisos de análisis económico sobre políticas y rendimiento de l</w:t>
      </w:r>
      <w:r w:rsidR="008700A6" w:rsidRPr="00725A8F">
        <w:rPr>
          <w:rFonts w:ascii="Arial" w:hAnsi="Arial"/>
          <w:sz w:val="22"/>
          <w:lang w:val="es-ES_tradnl"/>
        </w:rPr>
        <w:t>a</w:t>
      </w:r>
      <w:r w:rsidRPr="00725A8F">
        <w:rPr>
          <w:rFonts w:ascii="Arial" w:hAnsi="Arial"/>
          <w:sz w:val="22"/>
          <w:lang w:val="es-ES_tradnl"/>
        </w:rPr>
        <w:t xml:space="preserve">s </w:t>
      </w:r>
      <w:r w:rsidR="008700A6" w:rsidRPr="00725A8F">
        <w:rPr>
          <w:rFonts w:ascii="Arial" w:hAnsi="Arial"/>
          <w:sz w:val="22"/>
          <w:lang w:val="es-ES_tradnl"/>
        </w:rPr>
        <w:t xml:space="preserve">industrias </w:t>
      </w:r>
      <w:r w:rsidRPr="00725A8F">
        <w:rPr>
          <w:rFonts w:ascii="Arial" w:hAnsi="Arial"/>
          <w:sz w:val="22"/>
          <w:lang w:val="es-ES_tradnl"/>
        </w:rPr>
        <w:t>creativ</w:t>
      </w:r>
      <w:r w:rsidR="008700A6" w:rsidRPr="00725A8F">
        <w:rPr>
          <w:rFonts w:ascii="Arial" w:hAnsi="Arial"/>
          <w:sz w:val="22"/>
          <w:lang w:val="es-ES_tradnl"/>
        </w:rPr>
        <w:t>a</w:t>
      </w:r>
      <w:r w:rsidRPr="00725A8F">
        <w:rPr>
          <w:rFonts w:ascii="Arial" w:hAnsi="Arial"/>
          <w:sz w:val="22"/>
          <w:lang w:val="es-ES_tradnl"/>
        </w:rPr>
        <w:t xml:space="preserve">s. </w:t>
      </w:r>
    </w:p>
    <w:p w:rsidR="008B65A6" w:rsidRPr="00725A8F" w:rsidRDefault="008B65A6" w:rsidP="0060117F">
      <w:pPr>
        <w:pStyle w:val="ListParagraph"/>
        <w:rPr>
          <w:rFonts w:ascii="Arial" w:hAnsi="Arial" w:cs="Arial"/>
          <w:sz w:val="22"/>
          <w:szCs w:val="22"/>
          <w:lang w:val="es-ES_tradnl"/>
        </w:rPr>
      </w:pPr>
    </w:p>
    <w:p w:rsidR="00091989" w:rsidRPr="00725A8F" w:rsidRDefault="00383257" w:rsidP="0060117F">
      <w:pPr>
        <w:jc w:val="both"/>
        <w:rPr>
          <w:szCs w:val="22"/>
          <w:lang w:val="es-ES_tradnl"/>
        </w:rPr>
      </w:pPr>
      <w:r w:rsidRPr="00725A8F">
        <w:rPr>
          <w:lang w:val="es-ES_tradnl"/>
        </w:rPr>
        <w:t>Los recursos</w:t>
      </w:r>
      <w:r w:rsidR="0060117F">
        <w:rPr>
          <w:lang w:val="es-ES_tradnl"/>
        </w:rPr>
        <w:t xml:space="preserve"> propuestos totales para 2016/17 ascienden a 6,1 </w:t>
      </w:r>
      <w:r w:rsidRPr="00725A8F">
        <w:rPr>
          <w:lang w:val="es-ES_tradnl"/>
        </w:rPr>
        <w:t>millones de francos suizos e incluyen</w:t>
      </w:r>
      <w:r w:rsidR="0060117F">
        <w:rPr>
          <w:lang w:val="es-ES_tradnl"/>
        </w:rPr>
        <w:t> 0,6 </w:t>
      </w:r>
      <w:r w:rsidRPr="00725A8F">
        <w:rPr>
          <w:lang w:val="es-ES_tradnl"/>
        </w:rPr>
        <w:t xml:space="preserve">millones para el proyecto de la A.D. </w:t>
      </w:r>
      <w:r w:rsidR="0085234C">
        <w:rPr>
          <w:lang w:val="es-ES_tradnl"/>
        </w:rPr>
        <w:t>“</w:t>
      </w:r>
      <w:r w:rsidR="008700A6" w:rsidRPr="00725A8F">
        <w:rPr>
          <w:lang w:val="es-ES_tradnl"/>
        </w:rPr>
        <w:t>P</w:t>
      </w:r>
      <w:r w:rsidRPr="00725A8F">
        <w:rPr>
          <w:lang w:val="es-ES_tradnl"/>
        </w:rPr>
        <w:t xml:space="preserve">ropiedad intelectual y </w:t>
      </w:r>
      <w:r w:rsidR="0060117F">
        <w:rPr>
          <w:lang w:val="es-ES_tradnl"/>
        </w:rPr>
        <w:t>desarrollo socioeconómico (fase </w:t>
      </w:r>
      <w:r w:rsidRPr="00725A8F">
        <w:rPr>
          <w:lang w:val="es-ES_tradnl"/>
        </w:rPr>
        <w:t>II)</w:t>
      </w:r>
      <w:r w:rsidR="0085234C">
        <w:rPr>
          <w:lang w:val="es-ES_tradnl"/>
        </w:rPr>
        <w:t>”</w:t>
      </w:r>
      <w:r w:rsidRPr="00725A8F">
        <w:rPr>
          <w:lang w:val="es-ES_tradnl"/>
        </w:rPr>
        <w:t xml:space="preserve">. </w:t>
      </w:r>
    </w:p>
    <w:p w:rsidR="00091989" w:rsidRPr="00725A8F" w:rsidRDefault="00091989" w:rsidP="0060117F">
      <w:pPr>
        <w:rPr>
          <w:sz w:val="24"/>
          <w:szCs w:val="24"/>
          <w:lang w:val="es-ES_tradnl"/>
        </w:rPr>
      </w:pPr>
    </w:p>
    <w:p w:rsidR="009F367B" w:rsidRPr="00725A8F" w:rsidRDefault="009F367B" w:rsidP="0060117F">
      <w:pPr>
        <w:rPr>
          <w:sz w:val="24"/>
          <w:szCs w:val="24"/>
          <w:lang w:val="es-ES_tradnl"/>
        </w:rPr>
      </w:pPr>
    </w:p>
    <w:p w:rsidR="00C25DAA" w:rsidRPr="00725A8F" w:rsidRDefault="0060117F" w:rsidP="0060117F">
      <w:pPr>
        <w:rPr>
          <w:sz w:val="24"/>
          <w:szCs w:val="24"/>
          <w:lang w:val="es-ES_tradnl"/>
        </w:rPr>
      </w:pPr>
      <w:r>
        <w:rPr>
          <w:sz w:val="24"/>
          <w:lang w:val="es-ES_tradnl"/>
        </w:rPr>
        <w:t>META ESTRATÉGICA </w:t>
      </w:r>
      <w:r w:rsidR="00CD11C1" w:rsidRPr="00725A8F">
        <w:rPr>
          <w:sz w:val="24"/>
          <w:lang w:val="es-ES_tradnl"/>
        </w:rPr>
        <w:t xml:space="preserve">VII: </w:t>
      </w:r>
      <w:r w:rsidR="00CD11C1" w:rsidRPr="00725A8F">
        <w:rPr>
          <w:caps/>
          <w:sz w:val="24"/>
          <w:lang w:val="es-ES_tradnl"/>
        </w:rPr>
        <w:t>VÍNCULOS ENTRE LA P.I. Y LOS PROBLEMAS MUNDIALES DE POLÍTICA PÚBLICA</w:t>
      </w:r>
    </w:p>
    <w:p w:rsidR="00C25DAA" w:rsidRPr="00725A8F" w:rsidRDefault="00C25DAA" w:rsidP="0060117F">
      <w:pPr>
        <w:spacing w:before="120"/>
        <w:jc w:val="both"/>
        <w:rPr>
          <w:lang w:val="es-ES_tradnl"/>
        </w:rPr>
      </w:pPr>
    </w:p>
    <w:p w:rsidR="00C25DAA" w:rsidRPr="00725A8F" w:rsidRDefault="007D5422" w:rsidP="0060117F">
      <w:pPr>
        <w:pStyle w:val="ONUME"/>
        <w:numPr>
          <w:ilvl w:val="0"/>
          <w:numId w:val="0"/>
        </w:numPr>
        <w:jc w:val="both"/>
        <w:rPr>
          <w:b/>
          <w:lang w:val="es-ES_tradnl"/>
        </w:rPr>
      </w:pPr>
      <w:r w:rsidRPr="00725A8F">
        <w:rPr>
          <w:b/>
          <w:lang w:val="es-ES_tradnl"/>
        </w:rPr>
        <w:t>P1:  ¿Podría exponer con más detalle la labor propuesta en relación con la P.I. y los desafíos mundiales?</w:t>
      </w:r>
    </w:p>
    <w:p w:rsidR="00DA1535" w:rsidRPr="00725A8F" w:rsidRDefault="00C25DAA" w:rsidP="0060117F">
      <w:pPr>
        <w:jc w:val="both"/>
        <w:rPr>
          <w:lang w:val="es-ES_tradnl"/>
        </w:rPr>
      </w:pPr>
      <w:r w:rsidRPr="00725A8F">
        <w:rPr>
          <w:lang w:val="es-ES_tradnl"/>
        </w:rPr>
        <w:t xml:space="preserve">R1:  </w:t>
      </w:r>
      <w:r w:rsidR="008700A6" w:rsidRPr="00725A8F">
        <w:rPr>
          <w:lang w:val="es-ES_tradnl"/>
        </w:rPr>
        <w:t>L</w:t>
      </w:r>
      <w:r w:rsidRPr="00725A8F">
        <w:rPr>
          <w:lang w:val="es-ES_tradnl"/>
        </w:rPr>
        <w:t>a labor propuesta en relación con la P.I. y los desafíos mundiales</w:t>
      </w:r>
      <w:r w:rsidR="008700A6" w:rsidRPr="00725A8F">
        <w:rPr>
          <w:lang w:val="es-ES_tradnl"/>
        </w:rPr>
        <w:t xml:space="preserve"> se expondrá más detalladamente en el PBC</w:t>
      </w:r>
      <w:r w:rsidRPr="00725A8F">
        <w:rPr>
          <w:lang w:val="es-ES_tradnl"/>
        </w:rPr>
        <w:t>.</w:t>
      </w:r>
    </w:p>
    <w:p w:rsidR="00F426ED" w:rsidRPr="00725A8F" w:rsidRDefault="00F426ED" w:rsidP="0060117F">
      <w:pPr>
        <w:jc w:val="both"/>
        <w:rPr>
          <w:lang w:val="es-ES_tradnl"/>
        </w:rPr>
      </w:pPr>
    </w:p>
    <w:p w:rsidR="001A249D" w:rsidRPr="00725A8F" w:rsidRDefault="001A249D" w:rsidP="0060117F">
      <w:pPr>
        <w:jc w:val="both"/>
        <w:rPr>
          <w:lang w:val="es-ES_tradnl"/>
        </w:rPr>
      </w:pPr>
    </w:p>
    <w:p w:rsidR="00F426ED" w:rsidRPr="00725A8F" w:rsidRDefault="00F426ED" w:rsidP="0060117F">
      <w:pPr>
        <w:jc w:val="both"/>
        <w:rPr>
          <w:b/>
          <w:lang w:val="es-ES_tradnl"/>
        </w:rPr>
      </w:pPr>
      <w:r w:rsidRPr="00725A8F">
        <w:rPr>
          <w:b/>
          <w:lang w:val="es-ES_tradnl"/>
        </w:rPr>
        <w:t xml:space="preserve">P2:  En lo que respecta a la P.I. y la política de competencia, ¿debería </w:t>
      </w:r>
      <w:r w:rsidR="00EF2CE2" w:rsidRPr="00725A8F">
        <w:rPr>
          <w:b/>
          <w:lang w:val="es-ES_tradnl"/>
        </w:rPr>
        <w:t>mencionarse</w:t>
      </w:r>
      <w:r w:rsidRPr="00725A8F">
        <w:rPr>
          <w:b/>
          <w:lang w:val="es-ES_tradnl"/>
        </w:rPr>
        <w:t xml:space="preserve"> a la UPOV como organización intergubernamental con la que la OMPI coopera regularmente en materia de P.I. y política de competencia?</w:t>
      </w:r>
    </w:p>
    <w:p w:rsidR="00F426ED" w:rsidRPr="00725A8F" w:rsidRDefault="00F426ED" w:rsidP="0060117F">
      <w:pPr>
        <w:jc w:val="both"/>
        <w:rPr>
          <w:b/>
          <w:lang w:val="es-ES_tradnl"/>
        </w:rPr>
      </w:pPr>
    </w:p>
    <w:p w:rsidR="00F426ED" w:rsidRPr="00725A8F" w:rsidRDefault="00F426ED" w:rsidP="0060117F">
      <w:pPr>
        <w:jc w:val="both"/>
        <w:rPr>
          <w:lang w:val="es-ES_tradnl"/>
        </w:rPr>
      </w:pPr>
      <w:r w:rsidRPr="00725A8F">
        <w:rPr>
          <w:lang w:val="es-ES_tradnl"/>
        </w:rPr>
        <w:t>R2:  La UPOV no se ocupa de cuestiones relacionadas con la P.I. y la política de competencia.</w:t>
      </w:r>
    </w:p>
    <w:p w:rsidR="00DA1535" w:rsidRPr="00725A8F" w:rsidRDefault="00DA1535" w:rsidP="0060117F">
      <w:pPr>
        <w:rPr>
          <w:lang w:val="es-ES_tradnl"/>
        </w:rPr>
      </w:pPr>
    </w:p>
    <w:p w:rsidR="001A249D" w:rsidRPr="00725A8F" w:rsidRDefault="001A249D" w:rsidP="0060117F">
      <w:pPr>
        <w:rPr>
          <w:sz w:val="24"/>
          <w:szCs w:val="24"/>
          <w:lang w:val="es-ES_tradnl"/>
        </w:rPr>
      </w:pPr>
    </w:p>
    <w:p w:rsidR="00C25DAA" w:rsidRPr="00725A8F" w:rsidRDefault="0060117F" w:rsidP="0060117F">
      <w:pPr>
        <w:rPr>
          <w:sz w:val="24"/>
          <w:szCs w:val="24"/>
          <w:lang w:val="es-ES_tradnl"/>
        </w:rPr>
      </w:pPr>
      <w:r>
        <w:rPr>
          <w:sz w:val="24"/>
          <w:lang w:val="es-ES_tradnl"/>
        </w:rPr>
        <w:t>META ESTRATÉGICA </w:t>
      </w:r>
      <w:r w:rsidR="004808E5" w:rsidRPr="00725A8F">
        <w:rPr>
          <w:sz w:val="24"/>
          <w:lang w:val="es-ES_tradnl"/>
        </w:rPr>
        <w:t>VIII:  COMUNICACIÓN EFICAZ ENTRE LA OMPI, SUS ESTADOS MIEMBROS Y TODAS LAS PARTES INTERESADAS</w:t>
      </w:r>
    </w:p>
    <w:p w:rsidR="00C25DAA" w:rsidRPr="00725A8F" w:rsidRDefault="00C25DAA" w:rsidP="0060117F">
      <w:pPr>
        <w:spacing w:before="120"/>
        <w:rPr>
          <w:lang w:val="es-ES_tradnl"/>
        </w:rPr>
      </w:pPr>
    </w:p>
    <w:p w:rsidR="008C6656" w:rsidRPr="00725A8F" w:rsidRDefault="008C6656" w:rsidP="0060117F">
      <w:pPr>
        <w:pStyle w:val="ONUME"/>
        <w:numPr>
          <w:ilvl w:val="0"/>
          <w:numId w:val="0"/>
        </w:numPr>
        <w:jc w:val="both"/>
        <w:rPr>
          <w:b/>
          <w:lang w:val="es-ES_tradnl"/>
        </w:rPr>
      </w:pPr>
      <w:r w:rsidRPr="00725A8F">
        <w:rPr>
          <w:b/>
          <w:lang w:val="es-ES_tradnl"/>
        </w:rPr>
        <w:t>P1:  ¿</w:t>
      </w:r>
      <w:r w:rsidR="008700A6" w:rsidRPr="00725A8F">
        <w:rPr>
          <w:b/>
          <w:lang w:val="es-ES_tradnl"/>
        </w:rPr>
        <w:t xml:space="preserve">Existe </w:t>
      </w:r>
      <w:r w:rsidRPr="00725A8F">
        <w:rPr>
          <w:b/>
          <w:lang w:val="es-ES_tradnl"/>
        </w:rPr>
        <w:t xml:space="preserve">alguna asignación presupuestaria para nuevas oficinas en el exterior? </w:t>
      </w:r>
    </w:p>
    <w:p w:rsidR="00C25DAA" w:rsidRPr="00725A8F" w:rsidRDefault="00C25DAA" w:rsidP="0060117F">
      <w:pPr>
        <w:jc w:val="both"/>
        <w:rPr>
          <w:lang w:val="es-ES_tradnl"/>
        </w:rPr>
      </w:pPr>
      <w:r w:rsidRPr="00725A8F">
        <w:rPr>
          <w:lang w:val="es-ES_tradnl"/>
        </w:rPr>
        <w:t>R1:  En caso de que los Estados miembros acordaran la apertura de nuevas oficinas en el exterior en</w:t>
      </w:r>
      <w:r w:rsidR="0060117F">
        <w:rPr>
          <w:lang w:val="es-ES_tradnl"/>
        </w:rPr>
        <w:t> </w:t>
      </w:r>
      <w:r w:rsidRPr="00725A8F">
        <w:rPr>
          <w:lang w:val="es-ES_tradnl"/>
        </w:rPr>
        <w:t>2016/17, podrían financi</w:t>
      </w:r>
      <w:r w:rsidR="0060117F">
        <w:rPr>
          <w:lang w:val="es-ES_tradnl"/>
        </w:rPr>
        <w:t>arse con cargo a la dotación de </w:t>
      </w:r>
      <w:r w:rsidRPr="00725A8F">
        <w:rPr>
          <w:lang w:val="es-ES_tradnl"/>
        </w:rPr>
        <w:t>1</w:t>
      </w:r>
      <w:r w:rsidR="0060117F">
        <w:rPr>
          <w:lang w:val="es-ES_tradnl"/>
        </w:rPr>
        <w:t> </w:t>
      </w:r>
      <w:r w:rsidRPr="00725A8F">
        <w:rPr>
          <w:lang w:val="es-ES_tradnl"/>
        </w:rPr>
        <w:t xml:space="preserve">millón de francos suizos consignada en concepto de recursos </w:t>
      </w:r>
      <w:r w:rsidR="0044765B">
        <w:rPr>
          <w:lang w:val="es-ES_tradnl"/>
        </w:rPr>
        <w:t>no relativos a personal</w:t>
      </w:r>
      <w:r w:rsidR="0026751D" w:rsidRPr="00725A8F">
        <w:rPr>
          <w:lang w:val="es-ES_tradnl"/>
        </w:rPr>
        <w:t xml:space="preserve"> en la categoría </w:t>
      </w:r>
      <w:r w:rsidR="0085234C">
        <w:rPr>
          <w:lang w:val="es-ES_tradnl"/>
        </w:rPr>
        <w:t>“</w:t>
      </w:r>
      <w:r w:rsidR="0044765B">
        <w:rPr>
          <w:lang w:val="es-ES_tradnl"/>
        </w:rPr>
        <w:t>Sin consignar</w:t>
      </w:r>
      <w:r w:rsidR="0085234C">
        <w:rPr>
          <w:lang w:val="es-ES_tradnl"/>
        </w:rPr>
        <w:t>”</w:t>
      </w:r>
      <w:r w:rsidRPr="00725A8F">
        <w:rPr>
          <w:lang w:val="es-ES_tradnl"/>
        </w:rPr>
        <w:t>.</w:t>
      </w:r>
    </w:p>
    <w:p w:rsidR="00C25DAA" w:rsidRPr="00725A8F" w:rsidRDefault="00C25DAA" w:rsidP="0060117F">
      <w:pPr>
        <w:rPr>
          <w:lang w:val="es-ES_tradnl"/>
        </w:rPr>
      </w:pPr>
    </w:p>
    <w:p w:rsidR="005B362A" w:rsidRPr="00725A8F" w:rsidRDefault="005B362A" w:rsidP="0060117F">
      <w:pPr>
        <w:rPr>
          <w:lang w:val="es-ES_tradnl"/>
        </w:rPr>
      </w:pPr>
    </w:p>
    <w:p w:rsidR="00C25DAA" w:rsidRPr="00725A8F" w:rsidRDefault="007D5422" w:rsidP="0060117F">
      <w:pPr>
        <w:pStyle w:val="ONUME"/>
        <w:keepNext/>
        <w:keepLines/>
        <w:numPr>
          <w:ilvl w:val="0"/>
          <w:numId w:val="0"/>
        </w:numPr>
        <w:jc w:val="both"/>
        <w:rPr>
          <w:b/>
          <w:bCs/>
          <w:lang w:val="es-ES_tradnl"/>
        </w:rPr>
      </w:pPr>
      <w:r w:rsidRPr="00725A8F">
        <w:rPr>
          <w:b/>
          <w:lang w:val="es-ES_tradnl"/>
        </w:rPr>
        <w:t>P2:  ¿Q</w:t>
      </w:r>
      <w:r w:rsidR="0060117F">
        <w:rPr>
          <w:b/>
          <w:lang w:val="es-ES_tradnl"/>
        </w:rPr>
        <w:t>ué ocurriría con la dotación de 1 </w:t>
      </w:r>
      <w:r w:rsidRPr="00725A8F">
        <w:rPr>
          <w:b/>
          <w:lang w:val="es-ES_tradnl"/>
        </w:rPr>
        <w:t>millón de francos suizo</w:t>
      </w:r>
      <w:r w:rsidR="0026751D" w:rsidRPr="00725A8F">
        <w:rPr>
          <w:b/>
          <w:lang w:val="es-ES_tradnl"/>
        </w:rPr>
        <w:t xml:space="preserve">s comprendida en la categoría </w:t>
      </w:r>
      <w:r w:rsidR="0085234C">
        <w:rPr>
          <w:b/>
          <w:lang w:val="es-ES_tradnl"/>
        </w:rPr>
        <w:t>“</w:t>
      </w:r>
      <w:r w:rsidR="0044765B">
        <w:rPr>
          <w:b/>
          <w:lang w:val="es-ES_tradnl"/>
        </w:rPr>
        <w:t>Sin consignar</w:t>
      </w:r>
      <w:r w:rsidR="0085234C">
        <w:rPr>
          <w:b/>
          <w:lang w:val="es-ES_tradnl"/>
        </w:rPr>
        <w:t>”</w:t>
      </w:r>
      <w:r w:rsidRPr="00725A8F">
        <w:rPr>
          <w:b/>
          <w:lang w:val="es-ES_tradnl"/>
        </w:rPr>
        <w:t xml:space="preserve"> si no se adoptase ninguna decisión acerca de la apertura de nuevas oficinas en el exterior?</w:t>
      </w:r>
    </w:p>
    <w:p w:rsidR="00C739E9" w:rsidRPr="00725A8F" w:rsidRDefault="00C25DAA" w:rsidP="0060117F">
      <w:pPr>
        <w:keepNext/>
        <w:keepLines/>
        <w:jc w:val="both"/>
        <w:rPr>
          <w:bCs/>
          <w:lang w:val="es-ES_tradnl"/>
        </w:rPr>
      </w:pPr>
      <w:r w:rsidRPr="00725A8F">
        <w:rPr>
          <w:lang w:val="es-ES_tradnl"/>
        </w:rPr>
        <w:t>R2:  Si esta dotación no se consumie</w:t>
      </w:r>
      <w:r w:rsidR="0060117F">
        <w:rPr>
          <w:lang w:val="es-ES_tradnl"/>
        </w:rPr>
        <w:t>ra en el bienio </w:t>
      </w:r>
      <w:r w:rsidRPr="00725A8F">
        <w:rPr>
          <w:lang w:val="es-ES_tradnl"/>
        </w:rPr>
        <w:t>2016/17, pasaría a engrosar el resultado de explotación estimado de</w:t>
      </w:r>
      <w:r w:rsidR="0060117F">
        <w:rPr>
          <w:lang w:val="es-ES_tradnl"/>
        </w:rPr>
        <w:t> 20,8 </w:t>
      </w:r>
      <w:r w:rsidRPr="00725A8F">
        <w:rPr>
          <w:lang w:val="es-ES_tradnl"/>
        </w:rPr>
        <w:t xml:space="preserve">millones de francos suizos al terminar el bienio. </w:t>
      </w:r>
    </w:p>
    <w:p w:rsidR="00771713" w:rsidRPr="00725A8F" w:rsidRDefault="00771713" w:rsidP="0060117F">
      <w:pPr>
        <w:keepNext/>
        <w:keepLines/>
        <w:rPr>
          <w:bCs/>
          <w:lang w:val="es-ES_tradnl"/>
        </w:rPr>
      </w:pPr>
    </w:p>
    <w:p w:rsidR="005B362A" w:rsidRPr="00725A8F" w:rsidRDefault="005B362A" w:rsidP="0060117F">
      <w:pPr>
        <w:keepNext/>
        <w:keepLines/>
        <w:rPr>
          <w:lang w:val="es-ES_tradnl"/>
        </w:rPr>
      </w:pPr>
    </w:p>
    <w:p w:rsidR="00BF7473" w:rsidRPr="00725A8F" w:rsidRDefault="00BF7473" w:rsidP="0060117F">
      <w:pPr>
        <w:jc w:val="both"/>
        <w:rPr>
          <w:b/>
          <w:lang w:val="es-ES_tradnl"/>
        </w:rPr>
      </w:pPr>
      <w:r w:rsidRPr="00725A8F">
        <w:rPr>
          <w:b/>
          <w:lang w:val="es-ES_tradnl"/>
        </w:rPr>
        <w:t xml:space="preserve">P3:  ¿Qué razones justifican el cierre previsto de la Oficina en Nueva York? </w:t>
      </w:r>
    </w:p>
    <w:p w:rsidR="001B73A1" w:rsidRPr="00725A8F" w:rsidRDefault="001B73A1" w:rsidP="0060117F">
      <w:pPr>
        <w:jc w:val="both"/>
        <w:rPr>
          <w:u w:val="single"/>
          <w:lang w:val="es-ES_tradnl"/>
        </w:rPr>
      </w:pPr>
    </w:p>
    <w:p w:rsidR="001E5E88" w:rsidRPr="00725A8F" w:rsidRDefault="00BF7473" w:rsidP="0060117F">
      <w:pPr>
        <w:jc w:val="both"/>
        <w:rPr>
          <w:bCs/>
          <w:lang w:val="es-ES_tradnl"/>
        </w:rPr>
      </w:pPr>
      <w:r w:rsidRPr="00725A8F">
        <w:rPr>
          <w:lang w:val="es-ES_tradnl"/>
        </w:rPr>
        <w:t>R3:  La mayoría de las actividades de coordinación y colaboración con las NN.UU. y sus principales procesos de negociación, como por ejemplo las cuestiones relativas a la Junta de los Jefes Ejecutivos, el Comité de Alto Nivel sobre Gestión, el Comité de Alto Nivel sobre Programas, la Agenda para el Desarrollo posterior a</w:t>
      </w:r>
      <w:r w:rsidR="0060117F">
        <w:rPr>
          <w:lang w:val="es-ES_tradnl"/>
        </w:rPr>
        <w:t> </w:t>
      </w:r>
      <w:r w:rsidRPr="00725A8F">
        <w:rPr>
          <w:lang w:val="es-ES_tradnl"/>
        </w:rPr>
        <w:t>2015 (Objetivos de Desarrollo Sostenible) y el cambio climático, ya se ejercen en la actualidad desde la sede de la OMPI en Ginebra</w:t>
      </w:r>
      <w:r w:rsidR="0085234C">
        <w:rPr>
          <w:lang w:val="es-ES_tradnl"/>
        </w:rPr>
        <w:t xml:space="preserve">. </w:t>
      </w:r>
      <w:r w:rsidRPr="00725A8F">
        <w:rPr>
          <w:lang w:val="es-ES_tradnl"/>
        </w:rPr>
        <w:t xml:space="preserve">Aunque la labor </w:t>
      </w:r>
      <w:r w:rsidR="00CB4F9B" w:rsidRPr="00725A8F">
        <w:rPr>
          <w:lang w:val="es-ES_tradnl"/>
        </w:rPr>
        <w:t xml:space="preserve">que desarrolla </w:t>
      </w:r>
      <w:r w:rsidRPr="00725A8F">
        <w:rPr>
          <w:lang w:val="es-ES_tradnl"/>
        </w:rPr>
        <w:t>la Oficina de Coordinación de la OMPI ante las NN.UU. en Nueva York proseguirá en el próximo bienio, se propone que el actual modelo operativo, a través de una oficina física ubicada en Nueva York, sól</w:t>
      </w:r>
      <w:r w:rsidR="0060117F">
        <w:rPr>
          <w:lang w:val="es-ES_tradnl"/>
        </w:rPr>
        <w:t>o se mantenga hasta el final de </w:t>
      </w:r>
      <w:r w:rsidRPr="00725A8F">
        <w:rPr>
          <w:lang w:val="es-ES_tradnl"/>
        </w:rPr>
        <w:t xml:space="preserve">2016. </w:t>
      </w:r>
    </w:p>
    <w:p w:rsidR="001E5E88" w:rsidRPr="00725A8F" w:rsidRDefault="001E5E88" w:rsidP="0060117F">
      <w:pPr>
        <w:rPr>
          <w:sz w:val="24"/>
          <w:szCs w:val="24"/>
          <w:lang w:val="es-ES_tradnl"/>
        </w:rPr>
      </w:pPr>
    </w:p>
    <w:p w:rsidR="00A32C91" w:rsidRPr="00725A8F" w:rsidRDefault="00A32C91" w:rsidP="0060117F">
      <w:pPr>
        <w:rPr>
          <w:sz w:val="24"/>
          <w:szCs w:val="24"/>
          <w:lang w:val="es-ES_tradnl"/>
        </w:rPr>
      </w:pPr>
    </w:p>
    <w:p w:rsidR="002F446C" w:rsidRPr="00725A8F" w:rsidRDefault="002F446C" w:rsidP="0060117F">
      <w:pPr>
        <w:keepNext/>
        <w:tabs>
          <w:tab w:val="num" w:pos="720"/>
        </w:tabs>
        <w:jc w:val="both"/>
        <w:rPr>
          <w:b/>
          <w:lang w:val="es-ES_tradnl"/>
        </w:rPr>
      </w:pPr>
      <w:r w:rsidRPr="00725A8F">
        <w:rPr>
          <w:b/>
          <w:lang w:val="es-ES_tradnl"/>
        </w:rPr>
        <w:lastRenderedPageBreak/>
        <w:t>P4:  ¿Por qué el marco de planificación de las oficinas en el exterior se presenta de forma tan globalizada?</w:t>
      </w:r>
    </w:p>
    <w:p w:rsidR="002F446C" w:rsidRPr="00725A8F" w:rsidRDefault="002F446C" w:rsidP="0060117F">
      <w:pPr>
        <w:pStyle w:val="ListParagraph"/>
        <w:keepNext/>
        <w:ind w:left="0"/>
        <w:jc w:val="both"/>
        <w:rPr>
          <w:rFonts w:ascii="Arial"/>
          <w:lang w:val="es-ES_tradnl"/>
        </w:rPr>
      </w:pPr>
    </w:p>
    <w:p w:rsidR="002F446C" w:rsidRPr="00725A8F" w:rsidRDefault="002F446C" w:rsidP="0060117F">
      <w:pPr>
        <w:jc w:val="both"/>
        <w:rPr>
          <w:lang w:val="es-ES_tradnl"/>
        </w:rPr>
      </w:pPr>
      <w:r w:rsidRPr="00725A8F">
        <w:rPr>
          <w:lang w:val="es-ES_tradnl"/>
        </w:rPr>
        <w:t>R4:</w:t>
      </w:r>
      <w:r w:rsidR="0060117F">
        <w:rPr>
          <w:lang w:val="es-ES_tradnl"/>
        </w:rPr>
        <w:t xml:space="preserve"> </w:t>
      </w:r>
      <w:r w:rsidRPr="00725A8F">
        <w:rPr>
          <w:lang w:val="es-ES_tradnl"/>
        </w:rPr>
        <w:t xml:space="preserve"> La Secretaría ha desplegado un esfuerzo considerable para formular el presupuesto por programas de</w:t>
      </w:r>
      <w:r w:rsidR="0060117F">
        <w:rPr>
          <w:lang w:val="es-ES_tradnl"/>
        </w:rPr>
        <w:t> </w:t>
      </w:r>
      <w:r w:rsidRPr="00725A8F">
        <w:rPr>
          <w:lang w:val="es-ES_tradnl"/>
        </w:rPr>
        <w:t xml:space="preserve">2016/17, con la participación de representantes de las oficinas </w:t>
      </w:r>
      <w:r w:rsidR="00465EAF" w:rsidRPr="00725A8F">
        <w:rPr>
          <w:lang w:val="es-ES_tradnl"/>
        </w:rPr>
        <w:t xml:space="preserve">de la OMPI </w:t>
      </w:r>
      <w:r w:rsidRPr="00725A8F">
        <w:rPr>
          <w:lang w:val="es-ES_tradnl"/>
        </w:rPr>
        <w:t>en el exterior, con miras a elaborar, coordinar y armonizar el marco de resultados para las oficinas</w:t>
      </w:r>
      <w:r w:rsidR="0085234C">
        <w:rPr>
          <w:lang w:val="es-ES_tradnl"/>
        </w:rPr>
        <w:t xml:space="preserve">. </w:t>
      </w:r>
      <w:r w:rsidRPr="00725A8F">
        <w:rPr>
          <w:lang w:val="es-ES_tradnl"/>
        </w:rPr>
        <w:t>Se ha conseguido así un marco de resultados muy exhausti</w:t>
      </w:r>
      <w:r w:rsidR="0060117F">
        <w:rPr>
          <w:lang w:val="es-ES_tradnl"/>
        </w:rPr>
        <w:t>vo y detallado para el programa </w:t>
      </w:r>
      <w:r w:rsidRPr="00725A8F">
        <w:rPr>
          <w:lang w:val="es-ES_tradnl"/>
        </w:rPr>
        <w:t xml:space="preserve">20, con indicadores claros y cuantificables y referencias y objetivos diferenciados para cada una de las oficinas. </w:t>
      </w:r>
    </w:p>
    <w:p w:rsidR="00A32C91" w:rsidRPr="00725A8F" w:rsidRDefault="00A32C91" w:rsidP="0060117F">
      <w:pPr>
        <w:tabs>
          <w:tab w:val="num" w:pos="720"/>
        </w:tabs>
        <w:rPr>
          <w:b/>
          <w:lang w:val="es-ES_tradnl"/>
        </w:rPr>
      </w:pPr>
    </w:p>
    <w:p w:rsidR="00A32C91" w:rsidRPr="00725A8F" w:rsidRDefault="00A32C91" w:rsidP="0060117F">
      <w:pPr>
        <w:tabs>
          <w:tab w:val="num" w:pos="720"/>
        </w:tabs>
        <w:rPr>
          <w:b/>
          <w:lang w:val="es-ES_tradnl"/>
        </w:rPr>
      </w:pPr>
    </w:p>
    <w:p w:rsidR="002F446C" w:rsidRPr="00725A8F" w:rsidRDefault="002F446C" w:rsidP="0060117F">
      <w:pPr>
        <w:tabs>
          <w:tab w:val="num" w:pos="720"/>
        </w:tabs>
        <w:rPr>
          <w:lang w:val="es-ES_tradnl"/>
        </w:rPr>
      </w:pPr>
      <w:r w:rsidRPr="00725A8F">
        <w:rPr>
          <w:b/>
          <w:lang w:val="es-ES_tradnl"/>
        </w:rPr>
        <w:t>P5:  ¿Cómo se desglosa el presupuesto propuesto entre cada una de las oficinas en el exterior?</w:t>
      </w:r>
    </w:p>
    <w:p w:rsidR="002F446C" w:rsidRPr="00725A8F" w:rsidRDefault="002F446C" w:rsidP="0060117F">
      <w:pPr>
        <w:rPr>
          <w:sz w:val="24"/>
          <w:szCs w:val="24"/>
          <w:lang w:val="es-ES_tradnl"/>
        </w:rPr>
      </w:pPr>
    </w:p>
    <w:p w:rsidR="00473AFA" w:rsidRPr="00725A8F" w:rsidRDefault="002F446C" w:rsidP="0060117F">
      <w:pPr>
        <w:rPr>
          <w:szCs w:val="22"/>
          <w:lang w:val="es-ES_tradnl"/>
        </w:rPr>
      </w:pPr>
      <w:r w:rsidRPr="00725A8F">
        <w:rPr>
          <w:lang w:val="es-ES_tradnl"/>
        </w:rPr>
        <w:t>R5:  En el siguiente cuadro se desglosa el presupuesto propuesto entre cada una de las oficinas en el exterior Las oficinas en el exterior forman parte del programa</w:t>
      </w:r>
      <w:r w:rsidR="0060117F">
        <w:rPr>
          <w:lang w:val="es-ES_tradnl"/>
        </w:rPr>
        <w:t> </w:t>
      </w:r>
      <w:r w:rsidRPr="00725A8F">
        <w:rPr>
          <w:lang w:val="es-ES_tradnl"/>
        </w:rPr>
        <w:t>20.</w:t>
      </w:r>
    </w:p>
    <w:p w:rsidR="003274D7" w:rsidRPr="00725A8F" w:rsidRDefault="003274D7" w:rsidP="0060117F">
      <w:pPr>
        <w:rPr>
          <w:lang w:val="es-ES_tradnl" w:eastAsia="zh-CN" w:bidi="ar-SA"/>
        </w:rPr>
      </w:pPr>
    </w:p>
    <w:tbl>
      <w:tblPr>
        <w:tblStyle w:val="TableGrid"/>
        <w:tblW w:w="8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2"/>
        <w:gridCol w:w="236"/>
        <w:gridCol w:w="1465"/>
        <w:gridCol w:w="1559"/>
        <w:gridCol w:w="993"/>
        <w:gridCol w:w="76"/>
      </w:tblGrid>
      <w:tr w:rsidR="0062187F" w:rsidRPr="00725A8F" w:rsidTr="0062187F">
        <w:trPr>
          <w:gridAfter w:val="1"/>
          <w:wAfter w:w="76" w:type="dxa"/>
          <w:jc w:val="center"/>
        </w:trPr>
        <w:tc>
          <w:tcPr>
            <w:tcW w:w="8315" w:type="dxa"/>
            <w:gridSpan w:val="5"/>
            <w:vAlign w:val="center"/>
          </w:tcPr>
          <w:p w:rsidR="0062187F" w:rsidRPr="00725A8F" w:rsidRDefault="0062187F" w:rsidP="0060117F">
            <w:pPr>
              <w:jc w:val="center"/>
              <w:rPr>
                <w:rFonts w:ascii="Arial Narrow" w:hAnsi="Arial Narrow"/>
                <w:b/>
                <w:bCs/>
                <w:sz w:val="18"/>
                <w:szCs w:val="18"/>
                <w:lang w:val="es-ES_tradnl"/>
              </w:rPr>
            </w:pPr>
            <w:r w:rsidRPr="00725A8F">
              <w:rPr>
                <w:rFonts w:ascii="Arial Narrow" w:hAnsi="Arial Narrow"/>
                <w:b/>
                <w:bCs/>
                <w:sz w:val="18"/>
                <w:szCs w:val="18"/>
                <w:lang w:val="es-ES_tradnl"/>
              </w:rPr>
              <w:t>Síntesis del presupuesto 2016/17</w:t>
            </w:r>
          </w:p>
          <w:p w:rsidR="0062187F" w:rsidRPr="00725A8F" w:rsidRDefault="0062187F" w:rsidP="0060117F">
            <w:pPr>
              <w:jc w:val="center"/>
              <w:rPr>
                <w:rFonts w:ascii="Arial Narrow" w:hAnsi="Arial Narrow"/>
                <w:b/>
                <w:bCs/>
                <w:sz w:val="18"/>
                <w:szCs w:val="18"/>
                <w:lang w:val="es-ES_tradnl"/>
              </w:rPr>
            </w:pPr>
            <w:r w:rsidRPr="00725A8F">
              <w:rPr>
                <w:rFonts w:ascii="Arial Narrow" w:hAnsi="Arial Narrow"/>
                <w:b/>
                <w:bCs/>
                <w:sz w:val="18"/>
                <w:szCs w:val="18"/>
                <w:lang w:val="es-ES_tradnl"/>
              </w:rPr>
              <w:t xml:space="preserve">por oficinas en el exterior y Oficina de Coordinación de la OMPI ante las NN.UU. en Nueva York </w:t>
            </w:r>
          </w:p>
          <w:p w:rsidR="0062187F" w:rsidRPr="00725A8F" w:rsidRDefault="0062187F" w:rsidP="0060117F">
            <w:pPr>
              <w:jc w:val="center"/>
              <w:rPr>
                <w:rFonts w:ascii="Arial Narrow" w:hAnsi="Arial Narrow"/>
                <w:i/>
                <w:iCs/>
                <w:sz w:val="18"/>
                <w:szCs w:val="18"/>
                <w:lang w:val="es-ES_tradnl"/>
              </w:rPr>
            </w:pPr>
            <w:r w:rsidRPr="00725A8F">
              <w:rPr>
                <w:rFonts w:ascii="Arial Narrow" w:hAnsi="Arial Narrow"/>
                <w:i/>
                <w:iCs/>
                <w:sz w:val="18"/>
                <w:szCs w:val="18"/>
                <w:lang w:val="es-ES_tradnl"/>
              </w:rPr>
              <w:t>(en miles de francos suizos)</w:t>
            </w:r>
          </w:p>
          <w:p w:rsidR="0062187F" w:rsidRPr="00725A8F" w:rsidRDefault="0062187F" w:rsidP="0060117F">
            <w:pPr>
              <w:jc w:val="center"/>
              <w:rPr>
                <w:rFonts w:ascii="Arial Narrow" w:hAnsi="Arial Narrow"/>
                <w:i/>
                <w:iCs/>
                <w:sz w:val="18"/>
                <w:szCs w:val="18"/>
                <w:lang w:val="es-ES_tradnl"/>
              </w:rPr>
            </w:pPr>
          </w:p>
        </w:tc>
      </w:tr>
      <w:tr w:rsidR="0062187F" w:rsidRPr="00725A8F" w:rsidTr="0062187F">
        <w:trPr>
          <w:jc w:val="center"/>
        </w:trPr>
        <w:tc>
          <w:tcPr>
            <w:tcW w:w="40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725A8F" w:rsidRDefault="0062187F" w:rsidP="0060117F">
            <w:pPr>
              <w:spacing w:before="40" w:after="20"/>
              <w:jc w:val="center"/>
              <w:rPr>
                <w:rFonts w:ascii="Arial Narrow" w:hAnsi="Arial Narrow"/>
                <w:i/>
                <w:iCs/>
                <w:sz w:val="18"/>
                <w:szCs w:val="18"/>
                <w:lang w:val="es-ES_tradnl"/>
              </w:rPr>
            </w:pPr>
            <w:r w:rsidRPr="00725A8F">
              <w:rPr>
                <w:rFonts w:ascii="Arial Narrow" w:hAnsi="Arial Narrow"/>
                <w:i/>
                <w:iCs/>
                <w:sz w:val="18"/>
                <w:szCs w:val="18"/>
                <w:lang w:val="es-ES_tradnl"/>
              </w:rPr>
              <w:t>Oficinas en el exterior</w:t>
            </w:r>
          </w:p>
        </w:tc>
        <w:tc>
          <w:tcPr>
            <w:tcW w:w="236" w:type="dxa"/>
            <w:tcBorders>
              <w:left w:val="single" w:sz="4" w:space="0" w:color="auto"/>
              <w:right w:val="single" w:sz="4" w:space="0" w:color="auto"/>
            </w:tcBorders>
            <w:shd w:val="clear" w:color="auto" w:fill="FFFFFF" w:themeFill="background1"/>
            <w:vAlign w:val="center"/>
          </w:tcPr>
          <w:p w:rsidR="0062187F" w:rsidRPr="00725A8F" w:rsidRDefault="0062187F" w:rsidP="0060117F">
            <w:pPr>
              <w:spacing w:before="40" w:after="20"/>
              <w:jc w:val="center"/>
              <w:rPr>
                <w:rFonts w:ascii="Arial Narrow" w:hAnsi="Arial Narrow"/>
                <w:i/>
                <w:iCs/>
                <w:sz w:val="18"/>
                <w:szCs w:val="18"/>
                <w:lang w:val="es-ES_tradnl"/>
              </w:rPr>
            </w:pP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725A8F" w:rsidRDefault="0062187F" w:rsidP="0060117F">
            <w:pPr>
              <w:spacing w:before="40" w:after="20"/>
              <w:jc w:val="center"/>
              <w:rPr>
                <w:rFonts w:ascii="Arial Narrow" w:hAnsi="Arial Narrow"/>
                <w:i/>
                <w:iCs/>
                <w:sz w:val="18"/>
                <w:szCs w:val="18"/>
                <w:lang w:val="es-ES_tradnl"/>
              </w:rPr>
            </w:pPr>
            <w:r w:rsidRPr="00725A8F">
              <w:rPr>
                <w:rFonts w:ascii="Arial Narrow" w:hAnsi="Arial Narrow"/>
                <w:i/>
                <w:iCs/>
                <w:sz w:val="18"/>
                <w:szCs w:val="18"/>
                <w:lang w:val="es-ES_tradnl"/>
              </w:rPr>
              <w:t>Personal</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725A8F" w:rsidRDefault="0062187F" w:rsidP="0060117F">
            <w:pPr>
              <w:spacing w:before="40" w:after="20"/>
              <w:jc w:val="center"/>
              <w:rPr>
                <w:rFonts w:ascii="Arial Narrow" w:hAnsi="Arial Narrow"/>
                <w:i/>
                <w:iCs/>
                <w:sz w:val="18"/>
                <w:szCs w:val="18"/>
                <w:lang w:val="es-ES_tradnl"/>
              </w:rPr>
            </w:pPr>
            <w:r w:rsidRPr="00725A8F">
              <w:rPr>
                <w:rFonts w:ascii="Arial Narrow" w:hAnsi="Arial Narrow"/>
                <w:i/>
                <w:iCs/>
                <w:sz w:val="18"/>
                <w:szCs w:val="18"/>
                <w:lang w:val="es-ES_tradnl"/>
              </w:rPr>
              <w:t>No relativo al personal</w:t>
            </w:r>
          </w:p>
        </w:tc>
        <w:tc>
          <w:tcPr>
            <w:tcW w:w="106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725A8F" w:rsidRDefault="0062187F" w:rsidP="0060117F">
            <w:pPr>
              <w:spacing w:before="40" w:after="20"/>
              <w:jc w:val="center"/>
              <w:rPr>
                <w:rFonts w:ascii="Arial Narrow" w:hAnsi="Arial Narrow"/>
                <w:i/>
                <w:iCs/>
                <w:sz w:val="18"/>
                <w:szCs w:val="18"/>
                <w:lang w:val="es-ES_tradnl"/>
              </w:rPr>
            </w:pPr>
            <w:r w:rsidRPr="00725A8F">
              <w:rPr>
                <w:rFonts w:ascii="Arial Narrow" w:hAnsi="Arial Narrow"/>
                <w:i/>
                <w:iCs/>
                <w:sz w:val="18"/>
                <w:szCs w:val="18"/>
                <w:lang w:val="es-ES_tradnl"/>
              </w:rPr>
              <w:t>Total</w:t>
            </w:r>
          </w:p>
        </w:tc>
      </w:tr>
      <w:tr w:rsidR="0062187F" w:rsidRPr="00725A8F" w:rsidTr="0062187F">
        <w:trPr>
          <w:jc w:val="center"/>
        </w:trPr>
        <w:tc>
          <w:tcPr>
            <w:tcW w:w="4062" w:type="dxa"/>
            <w:tcBorders>
              <w:top w:val="single" w:sz="4" w:space="0" w:color="auto"/>
            </w:tcBorders>
          </w:tcPr>
          <w:p w:rsidR="0062187F" w:rsidRPr="00725A8F" w:rsidRDefault="0062187F" w:rsidP="0060117F">
            <w:pPr>
              <w:spacing w:before="120"/>
              <w:rPr>
                <w:rFonts w:ascii="Arial Narrow" w:hAnsi="Arial Narrow"/>
                <w:sz w:val="18"/>
                <w:szCs w:val="18"/>
                <w:lang w:val="es-ES_tradnl"/>
              </w:rPr>
            </w:pPr>
            <w:r w:rsidRPr="00725A8F">
              <w:rPr>
                <w:rFonts w:ascii="Arial Narrow" w:hAnsi="Arial Narrow"/>
                <w:sz w:val="18"/>
                <w:szCs w:val="18"/>
                <w:lang w:val="es-ES_tradnl"/>
              </w:rPr>
              <w:t>Oficina de la OMPI en Singapur (OOS)</w:t>
            </w:r>
          </w:p>
        </w:tc>
        <w:tc>
          <w:tcPr>
            <w:tcW w:w="236" w:type="dxa"/>
          </w:tcPr>
          <w:p w:rsidR="0062187F" w:rsidRPr="00725A8F" w:rsidRDefault="0062187F" w:rsidP="0060117F">
            <w:pPr>
              <w:spacing w:before="120"/>
              <w:rPr>
                <w:rFonts w:ascii="Arial Narrow" w:hAnsi="Arial Narrow"/>
                <w:sz w:val="18"/>
                <w:szCs w:val="18"/>
                <w:lang w:val="es-ES_tradnl"/>
              </w:rPr>
            </w:pPr>
          </w:p>
        </w:tc>
        <w:tc>
          <w:tcPr>
            <w:tcW w:w="1465" w:type="dxa"/>
          </w:tcPr>
          <w:p w:rsidR="0062187F" w:rsidRPr="00725A8F" w:rsidRDefault="0062187F" w:rsidP="0060117F">
            <w:pPr>
              <w:spacing w:before="120"/>
              <w:ind w:right="176"/>
              <w:jc w:val="right"/>
              <w:rPr>
                <w:rFonts w:ascii="Arial Narrow" w:hAnsi="Arial Narrow"/>
                <w:sz w:val="18"/>
                <w:szCs w:val="18"/>
                <w:lang w:val="es-ES_tradnl"/>
              </w:rPr>
            </w:pPr>
            <w:r w:rsidRPr="00725A8F">
              <w:rPr>
                <w:rFonts w:ascii="Arial Narrow" w:hAnsi="Arial Narrow"/>
                <w:sz w:val="18"/>
                <w:szCs w:val="18"/>
                <w:lang w:val="es-ES_tradnl"/>
              </w:rPr>
              <w:t>1.785</w:t>
            </w:r>
          </w:p>
        </w:tc>
        <w:tc>
          <w:tcPr>
            <w:tcW w:w="1559" w:type="dxa"/>
          </w:tcPr>
          <w:p w:rsidR="0062187F" w:rsidRPr="00725A8F" w:rsidRDefault="0062187F" w:rsidP="0060117F">
            <w:pPr>
              <w:spacing w:before="120"/>
              <w:ind w:right="176"/>
              <w:jc w:val="right"/>
              <w:rPr>
                <w:rFonts w:ascii="Arial Narrow" w:hAnsi="Arial Narrow"/>
                <w:sz w:val="18"/>
                <w:szCs w:val="18"/>
                <w:lang w:val="es-ES_tradnl"/>
              </w:rPr>
            </w:pPr>
            <w:r w:rsidRPr="00725A8F">
              <w:rPr>
                <w:rFonts w:ascii="Arial Narrow" w:hAnsi="Arial Narrow"/>
                <w:sz w:val="18"/>
                <w:szCs w:val="18"/>
                <w:lang w:val="es-ES_tradnl"/>
              </w:rPr>
              <w:t>478</w:t>
            </w:r>
          </w:p>
        </w:tc>
        <w:tc>
          <w:tcPr>
            <w:tcW w:w="1069" w:type="dxa"/>
            <w:gridSpan w:val="2"/>
          </w:tcPr>
          <w:p w:rsidR="0062187F" w:rsidRPr="00725A8F" w:rsidRDefault="0062187F" w:rsidP="0060117F">
            <w:pPr>
              <w:spacing w:before="120"/>
              <w:ind w:right="176"/>
              <w:jc w:val="right"/>
              <w:rPr>
                <w:rFonts w:ascii="Arial Narrow" w:hAnsi="Arial Narrow"/>
                <w:sz w:val="18"/>
                <w:szCs w:val="18"/>
                <w:lang w:val="es-ES_tradnl"/>
              </w:rPr>
            </w:pPr>
            <w:r w:rsidRPr="00725A8F">
              <w:rPr>
                <w:rFonts w:ascii="Arial Narrow" w:hAnsi="Arial Narrow"/>
                <w:sz w:val="18"/>
                <w:szCs w:val="18"/>
                <w:lang w:val="es-ES_tradnl"/>
              </w:rPr>
              <w:t>2.263</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r w:rsidRPr="00725A8F">
              <w:rPr>
                <w:rFonts w:ascii="Arial Narrow" w:hAnsi="Arial Narrow"/>
                <w:sz w:val="18"/>
                <w:szCs w:val="18"/>
                <w:lang w:val="es-ES_tradnl"/>
              </w:rPr>
              <w:t>Oficina de la OMPI en el Brasil (OOB)</w:t>
            </w: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1.511</w:t>
            </w:r>
          </w:p>
        </w:tc>
        <w:tc>
          <w:tcPr>
            <w:tcW w:w="1559"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503</w:t>
            </w:r>
          </w:p>
        </w:tc>
        <w:tc>
          <w:tcPr>
            <w:tcW w:w="1069" w:type="dxa"/>
            <w:gridSpan w:val="2"/>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2.014</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r w:rsidRPr="00725A8F">
              <w:rPr>
                <w:rFonts w:ascii="Arial Narrow" w:hAnsi="Arial Narrow"/>
                <w:sz w:val="18"/>
                <w:szCs w:val="18"/>
                <w:lang w:val="es-ES_tradnl"/>
              </w:rPr>
              <w:t>Oficina de la OMPI en el Japón (OOJ)</w:t>
            </w: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872</w:t>
            </w:r>
          </w:p>
        </w:tc>
        <w:tc>
          <w:tcPr>
            <w:tcW w:w="1559"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200</w:t>
            </w:r>
          </w:p>
        </w:tc>
        <w:tc>
          <w:tcPr>
            <w:tcW w:w="1069" w:type="dxa"/>
            <w:gridSpan w:val="2"/>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1.072</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r w:rsidRPr="00725A8F">
              <w:rPr>
                <w:rFonts w:ascii="Arial Narrow" w:hAnsi="Arial Narrow"/>
                <w:sz w:val="18"/>
                <w:szCs w:val="18"/>
                <w:lang w:val="es-ES_tradnl"/>
              </w:rPr>
              <w:t>Oficina de la OMPI en China (OOC)</w:t>
            </w: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1.076</w:t>
            </w:r>
          </w:p>
        </w:tc>
        <w:tc>
          <w:tcPr>
            <w:tcW w:w="1559"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300</w:t>
            </w:r>
          </w:p>
        </w:tc>
        <w:tc>
          <w:tcPr>
            <w:tcW w:w="1069" w:type="dxa"/>
            <w:gridSpan w:val="2"/>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1.376</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r w:rsidRPr="00725A8F">
              <w:rPr>
                <w:rFonts w:ascii="Arial Narrow" w:hAnsi="Arial Narrow"/>
                <w:sz w:val="18"/>
                <w:szCs w:val="18"/>
                <w:lang w:val="es-ES_tradnl"/>
              </w:rPr>
              <w:t>Oficina de la OMPI en la Federación de Rusia (OOR)</w:t>
            </w: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409</w:t>
            </w:r>
          </w:p>
        </w:tc>
        <w:tc>
          <w:tcPr>
            <w:tcW w:w="1559"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300</w:t>
            </w:r>
          </w:p>
        </w:tc>
        <w:tc>
          <w:tcPr>
            <w:tcW w:w="1069" w:type="dxa"/>
            <w:gridSpan w:val="2"/>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709</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r w:rsidRPr="00725A8F">
              <w:rPr>
                <w:rFonts w:ascii="Arial Narrow" w:hAnsi="Arial Narrow"/>
                <w:sz w:val="18"/>
                <w:szCs w:val="18"/>
                <w:lang w:val="es-ES_tradnl"/>
              </w:rPr>
              <w:t xml:space="preserve">Oficina de Coordinación de la OMPI ante las Naciones Unidas en Nueva York </w:t>
            </w: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816</w:t>
            </w:r>
          </w:p>
        </w:tc>
        <w:tc>
          <w:tcPr>
            <w:tcW w:w="1559" w:type="dxa"/>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310</w:t>
            </w:r>
          </w:p>
        </w:tc>
        <w:tc>
          <w:tcPr>
            <w:tcW w:w="1069" w:type="dxa"/>
            <w:gridSpan w:val="2"/>
          </w:tcPr>
          <w:p w:rsidR="0062187F" w:rsidRPr="00725A8F" w:rsidRDefault="0062187F" w:rsidP="0060117F">
            <w:pPr>
              <w:ind w:right="176"/>
              <w:jc w:val="right"/>
              <w:rPr>
                <w:rFonts w:ascii="Arial Narrow" w:hAnsi="Arial Narrow"/>
                <w:sz w:val="18"/>
                <w:szCs w:val="18"/>
                <w:lang w:val="es-ES_tradnl"/>
              </w:rPr>
            </w:pPr>
            <w:r w:rsidRPr="00725A8F">
              <w:rPr>
                <w:rFonts w:ascii="Arial Narrow" w:hAnsi="Arial Narrow"/>
                <w:sz w:val="18"/>
                <w:szCs w:val="18"/>
                <w:lang w:val="es-ES_tradnl"/>
              </w:rPr>
              <w:t>1.126</w:t>
            </w:r>
          </w:p>
        </w:tc>
      </w:tr>
      <w:tr w:rsidR="0062187F" w:rsidRPr="00725A8F" w:rsidTr="0062187F">
        <w:trPr>
          <w:jc w:val="center"/>
        </w:trPr>
        <w:tc>
          <w:tcPr>
            <w:tcW w:w="4062" w:type="dxa"/>
          </w:tcPr>
          <w:p w:rsidR="0062187F" w:rsidRPr="00725A8F" w:rsidRDefault="0062187F" w:rsidP="0060117F">
            <w:pPr>
              <w:rPr>
                <w:rFonts w:ascii="Arial Narrow" w:hAnsi="Arial Narrow"/>
                <w:sz w:val="18"/>
                <w:szCs w:val="18"/>
                <w:lang w:val="es-ES_tradnl"/>
              </w:rPr>
            </w:pPr>
          </w:p>
        </w:tc>
        <w:tc>
          <w:tcPr>
            <w:tcW w:w="236" w:type="dxa"/>
          </w:tcPr>
          <w:p w:rsidR="0062187F" w:rsidRPr="00725A8F" w:rsidRDefault="0062187F" w:rsidP="0060117F">
            <w:pPr>
              <w:rPr>
                <w:rFonts w:ascii="Arial Narrow" w:hAnsi="Arial Narrow"/>
                <w:sz w:val="18"/>
                <w:szCs w:val="18"/>
                <w:lang w:val="es-ES_tradnl"/>
              </w:rPr>
            </w:pPr>
          </w:p>
        </w:tc>
        <w:tc>
          <w:tcPr>
            <w:tcW w:w="1465" w:type="dxa"/>
          </w:tcPr>
          <w:p w:rsidR="0062187F" w:rsidRPr="00725A8F" w:rsidRDefault="0062187F" w:rsidP="0060117F">
            <w:pPr>
              <w:ind w:right="176"/>
              <w:jc w:val="right"/>
              <w:rPr>
                <w:rFonts w:ascii="Arial Narrow" w:hAnsi="Arial Narrow"/>
                <w:sz w:val="18"/>
                <w:szCs w:val="18"/>
                <w:lang w:val="es-ES_tradnl"/>
              </w:rPr>
            </w:pPr>
          </w:p>
        </w:tc>
        <w:tc>
          <w:tcPr>
            <w:tcW w:w="1559" w:type="dxa"/>
          </w:tcPr>
          <w:p w:rsidR="0062187F" w:rsidRPr="00725A8F" w:rsidRDefault="0062187F" w:rsidP="0060117F">
            <w:pPr>
              <w:ind w:right="176"/>
              <w:jc w:val="right"/>
              <w:rPr>
                <w:rFonts w:ascii="Arial Narrow" w:hAnsi="Arial Narrow"/>
                <w:sz w:val="18"/>
                <w:szCs w:val="18"/>
                <w:lang w:val="es-ES_tradnl"/>
              </w:rPr>
            </w:pPr>
          </w:p>
        </w:tc>
        <w:tc>
          <w:tcPr>
            <w:tcW w:w="1069" w:type="dxa"/>
            <w:gridSpan w:val="2"/>
          </w:tcPr>
          <w:p w:rsidR="0062187F" w:rsidRPr="00725A8F" w:rsidRDefault="0062187F" w:rsidP="0060117F">
            <w:pPr>
              <w:ind w:right="176"/>
              <w:jc w:val="right"/>
              <w:rPr>
                <w:rFonts w:ascii="Arial Narrow" w:hAnsi="Arial Narrow"/>
                <w:sz w:val="18"/>
                <w:szCs w:val="18"/>
                <w:lang w:val="es-ES_tradnl"/>
              </w:rPr>
            </w:pPr>
          </w:p>
        </w:tc>
      </w:tr>
      <w:tr w:rsidR="0062187F" w:rsidRPr="00725A8F" w:rsidTr="0062187F">
        <w:trPr>
          <w:jc w:val="center"/>
        </w:trPr>
        <w:tc>
          <w:tcPr>
            <w:tcW w:w="4062" w:type="dxa"/>
            <w:tcBorders>
              <w:bottom w:val="single" w:sz="4" w:space="0" w:color="auto"/>
            </w:tcBorders>
          </w:tcPr>
          <w:p w:rsidR="0062187F" w:rsidRPr="00725A8F" w:rsidRDefault="0062187F" w:rsidP="0060117F">
            <w:pPr>
              <w:jc w:val="center"/>
              <w:rPr>
                <w:rFonts w:ascii="Arial Narrow" w:hAnsi="Arial Narrow"/>
                <w:b/>
                <w:bCs/>
                <w:sz w:val="18"/>
                <w:szCs w:val="18"/>
                <w:lang w:val="es-ES_tradnl"/>
              </w:rPr>
            </w:pPr>
            <w:r w:rsidRPr="00725A8F">
              <w:rPr>
                <w:rFonts w:ascii="Arial Narrow" w:hAnsi="Arial Narrow"/>
                <w:b/>
                <w:bCs/>
                <w:sz w:val="18"/>
                <w:szCs w:val="18"/>
                <w:lang w:val="es-ES_tradnl"/>
              </w:rPr>
              <w:t>Total, oficinas en el exterior</w:t>
            </w:r>
          </w:p>
        </w:tc>
        <w:tc>
          <w:tcPr>
            <w:tcW w:w="236" w:type="dxa"/>
          </w:tcPr>
          <w:p w:rsidR="0062187F" w:rsidRPr="00725A8F" w:rsidRDefault="0062187F" w:rsidP="0060117F">
            <w:pPr>
              <w:rPr>
                <w:rFonts w:ascii="Arial Narrow" w:hAnsi="Arial Narrow"/>
                <w:sz w:val="18"/>
                <w:szCs w:val="18"/>
                <w:lang w:val="es-ES_tradnl"/>
              </w:rPr>
            </w:pPr>
          </w:p>
        </w:tc>
        <w:tc>
          <w:tcPr>
            <w:tcW w:w="1465" w:type="dxa"/>
            <w:tcBorders>
              <w:bottom w:val="single" w:sz="4" w:space="0" w:color="auto"/>
            </w:tcBorders>
          </w:tcPr>
          <w:p w:rsidR="0062187F" w:rsidRPr="00725A8F" w:rsidRDefault="0062187F" w:rsidP="0060117F">
            <w:pPr>
              <w:ind w:right="176"/>
              <w:jc w:val="right"/>
              <w:rPr>
                <w:rFonts w:ascii="Arial Narrow" w:hAnsi="Arial Narrow"/>
                <w:b/>
                <w:bCs/>
                <w:sz w:val="18"/>
                <w:szCs w:val="18"/>
                <w:lang w:val="es-ES_tradnl"/>
              </w:rPr>
            </w:pPr>
            <w:r w:rsidRPr="00725A8F">
              <w:rPr>
                <w:rFonts w:ascii="Arial Narrow" w:hAnsi="Arial Narrow"/>
                <w:b/>
                <w:bCs/>
                <w:sz w:val="18"/>
                <w:szCs w:val="18"/>
                <w:lang w:val="es-ES_tradnl"/>
              </w:rPr>
              <w:t>6.469</w:t>
            </w:r>
          </w:p>
        </w:tc>
        <w:tc>
          <w:tcPr>
            <w:tcW w:w="1559" w:type="dxa"/>
            <w:tcBorders>
              <w:bottom w:val="single" w:sz="4" w:space="0" w:color="auto"/>
            </w:tcBorders>
          </w:tcPr>
          <w:p w:rsidR="0062187F" w:rsidRPr="00725A8F" w:rsidRDefault="0062187F" w:rsidP="0060117F">
            <w:pPr>
              <w:ind w:right="176"/>
              <w:jc w:val="right"/>
              <w:rPr>
                <w:rFonts w:ascii="Arial Narrow" w:hAnsi="Arial Narrow"/>
                <w:b/>
                <w:bCs/>
                <w:sz w:val="18"/>
                <w:szCs w:val="18"/>
                <w:lang w:val="es-ES_tradnl"/>
              </w:rPr>
            </w:pPr>
            <w:r w:rsidRPr="00725A8F">
              <w:rPr>
                <w:rFonts w:ascii="Arial Narrow" w:hAnsi="Arial Narrow"/>
                <w:b/>
                <w:bCs/>
                <w:sz w:val="18"/>
                <w:szCs w:val="18"/>
                <w:lang w:val="es-ES_tradnl"/>
              </w:rPr>
              <w:t>2.092</w:t>
            </w:r>
          </w:p>
        </w:tc>
        <w:tc>
          <w:tcPr>
            <w:tcW w:w="1069" w:type="dxa"/>
            <w:gridSpan w:val="2"/>
            <w:tcBorders>
              <w:bottom w:val="single" w:sz="4" w:space="0" w:color="auto"/>
            </w:tcBorders>
          </w:tcPr>
          <w:p w:rsidR="0062187F" w:rsidRPr="00725A8F" w:rsidRDefault="0062187F" w:rsidP="0060117F">
            <w:pPr>
              <w:ind w:right="176"/>
              <w:jc w:val="right"/>
              <w:rPr>
                <w:rFonts w:ascii="Arial Narrow" w:hAnsi="Arial Narrow"/>
                <w:b/>
                <w:bCs/>
                <w:sz w:val="18"/>
                <w:szCs w:val="18"/>
                <w:lang w:val="es-ES_tradnl"/>
              </w:rPr>
            </w:pPr>
            <w:r w:rsidRPr="00725A8F">
              <w:rPr>
                <w:rFonts w:ascii="Arial Narrow" w:hAnsi="Arial Narrow"/>
                <w:b/>
                <w:bCs/>
                <w:sz w:val="18"/>
                <w:szCs w:val="18"/>
                <w:lang w:val="es-ES_tradnl"/>
              </w:rPr>
              <w:t>8.561</w:t>
            </w:r>
          </w:p>
        </w:tc>
      </w:tr>
    </w:tbl>
    <w:p w:rsidR="0062187F" w:rsidRPr="00725A8F" w:rsidRDefault="0062187F" w:rsidP="0060117F">
      <w:pPr>
        <w:rPr>
          <w:szCs w:val="22"/>
          <w:lang w:val="es-ES_tradnl"/>
        </w:rPr>
      </w:pPr>
    </w:p>
    <w:p w:rsidR="00A6316D" w:rsidRPr="00725A8F" w:rsidRDefault="00C826CB" w:rsidP="0060117F">
      <w:pPr>
        <w:jc w:val="both"/>
        <w:rPr>
          <w:b/>
          <w:lang w:val="es-ES_tradnl"/>
        </w:rPr>
      </w:pPr>
      <w:r w:rsidRPr="00725A8F">
        <w:rPr>
          <w:b/>
          <w:lang w:val="es-ES_tradnl"/>
        </w:rPr>
        <w:t xml:space="preserve">P6: </w:t>
      </w:r>
      <w:r w:rsidR="0060117F">
        <w:rPr>
          <w:b/>
          <w:lang w:val="es-ES_tradnl"/>
        </w:rPr>
        <w:t xml:space="preserve"> </w:t>
      </w:r>
      <w:r w:rsidRPr="00725A8F">
        <w:rPr>
          <w:b/>
          <w:lang w:val="es-ES_tradnl"/>
        </w:rPr>
        <w:t>En el m</w:t>
      </w:r>
      <w:r w:rsidR="0060117F">
        <w:rPr>
          <w:b/>
          <w:lang w:val="es-ES_tradnl"/>
        </w:rPr>
        <w:t>arco de resultados del programa </w:t>
      </w:r>
      <w:r w:rsidRPr="00725A8F">
        <w:rPr>
          <w:b/>
          <w:lang w:val="es-ES_tradnl"/>
        </w:rPr>
        <w:t>19 (Comunicaciones), no queda clara la referenci</w:t>
      </w:r>
      <w:r w:rsidR="0060117F">
        <w:rPr>
          <w:b/>
          <w:lang w:val="es-ES_tradnl"/>
        </w:rPr>
        <w:t>a según la cual un </w:t>
      </w:r>
      <w:r w:rsidRPr="00725A8F">
        <w:rPr>
          <w:b/>
          <w:lang w:val="es-ES_tradnl"/>
        </w:rPr>
        <w:t xml:space="preserve">86% de los clientes de los </w:t>
      </w:r>
      <w:r w:rsidR="00914767" w:rsidRPr="00725A8F">
        <w:rPr>
          <w:b/>
          <w:lang w:val="es-ES_tradnl"/>
        </w:rPr>
        <w:t xml:space="preserve">Sistemas </w:t>
      </w:r>
      <w:r w:rsidRPr="00725A8F">
        <w:rPr>
          <w:b/>
          <w:lang w:val="es-ES_tradnl"/>
        </w:rPr>
        <w:t xml:space="preserve">de Madrid y La Haya están satisfechos o muy satisfechos. ¿Podría aclararla? </w:t>
      </w:r>
    </w:p>
    <w:p w:rsidR="00614807" w:rsidRPr="00725A8F" w:rsidRDefault="00614807" w:rsidP="0060117F">
      <w:pPr>
        <w:jc w:val="both"/>
        <w:rPr>
          <w:szCs w:val="22"/>
          <w:lang w:val="es-ES_tradnl"/>
        </w:rPr>
      </w:pPr>
    </w:p>
    <w:p w:rsidR="00C30BD7" w:rsidRPr="00725A8F" w:rsidRDefault="00C30BD7" w:rsidP="0060117F">
      <w:pPr>
        <w:jc w:val="both"/>
        <w:rPr>
          <w:b/>
          <w:lang w:val="es-ES_tradnl"/>
        </w:rPr>
      </w:pPr>
      <w:r w:rsidRPr="00725A8F">
        <w:rPr>
          <w:lang w:val="es-ES_tradnl"/>
        </w:rPr>
        <w:t>R6:</w:t>
      </w:r>
      <w:r w:rsidR="0060117F">
        <w:rPr>
          <w:lang w:val="es-ES_tradnl"/>
        </w:rPr>
        <w:t xml:space="preserve"> </w:t>
      </w:r>
      <w:r w:rsidRPr="00725A8F">
        <w:rPr>
          <w:lang w:val="es-ES_tradnl"/>
        </w:rPr>
        <w:t xml:space="preserve"> El </w:t>
      </w:r>
      <w:r w:rsidR="00465EAF" w:rsidRPr="00725A8F">
        <w:rPr>
          <w:lang w:val="es-ES_tradnl"/>
        </w:rPr>
        <w:t xml:space="preserve">tenor de </w:t>
      </w:r>
      <w:r w:rsidRPr="00725A8F">
        <w:rPr>
          <w:lang w:val="es-ES_tradnl"/>
        </w:rPr>
        <w:t xml:space="preserve">dicha referencia </w:t>
      </w:r>
      <w:r w:rsidR="0060117F">
        <w:rPr>
          <w:lang w:val="es-ES_tradnl"/>
        </w:rPr>
        <w:t>señala que un </w:t>
      </w:r>
      <w:r w:rsidRPr="00725A8F">
        <w:rPr>
          <w:lang w:val="es-ES_tradnl"/>
        </w:rPr>
        <w:t xml:space="preserve">86% de los clientes de los </w:t>
      </w:r>
      <w:r w:rsidR="00914767" w:rsidRPr="00725A8F">
        <w:rPr>
          <w:lang w:val="es-ES_tradnl"/>
        </w:rPr>
        <w:t xml:space="preserve">Sistemas </w:t>
      </w:r>
      <w:r w:rsidRPr="00725A8F">
        <w:rPr>
          <w:lang w:val="es-ES_tradnl"/>
        </w:rPr>
        <w:t xml:space="preserve">de Madrid y La Haya están satisfechos o muy satisfechos </w:t>
      </w:r>
      <w:r w:rsidRPr="00725A8F">
        <w:rPr>
          <w:i/>
          <w:lang w:val="es-ES_tradnl"/>
        </w:rPr>
        <w:t>con el nivel global de la prestación del servicio</w:t>
      </w:r>
      <w:r w:rsidRPr="00725A8F">
        <w:rPr>
          <w:lang w:val="es-ES_tradnl"/>
        </w:rPr>
        <w:t>, según se desprende de las encuestas realizadas e</w:t>
      </w:r>
      <w:r w:rsidR="0060117F">
        <w:rPr>
          <w:lang w:val="es-ES_tradnl"/>
        </w:rPr>
        <w:t>n 2013 en el marco del programa </w:t>
      </w:r>
      <w:r w:rsidRPr="00725A8F">
        <w:rPr>
          <w:lang w:val="es-ES_tradnl"/>
        </w:rPr>
        <w:t xml:space="preserve">19. La mejora en la prestación de servicios es uno de los resultados </w:t>
      </w:r>
      <w:r w:rsidR="0060117F">
        <w:rPr>
          <w:lang w:val="es-ES_tradnl"/>
        </w:rPr>
        <w:t>previstos a los que el programa </w:t>
      </w:r>
      <w:r w:rsidRPr="00725A8F">
        <w:rPr>
          <w:lang w:val="es-ES_tradnl"/>
        </w:rPr>
        <w:t>19 contr</w:t>
      </w:r>
      <w:r w:rsidR="0060117F">
        <w:rPr>
          <w:lang w:val="es-ES_tradnl"/>
        </w:rPr>
        <w:t>ibuye; en </w:t>
      </w:r>
      <w:r w:rsidRPr="00725A8F">
        <w:rPr>
          <w:lang w:val="es-ES_tradnl"/>
        </w:rPr>
        <w:t xml:space="preserve">2015 se </w:t>
      </w:r>
      <w:r w:rsidR="00465EAF" w:rsidRPr="00725A8F">
        <w:rPr>
          <w:lang w:val="es-ES_tradnl"/>
        </w:rPr>
        <w:t xml:space="preserve">está llevando a cabo </w:t>
      </w:r>
      <w:r w:rsidRPr="00725A8F">
        <w:rPr>
          <w:lang w:val="es-ES_tradnl"/>
        </w:rPr>
        <w:t>una encuesta entre usuarios del PCT y sus resultados se tendrán en cuenta para futuras cifras de referencia.</w:t>
      </w:r>
    </w:p>
    <w:p w:rsidR="00C30BD7" w:rsidRPr="00725A8F" w:rsidRDefault="00C30BD7" w:rsidP="0060117F">
      <w:pPr>
        <w:rPr>
          <w:szCs w:val="22"/>
          <w:lang w:val="es-ES_tradnl"/>
        </w:rPr>
      </w:pPr>
    </w:p>
    <w:p w:rsidR="00614807" w:rsidRPr="00725A8F" w:rsidRDefault="00614807" w:rsidP="0060117F">
      <w:pPr>
        <w:rPr>
          <w:sz w:val="24"/>
          <w:szCs w:val="24"/>
          <w:lang w:val="es-ES_tradnl"/>
        </w:rPr>
      </w:pPr>
    </w:p>
    <w:p w:rsidR="00CB0F2F" w:rsidRPr="00725A8F" w:rsidRDefault="004A4EB1" w:rsidP="0060117F">
      <w:pPr>
        <w:rPr>
          <w:sz w:val="24"/>
          <w:szCs w:val="24"/>
          <w:lang w:val="es-ES_tradnl"/>
        </w:rPr>
      </w:pPr>
      <w:r w:rsidRPr="00725A8F">
        <w:rPr>
          <w:sz w:val="24"/>
          <w:lang w:val="es-ES_tradnl"/>
        </w:rPr>
        <w:t xml:space="preserve">PREGUNTAS TRANSVERSALES </w:t>
      </w:r>
    </w:p>
    <w:p w:rsidR="00BA3CEE" w:rsidRPr="00725A8F" w:rsidRDefault="00BA3CEE" w:rsidP="0060117F">
      <w:pPr>
        <w:rPr>
          <w:b/>
          <w:sz w:val="24"/>
          <w:szCs w:val="24"/>
          <w:lang w:val="es-ES_tradnl"/>
        </w:rPr>
      </w:pPr>
    </w:p>
    <w:p w:rsidR="002F446C" w:rsidRPr="00725A8F" w:rsidRDefault="00FB354D" w:rsidP="0060117F">
      <w:pPr>
        <w:jc w:val="both"/>
        <w:rPr>
          <w:b/>
          <w:lang w:val="es-ES_tradnl"/>
        </w:rPr>
      </w:pPr>
      <w:r w:rsidRPr="00725A8F">
        <w:rPr>
          <w:b/>
          <w:lang w:val="es-ES_tradnl"/>
        </w:rPr>
        <w:t xml:space="preserve">P1.  Una serie de referencias y objetivos están </w:t>
      </w:r>
      <w:r w:rsidR="0085234C">
        <w:rPr>
          <w:b/>
          <w:lang w:val="es-ES_tradnl"/>
        </w:rPr>
        <w:t>“</w:t>
      </w:r>
      <w:r w:rsidR="00720700">
        <w:rPr>
          <w:b/>
          <w:lang w:val="es-ES_tradnl"/>
        </w:rPr>
        <w:t>por</w:t>
      </w:r>
      <w:r w:rsidRPr="00725A8F">
        <w:rPr>
          <w:b/>
          <w:lang w:val="es-ES_tradnl"/>
        </w:rPr>
        <w:t xml:space="preserve"> determinar</w:t>
      </w:r>
      <w:r w:rsidR="0085234C">
        <w:rPr>
          <w:b/>
          <w:lang w:val="es-ES_tradnl"/>
        </w:rPr>
        <w:t>”</w:t>
      </w:r>
      <w:r w:rsidRPr="00725A8F">
        <w:rPr>
          <w:b/>
          <w:lang w:val="es-ES_tradnl"/>
        </w:rPr>
        <w:t xml:space="preserve">, si bien en menor número que en </w:t>
      </w:r>
      <w:r w:rsidR="0060117F">
        <w:rPr>
          <w:b/>
          <w:lang w:val="es-ES_tradnl"/>
        </w:rPr>
        <w:t>el presupuesto por programas de </w:t>
      </w:r>
      <w:r w:rsidRPr="00725A8F">
        <w:rPr>
          <w:b/>
          <w:lang w:val="es-ES_tradnl"/>
        </w:rPr>
        <w:t>2014/15</w:t>
      </w:r>
      <w:r w:rsidR="0085234C">
        <w:rPr>
          <w:b/>
          <w:lang w:val="es-ES_tradnl"/>
        </w:rPr>
        <w:t xml:space="preserve">. </w:t>
      </w:r>
      <w:r w:rsidRPr="00725A8F">
        <w:rPr>
          <w:b/>
          <w:lang w:val="es-ES_tradnl"/>
        </w:rPr>
        <w:t xml:space="preserve">Dado que la indicación </w:t>
      </w:r>
      <w:r w:rsidR="0085234C">
        <w:rPr>
          <w:b/>
          <w:lang w:val="es-ES_tradnl"/>
        </w:rPr>
        <w:t>“</w:t>
      </w:r>
      <w:r w:rsidR="00720700">
        <w:rPr>
          <w:b/>
          <w:lang w:val="es-ES_tradnl"/>
        </w:rPr>
        <w:t>por</w:t>
      </w:r>
      <w:r w:rsidRPr="00725A8F">
        <w:rPr>
          <w:b/>
          <w:lang w:val="es-ES_tradnl"/>
        </w:rPr>
        <w:t xml:space="preserve"> determinar</w:t>
      </w:r>
      <w:r w:rsidR="0085234C">
        <w:rPr>
          <w:b/>
          <w:lang w:val="es-ES_tradnl"/>
        </w:rPr>
        <w:t>”</w:t>
      </w:r>
      <w:r w:rsidRPr="00725A8F">
        <w:rPr>
          <w:b/>
          <w:lang w:val="es-ES_tradnl"/>
        </w:rPr>
        <w:t xml:space="preserve"> no favorece la transparencia de la información, ¿por qué siguen sin definir</w:t>
      </w:r>
      <w:r w:rsidR="00CB4F9B" w:rsidRPr="00725A8F">
        <w:rPr>
          <w:b/>
          <w:lang w:val="es-ES_tradnl"/>
        </w:rPr>
        <w:t>se</w:t>
      </w:r>
      <w:r w:rsidRPr="00725A8F">
        <w:rPr>
          <w:b/>
          <w:lang w:val="es-ES_tradnl"/>
        </w:rPr>
        <w:t xml:space="preserve"> algunos objetivos y referencias?</w:t>
      </w:r>
    </w:p>
    <w:p w:rsidR="00FB354D" w:rsidRPr="00725A8F" w:rsidRDefault="00FB354D" w:rsidP="0060117F">
      <w:pPr>
        <w:jc w:val="both"/>
        <w:rPr>
          <w:lang w:val="es-ES_tradnl"/>
        </w:rPr>
      </w:pPr>
    </w:p>
    <w:p w:rsidR="00A735A1" w:rsidRPr="00725A8F" w:rsidRDefault="00473AFA" w:rsidP="0060117F">
      <w:pPr>
        <w:jc w:val="both"/>
        <w:rPr>
          <w:rFonts w:eastAsia="Times New Roman"/>
          <w:lang w:val="es-ES_tradnl"/>
        </w:rPr>
      </w:pPr>
      <w:r w:rsidRPr="00725A8F">
        <w:rPr>
          <w:lang w:val="es-ES_tradnl"/>
        </w:rPr>
        <w:t>R1: Como parte de sus procesos de mejora continua de la aplicación de la gestión por resultados en la OMPI, la Secretaría ha realizado un esfuerzo considerable para perfeccionar el marco de medición de todos los</w:t>
      </w:r>
      <w:r w:rsidR="0060117F">
        <w:rPr>
          <w:lang w:val="es-ES_tradnl"/>
        </w:rPr>
        <w:t xml:space="preserve"> programas en el bienio </w:t>
      </w:r>
      <w:r w:rsidRPr="00725A8F">
        <w:rPr>
          <w:lang w:val="es-ES_tradnl"/>
        </w:rPr>
        <w:t xml:space="preserve">2016/17. En consecuencia, el número de referencias </w:t>
      </w:r>
      <w:r w:rsidR="0085234C">
        <w:rPr>
          <w:lang w:val="es-ES_tradnl"/>
        </w:rPr>
        <w:t>“</w:t>
      </w:r>
      <w:r w:rsidR="00720700">
        <w:rPr>
          <w:lang w:val="es-ES_tradnl"/>
        </w:rPr>
        <w:t>por</w:t>
      </w:r>
      <w:r w:rsidRPr="00725A8F">
        <w:rPr>
          <w:lang w:val="es-ES_tradnl"/>
        </w:rPr>
        <w:t xml:space="preserve"> determinar</w:t>
      </w:r>
      <w:r w:rsidR="0085234C">
        <w:rPr>
          <w:lang w:val="es-ES_tradnl"/>
        </w:rPr>
        <w:t>”</w:t>
      </w:r>
      <w:r w:rsidRPr="00725A8F">
        <w:rPr>
          <w:lang w:val="es-ES_tradnl"/>
        </w:rPr>
        <w:t xml:space="preserve"> se ha reducido en un</w:t>
      </w:r>
      <w:r w:rsidR="0060117F">
        <w:rPr>
          <w:lang w:val="es-ES_tradnl"/>
        </w:rPr>
        <w:t> </w:t>
      </w:r>
      <w:r w:rsidRPr="00725A8F">
        <w:rPr>
          <w:lang w:val="es-ES_tradnl"/>
        </w:rPr>
        <w:t xml:space="preserve">82,5% en </w:t>
      </w:r>
      <w:r w:rsidR="0060117F">
        <w:rPr>
          <w:lang w:val="es-ES_tradnl"/>
        </w:rPr>
        <w:t>el presupuesto por programas de </w:t>
      </w:r>
      <w:r w:rsidRPr="00725A8F">
        <w:rPr>
          <w:lang w:val="es-ES_tradnl"/>
        </w:rPr>
        <w:t xml:space="preserve">2016/17 en comparación con </w:t>
      </w:r>
      <w:r w:rsidR="0060117F">
        <w:rPr>
          <w:lang w:val="es-ES_tradnl"/>
        </w:rPr>
        <w:t>el presupuesto por programas de 2014/15. Ahora sólo quedan 7 </w:t>
      </w:r>
      <w:r w:rsidRPr="00725A8F">
        <w:rPr>
          <w:lang w:val="es-ES_tradnl"/>
        </w:rPr>
        <w:t xml:space="preserve">referencias </w:t>
      </w:r>
      <w:r w:rsidR="0085234C">
        <w:rPr>
          <w:lang w:val="es-ES_tradnl"/>
        </w:rPr>
        <w:t>“</w:t>
      </w:r>
      <w:r w:rsidR="00720700">
        <w:rPr>
          <w:lang w:val="es-ES_tradnl"/>
        </w:rPr>
        <w:t>por</w:t>
      </w:r>
      <w:r w:rsidR="0060117F">
        <w:rPr>
          <w:lang w:val="es-ES_tradnl"/>
        </w:rPr>
        <w:t xml:space="preserve"> determinar</w:t>
      </w:r>
      <w:r w:rsidR="0085234C">
        <w:rPr>
          <w:lang w:val="es-ES_tradnl"/>
        </w:rPr>
        <w:t>”</w:t>
      </w:r>
      <w:r w:rsidR="0060117F">
        <w:rPr>
          <w:lang w:val="es-ES_tradnl"/>
        </w:rPr>
        <w:t xml:space="preserve"> frente a las </w:t>
      </w:r>
      <w:r w:rsidRPr="00725A8F">
        <w:rPr>
          <w:lang w:val="es-ES_tradnl"/>
        </w:rPr>
        <w:t>40 existentes en el pre</w:t>
      </w:r>
      <w:r w:rsidR="0060117F">
        <w:rPr>
          <w:lang w:val="es-ES_tradnl"/>
        </w:rPr>
        <w:t>supuesto por programas de </w:t>
      </w:r>
      <w:r w:rsidRPr="00725A8F">
        <w:rPr>
          <w:lang w:val="es-ES_tradnl"/>
        </w:rPr>
        <w:t>2014/15. En cuanto a los objetivos, puede observar</w:t>
      </w:r>
      <w:r w:rsidR="008917B9" w:rsidRPr="00725A8F">
        <w:rPr>
          <w:lang w:val="es-ES_tradnl"/>
        </w:rPr>
        <w:t>se</w:t>
      </w:r>
      <w:r w:rsidRPr="00725A8F">
        <w:rPr>
          <w:lang w:val="es-ES_tradnl"/>
        </w:rPr>
        <w:t xml:space="preserve"> la misma tendencia, de </w:t>
      </w:r>
      <w:r w:rsidRPr="00725A8F">
        <w:rPr>
          <w:lang w:val="es-ES_tradnl"/>
        </w:rPr>
        <w:lastRenderedPageBreak/>
        <w:t>forma que sólo hay</w:t>
      </w:r>
      <w:r w:rsidR="0060117F">
        <w:rPr>
          <w:lang w:val="es-ES_tradnl"/>
        </w:rPr>
        <w:t> 6 </w:t>
      </w:r>
      <w:r w:rsidRPr="00725A8F">
        <w:rPr>
          <w:lang w:val="es-ES_tradnl"/>
        </w:rPr>
        <w:t xml:space="preserve">objetivos </w:t>
      </w:r>
      <w:r w:rsidR="0085234C">
        <w:rPr>
          <w:lang w:val="es-ES_tradnl"/>
        </w:rPr>
        <w:t>“</w:t>
      </w:r>
      <w:r w:rsidR="00720700">
        <w:rPr>
          <w:lang w:val="es-ES_tradnl"/>
        </w:rPr>
        <w:t>por</w:t>
      </w:r>
      <w:r w:rsidRPr="00725A8F">
        <w:rPr>
          <w:lang w:val="es-ES_tradnl"/>
        </w:rPr>
        <w:t xml:space="preserve"> determinar</w:t>
      </w:r>
      <w:r w:rsidR="0085234C">
        <w:rPr>
          <w:lang w:val="es-ES_tradnl"/>
        </w:rPr>
        <w:t>”</w:t>
      </w:r>
      <w:r w:rsidRPr="00725A8F">
        <w:rPr>
          <w:lang w:val="es-ES_tradnl"/>
        </w:rPr>
        <w:t xml:space="preserve"> en </w:t>
      </w:r>
      <w:r w:rsidR="0060117F">
        <w:rPr>
          <w:lang w:val="es-ES_tradnl"/>
        </w:rPr>
        <w:t>el presupuesto por programas de </w:t>
      </w:r>
      <w:r w:rsidRPr="00725A8F">
        <w:rPr>
          <w:lang w:val="es-ES_tradnl"/>
        </w:rPr>
        <w:t>2016/17, lo que representa un</w:t>
      </w:r>
      <w:r w:rsidR="008917B9" w:rsidRPr="00725A8F">
        <w:rPr>
          <w:lang w:val="es-ES_tradnl"/>
        </w:rPr>
        <w:t>a</w:t>
      </w:r>
      <w:r w:rsidRPr="00725A8F">
        <w:rPr>
          <w:lang w:val="es-ES_tradnl"/>
        </w:rPr>
        <w:t xml:space="preserve"> </w:t>
      </w:r>
      <w:r w:rsidR="008917B9" w:rsidRPr="00725A8F">
        <w:rPr>
          <w:lang w:val="es-ES_tradnl"/>
        </w:rPr>
        <w:t xml:space="preserve">reducción </w:t>
      </w:r>
      <w:r w:rsidRPr="00725A8F">
        <w:rPr>
          <w:lang w:val="es-ES_tradnl"/>
        </w:rPr>
        <w:t>de</w:t>
      </w:r>
      <w:r w:rsidR="00465EAF" w:rsidRPr="00725A8F">
        <w:rPr>
          <w:lang w:val="es-ES_tradnl"/>
        </w:rPr>
        <w:t>l</w:t>
      </w:r>
      <w:r w:rsidR="0060117F">
        <w:rPr>
          <w:lang w:val="es-ES_tradnl"/>
        </w:rPr>
        <w:t> </w:t>
      </w:r>
      <w:r w:rsidRPr="00725A8F">
        <w:rPr>
          <w:lang w:val="es-ES_tradnl"/>
        </w:rPr>
        <w:t xml:space="preserve">62,5%. </w:t>
      </w:r>
    </w:p>
    <w:p w:rsidR="00473AFA" w:rsidRDefault="00473AFA" w:rsidP="0060117F">
      <w:pPr>
        <w:rPr>
          <w:lang w:val="es-ES_tradnl"/>
        </w:rPr>
      </w:pPr>
    </w:p>
    <w:p w:rsidR="0060117F" w:rsidRPr="00725A8F" w:rsidRDefault="0060117F" w:rsidP="0060117F">
      <w:pPr>
        <w:rPr>
          <w:lang w:val="es-ES_tradnl"/>
        </w:rPr>
      </w:pPr>
    </w:p>
    <w:p w:rsidR="00254825" w:rsidRPr="00725A8F" w:rsidRDefault="00254825" w:rsidP="0060117F">
      <w:pPr>
        <w:jc w:val="both"/>
        <w:rPr>
          <w:b/>
          <w:lang w:val="es-ES_tradnl"/>
        </w:rPr>
      </w:pPr>
      <w:r w:rsidRPr="00725A8F">
        <w:rPr>
          <w:b/>
          <w:lang w:val="es-ES_tradnl"/>
        </w:rPr>
        <w:t>P2.  ¿Po</w:t>
      </w:r>
      <w:r w:rsidR="0060117F">
        <w:rPr>
          <w:b/>
          <w:lang w:val="es-ES_tradnl"/>
        </w:rPr>
        <w:t>r qué, en el resultado previsto </w:t>
      </w:r>
      <w:r w:rsidRPr="00725A8F">
        <w:rPr>
          <w:b/>
          <w:lang w:val="es-ES_tradnl"/>
        </w:rPr>
        <w:t>II.7, tanto la referencia como el objetivo del indicador de rendimiento del programa</w:t>
      </w:r>
      <w:r w:rsidR="0060117F">
        <w:rPr>
          <w:b/>
          <w:lang w:val="es-ES_tradnl"/>
        </w:rPr>
        <w:t> </w:t>
      </w:r>
      <w:r w:rsidRPr="00725A8F">
        <w:rPr>
          <w:b/>
          <w:lang w:val="es-ES_tradnl"/>
        </w:rPr>
        <w:t xml:space="preserve">6 relativo a la </w:t>
      </w:r>
      <w:r w:rsidR="0085234C">
        <w:rPr>
          <w:b/>
          <w:lang w:val="es-ES_tradnl"/>
        </w:rPr>
        <w:t>“</w:t>
      </w:r>
      <w:r w:rsidRPr="00725A8F">
        <w:rPr>
          <w:b/>
          <w:lang w:val="es-ES_tradnl"/>
        </w:rPr>
        <w:t>calidad</w:t>
      </w:r>
      <w:r w:rsidR="0085234C">
        <w:rPr>
          <w:b/>
          <w:lang w:val="es-ES_tradnl"/>
        </w:rPr>
        <w:t>”</w:t>
      </w:r>
      <w:r w:rsidRPr="00725A8F">
        <w:rPr>
          <w:b/>
          <w:lang w:val="es-ES_tradnl"/>
        </w:rPr>
        <w:t xml:space="preserve"> (Mejora de la productividad y de la calidad de los servicios en las operaciones de los </w:t>
      </w:r>
      <w:r w:rsidR="00914767" w:rsidRPr="00725A8F">
        <w:rPr>
          <w:b/>
          <w:lang w:val="es-ES_tradnl"/>
        </w:rPr>
        <w:t xml:space="preserve">Sistemas </w:t>
      </w:r>
      <w:r w:rsidRPr="00725A8F">
        <w:rPr>
          <w:b/>
          <w:lang w:val="es-ES_tradnl"/>
        </w:rPr>
        <w:t xml:space="preserve">de Madrid y Lisboa) constan como </w:t>
      </w:r>
      <w:r w:rsidR="0085234C">
        <w:rPr>
          <w:b/>
          <w:lang w:val="es-ES_tradnl"/>
        </w:rPr>
        <w:t>“</w:t>
      </w:r>
      <w:r w:rsidR="00720700">
        <w:rPr>
          <w:b/>
          <w:lang w:val="es-ES_tradnl"/>
        </w:rPr>
        <w:t>por</w:t>
      </w:r>
      <w:r w:rsidRPr="00725A8F">
        <w:rPr>
          <w:b/>
          <w:lang w:val="es-ES_tradnl"/>
        </w:rPr>
        <w:t xml:space="preserve"> determinar</w:t>
      </w:r>
      <w:r w:rsidR="0085234C">
        <w:rPr>
          <w:b/>
          <w:lang w:val="es-ES_tradnl"/>
        </w:rPr>
        <w:t>”</w:t>
      </w:r>
      <w:r w:rsidRPr="00725A8F">
        <w:rPr>
          <w:b/>
          <w:lang w:val="es-ES_tradnl"/>
        </w:rPr>
        <w:t>?</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 xml:space="preserve">R2:  El indicador de rendimiento relativo a la </w:t>
      </w:r>
      <w:r w:rsidR="0085234C">
        <w:rPr>
          <w:lang w:val="es-ES_tradnl"/>
        </w:rPr>
        <w:t>“</w:t>
      </w:r>
      <w:r w:rsidRPr="00725A8F">
        <w:rPr>
          <w:lang w:val="es-ES_tradnl"/>
        </w:rPr>
        <w:t>ca</w:t>
      </w:r>
      <w:r w:rsidR="0060117F">
        <w:rPr>
          <w:lang w:val="es-ES_tradnl"/>
        </w:rPr>
        <w:t>lidad</w:t>
      </w:r>
      <w:r w:rsidR="0085234C">
        <w:rPr>
          <w:lang w:val="es-ES_tradnl"/>
        </w:rPr>
        <w:t>”</w:t>
      </w:r>
      <w:r w:rsidR="0060117F">
        <w:rPr>
          <w:lang w:val="es-ES_tradnl"/>
        </w:rPr>
        <w:t xml:space="preserve"> en el resultado previsto </w:t>
      </w:r>
      <w:r w:rsidRPr="00725A8F">
        <w:rPr>
          <w:lang w:val="es-ES_tradnl"/>
        </w:rPr>
        <w:t>II.7 es un indicador compu</w:t>
      </w:r>
      <w:r w:rsidR="0060117F">
        <w:rPr>
          <w:lang w:val="es-ES_tradnl"/>
        </w:rPr>
        <w:t>esto</w:t>
      </w:r>
      <w:r w:rsidR="0085234C">
        <w:rPr>
          <w:lang w:val="es-ES_tradnl"/>
        </w:rPr>
        <w:t xml:space="preserve">. </w:t>
      </w:r>
      <w:r w:rsidR="0060117F">
        <w:rPr>
          <w:lang w:val="es-ES_tradnl"/>
        </w:rPr>
        <w:t>Durante el resto del año </w:t>
      </w:r>
      <w:r w:rsidRPr="00725A8F">
        <w:rPr>
          <w:lang w:val="es-ES_tradnl"/>
        </w:rPr>
        <w:t>2015, está previsto perfeccionar los elementos de base que se utilizan para determinar los datos compuestos</w:t>
      </w:r>
      <w:r w:rsidR="0085234C">
        <w:rPr>
          <w:lang w:val="es-ES_tradnl"/>
        </w:rPr>
        <w:t xml:space="preserve">. </w:t>
      </w:r>
      <w:r w:rsidRPr="00725A8F">
        <w:rPr>
          <w:lang w:val="es-ES_tradnl"/>
        </w:rPr>
        <w:t>La referencia y el objetivo se definirán posteriormente con motivo de la actualización de la referencia.</w:t>
      </w:r>
    </w:p>
    <w:p w:rsidR="00254825" w:rsidRPr="00725A8F" w:rsidRDefault="00254825" w:rsidP="0060117F">
      <w:pPr>
        <w:rPr>
          <w:lang w:val="es-ES_tradnl"/>
        </w:rPr>
      </w:pPr>
    </w:p>
    <w:p w:rsidR="00254825" w:rsidRPr="00725A8F" w:rsidRDefault="00254825" w:rsidP="0060117F">
      <w:pPr>
        <w:rPr>
          <w:lang w:val="es-ES_tradnl"/>
        </w:rPr>
      </w:pPr>
    </w:p>
    <w:p w:rsidR="00254825" w:rsidRPr="00725A8F" w:rsidRDefault="00254825" w:rsidP="0060117F">
      <w:pPr>
        <w:jc w:val="both"/>
        <w:rPr>
          <w:b/>
          <w:lang w:val="es-ES_tradnl"/>
        </w:rPr>
      </w:pPr>
      <w:r w:rsidRPr="00725A8F">
        <w:rPr>
          <w:b/>
          <w:lang w:val="es-ES_tradnl"/>
        </w:rPr>
        <w:t>P3:</w:t>
      </w:r>
      <w:r w:rsidR="0060117F">
        <w:rPr>
          <w:b/>
          <w:lang w:val="es-ES_tradnl"/>
        </w:rPr>
        <w:t xml:space="preserve"> </w:t>
      </w:r>
      <w:r w:rsidRPr="00725A8F">
        <w:rPr>
          <w:b/>
          <w:lang w:val="es-ES_tradnl"/>
        </w:rPr>
        <w:t xml:space="preserve"> El gasto presupuestado total en la partida de loc</w:t>
      </w:r>
      <w:r w:rsidR="0060117F">
        <w:rPr>
          <w:b/>
          <w:lang w:val="es-ES_tradnl"/>
        </w:rPr>
        <w:t>ales y mantenimiento asciende a 34,3 </w:t>
      </w:r>
      <w:r w:rsidRPr="00725A8F">
        <w:rPr>
          <w:b/>
          <w:lang w:val="es-ES_tradnl"/>
        </w:rPr>
        <w:t xml:space="preserve">millones de francos suizos. ¿Qué clase de gastos están comprendidos en este concepto? ¿Podría desglosar estos gastos por programas? ¿Se incluyen los locales y mantenimiento correspondientes a las oficinas en el exterior? </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 xml:space="preserve">R3: </w:t>
      </w:r>
      <w:r w:rsidR="0060117F">
        <w:rPr>
          <w:lang w:val="es-ES_tradnl"/>
        </w:rPr>
        <w:t xml:space="preserve"> </w:t>
      </w:r>
      <w:r w:rsidRPr="00725A8F">
        <w:rPr>
          <w:lang w:val="es-ES_tradnl"/>
        </w:rPr>
        <w:t>La categoría de locales y mantenimiento engloba los gastos de adquisición, arrendamiento, mejora y mantenimiento de espacio de oficinas. así como el alquiler y mantenimiento de equipos y mobiliario. Véase en el Apéndice</w:t>
      </w:r>
      <w:r w:rsidR="0060117F">
        <w:rPr>
          <w:lang w:val="es-ES_tradnl"/>
        </w:rPr>
        <w:t> </w:t>
      </w:r>
      <w:r w:rsidRPr="00725A8F">
        <w:rPr>
          <w:lang w:val="es-ES_tradnl"/>
        </w:rPr>
        <w:t xml:space="preserve">B, </w:t>
      </w:r>
      <w:r w:rsidR="0085234C">
        <w:rPr>
          <w:lang w:val="es-ES_tradnl"/>
        </w:rPr>
        <w:t>“</w:t>
      </w:r>
      <w:r w:rsidRPr="00725A8F">
        <w:rPr>
          <w:lang w:val="es-ES_tradnl"/>
        </w:rPr>
        <w:t>Definición de categorías de costos</w:t>
      </w:r>
      <w:r w:rsidR="0085234C">
        <w:rPr>
          <w:lang w:val="es-ES_tradnl"/>
        </w:rPr>
        <w:t>”</w:t>
      </w:r>
      <w:r w:rsidRPr="00725A8F">
        <w:rPr>
          <w:lang w:val="es-ES_tradnl"/>
        </w:rPr>
        <w:t>, una definición completa de este capítulo de gasto.</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Los recursos totales asignados a la partida de locales y</w:t>
      </w:r>
      <w:r w:rsidR="0060117F">
        <w:rPr>
          <w:lang w:val="es-ES_tradnl"/>
        </w:rPr>
        <w:t xml:space="preserve"> mantenimiento se elevan a 34,3 </w:t>
      </w:r>
      <w:r w:rsidRPr="00725A8F">
        <w:rPr>
          <w:lang w:val="es-ES_tradnl"/>
        </w:rPr>
        <w:t>millones de francos suizos y se destinan,</w:t>
      </w:r>
      <w:r w:rsidR="0060117F">
        <w:rPr>
          <w:lang w:val="es-ES_tradnl"/>
        </w:rPr>
        <w:t xml:space="preserve"> en particular, a los programas 24 (20,2 </w:t>
      </w:r>
      <w:r w:rsidRPr="00725A8F">
        <w:rPr>
          <w:lang w:val="es-ES_tradnl"/>
        </w:rPr>
        <w:t>millo</w:t>
      </w:r>
      <w:r w:rsidR="0060117F">
        <w:rPr>
          <w:lang w:val="es-ES_tradnl"/>
        </w:rPr>
        <w:t>nes de francos suizos), 28 (8,0 </w:t>
      </w:r>
      <w:r w:rsidRPr="00725A8F">
        <w:rPr>
          <w:lang w:val="es-ES_tradnl"/>
        </w:rPr>
        <w:t>millo</w:t>
      </w:r>
      <w:r w:rsidR="0060117F">
        <w:rPr>
          <w:lang w:val="es-ES_tradnl"/>
        </w:rPr>
        <w:t>nes de francos suizos), 25 (3,6 </w:t>
      </w:r>
      <w:r w:rsidRPr="00725A8F">
        <w:rPr>
          <w:lang w:val="es-ES_tradnl"/>
        </w:rPr>
        <w:t>millo</w:t>
      </w:r>
      <w:r w:rsidR="0060117F">
        <w:rPr>
          <w:lang w:val="es-ES_tradnl"/>
        </w:rPr>
        <w:t>nes de francos suizos), 27 (1,0 </w:t>
      </w:r>
      <w:r w:rsidRPr="00725A8F">
        <w:rPr>
          <w:lang w:val="es-ES_tradnl"/>
        </w:rPr>
        <w:t>millón de francos suizos) y 20 (0,7 m</w:t>
      </w:r>
      <w:r w:rsidR="0060117F">
        <w:rPr>
          <w:lang w:val="es-ES_tradnl"/>
        </w:rPr>
        <w:t>illones de francos suizos). Los 0,8 </w:t>
      </w:r>
      <w:r w:rsidRPr="00725A8F">
        <w:rPr>
          <w:lang w:val="es-ES_tradnl"/>
        </w:rPr>
        <w:t xml:space="preserve">millones de francos suizos restantes </w:t>
      </w:r>
      <w:r w:rsidR="0060117F">
        <w:rPr>
          <w:lang w:val="es-ES_tradnl"/>
        </w:rPr>
        <w:t>están asignados a los programas 5, 3, 11, 22, 7 y </w:t>
      </w:r>
      <w:r w:rsidRPr="00725A8F">
        <w:rPr>
          <w:lang w:val="es-ES_tradnl"/>
        </w:rPr>
        <w:t>4, y corresponden fundamentalmente al alquiler y mantenimiento de equipos y mobiliario.</w:t>
      </w:r>
    </w:p>
    <w:p w:rsidR="00254825" w:rsidRPr="00725A8F" w:rsidRDefault="00254825" w:rsidP="0060117F">
      <w:pPr>
        <w:jc w:val="both"/>
        <w:rPr>
          <w:lang w:val="es-ES_tradnl"/>
        </w:rPr>
      </w:pPr>
      <w:r w:rsidRPr="00725A8F">
        <w:rPr>
          <w:lang w:val="es-ES_tradnl"/>
        </w:rPr>
        <w:t xml:space="preserve"> </w:t>
      </w:r>
    </w:p>
    <w:p w:rsidR="00254825" w:rsidRPr="00725A8F" w:rsidRDefault="00254825" w:rsidP="0060117F">
      <w:pPr>
        <w:jc w:val="both"/>
        <w:rPr>
          <w:lang w:val="es-ES_tradnl"/>
        </w:rPr>
      </w:pPr>
      <w:r w:rsidRPr="00725A8F">
        <w:rPr>
          <w:lang w:val="es-ES_tradnl"/>
        </w:rPr>
        <w:t>Los gastos en locales y mantenimiento de las oficinas en el exter</w:t>
      </w:r>
      <w:r w:rsidR="0060117F">
        <w:rPr>
          <w:lang w:val="es-ES_tradnl"/>
        </w:rPr>
        <w:t>ior se consignan en el programa 20, por un importe de </w:t>
      </w:r>
      <w:r w:rsidRPr="00725A8F">
        <w:rPr>
          <w:lang w:val="es-ES_tradnl"/>
        </w:rPr>
        <w:t>0</w:t>
      </w:r>
      <w:r w:rsidR="0060117F">
        <w:rPr>
          <w:lang w:val="es-ES_tradnl"/>
        </w:rPr>
        <w:t>,</w:t>
      </w:r>
      <w:r w:rsidRPr="00725A8F">
        <w:rPr>
          <w:lang w:val="es-ES_tradnl"/>
        </w:rPr>
        <w:t>7</w:t>
      </w:r>
      <w:r w:rsidR="0060117F">
        <w:rPr>
          <w:lang w:val="es-ES_tradnl"/>
        </w:rPr>
        <w:t> </w:t>
      </w:r>
      <w:r w:rsidRPr="00725A8F">
        <w:rPr>
          <w:lang w:val="es-ES_tradnl"/>
        </w:rPr>
        <w:t xml:space="preserve">millones de francos suizos, y corresponden al arrendamiento de espacio de oficinas. </w:t>
      </w:r>
    </w:p>
    <w:p w:rsidR="00254825" w:rsidRDefault="00254825" w:rsidP="0060117F">
      <w:pPr>
        <w:rPr>
          <w:sz w:val="24"/>
          <w:szCs w:val="24"/>
          <w:lang w:val="es-ES_tradnl"/>
        </w:rPr>
      </w:pPr>
    </w:p>
    <w:p w:rsidR="0060117F" w:rsidRPr="00725A8F" w:rsidRDefault="0060117F" w:rsidP="0060117F">
      <w:pPr>
        <w:rPr>
          <w:sz w:val="24"/>
          <w:szCs w:val="24"/>
          <w:lang w:val="es-ES_tradnl"/>
        </w:rPr>
      </w:pPr>
    </w:p>
    <w:p w:rsidR="00254825" w:rsidRPr="00725A8F" w:rsidRDefault="00254825" w:rsidP="0060117F">
      <w:pPr>
        <w:rPr>
          <w:b/>
          <w:bCs/>
          <w:lang w:val="es-ES_tradnl"/>
        </w:rPr>
      </w:pPr>
      <w:r w:rsidRPr="00725A8F">
        <w:rPr>
          <w:b/>
          <w:lang w:val="es-ES_tradnl"/>
        </w:rPr>
        <w:t xml:space="preserve">P4:  ¿Se presentará ante el PBC el Informe anual de recursos humanos? </w:t>
      </w:r>
    </w:p>
    <w:p w:rsidR="00254825" w:rsidRPr="00725A8F" w:rsidRDefault="00254825" w:rsidP="0060117F">
      <w:pPr>
        <w:rPr>
          <w:b/>
          <w:lang w:val="es-ES_tradnl"/>
        </w:rPr>
      </w:pPr>
    </w:p>
    <w:p w:rsidR="00254825" w:rsidRPr="00725A8F" w:rsidRDefault="00254825" w:rsidP="0060117F">
      <w:pPr>
        <w:rPr>
          <w:bCs/>
          <w:lang w:val="es-ES_tradnl"/>
        </w:rPr>
      </w:pPr>
      <w:r w:rsidRPr="00725A8F">
        <w:rPr>
          <w:lang w:val="es-ES_tradnl"/>
        </w:rPr>
        <w:t xml:space="preserve">R4: </w:t>
      </w:r>
      <w:r w:rsidR="0060117F">
        <w:rPr>
          <w:lang w:val="es-ES_tradnl"/>
        </w:rPr>
        <w:t xml:space="preserve"> </w:t>
      </w:r>
      <w:r w:rsidRPr="00725A8F">
        <w:rPr>
          <w:lang w:val="es-ES_tradnl"/>
        </w:rPr>
        <w:t>El Informe anual de recursos humano</w:t>
      </w:r>
      <w:r w:rsidR="00720700">
        <w:rPr>
          <w:lang w:val="es-ES_tradnl"/>
        </w:rPr>
        <w:t>s será presentado en la vigesimo</w:t>
      </w:r>
      <w:r w:rsidR="00720700" w:rsidRPr="00725A8F">
        <w:rPr>
          <w:lang w:val="es-ES_tradnl"/>
        </w:rPr>
        <w:t>cuarta</w:t>
      </w:r>
      <w:r w:rsidRPr="00725A8F">
        <w:rPr>
          <w:lang w:val="es-ES_tradnl"/>
        </w:rPr>
        <w:t xml:space="preserve"> sesión del PBC que se celebrará en septiembre de</w:t>
      </w:r>
      <w:r w:rsidR="0060117F">
        <w:rPr>
          <w:lang w:val="es-ES_tradnl"/>
        </w:rPr>
        <w:t> </w:t>
      </w:r>
      <w:r w:rsidRPr="00725A8F">
        <w:rPr>
          <w:lang w:val="es-ES_tradnl"/>
        </w:rPr>
        <w:t>2015.</w:t>
      </w:r>
    </w:p>
    <w:p w:rsidR="00254825" w:rsidRPr="00725A8F" w:rsidRDefault="00254825" w:rsidP="0060117F">
      <w:pPr>
        <w:rPr>
          <w:sz w:val="24"/>
          <w:szCs w:val="24"/>
          <w:lang w:val="es-ES_tradnl"/>
        </w:rPr>
      </w:pPr>
    </w:p>
    <w:p w:rsidR="00254825" w:rsidRPr="00725A8F" w:rsidRDefault="00254825" w:rsidP="0060117F">
      <w:pPr>
        <w:rPr>
          <w:sz w:val="24"/>
          <w:szCs w:val="24"/>
          <w:lang w:val="es-ES_tradnl"/>
        </w:rPr>
      </w:pPr>
    </w:p>
    <w:p w:rsidR="00254825" w:rsidRPr="00725A8F" w:rsidRDefault="00254825" w:rsidP="0060117F">
      <w:pPr>
        <w:rPr>
          <w:sz w:val="24"/>
          <w:szCs w:val="24"/>
          <w:lang w:val="es-ES_tradnl"/>
        </w:rPr>
      </w:pPr>
      <w:r w:rsidRPr="00725A8F">
        <w:rPr>
          <w:sz w:val="24"/>
          <w:lang w:val="es-ES_tradnl"/>
        </w:rPr>
        <w:t>ANEXOS Y APÉNDICES</w:t>
      </w:r>
    </w:p>
    <w:p w:rsidR="00254825" w:rsidRPr="00725A8F" w:rsidRDefault="00254825" w:rsidP="0060117F">
      <w:pPr>
        <w:rPr>
          <w:sz w:val="24"/>
          <w:szCs w:val="24"/>
          <w:lang w:val="es-ES_tradnl"/>
        </w:rPr>
      </w:pPr>
    </w:p>
    <w:p w:rsidR="00254825" w:rsidRPr="00725A8F" w:rsidRDefault="00254825" w:rsidP="0060117F">
      <w:pPr>
        <w:jc w:val="both"/>
        <w:rPr>
          <w:b/>
          <w:lang w:val="es-ES_tradnl"/>
        </w:rPr>
      </w:pPr>
      <w:r w:rsidRPr="00725A8F">
        <w:rPr>
          <w:b/>
          <w:lang w:val="es-ES_tradnl"/>
        </w:rPr>
        <w:t>P1: ¿Se prevé en la propuesta de presupuesto por programas para</w:t>
      </w:r>
      <w:r w:rsidR="0060117F">
        <w:rPr>
          <w:b/>
          <w:lang w:val="es-ES_tradnl"/>
        </w:rPr>
        <w:t> </w:t>
      </w:r>
      <w:r w:rsidRPr="00725A8F">
        <w:rPr>
          <w:b/>
          <w:lang w:val="es-ES_tradnl"/>
        </w:rPr>
        <w:t xml:space="preserve">2016/17 que todos los Estados miembros abonarán la totalidad de su contribución?  </w:t>
      </w:r>
    </w:p>
    <w:p w:rsidR="00254825" w:rsidRPr="00725A8F" w:rsidRDefault="00254825" w:rsidP="0060117F">
      <w:pPr>
        <w:jc w:val="both"/>
        <w:rPr>
          <w:sz w:val="24"/>
          <w:szCs w:val="24"/>
          <w:lang w:val="es-ES_tradnl"/>
        </w:rPr>
      </w:pPr>
    </w:p>
    <w:p w:rsidR="00254825" w:rsidRPr="00725A8F" w:rsidRDefault="00254825" w:rsidP="0060117F">
      <w:pPr>
        <w:jc w:val="both"/>
        <w:rPr>
          <w:szCs w:val="22"/>
          <w:lang w:val="es-ES_tradnl"/>
        </w:rPr>
      </w:pPr>
      <w:r w:rsidRPr="00725A8F">
        <w:rPr>
          <w:lang w:val="es-ES_tradnl"/>
        </w:rPr>
        <w:t>R1: La contribución de los Estados miembros forma parte</w:t>
      </w:r>
      <w:r w:rsidR="0060117F">
        <w:rPr>
          <w:lang w:val="es-ES_tradnl"/>
        </w:rPr>
        <w:t xml:space="preserve"> de los ingresos previstos para </w:t>
      </w:r>
      <w:r w:rsidRPr="00725A8F">
        <w:rPr>
          <w:lang w:val="es-ES_tradnl"/>
        </w:rPr>
        <w:t>2016/17. A efectos de planificación, se supone que las contribucione</w:t>
      </w:r>
      <w:r w:rsidR="0060117F">
        <w:rPr>
          <w:lang w:val="es-ES_tradnl"/>
        </w:rPr>
        <w:t>s de </w:t>
      </w:r>
      <w:r w:rsidRPr="00725A8F">
        <w:rPr>
          <w:lang w:val="es-ES_tradnl"/>
        </w:rPr>
        <w:t xml:space="preserve">2016/17 se ingresarán según lo previsto. </w:t>
      </w:r>
    </w:p>
    <w:p w:rsidR="00254825" w:rsidRPr="00725A8F" w:rsidRDefault="00254825" w:rsidP="0060117F">
      <w:pPr>
        <w:jc w:val="both"/>
        <w:rPr>
          <w:sz w:val="24"/>
          <w:szCs w:val="24"/>
          <w:lang w:val="es-ES_tradnl"/>
        </w:rPr>
      </w:pPr>
    </w:p>
    <w:p w:rsidR="00254825" w:rsidRPr="00725A8F" w:rsidRDefault="00254825" w:rsidP="0060117F">
      <w:pPr>
        <w:jc w:val="both"/>
        <w:rPr>
          <w:szCs w:val="22"/>
          <w:lang w:val="es-ES_tradnl"/>
        </w:rPr>
      </w:pPr>
      <w:r w:rsidRPr="00725A8F">
        <w:rPr>
          <w:lang w:val="es-ES_tradnl"/>
        </w:rPr>
        <w:t xml:space="preserve">En lo que respecta a las contribuciones estimadas correspondientes a períodos anteriores, se dota una provisión contable que compensa los importes adeudados. Dicha provisión cubre las cantidades adeudadas por los Estados miembros que han perdido el derecho de voto, así como las contribuciones de los países menos adelantados que han sido congeladas por </w:t>
      </w:r>
      <w:r w:rsidR="0062187F" w:rsidRPr="00725A8F">
        <w:rPr>
          <w:lang w:val="es-ES_tradnl"/>
        </w:rPr>
        <w:t xml:space="preserve">mediación de </w:t>
      </w:r>
      <w:r w:rsidRPr="00725A8F">
        <w:rPr>
          <w:lang w:val="es-ES_tradnl"/>
        </w:rPr>
        <w:t>las Asambleas. La provisión se revisa al final de cada año.</w:t>
      </w:r>
    </w:p>
    <w:p w:rsidR="00254825" w:rsidRPr="00725A8F" w:rsidRDefault="00254825" w:rsidP="0060117F">
      <w:pPr>
        <w:rPr>
          <w:sz w:val="24"/>
          <w:szCs w:val="24"/>
          <w:lang w:val="es-ES_tradnl"/>
        </w:rPr>
      </w:pPr>
    </w:p>
    <w:p w:rsidR="00254825" w:rsidRPr="00725A8F" w:rsidRDefault="00254825" w:rsidP="0060117F">
      <w:pPr>
        <w:rPr>
          <w:sz w:val="24"/>
          <w:szCs w:val="24"/>
          <w:lang w:val="es-ES_tradnl"/>
        </w:rPr>
      </w:pPr>
    </w:p>
    <w:p w:rsidR="00254825" w:rsidRPr="00725A8F" w:rsidRDefault="00254825" w:rsidP="0060117F">
      <w:pPr>
        <w:jc w:val="both"/>
        <w:rPr>
          <w:sz w:val="24"/>
          <w:szCs w:val="24"/>
          <w:lang w:val="es-ES_tradnl"/>
        </w:rPr>
      </w:pPr>
      <w:r w:rsidRPr="00725A8F">
        <w:rPr>
          <w:sz w:val="24"/>
          <w:lang w:val="es-ES_tradnl"/>
        </w:rPr>
        <w:t>POLÍTICA REVISADA DE INVERSIONES Y PROPUESTA DE REVISIONES ADICIONALES DE LA POLÍTICA DE INVERSIONES</w:t>
      </w:r>
    </w:p>
    <w:p w:rsidR="00254825" w:rsidRPr="00725A8F" w:rsidRDefault="00254825" w:rsidP="0060117F">
      <w:pPr>
        <w:jc w:val="both"/>
        <w:rPr>
          <w:lang w:val="es-ES_tradnl"/>
        </w:rPr>
      </w:pPr>
    </w:p>
    <w:p w:rsidR="00254825" w:rsidRPr="00725A8F" w:rsidRDefault="00254825" w:rsidP="0060117F">
      <w:pPr>
        <w:jc w:val="both"/>
        <w:rPr>
          <w:b/>
          <w:lang w:val="es-ES_tradnl"/>
        </w:rPr>
      </w:pPr>
      <w:r w:rsidRPr="00725A8F">
        <w:rPr>
          <w:b/>
          <w:lang w:val="es-ES_tradnl"/>
        </w:rPr>
        <w:t xml:space="preserve">P1.  ¿Qué comparación cabe establecer entre los costos previstos de la nueva política de inversión propuesta (documento WO/PBC/23/7) y las rentabilidades previstas y las pérdidas evitadas como consecuencia de la aplicación de la nueva política? </w:t>
      </w:r>
    </w:p>
    <w:p w:rsidR="00254825" w:rsidRPr="00725A8F" w:rsidRDefault="00254825" w:rsidP="0060117F">
      <w:pPr>
        <w:jc w:val="both"/>
        <w:rPr>
          <w:b/>
          <w:lang w:val="es-ES_tradnl"/>
        </w:rPr>
      </w:pPr>
    </w:p>
    <w:p w:rsidR="00254825" w:rsidRPr="00725A8F" w:rsidRDefault="00254825" w:rsidP="0060117F">
      <w:pPr>
        <w:jc w:val="both"/>
        <w:rPr>
          <w:lang w:val="es-ES_tradnl"/>
        </w:rPr>
      </w:pPr>
      <w:r w:rsidRPr="00725A8F">
        <w:rPr>
          <w:lang w:val="es-ES_tradnl"/>
        </w:rPr>
        <w:t>R1: En el documento WO/PBC/23/7 se proponen dos políticas de inversión</w:t>
      </w:r>
      <w:r w:rsidR="0085234C">
        <w:rPr>
          <w:lang w:val="es-ES_tradnl"/>
        </w:rPr>
        <w:t xml:space="preserve">. </w:t>
      </w:r>
      <w:r w:rsidRPr="00725A8F">
        <w:rPr>
          <w:lang w:val="es-ES_tradnl"/>
        </w:rPr>
        <w:t>Esta política, que tiene por objeto el efectivo para gastos de funcionamiento y el efectivo básico, pretende obtener una rentabilidad positiva sobre el efectivo básico recurriendo a gestores de fondos externos y persigue también minimizar el impacto de los tipos de interés negativos en el efectivo para gastos de funcionamiento aplicando umbrales de exención y buscando oportunidades en el mercado (como por ejemplo inversiones en divisas) cuando sea posible</w:t>
      </w:r>
      <w:r w:rsidR="0085234C">
        <w:rPr>
          <w:lang w:val="es-ES_tradnl"/>
        </w:rPr>
        <w:t xml:space="preserve">. </w:t>
      </w:r>
      <w:r w:rsidRPr="00725A8F">
        <w:rPr>
          <w:lang w:val="es-ES_tradnl"/>
        </w:rPr>
        <w:t>La Organización tiene previsto solicitar a los gestores del fondo que busquen una rentabilidad positiva, después de comisiones de gestión</w:t>
      </w:r>
      <w:r w:rsidR="0085234C">
        <w:rPr>
          <w:lang w:val="es-ES_tradnl"/>
        </w:rPr>
        <w:t xml:space="preserve">. </w:t>
      </w:r>
      <w:r w:rsidRPr="00725A8F">
        <w:rPr>
          <w:lang w:val="es-ES_tradnl"/>
        </w:rPr>
        <w:t>Eso mismo se pedirá a los gestores que inviertan el efectivo estratégico de conformidad con la segunda política de inversión (seguro médico después de la separación del servicio)</w:t>
      </w:r>
      <w:r w:rsidR="0085234C">
        <w:rPr>
          <w:lang w:val="es-ES_tradnl"/>
        </w:rPr>
        <w:t xml:space="preserve">. </w:t>
      </w:r>
      <w:r w:rsidRPr="00725A8F">
        <w:rPr>
          <w:lang w:val="es-ES_tradnl"/>
        </w:rPr>
        <w:t>Será necesario un nuevo miembro del personal que gestione las inversiones de la Organización (lo mismo sucede en relación con el documento WO/PBC/23/6) y se prevé que esta persona tenga un nivel de</w:t>
      </w:r>
      <w:r w:rsidR="0060117F">
        <w:rPr>
          <w:lang w:val="es-ES_tradnl"/>
        </w:rPr>
        <w:t> </w:t>
      </w:r>
      <w:r w:rsidRPr="00725A8F">
        <w:rPr>
          <w:lang w:val="es-ES_tradnl"/>
        </w:rPr>
        <w:t>P4/P5.</w:t>
      </w:r>
    </w:p>
    <w:p w:rsidR="00254825" w:rsidRPr="00725A8F" w:rsidRDefault="00254825" w:rsidP="0060117F">
      <w:pPr>
        <w:jc w:val="both"/>
        <w:rPr>
          <w:b/>
          <w:lang w:val="es-ES_tradnl"/>
        </w:rPr>
      </w:pPr>
    </w:p>
    <w:p w:rsidR="00254825" w:rsidRPr="00725A8F" w:rsidRDefault="00254825" w:rsidP="0060117F">
      <w:pPr>
        <w:pStyle w:val="Text"/>
        <w:tabs>
          <w:tab w:val="left" w:pos="220"/>
        </w:tabs>
        <w:jc w:val="both"/>
        <w:rPr>
          <w:rFonts w:ascii="Arial" w:eastAsia="Arial" w:hAnsi="Arial" w:cs="Arial"/>
          <w:b/>
          <w:sz w:val="22"/>
          <w:szCs w:val="22"/>
          <w:lang w:val="es-ES_tradnl"/>
        </w:rPr>
      </w:pPr>
      <w:r w:rsidRPr="00725A8F">
        <w:rPr>
          <w:rFonts w:ascii="Arial"/>
          <w:b/>
          <w:sz w:val="22"/>
          <w:lang w:val="es-ES_tradnl"/>
        </w:rPr>
        <w:t xml:space="preserve">P2.  En caso de que </w:t>
      </w:r>
      <w:r w:rsidR="0062187F" w:rsidRPr="00725A8F">
        <w:rPr>
          <w:rFonts w:ascii="Arial"/>
          <w:b/>
          <w:sz w:val="22"/>
          <w:lang w:val="es-ES_tradnl"/>
        </w:rPr>
        <w:t xml:space="preserve">en </w:t>
      </w:r>
      <w:r w:rsidRPr="00725A8F">
        <w:rPr>
          <w:rFonts w:ascii="Arial"/>
          <w:b/>
          <w:sz w:val="22"/>
          <w:lang w:val="es-ES_tradnl"/>
        </w:rPr>
        <w:t xml:space="preserve">la </w:t>
      </w:r>
      <w:r w:rsidR="00720700" w:rsidRPr="00725A8F">
        <w:rPr>
          <w:rFonts w:ascii="Arial"/>
          <w:b/>
          <w:sz w:val="22"/>
          <w:lang w:val="es-ES_tradnl"/>
        </w:rPr>
        <w:t>vige</w:t>
      </w:r>
      <w:r w:rsidR="00720700">
        <w:rPr>
          <w:rFonts w:ascii="Arial"/>
          <w:b/>
          <w:sz w:val="22"/>
          <w:lang w:val="es-ES_tradnl"/>
        </w:rPr>
        <w:t>simo</w:t>
      </w:r>
      <w:r w:rsidR="00720700" w:rsidRPr="00725A8F">
        <w:rPr>
          <w:rFonts w:ascii="Arial"/>
          <w:b/>
          <w:sz w:val="22"/>
          <w:lang w:val="es-ES_tradnl"/>
        </w:rPr>
        <w:t>tercera</w:t>
      </w:r>
      <w:r w:rsidRPr="00725A8F">
        <w:rPr>
          <w:rFonts w:ascii="Arial"/>
          <w:b/>
          <w:sz w:val="22"/>
          <w:lang w:val="es-ES_tradnl"/>
        </w:rPr>
        <w:t xml:space="preserve"> sesi</w:t>
      </w:r>
      <w:r w:rsidRPr="00725A8F">
        <w:rPr>
          <w:rFonts w:ascii="Arial"/>
          <w:b/>
          <w:sz w:val="22"/>
          <w:lang w:val="es-ES_tradnl"/>
        </w:rPr>
        <w:t>ó</w:t>
      </w:r>
      <w:r w:rsidRPr="00725A8F">
        <w:rPr>
          <w:rFonts w:ascii="Arial"/>
          <w:b/>
          <w:sz w:val="22"/>
          <w:lang w:val="es-ES_tradnl"/>
        </w:rPr>
        <w:t xml:space="preserve">n del PBC </w:t>
      </w:r>
      <w:r w:rsidR="0062187F" w:rsidRPr="00725A8F">
        <w:rPr>
          <w:rFonts w:ascii="Arial"/>
          <w:b/>
          <w:sz w:val="22"/>
          <w:lang w:val="es-ES_tradnl"/>
        </w:rPr>
        <w:t xml:space="preserve">se </w:t>
      </w:r>
      <w:r w:rsidRPr="00725A8F">
        <w:rPr>
          <w:rFonts w:ascii="Arial"/>
          <w:b/>
          <w:sz w:val="22"/>
          <w:lang w:val="es-ES_tradnl"/>
        </w:rPr>
        <w:t>adoptara</w:t>
      </w:r>
      <w:r w:rsidR="0062187F" w:rsidRPr="00725A8F">
        <w:rPr>
          <w:rFonts w:ascii="Arial"/>
          <w:b/>
          <w:sz w:val="22"/>
          <w:lang w:val="es-ES_tradnl"/>
        </w:rPr>
        <w:t>n</w:t>
      </w:r>
      <w:r w:rsidRPr="00725A8F">
        <w:rPr>
          <w:rFonts w:ascii="Arial"/>
          <w:b/>
          <w:sz w:val="22"/>
          <w:lang w:val="es-ES_tradnl"/>
        </w:rPr>
        <w:t xml:space="preserve"> ambas propuestas </w:t>
      </w:r>
      <w:r w:rsidR="0062187F" w:rsidRPr="00725A8F">
        <w:rPr>
          <w:rFonts w:ascii="Arial"/>
          <w:b/>
          <w:sz w:val="22"/>
          <w:lang w:val="es-ES_tradnl"/>
        </w:rPr>
        <w:t xml:space="preserve">sobre </w:t>
      </w:r>
      <w:r w:rsidRPr="00725A8F">
        <w:rPr>
          <w:rFonts w:ascii="Arial"/>
          <w:b/>
          <w:sz w:val="22"/>
          <w:lang w:val="es-ES_tradnl"/>
        </w:rPr>
        <w:t>la pol</w:t>
      </w:r>
      <w:r w:rsidRPr="00725A8F">
        <w:rPr>
          <w:rFonts w:ascii="Arial"/>
          <w:b/>
          <w:sz w:val="22"/>
          <w:lang w:val="es-ES_tradnl"/>
        </w:rPr>
        <w:t>í</w:t>
      </w:r>
      <w:r w:rsidRPr="00725A8F">
        <w:rPr>
          <w:rFonts w:ascii="Arial"/>
          <w:b/>
          <w:sz w:val="22"/>
          <w:lang w:val="es-ES_tradnl"/>
        </w:rPr>
        <w:t>tica de inversi</w:t>
      </w:r>
      <w:r w:rsidRPr="00725A8F">
        <w:rPr>
          <w:rFonts w:ascii="Arial"/>
          <w:b/>
          <w:sz w:val="22"/>
          <w:lang w:val="es-ES_tradnl"/>
        </w:rPr>
        <w:t>ó</w:t>
      </w:r>
      <w:r w:rsidRPr="00725A8F">
        <w:rPr>
          <w:rFonts w:ascii="Arial"/>
          <w:b/>
          <w:sz w:val="22"/>
          <w:lang w:val="es-ES_tradnl"/>
        </w:rPr>
        <w:t xml:space="preserve">n revisada, </w:t>
      </w:r>
      <w:r w:rsidRPr="00725A8F">
        <w:rPr>
          <w:rFonts w:ascii="Arial"/>
          <w:b/>
          <w:sz w:val="22"/>
          <w:lang w:val="es-ES_tradnl"/>
        </w:rPr>
        <w:t>¿</w:t>
      </w:r>
      <w:r w:rsidRPr="00725A8F">
        <w:rPr>
          <w:rFonts w:ascii="Arial"/>
          <w:b/>
          <w:sz w:val="22"/>
          <w:lang w:val="es-ES_tradnl"/>
        </w:rPr>
        <w:t>quedar</w:t>
      </w:r>
      <w:r w:rsidRPr="00725A8F">
        <w:rPr>
          <w:rFonts w:ascii="Arial"/>
          <w:b/>
          <w:sz w:val="22"/>
          <w:lang w:val="es-ES_tradnl"/>
        </w:rPr>
        <w:t>í</w:t>
      </w:r>
      <w:r w:rsidRPr="00725A8F">
        <w:rPr>
          <w:rFonts w:ascii="Arial"/>
          <w:b/>
          <w:sz w:val="22"/>
          <w:lang w:val="es-ES_tradnl"/>
        </w:rPr>
        <w:t>a por ello facultada la Secretar</w:t>
      </w:r>
      <w:r w:rsidRPr="00725A8F">
        <w:rPr>
          <w:rFonts w:ascii="Arial"/>
          <w:b/>
          <w:sz w:val="22"/>
          <w:lang w:val="es-ES_tradnl"/>
        </w:rPr>
        <w:t>í</w:t>
      </w:r>
      <w:r w:rsidRPr="00725A8F">
        <w:rPr>
          <w:rFonts w:ascii="Arial"/>
          <w:b/>
          <w:sz w:val="22"/>
          <w:lang w:val="es-ES_tradnl"/>
        </w:rPr>
        <w:t>a para iniciar los necesarios procesos de selecci</w:t>
      </w:r>
      <w:r w:rsidRPr="00725A8F">
        <w:rPr>
          <w:rFonts w:ascii="Arial"/>
          <w:b/>
          <w:sz w:val="22"/>
          <w:lang w:val="es-ES_tradnl"/>
        </w:rPr>
        <w:t>ó</w:t>
      </w:r>
      <w:r w:rsidRPr="00725A8F">
        <w:rPr>
          <w:rFonts w:ascii="Arial"/>
          <w:b/>
          <w:sz w:val="22"/>
          <w:lang w:val="es-ES_tradnl"/>
        </w:rPr>
        <w:t>n de un gestor de cartera inmediatamente despu</w:t>
      </w:r>
      <w:r w:rsidRPr="00725A8F">
        <w:rPr>
          <w:rFonts w:ascii="Arial"/>
          <w:b/>
          <w:sz w:val="22"/>
          <w:lang w:val="es-ES_tradnl"/>
        </w:rPr>
        <w:t>é</w:t>
      </w:r>
      <w:r w:rsidRPr="00725A8F">
        <w:rPr>
          <w:rFonts w:ascii="Arial"/>
          <w:b/>
          <w:sz w:val="22"/>
          <w:lang w:val="es-ES_tradnl"/>
        </w:rPr>
        <w:t>s del PBC, acelerando as</w:t>
      </w:r>
      <w:r w:rsidRPr="00725A8F">
        <w:rPr>
          <w:rFonts w:ascii="Arial"/>
          <w:b/>
          <w:sz w:val="22"/>
          <w:lang w:val="es-ES_tradnl"/>
        </w:rPr>
        <w:t>í</w:t>
      </w:r>
      <w:r w:rsidRPr="00725A8F">
        <w:rPr>
          <w:rFonts w:ascii="Arial"/>
          <w:b/>
          <w:sz w:val="22"/>
          <w:lang w:val="es-ES_tradnl"/>
        </w:rPr>
        <w:t xml:space="preserve"> la aplicaci</w:t>
      </w:r>
      <w:r w:rsidRPr="00725A8F">
        <w:rPr>
          <w:rFonts w:ascii="Arial"/>
          <w:b/>
          <w:sz w:val="22"/>
          <w:lang w:val="es-ES_tradnl"/>
        </w:rPr>
        <w:t>ó</w:t>
      </w:r>
      <w:r w:rsidRPr="00725A8F">
        <w:rPr>
          <w:rFonts w:ascii="Arial"/>
          <w:b/>
          <w:sz w:val="22"/>
          <w:lang w:val="es-ES_tradnl"/>
        </w:rPr>
        <w:t>n de la nueva pol</w:t>
      </w:r>
      <w:r w:rsidRPr="00725A8F">
        <w:rPr>
          <w:rFonts w:ascii="Arial"/>
          <w:b/>
          <w:sz w:val="22"/>
          <w:lang w:val="es-ES_tradnl"/>
        </w:rPr>
        <w:t>í</w:t>
      </w:r>
      <w:r w:rsidRPr="00725A8F">
        <w:rPr>
          <w:rFonts w:ascii="Arial"/>
          <w:b/>
          <w:sz w:val="22"/>
          <w:lang w:val="es-ES_tradnl"/>
        </w:rPr>
        <w:t>tica de inversi</w:t>
      </w:r>
      <w:r w:rsidRPr="00725A8F">
        <w:rPr>
          <w:rFonts w:ascii="Arial"/>
          <w:b/>
          <w:sz w:val="22"/>
          <w:lang w:val="es-ES_tradnl"/>
        </w:rPr>
        <w:t>ó</w:t>
      </w:r>
      <w:r w:rsidRPr="00725A8F">
        <w:rPr>
          <w:rFonts w:ascii="Arial"/>
          <w:b/>
          <w:sz w:val="22"/>
          <w:lang w:val="es-ES_tradnl"/>
        </w:rPr>
        <w:t xml:space="preserve">n y </w:t>
      </w:r>
      <w:r w:rsidR="0062187F" w:rsidRPr="00725A8F">
        <w:rPr>
          <w:rFonts w:ascii="Arial"/>
          <w:b/>
          <w:sz w:val="22"/>
          <w:lang w:val="es-ES_tradnl"/>
        </w:rPr>
        <w:t xml:space="preserve">acortando </w:t>
      </w:r>
      <w:r w:rsidRPr="00725A8F">
        <w:rPr>
          <w:rFonts w:ascii="Arial"/>
          <w:b/>
          <w:sz w:val="22"/>
          <w:lang w:val="es-ES_tradnl"/>
        </w:rPr>
        <w:t>el per</w:t>
      </w:r>
      <w:r w:rsidRPr="00725A8F">
        <w:rPr>
          <w:rFonts w:ascii="Arial"/>
          <w:b/>
          <w:sz w:val="22"/>
          <w:lang w:val="es-ES_tradnl"/>
        </w:rPr>
        <w:t>í</w:t>
      </w:r>
      <w:r w:rsidRPr="00725A8F">
        <w:rPr>
          <w:rFonts w:ascii="Arial"/>
          <w:b/>
          <w:sz w:val="22"/>
          <w:lang w:val="es-ES_tradnl"/>
        </w:rPr>
        <w:t>odo durante el cual la OMPI soporta el riesgo de tener que abonar intereses negativos?</w:t>
      </w:r>
    </w:p>
    <w:p w:rsidR="00254825" w:rsidRPr="00725A8F" w:rsidRDefault="00254825" w:rsidP="0060117F">
      <w:pPr>
        <w:pStyle w:val="Text"/>
        <w:ind w:firstLine="60"/>
        <w:jc w:val="both"/>
        <w:rPr>
          <w:rFonts w:ascii="Arial" w:eastAsia="Arial" w:hAnsi="Arial" w:cs="Arial"/>
          <w:sz w:val="22"/>
          <w:szCs w:val="22"/>
          <w:lang w:val="es-ES_tradnl"/>
        </w:rPr>
      </w:pPr>
    </w:p>
    <w:p w:rsidR="00254825" w:rsidRPr="00725A8F" w:rsidRDefault="00254825" w:rsidP="0060117F">
      <w:pPr>
        <w:jc w:val="both"/>
        <w:rPr>
          <w:lang w:val="es-ES_tradnl"/>
        </w:rPr>
      </w:pPr>
      <w:r w:rsidRPr="00725A8F">
        <w:rPr>
          <w:lang w:val="es-ES_tradnl"/>
        </w:rPr>
        <w:t>R2: Si los Estados miembros adoptasen las decisiones recogidas en ambos documentos, WO/PBC/23/6 y WO/PBC/23/7, las decisiones tomadas con respecto al último de estos documentos reemplazarán a las del primero y no será necesaria la política expuesta en el documento WO/PBC/23/6.</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Si las decisiones contenidas en el documento WO/PBC/23/7 fueran adoptadas en la sesión de julio, la Secretaría elaborará dos políticas de inversión: una de ellas destinada al efectivo para gastos de funcionamiento y el efectivo básico, y la otra para el efectivo estratégico</w:t>
      </w:r>
      <w:r w:rsidR="0085234C">
        <w:rPr>
          <w:lang w:val="es-ES_tradnl"/>
        </w:rPr>
        <w:t xml:space="preserve">. </w:t>
      </w:r>
      <w:r w:rsidRPr="00725A8F">
        <w:rPr>
          <w:lang w:val="es-ES_tradnl"/>
        </w:rPr>
        <w:t>Tales políticas se someterán a la deliberación del PBC</w:t>
      </w:r>
      <w:r w:rsidR="0060117F">
        <w:rPr>
          <w:lang w:val="es-ES_tradnl"/>
        </w:rPr>
        <w:t> </w:t>
      </w:r>
      <w:r w:rsidRPr="00725A8F">
        <w:rPr>
          <w:lang w:val="es-ES_tradnl"/>
        </w:rPr>
        <w:t>24 y a continuación a las Asambleas p</w:t>
      </w:r>
      <w:r w:rsidR="0060117F">
        <w:rPr>
          <w:lang w:val="es-ES_tradnl"/>
        </w:rPr>
        <w:t>ara su aprobación. Tras el PBC </w:t>
      </w:r>
      <w:r w:rsidRPr="00725A8F">
        <w:rPr>
          <w:lang w:val="es-ES_tradnl"/>
        </w:rPr>
        <w:t>23, también podrían comenzar la labor preparatoria destinada a identificar gestores de fondos y seleccionar conocimientos especializados en el ámbito interno. Con ello se reduciría en definitiva el tiempo dedicado a esta labor después de las Asambleas</w:t>
      </w:r>
      <w:r w:rsidR="0085234C">
        <w:rPr>
          <w:lang w:val="es-ES_tradnl"/>
        </w:rPr>
        <w:t xml:space="preserve">. </w:t>
      </w:r>
      <w:r w:rsidRPr="00725A8F">
        <w:rPr>
          <w:lang w:val="es-ES_tradnl"/>
        </w:rPr>
        <w:t>De este modo, podría abreviarse el período durante el cual la OMPI soporta el riesgo de abonar intereses negativos.</w:t>
      </w:r>
    </w:p>
    <w:p w:rsidR="00254825" w:rsidRPr="00725A8F" w:rsidRDefault="00254825" w:rsidP="0060117F">
      <w:pPr>
        <w:pStyle w:val="Text"/>
        <w:tabs>
          <w:tab w:val="left" w:pos="220"/>
        </w:tabs>
        <w:jc w:val="both"/>
        <w:rPr>
          <w:rFonts w:ascii="Arial"/>
          <w:sz w:val="22"/>
          <w:szCs w:val="22"/>
          <w:lang w:val="es-ES_tradnl"/>
        </w:rPr>
      </w:pPr>
    </w:p>
    <w:p w:rsidR="00254825" w:rsidRPr="00725A8F" w:rsidRDefault="00254825" w:rsidP="0060117F">
      <w:pPr>
        <w:pStyle w:val="Text"/>
        <w:tabs>
          <w:tab w:val="left" w:pos="220"/>
        </w:tabs>
        <w:jc w:val="both"/>
        <w:rPr>
          <w:rFonts w:ascii="Arial" w:eastAsia="Arial" w:hAnsi="Arial" w:cs="Arial"/>
          <w:b/>
          <w:sz w:val="22"/>
          <w:szCs w:val="22"/>
          <w:lang w:val="es-ES_tradnl"/>
        </w:rPr>
      </w:pPr>
      <w:r w:rsidRPr="00725A8F">
        <w:rPr>
          <w:rFonts w:ascii="Arial"/>
          <w:b/>
          <w:sz w:val="22"/>
          <w:lang w:val="es-ES_tradnl"/>
        </w:rPr>
        <w:t xml:space="preserve">P3.  </w:t>
      </w:r>
      <w:r w:rsidRPr="00725A8F">
        <w:rPr>
          <w:rFonts w:ascii="Arial"/>
          <w:b/>
          <w:sz w:val="22"/>
          <w:lang w:val="es-ES_tradnl"/>
        </w:rPr>
        <w:t>¿</w:t>
      </w:r>
      <w:r w:rsidRPr="00725A8F">
        <w:rPr>
          <w:rFonts w:ascii="Arial"/>
          <w:b/>
          <w:sz w:val="22"/>
          <w:lang w:val="es-ES_tradnl"/>
        </w:rPr>
        <w:t>Podr</w:t>
      </w:r>
      <w:r w:rsidRPr="00725A8F">
        <w:rPr>
          <w:rFonts w:ascii="Arial"/>
          <w:b/>
          <w:sz w:val="22"/>
          <w:lang w:val="es-ES_tradnl"/>
        </w:rPr>
        <w:t>í</w:t>
      </w:r>
      <w:r w:rsidRPr="00725A8F">
        <w:rPr>
          <w:rFonts w:ascii="Arial"/>
          <w:b/>
          <w:sz w:val="22"/>
          <w:lang w:val="es-ES_tradnl"/>
        </w:rPr>
        <w:t>a explicar las diferencias entre las dos pol</w:t>
      </w:r>
      <w:r w:rsidRPr="00725A8F">
        <w:rPr>
          <w:rFonts w:ascii="Arial"/>
          <w:b/>
          <w:sz w:val="22"/>
          <w:lang w:val="es-ES_tradnl"/>
        </w:rPr>
        <w:t>í</w:t>
      </w:r>
      <w:r w:rsidRPr="00725A8F">
        <w:rPr>
          <w:rFonts w:ascii="Arial"/>
          <w:b/>
          <w:sz w:val="22"/>
          <w:lang w:val="es-ES_tradnl"/>
        </w:rPr>
        <w:t>ticas de inversi</w:t>
      </w:r>
      <w:r w:rsidRPr="00725A8F">
        <w:rPr>
          <w:rFonts w:ascii="Arial"/>
          <w:b/>
          <w:sz w:val="22"/>
          <w:lang w:val="es-ES_tradnl"/>
        </w:rPr>
        <w:t>ó</w:t>
      </w:r>
      <w:r w:rsidRPr="00725A8F">
        <w:rPr>
          <w:rFonts w:ascii="Arial"/>
          <w:b/>
          <w:sz w:val="22"/>
          <w:lang w:val="es-ES_tradnl"/>
        </w:rPr>
        <w:t>n modificadas propuestas (WO/PBC/23/6 y WO/PBC/23/7) en lo que respecta a sus repercusiones en el desarrollo temporal de la contrataci</w:t>
      </w:r>
      <w:r w:rsidRPr="00725A8F">
        <w:rPr>
          <w:rFonts w:ascii="Arial"/>
          <w:b/>
          <w:sz w:val="22"/>
          <w:lang w:val="es-ES_tradnl"/>
        </w:rPr>
        <w:t>ó</w:t>
      </w:r>
      <w:r w:rsidRPr="00725A8F">
        <w:rPr>
          <w:rFonts w:ascii="Arial"/>
          <w:b/>
          <w:sz w:val="22"/>
          <w:lang w:val="es-ES_tradnl"/>
        </w:rPr>
        <w:t>n de personal y de gestores de cartera externos, as</w:t>
      </w:r>
      <w:r w:rsidRPr="00725A8F">
        <w:rPr>
          <w:rFonts w:ascii="Arial"/>
          <w:b/>
          <w:sz w:val="22"/>
          <w:lang w:val="es-ES_tradnl"/>
        </w:rPr>
        <w:t>í</w:t>
      </w:r>
      <w:r w:rsidRPr="00725A8F">
        <w:rPr>
          <w:rFonts w:ascii="Arial"/>
          <w:b/>
          <w:sz w:val="22"/>
          <w:lang w:val="es-ES_tradnl"/>
        </w:rPr>
        <w:t xml:space="preserve"> como en cuanto a la estimaci</w:t>
      </w:r>
      <w:r w:rsidRPr="00725A8F">
        <w:rPr>
          <w:rFonts w:ascii="Arial"/>
          <w:b/>
          <w:sz w:val="22"/>
          <w:lang w:val="es-ES_tradnl"/>
        </w:rPr>
        <w:t>ó</w:t>
      </w:r>
      <w:r w:rsidRPr="00725A8F">
        <w:rPr>
          <w:rFonts w:ascii="Arial"/>
          <w:b/>
          <w:sz w:val="22"/>
          <w:lang w:val="es-ES_tradnl"/>
        </w:rPr>
        <w:t>n de los pagos de tipos de inter</w:t>
      </w:r>
      <w:r w:rsidRPr="00725A8F">
        <w:rPr>
          <w:rFonts w:ascii="Arial"/>
          <w:b/>
          <w:sz w:val="22"/>
          <w:lang w:val="es-ES_tradnl"/>
        </w:rPr>
        <w:t>é</w:t>
      </w:r>
      <w:r w:rsidRPr="00725A8F">
        <w:rPr>
          <w:rFonts w:ascii="Arial"/>
          <w:b/>
          <w:sz w:val="22"/>
          <w:lang w:val="es-ES_tradnl"/>
        </w:rPr>
        <w:t xml:space="preserve">s negativos? </w:t>
      </w:r>
    </w:p>
    <w:p w:rsidR="00254825" w:rsidRPr="00725A8F" w:rsidRDefault="00254825" w:rsidP="0060117F">
      <w:pPr>
        <w:pStyle w:val="Text"/>
        <w:ind w:firstLine="60"/>
        <w:jc w:val="both"/>
        <w:rPr>
          <w:rFonts w:ascii="Arial" w:eastAsia="Arial" w:hAnsi="Arial" w:cs="Arial"/>
          <w:sz w:val="22"/>
          <w:szCs w:val="22"/>
          <w:lang w:val="es-ES_tradnl"/>
        </w:rPr>
      </w:pPr>
    </w:p>
    <w:p w:rsidR="00254825" w:rsidRPr="00725A8F" w:rsidRDefault="00254825" w:rsidP="0060117F">
      <w:pPr>
        <w:jc w:val="both"/>
        <w:rPr>
          <w:lang w:val="es-ES_tradnl"/>
        </w:rPr>
      </w:pPr>
      <w:r w:rsidRPr="00725A8F">
        <w:rPr>
          <w:lang w:val="es-ES_tradnl"/>
        </w:rPr>
        <w:t>R3: En ambas propuestas, tras el PBC</w:t>
      </w:r>
      <w:r w:rsidR="0060117F">
        <w:rPr>
          <w:lang w:val="es-ES_tradnl"/>
        </w:rPr>
        <w:t> </w:t>
      </w:r>
      <w:r w:rsidRPr="00725A8F">
        <w:rPr>
          <w:lang w:val="es-ES_tradnl"/>
        </w:rPr>
        <w:t>23 la Secretaría empezará a buscar recursos de personal. (La persona que se incorpore trabajará también en la estrategia de cobertura propuesta para el PCT)</w:t>
      </w:r>
      <w:r w:rsidR="0085234C">
        <w:rPr>
          <w:lang w:val="es-ES_tradnl"/>
        </w:rPr>
        <w:t xml:space="preserve">. </w:t>
      </w:r>
      <w:r w:rsidRPr="00725A8F">
        <w:rPr>
          <w:lang w:val="es-ES_tradnl"/>
        </w:rPr>
        <w:t>El documento WO/PBC/23/6 no supone recurrir a gestores de cartera externos, ya que ello continúa sin estar permitido en la política de inversión modificada propuesta</w:t>
      </w:r>
      <w:r w:rsidR="0085234C">
        <w:rPr>
          <w:lang w:val="es-ES_tradnl"/>
        </w:rPr>
        <w:t xml:space="preserve">. </w:t>
      </w:r>
      <w:r w:rsidRPr="00725A8F">
        <w:rPr>
          <w:lang w:val="es-ES_tradnl"/>
        </w:rPr>
        <w:t>En el caso del documento WO/PBC/23/7, la labor preparatoria comenzará por identificar gestores de fondos externos a lo largo del verano (véase la respuesta precedente)</w:t>
      </w:r>
      <w:r w:rsidR="0085234C">
        <w:rPr>
          <w:lang w:val="es-ES_tradnl"/>
        </w:rPr>
        <w:t xml:space="preserve">. </w:t>
      </w:r>
    </w:p>
    <w:p w:rsidR="00254825" w:rsidRPr="00725A8F" w:rsidRDefault="00254825" w:rsidP="0060117F">
      <w:pPr>
        <w:pStyle w:val="Text"/>
        <w:tabs>
          <w:tab w:val="left" w:pos="220"/>
        </w:tabs>
        <w:jc w:val="both"/>
        <w:rPr>
          <w:rFonts w:ascii="Arial"/>
          <w:sz w:val="22"/>
          <w:szCs w:val="22"/>
          <w:lang w:val="es-ES_tradnl"/>
        </w:rPr>
      </w:pPr>
    </w:p>
    <w:p w:rsidR="00254825" w:rsidRPr="00725A8F" w:rsidRDefault="00254825" w:rsidP="0060117F">
      <w:pPr>
        <w:pStyle w:val="Text"/>
        <w:tabs>
          <w:tab w:val="left" w:pos="220"/>
        </w:tabs>
        <w:jc w:val="both"/>
        <w:rPr>
          <w:rFonts w:ascii="Arial" w:eastAsia="Arial" w:hAnsi="Arial" w:cs="Arial"/>
          <w:b/>
          <w:sz w:val="22"/>
          <w:szCs w:val="22"/>
          <w:lang w:val="es-ES_tradnl"/>
        </w:rPr>
      </w:pPr>
      <w:r w:rsidRPr="00725A8F">
        <w:rPr>
          <w:rFonts w:ascii="Arial"/>
          <w:b/>
          <w:sz w:val="22"/>
          <w:lang w:val="es-ES_tradnl"/>
        </w:rPr>
        <w:t>P4.  El p</w:t>
      </w:r>
      <w:r w:rsidRPr="00725A8F">
        <w:rPr>
          <w:rFonts w:ascii="Arial"/>
          <w:b/>
          <w:sz w:val="22"/>
          <w:lang w:val="es-ES_tradnl"/>
        </w:rPr>
        <w:t>á</w:t>
      </w:r>
      <w:r w:rsidRPr="00725A8F">
        <w:rPr>
          <w:rFonts w:ascii="Arial"/>
          <w:b/>
          <w:sz w:val="22"/>
          <w:lang w:val="es-ES_tradnl"/>
        </w:rPr>
        <w:t>rrafo</w:t>
      </w:r>
      <w:r w:rsidR="0060117F">
        <w:rPr>
          <w:rFonts w:ascii="Arial"/>
          <w:b/>
          <w:sz w:val="22"/>
          <w:lang w:val="es-ES_tradnl"/>
        </w:rPr>
        <w:t> </w:t>
      </w:r>
      <w:r w:rsidRPr="00725A8F">
        <w:rPr>
          <w:rFonts w:ascii="Arial"/>
          <w:b/>
          <w:sz w:val="22"/>
          <w:lang w:val="es-ES_tradnl"/>
        </w:rPr>
        <w:t xml:space="preserve">10 del documento WO/PBC/23/7 alude a la posibilidad de cubrir los riesgos cambiarios, y una propuesta en este sentido ha sido aprobada por el </w:t>
      </w:r>
      <w:r w:rsidR="00720700" w:rsidRPr="00725A8F">
        <w:rPr>
          <w:rFonts w:ascii="Arial"/>
          <w:b/>
          <w:sz w:val="22"/>
          <w:lang w:val="es-ES_tradnl"/>
        </w:rPr>
        <w:t xml:space="preserve">Grupo </w:t>
      </w:r>
      <w:r w:rsidRPr="00725A8F">
        <w:rPr>
          <w:rFonts w:ascii="Arial"/>
          <w:b/>
          <w:sz w:val="22"/>
          <w:lang w:val="es-ES_tradnl"/>
        </w:rPr>
        <w:t xml:space="preserve">de </w:t>
      </w:r>
      <w:r w:rsidR="00720700" w:rsidRPr="00725A8F">
        <w:rPr>
          <w:rFonts w:ascii="Arial"/>
          <w:b/>
          <w:sz w:val="22"/>
          <w:lang w:val="es-ES_tradnl"/>
        </w:rPr>
        <w:t xml:space="preserve">Trabajo </w:t>
      </w:r>
      <w:r w:rsidRPr="00725A8F">
        <w:rPr>
          <w:rFonts w:ascii="Arial"/>
          <w:b/>
          <w:sz w:val="22"/>
          <w:lang w:val="es-ES_tradnl"/>
        </w:rPr>
        <w:t xml:space="preserve">del PCT. </w:t>
      </w:r>
      <w:r w:rsidRPr="00725A8F">
        <w:rPr>
          <w:rFonts w:ascii="Arial"/>
          <w:b/>
          <w:sz w:val="22"/>
          <w:lang w:val="es-ES_tradnl"/>
        </w:rPr>
        <w:t>¿</w:t>
      </w:r>
      <w:r w:rsidRPr="00725A8F">
        <w:rPr>
          <w:rFonts w:ascii="Arial"/>
          <w:b/>
          <w:sz w:val="22"/>
          <w:lang w:val="es-ES_tradnl"/>
        </w:rPr>
        <w:t>La cobertura s</w:t>
      </w:r>
      <w:r w:rsidRPr="00725A8F">
        <w:rPr>
          <w:rFonts w:ascii="Arial"/>
          <w:b/>
          <w:sz w:val="22"/>
          <w:lang w:val="es-ES_tradnl"/>
        </w:rPr>
        <w:t>ó</w:t>
      </w:r>
      <w:r w:rsidRPr="00725A8F">
        <w:rPr>
          <w:rFonts w:ascii="Arial"/>
          <w:b/>
          <w:sz w:val="22"/>
          <w:lang w:val="es-ES_tradnl"/>
        </w:rPr>
        <w:t>lo est</w:t>
      </w:r>
      <w:r w:rsidRPr="00725A8F">
        <w:rPr>
          <w:rFonts w:ascii="Arial"/>
          <w:b/>
          <w:sz w:val="22"/>
          <w:lang w:val="es-ES_tradnl"/>
        </w:rPr>
        <w:t>á</w:t>
      </w:r>
      <w:r w:rsidRPr="00725A8F">
        <w:rPr>
          <w:rFonts w:ascii="Arial"/>
          <w:b/>
          <w:sz w:val="22"/>
          <w:lang w:val="es-ES_tradnl"/>
        </w:rPr>
        <w:t xml:space="preserve"> prevista mediante contratos a plazo o tambi</w:t>
      </w:r>
      <w:r w:rsidRPr="00725A8F">
        <w:rPr>
          <w:rFonts w:ascii="Arial"/>
          <w:b/>
          <w:sz w:val="22"/>
          <w:lang w:val="es-ES_tradnl"/>
        </w:rPr>
        <w:t>é</w:t>
      </w:r>
      <w:r w:rsidRPr="00725A8F">
        <w:rPr>
          <w:rFonts w:ascii="Arial"/>
          <w:b/>
          <w:sz w:val="22"/>
          <w:lang w:val="es-ES_tradnl"/>
        </w:rPr>
        <w:t xml:space="preserve">n a </w:t>
      </w:r>
      <w:r w:rsidRPr="00725A8F">
        <w:rPr>
          <w:rFonts w:ascii="Arial"/>
          <w:b/>
          <w:sz w:val="22"/>
          <w:lang w:val="es-ES_tradnl"/>
        </w:rPr>
        <w:lastRenderedPageBreak/>
        <w:t>trav</w:t>
      </w:r>
      <w:r w:rsidRPr="00725A8F">
        <w:rPr>
          <w:rFonts w:ascii="Arial"/>
          <w:b/>
          <w:sz w:val="22"/>
          <w:lang w:val="es-ES_tradnl"/>
        </w:rPr>
        <w:t>é</w:t>
      </w:r>
      <w:r w:rsidRPr="00725A8F">
        <w:rPr>
          <w:rFonts w:ascii="Arial"/>
          <w:b/>
          <w:sz w:val="22"/>
          <w:lang w:val="es-ES_tradnl"/>
        </w:rPr>
        <w:t xml:space="preserve">s de opciones? </w:t>
      </w:r>
      <w:r w:rsidRPr="00725A8F">
        <w:rPr>
          <w:rFonts w:ascii="Arial"/>
          <w:b/>
          <w:sz w:val="22"/>
          <w:lang w:val="es-ES_tradnl"/>
        </w:rPr>
        <w:t>¿</w:t>
      </w:r>
      <w:r w:rsidRPr="00725A8F">
        <w:rPr>
          <w:rFonts w:ascii="Arial"/>
          <w:b/>
          <w:sz w:val="22"/>
          <w:lang w:val="es-ES_tradnl"/>
        </w:rPr>
        <w:t>La cobertura se llevar</w:t>
      </w:r>
      <w:r w:rsidRPr="00725A8F">
        <w:rPr>
          <w:rFonts w:ascii="Arial"/>
          <w:b/>
          <w:sz w:val="22"/>
          <w:lang w:val="es-ES_tradnl"/>
        </w:rPr>
        <w:t>á</w:t>
      </w:r>
      <w:r w:rsidRPr="00725A8F">
        <w:rPr>
          <w:rFonts w:ascii="Arial"/>
          <w:b/>
          <w:sz w:val="22"/>
          <w:lang w:val="es-ES_tradnl"/>
        </w:rPr>
        <w:t xml:space="preserve"> a cabo internamente o se contratar</w:t>
      </w:r>
      <w:r w:rsidRPr="00725A8F">
        <w:rPr>
          <w:rFonts w:ascii="Arial"/>
          <w:b/>
          <w:sz w:val="22"/>
          <w:lang w:val="es-ES_tradnl"/>
        </w:rPr>
        <w:t>á</w:t>
      </w:r>
      <w:r w:rsidRPr="00725A8F">
        <w:rPr>
          <w:rFonts w:ascii="Arial"/>
          <w:b/>
          <w:sz w:val="22"/>
          <w:lang w:val="es-ES_tradnl"/>
        </w:rPr>
        <w:t xml:space="preserve"> con entidades externas? </w:t>
      </w:r>
    </w:p>
    <w:p w:rsidR="00254825" w:rsidRPr="00725A8F" w:rsidRDefault="00254825" w:rsidP="0060117F">
      <w:pPr>
        <w:pStyle w:val="Text"/>
        <w:jc w:val="both"/>
        <w:rPr>
          <w:rFonts w:ascii="Arial" w:eastAsia="Arial" w:hAnsi="Arial" w:cs="Arial"/>
          <w:sz w:val="22"/>
          <w:szCs w:val="22"/>
          <w:lang w:val="es-ES_tradnl"/>
        </w:rPr>
      </w:pPr>
    </w:p>
    <w:p w:rsidR="00254825" w:rsidRPr="00725A8F" w:rsidRDefault="00254825" w:rsidP="0060117F">
      <w:pPr>
        <w:jc w:val="both"/>
        <w:rPr>
          <w:lang w:val="es-ES_tradnl"/>
        </w:rPr>
      </w:pPr>
      <w:r w:rsidRPr="00725A8F">
        <w:rPr>
          <w:lang w:val="es-ES_tradnl"/>
        </w:rPr>
        <w:t xml:space="preserve">R4: </w:t>
      </w:r>
      <w:r w:rsidR="0060117F">
        <w:rPr>
          <w:lang w:val="es-ES_tradnl"/>
        </w:rPr>
        <w:t xml:space="preserve"> </w:t>
      </w:r>
      <w:r w:rsidRPr="00725A8F">
        <w:rPr>
          <w:lang w:val="es-ES_tradnl"/>
        </w:rPr>
        <w:t>La cob</w:t>
      </w:r>
      <w:r w:rsidR="0060117F">
        <w:rPr>
          <w:lang w:val="es-ES_tradnl"/>
        </w:rPr>
        <w:t>ertura mencionada en el párrafo </w:t>
      </w:r>
      <w:r w:rsidRPr="00725A8F">
        <w:rPr>
          <w:lang w:val="es-ES_tradnl"/>
        </w:rPr>
        <w:t>10 del documento WO/PBC/23/7 no debe confundirse con la propuesta de cobertura aprobada recientemente por el grupo de trabajo del PCT</w:t>
      </w:r>
      <w:r w:rsidR="0085234C">
        <w:rPr>
          <w:lang w:val="es-ES_tradnl"/>
        </w:rPr>
        <w:t xml:space="preserve">. </w:t>
      </w:r>
      <w:r w:rsidRPr="00725A8F">
        <w:rPr>
          <w:lang w:val="es-ES_tradnl"/>
        </w:rPr>
        <w:t>La propuesta de cobertura del PCT tiene por objeto reducir la exposición cambiaria derivada del hecho de que las tasas por solicitudes de patentes se perciban en monedas distintas del franco suizo, mientras que la cobertura mencionada en el párrafo 10 se refiere a la necesidad de proteger los rendimientos de las inversiones obtenidos en monedas distintas del franco suizo contra las fluctuaciones de los tipos de cambio.</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La cobertura relativa a las inversiones será establecida en gran medida por gestores de fondos externos y corresponderá al gestor de fondos determinar qué instrumento de cobertura resulta más adecuado a</w:t>
      </w:r>
      <w:r w:rsidR="00725A8F" w:rsidRPr="00725A8F">
        <w:rPr>
          <w:lang w:val="es-ES_tradnl"/>
        </w:rPr>
        <w:t xml:space="preserve">tendidas </w:t>
      </w:r>
      <w:r w:rsidRPr="00725A8F">
        <w:rPr>
          <w:lang w:val="es-ES_tradnl"/>
        </w:rPr>
        <w:t>las circunstancias</w:t>
      </w:r>
      <w:r w:rsidR="0085234C">
        <w:rPr>
          <w:lang w:val="es-ES_tradnl"/>
        </w:rPr>
        <w:t xml:space="preserve">. </w:t>
      </w:r>
      <w:r w:rsidRPr="00725A8F">
        <w:rPr>
          <w:lang w:val="es-ES_tradnl"/>
        </w:rPr>
        <w:t>En caso de que la cobertura de las inversiones se establezca internamente, se requerirá probablemente utilizar contratos a plazo.</w:t>
      </w:r>
    </w:p>
    <w:p w:rsidR="00254825" w:rsidRPr="00725A8F" w:rsidRDefault="00254825" w:rsidP="0060117F">
      <w:pPr>
        <w:pStyle w:val="Text"/>
        <w:jc w:val="both"/>
        <w:rPr>
          <w:rFonts w:ascii="Arial" w:eastAsia="Arial" w:hAnsi="Arial" w:cs="Arial"/>
          <w:sz w:val="22"/>
          <w:szCs w:val="22"/>
          <w:lang w:val="es-ES_tradnl"/>
        </w:rPr>
      </w:pPr>
    </w:p>
    <w:p w:rsidR="00254825" w:rsidRPr="00725A8F" w:rsidRDefault="00254825" w:rsidP="00720700">
      <w:pPr>
        <w:pStyle w:val="Text"/>
        <w:jc w:val="both"/>
        <w:rPr>
          <w:rFonts w:ascii="Arial" w:eastAsia="Arial" w:hAnsi="Arial" w:cs="Arial"/>
          <w:sz w:val="22"/>
          <w:szCs w:val="22"/>
          <w:lang w:val="es-ES_tradnl"/>
        </w:rPr>
      </w:pPr>
    </w:p>
    <w:p w:rsidR="00254825" w:rsidRPr="00725A8F" w:rsidRDefault="00254825" w:rsidP="0060117F">
      <w:pPr>
        <w:pStyle w:val="Text"/>
        <w:tabs>
          <w:tab w:val="left" w:pos="220"/>
        </w:tabs>
        <w:jc w:val="both"/>
        <w:rPr>
          <w:rFonts w:ascii="Arial" w:eastAsia="Arial" w:hAnsi="Arial" w:cs="Arial"/>
          <w:b/>
          <w:sz w:val="22"/>
          <w:szCs w:val="22"/>
          <w:lang w:val="es-ES_tradnl"/>
        </w:rPr>
      </w:pPr>
      <w:r w:rsidRPr="00725A8F">
        <w:rPr>
          <w:rFonts w:ascii="Arial"/>
          <w:b/>
          <w:sz w:val="22"/>
          <w:lang w:val="es-ES_tradnl"/>
        </w:rPr>
        <w:t>P5:  En el documento WO/PBC/23/7 se propone, para los bonos corporativos, una calificaci</w:t>
      </w:r>
      <w:r w:rsidRPr="00725A8F">
        <w:rPr>
          <w:rFonts w:ascii="Arial"/>
          <w:b/>
          <w:sz w:val="22"/>
          <w:lang w:val="es-ES_tradnl"/>
        </w:rPr>
        <w:t>ó</w:t>
      </w:r>
      <w:r w:rsidRPr="00725A8F">
        <w:rPr>
          <w:rFonts w:ascii="Arial"/>
          <w:b/>
          <w:sz w:val="22"/>
          <w:lang w:val="es-ES_tradnl"/>
        </w:rPr>
        <w:t>n del riesgo a largo plazo de BBB-/Baa3. En el documento WO/PBC/23/6 se propone, para los bonos corporativos, una calificaci</w:t>
      </w:r>
      <w:r w:rsidRPr="00725A8F">
        <w:rPr>
          <w:rFonts w:ascii="Arial"/>
          <w:b/>
          <w:sz w:val="22"/>
          <w:lang w:val="es-ES_tradnl"/>
        </w:rPr>
        <w:t>ó</w:t>
      </w:r>
      <w:r w:rsidRPr="00725A8F">
        <w:rPr>
          <w:rFonts w:ascii="Arial"/>
          <w:b/>
          <w:sz w:val="22"/>
          <w:lang w:val="es-ES_tradnl"/>
        </w:rPr>
        <w:t>n del riesgo a largo plazo de BBB/Baa2. Adem</w:t>
      </w:r>
      <w:r w:rsidRPr="00725A8F">
        <w:rPr>
          <w:rFonts w:ascii="Arial"/>
          <w:b/>
          <w:sz w:val="22"/>
          <w:lang w:val="es-ES_tradnl"/>
        </w:rPr>
        <w:t>á</w:t>
      </w:r>
      <w:r w:rsidRPr="00725A8F">
        <w:rPr>
          <w:rFonts w:ascii="Arial"/>
          <w:b/>
          <w:sz w:val="22"/>
          <w:lang w:val="es-ES_tradnl"/>
        </w:rPr>
        <w:t xml:space="preserve">s, este </w:t>
      </w:r>
      <w:r w:rsidRPr="00725A8F">
        <w:rPr>
          <w:rFonts w:ascii="Arial"/>
          <w:b/>
          <w:sz w:val="22"/>
          <w:lang w:val="es-ES_tradnl"/>
        </w:rPr>
        <w:t>ú</w:t>
      </w:r>
      <w:r w:rsidRPr="00725A8F">
        <w:rPr>
          <w:rFonts w:ascii="Arial"/>
          <w:b/>
          <w:sz w:val="22"/>
          <w:lang w:val="es-ES_tradnl"/>
        </w:rPr>
        <w:t xml:space="preserve">ltimo documento no indica calificaciones del riesgo a corto plazo para bonos del Tesoro o bonos corporativos, mientras que el primero contiene propuestas en ese sentido. </w:t>
      </w:r>
      <w:r w:rsidRPr="00725A8F">
        <w:rPr>
          <w:rFonts w:ascii="Arial"/>
          <w:b/>
          <w:sz w:val="22"/>
          <w:lang w:val="es-ES_tradnl"/>
        </w:rPr>
        <w:t>¿</w:t>
      </w:r>
      <w:r w:rsidRPr="00725A8F">
        <w:rPr>
          <w:rFonts w:ascii="Arial"/>
          <w:b/>
          <w:sz w:val="22"/>
          <w:lang w:val="es-ES_tradnl"/>
        </w:rPr>
        <w:t>Podr</w:t>
      </w:r>
      <w:r w:rsidRPr="00725A8F">
        <w:rPr>
          <w:rFonts w:ascii="Arial"/>
          <w:b/>
          <w:sz w:val="22"/>
          <w:lang w:val="es-ES_tradnl"/>
        </w:rPr>
        <w:t>í</w:t>
      </w:r>
      <w:r w:rsidRPr="00725A8F">
        <w:rPr>
          <w:rFonts w:ascii="Arial"/>
          <w:b/>
          <w:sz w:val="22"/>
          <w:lang w:val="es-ES_tradnl"/>
        </w:rPr>
        <w:t xml:space="preserve">a explicar las razones de estos elementos propuestos? </w:t>
      </w:r>
    </w:p>
    <w:p w:rsidR="00254825" w:rsidRPr="00725A8F" w:rsidRDefault="00254825" w:rsidP="0060117F">
      <w:pPr>
        <w:pStyle w:val="Text"/>
        <w:ind w:firstLine="60"/>
        <w:jc w:val="both"/>
        <w:rPr>
          <w:rFonts w:ascii="Arial" w:eastAsia="Arial" w:hAnsi="Arial" w:cs="Arial"/>
          <w:sz w:val="22"/>
          <w:szCs w:val="22"/>
          <w:lang w:val="es-ES_tradnl"/>
        </w:rPr>
      </w:pPr>
    </w:p>
    <w:p w:rsidR="00254825" w:rsidRPr="00725A8F" w:rsidRDefault="00254825" w:rsidP="0060117F">
      <w:pPr>
        <w:jc w:val="both"/>
        <w:rPr>
          <w:lang w:val="es-ES_tradnl"/>
        </w:rPr>
      </w:pPr>
      <w:r w:rsidRPr="00725A8F">
        <w:rPr>
          <w:lang w:val="es-ES_tradnl"/>
        </w:rPr>
        <w:t xml:space="preserve">R5: </w:t>
      </w:r>
      <w:r w:rsidR="0060117F">
        <w:rPr>
          <w:lang w:val="es-ES_tradnl"/>
        </w:rPr>
        <w:t xml:space="preserve"> </w:t>
      </w:r>
      <w:r w:rsidRPr="00725A8F">
        <w:rPr>
          <w:lang w:val="es-ES_tradnl"/>
        </w:rPr>
        <w:t>En el documento WO/PBC/23/6 se recoge el número mínimo de modificaciones que han de introducirse en la política actual a fin de conseguir una política de inversión en el marco de la cual la Organización pueda operar a partir de diciembre de</w:t>
      </w:r>
      <w:r w:rsidR="0060117F">
        <w:rPr>
          <w:lang w:val="es-ES_tradnl"/>
        </w:rPr>
        <w:t> </w:t>
      </w:r>
      <w:r w:rsidRPr="00725A8F">
        <w:rPr>
          <w:lang w:val="es-ES_tradnl"/>
        </w:rPr>
        <w:t>2015 cuando todas las inversiones de la OMPI serán retiradas de las autoridades suizas</w:t>
      </w:r>
      <w:r w:rsidR="0085234C">
        <w:rPr>
          <w:lang w:val="es-ES_tradnl"/>
        </w:rPr>
        <w:t xml:space="preserve">. </w:t>
      </w:r>
      <w:r w:rsidRPr="00725A8F">
        <w:rPr>
          <w:lang w:val="es-ES_tradnl"/>
        </w:rPr>
        <w:t>Dicho documento ha tomado como base la actual política de inversión y propone un pequeño número de cambios en la misma.</w:t>
      </w:r>
    </w:p>
    <w:p w:rsidR="00254825" w:rsidRPr="00725A8F" w:rsidRDefault="00254825" w:rsidP="0060117F">
      <w:pPr>
        <w:jc w:val="both"/>
        <w:rPr>
          <w:lang w:val="es-ES_tradnl"/>
        </w:rPr>
      </w:pPr>
    </w:p>
    <w:p w:rsidR="00254825" w:rsidRPr="00725A8F" w:rsidRDefault="00254825" w:rsidP="0060117F">
      <w:pPr>
        <w:jc w:val="both"/>
        <w:rPr>
          <w:lang w:val="es-ES_tradnl"/>
        </w:rPr>
      </w:pPr>
      <w:r w:rsidRPr="00725A8F">
        <w:rPr>
          <w:lang w:val="es-ES_tradnl"/>
        </w:rPr>
        <w:t>El documento WO/PBC/23/7 propone cambios más amplios y, si todas las decisiones fueran adoptadas, dará lugar a la formulación de dos políticas de inversión completamente nuevas</w:t>
      </w:r>
      <w:r w:rsidR="0085234C">
        <w:rPr>
          <w:lang w:val="es-ES_tradnl"/>
        </w:rPr>
        <w:t xml:space="preserve">. </w:t>
      </w:r>
      <w:r w:rsidRPr="00725A8F">
        <w:rPr>
          <w:lang w:val="es-ES_tradnl"/>
        </w:rPr>
        <w:t>La distinción entre inversiones a corto y largo plazo, así como la necesidad de asumir un mayor riesgo (invirtiendo por tanto en bonos corporativos con calificación BBB/Baa2) son cuestiones que se examinan únicamente en este documento</w:t>
      </w:r>
      <w:r w:rsidR="0085234C">
        <w:rPr>
          <w:lang w:val="es-ES_tradnl"/>
        </w:rPr>
        <w:t xml:space="preserve">. </w:t>
      </w:r>
      <w:r w:rsidRPr="00725A8F">
        <w:rPr>
          <w:lang w:val="es-ES_tradnl"/>
        </w:rPr>
        <w:t>Esos elementos no son necesarios para la política propuesta en el documento WO/PBC/23/6.</w:t>
      </w:r>
    </w:p>
    <w:p w:rsidR="00254825" w:rsidRPr="00725A8F" w:rsidRDefault="00254825" w:rsidP="0060117F">
      <w:pPr>
        <w:pStyle w:val="Text"/>
        <w:tabs>
          <w:tab w:val="left" w:pos="220"/>
        </w:tabs>
        <w:jc w:val="both"/>
        <w:rPr>
          <w:rFonts w:ascii="Arial"/>
          <w:sz w:val="22"/>
          <w:szCs w:val="22"/>
          <w:lang w:val="es-ES_tradnl"/>
        </w:rPr>
      </w:pPr>
    </w:p>
    <w:p w:rsidR="00254825" w:rsidRPr="00725A8F" w:rsidRDefault="00254825" w:rsidP="0060117F">
      <w:pPr>
        <w:pStyle w:val="Text"/>
        <w:tabs>
          <w:tab w:val="left" w:pos="220"/>
        </w:tabs>
        <w:jc w:val="both"/>
        <w:rPr>
          <w:rFonts w:ascii="Arial" w:eastAsia="Arial" w:hAnsi="Arial" w:cs="Arial"/>
          <w:b/>
          <w:sz w:val="22"/>
          <w:szCs w:val="22"/>
          <w:lang w:val="es-ES_tradnl"/>
        </w:rPr>
      </w:pPr>
      <w:r w:rsidRPr="00725A8F">
        <w:rPr>
          <w:rFonts w:ascii="Arial"/>
          <w:b/>
          <w:sz w:val="22"/>
          <w:lang w:val="es-ES_tradnl"/>
        </w:rPr>
        <w:t>P6:  En el p</w:t>
      </w:r>
      <w:r w:rsidRPr="00725A8F">
        <w:rPr>
          <w:rFonts w:ascii="Arial"/>
          <w:b/>
          <w:sz w:val="22"/>
          <w:lang w:val="es-ES_tradnl"/>
        </w:rPr>
        <w:t>á</w:t>
      </w:r>
      <w:r w:rsidR="0060117F">
        <w:rPr>
          <w:rFonts w:ascii="Arial"/>
          <w:b/>
          <w:sz w:val="22"/>
          <w:lang w:val="es-ES_tradnl"/>
        </w:rPr>
        <w:t>rrafo</w:t>
      </w:r>
      <w:r w:rsidR="0060117F">
        <w:rPr>
          <w:rFonts w:ascii="Arial"/>
          <w:b/>
          <w:sz w:val="22"/>
          <w:lang w:val="es-ES_tradnl"/>
        </w:rPr>
        <w:t> </w:t>
      </w:r>
      <w:r w:rsidRPr="00725A8F">
        <w:rPr>
          <w:rFonts w:ascii="Arial"/>
          <w:b/>
          <w:sz w:val="22"/>
          <w:lang w:val="es-ES_tradnl"/>
        </w:rPr>
        <w:t>10 del documento WO/PBC/23/7 figura una lista de las categor</w:t>
      </w:r>
      <w:r w:rsidRPr="00725A8F">
        <w:rPr>
          <w:rFonts w:ascii="Arial"/>
          <w:b/>
          <w:sz w:val="22"/>
          <w:lang w:val="es-ES_tradnl"/>
        </w:rPr>
        <w:t>í</w:t>
      </w:r>
      <w:r w:rsidRPr="00725A8F">
        <w:rPr>
          <w:rFonts w:ascii="Arial"/>
          <w:b/>
          <w:sz w:val="22"/>
          <w:lang w:val="es-ES_tradnl"/>
        </w:rPr>
        <w:t>as de activos propuestas para el efectivo b</w:t>
      </w:r>
      <w:r w:rsidRPr="00725A8F">
        <w:rPr>
          <w:rFonts w:ascii="Arial"/>
          <w:b/>
          <w:sz w:val="22"/>
          <w:lang w:val="es-ES_tradnl"/>
        </w:rPr>
        <w:t>á</w:t>
      </w:r>
      <w:r w:rsidRPr="00725A8F">
        <w:rPr>
          <w:rFonts w:ascii="Arial"/>
          <w:b/>
          <w:sz w:val="22"/>
          <w:lang w:val="es-ES_tradnl"/>
        </w:rPr>
        <w:t>sico. El p</w:t>
      </w:r>
      <w:r w:rsidRPr="00725A8F">
        <w:rPr>
          <w:rFonts w:ascii="Arial"/>
          <w:b/>
          <w:sz w:val="22"/>
          <w:lang w:val="es-ES_tradnl"/>
        </w:rPr>
        <w:t>á</w:t>
      </w:r>
      <w:r w:rsidR="0060117F">
        <w:rPr>
          <w:rFonts w:ascii="Arial"/>
          <w:b/>
          <w:sz w:val="22"/>
          <w:lang w:val="es-ES_tradnl"/>
        </w:rPr>
        <w:t>rrafo</w:t>
      </w:r>
      <w:r w:rsidR="0060117F">
        <w:rPr>
          <w:rFonts w:ascii="Arial"/>
          <w:b/>
          <w:sz w:val="22"/>
          <w:lang w:val="es-ES_tradnl"/>
        </w:rPr>
        <w:t> </w:t>
      </w:r>
      <w:r w:rsidRPr="00725A8F">
        <w:rPr>
          <w:rFonts w:ascii="Arial"/>
          <w:b/>
          <w:sz w:val="22"/>
          <w:lang w:val="es-ES_tradnl"/>
        </w:rPr>
        <w:t>5 indica que algunas de estas categor</w:t>
      </w:r>
      <w:r w:rsidRPr="00725A8F">
        <w:rPr>
          <w:rFonts w:ascii="Arial"/>
          <w:b/>
          <w:sz w:val="22"/>
          <w:lang w:val="es-ES_tradnl"/>
        </w:rPr>
        <w:t>í</w:t>
      </w:r>
      <w:r w:rsidRPr="00725A8F">
        <w:rPr>
          <w:rFonts w:ascii="Arial"/>
          <w:b/>
          <w:sz w:val="22"/>
          <w:lang w:val="es-ES_tradnl"/>
        </w:rPr>
        <w:t>as se utilizar</w:t>
      </w:r>
      <w:r w:rsidRPr="00725A8F">
        <w:rPr>
          <w:rFonts w:ascii="Arial"/>
          <w:b/>
          <w:sz w:val="22"/>
          <w:lang w:val="es-ES_tradnl"/>
        </w:rPr>
        <w:t>á</w:t>
      </w:r>
      <w:r w:rsidRPr="00725A8F">
        <w:rPr>
          <w:rFonts w:ascii="Arial"/>
          <w:b/>
          <w:sz w:val="22"/>
          <w:lang w:val="es-ES_tradnl"/>
        </w:rPr>
        <w:t>n tambi</w:t>
      </w:r>
      <w:r w:rsidRPr="00725A8F">
        <w:rPr>
          <w:rFonts w:ascii="Arial"/>
          <w:b/>
          <w:sz w:val="22"/>
          <w:lang w:val="es-ES_tradnl"/>
        </w:rPr>
        <w:t>é</w:t>
      </w:r>
      <w:r w:rsidRPr="00725A8F">
        <w:rPr>
          <w:rFonts w:ascii="Arial"/>
          <w:b/>
          <w:sz w:val="22"/>
          <w:lang w:val="es-ES_tradnl"/>
        </w:rPr>
        <w:t xml:space="preserve">n para el efectivo para gastos de funcionamiento. </w:t>
      </w:r>
      <w:r w:rsidRPr="00725A8F">
        <w:rPr>
          <w:rFonts w:ascii="Arial"/>
          <w:b/>
          <w:sz w:val="22"/>
          <w:lang w:val="es-ES_tradnl"/>
        </w:rPr>
        <w:t>¿</w:t>
      </w:r>
      <w:r w:rsidRPr="00725A8F">
        <w:rPr>
          <w:rFonts w:ascii="Arial"/>
          <w:b/>
          <w:sz w:val="22"/>
          <w:lang w:val="es-ES_tradnl"/>
        </w:rPr>
        <w:t>Podr</w:t>
      </w:r>
      <w:r w:rsidRPr="00725A8F">
        <w:rPr>
          <w:rFonts w:ascii="Arial"/>
          <w:b/>
          <w:sz w:val="22"/>
          <w:lang w:val="es-ES_tradnl"/>
        </w:rPr>
        <w:t>í</w:t>
      </w:r>
      <w:r w:rsidRPr="00725A8F">
        <w:rPr>
          <w:rFonts w:ascii="Arial"/>
          <w:b/>
          <w:sz w:val="22"/>
          <w:lang w:val="es-ES_tradnl"/>
        </w:rPr>
        <w:t>a explicar cu</w:t>
      </w:r>
      <w:r w:rsidRPr="00725A8F">
        <w:rPr>
          <w:rFonts w:ascii="Arial"/>
          <w:b/>
          <w:sz w:val="22"/>
          <w:lang w:val="es-ES_tradnl"/>
        </w:rPr>
        <w:t>á</w:t>
      </w:r>
      <w:r w:rsidRPr="00725A8F">
        <w:rPr>
          <w:rFonts w:ascii="Arial"/>
          <w:b/>
          <w:sz w:val="22"/>
          <w:lang w:val="es-ES_tradnl"/>
        </w:rPr>
        <w:t>les de las categor</w:t>
      </w:r>
      <w:r w:rsidRPr="00725A8F">
        <w:rPr>
          <w:rFonts w:ascii="Arial"/>
          <w:b/>
          <w:sz w:val="22"/>
          <w:lang w:val="es-ES_tradnl"/>
        </w:rPr>
        <w:t>í</w:t>
      </w:r>
      <w:r w:rsidRPr="00725A8F">
        <w:rPr>
          <w:rFonts w:ascii="Arial"/>
          <w:b/>
          <w:sz w:val="22"/>
          <w:lang w:val="es-ES_tradnl"/>
        </w:rPr>
        <w:t>as contempladas en el p</w:t>
      </w:r>
      <w:r w:rsidRPr="00725A8F">
        <w:rPr>
          <w:rFonts w:ascii="Arial"/>
          <w:b/>
          <w:sz w:val="22"/>
          <w:lang w:val="es-ES_tradnl"/>
        </w:rPr>
        <w:t>á</w:t>
      </w:r>
      <w:r w:rsidR="0060117F">
        <w:rPr>
          <w:rFonts w:ascii="Arial"/>
          <w:b/>
          <w:sz w:val="22"/>
          <w:lang w:val="es-ES_tradnl"/>
        </w:rPr>
        <w:t>rrafo</w:t>
      </w:r>
      <w:r w:rsidR="0060117F">
        <w:rPr>
          <w:rFonts w:ascii="Arial"/>
          <w:b/>
          <w:sz w:val="22"/>
          <w:lang w:val="es-ES_tradnl"/>
        </w:rPr>
        <w:t> </w:t>
      </w:r>
      <w:r w:rsidRPr="00725A8F">
        <w:rPr>
          <w:rFonts w:ascii="Arial"/>
          <w:b/>
          <w:sz w:val="22"/>
          <w:lang w:val="es-ES_tradnl"/>
        </w:rPr>
        <w:t>10 se consideran suficientemente l</w:t>
      </w:r>
      <w:r w:rsidRPr="00725A8F">
        <w:rPr>
          <w:rFonts w:ascii="Arial"/>
          <w:b/>
          <w:sz w:val="22"/>
          <w:lang w:val="es-ES_tradnl"/>
        </w:rPr>
        <w:t>í</w:t>
      </w:r>
      <w:r w:rsidRPr="00725A8F">
        <w:rPr>
          <w:rFonts w:ascii="Arial"/>
          <w:b/>
          <w:sz w:val="22"/>
          <w:lang w:val="es-ES_tradnl"/>
        </w:rPr>
        <w:t>quidas y, por tanto, se utilizar</w:t>
      </w:r>
      <w:r w:rsidRPr="00725A8F">
        <w:rPr>
          <w:rFonts w:ascii="Arial"/>
          <w:b/>
          <w:sz w:val="22"/>
          <w:lang w:val="es-ES_tradnl"/>
        </w:rPr>
        <w:t>á</w:t>
      </w:r>
      <w:r w:rsidRPr="00725A8F">
        <w:rPr>
          <w:rFonts w:ascii="Arial"/>
          <w:b/>
          <w:sz w:val="22"/>
          <w:lang w:val="es-ES_tradnl"/>
        </w:rPr>
        <w:t xml:space="preserve">n para el efectivo para gastos de funcionamiento? </w:t>
      </w:r>
    </w:p>
    <w:p w:rsidR="00254825" w:rsidRPr="00725A8F" w:rsidRDefault="00254825" w:rsidP="0060117F">
      <w:pPr>
        <w:pStyle w:val="Text"/>
        <w:ind w:firstLine="60"/>
        <w:jc w:val="both"/>
        <w:rPr>
          <w:rFonts w:ascii="Arial" w:eastAsia="Arial" w:hAnsi="Arial" w:cs="Arial"/>
          <w:b/>
          <w:sz w:val="22"/>
          <w:szCs w:val="22"/>
          <w:lang w:val="es-ES_tradnl"/>
        </w:rPr>
      </w:pPr>
    </w:p>
    <w:p w:rsidR="00254825" w:rsidRPr="00725A8F" w:rsidRDefault="00254825" w:rsidP="0060117F">
      <w:pPr>
        <w:jc w:val="both"/>
        <w:rPr>
          <w:lang w:val="es-ES_tradnl"/>
        </w:rPr>
      </w:pPr>
      <w:r w:rsidRPr="00725A8F">
        <w:rPr>
          <w:lang w:val="es-ES_tradnl"/>
        </w:rPr>
        <w:t>R6:</w:t>
      </w:r>
      <w:r w:rsidR="0060117F">
        <w:rPr>
          <w:lang w:val="es-ES_tradnl"/>
        </w:rPr>
        <w:t xml:space="preserve"> </w:t>
      </w:r>
      <w:r w:rsidRPr="00725A8F">
        <w:rPr>
          <w:lang w:val="es-ES_tradnl"/>
        </w:rPr>
        <w:t xml:space="preserve"> La mayoría de las clases de a</w:t>
      </w:r>
      <w:r w:rsidR="0060117F">
        <w:rPr>
          <w:lang w:val="es-ES_tradnl"/>
        </w:rPr>
        <w:t>ctivos enumeradas en el párrafo </w:t>
      </w:r>
      <w:r w:rsidRPr="00725A8F">
        <w:rPr>
          <w:lang w:val="es-ES_tradnl"/>
        </w:rPr>
        <w:t>10 podrían destinarse al efectivo para gastos de funcionamiento, ya que todos estos activos pueden mantenerse durante una diversidad de plazos. Las excepciones principales son las colocaciones privadas y los Fondos fiduciarios de inversión inmobiliaria</w:t>
      </w:r>
      <w:r w:rsidR="0085234C">
        <w:rPr>
          <w:lang w:val="es-ES_tradnl"/>
        </w:rPr>
        <w:t xml:space="preserve">. </w:t>
      </w:r>
      <w:r w:rsidRPr="00725A8F">
        <w:rPr>
          <w:lang w:val="es-ES_tradnl"/>
        </w:rPr>
        <w:t>Sin embargo, procede señalar que, en el actual entorno de tipos de interés negativos, las clases de activos que se utilizarían para el efectivo para gastos de funcionamiento ofrecen actualmente tipos negativos sobre vencimientos que se conside</w:t>
      </w:r>
      <w:r w:rsidR="0060117F">
        <w:rPr>
          <w:lang w:val="es-ES_tradnl"/>
        </w:rPr>
        <w:t>ran líquidos (períodos de hasta </w:t>
      </w:r>
      <w:r w:rsidRPr="00725A8F">
        <w:rPr>
          <w:lang w:val="es-ES_tradnl"/>
        </w:rPr>
        <w:t>12 meses).</w:t>
      </w:r>
    </w:p>
    <w:p w:rsidR="00254825" w:rsidRPr="00725A8F" w:rsidRDefault="00254825" w:rsidP="0060117F">
      <w:pPr>
        <w:jc w:val="both"/>
        <w:rPr>
          <w:b/>
          <w:lang w:val="es-ES_tradnl"/>
        </w:rPr>
      </w:pPr>
    </w:p>
    <w:p w:rsidR="00254825" w:rsidRPr="00725A8F" w:rsidRDefault="00254825" w:rsidP="0060117F">
      <w:pPr>
        <w:jc w:val="both"/>
        <w:rPr>
          <w:rFonts w:eastAsia="Arial"/>
          <w:b/>
          <w:lang w:val="es-ES_tradnl"/>
        </w:rPr>
      </w:pPr>
      <w:r w:rsidRPr="00725A8F">
        <w:rPr>
          <w:b/>
          <w:lang w:val="es-ES_tradnl"/>
        </w:rPr>
        <w:t xml:space="preserve">P7.  ¿Podría especificar la forma en que la diversificación entre bancos colaboradores, clases de activos y calificaciones de riesgo propuestas contribuye a alcanzar un equilibrio entre los requisitos de liquidez y las rentabilidades esperadas? </w:t>
      </w:r>
    </w:p>
    <w:p w:rsidR="00254825" w:rsidRPr="00725A8F" w:rsidRDefault="00254825" w:rsidP="0060117F">
      <w:pPr>
        <w:tabs>
          <w:tab w:val="num" w:pos="720"/>
        </w:tabs>
        <w:jc w:val="both"/>
        <w:rPr>
          <w:rFonts w:eastAsia="Arial"/>
          <w:b/>
          <w:lang w:val="es-ES_tradnl"/>
        </w:rPr>
      </w:pPr>
    </w:p>
    <w:p w:rsidR="00254825" w:rsidRPr="00725A8F" w:rsidRDefault="00254825" w:rsidP="0060117F">
      <w:pPr>
        <w:jc w:val="both"/>
        <w:rPr>
          <w:lang w:val="es-ES_tradnl"/>
        </w:rPr>
      </w:pPr>
      <w:r w:rsidRPr="00725A8F">
        <w:rPr>
          <w:lang w:val="es-ES_tradnl"/>
        </w:rPr>
        <w:lastRenderedPageBreak/>
        <w:t>R7:</w:t>
      </w:r>
      <w:r w:rsidR="0060117F">
        <w:rPr>
          <w:lang w:val="es-ES_tradnl"/>
        </w:rPr>
        <w:t xml:space="preserve"> </w:t>
      </w:r>
      <w:r w:rsidRPr="00725A8F">
        <w:rPr>
          <w:lang w:val="es-ES_tradnl"/>
        </w:rPr>
        <w:t xml:space="preserve"> Al diversificar las inversiones entre distintas entidades colaboradoras y clases de activos, la Organización puede reducir riesgos al tiempo que busca lograr una rentabilidad positiva</w:t>
      </w:r>
      <w:r w:rsidR="0085234C">
        <w:rPr>
          <w:lang w:val="es-ES_tradnl"/>
        </w:rPr>
        <w:t xml:space="preserve">. </w:t>
      </w:r>
      <w:r w:rsidRPr="00725A8F">
        <w:rPr>
          <w:lang w:val="es-ES_tradnl"/>
        </w:rPr>
        <w:t xml:space="preserve">Las calificaciones de riesgo propuestas están comprendidas en la categoría de </w:t>
      </w:r>
      <w:r w:rsidR="0085234C">
        <w:rPr>
          <w:lang w:val="es-ES_tradnl"/>
        </w:rPr>
        <w:t>“</w:t>
      </w:r>
      <w:r w:rsidRPr="00725A8F">
        <w:rPr>
          <w:lang w:val="es-ES_tradnl"/>
        </w:rPr>
        <w:t>inversión</w:t>
      </w:r>
      <w:r w:rsidR="0085234C">
        <w:rPr>
          <w:lang w:val="es-ES_tradnl"/>
        </w:rPr>
        <w:t>”</w:t>
      </w:r>
      <w:r w:rsidRPr="00725A8F">
        <w:rPr>
          <w:lang w:val="es-ES_tradnl"/>
        </w:rPr>
        <w:t xml:space="preserve"> que asignan las agencias de calificación</w:t>
      </w:r>
      <w:r w:rsidR="0085234C">
        <w:rPr>
          <w:lang w:val="es-ES_tradnl"/>
        </w:rPr>
        <w:t xml:space="preserve">. </w:t>
      </w:r>
      <w:r w:rsidRPr="00725A8F">
        <w:rPr>
          <w:lang w:val="es-ES_tradnl"/>
        </w:rPr>
        <w:t>Al atenerse a estas calificaciones como mínimo, la OMPI persigue asimismo minimizar el riesgo</w:t>
      </w:r>
      <w:r w:rsidR="0085234C">
        <w:rPr>
          <w:lang w:val="es-ES_tradnl"/>
        </w:rPr>
        <w:t xml:space="preserve">. </w:t>
      </w:r>
      <w:r w:rsidRPr="00725A8F">
        <w:rPr>
          <w:lang w:val="es-ES_tradnl"/>
        </w:rPr>
        <w:t>Dichas calificaciones se aplicarán a las opciones de inversión elegidas dentro de las clases de activos.</w:t>
      </w:r>
    </w:p>
    <w:p w:rsidR="00254825" w:rsidRPr="00725A8F" w:rsidRDefault="00254825" w:rsidP="0060117F">
      <w:pPr>
        <w:tabs>
          <w:tab w:val="num" w:pos="720"/>
        </w:tabs>
        <w:jc w:val="both"/>
        <w:rPr>
          <w:rFonts w:eastAsia="Arial"/>
          <w:b/>
          <w:lang w:val="es-ES_tradnl"/>
        </w:rPr>
      </w:pPr>
    </w:p>
    <w:p w:rsidR="00254825" w:rsidRPr="00725A8F" w:rsidRDefault="00254825" w:rsidP="0060117F">
      <w:pPr>
        <w:tabs>
          <w:tab w:val="num" w:pos="720"/>
        </w:tabs>
        <w:jc w:val="both"/>
        <w:rPr>
          <w:rFonts w:eastAsia="Arial"/>
          <w:lang w:val="es-ES_tradnl"/>
        </w:rPr>
      </w:pPr>
    </w:p>
    <w:p w:rsidR="00254825" w:rsidRPr="00725A8F" w:rsidRDefault="00254825" w:rsidP="0060117F">
      <w:pPr>
        <w:jc w:val="both"/>
        <w:rPr>
          <w:b/>
          <w:lang w:val="es-ES_tradnl"/>
        </w:rPr>
      </w:pPr>
      <w:r w:rsidRPr="00725A8F">
        <w:rPr>
          <w:b/>
          <w:lang w:val="es-ES_tradnl"/>
        </w:rPr>
        <w:t xml:space="preserve">P8.  ¿Cuáles son las repercusiones y la trascendencia de la nueva formulación </w:t>
      </w:r>
      <w:r w:rsidR="0060117F">
        <w:rPr>
          <w:b/>
          <w:lang w:val="es-ES_tradnl"/>
        </w:rPr>
        <w:t>propuesta para el párrafo </w:t>
      </w:r>
      <w:r w:rsidRPr="00725A8F">
        <w:rPr>
          <w:b/>
          <w:lang w:val="es-ES_tradnl"/>
        </w:rPr>
        <w:t xml:space="preserve">2 (Objetivos) de la política de inversión, y especialmente la salvedad según la cual el objetivo de la conservación del capital se llevará a cabo </w:t>
      </w:r>
      <w:r w:rsidR="0085234C">
        <w:rPr>
          <w:b/>
          <w:lang w:val="es-ES_tradnl"/>
        </w:rPr>
        <w:t>“</w:t>
      </w:r>
      <w:r w:rsidRPr="00725A8F">
        <w:rPr>
          <w:b/>
          <w:lang w:val="es-ES_tradnl"/>
        </w:rPr>
        <w:t>en la medida de lo posible si los tipos de interés prevalentes son negativos</w:t>
      </w:r>
      <w:r w:rsidR="0085234C">
        <w:rPr>
          <w:b/>
          <w:lang w:val="es-ES_tradnl"/>
        </w:rPr>
        <w:t>”</w:t>
      </w:r>
      <w:r w:rsidRPr="00725A8F">
        <w:rPr>
          <w:b/>
          <w:lang w:val="es-ES_tradnl"/>
        </w:rPr>
        <w:t xml:space="preserve">? </w:t>
      </w:r>
    </w:p>
    <w:p w:rsidR="00254825" w:rsidRPr="00725A8F" w:rsidRDefault="00254825" w:rsidP="0060117F">
      <w:pPr>
        <w:jc w:val="both"/>
        <w:rPr>
          <w:b/>
          <w:lang w:val="es-ES_tradnl"/>
        </w:rPr>
      </w:pPr>
    </w:p>
    <w:p w:rsidR="00254825" w:rsidRPr="00725A8F" w:rsidRDefault="00254825" w:rsidP="0060117F">
      <w:pPr>
        <w:jc w:val="both"/>
        <w:rPr>
          <w:lang w:val="es-ES_tradnl"/>
        </w:rPr>
      </w:pPr>
      <w:r w:rsidRPr="00725A8F">
        <w:rPr>
          <w:lang w:val="es-ES_tradnl"/>
        </w:rPr>
        <w:t>R8:</w:t>
      </w:r>
      <w:r w:rsidR="0060117F">
        <w:rPr>
          <w:lang w:val="es-ES_tradnl"/>
        </w:rPr>
        <w:t xml:space="preserve"> </w:t>
      </w:r>
      <w:r w:rsidRPr="00725A8F">
        <w:rPr>
          <w:lang w:val="es-ES_tradnl"/>
        </w:rPr>
        <w:t xml:space="preserve"> Conforme a la actual política de inversión, el objetivo más importante de la gestión de inversiones de la Organización es preservar el capital</w:t>
      </w:r>
      <w:r w:rsidR="0085234C">
        <w:rPr>
          <w:lang w:val="es-ES_tradnl"/>
        </w:rPr>
        <w:t xml:space="preserve">. </w:t>
      </w:r>
      <w:r w:rsidRPr="00725A8F">
        <w:rPr>
          <w:lang w:val="es-ES_tradnl"/>
        </w:rPr>
        <w:t>En un entorno de tipos de interés negativos, la posibilidad de lograr ese objetivo es obviamente menor, puesto que los tipos negativos reducen los saldos de capital</w:t>
      </w:r>
      <w:r w:rsidR="0085234C">
        <w:rPr>
          <w:lang w:val="es-ES_tradnl"/>
        </w:rPr>
        <w:t xml:space="preserve">. </w:t>
      </w:r>
      <w:r w:rsidRPr="00725A8F">
        <w:rPr>
          <w:lang w:val="es-ES_tradnl"/>
        </w:rPr>
        <w:t>Con objeto de evitar que suceda esto, es preciso invertir el capital en activos que ofrecen una tasa de rentabilidad positiva</w:t>
      </w:r>
      <w:r w:rsidR="0085234C">
        <w:rPr>
          <w:lang w:val="es-ES_tradnl"/>
        </w:rPr>
        <w:t xml:space="preserve">. </w:t>
      </w:r>
      <w:r w:rsidRPr="00725A8F">
        <w:rPr>
          <w:lang w:val="es-ES_tradnl"/>
        </w:rPr>
        <w:t>Tales activos entrañan un riesgo mayor que los activos como los depósitos bancarios, por ejemplo, a los que en la actualidad se aplican tipos de interés negativos.</w:t>
      </w:r>
    </w:p>
    <w:p w:rsidR="00254825" w:rsidRPr="00725A8F" w:rsidRDefault="00254825" w:rsidP="0060117F">
      <w:pPr>
        <w:tabs>
          <w:tab w:val="num" w:pos="720"/>
        </w:tabs>
        <w:jc w:val="both"/>
        <w:rPr>
          <w:b/>
          <w:lang w:val="es-ES_tradnl"/>
        </w:rPr>
      </w:pPr>
    </w:p>
    <w:p w:rsidR="00254825" w:rsidRPr="00725A8F" w:rsidRDefault="0060117F" w:rsidP="0060117F">
      <w:pPr>
        <w:jc w:val="both"/>
        <w:rPr>
          <w:b/>
          <w:lang w:val="es-ES_tradnl"/>
        </w:rPr>
      </w:pPr>
      <w:r>
        <w:rPr>
          <w:b/>
          <w:lang w:val="es-ES_tradnl"/>
        </w:rPr>
        <w:t>P9.  En el párrafo </w:t>
      </w:r>
      <w:r w:rsidR="00254825" w:rsidRPr="00725A8F">
        <w:rPr>
          <w:b/>
          <w:lang w:val="es-ES_tradnl"/>
        </w:rPr>
        <w:t>7 de la política de inversión (y esta parte no se ve afectada por la revisión propuesta actualmente) no se mencionan las inversiones en divisas distintas del franco suizo, y se prevé el uso de instrumentos de cobertura para reducir al mínimo los riesgos asociados</w:t>
      </w:r>
      <w:r w:rsidR="0085234C">
        <w:rPr>
          <w:b/>
          <w:lang w:val="es-ES_tradnl"/>
        </w:rPr>
        <w:t xml:space="preserve">. </w:t>
      </w:r>
      <w:r w:rsidR="00254825" w:rsidRPr="00725A8F">
        <w:rPr>
          <w:b/>
          <w:lang w:val="es-ES_tradnl"/>
        </w:rPr>
        <w:t>A la luz de esta flexibilidad, ¿qué tipos de situaciones concretas pueden dar lugar a que resulte inevitable el deterioro del capital como consecuencia de los tipos de interés negativos, incluso con la posibilidad de invertir en divisas distintas del franco suizo que ofrece la política de inversiones, y qué importes supondrían?</w:t>
      </w:r>
    </w:p>
    <w:p w:rsidR="00254825" w:rsidRPr="00725A8F" w:rsidRDefault="00254825" w:rsidP="0060117F">
      <w:pPr>
        <w:jc w:val="both"/>
        <w:rPr>
          <w:b/>
          <w:lang w:val="es-ES_tradnl"/>
        </w:rPr>
      </w:pPr>
    </w:p>
    <w:p w:rsidR="00254825" w:rsidRPr="00725A8F" w:rsidRDefault="00254825" w:rsidP="0060117F">
      <w:pPr>
        <w:jc w:val="both"/>
        <w:rPr>
          <w:lang w:val="es-ES_tradnl"/>
        </w:rPr>
      </w:pPr>
      <w:r w:rsidRPr="00725A8F">
        <w:rPr>
          <w:lang w:val="es-ES_tradnl"/>
        </w:rPr>
        <w:t>R9:</w:t>
      </w:r>
      <w:r w:rsidR="0060117F">
        <w:rPr>
          <w:lang w:val="es-ES_tradnl"/>
        </w:rPr>
        <w:t xml:space="preserve"> </w:t>
      </w:r>
      <w:r w:rsidRPr="00725A8F">
        <w:rPr>
          <w:lang w:val="es-ES_tradnl"/>
        </w:rPr>
        <w:t xml:space="preserve"> Los tipos de interés efectivos existen efectivamente en diversos países, aunque en ocasiones sólo para las inversiones a medio o largo plazo (5</w:t>
      </w:r>
      <w:r w:rsidR="0060117F">
        <w:rPr>
          <w:lang w:val="es-ES_tradnl"/>
        </w:rPr>
        <w:t> a </w:t>
      </w:r>
      <w:r w:rsidRPr="00725A8F">
        <w:rPr>
          <w:lang w:val="es-ES_tradnl"/>
        </w:rPr>
        <w:t>10 años), que es posible que no sea un horizonte de inversión adecuado para la Organización</w:t>
      </w:r>
      <w:r w:rsidR="0085234C">
        <w:rPr>
          <w:lang w:val="es-ES_tradnl"/>
        </w:rPr>
        <w:t xml:space="preserve">. </w:t>
      </w:r>
      <w:r w:rsidRPr="00725A8F">
        <w:rPr>
          <w:lang w:val="es-ES_tradnl"/>
        </w:rPr>
        <w:t>Si la Secretaría tuviera conocimiento de una inversión en una divisa, que genere una rentabilidad positiva al establecer cobertura con respecto al franco suizo (lo que frecuentemente no sucede) y si el vencimiento de la inversión subyacente cumple los requisitos de la OMPI, tal inversión sería obviamente interesante</w:t>
      </w:r>
      <w:r w:rsidR="0085234C">
        <w:rPr>
          <w:lang w:val="es-ES_tradnl"/>
        </w:rPr>
        <w:t xml:space="preserve">. </w:t>
      </w:r>
      <w:r w:rsidRPr="00725A8F">
        <w:rPr>
          <w:lang w:val="es-ES_tradnl"/>
        </w:rPr>
        <w:t>Sin embargo, la necesidad de reducir al mínimo los riesgos exige diversificación, de modo que no se podrían colocar todas las inversiones de la OMPI en un producto de inversión de ese tipo o, incluso, en una determinada divisa.</w:t>
      </w:r>
    </w:p>
    <w:p w:rsidR="00254825" w:rsidRPr="00725A8F" w:rsidRDefault="00254825" w:rsidP="0060117F">
      <w:pPr>
        <w:jc w:val="both"/>
        <w:rPr>
          <w:b/>
          <w:lang w:val="es-ES_tradnl"/>
        </w:rPr>
      </w:pPr>
    </w:p>
    <w:p w:rsidR="00254825" w:rsidRPr="00725A8F" w:rsidRDefault="00254825" w:rsidP="0060117F">
      <w:pPr>
        <w:jc w:val="both"/>
        <w:rPr>
          <w:b/>
          <w:lang w:val="es-ES_tradnl"/>
        </w:rPr>
      </w:pPr>
      <w:r w:rsidRPr="00725A8F">
        <w:rPr>
          <w:b/>
          <w:lang w:val="es-ES_tradnl"/>
        </w:rPr>
        <w:t>P10.  Esta cuestión está muy probablemente relacionada con la Propuesta sobre revisiones adicionales de la política de inversiones (WO/PBC/23/7) y, en particular, con la nueva política de inversiones aplicable al efectivo para gastos de funcionamiento, y desearíamos analizar los desafíos que plantean los tipos de interés negativos a las inversiones de efectivo para gastos de funcionamiento, que requieren gran liquidez; en otras palabras, ¿la salvedad mencionada significa que el efectivo para gastos de funcionamiento –como consecuencia del elevado requisito de liquidez– no puede invertirse en divisas distintas del franco suizo? Ello supondría, con todo, un preocupante deterioro del capital.</w:t>
      </w:r>
    </w:p>
    <w:p w:rsidR="00254825" w:rsidRPr="00725A8F" w:rsidRDefault="00254825" w:rsidP="0060117F">
      <w:pPr>
        <w:jc w:val="both"/>
        <w:rPr>
          <w:b/>
          <w:lang w:val="es-ES_tradnl"/>
        </w:rPr>
      </w:pPr>
    </w:p>
    <w:p w:rsidR="00254825" w:rsidRPr="00725A8F" w:rsidRDefault="00254825" w:rsidP="0060117F">
      <w:pPr>
        <w:jc w:val="both"/>
        <w:rPr>
          <w:lang w:val="es-ES_tradnl"/>
        </w:rPr>
      </w:pPr>
      <w:r w:rsidRPr="00725A8F">
        <w:rPr>
          <w:lang w:val="es-ES_tradnl"/>
        </w:rPr>
        <w:t xml:space="preserve">R10: </w:t>
      </w:r>
      <w:r w:rsidR="0060117F">
        <w:rPr>
          <w:lang w:val="es-ES_tradnl"/>
        </w:rPr>
        <w:t xml:space="preserve"> </w:t>
      </w:r>
      <w:r w:rsidRPr="00725A8F">
        <w:rPr>
          <w:lang w:val="es-ES_tradnl"/>
        </w:rPr>
        <w:t>Es posible invertir el efectivo para gastos de funcionamiento en productos financieros en divisas con una duración breve</w:t>
      </w:r>
      <w:r w:rsidR="0085234C">
        <w:rPr>
          <w:lang w:val="es-ES_tradnl"/>
        </w:rPr>
        <w:t xml:space="preserve">. </w:t>
      </w:r>
      <w:r w:rsidRPr="00725A8F">
        <w:rPr>
          <w:lang w:val="es-ES_tradnl"/>
        </w:rPr>
        <w:t xml:space="preserve">Por ejemplo, la OMPI podría invertir en un depósito en </w:t>
      </w:r>
      <w:r w:rsidR="00725A8F" w:rsidRPr="00725A8F">
        <w:rPr>
          <w:lang w:val="es-ES_tradnl"/>
        </w:rPr>
        <w:t xml:space="preserve">dólares de los EE.UU. </w:t>
      </w:r>
      <w:r w:rsidRPr="00725A8F">
        <w:rPr>
          <w:lang w:val="es-ES_tradnl"/>
        </w:rPr>
        <w:t>a un mes y establecer una cobertura respecto al franco suizo al final de ese mes</w:t>
      </w:r>
      <w:r w:rsidR="0085234C">
        <w:rPr>
          <w:lang w:val="es-ES_tradnl"/>
        </w:rPr>
        <w:t xml:space="preserve">. </w:t>
      </w:r>
      <w:r w:rsidRPr="00725A8F">
        <w:rPr>
          <w:lang w:val="es-ES_tradnl"/>
        </w:rPr>
        <w:t xml:space="preserve">Los fondos sólo permanecerían </w:t>
      </w:r>
      <w:r w:rsidR="0085234C">
        <w:rPr>
          <w:lang w:val="es-ES_tradnl"/>
        </w:rPr>
        <w:t>“</w:t>
      </w:r>
      <w:r w:rsidRPr="00725A8F">
        <w:rPr>
          <w:lang w:val="es-ES_tradnl"/>
        </w:rPr>
        <w:t>bloqueados</w:t>
      </w:r>
      <w:r w:rsidR="0085234C">
        <w:rPr>
          <w:lang w:val="es-ES_tradnl"/>
        </w:rPr>
        <w:t>”</w:t>
      </w:r>
      <w:r w:rsidRPr="00725A8F">
        <w:rPr>
          <w:lang w:val="es-ES_tradnl"/>
        </w:rPr>
        <w:t xml:space="preserve"> durante un mes y, por tanto, podría considerarse que son relativamente líquidos y que cumplen los criterios aplicables al efectivo para gastos de funcionamiento</w:t>
      </w:r>
      <w:r w:rsidR="0085234C">
        <w:rPr>
          <w:lang w:val="es-ES_tradnl"/>
        </w:rPr>
        <w:t xml:space="preserve">. </w:t>
      </w:r>
      <w:r w:rsidRPr="00725A8F">
        <w:rPr>
          <w:lang w:val="es-ES_tradnl"/>
        </w:rPr>
        <w:t>No obstante, en la práctica, teniendo en cuenta los efectos de la cobertura en francos suizos, esa inversión produciría una rentabilidad nula o negativa.</w:t>
      </w:r>
    </w:p>
    <w:p w:rsidR="00254825" w:rsidRPr="00725A8F" w:rsidRDefault="00254825" w:rsidP="0060117F">
      <w:pPr>
        <w:jc w:val="both"/>
        <w:rPr>
          <w:lang w:val="es-ES_tradnl"/>
        </w:rPr>
      </w:pPr>
    </w:p>
    <w:p w:rsidR="00254825" w:rsidRPr="00725A8F" w:rsidRDefault="00254825" w:rsidP="0060117F">
      <w:pPr>
        <w:jc w:val="both"/>
        <w:rPr>
          <w:b/>
          <w:lang w:val="es-ES_tradnl"/>
        </w:rPr>
      </w:pPr>
    </w:p>
    <w:p w:rsidR="00254825" w:rsidRPr="00725A8F" w:rsidRDefault="00254825" w:rsidP="0060117F">
      <w:pPr>
        <w:jc w:val="both"/>
        <w:rPr>
          <w:rFonts w:eastAsia="Arial"/>
          <w:b/>
          <w:lang w:val="es-ES_tradnl"/>
        </w:rPr>
      </w:pPr>
      <w:r w:rsidRPr="00725A8F">
        <w:rPr>
          <w:b/>
          <w:lang w:val="es-ES_tradnl"/>
        </w:rPr>
        <w:lastRenderedPageBreak/>
        <w:t>P11.  Además, se suscita la cuestión de si esta nueva salvedad hace referencia a la situación de Suiza o constituye más bien una declaración global que indica que los tipos de interés podrían ser negativos para cualquier inversión, incluso en el extranjero; esta última posibilidad sería menos preocupante porque constituiría una advertencia genérica, mientras que la primera sería más inquietante porque supondría que la OMPI no podría eludir los tipos de interés negativos de Suiza a través de inversiones no afectadas por esa política.</w:t>
      </w:r>
    </w:p>
    <w:p w:rsidR="00254825" w:rsidRPr="00725A8F" w:rsidRDefault="00254825" w:rsidP="0060117F">
      <w:pPr>
        <w:tabs>
          <w:tab w:val="left" w:pos="5529"/>
        </w:tabs>
        <w:jc w:val="both"/>
        <w:rPr>
          <w:lang w:val="es-ES_tradnl"/>
        </w:rPr>
      </w:pPr>
    </w:p>
    <w:p w:rsidR="00254825" w:rsidRPr="00725A8F" w:rsidRDefault="00254825" w:rsidP="0060117F">
      <w:pPr>
        <w:jc w:val="both"/>
        <w:rPr>
          <w:lang w:val="es-ES_tradnl"/>
        </w:rPr>
      </w:pPr>
      <w:r w:rsidRPr="00725A8F">
        <w:rPr>
          <w:lang w:val="es-ES_tradnl"/>
        </w:rPr>
        <w:t xml:space="preserve">R11: </w:t>
      </w:r>
      <w:r w:rsidR="0060117F">
        <w:rPr>
          <w:lang w:val="es-ES_tradnl"/>
        </w:rPr>
        <w:t xml:space="preserve"> </w:t>
      </w:r>
      <w:r w:rsidRPr="00725A8F">
        <w:rPr>
          <w:lang w:val="es-ES_tradnl"/>
        </w:rPr>
        <w:t>Es muy posible que las rentabilidades positivas obtenidas por las inversiones en divisas pasen a ser negativas o, en el mejor de los casos, nulas después de que la inversión se cubra en francos suizos. (Véanse las respuestas precedentes).</w:t>
      </w:r>
    </w:p>
    <w:p w:rsidR="00254825" w:rsidRPr="00725A8F" w:rsidRDefault="00254825" w:rsidP="0060117F">
      <w:pPr>
        <w:rPr>
          <w:rFonts w:eastAsia="Arial"/>
          <w:lang w:val="es-ES_tradnl"/>
        </w:rPr>
      </w:pPr>
    </w:p>
    <w:p w:rsidR="00254825" w:rsidRPr="00725A8F" w:rsidRDefault="00254825" w:rsidP="0060117F">
      <w:pPr>
        <w:tabs>
          <w:tab w:val="left" w:pos="5529"/>
        </w:tabs>
        <w:rPr>
          <w:lang w:val="es-ES_tradnl"/>
        </w:rPr>
      </w:pPr>
    </w:p>
    <w:p w:rsidR="00254825" w:rsidRPr="00725A8F" w:rsidRDefault="00254825" w:rsidP="0060117F">
      <w:pPr>
        <w:tabs>
          <w:tab w:val="left" w:pos="5529"/>
        </w:tabs>
        <w:rPr>
          <w:sz w:val="24"/>
          <w:szCs w:val="24"/>
          <w:lang w:val="es-ES_tradnl"/>
        </w:rPr>
      </w:pPr>
      <w:r w:rsidRPr="00725A8F">
        <w:rPr>
          <w:sz w:val="24"/>
          <w:lang w:val="es-ES_tradnl"/>
        </w:rPr>
        <w:t xml:space="preserve">PROPUESTA DE POLÍTICA REVISADA DE LA OMPI </w:t>
      </w:r>
      <w:r w:rsidR="00720700">
        <w:rPr>
          <w:sz w:val="24"/>
          <w:lang w:val="es-ES_tradnl"/>
        </w:rPr>
        <w:t>SOBRE LAS</w:t>
      </w:r>
      <w:r w:rsidRPr="00725A8F">
        <w:rPr>
          <w:sz w:val="24"/>
          <w:lang w:val="es-ES_tradnl"/>
        </w:rPr>
        <w:t xml:space="preserve"> RESERVAS</w:t>
      </w:r>
    </w:p>
    <w:p w:rsidR="00254825" w:rsidRPr="00725A8F" w:rsidRDefault="00254825" w:rsidP="0060117F">
      <w:pPr>
        <w:tabs>
          <w:tab w:val="left" w:pos="5529"/>
        </w:tabs>
        <w:rPr>
          <w:lang w:val="es-ES_tradnl"/>
        </w:rPr>
      </w:pPr>
    </w:p>
    <w:p w:rsidR="00254825" w:rsidRPr="00725A8F" w:rsidRDefault="00254825" w:rsidP="0060117F">
      <w:pPr>
        <w:pStyle w:val="ONUME"/>
        <w:numPr>
          <w:ilvl w:val="0"/>
          <w:numId w:val="0"/>
        </w:numPr>
        <w:jc w:val="both"/>
        <w:rPr>
          <w:b/>
          <w:lang w:val="es-ES_tradnl"/>
        </w:rPr>
      </w:pPr>
      <w:r w:rsidRPr="00725A8F">
        <w:rPr>
          <w:b/>
          <w:lang w:val="es-ES_tradnl"/>
        </w:rPr>
        <w:t>P1:  Ante</w:t>
      </w:r>
      <w:r w:rsidR="0060117F">
        <w:rPr>
          <w:b/>
          <w:lang w:val="es-ES_tradnl"/>
        </w:rPr>
        <w:t>s las reservas se fijaban en un </w:t>
      </w:r>
      <w:r w:rsidRPr="00725A8F">
        <w:rPr>
          <w:b/>
          <w:lang w:val="es-ES_tradnl"/>
        </w:rPr>
        <w:t>18,5% del gasto bienal</w:t>
      </w:r>
      <w:r w:rsidR="0085234C">
        <w:rPr>
          <w:b/>
          <w:lang w:val="es-ES_tradnl"/>
        </w:rPr>
        <w:t xml:space="preserve">. </w:t>
      </w:r>
      <w:r w:rsidR="0060117F">
        <w:rPr>
          <w:b/>
          <w:lang w:val="es-ES_tradnl"/>
        </w:rPr>
        <w:t>Ahora se recomienda pasar a un </w:t>
      </w:r>
      <w:r w:rsidRPr="00725A8F">
        <w:rPr>
          <w:b/>
          <w:lang w:val="es-ES_tradnl"/>
        </w:rPr>
        <w:t xml:space="preserve">22%. ¿Cuál es el motivo en el que se basa esta propuesta?  </w:t>
      </w:r>
    </w:p>
    <w:p w:rsidR="00254825" w:rsidRDefault="00254825"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hAnsi="Arial"/>
          <w:color w:val="auto"/>
          <w:sz w:val="22"/>
          <w:bdr w:val="none" w:sz="0" w:space="0" w:color="auto"/>
          <w:lang w:val="es-ES_tradnl"/>
        </w:rPr>
      </w:pPr>
      <w:r w:rsidRPr="00725A8F">
        <w:rPr>
          <w:rFonts w:ascii="Arial" w:hAnsi="Arial"/>
          <w:color w:val="auto"/>
          <w:sz w:val="22"/>
          <w:bdr w:val="none" w:sz="0" w:space="0" w:color="auto"/>
          <w:lang w:val="es-ES_tradnl"/>
        </w:rPr>
        <w:t>R1:  El aumento del nivel objetivo de las reservas contribuirá a reforzar la gestión del riesgo financiero ampliando de</w:t>
      </w:r>
      <w:r w:rsidR="0060117F">
        <w:rPr>
          <w:rFonts w:ascii="Arial" w:hAnsi="Arial"/>
          <w:color w:val="auto"/>
          <w:sz w:val="22"/>
          <w:bdr w:val="none" w:sz="0" w:space="0" w:color="auto"/>
          <w:lang w:val="es-ES_tradnl"/>
        </w:rPr>
        <w:t> 4 a </w:t>
      </w:r>
      <w:r w:rsidRPr="00725A8F">
        <w:rPr>
          <w:rFonts w:ascii="Arial" w:hAnsi="Arial"/>
          <w:color w:val="auto"/>
          <w:sz w:val="22"/>
          <w:bdr w:val="none" w:sz="0" w:space="0" w:color="auto"/>
          <w:lang w:val="es-ES_tradnl"/>
        </w:rPr>
        <w:t>5 meses el período durante el cual el funcionamiento de la Organización puede financiarse con cargo exclusivamente a fondos de reserva</w:t>
      </w:r>
      <w:r w:rsidR="0085234C">
        <w:rPr>
          <w:rFonts w:ascii="Arial" w:hAnsi="Arial"/>
          <w:color w:val="auto"/>
          <w:sz w:val="22"/>
          <w:bdr w:val="none" w:sz="0" w:space="0" w:color="auto"/>
          <w:lang w:val="es-ES_tradnl"/>
        </w:rPr>
        <w:t xml:space="preserve">. </w:t>
      </w:r>
      <w:r w:rsidRPr="00725A8F">
        <w:rPr>
          <w:rFonts w:ascii="Arial" w:hAnsi="Arial"/>
          <w:color w:val="auto"/>
          <w:sz w:val="22"/>
          <w:bdr w:val="none" w:sz="0" w:space="0" w:color="auto"/>
          <w:lang w:val="es-ES_tradnl"/>
        </w:rPr>
        <w:t>Asimismo, el aumento propuesto se atiene a las preferencias expresadas por los Estados miembros en el sentido de que el nivel objetivo de las reservas se eleve gradualmente. Asimismo, este mayor nivel de reservas del</w:t>
      </w:r>
      <w:r w:rsidR="0060117F">
        <w:rPr>
          <w:rFonts w:ascii="Arial" w:hAnsi="Arial"/>
          <w:color w:val="auto"/>
          <w:sz w:val="22"/>
          <w:bdr w:val="none" w:sz="0" w:space="0" w:color="auto"/>
          <w:lang w:val="es-ES_tradnl"/>
        </w:rPr>
        <w:t> </w:t>
      </w:r>
      <w:r w:rsidRPr="00725A8F">
        <w:rPr>
          <w:rFonts w:ascii="Arial" w:hAnsi="Arial"/>
          <w:color w:val="auto"/>
          <w:sz w:val="22"/>
          <w:bdr w:val="none" w:sz="0" w:space="0" w:color="auto"/>
          <w:lang w:val="es-ES_tradnl"/>
        </w:rPr>
        <w:t>22% se ajusta en mayor medida a la recomendaci</w:t>
      </w:r>
      <w:r w:rsidR="0060117F">
        <w:rPr>
          <w:rFonts w:ascii="Arial" w:hAnsi="Arial"/>
          <w:color w:val="auto"/>
          <w:sz w:val="22"/>
          <w:bdr w:val="none" w:sz="0" w:space="0" w:color="auto"/>
          <w:lang w:val="es-ES_tradnl"/>
        </w:rPr>
        <w:t>ón del Auditor Externo suizo de </w:t>
      </w:r>
      <w:r w:rsidRPr="00725A8F">
        <w:rPr>
          <w:rFonts w:ascii="Arial" w:hAnsi="Arial"/>
          <w:color w:val="auto"/>
          <w:sz w:val="22"/>
          <w:bdr w:val="none" w:sz="0" w:space="0" w:color="auto"/>
          <w:lang w:val="es-ES_tradnl"/>
        </w:rPr>
        <w:t>2006, que propuso que el objet</w:t>
      </w:r>
      <w:r w:rsidR="0060117F">
        <w:rPr>
          <w:rFonts w:ascii="Arial" w:hAnsi="Arial"/>
          <w:color w:val="auto"/>
          <w:sz w:val="22"/>
          <w:bdr w:val="none" w:sz="0" w:space="0" w:color="auto"/>
          <w:lang w:val="es-ES_tradnl"/>
        </w:rPr>
        <w:t>ivo de reservas se fijara en el </w:t>
      </w:r>
      <w:r w:rsidRPr="00725A8F">
        <w:rPr>
          <w:rFonts w:ascii="Arial" w:hAnsi="Arial"/>
          <w:color w:val="auto"/>
          <w:sz w:val="22"/>
          <w:bdr w:val="none" w:sz="0" w:space="0" w:color="auto"/>
          <w:lang w:val="es-ES_tradnl"/>
        </w:rPr>
        <w:t>25% del gasto bienal previsto, es decir, el equivalente a seis meses de ga</w:t>
      </w:r>
      <w:r w:rsidR="0060117F">
        <w:rPr>
          <w:rFonts w:ascii="Arial" w:hAnsi="Arial"/>
          <w:color w:val="auto"/>
          <w:sz w:val="22"/>
          <w:bdr w:val="none" w:sz="0" w:space="0" w:color="auto"/>
          <w:lang w:val="es-ES_tradnl"/>
        </w:rPr>
        <w:t>sto bienal (véanse los párrafos 8 a </w:t>
      </w:r>
      <w:r w:rsidRPr="00725A8F">
        <w:rPr>
          <w:rFonts w:ascii="Arial" w:hAnsi="Arial"/>
          <w:color w:val="auto"/>
          <w:sz w:val="22"/>
          <w:bdr w:val="none" w:sz="0" w:space="0" w:color="auto"/>
          <w:lang w:val="es-ES_tradnl"/>
        </w:rPr>
        <w:t>13 del documento WO/PBC/23/8).</w:t>
      </w:r>
    </w:p>
    <w:p w:rsidR="0060117F" w:rsidRDefault="0060117F"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hAnsi="Arial"/>
          <w:color w:val="auto"/>
          <w:sz w:val="22"/>
          <w:bdr w:val="none" w:sz="0" w:space="0" w:color="auto"/>
          <w:lang w:val="es-ES_tradnl"/>
        </w:rPr>
      </w:pPr>
    </w:p>
    <w:p w:rsidR="0060117F" w:rsidRPr="00725A8F" w:rsidRDefault="0060117F"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eastAsia="Arial" w:hAnsi="Arial" w:cs="Arial"/>
          <w:color w:val="auto"/>
          <w:sz w:val="22"/>
          <w:szCs w:val="20"/>
          <w:bdr w:val="none" w:sz="0" w:space="0" w:color="auto"/>
          <w:lang w:val="es-ES_tradnl"/>
        </w:rPr>
      </w:pPr>
    </w:p>
    <w:p w:rsidR="00254825" w:rsidRPr="00725A8F" w:rsidRDefault="00254825" w:rsidP="0060117F">
      <w:pPr>
        <w:pStyle w:val="ONUME"/>
        <w:numPr>
          <w:ilvl w:val="0"/>
          <w:numId w:val="0"/>
        </w:numPr>
        <w:jc w:val="both"/>
        <w:rPr>
          <w:b/>
          <w:bCs/>
          <w:lang w:val="es-ES_tradnl"/>
        </w:rPr>
      </w:pPr>
      <w:r w:rsidRPr="00725A8F">
        <w:rPr>
          <w:b/>
          <w:lang w:val="es-ES_tradnl"/>
        </w:rPr>
        <w:t xml:space="preserve">P2: </w:t>
      </w:r>
      <w:r w:rsidR="0060117F">
        <w:rPr>
          <w:b/>
          <w:lang w:val="es-ES_tradnl"/>
        </w:rPr>
        <w:t xml:space="preserve"> </w:t>
      </w:r>
      <w:r w:rsidRPr="00725A8F">
        <w:rPr>
          <w:b/>
          <w:lang w:val="es-ES_tradnl"/>
        </w:rPr>
        <w:t xml:space="preserve">La política revisada relativa a reservas no impide, según parece, el uso de las reservas </w:t>
      </w:r>
      <w:r w:rsidR="0085234C">
        <w:rPr>
          <w:b/>
          <w:lang w:val="es-ES_tradnl"/>
        </w:rPr>
        <w:t>“</w:t>
      </w:r>
      <w:r w:rsidRPr="00725A8F">
        <w:rPr>
          <w:b/>
          <w:lang w:val="es-ES_tradnl"/>
        </w:rPr>
        <w:t>para actividades operativas recurrentes de la Organización</w:t>
      </w:r>
      <w:r w:rsidR="0085234C">
        <w:rPr>
          <w:b/>
          <w:lang w:val="es-ES_tradnl"/>
        </w:rPr>
        <w:t>”</w:t>
      </w:r>
      <w:r w:rsidRPr="00725A8F">
        <w:rPr>
          <w:b/>
          <w:lang w:val="es-ES_tradnl"/>
        </w:rPr>
        <w:t xml:space="preserve">, como sucede en la política existente. ¿Por qué deberían financiarse con cargo a reservas las </w:t>
      </w:r>
      <w:r w:rsidR="0085234C">
        <w:rPr>
          <w:b/>
          <w:lang w:val="es-ES_tradnl"/>
        </w:rPr>
        <w:t>“</w:t>
      </w:r>
      <w:r w:rsidRPr="00725A8F">
        <w:rPr>
          <w:b/>
          <w:lang w:val="es-ES_tradnl"/>
        </w:rPr>
        <w:t>actividades operativas recurrentes de la Organización</w:t>
      </w:r>
      <w:r w:rsidR="0085234C">
        <w:rPr>
          <w:b/>
          <w:lang w:val="es-ES_tradnl"/>
        </w:rPr>
        <w:t>”</w:t>
      </w:r>
      <w:r w:rsidRPr="00725A8F">
        <w:rPr>
          <w:b/>
          <w:lang w:val="es-ES_tradnl"/>
        </w:rPr>
        <w:t xml:space="preserve"> y cuáles serían esas actividades?</w:t>
      </w:r>
    </w:p>
    <w:p w:rsidR="00254825" w:rsidRPr="00725A8F" w:rsidRDefault="00254825" w:rsidP="0060117F">
      <w:pPr>
        <w:jc w:val="both"/>
        <w:rPr>
          <w:rFonts w:eastAsia="Arial"/>
          <w:lang w:val="es-ES_tradnl"/>
        </w:rPr>
      </w:pPr>
      <w:r w:rsidRPr="00725A8F">
        <w:rPr>
          <w:lang w:val="es-ES_tradnl"/>
        </w:rPr>
        <w:t xml:space="preserve">R2: </w:t>
      </w:r>
      <w:r w:rsidR="0060117F">
        <w:rPr>
          <w:lang w:val="es-ES_tradnl"/>
        </w:rPr>
        <w:t xml:space="preserve"> </w:t>
      </w:r>
      <w:r w:rsidRPr="00725A8F">
        <w:rPr>
          <w:lang w:val="es-ES_tradnl"/>
        </w:rPr>
        <w:t xml:space="preserve">No hay intención de utilizar las reservas para </w:t>
      </w:r>
      <w:r w:rsidR="0085234C">
        <w:rPr>
          <w:lang w:val="es-ES_tradnl"/>
        </w:rPr>
        <w:t>“</w:t>
      </w:r>
      <w:r w:rsidRPr="00725A8F">
        <w:rPr>
          <w:lang w:val="es-ES_tradnl"/>
        </w:rPr>
        <w:t>actividades operativas recurrentes</w:t>
      </w:r>
      <w:r w:rsidR="0085234C">
        <w:rPr>
          <w:lang w:val="es-ES_tradnl"/>
        </w:rPr>
        <w:t>”</w:t>
      </w:r>
      <w:r w:rsidRPr="00725A8F">
        <w:rPr>
          <w:lang w:val="es-ES_tradnl"/>
        </w:rPr>
        <w:t>, sino todo lo contrario</w:t>
      </w:r>
      <w:r w:rsidR="0085234C">
        <w:rPr>
          <w:lang w:val="es-ES_tradnl"/>
        </w:rPr>
        <w:t xml:space="preserve">. </w:t>
      </w:r>
      <w:r w:rsidRPr="00725A8F">
        <w:rPr>
          <w:lang w:val="es-ES_tradnl"/>
        </w:rPr>
        <w:t>Cuando un proyecto financiado con cargo a reservas genere gastos recurrentes tras su finalización (como por ejemplo, un proyecto de TIC que requiere costos recurrentes de mantenimiento), los costos recurrentes se incluirán en los presupuestos por programas subsiguientes (es decir, se financiarán con cargo al presupuesto ordinario).</w:t>
      </w:r>
    </w:p>
    <w:p w:rsidR="00254825" w:rsidRPr="00725A8F" w:rsidRDefault="00254825" w:rsidP="0060117F">
      <w:pPr>
        <w:rPr>
          <w:rFonts w:eastAsia="Arial"/>
          <w:lang w:val="es-ES_tradnl"/>
        </w:rPr>
      </w:pPr>
    </w:p>
    <w:p w:rsidR="00254825" w:rsidRPr="00725A8F" w:rsidRDefault="00254825" w:rsidP="0060117F">
      <w:pPr>
        <w:rPr>
          <w:rFonts w:eastAsia="Arial"/>
          <w:lang w:val="es-ES_tradnl"/>
        </w:rPr>
      </w:pPr>
    </w:p>
    <w:p w:rsidR="00254825" w:rsidRPr="00725A8F" w:rsidRDefault="00254825" w:rsidP="0060117F">
      <w:pPr>
        <w:jc w:val="both"/>
        <w:rPr>
          <w:rFonts w:eastAsia="Arial"/>
          <w:b/>
          <w:lang w:val="es-ES_tradnl"/>
        </w:rPr>
      </w:pPr>
      <w:r w:rsidRPr="00725A8F">
        <w:rPr>
          <w:b/>
          <w:lang w:val="es-ES_tradnl"/>
        </w:rPr>
        <w:t xml:space="preserve">P3: </w:t>
      </w:r>
      <w:r w:rsidR="0060117F">
        <w:rPr>
          <w:b/>
          <w:lang w:val="es-ES_tradnl"/>
        </w:rPr>
        <w:t xml:space="preserve"> </w:t>
      </w:r>
      <w:r w:rsidRPr="00725A8F">
        <w:rPr>
          <w:b/>
          <w:lang w:val="es-ES_tradnl"/>
        </w:rPr>
        <w:t>En el principio</w:t>
      </w:r>
      <w:r w:rsidR="0060117F">
        <w:rPr>
          <w:b/>
          <w:lang w:val="es-ES_tradnl"/>
        </w:rPr>
        <w:t> </w:t>
      </w:r>
      <w:r w:rsidRPr="00725A8F">
        <w:rPr>
          <w:b/>
          <w:lang w:val="es-ES_tradnl"/>
        </w:rPr>
        <w:t xml:space="preserve">3 de la política revisada se prevé un </w:t>
      </w:r>
      <w:r w:rsidR="0085234C">
        <w:rPr>
          <w:b/>
          <w:lang w:val="es-ES_tradnl"/>
        </w:rPr>
        <w:t>“</w:t>
      </w:r>
      <w:r w:rsidRPr="00725A8F">
        <w:rPr>
          <w:b/>
          <w:lang w:val="es-ES_tradnl"/>
        </w:rPr>
        <w:t>Plan maestro a largo plazo</w:t>
      </w:r>
      <w:r w:rsidR="0085234C">
        <w:rPr>
          <w:b/>
          <w:lang w:val="es-ES_tradnl"/>
        </w:rPr>
        <w:t>”</w:t>
      </w:r>
      <w:r w:rsidRPr="00725A8F">
        <w:rPr>
          <w:b/>
          <w:lang w:val="es-ES_tradnl"/>
        </w:rPr>
        <w:t xml:space="preserve">, que parece contravenir la norma según la cual las reservas deberán destinarse al </w:t>
      </w:r>
      <w:r w:rsidR="0085234C">
        <w:rPr>
          <w:b/>
          <w:lang w:val="es-ES_tradnl"/>
        </w:rPr>
        <w:t>“</w:t>
      </w:r>
      <w:r w:rsidRPr="00725A8F">
        <w:rPr>
          <w:b/>
          <w:lang w:val="es-ES_tradnl"/>
        </w:rPr>
        <w:t>pago de gastos extraordinarios y no recurrentes</w:t>
      </w:r>
      <w:r w:rsidR="0085234C">
        <w:rPr>
          <w:b/>
          <w:lang w:val="es-ES_tradnl"/>
        </w:rPr>
        <w:t>”</w:t>
      </w:r>
      <w:r w:rsidRPr="00725A8F">
        <w:rPr>
          <w:b/>
          <w:lang w:val="es-ES_tradnl"/>
        </w:rPr>
        <w:t xml:space="preserve">. ¿Cómo podrían compatibilizarse estas dos disposiciones? </w:t>
      </w:r>
    </w:p>
    <w:p w:rsidR="00254825" w:rsidRPr="00725A8F" w:rsidRDefault="00254825" w:rsidP="0060117F">
      <w:pPr>
        <w:rPr>
          <w:rFonts w:eastAsia="Arial"/>
          <w:lang w:val="es-ES_tradnl"/>
        </w:rPr>
      </w:pPr>
    </w:p>
    <w:p w:rsidR="00254825" w:rsidRPr="00725A8F" w:rsidRDefault="00254825" w:rsidP="0060117F">
      <w:pPr>
        <w:jc w:val="both"/>
        <w:rPr>
          <w:rFonts w:eastAsia="Arial"/>
          <w:lang w:val="es-ES_tradnl"/>
        </w:rPr>
      </w:pPr>
      <w:r w:rsidRPr="00725A8F">
        <w:rPr>
          <w:lang w:val="es-ES_tradnl"/>
        </w:rPr>
        <w:t xml:space="preserve">R3: </w:t>
      </w:r>
      <w:r w:rsidR="0060117F">
        <w:rPr>
          <w:lang w:val="es-ES_tradnl"/>
        </w:rPr>
        <w:t xml:space="preserve"> </w:t>
      </w:r>
      <w:r w:rsidRPr="00725A8F">
        <w:rPr>
          <w:lang w:val="es-ES_tradnl"/>
        </w:rPr>
        <w:t>El principio</w:t>
      </w:r>
      <w:r w:rsidR="0060117F">
        <w:rPr>
          <w:lang w:val="es-ES_tradnl"/>
        </w:rPr>
        <w:t> </w:t>
      </w:r>
      <w:r w:rsidRPr="00725A8F">
        <w:rPr>
          <w:lang w:val="es-ES_tradnl"/>
        </w:rPr>
        <w:t xml:space="preserve">3 (que se reproduce a continuación) se refiere al hecho de que </w:t>
      </w:r>
      <w:r w:rsidR="0085234C">
        <w:rPr>
          <w:lang w:val="es-ES_tradnl"/>
        </w:rPr>
        <w:t>“</w:t>
      </w:r>
      <w:r w:rsidRPr="00725A8F">
        <w:rPr>
          <w:lang w:val="es-ES_tradnl"/>
        </w:rPr>
        <w:t>por regla general, los proyectos de inversión figurarán en un plan maestro a largo plazo</w:t>
      </w:r>
      <w:r w:rsidR="0085234C">
        <w:rPr>
          <w:lang w:val="es-ES_tradnl"/>
        </w:rPr>
        <w:t>”</w:t>
      </w:r>
      <w:r w:rsidRPr="00725A8F">
        <w:rPr>
          <w:lang w:val="es-ES_tradnl"/>
        </w:rPr>
        <w:t xml:space="preserve">. Conforme a las prácticas óptimas, toda organización debería formular un plan a largo plazo para grandes proyectos de inversión relacionados con la construcción o rehabilitación de instalaciones y TIC. Muchos de estos proyectos son inversiones </w:t>
      </w:r>
      <w:r w:rsidR="0085234C">
        <w:rPr>
          <w:lang w:val="es-ES_tradnl"/>
        </w:rPr>
        <w:t>“</w:t>
      </w:r>
      <w:r w:rsidRPr="00725A8F">
        <w:rPr>
          <w:lang w:val="es-ES_tradnl"/>
        </w:rPr>
        <w:t>extraordinarias y no recurrentes</w:t>
      </w:r>
      <w:r w:rsidR="0085234C">
        <w:rPr>
          <w:lang w:val="es-ES_tradnl"/>
        </w:rPr>
        <w:t>”</w:t>
      </w:r>
      <w:r w:rsidRPr="00725A8F">
        <w:rPr>
          <w:lang w:val="es-ES_tradnl"/>
        </w:rPr>
        <w:t xml:space="preserve"> (por ejemplo, la renovación de un edificio) pero su iniciación sólo puede planificarse a cinco años. Así pues, no existe ninguna contradicción entre los conceptos de planificación a largo plazo y el carácter extraordinario de las inversiones de capital.</w:t>
      </w:r>
    </w:p>
    <w:p w:rsidR="00254825" w:rsidRPr="00725A8F" w:rsidRDefault="00254825" w:rsidP="0060117F">
      <w:pPr>
        <w:jc w:val="both"/>
        <w:rPr>
          <w:rFonts w:eastAsia="Arial"/>
          <w:lang w:val="es-ES_tradnl"/>
        </w:rPr>
      </w:pPr>
    </w:p>
    <w:p w:rsidR="00254825" w:rsidRPr="00725A8F" w:rsidRDefault="00254825" w:rsidP="0060117F">
      <w:pPr>
        <w:tabs>
          <w:tab w:val="left" w:pos="3150"/>
          <w:tab w:val="left" w:pos="3420"/>
        </w:tabs>
        <w:spacing w:after="120"/>
        <w:ind w:left="567"/>
        <w:jc w:val="both"/>
        <w:rPr>
          <w:b/>
          <w:i/>
          <w:lang w:val="es-ES_tradnl"/>
        </w:rPr>
      </w:pPr>
      <w:r w:rsidRPr="00725A8F">
        <w:rPr>
          <w:b/>
          <w:i/>
          <w:lang w:val="es-ES_tradnl"/>
        </w:rPr>
        <w:t>PRINCIPIO</w:t>
      </w:r>
      <w:r w:rsidR="0060117F">
        <w:rPr>
          <w:b/>
          <w:i/>
          <w:lang w:val="es-ES_tradnl"/>
        </w:rPr>
        <w:t> </w:t>
      </w:r>
      <w:r w:rsidRPr="00725A8F">
        <w:rPr>
          <w:b/>
          <w:i/>
          <w:lang w:val="es-ES_tradnl"/>
        </w:rPr>
        <w:t>3: Las propuestas para el uso de las reservas deberán destinarse al pago de gastos extraordinarios no recurrentes y, en circunstancias especiales, a iniciativas estratégicas que hayan sido decididas por las Asambleas de las Uniones de la OMPI</w:t>
      </w:r>
      <w:r w:rsidR="0085234C">
        <w:rPr>
          <w:b/>
          <w:i/>
          <w:lang w:val="es-ES_tradnl"/>
        </w:rPr>
        <w:t xml:space="preserve">. </w:t>
      </w:r>
      <w:r w:rsidRPr="00725A8F">
        <w:rPr>
          <w:b/>
          <w:i/>
          <w:lang w:val="es-ES_tradnl"/>
        </w:rPr>
        <w:t xml:space="preserve">Por regla general, los proyectos de inversión figurarán en un plan </w:t>
      </w:r>
      <w:r w:rsidRPr="00725A8F">
        <w:rPr>
          <w:b/>
          <w:i/>
          <w:lang w:val="es-ES_tradnl"/>
        </w:rPr>
        <w:lastRenderedPageBreak/>
        <w:t>maestro a largo plazo y serán proyectos relacionados con la construcción/rehabilitación o con las tecnologías de la información y la comunicación necesarios para mantener las instalaciones y los sistemas de una organización adaptados a su cometido mediante expansiones o adiciones significativas.</w:t>
      </w:r>
    </w:p>
    <w:p w:rsidR="00254825" w:rsidRPr="00725A8F" w:rsidRDefault="00254825" w:rsidP="0060117F">
      <w:pPr>
        <w:rPr>
          <w:rFonts w:eastAsia="Arial"/>
          <w:lang w:val="es-ES_tradnl"/>
        </w:rPr>
      </w:pPr>
    </w:p>
    <w:p w:rsidR="00254825" w:rsidRPr="00725A8F" w:rsidRDefault="00254825" w:rsidP="0060117F">
      <w:pPr>
        <w:rPr>
          <w:rFonts w:eastAsia="Arial"/>
          <w:b/>
          <w:lang w:val="es-ES_tradnl"/>
        </w:rPr>
      </w:pPr>
    </w:p>
    <w:p w:rsidR="00254825" w:rsidRPr="00725A8F" w:rsidRDefault="00254825" w:rsidP="0060117F">
      <w:pPr>
        <w:jc w:val="both"/>
        <w:rPr>
          <w:rFonts w:eastAsia="Arial"/>
          <w:b/>
          <w:lang w:val="es-ES_tradnl"/>
        </w:rPr>
      </w:pPr>
      <w:r w:rsidRPr="00725A8F">
        <w:rPr>
          <w:b/>
          <w:lang w:val="es-ES_tradnl"/>
        </w:rPr>
        <w:t xml:space="preserve">P4: </w:t>
      </w:r>
      <w:r w:rsidR="0060117F">
        <w:rPr>
          <w:b/>
          <w:lang w:val="es-ES_tradnl"/>
        </w:rPr>
        <w:t xml:space="preserve"> </w:t>
      </w:r>
      <w:r w:rsidRPr="00725A8F">
        <w:rPr>
          <w:b/>
          <w:lang w:val="es-ES_tradnl"/>
        </w:rPr>
        <w:t>¿C</w:t>
      </w:r>
      <w:r w:rsidR="0060117F">
        <w:rPr>
          <w:b/>
          <w:lang w:val="es-ES_tradnl"/>
        </w:rPr>
        <w:t>uál fue el gasto de reservas en </w:t>
      </w:r>
      <w:r w:rsidRPr="00725A8F">
        <w:rPr>
          <w:b/>
          <w:lang w:val="es-ES_tradnl"/>
        </w:rPr>
        <w:t>2014? ¿Y cuál es la es</w:t>
      </w:r>
      <w:r w:rsidR="0060117F">
        <w:rPr>
          <w:b/>
          <w:lang w:val="es-ES_tradnl"/>
        </w:rPr>
        <w:t>timación del uso de reservas en </w:t>
      </w:r>
      <w:r w:rsidRPr="00725A8F">
        <w:rPr>
          <w:b/>
          <w:lang w:val="es-ES_tradnl"/>
        </w:rPr>
        <w:t>2016/17?</w:t>
      </w:r>
    </w:p>
    <w:p w:rsidR="00254825" w:rsidRPr="00725A8F" w:rsidRDefault="00254825" w:rsidP="0060117F">
      <w:pPr>
        <w:tabs>
          <w:tab w:val="left" w:pos="5529"/>
        </w:tabs>
        <w:jc w:val="both"/>
        <w:rPr>
          <w:lang w:val="es-ES_tradnl"/>
        </w:rPr>
      </w:pPr>
    </w:p>
    <w:p w:rsidR="00254825" w:rsidRPr="00725A8F" w:rsidRDefault="00254825" w:rsidP="0060117F">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jc w:val="both"/>
        <w:rPr>
          <w:rFonts w:ascii="Arial" w:eastAsia="Arial" w:hAnsi="Arial"/>
          <w:color w:val="auto"/>
          <w:lang w:val="es-ES_tradnl"/>
        </w:rPr>
      </w:pPr>
      <w:r w:rsidRPr="00725A8F">
        <w:rPr>
          <w:rFonts w:ascii="Arial" w:hAnsi="Arial"/>
          <w:color w:val="auto"/>
          <w:lang w:val="es-ES_tradnl"/>
        </w:rPr>
        <w:t xml:space="preserve">R4: </w:t>
      </w:r>
      <w:r w:rsidR="0060117F">
        <w:rPr>
          <w:rFonts w:ascii="Arial" w:hAnsi="Arial"/>
          <w:color w:val="auto"/>
          <w:lang w:val="es-ES_tradnl"/>
        </w:rPr>
        <w:t xml:space="preserve"> </w:t>
      </w:r>
      <w:r w:rsidRPr="00725A8F">
        <w:rPr>
          <w:rFonts w:ascii="Arial" w:hAnsi="Arial"/>
          <w:color w:val="auto"/>
          <w:lang w:val="es-ES_tradnl"/>
        </w:rPr>
        <w:t>Para más información, véase el documento WO/PBC/23/INF.1 sobre la s</w:t>
      </w:r>
      <w:r w:rsidR="0060117F">
        <w:rPr>
          <w:rFonts w:ascii="Arial" w:hAnsi="Arial"/>
          <w:color w:val="auto"/>
          <w:lang w:val="es-ES_tradnl"/>
        </w:rPr>
        <w:t>ituación financiera al final de </w:t>
      </w:r>
      <w:r w:rsidRPr="00725A8F">
        <w:rPr>
          <w:rFonts w:ascii="Arial" w:hAnsi="Arial"/>
          <w:color w:val="auto"/>
          <w:lang w:val="es-ES_tradnl"/>
        </w:rPr>
        <w:t>2014: Resultados preliminares</w:t>
      </w:r>
      <w:r w:rsidR="0085234C">
        <w:rPr>
          <w:rFonts w:ascii="Arial" w:hAnsi="Arial"/>
          <w:color w:val="auto"/>
          <w:lang w:val="es-ES_tradnl"/>
        </w:rPr>
        <w:t xml:space="preserve">. </w:t>
      </w:r>
      <w:r w:rsidRPr="00725A8F">
        <w:rPr>
          <w:rFonts w:ascii="Arial" w:hAnsi="Arial"/>
          <w:color w:val="auto"/>
          <w:lang w:val="es-ES_tradnl"/>
        </w:rPr>
        <w:t>En particular, en el cuadro</w:t>
      </w:r>
      <w:r w:rsidR="0060117F">
        <w:rPr>
          <w:rFonts w:ascii="Arial" w:hAnsi="Arial"/>
          <w:color w:val="auto"/>
          <w:lang w:val="es-ES_tradnl"/>
        </w:rPr>
        <w:t> </w:t>
      </w:r>
      <w:r w:rsidRPr="00725A8F">
        <w:rPr>
          <w:rFonts w:ascii="Arial" w:hAnsi="Arial"/>
          <w:color w:val="auto"/>
          <w:lang w:val="es-ES_tradnl"/>
        </w:rPr>
        <w:t xml:space="preserve">1 se establece el gasto de reservas tanto antes como después de los ajustes conforme a las IPSAS. </w:t>
      </w:r>
      <w:r w:rsidR="0060117F">
        <w:rPr>
          <w:rFonts w:ascii="Arial" w:hAnsi="Arial"/>
          <w:color w:val="auto"/>
          <w:lang w:val="es-ES_tradnl"/>
        </w:rPr>
        <w:t>En </w:t>
      </w:r>
      <w:r w:rsidRPr="00725A8F">
        <w:rPr>
          <w:rFonts w:ascii="Arial" w:hAnsi="Arial"/>
          <w:color w:val="auto"/>
          <w:lang w:val="es-ES_tradnl"/>
        </w:rPr>
        <w:t>2014, el gasto de reservas antes de los ajustes conforme a las IPSAS (gastos seg</w:t>
      </w:r>
      <w:r w:rsidR="0060117F">
        <w:rPr>
          <w:rFonts w:ascii="Arial" w:hAnsi="Arial"/>
          <w:color w:val="auto"/>
          <w:lang w:val="es-ES_tradnl"/>
        </w:rPr>
        <w:t>ún presupuesto) ascendió a 35,2 </w:t>
      </w:r>
      <w:r w:rsidRPr="00725A8F">
        <w:rPr>
          <w:rFonts w:ascii="Arial" w:hAnsi="Arial"/>
          <w:color w:val="auto"/>
          <w:lang w:val="es-ES_tradnl"/>
        </w:rPr>
        <w:t>millones de francos suizos.</w:t>
      </w:r>
      <w:r w:rsidR="0060117F">
        <w:rPr>
          <w:rFonts w:ascii="Arial" w:hAnsi="Arial"/>
          <w:color w:val="auto"/>
          <w:lang w:val="es-ES_tradnl"/>
        </w:rPr>
        <w:t xml:space="preserve"> El gasto de reservas de </w:t>
      </w:r>
      <w:r w:rsidRPr="00725A8F">
        <w:rPr>
          <w:rFonts w:ascii="Arial" w:hAnsi="Arial"/>
          <w:color w:val="auto"/>
          <w:lang w:val="es-ES_tradnl"/>
        </w:rPr>
        <w:t>2014 tras practicar unos ajustes conforme a las IPSAS de</w:t>
      </w:r>
      <w:r w:rsidR="0060117F">
        <w:rPr>
          <w:rFonts w:ascii="Arial" w:hAnsi="Arial"/>
          <w:color w:val="auto"/>
          <w:lang w:val="es-ES_tradnl"/>
        </w:rPr>
        <w:t> 29,1 </w:t>
      </w:r>
      <w:r w:rsidRPr="00725A8F">
        <w:rPr>
          <w:rFonts w:ascii="Arial" w:hAnsi="Arial"/>
          <w:color w:val="auto"/>
          <w:lang w:val="es-ES_tradnl"/>
        </w:rPr>
        <w:t>millones de francos suizos se situó en</w:t>
      </w:r>
      <w:r w:rsidR="0060117F">
        <w:rPr>
          <w:rFonts w:ascii="Arial" w:hAnsi="Arial"/>
          <w:color w:val="auto"/>
          <w:lang w:val="es-ES_tradnl"/>
        </w:rPr>
        <w:t> 6,1 </w:t>
      </w:r>
      <w:r w:rsidRPr="00725A8F">
        <w:rPr>
          <w:rFonts w:ascii="Arial" w:hAnsi="Arial"/>
          <w:color w:val="auto"/>
          <w:lang w:val="es-ES_tradnl"/>
        </w:rPr>
        <w:t>millones de francos suizos.</w:t>
      </w:r>
      <w:r w:rsidR="0060117F">
        <w:rPr>
          <w:rFonts w:ascii="Arial" w:hAnsi="Arial"/>
          <w:color w:val="auto"/>
          <w:lang w:val="es-ES_tradnl"/>
        </w:rPr>
        <w:t xml:space="preserve"> </w:t>
      </w:r>
      <w:r w:rsidRPr="00725A8F">
        <w:rPr>
          <w:rFonts w:ascii="Arial" w:hAnsi="Arial"/>
          <w:color w:val="auto"/>
          <w:lang w:val="es-ES_tradnl"/>
        </w:rPr>
        <w:t>E</w:t>
      </w:r>
      <w:r w:rsidR="0060117F">
        <w:rPr>
          <w:rFonts w:ascii="Arial" w:hAnsi="Arial"/>
          <w:color w:val="auto"/>
          <w:lang w:val="es-ES_tradnl"/>
        </w:rPr>
        <w:t>l saldo de </w:t>
      </w:r>
      <w:r w:rsidRPr="00725A8F">
        <w:rPr>
          <w:rFonts w:ascii="Arial" w:hAnsi="Arial"/>
          <w:color w:val="auto"/>
          <w:lang w:val="es-ES_tradnl"/>
        </w:rPr>
        <w:t>27,2 millone</w:t>
      </w:r>
      <w:r w:rsidR="0060117F">
        <w:rPr>
          <w:rFonts w:ascii="Arial" w:hAnsi="Arial"/>
          <w:color w:val="auto"/>
          <w:lang w:val="es-ES_tradnl"/>
        </w:rPr>
        <w:t>s de francos suizos al final de </w:t>
      </w:r>
      <w:r w:rsidRPr="00725A8F">
        <w:rPr>
          <w:rFonts w:ascii="Arial" w:hAnsi="Arial"/>
          <w:color w:val="auto"/>
          <w:lang w:val="es-ES_tradnl"/>
        </w:rPr>
        <w:t>2014 representa los importes que aún han de utilizarse para proyectos cuya financiación ha sido ya aprobada con cargo a reservas (véase e</w:t>
      </w:r>
      <w:r w:rsidR="0060117F">
        <w:rPr>
          <w:rFonts w:ascii="Arial" w:hAnsi="Arial"/>
          <w:color w:val="auto"/>
          <w:lang w:val="es-ES_tradnl"/>
        </w:rPr>
        <w:t>l documento WO/PBC/23/8, cuadro </w:t>
      </w:r>
      <w:r w:rsidRPr="00725A8F">
        <w:rPr>
          <w:rFonts w:ascii="Arial" w:hAnsi="Arial"/>
          <w:color w:val="auto"/>
          <w:lang w:val="es-ES_tradnl"/>
        </w:rPr>
        <w:t>1).</w:t>
      </w:r>
    </w:p>
    <w:p w:rsidR="00254825" w:rsidRPr="00725A8F" w:rsidRDefault="00254825" w:rsidP="0060117F">
      <w:pPr>
        <w:tabs>
          <w:tab w:val="left" w:pos="5529"/>
        </w:tabs>
        <w:rPr>
          <w:lang w:val="es-ES_tradnl"/>
        </w:rPr>
      </w:pPr>
    </w:p>
    <w:p w:rsidR="00254825" w:rsidRPr="00725A8F" w:rsidRDefault="00254825" w:rsidP="0060117F">
      <w:pPr>
        <w:tabs>
          <w:tab w:val="left" w:pos="5529"/>
        </w:tabs>
        <w:rPr>
          <w:lang w:val="es-ES_tradnl"/>
        </w:rPr>
      </w:pPr>
    </w:p>
    <w:p w:rsidR="00720700" w:rsidRDefault="00720700" w:rsidP="0060117F">
      <w:pPr>
        <w:tabs>
          <w:tab w:val="left" w:pos="5529"/>
        </w:tabs>
        <w:jc w:val="right"/>
        <w:rPr>
          <w:lang w:val="es-ES_tradnl"/>
        </w:rPr>
      </w:pPr>
    </w:p>
    <w:p w:rsidR="00254825" w:rsidRPr="00725A8F" w:rsidRDefault="00254825" w:rsidP="0060117F">
      <w:pPr>
        <w:tabs>
          <w:tab w:val="left" w:pos="5529"/>
        </w:tabs>
        <w:jc w:val="right"/>
        <w:rPr>
          <w:lang w:val="es-ES_tradnl"/>
        </w:rPr>
      </w:pPr>
      <w:r w:rsidRPr="00725A8F">
        <w:rPr>
          <w:lang w:val="es-ES_tradnl"/>
        </w:rPr>
        <w:t>[Fin del documento]</w:t>
      </w:r>
    </w:p>
    <w:p w:rsidR="00254825" w:rsidRPr="00725A8F" w:rsidRDefault="00254825" w:rsidP="0060117F">
      <w:pPr>
        <w:jc w:val="both"/>
        <w:rPr>
          <w:lang w:val="es-ES_tradnl"/>
        </w:rPr>
      </w:pPr>
    </w:p>
    <w:sectPr w:rsidR="00254825" w:rsidRPr="00725A8F" w:rsidSect="006D4319">
      <w:headerReference w:type="default" r:id="rId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B6" w:rsidRDefault="00A609B6">
      <w:r>
        <w:separator/>
      </w:r>
    </w:p>
  </w:endnote>
  <w:endnote w:type="continuationSeparator" w:id="0">
    <w:p w:rsidR="00A609B6" w:rsidRDefault="00A609B6" w:rsidP="003B38C1">
      <w:r>
        <w:separator/>
      </w:r>
    </w:p>
    <w:p w:rsidR="00A609B6" w:rsidRPr="00B03034" w:rsidRDefault="00A609B6" w:rsidP="003B38C1">
      <w:pPr>
        <w:spacing w:after="60"/>
        <w:rPr>
          <w:sz w:val="17"/>
          <w:lang w:val="en-US"/>
        </w:rPr>
      </w:pPr>
      <w:r w:rsidRPr="00B03034">
        <w:rPr>
          <w:sz w:val="17"/>
          <w:lang w:val="en-US"/>
        </w:rPr>
        <w:t>[Endnote continued from previous page]</w:t>
      </w:r>
    </w:p>
  </w:endnote>
  <w:endnote w:type="continuationNotice" w:id="1">
    <w:p w:rsidR="00A609B6" w:rsidRPr="00B03034" w:rsidRDefault="00A609B6" w:rsidP="003B38C1">
      <w:pPr>
        <w:spacing w:before="60"/>
        <w:jc w:val="right"/>
        <w:rPr>
          <w:sz w:val="17"/>
          <w:szCs w:val="17"/>
          <w:lang w:val="en-US"/>
        </w:rPr>
      </w:pPr>
      <w:r w:rsidRPr="00B030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B6" w:rsidRDefault="00A609B6">
      <w:r>
        <w:separator/>
      </w:r>
    </w:p>
  </w:footnote>
  <w:footnote w:type="continuationSeparator" w:id="0">
    <w:p w:rsidR="00A609B6" w:rsidRDefault="00A609B6" w:rsidP="008B60B2">
      <w:r>
        <w:separator/>
      </w:r>
    </w:p>
    <w:p w:rsidR="00A609B6" w:rsidRPr="00B03034" w:rsidRDefault="00A609B6" w:rsidP="008B60B2">
      <w:pPr>
        <w:spacing w:after="60"/>
        <w:rPr>
          <w:sz w:val="17"/>
          <w:szCs w:val="17"/>
          <w:lang w:val="en-US"/>
        </w:rPr>
      </w:pPr>
      <w:r w:rsidRPr="00B03034">
        <w:rPr>
          <w:sz w:val="17"/>
          <w:szCs w:val="17"/>
          <w:lang w:val="en-US"/>
        </w:rPr>
        <w:t>[Footnote continued from previous page]</w:t>
      </w:r>
    </w:p>
  </w:footnote>
  <w:footnote w:type="continuationNotice" w:id="1">
    <w:p w:rsidR="00A609B6" w:rsidRPr="00B03034" w:rsidRDefault="00A609B6" w:rsidP="008B60B2">
      <w:pPr>
        <w:spacing w:before="60"/>
        <w:jc w:val="right"/>
        <w:rPr>
          <w:sz w:val="17"/>
          <w:szCs w:val="17"/>
          <w:lang w:val="en-US"/>
        </w:rPr>
      </w:pPr>
      <w:r w:rsidRPr="00B03034">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7F" w:rsidRDefault="0062187F" w:rsidP="00477D6B">
    <w:pPr>
      <w:jc w:val="right"/>
    </w:pPr>
    <w:r>
      <w:t xml:space="preserve">Preguntas y respuestas PBC 23, página </w:t>
    </w:r>
    <w:r>
      <w:fldChar w:fldCharType="begin"/>
    </w:r>
    <w:r>
      <w:instrText xml:space="preserve"> PAGE  \* MERGEFORMAT </w:instrText>
    </w:r>
    <w:r>
      <w:fldChar w:fldCharType="separate"/>
    </w:r>
    <w:r w:rsidR="003522A9">
      <w:rPr>
        <w:noProof/>
      </w:rPr>
      <w:t>18</w:t>
    </w:r>
    <w:r>
      <w:fldChar w:fldCharType="end"/>
    </w:r>
  </w:p>
  <w:p w:rsidR="0062187F" w:rsidRDefault="0062187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8">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1">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3">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12"/>
  </w:num>
  <w:num w:numId="6">
    <w:abstractNumId w:val="8"/>
  </w:num>
  <w:num w:numId="7">
    <w:abstractNumId w:val="2"/>
  </w:num>
  <w:num w:numId="8">
    <w:abstractNumId w:val="4"/>
  </w:num>
  <w:num w:numId="9">
    <w:abstractNumId w:val="0"/>
  </w:num>
  <w:num w:numId="10">
    <w:abstractNumId w:val="5"/>
  </w:num>
  <w:num w:numId="11">
    <w:abstractNumId w:val="10"/>
  </w:num>
  <w:num w:numId="12">
    <w:abstractNumId w:val="9"/>
  </w:num>
  <w:num w:numId="13">
    <w:abstractNumId w:val="13"/>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20E2"/>
    <w:rsid w:val="00022153"/>
    <w:rsid w:val="000379BB"/>
    <w:rsid w:val="00040896"/>
    <w:rsid w:val="00043CAA"/>
    <w:rsid w:val="00047329"/>
    <w:rsid w:val="00052663"/>
    <w:rsid w:val="000541CF"/>
    <w:rsid w:val="00054A88"/>
    <w:rsid w:val="0005568A"/>
    <w:rsid w:val="00057080"/>
    <w:rsid w:val="00067090"/>
    <w:rsid w:val="000748AD"/>
    <w:rsid w:val="00075432"/>
    <w:rsid w:val="0007784C"/>
    <w:rsid w:val="00084D59"/>
    <w:rsid w:val="00091989"/>
    <w:rsid w:val="000968ED"/>
    <w:rsid w:val="000A0AEF"/>
    <w:rsid w:val="000A59AA"/>
    <w:rsid w:val="000B248A"/>
    <w:rsid w:val="000B384F"/>
    <w:rsid w:val="000C008F"/>
    <w:rsid w:val="000C0DE3"/>
    <w:rsid w:val="000C32DE"/>
    <w:rsid w:val="000C603D"/>
    <w:rsid w:val="000C7A32"/>
    <w:rsid w:val="000D1B6E"/>
    <w:rsid w:val="000D6BCA"/>
    <w:rsid w:val="000E09CD"/>
    <w:rsid w:val="000E34CB"/>
    <w:rsid w:val="000F24B5"/>
    <w:rsid w:val="000F3EFA"/>
    <w:rsid w:val="000F5E56"/>
    <w:rsid w:val="00104897"/>
    <w:rsid w:val="001256A6"/>
    <w:rsid w:val="001362EE"/>
    <w:rsid w:val="00142EFB"/>
    <w:rsid w:val="00162FA1"/>
    <w:rsid w:val="00182ECD"/>
    <w:rsid w:val="001832A6"/>
    <w:rsid w:val="00184D9E"/>
    <w:rsid w:val="00193020"/>
    <w:rsid w:val="001947B9"/>
    <w:rsid w:val="001955B9"/>
    <w:rsid w:val="00195A27"/>
    <w:rsid w:val="001A249D"/>
    <w:rsid w:val="001B5499"/>
    <w:rsid w:val="001B73A1"/>
    <w:rsid w:val="001C28DF"/>
    <w:rsid w:val="001D294E"/>
    <w:rsid w:val="001D4722"/>
    <w:rsid w:val="001E0900"/>
    <w:rsid w:val="001E4B1B"/>
    <w:rsid w:val="001E5E88"/>
    <w:rsid w:val="001F3B01"/>
    <w:rsid w:val="002064BD"/>
    <w:rsid w:val="00224A65"/>
    <w:rsid w:val="00242503"/>
    <w:rsid w:val="00252519"/>
    <w:rsid w:val="00254825"/>
    <w:rsid w:val="00262366"/>
    <w:rsid w:val="00262828"/>
    <w:rsid w:val="002634C4"/>
    <w:rsid w:val="0026751D"/>
    <w:rsid w:val="002746F1"/>
    <w:rsid w:val="00281C69"/>
    <w:rsid w:val="00283E88"/>
    <w:rsid w:val="002928D3"/>
    <w:rsid w:val="002A49A1"/>
    <w:rsid w:val="002A62DE"/>
    <w:rsid w:val="002B7BC1"/>
    <w:rsid w:val="002C06D4"/>
    <w:rsid w:val="002C24DD"/>
    <w:rsid w:val="002C315F"/>
    <w:rsid w:val="002E412D"/>
    <w:rsid w:val="002F00FA"/>
    <w:rsid w:val="002F1FE6"/>
    <w:rsid w:val="002F446C"/>
    <w:rsid w:val="002F4E68"/>
    <w:rsid w:val="00310F88"/>
    <w:rsid w:val="003124F7"/>
    <w:rsid w:val="00312F7F"/>
    <w:rsid w:val="0031400A"/>
    <w:rsid w:val="00314399"/>
    <w:rsid w:val="00317B9F"/>
    <w:rsid w:val="00321757"/>
    <w:rsid w:val="003227DB"/>
    <w:rsid w:val="00322BCF"/>
    <w:rsid w:val="00325EE2"/>
    <w:rsid w:val="003274D7"/>
    <w:rsid w:val="00332128"/>
    <w:rsid w:val="00333E1A"/>
    <w:rsid w:val="003350BF"/>
    <w:rsid w:val="00336409"/>
    <w:rsid w:val="003365D1"/>
    <w:rsid w:val="00341D75"/>
    <w:rsid w:val="003427A3"/>
    <w:rsid w:val="00343242"/>
    <w:rsid w:val="003522A9"/>
    <w:rsid w:val="00353C3E"/>
    <w:rsid w:val="00361450"/>
    <w:rsid w:val="003673CF"/>
    <w:rsid w:val="00372483"/>
    <w:rsid w:val="00373B6D"/>
    <w:rsid w:val="00383257"/>
    <w:rsid w:val="003845C1"/>
    <w:rsid w:val="00385111"/>
    <w:rsid w:val="00387002"/>
    <w:rsid w:val="00395A96"/>
    <w:rsid w:val="00396F09"/>
    <w:rsid w:val="003A08E0"/>
    <w:rsid w:val="003A5261"/>
    <w:rsid w:val="003A6F89"/>
    <w:rsid w:val="003A778D"/>
    <w:rsid w:val="003B0AF5"/>
    <w:rsid w:val="003B29E4"/>
    <w:rsid w:val="003B3042"/>
    <w:rsid w:val="003B38C1"/>
    <w:rsid w:val="003B64BE"/>
    <w:rsid w:val="003B7D4E"/>
    <w:rsid w:val="003C5C94"/>
    <w:rsid w:val="003D469B"/>
    <w:rsid w:val="003E60CC"/>
    <w:rsid w:val="003E7A03"/>
    <w:rsid w:val="003F2BB6"/>
    <w:rsid w:val="004008DD"/>
    <w:rsid w:val="00404CE4"/>
    <w:rsid w:val="00417ED8"/>
    <w:rsid w:val="00423E3E"/>
    <w:rsid w:val="00427AF4"/>
    <w:rsid w:val="004329E3"/>
    <w:rsid w:val="0044045E"/>
    <w:rsid w:val="00443166"/>
    <w:rsid w:val="004446C6"/>
    <w:rsid w:val="0044765B"/>
    <w:rsid w:val="004537FF"/>
    <w:rsid w:val="004647DA"/>
    <w:rsid w:val="00465EAF"/>
    <w:rsid w:val="0046600E"/>
    <w:rsid w:val="00472E81"/>
    <w:rsid w:val="00473AFA"/>
    <w:rsid w:val="00474062"/>
    <w:rsid w:val="00477D6B"/>
    <w:rsid w:val="004808E5"/>
    <w:rsid w:val="00484228"/>
    <w:rsid w:val="004849FC"/>
    <w:rsid w:val="004A4EB1"/>
    <w:rsid w:val="004A5B01"/>
    <w:rsid w:val="004A68E2"/>
    <w:rsid w:val="004C197A"/>
    <w:rsid w:val="004D1C21"/>
    <w:rsid w:val="004D3FE4"/>
    <w:rsid w:val="004D4F8E"/>
    <w:rsid w:val="004D5266"/>
    <w:rsid w:val="005019FF"/>
    <w:rsid w:val="005108DD"/>
    <w:rsid w:val="005129DC"/>
    <w:rsid w:val="00512E65"/>
    <w:rsid w:val="0051490E"/>
    <w:rsid w:val="00517C4B"/>
    <w:rsid w:val="00523716"/>
    <w:rsid w:val="0053057A"/>
    <w:rsid w:val="005340D4"/>
    <w:rsid w:val="00536A3C"/>
    <w:rsid w:val="00537E52"/>
    <w:rsid w:val="00537F8A"/>
    <w:rsid w:val="00540062"/>
    <w:rsid w:val="0054119F"/>
    <w:rsid w:val="00541486"/>
    <w:rsid w:val="0055033D"/>
    <w:rsid w:val="00551E3F"/>
    <w:rsid w:val="0055358C"/>
    <w:rsid w:val="00560A29"/>
    <w:rsid w:val="00562E3F"/>
    <w:rsid w:val="00562F84"/>
    <w:rsid w:val="0056325C"/>
    <w:rsid w:val="00564CF7"/>
    <w:rsid w:val="00566C5A"/>
    <w:rsid w:val="00580EB3"/>
    <w:rsid w:val="0058105B"/>
    <w:rsid w:val="00587DB5"/>
    <w:rsid w:val="00594185"/>
    <w:rsid w:val="00595B0F"/>
    <w:rsid w:val="005A4BF7"/>
    <w:rsid w:val="005A5191"/>
    <w:rsid w:val="005A7892"/>
    <w:rsid w:val="005B1BCB"/>
    <w:rsid w:val="005B362A"/>
    <w:rsid w:val="005B7C5A"/>
    <w:rsid w:val="005C2DD4"/>
    <w:rsid w:val="005C3DBE"/>
    <w:rsid w:val="005C6649"/>
    <w:rsid w:val="005D10E6"/>
    <w:rsid w:val="005E5A91"/>
    <w:rsid w:val="005F0E99"/>
    <w:rsid w:val="005F7964"/>
    <w:rsid w:val="006008FC"/>
    <w:rsid w:val="0060117F"/>
    <w:rsid w:val="00601D50"/>
    <w:rsid w:val="00605827"/>
    <w:rsid w:val="00614807"/>
    <w:rsid w:val="00617A3D"/>
    <w:rsid w:val="0062187F"/>
    <w:rsid w:val="00622A29"/>
    <w:rsid w:val="006302ED"/>
    <w:rsid w:val="0063078E"/>
    <w:rsid w:val="0064442A"/>
    <w:rsid w:val="00646050"/>
    <w:rsid w:val="00664140"/>
    <w:rsid w:val="00664874"/>
    <w:rsid w:val="00665352"/>
    <w:rsid w:val="00670D4C"/>
    <w:rsid w:val="006713CA"/>
    <w:rsid w:val="00671B9C"/>
    <w:rsid w:val="006726AA"/>
    <w:rsid w:val="00676C5C"/>
    <w:rsid w:val="00685B34"/>
    <w:rsid w:val="00686574"/>
    <w:rsid w:val="00687BF2"/>
    <w:rsid w:val="006A6A89"/>
    <w:rsid w:val="006A7C20"/>
    <w:rsid w:val="006B1C8D"/>
    <w:rsid w:val="006B6DC0"/>
    <w:rsid w:val="006C37C3"/>
    <w:rsid w:val="006C579E"/>
    <w:rsid w:val="006D3956"/>
    <w:rsid w:val="006D4319"/>
    <w:rsid w:val="006D5A8E"/>
    <w:rsid w:val="006E2777"/>
    <w:rsid w:val="006F1931"/>
    <w:rsid w:val="006F2C31"/>
    <w:rsid w:val="006F32DF"/>
    <w:rsid w:val="00701FDE"/>
    <w:rsid w:val="00704726"/>
    <w:rsid w:val="00706EBE"/>
    <w:rsid w:val="00707288"/>
    <w:rsid w:val="00720700"/>
    <w:rsid w:val="00725A8F"/>
    <w:rsid w:val="00732467"/>
    <w:rsid w:val="00745CE0"/>
    <w:rsid w:val="00750A03"/>
    <w:rsid w:val="0076128F"/>
    <w:rsid w:val="00767821"/>
    <w:rsid w:val="00771713"/>
    <w:rsid w:val="0077360E"/>
    <w:rsid w:val="0078453E"/>
    <w:rsid w:val="00784C39"/>
    <w:rsid w:val="0078769A"/>
    <w:rsid w:val="00792C4C"/>
    <w:rsid w:val="0079419A"/>
    <w:rsid w:val="00794F14"/>
    <w:rsid w:val="007A713D"/>
    <w:rsid w:val="007B6F22"/>
    <w:rsid w:val="007C6ACD"/>
    <w:rsid w:val="007D1613"/>
    <w:rsid w:val="007D3C8E"/>
    <w:rsid w:val="007D5422"/>
    <w:rsid w:val="007D60EE"/>
    <w:rsid w:val="007D66E0"/>
    <w:rsid w:val="007E078A"/>
    <w:rsid w:val="007F094A"/>
    <w:rsid w:val="007F2DD9"/>
    <w:rsid w:val="007F6253"/>
    <w:rsid w:val="00800212"/>
    <w:rsid w:val="00804452"/>
    <w:rsid w:val="00804B0E"/>
    <w:rsid w:val="008218A1"/>
    <w:rsid w:val="00831897"/>
    <w:rsid w:val="00842D00"/>
    <w:rsid w:val="0085234C"/>
    <w:rsid w:val="00862CA4"/>
    <w:rsid w:val="008700A6"/>
    <w:rsid w:val="0087278A"/>
    <w:rsid w:val="008740D7"/>
    <w:rsid w:val="008851C3"/>
    <w:rsid w:val="008917B9"/>
    <w:rsid w:val="008B2CC1"/>
    <w:rsid w:val="008B60B2"/>
    <w:rsid w:val="008B65A6"/>
    <w:rsid w:val="008C05AF"/>
    <w:rsid w:val="008C26E8"/>
    <w:rsid w:val="008C48E7"/>
    <w:rsid w:val="008C6656"/>
    <w:rsid w:val="008D104C"/>
    <w:rsid w:val="008D1941"/>
    <w:rsid w:val="008E5F97"/>
    <w:rsid w:val="008E64D0"/>
    <w:rsid w:val="009004DC"/>
    <w:rsid w:val="00900C33"/>
    <w:rsid w:val="0090731E"/>
    <w:rsid w:val="00910AD8"/>
    <w:rsid w:val="009119E8"/>
    <w:rsid w:val="00914767"/>
    <w:rsid w:val="0091669F"/>
    <w:rsid w:val="00916EE2"/>
    <w:rsid w:val="00924A44"/>
    <w:rsid w:val="00927F87"/>
    <w:rsid w:val="00935D75"/>
    <w:rsid w:val="00940056"/>
    <w:rsid w:val="00940E44"/>
    <w:rsid w:val="00944ADD"/>
    <w:rsid w:val="00953625"/>
    <w:rsid w:val="009571B1"/>
    <w:rsid w:val="009638C9"/>
    <w:rsid w:val="00964F45"/>
    <w:rsid w:val="00966A22"/>
    <w:rsid w:val="0096722F"/>
    <w:rsid w:val="0097028C"/>
    <w:rsid w:val="009722A2"/>
    <w:rsid w:val="00972DAB"/>
    <w:rsid w:val="00980843"/>
    <w:rsid w:val="00990086"/>
    <w:rsid w:val="009917E4"/>
    <w:rsid w:val="00995443"/>
    <w:rsid w:val="00995B14"/>
    <w:rsid w:val="009A0CE7"/>
    <w:rsid w:val="009A6B1C"/>
    <w:rsid w:val="009A7AEB"/>
    <w:rsid w:val="009B239D"/>
    <w:rsid w:val="009B77F8"/>
    <w:rsid w:val="009C0D4A"/>
    <w:rsid w:val="009C0D88"/>
    <w:rsid w:val="009C1F6E"/>
    <w:rsid w:val="009C3F6D"/>
    <w:rsid w:val="009D3805"/>
    <w:rsid w:val="009E17EE"/>
    <w:rsid w:val="009E2791"/>
    <w:rsid w:val="009E3F6F"/>
    <w:rsid w:val="009E4BAD"/>
    <w:rsid w:val="009E5092"/>
    <w:rsid w:val="009E6EFA"/>
    <w:rsid w:val="009F367B"/>
    <w:rsid w:val="009F499F"/>
    <w:rsid w:val="00A01088"/>
    <w:rsid w:val="00A0783F"/>
    <w:rsid w:val="00A17C78"/>
    <w:rsid w:val="00A234C1"/>
    <w:rsid w:val="00A23598"/>
    <w:rsid w:val="00A24EBC"/>
    <w:rsid w:val="00A25333"/>
    <w:rsid w:val="00A31012"/>
    <w:rsid w:val="00A32C91"/>
    <w:rsid w:val="00A42DAF"/>
    <w:rsid w:val="00A45861"/>
    <w:rsid w:val="00A45BD8"/>
    <w:rsid w:val="00A505C9"/>
    <w:rsid w:val="00A609B6"/>
    <w:rsid w:val="00A6316D"/>
    <w:rsid w:val="00A6648F"/>
    <w:rsid w:val="00A72F9B"/>
    <w:rsid w:val="00A735A1"/>
    <w:rsid w:val="00A74F4B"/>
    <w:rsid w:val="00A869B7"/>
    <w:rsid w:val="00AA17C7"/>
    <w:rsid w:val="00AC205C"/>
    <w:rsid w:val="00AC4092"/>
    <w:rsid w:val="00AD02C5"/>
    <w:rsid w:val="00AE54E0"/>
    <w:rsid w:val="00AF0A6B"/>
    <w:rsid w:val="00B03034"/>
    <w:rsid w:val="00B05A69"/>
    <w:rsid w:val="00B12C8D"/>
    <w:rsid w:val="00B13162"/>
    <w:rsid w:val="00B16A7B"/>
    <w:rsid w:val="00B17531"/>
    <w:rsid w:val="00B26D1D"/>
    <w:rsid w:val="00B328D8"/>
    <w:rsid w:val="00B35447"/>
    <w:rsid w:val="00B44F88"/>
    <w:rsid w:val="00B51F1D"/>
    <w:rsid w:val="00B57EA9"/>
    <w:rsid w:val="00B64903"/>
    <w:rsid w:val="00B64E40"/>
    <w:rsid w:val="00B744C6"/>
    <w:rsid w:val="00B8327C"/>
    <w:rsid w:val="00B91D1A"/>
    <w:rsid w:val="00B9212E"/>
    <w:rsid w:val="00B93349"/>
    <w:rsid w:val="00B96FF0"/>
    <w:rsid w:val="00B9734B"/>
    <w:rsid w:val="00BA3CEE"/>
    <w:rsid w:val="00BA519A"/>
    <w:rsid w:val="00BA65FA"/>
    <w:rsid w:val="00BB0F4A"/>
    <w:rsid w:val="00BB10D4"/>
    <w:rsid w:val="00BB6204"/>
    <w:rsid w:val="00BD28FF"/>
    <w:rsid w:val="00BD733E"/>
    <w:rsid w:val="00BE089C"/>
    <w:rsid w:val="00BE33E4"/>
    <w:rsid w:val="00BF3089"/>
    <w:rsid w:val="00BF660C"/>
    <w:rsid w:val="00BF7473"/>
    <w:rsid w:val="00C00B35"/>
    <w:rsid w:val="00C05091"/>
    <w:rsid w:val="00C11BFE"/>
    <w:rsid w:val="00C1628D"/>
    <w:rsid w:val="00C21F84"/>
    <w:rsid w:val="00C23A4B"/>
    <w:rsid w:val="00C25DAA"/>
    <w:rsid w:val="00C26374"/>
    <w:rsid w:val="00C30BD7"/>
    <w:rsid w:val="00C66F92"/>
    <w:rsid w:val="00C739E9"/>
    <w:rsid w:val="00C826CB"/>
    <w:rsid w:val="00C92C28"/>
    <w:rsid w:val="00CA2EFA"/>
    <w:rsid w:val="00CA3786"/>
    <w:rsid w:val="00CA3EBB"/>
    <w:rsid w:val="00CA68B8"/>
    <w:rsid w:val="00CA69B2"/>
    <w:rsid w:val="00CB0F2F"/>
    <w:rsid w:val="00CB0F8B"/>
    <w:rsid w:val="00CB17C0"/>
    <w:rsid w:val="00CB3F6F"/>
    <w:rsid w:val="00CB4F9B"/>
    <w:rsid w:val="00CB62E3"/>
    <w:rsid w:val="00CD11C1"/>
    <w:rsid w:val="00CE4CDA"/>
    <w:rsid w:val="00CE5C61"/>
    <w:rsid w:val="00CF5811"/>
    <w:rsid w:val="00D261A0"/>
    <w:rsid w:val="00D27C18"/>
    <w:rsid w:val="00D40280"/>
    <w:rsid w:val="00D40F7D"/>
    <w:rsid w:val="00D45252"/>
    <w:rsid w:val="00D45E73"/>
    <w:rsid w:val="00D5739D"/>
    <w:rsid w:val="00D62B83"/>
    <w:rsid w:val="00D71B4D"/>
    <w:rsid w:val="00D93D55"/>
    <w:rsid w:val="00DA1535"/>
    <w:rsid w:val="00DA5A70"/>
    <w:rsid w:val="00DC696F"/>
    <w:rsid w:val="00DC6D8C"/>
    <w:rsid w:val="00DE3D1D"/>
    <w:rsid w:val="00DF1AD1"/>
    <w:rsid w:val="00E00F39"/>
    <w:rsid w:val="00E01C28"/>
    <w:rsid w:val="00E053F8"/>
    <w:rsid w:val="00E2313D"/>
    <w:rsid w:val="00E3161B"/>
    <w:rsid w:val="00E31DF0"/>
    <w:rsid w:val="00E32E62"/>
    <w:rsid w:val="00E335FE"/>
    <w:rsid w:val="00E35715"/>
    <w:rsid w:val="00E43467"/>
    <w:rsid w:val="00E44357"/>
    <w:rsid w:val="00E54C63"/>
    <w:rsid w:val="00E6111F"/>
    <w:rsid w:val="00E61E4C"/>
    <w:rsid w:val="00E70D65"/>
    <w:rsid w:val="00E81D57"/>
    <w:rsid w:val="00E85684"/>
    <w:rsid w:val="00E9082F"/>
    <w:rsid w:val="00E960E9"/>
    <w:rsid w:val="00EA1FC4"/>
    <w:rsid w:val="00EC4E49"/>
    <w:rsid w:val="00ED4681"/>
    <w:rsid w:val="00ED52AC"/>
    <w:rsid w:val="00ED71C1"/>
    <w:rsid w:val="00ED77FB"/>
    <w:rsid w:val="00ED7C5F"/>
    <w:rsid w:val="00EE06A9"/>
    <w:rsid w:val="00EE45FA"/>
    <w:rsid w:val="00EF2CE2"/>
    <w:rsid w:val="00EF5BFC"/>
    <w:rsid w:val="00EF7781"/>
    <w:rsid w:val="00EF77EB"/>
    <w:rsid w:val="00F00CFC"/>
    <w:rsid w:val="00F03404"/>
    <w:rsid w:val="00F03ABB"/>
    <w:rsid w:val="00F069C0"/>
    <w:rsid w:val="00F15AEB"/>
    <w:rsid w:val="00F2007B"/>
    <w:rsid w:val="00F20EEF"/>
    <w:rsid w:val="00F23B7F"/>
    <w:rsid w:val="00F24AE3"/>
    <w:rsid w:val="00F364D6"/>
    <w:rsid w:val="00F4009A"/>
    <w:rsid w:val="00F426ED"/>
    <w:rsid w:val="00F56DC5"/>
    <w:rsid w:val="00F62BE3"/>
    <w:rsid w:val="00F63E0D"/>
    <w:rsid w:val="00F66152"/>
    <w:rsid w:val="00F70614"/>
    <w:rsid w:val="00F912B7"/>
    <w:rsid w:val="00F94290"/>
    <w:rsid w:val="00F9687D"/>
    <w:rsid w:val="00FA3578"/>
    <w:rsid w:val="00FB354D"/>
    <w:rsid w:val="00FC091D"/>
    <w:rsid w:val="00FD30CF"/>
    <w:rsid w:val="00FD64B8"/>
    <w:rsid w:val="00FD6D7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es-E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es-ES"/>
    </w:rPr>
  </w:style>
  <w:style w:type="paragraph" w:styleId="PlainText">
    <w:name w:val="Plain Text"/>
    <w:basedOn w:val="Normal"/>
    <w:link w:val="PlainTextChar"/>
    <w:uiPriority w:val="99"/>
    <w:unhideWhenUsed/>
    <w:rsid w:val="003F2BB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table" w:styleId="TableGrid">
    <w:name w:val="Table Grid"/>
    <w:basedOn w:val="TableNormal"/>
    <w:rsid w:val="0062187F"/>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es-E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es-ES"/>
    </w:rPr>
  </w:style>
  <w:style w:type="paragraph" w:styleId="PlainText">
    <w:name w:val="Plain Text"/>
    <w:basedOn w:val="Normal"/>
    <w:link w:val="PlainTextChar"/>
    <w:uiPriority w:val="99"/>
    <w:unhideWhenUsed/>
    <w:rsid w:val="003F2BB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table" w:styleId="TableGrid">
    <w:name w:val="Table Grid"/>
    <w:basedOn w:val="TableNormal"/>
    <w:rsid w:val="0062187F"/>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D74C-67F1-4810-9A7A-E0D01964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8493</Words>
  <Characters>48413</Characters>
  <Application>Microsoft Office Word</Application>
  <DocSecurity>4</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WO/PBC/20</vt:lpstr>
      <vt:lpstr>WO/PBC/20</vt:lpstr>
    </vt:vector>
  </TitlesOfParts>
  <Company>WIPO</Company>
  <LinksUpToDate>false</LinksUpToDate>
  <CharactersWithSpaces>56793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SAMUELS Frederick Anthony</cp:lastModifiedBy>
  <cp:revision>2</cp:revision>
  <cp:lastPrinted>2015-07-15T14:18:00Z</cp:lastPrinted>
  <dcterms:created xsi:type="dcterms:W3CDTF">2015-07-15T15:30:00Z</dcterms:created>
  <dcterms:modified xsi:type="dcterms:W3CDTF">2015-07-15T15:30:00Z</dcterms:modified>
</cp:coreProperties>
</file>