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3360A1" w:rsidRPr="007016AC" w:rsidTr="00361450">
        <w:tc>
          <w:tcPr>
            <w:tcW w:w="4513" w:type="dxa"/>
            <w:tcBorders>
              <w:bottom w:val="single" w:sz="4" w:space="0" w:color="auto"/>
            </w:tcBorders>
            <w:tcMar>
              <w:bottom w:w="170" w:type="dxa"/>
            </w:tcMar>
          </w:tcPr>
          <w:p w:rsidR="00EC4E49" w:rsidRPr="007016AC" w:rsidRDefault="00EC4E49" w:rsidP="00916EE2">
            <w:pPr>
              <w:rPr>
                <w:sz w:val="18"/>
                <w:szCs w:val="18"/>
                <w:lang w:val="es-ES"/>
              </w:rPr>
            </w:pPr>
          </w:p>
        </w:tc>
        <w:tc>
          <w:tcPr>
            <w:tcW w:w="4337" w:type="dxa"/>
            <w:tcBorders>
              <w:bottom w:val="single" w:sz="4" w:space="0" w:color="auto"/>
            </w:tcBorders>
            <w:tcMar>
              <w:left w:w="0" w:type="dxa"/>
              <w:right w:w="0" w:type="dxa"/>
            </w:tcMar>
          </w:tcPr>
          <w:p w:rsidR="00EC4E49" w:rsidRPr="007016AC" w:rsidRDefault="000A51FF" w:rsidP="00916EE2">
            <w:pPr>
              <w:rPr>
                <w:sz w:val="18"/>
                <w:szCs w:val="18"/>
                <w:lang w:val="es-ES"/>
              </w:rPr>
            </w:pPr>
            <w:r w:rsidRPr="007016AC">
              <w:rPr>
                <w:noProof/>
                <w:lang w:eastAsia="en-US"/>
              </w:rPr>
              <w:drawing>
                <wp:inline distT="0" distB="0" distL="0" distR="0" wp14:anchorId="64BDC23E" wp14:editId="5ED1AB06">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7016AC" w:rsidRDefault="000A51FF" w:rsidP="000A51FF">
            <w:pPr>
              <w:jc w:val="right"/>
              <w:rPr>
                <w:sz w:val="18"/>
                <w:szCs w:val="18"/>
                <w:lang w:val="es-ES"/>
              </w:rPr>
            </w:pPr>
            <w:r w:rsidRPr="007016AC">
              <w:rPr>
                <w:b/>
                <w:sz w:val="33"/>
                <w:szCs w:val="33"/>
                <w:lang w:val="es-ES"/>
              </w:rPr>
              <w:t>S</w:t>
            </w:r>
          </w:p>
        </w:tc>
      </w:tr>
      <w:tr w:rsidR="003360A1" w:rsidRPr="007016AC"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7016AC" w:rsidRDefault="00397D6E" w:rsidP="00916EE2">
            <w:pPr>
              <w:jc w:val="right"/>
              <w:rPr>
                <w:rFonts w:ascii="Arial Black" w:hAnsi="Arial Black"/>
                <w:caps/>
                <w:sz w:val="15"/>
                <w:szCs w:val="15"/>
                <w:lang w:val="es-ES"/>
              </w:rPr>
            </w:pPr>
            <w:r w:rsidRPr="007016AC">
              <w:rPr>
                <w:rFonts w:ascii="Arial Black" w:hAnsi="Arial Black"/>
                <w:caps/>
                <w:sz w:val="15"/>
                <w:szCs w:val="15"/>
                <w:lang w:val="es-ES"/>
              </w:rPr>
              <w:t>wo/pbc/23/</w:t>
            </w:r>
            <w:bookmarkStart w:id="0" w:name="Code"/>
            <w:bookmarkEnd w:id="0"/>
            <w:r w:rsidR="001F3B22" w:rsidRPr="007016AC">
              <w:rPr>
                <w:rFonts w:ascii="Arial Black" w:hAnsi="Arial Black"/>
                <w:caps/>
                <w:sz w:val="15"/>
                <w:szCs w:val="15"/>
                <w:lang w:val="es-ES"/>
              </w:rPr>
              <w:t>7</w:t>
            </w:r>
          </w:p>
        </w:tc>
      </w:tr>
      <w:tr w:rsidR="003360A1" w:rsidRPr="007016AC" w:rsidTr="00916EE2">
        <w:trPr>
          <w:trHeight w:hRule="exact" w:val="170"/>
        </w:trPr>
        <w:tc>
          <w:tcPr>
            <w:tcW w:w="9356" w:type="dxa"/>
            <w:gridSpan w:val="3"/>
            <w:noWrap/>
            <w:tcMar>
              <w:left w:w="0" w:type="dxa"/>
              <w:right w:w="0" w:type="dxa"/>
            </w:tcMar>
            <w:vAlign w:val="bottom"/>
          </w:tcPr>
          <w:p w:rsidR="008B2CC1" w:rsidRPr="007016AC" w:rsidRDefault="008B2CC1" w:rsidP="000A51FF">
            <w:pPr>
              <w:jc w:val="right"/>
              <w:rPr>
                <w:rFonts w:ascii="Arial Black" w:hAnsi="Arial Black"/>
                <w:caps/>
                <w:sz w:val="15"/>
                <w:szCs w:val="15"/>
                <w:lang w:val="es-ES"/>
              </w:rPr>
            </w:pPr>
            <w:r w:rsidRPr="007016AC">
              <w:rPr>
                <w:rFonts w:ascii="Arial Black" w:hAnsi="Arial Black"/>
                <w:caps/>
                <w:sz w:val="15"/>
                <w:szCs w:val="15"/>
                <w:lang w:val="es-ES"/>
              </w:rPr>
              <w:t>ORIGINAL:</w:t>
            </w:r>
            <w:r w:rsidR="00A42DAF" w:rsidRPr="007016AC">
              <w:rPr>
                <w:rFonts w:ascii="Arial Black" w:hAnsi="Arial Black"/>
                <w:caps/>
                <w:sz w:val="15"/>
                <w:szCs w:val="15"/>
                <w:lang w:val="es-ES"/>
              </w:rPr>
              <w:t xml:space="preserve"> </w:t>
            </w:r>
            <w:r w:rsidRPr="007016AC">
              <w:rPr>
                <w:rFonts w:ascii="Arial Black" w:hAnsi="Arial Black"/>
                <w:caps/>
                <w:sz w:val="15"/>
                <w:szCs w:val="15"/>
                <w:lang w:val="es-ES"/>
              </w:rPr>
              <w:t xml:space="preserve"> </w:t>
            </w:r>
            <w:bookmarkStart w:id="1" w:name="Original"/>
            <w:bookmarkEnd w:id="1"/>
            <w:r w:rsidR="000A51FF" w:rsidRPr="007016AC">
              <w:rPr>
                <w:rFonts w:ascii="Arial Black" w:hAnsi="Arial Black"/>
                <w:caps/>
                <w:sz w:val="15"/>
                <w:szCs w:val="15"/>
                <w:lang w:val="es-ES"/>
              </w:rPr>
              <w:t>I</w:t>
            </w:r>
            <w:r w:rsidR="001F3B22" w:rsidRPr="007016AC">
              <w:rPr>
                <w:rFonts w:ascii="Arial Black" w:hAnsi="Arial Black"/>
                <w:caps/>
                <w:sz w:val="15"/>
                <w:szCs w:val="15"/>
                <w:lang w:val="es-ES"/>
              </w:rPr>
              <w:t>NGL</w:t>
            </w:r>
            <w:r w:rsidR="000A51FF" w:rsidRPr="007016AC">
              <w:rPr>
                <w:rFonts w:ascii="Arial Black" w:hAnsi="Arial Black"/>
                <w:caps/>
                <w:sz w:val="15"/>
                <w:szCs w:val="15"/>
                <w:lang w:val="es-ES"/>
              </w:rPr>
              <w:t>é</w:t>
            </w:r>
            <w:r w:rsidR="001F3B22" w:rsidRPr="007016AC">
              <w:rPr>
                <w:rFonts w:ascii="Arial Black" w:hAnsi="Arial Black"/>
                <w:caps/>
                <w:sz w:val="15"/>
                <w:szCs w:val="15"/>
                <w:lang w:val="es-ES"/>
              </w:rPr>
              <w:t>S</w:t>
            </w:r>
          </w:p>
        </w:tc>
      </w:tr>
      <w:tr w:rsidR="008B2CC1" w:rsidRPr="007016AC" w:rsidTr="00916EE2">
        <w:trPr>
          <w:trHeight w:hRule="exact" w:val="198"/>
        </w:trPr>
        <w:tc>
          <w:tcPr>
            <w:tcW w:w="9356" w:type="dxa"/>
            <w:gridSpan w:val="3"/>
            <w:tcMar>
              <w:left w:w="0" w:type="dxa"/>
              <w:right w:w="0" w:type="dxa"/>
            </w:tcMar>
            <w:vAlign w:val="bottom"/>
          </w:tcPr>
          <w:p w:rsidR="008B2CC1" w:rsidRPr="007016AC" w:rsidRDefault="000A51FF" w:rsidP="000A51FF">
            <w:pPr>
              <w:jc w:val="right"/>
              <w:rPr>
                <w:rFonts w:ascii="Arial Black" w:hAnsi="Arial Black"/>
                <w:caps/>
                <w:sz w:val="15"/>
                <w:szCs w:val="15"/>
                <w:lang w:val="es-ES"/>
              </w:rPr>
            </w:pPr>
            <w:r w:rsidRPr="007016AC">
              <w:rPr>
                <w:rFonts w:ascii="Arial Black" w:hAnsi="Arial Black"/>
                <w:caps/>
                <w:sz w:val="15"/>
                <w:szCs w:val="15"/>
                <w:lang w:val="es-ES"/>
              </w:rPr>
              <w:t>F</w:t>
            </w:r>
            <w:r w:rsidR="008B2CC1" w:rsidRPr="007016AC">
              <w:rPr>
                <w:rFonts w:ascii="Arial Black" w:hAnsi="Arial Black"/>
                <w:caps/>
                <w:sz w:val="15"/>
                <w:szCs w:val="15"/>
                <w:lang w:val="es-ES"/>
              </w:rPr>
              <w:t>E</w:t>
            </w:r>
            <w:r w:rsidRPr="007016AC">
              <w:rPr>
                <w:rFonts w:ascii="Arial Black" w:hAnsi="Arial Black"/>
                <w:caps/>
                <w:sz w:val="15"/>
                <w:szCs w:val="15"/>
                <w:lang w:val="es-ES"/>
              </w:rPr>
              <w:t>cha</w:t>
            </w:r>
            <w:r w:rsidR="008B2CC1" w:rsidRPr="007016AC">
              <w:rPr>
                <w:rFonts w:ascii="Arial Black" w:hAnsi="Arial Black"/>
                <w:caps/>
                <w:sz w:val="15"/>
                <w:szCs w:val="15"/>
                <w:lang w:val="es-ES"/>
              </w:rPr>
              <w:t>:</w:t>
            </w:r>
            <w:r w:rsidR="00A42DAF" w:rsidRPr="007016AC">
              <w:rPr>
                <w:rFonts w:ascii="Arial Black" w:hAnsi="Arial Black"/>
                <w:caps/>
                <w:sz w:val="15"/>
                <w:szCs w:val="15"/>
                <w:lang w:val="es-ES"/>
              </w:rPr>
              <w:t xml:space="preserve"> </w:t>
            </w:r>
            <w:r w:rsidR="008B2CC1" w:rsidRPr="007016AC">
              <w:rPr>
                <w:rFonts w:ascii="Arial Black" w:hAnsi="Arial Black"/>
                <w:caps/>
                <w:sz w:val="15"/>
                <w:szCs w:val="15"/>
                <w:lang w:val="es-ES"/>
              </w:rPr>
              <w:t xml:space="preserve"> </w:t>
            </w:r>
            <w:bookmarkStart w:id="2" w:name="Date"/>
            <w:bookmarkEnd w:id="2"/>
            <w:r w:rsidRPr="007016AC">
              <w:rPr>
                <w:rFonts w:ascii="Arial Black" w:hAnsi="Arial Black"/>
                <w:caps/>
                <w:sz w:val="15"/>
                <w:szCs w:val="15"/>
                <w:lang w:val="es-ES"/>
              </w:rPr>
              <w:t>1 de junio de</w:t>
            </w:r>
            <w:r w:rsidR="001F3B22" w:rsidRPr="007016AC">
              <w:rPr>
                <w:rFonts w:ascii="Arial Black" w:hAnsi="Arial Black"/>
                <w:caps/>
                <w:sz w:val="15"/>
                <w:szCs w:val="15"/>
                <w:lang w:val="es-ES"/>
              </w:rPr>
              <w:t xml:space="preserve"> 2015</w:t>
            </w:r>
          </w:p>
        </w:tc>
      </w:tr>
    </w:tbl>
    <w:p w:rsidR="008B2CC1" w:rsidRPr="007016AC" w:rsidRDefault="008B2CC1" w:rsidP="008B2CC1">
      <w:pPr>
        <w:rPr>
          <w:sz w:val="18"/>
          <w:szCs w:val="18"/>
          <w:lang w:val="es-ES"/>
        </w:rPr>
      </w:pPr>
    </w:p>
    <w:p w:rsidR="008B2CC1" w:rsidRPr="007016AC" w:rsidRDefault="008B2CC1" w:rsidP="008B2CC1">
      <w:pPr>
        <w:rPr>
          <w:sz w:val="18"/>
          <w:szCs w:val="18"/>
          <w:lang w:val="es-ES"/>
        </w:rPr>
      </w:pPr>
    </w:p>
    <w:p w:rsidR="008B2CC1" w:rsidRPr="007016AC" w:rsidRDefault="008B2CC1" w:rsidP="008B2CC1">
      <w:pPr>
        <w:rPr>
          <w:sz w:val="18"/>
          <w:szCs w:val="18"/>
          <w:lang w:val="es-ES"/>
        </w:rPr>
      </w:pPr>
    </w:p>
    <w:p w:rsidR="008B2CC1" w:rsidRPr="007016AC" w:rsidRDefault="008B2CC1" w:rsidP="008B2CC1">
      <w:pPr>
        <w:rPr>
          <w:sz w:val="18"/>
          <w:szCs w:val="18"/>
          <w:lang w:val="es-ES"/>
        </w:rPr>
      </w:pPr>
    </w:p>
    <w:p w:rsidR="008B2CC1" w:rsidRPr="007016AC" w:rsidRDefault="008B2CC1" w:rsidP="008B2CC1">
      <w:pPr>
        <w:rPr>
          <w:sz w:val="28"/>
          <w:szCs w:val="28"/>
          <w:lang w:val="es-ES"/>
        </w:rPr>
      </w:pPr>
    </w:p>
    <w:p w:rsidR="000A51FF" w:rsidRPr="00A8388A" w:rsidRDefault="000A51FF" w:rsidP="000A51FF">
      <w:pPr>
        <w:rPr>
          <w:b/>
          <w:sz w:val="28"/>
          <w:szCs w:val="28"/>
          <w:lang w:val="es-ES"/>
        </w:rPr>
      </w:pPr>
      <w:bookmarkStart w:id="3" w:name="TitleOfDoc"/>
      <w:bookmarkEnd w:id="3"/>
      <w:r w:rsidRPr="00A8388A">
        <w:rPr>
          <w:b/>
          <w:sz w:val="28"/>
          <w:szCs w:val="28"/>
          <w:lang w:val="es-ES"/>
        </w:rPr>
        <w:t>Comité del Programa y Presupuesto</w:t>
      </w:r>
    </w:p>
    <w:p w:rsidR="000A51FF" w:rsidRPr="00A8388A" w:rsidRDefault="000A51FF" w:rsidP="000A51FF">
      <w:pPr>
        <w:rPr>
          <w:lang w:val="es-ES"/>
        </w:rPr>
      </w:pPr>
    </w:p>
    <w:p w:rsidR="000A51FF" w:rsidRPr="00A8388A" w:rsidRDefault="000A51FF" w:rsidP="000A51FF">
      <w:pPr>
        <w:rPr>
          <w:lang w:val="es-ES"/>
        </w:rPr>
      </w:pPr>
    </w:p>
    <w:p w:rsidR="000A51FF" w:rsidRPr="00A8388A" w:rsidRDefault="000A51FF" w:rsidP="000A51FF">
      <w:pPr>
        <w:rPr>
          <w:b/>
          <w:sz w:val="24"/>
          <w:szCs w:val="24"/>
          <w:lang w:val="es-ES"/>
        </w:rPr>
      </w:pPr>
      <w:r w:rsidRPr="00A8388A">
        <w:rPr>
          <w:b/>
          <w:sz w:val="24"/>
          <w:szCs w:val="24"/>
          <w:lang w:val="es-ES"/>
        </w:rPr>
        <w:t>Vigesimotercera sesión</w:t>
      </w:r>
    </w:p>
    <w:p w:rsidR="000A51FF" w:rsidRPr="00A8388A" w:rsidRDefault="000A51FF" w:rsidP="000A51FF">
      <w:pPr>
        <w:rPr>
          <w:b/>
          <w:sz w:val="24"/>
          <w:szCs w:val="24"/>
          <w:lang w:val="es-ES"/>
        </w:rPr>
      </w:pPr>
      <w:r w:rsidRPr="00A8388A">
        <w:rPr>
          <w:b/>
          <w:sz w:val="24"/>
          <w:szCs w:val="24"/>
          <w:lang w:val="es-ES"/>
        </w:rPr>
        <w:t>Ginebra, 13 a 17 de julio de 2015</w:t>
      </w:r>
    </w:p>
    <w:p w:rsidR="000A51FF" w:rsidRPr="00A8388A" w:rsidRDefault="000A51FF" w:rsidP="000A51FF">
      <w:pPr>
        <w:rPr>
          <w:lang w:val="es-ES"/>
        </w:rPr>
      </w:pPr>
    </w:p>
    <w:p w:rsidR="000A51FF" w:rsidRPr="00A8388A" w:rsidRDefault="000A51FF" w:rsidP="000A51FF">
      <w:pPr>
        <w:rPr>
          <w:lang w:val="es-ES"/>
        </w:rPr>
      </w:pPr>
    </w:p>
    <w:p w:rsidR="000A51FF" w:rsidRPr="00A8388A" w:rsidRDefault="000A51FF" w:rsidP="000A51FF">
      <w:pPr>
        <w:rPr>
          <w:lang w:val="es-ES"/>
        </w:rPr>
      </w:pPr>
    </w:p>
    <w:p w:rsidR="008B2CC1" w:rsidRPr="00A8388A" w:rsidRDefault="00914C17" w:rsidP="008B2CC1">
      <w:pPr>
        <w:rPr>
          <w:caps/>
          <w:sz w:val="24"/>
          <w:szCs w:val="24"/>
          <w:lang w:val="es-ES"/>
        </w:rPr>
      </w:pPr>
      <w:r w:rsidRPr="00A8388A">
        <w:rPr>
          <w:caps/>
          <w:sz w:val="24"/>
          <w:szCs w:val="24"/>
          <w:lang w:val="es-ES"/>
        </w:rPr>
        <w:t>PRopuesta sobre</w:t>
      </w:r>
      <w:r w:rsidR="00A45F64" w:rsidRPr="00A8388A">
        <w:rPr>
          <w:caps/>
          <w:sz w:val="24"/>
          <w:szCs w:val="24"/>
          <w:lang w:val="es-ES"/>
        </w:rPr>
        <w:t xml:space="preserve"> revisiones adicionales de la política de inversiones</w:t>
      </w:r>
    </w:p>
    <w:p w:rsidR="008B2CC1" w:rsidRPr="00A8388A" w:rsidRDefault="008B2CC1" w:rsidP="008B2CC1">
      <w:pPr>
        <w:rPr>
          <w:szCs w:val="22"/>
          <w:lang w:val="es-ES"/>
        </w:rPr>
      </w:pPr>
    </w:p>
    <w:p w:rsidR="008B2CC1" w:rsidRPr="00A8388A" w:rsidRDefault="001F3B22" w:rsidP="008B2CC1">
      <w:pPr>
        <w:rPr>
          <w:i/>
          <w:szCs w:val="22"/>
          <w:lang w:val="es-ES"/>
        </w:rPr>
      </w:pPr>
      <w:bookmarkStart w:id="4" w:name="Prepared"/>
      <w:bookmarkEnd w:id="4"/>
      <w:r w:rsidRPr="00A8388A">
        <w:rPr>
          <w:i/>
          <w:szCs w:val="22"/>
          <w:lang w:val="es-ES"/>
        </w:rPr>
        <w:t>Document</w:t>
      </w:r>
      <w:r w:rsidR="003A17BB" w:rsidRPr="00A8388A">
        <w:rPr>
          <w:i/>
          <w:szCs w:val="22"/>
          <w:lang w:val="es-ES"/>
        </w:rPr>
        <w:t>o</w:t>
      </w:r>
      <w:r w:rsidRPr="00A8388A">
        <w:rPr>
          <w:i/>
          <w:szCs w:val="22"/>
          <w:lang w:val="es-ES"/>
        </w:rPr>
        <w:t xml:space="preserve"> prepar</w:t>
      </w:r>
      <w:r w:rsidR="003A17BB" w:rsidRPr="00A8388A">
        <w:rPr>
          <w:i/>
          <w:szCs w:val="22"/>
          <w:lang w:val="es-ES"/>
        </w:rPr>
        <w:t>a</w:t>
      </w:r>
      <w:r w:rsidRPr="00A8388A">
        <w:rPr>
          <w:i/>
          <w:szCs w:val="22"/>
          <w:lang w:val="es-ES"/>
        </w:rPr>
        <w:t>d</w:t>
      </w:r>
      <w:r w:rsidR="003A17BB" w:rsidRPr="00A8388A">
        <w:rPr>
          <w:i/>
          <w:szCs w:val="22"/>
          <w:lang w:val="es-ES"/>
        </w:rPr>
        <w:t>o por la Secretaría</w:t>
      </w:r>
    </w:p>
    <w:p w:rsidR="00AC205C" w:rsidRPr="00A8388A" w:rsidRDefault="00AC205C">
      <w:pPr>
        <w:rPr>
          <w:szCs w:val="22"/>
          <w:lang w:val="es-ES"/>
        </w:rPr>
      </w:pPr>
    </w:p>
    <w:p w:rsidR="000F5E56" w:rsidRPr="00A8388A" w:rsidRDefault="000F5E56">
      <w:pPr>
        <w:rPr>
          <w:szCs w:val="22"/>
          <w:lang w:val="es-ES"/>
        </w:rPr>
      </w:pPr>
    </w:p>
    <w:p w:rsidR="002928D3" w:rsidRPr="00A8388A" w:rsidRDefault="002928D3">
      <w:pPr>
        <w:rPr>
          <w:sz w:val="18"/>
          <w:szCs w:val="18"/>
          <w:lang w:val="es-ES"/>
        </w:rPr>
      </w:pPr>
    </w:p>
    <w:p w:rsidR="002928D3" w:rsidRPr="00A8388A" w:rsidRDefault="002928D3" w:rsidP="0053057A">
      <w:pPr>
        <w:rPr>
          <w:sz w:val="18"/>
          <w:szCs w:val="18"/>
          <w:lang w:val="es-ES"/>
        </w:rPr>
      </w:pPr>
    </w:p>
    <w:p w:rsidR="002928D3" w:rsidRPr="00A8388A" w:rsidRDefault="00842A4F">
      <w:pPr>
        <w:rPr>
          <w:b/>
          <w:szCs w:val="22"/>
          <w:lang w:val="es-ES"/>
        </w:rPr>
      </w:pPr>
      <w:r w:rsidRPr="00A8388A">
        <w:rPr>
          <w:b/>
          <w:szCs w:val="22"/>
          <w:lang w:val="es-ES"/>
        </w:rPr>
        <w:t>A</w:t>
      </w:r>
      <w:r w:rsidR="003A17BB" w:rsidRPr="00A8388A">
        <w:rPr>
          <w:b/>
          <w:szCs w:val="22"/>
          <w:lang w:val="es-ES"/>
        </w:rPr>
        <w:t>NTECEDENTES</w:t>
      </w:r>
    </w:p>
    <w:p w:rsidR="00842A4F" w:rsidRPr="00A8388A" w:rsidRDefault="00842A4F">
      <w:pPr>
        <w:rPr>
          <w:szCs w:val="22"/>
          <w:lang w:val="es-ES"/>
        </w:rPr>
      </w:pPr>
    </w:p>
    <w:p w:rsidR="00A45F64" w:rsidRPr="00A8388A" w:rsidRDefault="00A45F64" w:rsidP="003360A1">
      <w:pPr>
        <w:pStyle w:val="ONUMFS"/>
        <w:rPr>
          <w:lang w:val="es-ES"/>
        </w:rPr>
      </w:pPr>
      <w:r w:rsidRPr="00A8388A">
        <w:rPr>
          <w:lang w:val="es-ES"/>
        </w:rPr>
        <w:t>A raíz de la recepción</w:t>
      </w:r>
      <w:r w:rsidR="00AA72DC" w:rsidRPr="00A8388A">
        <w:rPr>
          <w:lang w:val="es-ES"/>
        </w:rPr>
        <w:t>,</w:t>
      </w:r>
      <w:r w:rsidRPr="00A8388A">
        <w:rPr>
          <w:lang w:val="es-ES"/>
        </w:rPr>
        <w:t xml:space="preserve"> </w:t>
      </w:r>
      <w:r w:rsidR="00AA72DC" w:rsidRPr="00A8388A">
        <w:rPr>
          <w:lang w:val="es-ES"/>
        </w:rPr>
        <w:t xml:space="preserve">en abril de 2014, </w:t>
      </w:r>
      <w:r w:rsidRPr="00A8388A">
        <w:rPr>
          <w:lang w:val="es-ES"/>
        </w:rPr>
        <w:t xml:space="preserve">de una carta de la Administración Federal Suiza de Finanzas (AFF) en la que se informaba al Director General de la Organización Mundial de la Propiedad Intelectual (OMPI) </w:t>
      </w:r>
      <w:r w:rsidR="00AA72DC" w:rsidRPr="00A8388A">
        <w:rPr>
          <w:lang w:val="es-ES"/>
        </w:rPr>
        <w:t xml:space="preserve">de que iba a dejar de ser posible para la Organización mantener </w:t>
      </w:r>
      <w:r w:rsidRPr="00A8388A">
        <w:rPr>
          <w:lang w:val="es-ES"/>
        </w:rPr>
        <w:t xml:space="preserve">cuentas de depósito en la AFF, en septiembre de 2014 se presentó al Comité del Programa y Presupuesto (PBC) el documento WO/PBC/22/19, en el que se proponen </w:t>
      </w:r>
      <w:r w:rsidR="00AA72DC" w:rsidRPr="00A8388A">
        <w:rPr>
          <w:lang w:val="es-ES"/>
        </w:rPr>
        <w:t>varias modificaciones de</w:t>
      </w:r>
      <w:r w:rsidRPr="00A8388A">
        <w:rPr>
          <w:lang w:val="es-ES"/>
        </w:rPr>
        <w:t xml:space="preserve"> la política de inversiones de la Organización. Habiend</w:t>
      </w:r>
      <w:r w:rsidR="00AA72DC" w:rsidRPr="00A8388A">
        <w:rPr>
          <w:lang w:val="es-ES"/>
        </w:rPr>
        <w:t>o analizado el documento, el Comité</w:t>
      </w:r>
      <w:r w:rsidRPr="00A8388A">
        <w:rPr>
          <w:lang w:val="es-ES"/>
        </w:rPr>
        <w:t>:</w:t>
      </w:r>
    </w:p>
    <w:p w:rsidR="00AF3A8B" w:rsidRPr="00A8388A" w:rsidRDefault="00AF3A8B" w:rsidP="00A314DC">
      <w:pPr>
        <w:pStyle w:val="Style2"/>
        <w:numPr>
          <w:ilvl w:val="0"/>
          <w:numId w:val="0"/>
        </w:numPr>
        <w:tabs>
          <w:tab w:val="left" w:pos="567"/>
          <w:tab w:val="left" w:pos="1134"/>
          <w:tab w:val="left" w:pos="6521"/>
        </w:tabs>
        <w:spacing w:after="220"/>
        <w:ind w:left="567"/>
        <w:rPr>
          <w:lang w:val="es-ES"/>
        </w:rPr>
      </w:pPr>
      <w:r w:rsidRPr="00A8388A">
        <w:rPr>
          <w:lang w:val="es-ES"/>
        </w:rPr>
        <w:t>“</w:t>
      </w:r>
      <w:r w:rsidR="00DB74EE" w:rsidRPr="00A8388A">
        <w:rPr>
          <w:lang w:val="es-ES"/>
        </w:rPr>
        <w:t>i)</w:t>
      </w:r>
      <w:r w:rsidR="00DB74EE" w:rsidRPr="00A8388A">
        <w:rPr>
          <w:lang w:val="es-ES"/>
        </w:rPr>
        <w:tab/>
      </w:r>
      <w:r w:rsidR="003A17BB" w:rsidRPr="00A8388A">
        <w:rPr>
          <w:lang w:val="es-ES"/>
        </w:rPr>
        <w:t>reconoció la necesidad de modificar la política de inversiones; y</w:t>
      </w:r>
    </w:p>
    <w:p w:rsidR="00AF3A8B" w:rsidRPr="00A8388A" w:rsidRDefault="00DB74EE" w:rsidP="00A314DC">
      <w:pPr>
        <w:pStyle w:val="Style2"/>
        <w:numPr>
          <w:ilvl w:val="0"/>
          <w:numId w:val="0"/>
        </w:numPr>
        <w:tabs>
          <w:tab w:val="left" w:pos="567"/>
          <w:tab w:val="left" w:pos="1134"/>
          <w:tab w:val="left" w:pos="6521"/>
        </w:tabs>
        <w:spacing w:after="220"/>
        <w:ind w:left="567"/>
        <w:rPr>
          <w:lang w:val="es-ES"/>
        </w:rPr>
      </w:pPr>
      <w:r w:rsidRPr="00A8388A">
        <w:rPr>
          <w:lang w:val="es-ES"/>
        </w:rPr>
        <w:t>ii)</w:t>
      </w:r>
      <w:r w:rsidRPr="00A8388A">
        <w:rPr>
          <w:lang w:val="es-ES"/>
        </w:rPr>
        <w:tab/>
      </w:r>
      <w:r w:rsidR="003A17BB" w:rsidRPr="00A8388A">
        <w:rPr>
          <w:lang w:val="es-ES"/>
        </w:rPr>
        <w:t>pidió a la Secretaría:</w:t>
      </w:r>
    </w:p>
    <w:p w:rsidR="003A17BB" w:rsidRPr="00A8388A" w:rsidRDefault="003A17BB" w:rsidP="003A17BB">
      <w:pPr>
        <w:pStyle w:val="Style2"/>
        <w:numPr>
          <w:ilvl w:val="0"/>
          <w:numId w:val="19"/>
        </w:numPr>
        <w:tabs>
          <w:tab w:val="left" w:pos="1701"/>
        </w:tabs>
        <w:spacing w:after="220"/>
        <w:ind w:left="1134" w:firstLine="0"/>
        <w:rPr>
          <w:lang w:val="es-ES"/>
        </w:rPr>
      </w:pPr>
      <w:r w:rsidRPr="00A8388A">
        <w:rPr>
          <w:lang w:val="es-ES"/>
        </w:rPr>
        <w:t xml:space="preserve">que para su próxima sesión presente una propuesta detallada que contenga una versión revisada de la política, una vez que dicha propuesta haya sido examinada y autorizada por el Comité Asesor en materia de Inversiones; </w:t>
      </w:r>
    </w:p>
    <w:p w:rsidR="003A17BB" w:rsidRPr="00A8388A" w:rsidRDefault="003A17BB" w:rsidP="003A17BB">
      <w:pPr>
        <w:pStyle w:val="Style2"/>
        <w:numPr>
          <w:ilvl w:val="0"/>
          <w:numId w:val="19"/>
        </w:numPr>
        <w:tabs>
          <w:tab w:val="left" w:pos="1701"/>
        </w:tabs>
        <w:spacing w:after="220"/>
        <w:ind w:left="1134" w:firstLine="0"/>
        <w:rPr>
          <w:lang w:val="es-ES"/>
        </w:rPr>
      </w:pPr>
      <w:r w:rsidRPr="00A8388A">
        <w:rPr>
          <w:lang w:val="es-ES"/>
        </w:rPr>
        <w:t>que lleve a cabo un estudio de gestión del activo y el pasivo y presente una política de inversiones específica para la financiación del seguro médico tras la separación del servicio (ASHI), una vez que haya sido examinada y aprobada por el Comité Asesor en materia de Inversiones;  y</w:t>
      </w:r>
    </w:p>
    <w:p w:rsidR="00AF3A8B" w:rsidRPr="00A8388A" w:rsidRDefault="003A17BB" w:rsidP="003A17BB">
      <w:pPr>
        <w:pStyle w:val="Style2"/>
        <w:numPr>
          <w:ilvl w:val="0"/>
          <w:numId w:val="19"/>
        </w:numPr>
        <w:tabs>
          <w:tab w:val="left" w:pos="1701"/>
        </w:tabs>
        <w:spacing w:after="220"/>
        <w:ind w:left="1134" w:firstLine="0"/>
        <w:rPr>
          <w:lang w:val="es-ES"/>
        </w:rPr>
      </w:pPr>
      <w:r w:rsidRPr="00A8388A">
        <w:rPr>
          <w:lang w:val="es-ES"/>
        </w:rPr>
        <w:t>que, en la medida en que haya un nivel suficiente de liquidez disponible, sufrague los gastos de la Sala de Conferencias con fondos destinados a la inversión y no utilizando el préstamo que se contrajo para ese fin</w:t>
      </w:r>
      <w:r w:rsidR="00AF3A8B" w:rsidRPr="00A8388A">
        <w:rPr>
          <w:lang w:val="es-ES"/>
        </w:rPr>
        <w:t>.”</w:t>
      </w:r>
    </w:p>
    <w:p w:rsidR="00A45F64" w:rsidRPr="00A8388A" w:rsidRDefault="00A45F64" w:rsidP="003360A1">
      <w:pPr>
        <w:pStyle w:val="ONUMFS"/>
        <w:rPr>
          <w:lang w:val="es-ES"/>
        </w:rPr>
      </w:pPr>
      <w:r w:rsidRPr="00A8388A">
        <w:rPr>
          <w:lang w:val="es-ES"/>
        </w:rPr>
        <w:lastRenderedPageBreak/>
        <w:t>Desde la sesión del PBC de septiembre de 2014, el panorama bancario suizo ha cambiado no</w:t>
      </w:r>
      <w:r w:rsidR="0092709B" w:rsidRPr="00A8388A">
        <w:rPr>
          <w:lang w:val="es-ES"/>
        </w:rPr>
        <w:t>tablemente, sobre todo porque el BNS introdujo</w:t>
      </w:r>
      <w:r w:rsidRPr="00A8388A">
        <w:rPr>
          <w:lang w:val="es-ES"/>
        </w:rPr>
        <w:t xml:space="preserve"> tipos de interés negativos tras el</w:t>
      </w:r>
      <w:r w:rsidR="0092709B" w:rsidRPr="00A8388A">
        <w:rPr>
          <w:lang w:val="es-ES"/>
        </w:rPr>
        <w:t xml:space="preserve"> abandono del tipo de cambio fijo entre</w:t>
      </w:r>
      <w:r w:rsidRPr="00A8388A">
        <w:rPr>
          <w:lang w:val="es-ES"/>
        </w:rPr>
        <w:t xml:space="preserve"> </w:t>
      </w:r>
      <w:r w:rsidR="0092709B" w:rsidRPr="00A8388A">
        <w:rPr>
          <w:lang w:val="es-ES"/>
        </w:rPr>
        <w:t xml:space="preserve">el </w:t>
      </w:r>
      <w:r w:rsidRPr="00A8388A">
        <w:rPr>
          <w:lang w:val="es-ES"/>
        </w:rPr>
        <w:t xml:space="preserve">franco suizo </w:t>
      </w:r>
      <w:r w:rsidR="0092709B" w:rsidRPr="00A8388A">
        <w:rPr>
          <w:lang w:val="es-ES"/>
        </w:rPr>
        <w:t xml:space="preserve">y </w:t>
      </w:r>
      <w:r w:rsidRPr="00A8388A">
        <w:rPr>
          <w:lang w:val="es-ES"/>
        </w:rPr>
        <w:t xml:space="preserve">el euro </w:t>
      </w:r>
      <w:r w:rsidR="0092709B" w:rsidRPr="00A8388A">
        <w:rPr>
          <w:lang w:val="es-ES"/>
        </w:rPr>
        <w:t xml:space="preserve">ocurrido </w:t>
      </w:r>
      <w:r w:rsidRPr="00A8388A">
        <w:rPr>
          <w:lang w:val="es-ES"/>
        </w:rPr>
        <w:t>en enero de 2015.</w:t>
      </w:r>
      <w:r w:rsidR="001E2CB9" w:rsidRPr="00A8388A">
        <w:rPr>
          <w:lang w:val="es-ES"/>
        </w:rPr>
        <w:t xml:space="preserve"> (En el Anexo I se muestra cómo los tipos de interés negativos que se aplican en Suiza se comparan con los de otros lugares del mundo). Esta situación, que se analiza más pormenorizadamente en el documento WO/PBC/23/6, plantea una serie de problemas. En los últimos meses, la Secretaría (incluidos los miembros del Comité Asesor en materia de Inversiones) se ha reunido con varia</w:t>
      </w:r>
      <w:r w:rsidR="00803EFF" w:rsidRPr="00A8388A">
        <w:rPr>
          <w:lang w:val="es-ES"/>
        </w:rPr>
        <w:t>s instituciones financieras, con</w:t>
      </w:r>
      <w:r w:rsidR="001E2CB9" w:rsidRPr="00A8388A">
        <w:rPr>
          <w:lang w:val="es-ES"/>
        </w:rPr>
        <w:t xml:space="preserve"> colegas que trabaja</w:t>
      </w:r>
      <w:r w:rsidR="00DF1AF8" w:rsidRPr="00A8388A">
        <w:rPr>
          <w:lang w:val="es-ES"/>
        </w:rPr>
        <w:t>n en funciones de tesorería en</w:t>
      </w:r>
      <w:r w:rsidR="001E2CB9" w:rsidRPr="00A8388A">
        <w:rPr>
          <w:lang w:val="es-ES"/>
        </w:rPr>
        <w:t xml:space="preserve"> otras organizaciones y </w:t>
      </w:r>
      <w:r w:rsidR="00803EFF" w:rsidRPr="00A8388A">
        <w:rPr>
          <w:lang w:val="es-ES"/>
        </w:rPr>
        <w:t xml:space="preserve">con </w:t>
      </w:r>
      <w:r w:rsidR="001E2CB9" w:rsidRPr="00A8388A">
        <w:rPr>
          <w:lang w:val="es-ES"/>
        </w:rPr>
        <w:t>una consultora de tesorería</w:t>
      </w:r>
      <w:r w:rsidR="00DF1AF8" w:rsidRPr="00A8388A">
        <w:rPr>
          <w:lang w:val="es-ES"/>
        </w:rPr>
        <w:t xml:space="preserve"> externa e independiente</w:t>
      </w:r>
      <w:r w:rsidR="001E2CB9" w:rsidRPr="00A8388A">
        <w:rPr>
          <w:lang w:val="es-ES"/>
        </w:rPr>
        <w:t xml:space="preserve">, </w:t>
      </w:r>
      <w:proofErr w:type="spellStart"/>
      <w:r w:rsidR="001E2CB9" w:rsidRPr="00A8388A">
        <w:rPr>
          <w:lang w:val="es-ES"/>
        </w:rPr>
        <w:t>Zanders</w:t>
      </w:r>
      <w:proofErr w:type="spellEnd"/>
      <w:r w:rsidR="001E2CB9" w:rsidRPr="00A8388A">
        <w:rPr>
          <w:lang w:val="es-ES"/>
        </w:rPr>
        <w:t>, c</w:t>
      </w:r>
      <w:r w:rsidR="00DF1AF8" w:rsidRPr="00A8388A">
        <w:rPr>
          <w:lang w:val="es-ES"/>
        </w:rPr>
        <w:t>on el fin de explorar la manera de</w:t>
      </w:r>
      <w:r w:rsidR="001E2CB9" w:rsidRPr="00A8388A">
        <w:rPr>
          <w:lang w:val="es-ES"/>
        </w:rPr>
        <w:t xml:space="preserve"> abordar estas cuestiones y </w:t>
      </w:r>
      <w:r w:rsidR="00803EFF" w:rsidRPr="00A8388A">
        <w:rPr>
          <w:lang w:val="es-ES"/>
        </w:rPr>
        <w:t>definir</w:t>
      </w:r>
      <w:r w:rsidR="001E2CB9" w:rsidRPr="00A8388A">
        <w:rPr>
          <w:lang w:val="es-ES"/>
        </w:rPr>
        <w:t xml:space="preserve"> el contenido de las dos </w:t>
      </w:r>
      <w:r w:rsidR="00803EFF" w:rsidRPr="00A8388A">
        <w:rPr>
          <w:lang w:val="es-ES"/>
        </w:rPr>
        <w:t>políticas de inversión requerida</w:t>
      </w:r>
      <w:r w:rsidR="001E2CB9" w:rsidRPr="00A8388A">
        <w:rPr>
          <w:lang w:val="es-ES"/>
        </w:rPr>
        <w:t xml:space="preserve">s. </w:t>
      </w:r>
      <w:r w:rsidR="00803EFF" w:rsidRPr="00A8388A">
        <w:rPr>
          <w:lang w:val="es-ES"/>
        </w:rPr>
        <w:t>De estas reuniones han emergido dos</w:t>
      </w:r>
      <w:r w:rsidR="00DF1AF8" w:rsidRPr="00A8388A">
        <w:rPr>
          <w:lang w:val="es-ES"/>
        </w:rPr>
        <w:t xml:space="preserve"> principales</w:t>
      </w:r>
      <w:r w:rsidR="00803EFF" w:rsidRPr="00A8388A">
        <w:rPr>
          <w:lang w:val="es-ES"/>
        </w:rPr>
        <w:t xml:space="preserve"> </w:t>
      </w:r>
      <w:r w:rsidR="001E2CB9" w:rsidRPr="00A8388A">
        <w:rPr>
          <w:lang w:val="es-ES"/>
        </w:rPr>
        <w:t>temas comunes: en primer lugar, la necesidad de establecer cla</w:t>
      </w:r>
      <w:r w:rsidR="00803EFF" w:rsidRPr="00A8388A">
        <w:rPr>
          <w:lang w:val="es-ES"/>
        </w:rPr>
        <w:t xml:space="preserve">ramente </w:t>
      </w:r>
      <w:r w:rsidR="00DF1AF8" w:rsidRPr="00A8388A">
        <w:rPr>
          <w:lang w:val="es-ES"/>
        </w:rPr>
        <w:t xml:space="preserve">los tipos de </w:t>
      </w:r>
      <w:r w:rsidR="00803EFF" w:rsidRPr="00A8388A">
        <w:rPr>
          <w:lang w:val="es-ES"/>
        </w:rPr>
        <w:t>recursos</w:t>
      </w:r>
      <w:r w:rsidR="001E2CB9" w:rsidRPr="00A8388A">
        <w:rPr>
          <w:lang w:val="es-ES"/>
        </w:rPr>
        <w:t xml:space="preserve"> en efectivo disponible</w:t>
      </w:r>
      <w:r w:rsidR="00803EFF" w:rsidRPr="00A8388A">
        <w:rPr>
          <w:lang w:val="es-ES"/>
        </w:rPr>
        <w:t>s</w:t>
      </w:r>
      <w:r w:rsidR="001E2CB9" w:rsidRPr="00A8388A">
        <w:rPr>
          <w:lang w:val="es-ES"/>
        </w:rPr>
        <w:t xml:space="preserve"> para la inversión y, por otra, la de</w:t>
      </w:r>
      <w:r w:rsidR="00DF1AF8" w:rsidRPr="00A8388A">
        <w:rPr>
          <w:lang w:val="es-ES"/>
        </w:rPr>
        <w:t xml:space="preserve"> revisar el nivel de riesgo que</w:t>
      </w:r>
      <w:r w:rsidR="00803EFF" w:rsidRPr="00A8388A">
        <w:rPr>
          <w:lang w:val="es-ES"/>
        </w:rPr>
        <w:t xml:space="preserve"> la Organización </w:t>
      </w:r>
      <w:r w:rsidR="00DF1AF8" w:rsidRPr="00A8388A">
        <w:rPr>
          <w:lang w:val="es-ES"/>
        </w:rPr>
        <w:t xml:space="preserve">está dispuesta a aceptar </w:t>
      </w:r>
      <w:r w:rsidR="00803EFF" w:rsidRPr="00A8388A">
        <w:rPr>
          <w:lang w:val="es-ES"/>
        </w:rPr>
        <w:t xml:space="preserve">en sus </w:t>
      </w:r>
      <w:r w:rsidR="001E2CB9" w:rsidRPr="00A8388A">
        <w:rPr>
          <w:lang w:val="es-ES"/>
        </w:rPr>
        <w:t>inversiones</w:t>
      </w:r>
      <w:r w:rsidR="00803EFF" w:rsidRPr="00A8388A">
        <w:rPr>
          <w:lang w:val="es-ES"/>
        </w:rPr>
        <w:t>. Estos dos puntos</w:t>
      </w:r>
      <w:r w:rsidR="001E2CB9" w:rsidRPr="00A8388A">
        <w:rPr>
          <w:lang w:val="es-ES"/>
        </w:rPr>
        <w:t xml:space="preserve"> se examinan a continuación.</w:t>
      </w:r>
      <w:r w:rsidRPr="00A8388A">
        <w:rPr>
          <w:lang w:val="es-ES"/>
        </w:rPr>
        <w:t xml:space="preserve">  </w:t>
      </w:r>
    </w:p>
    <w:p w:rsidR="00842A4F" w:rsidRPr="00A8388A" w:rsidRDefault="00E70AB2" w:rsidP="005025F5">
      <w:pPr>
        <w:pStyle w:val="ONUME"/>
        <w:rPr>
          <w:b/>
          <w:caps/>
          <w:szCs w:val="22"/>
          <w:lang w:val="es-ES"/>
        </w:rPr>
      </w:pPr>
      <w:r w:rsidRPr="00A8388A">
        <w:rPr>
          <w:b/>
          <w:caps/>
          <w:szCs w:val="22"/>
          <w:lang w:val="es-ES"/>
        </w:rPr>
        <w:t>Efectivo disponible para la inversión</w:t>
      </w:r>
    </w:p>
    <w:p w:rsidR="00312356" w:rsidRPr="00A8388A" w:rsidRDefault="00E70AB2" w:rsidP="003360A1">
      <w:pPr>
        <w:pStyle w:val="ONUMFS"/>
        <w:rPr>
          <w:lang w:val="es-ES"/>
        </w:rPr>
      </w:pPr>
      <w:r w:rsidRPr="00A8388A">
        <w:rPr>
          <w:lang w:val="es-ES"/>
        </w:rPr>
        <w:t xml:space="preserve">En el cuadro 1 se muestran los saldos de efectivo y </w:t>
      </w:r>
      <w:r w:rsidR="00DF1AF8" w:rsidRPr="00A8388A">
        <w:rPr>
          <w:lang w:val="es-ES"/>
        </w:rPr>
        <w:t xml:space="preserve">de </w:t>
      </w:r>
      <w:r w:rsidRPr="00A8388A">
        <w:rPr>
          <w:lang w:val="es-ES"/>
        </w:rPr>
        <w:t>equivalentes de efectivo de la Organización a fines de marzo de 2015. Un examen de los flujos de efectivo de la OMPI ha puesto de manifiesto que</w:t>
      </w:r>
      <w:r w:rsidR="00D67C04" w:rsidRPr="00A8388A">
        <w:rPr>
          <w:lang w:val="es-ES"/>
        </w:rPr>
        <w:t xml:space="preserve"> los recursos de efectivo de la</w:t>
      </w:r>
      <w:r w:rsidRPr="00A8388A">
        <w:rPr>
          <w:lang w:val="es-ES"/>
        </w:rPr>
        <w:t xml:space="preserve"> </w:t>
      </w:r>
      <w:r w:rsidR="00D67C04" w:rsidRPr="00A8388A">
        <w:rPr>
          <w:lang w:val="es-ES"/>
        </w:rPr>
        <w:t>O</w:t>
      </w:r>
      <w:r w:rsidRPr="00A8388A">
        <w:rPr>
          <w:lang w:val="es-ES"/>
        </w:rPr>
        <w:t>rganización</w:t>
      </w:r>
      <w:r w:rsidR="00D67C04" w:rsidRPr="00A8388A">
        <w:rPr>
          <w:lang w:val="es-ES"/>
        </w:rPr>
        <w:t xml:space="preserve">, al igual que los de otras </w:t>
      </w:r>
      <w:r w:rsidRPr="00A8388A">
        <w:rPr>
          <w:lang w:val="es-ES"/>
        </w:rPr>
        <w:t>muchas entidades, tanto públicas como privadas, se puede</w:t>
      </w:r>
      <w:r w:rsidR="00D67C04" w:rsidRPr="00A8388A">
        <w:rPr>
          <w:lang w:val="es-ES"/>
        </w:rPr>
        <w:t>n</w:t>
      </w:r>
      <w:r w:rsidRPr="00A8388A">
        <w:rPr>
          <w:lang w:val="es-ES"/>
        </w:rPr>
        <w:t xml:space="preserve"> dividir en tres categorías: efectivo para gas</w:t>
      </w:r>
      <w:r w:rsidR="00D67C04" w:rsidRPr="00A8388A">
        <w:rPr>
          <w:lang w:val="es-ES"/>
        </w:rPr>
        <w:t xml:space="preserve">tos de funcionamiento, efectivo básico y efectivo estratégico. Cada categoría presenta </w:t>
      </w:r>
      <w:r w:rsidRPr="00A8388A">
        <w:rPr>
          <w:lang w:val="es-ES"/>
        </w:rPr>
        <w:t>un</w:t>
      </w:r>
      <w:r w:rsidR="00D67C04" w:rsidRPr="00A8388A">
        <w:rPr>
          <w:lang w:val="es-ES"/>
        </w:rPr>
        <w:t>os</w:t>
      </w:r>
      <w:r w:rsidRPr="00A8388A">
        <w:rPr>
          <w:lang w:val="es-ES"/>
        </w:rPr>
        <w:t xml:space="preserve"> objetivo</w:t>
      </w:r>
      <w:r w:rsidR="00D67C04" w:rsidRPr="00A8388A">
        <w:rPr>
          <w:lang w:val="es-ES"/>
        </w:rPr>
        <w:t>s</w:t>
      </w:r>
      <w:r w:rsidRPr="00A8388A">
        <w:rPr>
          <w:lang w:val="es-ES"/>
        </w:rPr>
        <w:t>, horizonte</w:t>
      </w:r>
      <w:r w:rsidR="00D67C04" w:rsidRPr="00A8388A">
        <w:rPr>
          <w:lang w:val="es-ES"/>
        </w:rPr>
        <w:t>s y perfiles de riesgo</w:t>
      </w:r>
      <w:r w:rsidRPr="00A8388A">
        <w:rPr>
          <w:lang w:val="es-ES"/>
        </w:rPr>
        <w:t xml:space="preserve"> de inversión diferentes</w:t>
      </w:r>
      <w:r w:rsidR="00D67C04" w:rsidRPr="00A8388A">
        <w:rPr>
          <w:lang w:val="es-ES"/>
        </w:rPr>
        <w:t xml:space="preserve">, y los tres </w:t>
      </w:r>
      <w:r w:rsidRPr="00A8388A">
        <w:rPr>
          <w:lang w:val="es-ES"/>
        </w:rPr>
        <w:t>el</w:t>
      </w:r>
      <w:r w:rsidR="00D67C04" w:rsidRPr="00A8388A">
        <w:rPr>
          <w:lang w:val="es-ES"/>
        </w:rPr>
        <w:t>ementos deberían quedar recogidos en una</w:t>
      </w:r>
      <w:r w:rsidRPr="00A8388A">
        <w:rPr>
          <w:lang w:val="es-ES"/>
        </w:rPr>
        <w:t xml:space="preserve"> política de inversiones. En el cuadro 2 se muestra </w:t>
      </w:r>
      <w:r w:rsidR="00DF1AF8" w:rsidRPr="00A8388A">
        <w:rPr>
          <w:lang w:val="es-ES"/>
        </w:rPr>
        <w:t xml:space="preserve">la propuesta de clasificación del efectivo de la </w:t>
      </w:r>
      <w:r w:rsidRPr="00A8388A">
        <w:rPr>
          <w:lang w:val="es-ES"/>
        </w:rPr>
        <w:t xml:space="preserve">OMPI en </w:t>
      </w:r>
      <w:r w:rsidR="00DF1AF8" w:rsidRPr="00A8388A">
        <w:rPr>
          <w:lang w:val="es-ES"/>
        </w:rPr>
        <w:t>estas</w:t>
      </w:r>
      <w:r w:rsidRPr="00A8388A">
        <w:rPr>
          <w:lang w:val="es-ES"/>
        </w:rPr>
        <w:t xml:space="preserve"> tres categorías</w:t>
      </w:r>
      <w:r w:rsidR="00D67C04" w:rsidRPr="00A8388A">
        <w:rPr>
          <w:lang w:val="es-ES"/>
        </w:rPr>
        <w:t>.</w:t>
      </w:r>
    </w:p>
    <w:p w:rsidR="00D956E9" w:rsidRPr="00A8388A" w:rsidRDefault="00D956E9" w:rsidP="00D956E9">
      <w:pPr>
        <w:pStyle w:val="ONUME"/>
        <w:spacing w:after="0"/>
        <w:rPr>
          <w:sz w:val="18"/>
          <w:szCs w:val="18"/>
          <w:lang w:val="es-ES"/>
        </w:rPr>
      </w:pPr>
    </w:p>
    <w:p w:rsidR="00D956E9" w:rsidRPr="00A8388A" w:rsidRDefault="003A17BB" w:rsidP="00D956E9">
      <w:pPr>
        <w:pStyle w:val="ONUME"/>
        <w:spacing w:after="0"/>
        <w:jc w:val="center"/>
        <w:rPr>
          <w:b/>
          <w:szCs w:val="22"/>
          <w:lang w:val="es-ES"/>
        </w:rPr>
      </w:pPr>
      <w:r w:rsidRPr="00A8388A">
        <w:rPr>
          <w:b/>
          <w:szCs w:val="22"/>
          <w:lang w:val="es-ES"/>
        </w:rPr>
        <w:t>Cuadro</w:t>
      </w:r>
      <w:r w:rsidR="00D956E9" w:rsidRPr="00A8388A">
        <w:rPr>
          <w:b/>
          <w:szCs w:val="22"/>
          <w:lang w:val="es-ES"/>
        </w:rPr>
        <w:t xml:space="preserve"> 1</w:t>
      </w:r>
    </w:p>
    <w:p w:rsidR="001459CE" w:rsidRPr="00A8388A" w:rsidRDefault="001459CE" w:rsidP="00D956E9">
      <w:pPr>
        <w:pStyle w:val="ONUME"/>
        <w:spacing w:after="0"/>
        <w:jc w:val="center"/>
        <w:rPr>
          <w:szCs w:val="22"/>
          <w:lang w:val="es-ES"/>
        </w:rPr>
      </w:pPr>
    </w:p>
    <w:p w:rsidR="001459CE" w:rsidRPr="00A8388A" w:rsidRDefault="001459CE" w:rsidP="00D956E9">
      <w:pPr>
        <w:pStyle w:val="ONUME"/>
        <w:spacing w:after="0"/>
        <w:jc w:val="center"/>
        <w:rPr>
          <w:b/>
          <w:szCs w:val="22"/>
          <w:lang w:val="es-ES"/>
        </w:rPr>
      </w:pPr>
      <w:r w:rsidRPr="00A8388A">
        <w:rPr>
          <w:noProof/>
          <w:lang w:eastAsia="en-US"/>
        </w:rPr>
        <w:drawing>
          <wp:inline distT="0" distB="0" distL="0" distR="0" wp14:anchorId="5321386C" wp14:editId="3C7E712F">
            <wp:extent cx="5444116" cy="3808651"/>
            <wp:effectExtent l="0" t="0" r="4445" b="190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44613" cy="3808999"/>
                    </a:xfrm>
                    <a:prstGeom prst="rect">
                      <a:avLst/>
                    </a:prstGeom>
                    <a:noFill/>
                    <a:ln>
                      <a:noFill/>
                    </a:ln>
                  </pic:spPr>
                </pic:pic>
              </a:graphicData>
            </a:graphic>
          </wp:inline>
        </w:drawing>
      </w:r>
    </w:p>
    <w:p w:rsidR="00D956E9" w:rsidRPr="00A8388A" w:rsidRDefault="00D956E9" w:rsidP="00D956E9">
      <w:pPr>
        <w:pStyle w:val="ONUME"/>
        <w:spacing w:after="0"/>
        <w:jc w:val="center"/>
        <w:rPr>
          <w:b/>
          <w:sz w:val="18"/>
          <w:szCs w:val="18"/>
          <w:lang w:val="es-ES"/>
        </w:rPr>
      </w:pPr>
    </w:p>
    <w:p w:rsidR="00D06370" w:rsidRPr="00A8388A" w:rsidRDefault="00D06370" w:rsidP="002D5273">
      <w:pPr>
        <w:pStyle w:val="ONUME"/>
        <w:jc w:val="center"/>
        <w:rPr>
          <w:sz w:val="18"/>
          <w:szCs w:val="18"/>
          <w:lang w:val="es-ES"/>
        </w:rPr>
      </w:pPr>
    </w:p>
    <w:p w:rsidR="00D02B32" w:rsidRPr="00A8388A" w:rsidRDefault="00E70AB2" w:rsidP="00A314DC">
      <w:pPr>
        <w:pStyle w:val="ONUME"/>
        <w:keepNext/>
        <w:keepLines/>
        <w:spacing w:after="0"/>
        <w:jc w:val="center"/>
        <w:rPr>
          <w:b/>
          <w:szCs w:val="22"/>
          <w:lang w:val="es-ES"/>
        </w:rPr>
      </w:pPr>
      <w:r w:rsidRPr="00A8388A">
        <w:rPr>
          <w:b/>
          <w:szCs w:val="22"/>
          <w:lang w:val="es-ES"/>
        </w:rPr>
        <w:lastRenderedPageBreak/>
        <w:t>Cuadro</w:t>
      </w:r>
      <w:r w:rsidR="00D02B32" w:rsidRPr="00A8388A">
        <w:rPr>
          <w:b/>
          <w:szCs w:val="22"/>
          <w:lang w:val="es-ES"/>
        </w:rPr>
        <w:t xml:space="preserve"> 2</w:t>
      </w:r>
    </w:p>
    <w:p w:rsidR="001459CE" w:rsidRPr="00A8388A" w:rsidRDefault="001459CE" w:rsidP="00A314DC">
      <w:pPr>
        <w:pStyle w:val="ONUME"/>
        <w:keepNext/>
        <w:keepLines/>
        <w:spacing w:after="0"/>
        <w:jc w:val="center"/>
        <w:rPr>
          <w:szCs w:val="22"/>
          <w:lang w:val="es-ES"/>
        </w:rPr>
      </w:pPr>
    </w:p>
    <w:p w:rsidR="001459CE" w:rsidRPr="00A8388A" w:rsidRDefault="001459CE" w:rsidP="00A314DC">
      <w:pPr>
        <w:pStyle w:val="ONUME"/>
        <w:keepNext/>
        <w:keepLines/>
        <w:spacing w:after="0"/>
        <w:jc w:val="center"/>
        <w:rPr>
          <w:b/>
          <w:szCs w:val="22"/>
          <w:lang w:val="es-ES"/>
        </w:rPr>
      </w:pPr>
      <w:r w:rsidRPr="00A8388A">
        <w:rPr>
          <w:noProof/>
          <w:lang w:eastAsia="en-US"/>
        </w:rPr>
        <w:drawing>
          <wp:inline distT="0" distB="0" distL="0" distR="0" wp14:anchorId="1420BD2B" wp14:editId="4705E4F3">
            <wp:extent cx="4572000" cy="141097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1410970"/>
                    </a:xfrm>
                    <a:prstGeom prst="rect">
                      <a:avLst/>
                    </a:prstGeom>
                    <a:noFill/>
                    <a:ln>
                      <a:noFill/>
                    </a:ln>
                  </pic:spPr>
                </pic:pic>
              </a:graphicData>
            </a:graphic>
          </wp:inline>
        </w:drawing>
      </w:r>
    </w:p>
    <w:p w:rsidR="007D0D8A" w:rsidRPr="00A8388A" w:rsidRDefault="007D0D8A" w:rsidP="00A314DC">
      <w:pPr>
        <w:pStyle w:val="ONUME"/>
        <w:keepNext/>
        <w:keepLines/>
        <w:spacing w:after="0"/>
        <w:jc w:val="center"/>
        <w:rPr>
          <w:b/>
          <w:szCs w:val="22"/>
          <w:lang w:val="es-ES"/>
        </w:rPr>
      </w:pPr>
    </w:p>
    <w:p w:rsidR="00A51019" w:rsidRPr="00A8388A" w:rsidRDefault="00A51019" w:rsidP="00A314DC">
      <w:pPr>
        <w:pStyle w:val="ONUME"/>
        <w:tabs>
          <w:tab w:val="left" w:pos="1134"/>
        </w:tabs>
        <w:rPr>
          <w:szCs w:val="22"/>
          <w:lang w:val="es-ES"/>
        </w:rPr>
      </w:pPr>
    </w:p>
    <w:p w:rsidR="00312356" w:rsidRPr="00A8388A" w:rsidRDefault="00D67C04" w:rsidP="00A314DC">
      <w:pPr>
        <w:pStyle w:val="ONUME"/>
        <w:tabs>
          <w:tab w:val="left" w:pos="1134"/>
        </w:tabs>
        <w:rPr>
          <w:szCs w:val="22"/>
          <w:lang w:val="es-ES"/>
        </w:rPr>
      </w:pPr>
      <w:r w:rsidRPr="00A8388A">
        <w:rPr>
          <w:szCs w:val="22"/>
          <w:lang w:val="es-ES"/>
        </w:rPr>
        <w:t>EFECTIVO PARA GASTOS DE FUNCIONAMIENTO</w:t>
      </w:r>
    </w:p>
    <w:p w:rsidR="00E52461" w:rsidRPr="00A8388A" w:rsidRDefault="006F4908" w:rsidP="003360A1">
      <w:pPr>
        <w:pStyle w:val="ONUMFS"/>
        <w:rPr>
          <w:lang w:val="es-ES"/>
        </w:rPr>
      </w:pPr>
      <w:r w:rsidRPr="00A8388A">
        <w:rPr>
          <w:lang w:val="es-ES"/>
        </w:rPr>
        <w:t>Este efectivo</w:t>
      </w:r>
      <w:r w:rsidR="00454F3E" w:rsidRPr="00A8388A">
        <w:rPr>
          <w:lang w:val="es-ES"/>
        </w:rPr>
        <w:t xml:space="preserve"> comprende el monto</w:t>
      </w:r>
      <w:r w:rsidRPr="00A8388A">
        <w:rPr>
          <w:lang w:val="es-ES"/>
        </w:rPr>
        <w:t xml:space="preserve"> </w:t>
      </w:r>
      <w:r w:rsidR="00454F3E" w:rsidRPr="00A8388A">
        <w:rPr>
          <w:lang w:val="es-ES"/>
        </w:rPr>
        <w:t>necesario</w:t>
      </w:r>
      <w:r w:rsidRPr="00A8388A">
        <w:rPr>
          <w:lang w:val="es-ES"/>
        </w:rPr>
        <w:t xml:space="preserve"> para satisfacer los pagos operativos corrientes, como las nóminas, las facturas de los proveedores y las distribuciones que se efectúan a Madrid y a La Haya. Así pues, el objetivo de inversión es garantizar la liquidez, el horizonte de inversión es inmediato</w:t>
      </w:r>
      <w:r w:rsidR="00454F3E" w:rsidRPr="00A8388A">
        <w:rPr>
          <w:lang w:val="es-ES"/>
        </w:rPr>
        <w:t xml:space="preserve"> (</w:t>
      </w:r>
      <w:r w:rsidRPr="00A8388A">
        <w:rPr>
          <w:lang w:val="es-ES"/>
        </w:rPr>
        <w:t>ya que es preciso disponer de efectivo a diario</w:t>
      </w:r>
      <w:r w:rsidR="00454F3E" w:rsidRPr="00A8388A">
        <w:rPr>
          <w:lang w:val="es-ES"/>
        </w:rPr>
        <w:t>)</w:t>
      </w:r>
      <w:r w:rsidRPr="00A8388A">
        <w:rPr>
          <w:lang w:val="es-ES"/>
        </w:rPr>
        <w:t xml:space="preserve"> y el perfil de riesgo adoptado debe tener como objetivo garantizar que cualquier inversión de efectivo para gastos de funcionamiento preserve el capital y pueda</w:t>
      </w:r>
      <w:r w:rsidR="00454F3E" w:rsidRPr="00A8388A">
        <w:rPr>
          <w:lang w:val="es-ES"/>
        </w:rPr>
        <w:t xml:space="preserve"> liquidarse fácilmente</w:t>
      </w:r>
      <w:r w:rsidRPr="00A8388A">
        <w:rPr>
          <w:lang w:val="es-ES"/>
        </w:rPr>
        <w:t>. En la OMPI</w:t>
      </w:r>
      <w:r w:rsidR="00454F3E" w:rsidRPr="00A8388A">
        <w:rPr>
          <w:lang w:val="es-ES"/>
        </w:rPr>
        <w:t>,</w:t>
      </w:r>
      <w:r w:rsidRPr="00A8388A">
        <w:rPr>
          <w:lang w:val="es-ES"/>
        </w:rPr>
        <w:t xml:space="preserve"> la cantidad de efectivo para gastos de funcionamiento </w:t>
      </w:r>
      <w:r w:rsidR="00454F3E" w:rsidRPr="00A8388A">
        <w:rPr>
          <w:lang w:val="es-ES"/>
        </w:rPr>
        <w:t>que se necesita</w:t>
      </w:r>
      <w:r w:rsidRPr="00A8388A">
        <w:rPr>
          <w:lang w:val="es-ES"/>
        </w:rPr>
        <w:t xml:space="preserve"> varía de un mes otro, pero en los últimos dos años, durante los cuales </w:t>
      </w:r>
      <w:r w:rsidR="00454F3E" w:rsidRPr="00A8388A">
        <w:rPr>
          <w:lang w:val="es-ES"/>
        </w:rPr>
        <w:t>se</w:t>
      </w:r>
      <w:r w:rsidRPr="00A8388A">
        <w:rPr>
          <w:lang w:val="es-ES"/>
        </w:rPr>
        <w:t xml:space="preserve"> </w:t>
      </w:r>
      <w:r w:rsidR="00454F3E" w:rsidRPr="00A8388A">
        <w:rPr>
          <w:lang w:val="es-ES"/>
        </w:rPr>
        <w:t xml:space="preserve">han </w:t>
      </w:r>
      <w:r w:rsidRPr="00A8388A">
        <w:rPr>
          <w:lang w:val="es-ES"/>
        </w:rPr>
        <w:t>monitoreado muy de cerca</w:t>
      </w:r>
      <w:r w:rsidR="00454F3E" w:rsidRPr="00A8388A">
        <w:rPr>
          <w:lang w:val="es-ES"/>
        </w:rPr>
        <w:t xml:space="preserve"> los flujos de caja de la Organización</w:t>
      </w:r>
      <w:r w:rsidRPr="00A8388A">
        <w:rPr>
          <w:lang w:val="es-ES"/>
        </w:rPr>
        <w:t>, no ha superado los 50 millones de francos suizos.</w:t>
      </w:r>
      <w:r w:rsidR="007D7ACA" w:rsidRPr="00A8388A">
        <w:rPr>
          <w:lang w:val="es-ES"/>
        </w:rPr>
        <w:t xml:space="preserve"> </w:t>
      </w:r>
    </w:p>
    <w:p w:rsidR="006E77DB" w:rsidRPr="00A8388A" w:rsidRDefault="006F4908" w:rsidP="003360A1">
      <w:pPr>
        <w:pStyle w:val="ONUMFS"/>
        <w:rPr>
          <w:lang w:val="es-ES"/>
        </w:rPr>
      </w:pPr>
      <w:r w:rsidRPr="00A8388A">
        <w:rPr>
          <w:lang w:val="es-ES"/>
        </w:rPr>
        <w:t>Además de</w:t>
      </w:r>
      <w:r w:rsidR="005619AD" w:rsidRPr="00A8388A">
        <w:rPr>
          <w:lang w:val="es-ES"/>
        </w:rPr>
        <w:t xml:space="preserve"> velar por que la Organización disponga de</w:t>
      </w:r>
      <w:r w:rsidRPr="00A8388A">
        <w:rPr>
          <w:lang w:val="es-ES"/>
        </w:rPr>
        <w:t xml:space="preserve"> suficiente efectivo p</w:t>
      </w:r>
      <w:r w:rsidR="005619AD" w:rsidRPr="00A8388A">
        <w:rPr>
          <w:lang w:val="es-ES"/>
        </w:rPr>
        <w:t xml:space="preserve">ara satisfacer </w:t>
      </w:r>
      <w:r w:rsidRPr="00A8388A">
        <w:rPr>
          <w:lang w:val="es-ES"/>
        </w:rPr>
        <w:t xml:space="preserve">sus </w:t>
      </w:r>
      <w:r w:rsidR="00454F3E" w:rsidRPr="00A8388A">
        <w:rPr>
          <w:lang w:val="es-ES"/>
        </w:rPr>
        <w:t xml:space="preserve">compromisos </w:t>
      </w:r>
      <w:r w:rsidRPr="00A8388A">
        <w:rPr>
          <w:lang w:val="es-ES"/>
        </w:rPr>
        <w:t xml:space="preserve">operativos, </w:t>
      </w:r>
      <w:r w:rsidR="005619AD" w:rsidRPr="00A8388A">
        <w:rPr>
          <w:lang w:val="es-ES"/>
        </w:rPr>
        <w:t xml:space="preserve">debe considerarse también </w:t>
      </w:r>
      <w:r w:rsidRPr="00A8388A">
        <w:rPr>
          <w:lang w:val="es-ES"/>
        </w:rPr>
        <w:t xml:space="preserve">la liquidez de la reserva </w:t>
      </w:r>
      <w:r w:rsidR="005619AD" w:rsidRPr="00A8388A">
        <w:rPr>
          <w:lang w:val="es-ES"/>
        </w:rPr>
        <w:t>objetivo (</w:t>
      </w:r>
      <w:r w:rsidR="008C5915" w:rsidRPr="00A8388A">
        <w:rPr>
          <w:lang w:val="es-ES"/>
        </w:rPr>
        <w:t xml:space="preserve">el </w:t>
      </w:r>
      <w:r w:rsidR="005619AD" w:rsidRPr="00A8388A">
        <w:rPr>
          <w:lang w:val="es-ES"/>
        </w:rPr>
        <w:t>documento WO/PBC/23/8 aborda en mayor profundidad la reserva objetivo)</w:t>
      </w:r>
      <w:r w:rsidRPr="00A8388A">
        <w:rPr>
          <w:lang w:val="es-ES"/>
        </w:rPr>
        <w:t xml:space="preserve">. Esta reserva, de acuerdo con el objetivo actual, se ha </w:t>
      </w:r>
      <w:r w:rsidR="008C5915" w:rsidRPr="00A8388A">
        <w:rPr>
          <w:lang w:val="es-ES"/>
        </w:rPr>
        <w:t xml:space="preserve">fijado </w:t>
      </w:r>
      <w:r w:rsidRPr="00A8388A">
        <w:rPr>
          <w:lang w:val="es-ES"/>
        </w:rPr>
        <w:t xml:space="preserve">en 125 millones de francos </w:t>
      </w:r>
      <w:r w:rsidR="005619AD" w:rsidRPr="00A8388A">
        <w:rPr>
          <w:lang w:val="es-ES"/>
        </w:rPr>
        <w:t>suizos para 2015</w:t>
      </w:r>
      <w:r w:rsidR="00454F3E" w:rsidRPr="00A8388A">
        <w:rPr>
          <w:lang w:val="es-ES"/>
        </w:rPr>
        <w:t>,</w:t>
      </w:r>
      <w:r w:rsidR="005619AD" w:rsidRPr="00A8388A">
        <w:rPr>
          <w:lang w:val="es-ES"/>
        </w:rPr>
        <w:t xml:space="preserve"> y está diseñada para asegurar que se disponga de</w:t>
      </w:r>
      <w:r w:rsidR="00454F3E" w:rsidRPr="00A8388A">
        <w:rPr>
          <w:lang w:val="es-ES"/>
        </w:rPr>
        <w:t xml:space="preserve"> fondos</w:t>
      </w:r>
      <w:r w:rsidR="005619AD" w:rsidRPr="00A8388A">
        <w:rPr>
          <w:lang w:val="es-ES"/>
        </w:rPr>
        <w:t xml:space="preserve"> </w:t>
      </w:r>
      <w:r w:rsidR="00454F3E" w:rsidRPr="00A8388A">
        <w:rPr>
          <w:lang w:val="es-ES"/>
        </w:rPr>
        <w:t>suficientes que permitan</w:t>
      </w:r>
      <w:r w:rsidRPr="00A8388A">
        <w:rPr>
          <w:lang w:val="es-ES"/>
        </w:rPr>
        <w:t xml:space="preserve"> la continuidad de las opera</w:t>
      </w:r>
      <w:r w:rsidR="00454F3E" w:rsidRPr="00A8388A">
        <w:rPr>
          <w:lang w:val="es-ES"/>
        </w:rPr>
        <w:t>ciones en caso de un descenso de</w:t>
      </w:r>
      <w:r w:rsidRPr="00A8388A">
        <w:rPr>
          <w:lang w:val="es-ES"/>
        </w:rPr>
        <w:t xml:space="preserve"> los ingresos. Como tal, se puede argum</w:t>
      </w:r>
      <w:r w:rsidR="005619AD" w:rsidRPr="00A8388A">
        <w:rPr>
          <w:lang w:val="es-ES"/>
        </w:rPr>
        <w:t>entar que una cantidad de efectivo</w:t>
      </w:r>
      <w:r w:rsidRPr="00A8388A">
        <w:rPr>
          <w:lang w:val="es-ES"/>
        </w:rPr>
        <w:t xml:space="preserve"> equivalente </w:t>
      </w:r>
      <w:r w:rsidR="005619AD" w:rsidRPr="00A8388A">
        <w:rPr>
          <w:lang w:val="es-ES"/>
        </w:rPr>
        <w:t>a la reserva objetivo</w:t>
      </w:r>
      <w:r w:rsidRPr="00A8388A">
        <w:rPr>
          <w:lang w:val="es-ES"/>
        </w:rPr>
        <w:t xml:space="preserve"> </w:t>
      </w:r>
      <w:r w:rsidR="005619AD" w:rsidRPr="00A8388A">
        <w:rPr>
          <w:lang w:val="es-ES"/>
        </w:rPr>
        <w:t>debería</w:t>
      </w:r>
      <w:r w:rsidRPr="00A8388A">
        <w:rPr>
          <w:lang w:val="es-ES"/>
        </w:rPr>
        <w:t xml:space="preserve"> </w:t>
      </w:r>
      <w:r w:rsidR="005619AD" w:rsidRPr="00A8388A">
        <w:rPr>
          <w:lang w:val="es-ES"/>
        </w:rPr>
        <w:t>mantenerse en instrumentos de alta liquidez</w:t>
      </w:r>
      <w:r w:rsidRPr="00A8388A">
        <w:rPr>
          <w:lang w:val="es-ES"/>
        </w:rPr>
        <w:t xml:space="preserve">. Los 50 millones de francos suizos </w:t>
      </w:r>
      <w:r w:rsidR="005619AD" w:rsidRPr="00A8388A">
        <w:rPr>
          <w:lang w:val="es-ES"/>
        </w:rPr>
        <w:t xml:space="preserve">que se precisan para sufragar los pagos </w:t>
      </w:r>
      <w:r w:rsidR="0037225E" w:rsidRPr="00A8388A">
        <w:rPr>
          <w:lang w:val="es-ES"/>
        </w:rPr>
        <w:t xml:space="preserve">operativos corrientes se contabilizarían como parte de esa </w:t>
      </w:r>
      <w:r w:rsidR="005619AD" w:rsidRPr="00A8388A">
        <w:rPr>
          <w:lang w:val="es-ES"/>
        </w:rPr>
        <w:t>reserva objetivo</w:t>
      </w:r>
      <w:r w:rsidRPr="00A8388A">
        <w:rPr>
          <w:lang w:val="es-ES"/>
        </w:rPr>
        <w:t xml:space="preserve">, </w:t>
      </w:r>
      <w:r w:rsidR="005619AD" w:rsidRPr="00A8388A">
        <w:rPr>
          <w:lang w:val="es-ES"/>
        </w:rPr>
        <w:t>con lo que la Organización mant</w:t>
      </w:r>
      <w:r w:rsidR="008C5915" w:rsidRPr="00A8388A">
        <w:rPr>
          <w:lang w:val="es-ES"/>
        </w:rPr>
        <w:t>endría saldos globales de</w:t>
      </w:r>
      <w:r w:rsidRPr="00A8388A">
        <w:rPr>
          <w:lang w:val="es-ES"/>
        </w:rPr>
        <w:t xml:space="preserve"> efectivo líquido en el nivel de </w:t>
      </w:r>
      <w:r w:rsidR="008C5915" w:rsidRPr="00A8388A">
        <w:rPr>
          <w:lang w:val="es-ES"/>
        </w:rPr>
        <w:t xml:space="preserve">los </w:t>
      </w:r>
      <w:r w:rsidRPr="00A8388A">
        <w:rPr>
          <w:lang w:val="es-ES"/>
        </w:rPr>
        <w:t xml:space="preserve">125 millones de francos suizos durante 2015. </w:t>
      </w:r>
      <w:r w:rsidR="008C5915" w:rsidRPr="00A8388A">
        <w:rPr>
          <w:lang w:val="es-ES"/>
        </w:rPr>
        <w:t>El efectivo para gastos de funcionamiento solo debe invertirse</w:t>
      </w:r>
      <w:r w:rsidRPr="00A8388A">
        <w:rPr>
          <w:lang w:val="es-ES"/>
        </w:rPr>
        <w:t xml:space="preserve"> en clases de activos que </w:t>
      </w:r>
      <w:r w:rsidR="008C5915" w:rsidRPr="00A8388A">
        <w:rPr>
          <w:lang w:val="es-ES"/>
        </w:rPr>
        <w:t xml:space="preserve"> puedan liquidarse fácilmente y a bajo </w:t>
      </w:r>
      <w:r w:rsidR="00F31EC0" w:rsidRPr="00A8388A">
        <w:rPr>
          <w:lang w:val="es-ES"/>
        </w:rPr>
        <w:t>costo</w:t>
      </w:r>
      <w:r w:rsidR="008C5915" w:rsidRPr="00A8388A">
        <w:rPr>
          <w:lang w:val="es-ES"/>
        </w:rPr>
        <w:t xml:space="preserve"> o </w:t>
      </w:r>
      <w:r w:rsidR="00F31EC0" w:rsidRPr="00A8388A">
        <w:rPr>
          <w:lang w:val="es-ES"/>
        </w:rPr>
        <w:t>costo</w:t>
      </w:r>
      <w:r w:rsidR="008C5915" w:rsidRPr="00A8388A">
        <w:rPr>
          <w:lang w:val="es-ES"/>
        </w:rPr>
        <w:t xml:space="preserve"> cero. </w:t>
      </w:r>
      <w:r w:rsidR="0037225E" w:rsidRPr="00A8388A">
        <w:rPr>
          <w:lang w:val="es-ES"/>
        </w:rPr>
        <w:t xml:space="preserve">Esos instrumentos de inversión, entre otros, figuran en </w:t>
      </w:r>
      <w:r w:rsidR="008C5915" w:rsidRPr="00A8388A">
        <w:rPr>
          <w:lang w:val="es-ES"/>
        </w:rPr>
        <w:t>la lista que se reproduce en el párrafo 10</w:t>
      </w:r>
      <w:r w:rsidRPr="00A8388A">
        <w:rPr>
          <w:lang w:val="es-ES"/>
        </w:rPr>
        <w:t xml:space="preserve">. </w:t>
      </w:r>
      <w:r w:rsidR="008C5915" w:rsidRPr="00A8388A">
        <w:rPr>
          <w:lang w:val="es-ES"/>
        </w:rPr>
        <w:t xml:space="preserve">Actualmente, los instrumentos de inversión fácilmente liquidables, como los </w:t>
      </w:r>
      <w:r w:rsidRPr="00A8388A">
        <w:rPr>
          <w:lang w:val="es-ES"/>
        </w:rPr>
        <w:t>depósitos</w:t>
      </w:r>
      <w:r w:rsidR="008C5915" w:rsidRPr="00A8388A">
        <w:rPr>
          <w:lang w:val="es-ES"/>
        </w:rPr>
        <w:t xml:space="preserve">, </w:t>
      </w:r>
      <w:r w:rsidR="00914C17" w:rsidRPr="00A8388A">
        <w:rPr>
          <w:lang w:val="es-ES"/>
        </w:rPr>
        <w:t xml:space="preserve">ofrecen </w:t>
      </w:r>
      <w:r w:rsidRPr="00A8388A">
        <w:rPr>
          <w:lang w:val="es-ES"/>
        </w:rPr>
        <w:t>rendimiento</w:t>
      </w:r>
      <w:r w:rsidR="008C5915" w:rsidRPr="00A8388A">
        <w:rPr>
          <w:lang w:val="es-ES"/>
        </w:rPr>
        <w:t>s</w:t>
      </w:r>
      <w:r w:rsidRPr="00A8388A">
        <w:rPr>
          <w:lang w:val="es-ES"/>
        </w:rPr>
        <w:t xml:space="preserve"> negativo</w:t>
      </w:r>
      <w:r w:rsidR="008C5915" w:rsidRPr="00A8388A">
        <w:rPr>
          <w:lang w:val="es-ES"/>
        </w:rPr>
        <w:t>s. No obstante, la Organización continuará</w:t>
      </w:r>
      <w:r w:rsidRPr="00A8388A">
        <w:rPr>
          <w:lang w:val="es-ES"/>
        </w:rPr>
        <w:t xml:space="preserve"> buscando op</w:t>
      </w:r>
      <w:r w:rsidR="008C5915" w:rsidRPr="00A8388A">
        <w:rPr>
          <w:lang w:val="es-ES"/>
        </w:rPr>
        <w:t>ortunidades de inversión que ofrezcan un rendimiento positivo para el</w:t>
      </w:r>
      <w:r w:rsidRPr="00A8388A">
        <w:rPr>
          <w:lang w:val="es-ES"/>
        </w:rPr>
        <w:t xml:space="preserve"> efectivo</w:t>
      </w:r>
      <w:r w:rsidR="008C5915" w:rsidRPr="00A8388A">
        <w:rPr>
          <w:lang w:val="es-ES"/>
        </w:rPr>
        <w:t xml:space="preserve"> invertido a corto plazo, también en monedas </w:t>
      </w:r>
      <w:r w:rsidRPr="00A8388A">
        <w:rPr>
          <w:lang w:val="es-ES"/>
        </w:rPr>
        <w:t>distintas del franco suizo.</w:t>
      </w:r>
    </w:p>
    <w:p w:rsidR="00312356" w:rsidRPr="00A8388A" w:rsidRDefault="00914C17" w:rsidP="003360A1">
      <w:pPr>
        <w:pStyle w:val="ONUMFS"/>
        <w:rPr>
          <w:lang w:val="es-ES"/>
        </w:rPr>
      </w:pPr>
      <w:r w:rsidRPr="00A8388A">
        <w:rPr>
          <w:lang w:val="es-ES"/>
        </w:rPr>
        <w:t>Hasta ahora, la OMPI ha logrado evitar</w:t>
      </w:r>
      <w:r w:rsidR="00CA7310" w:rsidRPr="00A8388A">
        <w:rPr>
          <w:lang w:val="es-ES"/>
        </w:rPr>
        <w:t xml:space="preserve"> que su efectivo </w:t>
      </w:r>
      <w:r w:rsidRPr="00A8388A">
        <w:rPr>
          <w:lang w:val="es-ES"/>
        </w:rPr>
        <w:t>se vea afectado por los tipos de interés negativos. Los principales socios bancarios de la Organización han puesto a su disposición una mezcla de depósitos a corto plazo (hasta 35 días) a un tipo de interés del 0% y una “</w:t>
      </w:r>
      <w:r w:rsidR="00426D19" w:rsidRPr="00A8388A">
        <w:rPr>
          <w:lang w:val="es-ES"/>
        </w:rPr>
        <w:t>exención</w:t>
      </w:r>
      <w:r w:rsidRPr="00A8388A">
        <w:rPr>
          <w:lang w:val="es-ES"/>
        </w:rPr>
        <w:t xml:space="preserve">” en los saldos de efectivo por debajo de los cuales no se están aplicando por el momento tipos de interés negativos. A principios de mayo de 2015, esta combinación de instrumentos </w:t>
      </w:r>
      <w:r w:rsidR="00426D19" w:rsidRPr="00A8388A">
        <w:rPr>
          <w:lang w:val="es-ES"/>
        </w:rPr>
        <w:t xml:space="preserve">permitía la inversión de </w:t>
      </w:r>
      <w:r w:rsidRPr="00A8388A">
        <w:rPr>
          <w:lang w:val="es-ES"/>
        </w:rPr>
        <w:t>125 millones de fra</w:t>
      </w:r>
      <w:r w:rsidR="00426D19" w:rsidRPr="00A8388A">
        <w:rPr>
          <w:lang w:val="es-ES"/>
        </w:rPr>
        <w:t>ncos suizos. El resto del efectivo</w:t>
      </w:r>
      <w:r w:rsidRPr="00A8388A">
        <w:rPr>
          <w:lang w:val="es-ES"/>
        </w:rPr>
        <w:t xml:space="preserve"> de</w:t>
      </w:r>
      <w:r w:rsidR="00426D19" w:rsidRPr="00A8388A">
        <w:rPr>
          <w:lang w:val="es-ES"/>
        </w:rPr>
        <w:t xml:space="preserve"> la OMPI sigue manteniéndose en la</w:t>
      </w:r>
      <w:r w:rsidRPr="00A8388A">
        <w:rPr>
          <w:lang w:val="es-ES"/>
        </w:rPr>
        <w:t xml:space="preserve"> AFF</w:t>
      </w:r>
      <w:r w:rsidR="00426D19" w:rsidRPr="00A8388A">
        <w:rPr>
          <w:lang w:val="es-ES"/>
        </w:rPr>
        <w:t xml:space="preserve">, </w:t>
      </w:r>
      <w:r w:rsidRPr="00A8388A">
        <w:rPr>
          <w:lang w:val="es-ES"/>
        </w:rPr>
        <w:t xml:space="preserve">en inversiones </w:t>
      </w:r>
      <w:r w:rsidR="00426D19" w:rsidRPr="00A8388A">
        <w:rPr>
          <w:lang w:val="es-ES"/>
        </w:rPr>
        <w:t>que rinden un 0%</w:t>
      </w:r>
      <w:r w:rsidRPr="00A8388A">
        <w:rPr>
          <w:lang w:val="es-ES"/>
        </w:rPr>
        <w:t xml:space="preserve">. </w:t>
      </w:r>
      <w:r w:rsidR="00426D19" w:rsidRPr="00A8388A">
        <w:rPr>
          <w:lang w:val="es-ES"/>
        </w:rPr>
        <w:t>Estos u</w:t>
      </w:r>
      <w:r w:rsidRPr="00A8388A">
        <w:rPr>
          <w:lang w:val="es-ES"/>
        </w:rPr>
        <w:t xml:space="preserve">mbrales de exención y los depósitos </w:t>
      </w:r>
      <w:r w:rsidR="00426D19" w:rsidRPr="00A8388A">
        <w:rPr>
          <w:lang w:val="es-ES"/>
        </w:rPr>
        <w:t xml:space="preserve">a tipo cero han sido </w:t>
      </w:r>
      <w:r w:rsidRPr="00A8388A">
        <w:rPr>
          <w:lang w:val="es-ES"/>
        </w:rPr>
        <w:t xml:space="preserve">también </w:t>
      </w:r>
      <w:r w:rsidR="00426D19" w:rsidRPr="00A8388A">
        <w:rPr>
          <w:lang w:val="es-ES"/>
        </w:rPr>
        <w:t>puestos</w:t>
      </w:r>
      <w:r w:rsidRPr="00A8388A">
        <w:rPr>
          <w:lang w:val="es-ES"/>
        </w:rPr>
        <w:t xml:space="preserve"> a dispo</w:t>
      </w:r>
      <w:r w:rsidR="00426D19" w:rsidRPr="00A8388A">
        <w:rPr>
          <w:lang w:val="es-ES"/>
        </w:rPr>
        <w:t>sición de otros organismos de las Naciones Unidas</w:t>
      </w:r>
      <w:r w:rsidRPr="00A8388A">
        <w:rPr>
          <w:lang w:val="es-ES"/>
        </w:rPr>
        <w:t xml:space="preserve"> que mantienen </w:t>
      </w:r>
      <w:r w:rsidR="00426D19" w:rsidRPr="00A8388A">
        <w:rPr>
          <w:lang w:val="es-ES"/>
        </w:rPr>
        <w:t>posiciones en francos suizos</w:t>
      </w:r>
      <w:r w:rsidR="0037225E" w:rsidRPr="00A8388A">
        <w:rPr>
          <w:lang w:val="es-ES"/>
        </w:rPr>
        <w:t>,</w:t>
      </w:r>
      <w:r w:rsidR="00426D19" w:rsidRPr="00A8388A">
        <w:rPr>
          <w:lang w:val="es-ES"/>
        </w:rPr>
        <w:t xml:space="preserve"> y constituyen un vehículo muy útil para evitar los tipos de interés negativos, sobre </w:t>
      </w:r>
      <w:r w:rsidR="0037225E" w:rsidRPr="00A8388A">
        <w:rPr>
          <w:lang w:val="es-ES"/>
        </w:rPr>
        <w:t xml:space="preserve">todo cuando se trata de </w:t>
      </w:r>
      <w:r w:rsidRPr="00A8388A">
        <w:rPr>
          <w:lang w:val="es-ES"/>
        </w:rPr>
        <w:t xml:space="preserve">efectivo que tiene </w:t>
      </w:r>
      <w:r w:rsidR="00426D19" w:rsidRPr="00A8388A">
        <w:rPr>
          <w:lang w:val="es-ES"/>
        </w:rPr>
        <w:t>que estar fácilmente disponible. Sin embargo, esto</w:t>
      </w:r>
      <w:r w:rsidRPr="00A8388A">
        <w:rPr>
          <w:lang w:val="es-ES"/>
        </w:rPr>
        <w:t xml:space="preserve">s </w:t>
      </w:r>
      <w:r w:rsidR="00426D19" w:rsidRPr="00A8388A">
        <w:rPr>
          <w:lang w:val="es-ES"/>
        </w:rPr>
        <w:t>vehículos</w:t>
      </w:r>
      <w:r w:rsidRPr="00A8388A">
        <w:rPr>
          <w:lang w:val="es-ES"/>
        </w:rPr>
        <w:t xml:space="preserve"> podrían </w:t>
      </w:r>
      <w:r w:rsidR="00426D19" w:rsidRPr="00A8388A">
        <w:rPr>
          <w:lang w:val="es-ES"/>
        </w:rPr>
        <w:t>verse reducidos o eliminados</w:t>
      </w:r>
      <w:r w:rsidRPr="00A8388A">
        <w:rPr>
          <w:lang w:val="es-ES"/>
        </w:rPr>
        <w:t xml:space="preserve"> en cualquier momento, </w:t>
      </w:r>
      <w:r w:rsidR="00426D19" w:rsidRPr="00A8388A">
        <w:rPr>
          <w:lang w:val="es-ES"/>
        </w:rPr>
        <w:t xml:space="preserve">pues están a </w:t>
      </w:r>
      <w:r w:rsidR="0037225E" w:rsidRPr="00A8388A">
        <w:rPr>
          <w:lang w:val="es-ES"/>
        </w:rPr>
        <w:t>merced de cualquier nueva actuación</w:t>
      </w:r>
      <w:r w:rsidR="00426D19" w:rsidRPr="00A8388A">
        <w:rPr>
          <w:lang w:val="es-ES"/>
        </w:rPr>
        <w:t xml:space="preserve"> del</w:t>
      </w:r>
      <w:r w:rsidRPr="00A8388A">
        <w:rPr>
          <w:lang w:val="es-ES"/>
        </w:rPr>
        <w:t xml:space="preserve"> BNS. Si </w:t>
      </w:r>
      <w:r w:rsidR="00426D19" w:rsidRPr="00A8388A">
        <w:rPr>
          <w:lang w:val="es-ES"/>
        </w:rPr>
        <w:t xml:space="preserve">se decide </w:t>
      </w:r>
      <w:r w:rsidRPr="00A8388A">
        <w:rPr>
          <w:lang w:val="es-ES"/>
        </w:rPr>
        <w:t xml:space="preserve">mantener la reserva </w:t>
      </w:r>
      <w:r w:rsidR="00426D19" w:rsidRPr="00A8388A">
        <w:rPr>
          <w:lang w:val="es-ES"/>
        </w:rPr>
        <w:t xml:space="preserve">objetivo </w:t>
      </w:r>
      <w:r w:rsidR="00CA7310" w:rsidRPr="00A8388A">
        <w:rPr>
          <w:lang w:val="es-ES"/>
        </w:rPr>
        <w:t xml:space="preserve">en </w:t>
      </w:r>
      <w:r w:rsidR="00426D19" w:rsidRPr="00A8388A">
        <w:rPr>
          <w:lang w:val="es-ES"/>
        </w:rPr>
        <w:t>formas líquidas de efectivo</w:t>
      </w:r>
      <w:r w:rsidRPr="00A8388A">
        <w:rPr>
          <w:lang w:val="es-ES"/>
        </w:rPr>
        <w:t xml:space="preserve">, </w:t>
      </w:r>
      <w:r w:rsidRPr="00A8388A">
        <w:rPr>
          <w:lang w:val="es-ES"/>
        </w:rPr>
        <w:lastRenderedPageBreak/>
        <w:t xml:space="preserve">cualquier aumento en el </w:t>
      </w:r>
      <w:r w:rsidR="00426D19" w:rsidRPr="00A8388A">
        <w:rPr>
          <w:lang w:val="es-ES"/>
        </w:rPr>
        <w:t>objetivo o modificación de</w:t>
      </w:r>
      <w:r w:rsidRPr="00A8388A">
        <w:rPr>
          <w:lang w:val="es-ES"/>
        </w:rPr>
        <w:t xml:space="preserve"> las cantidades </w:t>
      </w:r>
      <w:r w:rsidR="00426D19" w:rsidRPr="00A8388A">
        <w:rPr>
          <w:lang w:val="es-ES"/>
        </w:rPr>
        <w:t>exentas</w:t>
      </w:r>
      <w:r w:rsidRPr="00A8388A">
        <w:rPr>
          <w:lang w:val="es-ES"/>
        </w:rPr>
        <w:t xml:space="preserve"> podría </w:t>
      </w:r>
      <w:r w:rsidR="00426D19" w:rsidRPr="00A8388A">
        <w:rPr>
          <w:lang w:val="es-ES"/>
        </w:rPr>
        <w:t>conllevar</w:t>
      </w:r>
      <w:r w:rsidRPr="00A8388A">
        <w:rPr>
          <w:lang w:val="es-ES"/>
        </w:rPr>
        <w:t xml:space="preserve"> la imposición de </w:t>
      </w:r>
      <w:r w:rsidR="00426D19" w:rsidRPr="00A8388A">
        <w:rPr>
          <w:lang w:val="es-ES"/>
        </w:rPr>
        <w:t>tipos de interés negativo</w:t>
      </w:r>
      <w:r w:rsidRPr="00A8388A">
        <w:rPr>
          <w:lang w:val="es-ES"/>
        </w:rPr>
        <w:t xml:space="preserve">s sobre los saldos </w:t>
      </w:r>
      <w:r w:rsidR="00426D19" w:rsidRPr="00A8388A">
        <w:rPr>
          <w:lang w:val="es-ES"/>
        </w:rPr>
        <w:t xml:space="preserve">que sobrepasen </w:t>
      </w:r>
      <w:r w:rsidR="0037225E" w:rsidRPr="00A8388A">
        <w:rPr>
          <w:lang w:val="es-ES"/>
        </w:rPr>
        <w:t>dichas cantidades</w:t>
      </w:r>
      <w:r w:rsidRPr="00A8388A">
        <w:rPr>
          <w:lang w:val="es-ES"/>
        </w:rPr>
        <w:t>.</w:t>
      </w:r>
    </w:p>
    <w:p w:rsidR="00AA117F" w:rsidRPr="00A8388A" w:rsidRDefault="00CA7310" w:rsidP="003360A1">
      <w:pPr>
        <w:pStyle w:val="ONUMFS"/>
        <w:rPr>
          <w:lang w:val="es-ES"/>
        </w:rPr>
      </w:pPr>
      <w:r w:rsidRPr="00A8388A">
        <w:rPr>
          <w:lang w:val="es-ES"/>
        </w:rPr>
        <w:t>Por otra parte, una vez que el efectivo mantenido con la AFF se retire e</w:t>
      </w:r>
      <w:r w:rsidR="003360A1" w:rsidRPr="00A8388A">
        <w:rPr>
          <w:lang w:val="es-ES"/>
        </w:rPr>
        <w:t>n diciembre de </w:t>
      </w:r>
      <w:r w:rsidRPr="00A8388A">
        <w:rPr>
          <w:lang w:val="es-ES"/>
        </w:rPr>
        <w:t>2015, si todas esas cantidades se mantienen con socios bancarios de la OMPI, los límites establecidos para los umbrales de exención y los depósitos a tipo cero se superarán claramente, lo que resultará en la aplicación de tipos de interés negativos a</w:t>
      </w:r>
      <w:r w:rsidR="00B9068B" w:rsidRPr="00A8388A">
        <w:rPr>
          <w:lang w:val="es-ES"/>
        </w:rPr>
        <w:t xml:space="preserve"> las cantidades </w:t>
      </w:r>
      <w:r w:rsidRPr="00A8388A">
        <w:rPr>
          <w:lang w:val="es-ES"/>
        </w:rPr>
        <w:t xml:space="preserve">excedentes. La Secretaría estima que esta situación persistirá durante varios meses en 2016, ya que </w:t>
      </w:r>
      <w:r w:rsidR="0037225E" w:rsidRPr="00A8388A">
        <w:rPr>
          <w:lang w:val="es-ES"/>
        </w:rPr>
        <w:t xml:space="preserve">hará falta </w:t>
      </w:r>
      <w:r w:rsidRPr="00A8388A">
        <w:rPr>
          <w:lang w:val="es-ES"/>
        </w:rPr>
        <w:t>algún tiempo para proceder a la selección de los socios e instituciones en los que el efectivo de la OMPI puede mantenerse o invertirse (selección sujeta a la aprobación de los Estados miembros). P</w:t>
      </w:r>
      <w:r w:rsidR="00B9068B" w:rsidRPr="00A8388A">
        <w:rPr>
          <w:lang w:val="es-ES"/>
        </w:rPr>
        <w:t>or es</w:t>
      </w:r>
      <w:r w:rsidRPr="00A8388A">
        <w:rPr>
          <w:lang w:val="es-ES"/>
        </w:rPr>
        <w:t xml:space="preserve">a razón, </w:t>
      </w:r>
      <w:r w:rsidR="00B9068B" w:rsidRPr="00A8388A">
        <w:rPr>
          <w:lang w:val="es-ES"/>
        </w:rPr>
        <w:t xml:space="preserve">en </w:t>
      </w:r>
      <w:r w:rsidRPr="00A8388A">
        <w:rPr>
          <w:lang w:val="es-ES"/>
        </w:rPr>
        <w:t xml:space="preserve">el Programa y Presupuesto </w:t>
      </w:r>
      <w:r w:rsidR="00B9068B" w:rsidRPr="00A8388A">
        <w:rPr>
          <w:lang w:val="es-ES"/>
        </w:rPr>
        <w:t xml:space="preserve">para </w:t>
      </w:r>
      <w:r w:rsidRPr="00A8388A">
        <w:rPr>
          <w:lang w:val="es-ES"/>
        </w:rPr>
        <w:t xml:space="preserve">2016/17 </w:t>
      </w:r>
      <w:r w:rsidR="00B9068B" w:rsidRPr="00A8388A">
        <w:rPr>
          <w:lang w:val="es-ES"/>
        </w:rPr>
        <w:t xml:space="preserve">se </w:t>
      </w:r>
      <w:r w:rsidRPr="00A8388A">
        <w:rPr>
          <w:lang w:val="es-ES"/>
        </w:rPr>
        <w:t xml:space="preserve">ha previsto una </w:t>
      </w:r>
      <w:r w:rsidR="00B9068B" w:rsidRPr="00A8388A">
        <w:rPr>
          <w:lang w:val="es-ES"/>
        </w:rPr>
        <w:t xml:space="preserve">consigna presupuestaria para el tipo de </w:t>
      </w:r>
      <w:r w:rsidRPr="00A8388A">
        <w:rPr>
          <w:lang w:val="es-ES"/>
        </w:rPr>
        <w:t>interés negativo.</w:t>
      </w:r>
    </w:p>
    <w:p w:rsidR="00A0425F" w:rsidRPr="00A8388A" w:rsidRDefault="00B9068B" w:rsidP="00A314DC">
      <w:pPr>
        <w:pStyle w:val="ONUME"/>
        <w:rPr>
          <w:szCs w:val="22"/>
          <w:u w:val="single"/>
          <w:lang w:val="es-ES"/>
        </w:rPr>
      </w:pPr>
      <w:r w:rsidRPr="00A8388A">
        <w:rPr>
          <w:szCs w:val="22"/>
          <w:u w:val="single"/>
          <w:lang w:val="es-ES"/>
        </w:rPr>
        <w:t>Implicaciones</w:t>
      </w:r>
      <w:r w:rsidR="006E77DB" w:rsidRPr="00A8388A">
        <w:rPr>
          <w:szCs w:val="22"/>
          <w:u w:val="single"/>
          <w:lang w:val="es-ES"/>
        </w:rPr>
        <w:t xml:space="preserve"> </w:t>
      </w:r>
      <w:r w:rsidRPr="00A8388A">
        <w:rPr>
          <w:szCs w:val="22"/>
          <w:u w:val="single"/>
          <w:lang w:val="es-ES"/>
        </w:rPr>
        <w:t>para la política de inversiones</w:t>
      </w:r>
    </w:p>
    <w:p w:rsidR="00D06370" w:rsidRPr="00A8388A" w:rsidRDefault="00B9068B" w:rsidP="003360A1">
      <w:pPr>
        <w:pStyle w:val="ONUMFS"/>
        <w:rPr>
          <w:lang w:val="es-ES"/>
        </w:rPr>
      </w:pPr>
      <w:r w:rsidRPr="00A8388A">
        <w:rPr>
          <w:lang w:val="es-ES"/>
        </w:rPr>
        <w:t xml:space="preserve">La necesidad de mantener saldos de efectivo </w:t>
      </w:r>
      <w:r w:rsidR="0037225E" w:rsidRPr="00A8388A">
        <w:rPr>
          <w:lang w:val="es-ES"/>
        </w:rPr>
        <w:t xml:space="preserve">altamente líquidos </w:t>
      </w:r>
      <w:r w:rsidR="000574EE" w:rsidRPr="00A8388A">
        <w:rPr>
          <w:lang w:val="es-ES"/>
        </w:rPr>
        <w:t>pone de manifiesto tres limitaciones</w:t>
      </w:r>
      <w:r w:rsidRPr="00A8388A">
        <w:rPr>
          <w:lang w:val="es-ES"/>
        </w:rPr>
        <w:t xml:space="preserve"> </w:t>
      </w:r>
      <w:r w:rsidR="000574EE" w:rsidRPr="00A8388A">
        <w:rPr>
          <w:lang w:val="es-ES"/>
        </w:rPr>
        <w:t xml:space="preserve">de </w:t>
      </w:r>
      <w:r w:rsidRPr="00A8388A">
        <w:rPr>
          <w:lang w:val="es-ES"/>
        </w:rPr>
        <w:t xml:space="preserve">la política de inversiones actual: </w:t>
      </w:r>
    </w:p>
    <w:p w:rsidR="008B4479" w:rsidRPr="00A8388A" w:rsidRDefault="000574EE" w:rsidP="003360A1">
      <w:pPr>
        <w:pStyle w:val="ONUMFS"/>
        <w:numPr>
          <w:ilvl w:val="2"/>
          <w:numId w:val="3"/>
        </w:numPr>
        <w:tabs>
          <w:tab w:val="clear" w:pos="1701"/>
          <w:tab w:val="num" w:pos="1134"/>
        </w:tabs>
        <w:ind w:left="567"/>
        <w:rPr>
          <w:lang w:val="es-ES"/>
        </w:rPr>
      </w:pPr>
      <w:r w:rsidRPr="00A8388A">
        <w:rPr>
          <w:lang w:val="es-ES"/>
        </w:rPr>
        <w:t>La inversión del</w:t>
      </w:r>
      <w:r w:rsidR="008B4479" w:rsidRPr="00A8388A">
        <w:rPr>
          <w:lang w:val="es-ES"/>
        </w:rPr>
        <w:t xml:space="preserve"> efectivo para gastos de funcionamiento</w:t>
      </w:r>
      <w:r w:rsidRPr="00A8388A">
        <w:rPr>
          <w:lang w:val="es-ES"/>
        </w:rPr>
        <w:t>, de llevarse a cabo, solamente se haría en instrumentos de</w:t>
      </w:r>
      <w:r w:rsidR="008B4479" w:rsidRPr="00A8388A">
        <w:rPr>
          <w:lang w:val="es-ES"/>
        </w:rPr>
        <w:t xml:space="preserve"> corto plazo. La política actual no hace referencia a las inversiones a corto plazo, ni tampoco establece calificaciones crediticias mínimas aceptables para este tipo de inversiones. La propuesta consiste en incluir en la nueva política una definición del corto plazo que comprenda períodos de hasta un año y </w:t>
      </w:r>
      <w:r w:rsidRPr="00A8388A">
        <w:rPr>
          <w:lang w:val="es-ES"/>
        </w:rPr>
        <w:t xml:space="preserve">en </w:t>
      </w:r>
      <w:r w:rsidR="008B4479" w:rsidRPr="00A8388A">
        <w:rPr>
          <w:lang w:val="es-ES"/>
        </w:rPr>
        <w:t>especificar las calificaciones crediticias aceptables a corto plazo. Estas serían las equivalentes en el corto plazo a las calificaciones cred</w:t>
      </w:r>
      <w:r w:rsidRPr="00A8388A">
        <w:rPr>
          <w:lang w:val="es-ES"/>
        </w:rPr>
        <w:t xml:space="preserve">iticias aceptables </w:t>
      </w:r>
      <w:r w:rsidR="008B4479" w:rsidRPr="00A8388A">
        <w:rPr>
          <w:lang w:val="es-ES"/>
        </w:rPr>
        <w:t>a largo plazo que se muestran a continuación ii): A-2/P-2</w:t>
      </w:r>
      <w:r w:rsidR="00280E15" w:rsidRPr="00A8388A">
        <w:rPr>
          <w:rStyle w:val="FootnoteReference"/>
          <w:szCs w:val="22"/>
          <w:lang w:val="es-ES"/>
        </w:rPr>
        <w:footnoteReference w:id="2"/>
      </w:r>
      <w:r w:rsidR="008B4479" w:rsidRPr="00A8388A">
        <w:rPr>
          <w:lang w:val="es-ES"/>
        </w:rPr>
        <w:t xml:space="preserve"> para los bancos y los gobiernos, y A-3/P-3 para los bonos corporativos.</w:t>
      </w:r>
    </w:p>
    <w:p w:rsidR="00280E15" w:rsidRPr="00A8388A" w:rsidRDefault="00280E15" w:rsidP="003360A1">
      <w:pPr>
        <w:pStyle w:val="ONUMFS"/>
        <w:numPr>
          <w:ilvl w:val="2"/>
          <w:numId w:val="3"/>
        </w:numPr>
        <w:tabs>
          <w:tab w:val="clear" w:pos="1701"/>
          <w:tab w:val="num" w:pos="1134"/>
        </w:tabs>
        <w:ind w:left="567"/>
        <w:rPr>
          <w:lang w:val="es-ES"/>
        </w:rPr>
      </w:pPr>
      <w:r w:rsidRPr="00A8388A">
        <w:rPr>
          <w:lang w:val="es-ES"/>
        </w:rPr>
        <w:t>El mantenimiento de depósitos, incluso a un tipo de interés cero, constituye una actividad de inversión. Los principales socios bancarios de la OMPI no satisfacen la calificación crediticia mínima estipulada por la actual política de inversiones y, en consecuencia, si la Organización prevé aprovechar plenamente estos vehículos disponibles en la actualidad y evitar así los tipos de interés negativos</w:t>
      </w:r>
      <w:r w:rsidR="00122A3B" w:rsidRPr="00A8388A">
        <w:rPr>
          <w:lang w:val="es-ES"/>
        </w:rPr>
        <w:t xml:space="preserve">, </w:t>
      </w:r>
      <w:r w:rsidRPr="00A8388A">
        <w:rPr>
          <w:lang w:val="es-ES"/>
        </w:rPr>
        <w:t xml:space="preserve">la calificación crediticia </w:t>
      </w:r>
      <w:r w:rsidR="00122A3B" w:rsidRPr="00A8388A">
        <w:rPr>
          <w:lang w:val="es-ES"/>
        </w:rPr>
        <w:t xml:space="preserve">requerida habrá de rebajarse. La propuesta es reducir las </w:t>
      </w:r>
      <w:r w:rsidRPr="00A8388A">
        <w:rPr>
          <w:lang w:val="es-ES"/>
        </w:rPr>
        <w:t xml:space="preserve">calificaciones aceptables de </w:t>
      </w:r>
      <w:r w:rsidR="00122A3B" w:rsidRPr="00A8388A">
        <w:rPr>
          <w:lang w:val="es-ES"/>
        </w:rPr>
        <w:t xml:space="preserve">la siguiente manera: se exigirá que los </w:t>
      </w:r>
      <w:r w:rsidRPr="00A8388A">
        <w:rPr>
          <w:lang w:val="es-ES"/>
        </w:rPr>
        <w:t>ba</w:t>
      </w:r>
      <w:r w:rsidR="00122A3B" w:rsidRPr="00A8388A">
        <w:rPr>
          <w:lang w:val="es-ES"/>
        </w:rPr>
        <w:t>ncos y los bonos de gobierno tengan</w:t>
      </w:r>
      <w:r w:rsidRPr="00A8388A">
        <w:rPr>
          <w:lang w:val="es-ES"/>
        </w:rPr>
        <w:t xml:space="preserve"> una calificación crediticia a largo p</w:t>
      </w:r>
      <w:r w:rsidR="00122A3B" w:rsidRPr="00A8388A">
        <w:rPr>
          <w:lang w:val="es-ES"/>
        </w:rPr>
        <w:t>lazo igual o superior a A-/</w:t>
      </w:r>
      <w:r w:rsidRPr="00A8388A">
        <w:rPr>
          <w:lang w:val="es-ES"/>
        </w:rPr>
        <w:t>A3</w:t>
      </w:r>
      <w:r w:rsidR="00122A3B" w:rsidRPr="00A8388A">
        <w:rPr>
          <w:lang w:val="es-ES"/>
        </w:rPr>
        <w:t xml:space="preserve">, y que los </w:t>
      </w:r>
      <w:r w:rsidRPr="00A8388A">
        <w:rPr>
          <w:lang w:val="es-ES"/>
        </w:rPr>
        <w:t>bonos corporativos</w:t>
      </w:r>
      <w:r w:rsidR="00122A3B" w:rsidRPr="00A8388A">
        <w:rPr>
          <w:lang w:val="es-ES"/>
        </w:rPr>
        <w:t xml:space="preserve"> tengan una calificación igual o superior a BBB-/</w:t>
      </w:r>
      <w:r w:rsidRPr="00A8388A">
        <w:rPr>
          <w:lang w:val="es-ES"/>
        </w:rPr>
        <w:t>Baa3.</w:t>
      </w:r>
    </w:p>
    <w:p w:rsidR="00122A3B" w:rsidRPr="00A8388A" w:rsidRDefault="00122A3B" w:rsidP="003360A1">
      <w:pPr>
        <w:pStyle w:val="ONUMFS"/>
        <w:numPr>
          <w:ilvl w:val="2"/>
          <w:numId w:val="3"/>
        </w:numPr>
        <w:tabs>
          <w:tab w:val="clear" w:pos="1701"/>
          <w:tab w:val="num" w:pos="1134"/>
        </w:tabs>
        <w:ind w:left="567"/>
        <w:rPr>
          <w:lang w:val="es-ES"/>
        </w:rPr>
      </w:pPr>
      <w:r w:rsidRPr="00A8388A">
        <w:rPr>
          <w:lang w:val="es-ES"/>
        </w:rPr>
        <w:t>La política actual exige que “</w:t>
      </w:r>
      <w:r w:rsidR="000574EE" w:rsidRPr="00A8388A">
        <w:rPr>
          <w:lang w:val="es-ES"/>
        </w:rPr>
        <w:t>no se exponga</w:t>
      </w:r>
      <w:r w:rsidR="00756EF2" w:rsidRPr="00A8388A">
        <w:rPr>
          <w:lang w:val="es-ES"/>
        </w:rPr>
        <w:t xml:space="preserve"> más del diez por ciento de las inversiones</w:t>
      </w:r>
      <w:r w:rsidRPr="00A8388A">
        <w:rPr>
          <w:lang w:val="es-ES"/>
        </w:rPr>
        <w:t>”</w:t>
      </w:r>
      <w:r w:rsidR="00756EF2" w:rsidRPr="00A8388A">
        <w:rPr>
          <w:lang w:val="es-ES"/>
        </w:rPr>
        <w:t xml:space="preserve"> a una misma entidad</w:t>
      </w:r>
      <w:r w:rsidRPr="00A8388A">
        <w:rPr>
          <w:lang w:val="es-ES"/>
        </w:rPr>
        <w:t xml:space="preserve">, </w:t>
      </w:r>
      <w:r w:rsidR="00756EF2" w:rsidRPr="00A8388A">
        <w:rPr>
          <w:lang w:val="es-ES"/>
        </w:rPr>
        <w:t xml:space="preserve">a excepción de las entidades de </w:t>
      </w:r>
      <w:r w:rsidRPr="00A8388A">
        <w:rPr>
          <w:lang w:val="es-ES"/>
        </w:rPr>
        <w:t>riesgo soberano y</w:t>
      </w:r>
      <w:r w:rsidR="000574EE" w:rsidRPr="00A8388A">
        <w:rPr>
          <w:lang w:val="es-ES"/>
        </w:rPr>
        <w:t xml:space="preserve"> </w:t>
      </w:r>
      <w:r w:rsidR="00756EF2" w:rsidRPr="00A8388A">
        <w:rPr>
          <w:lang w:val="es-ES"/>
        </w:rPr>
        <w:t xml:space="preserve">aquellas con </w:t>
      </w:r>
      <w:r w:rsidRPr="00A8388A">
        <w:rPr>
          <w:lang w:val="es-ES"/>
        </w:rPr>
        <w:t>calificación</w:t>
      </w:r>
      <w:r w:rsidR="00624FC0" w:rsidRPr="00A8388A">
        <w:rPr>
          <w:lang w:val="es-ES"/>
        </w:rPr>
        <w:t xml:space="preserve"> crediticia AAA/</w:t>
      </w:r>
      <w:proofErr w:type="spellStart"/>
      <w:r w:rsidR="00756EF2" w:rsidRPr="00A8388A">
        <w:rPr>
          <w:lang w:val="es-ES"/>
        </w:rPr>
        <w:t>Aaa</w:t>
      </w:r>
      <w:proofErr w:type="spellEnd"/>
      <w:r w:rsidR="00756EF2" w:rsidRPr="00A8388A">
        <w:rPr>
          <w:lang w:val="es-ES"/>
        </w:rPr>
        <w:t xml:space="preserve">. </w:t>
      </w:r>
      <w:r w:rsidRPr="00A8388A">
        <w:rPr>
          <w:lang w:val="es-ES"/>
        </w:rPr>
        <w:t>En el mercado actual</w:t>
      </w:r>
      <w:r w:rsidR="00624FC0" w:rsidRPr="00A8388A">
        <w:rPr>
          <w:lang w:val="es-ES"/>
        </w:rPr>
        <w:t>, no solo es muy difícil encontrar entidades bancarias que posean la calificación crediticia AAA/</w:t>
      </w:r>
      <w:proofErr w:type="spellStart"/>
      <w:r w:rsidR="00624FC0" w:rsidRPr="00A8388A">
        <w:rPr>
          <w:lang w:val="es-ES"/>
        </w:rPr>
        <w:t>Aaa</w:t>
      </w:r>
      <w:proofErr w:type="spellEnd"/>
      <w:r w:rsidR="00624FC0" w:rsidRPr="00A8388A">
        <w:rPr>
          <w:lang w:val="es-ES"/>
        </w:rPr>
        <w:t xml:space="preserve">, sino que resulta prácticamente imposible </w:t>
      </w:r>
      <w:r w:rsidRPr="00A8388A">
        <w:rPr>
          <w:lang w:val="es-ES"/>
        </w:rPr>
        <w:t>establece</w:t>
      </w:r>
      <w:r w:rsidR="00624FC0" w:rsidRPr="00A8388A">
        <w:rPr>
          <w:lang w:val="es-ES"/>
        </w:rPr>
        <w:t>r nuevas relaciones bancarias para inversiones en</w:t>
      </w:r>
      <w:r w:rsidRPr="00A8388A">
        <w:rPr>
          <w:lang w:val="es-ES"/>
        </w:rPr>
        <w:t xml:space="preserve"> francos suizos</w:t>
      </w:r>
      <w:r w:rsidR="00624FC0" w:rsidRPr="00A8388A">
        <w:rPr>
          <w:lang w:val="es-ES"/>
        </w:rPr>
        <w:t>, pues el BNS cobra tipos de interés negativos a estos bancos cuando reciben nuevos influjos de francos suizos. Esta situación afecta tanto a los bancos suizos como a las entidades con</w:t>
      </w:r>
      <w:r w:rsidRPr="00A8388A">
        <w:rPr>
          <w:lang w:val="es-ES"/>
        </w:rPr>
        <w:t xml:space="preserve"> sede en el extranjero. La Organización tiene la suerte </w:t>
      </w:r>
      <w:r w:rsidR="00624FC0" w:rsidRPr="00A8388A">
        <w:rPr>
          <w:lang w:val="es-ES"/>
        </w:rPr>
        <w:t>de contar ya con relaciones bancarias con</w:t>
      </w:r>
      <w:r w:rsidRPr="00A8388A">
        <w:rPr>
          <w:lang w:val="es-ES"/>
        </w:rPr>
        <w:t xml:space="preserve"> cinco </w:t>
      </w:r>
      <w:r w:rsidR="00624FC0" w:rsidRPr="00A8388A">
        <w:rPr>
          <w:lang w:val="es-ES"/>
        </w:rPr>
        <w:t>entidades</w:t>
      </w:r>
      <w:r w:rsidRPr="00A8388A">
        <w:rPr>
          <w:lang w:val="es-ES"/>
        </w:rPr>
        <w:t xml:space="preserve"> financieras suizas. </w:t>
      </w:r>
      <w:r w:rsidR="00D27F72" w:rsidRPr="00A8388A">
        <w:rPr>
          <w:lang w:val="es-ES"/>
        </w:rPr>
        <w:t>La relación con algunas de estas instituciones no tiene actualmente fines de inversión,</w:t>
      </w:r>
      <w:r w:rsidR="00624FC0" w:rsidRPr="00A8388A">
        <w:rPr>
          <w:lang w:val="es-ES"/>
        </w:rPr>
        <w:t xml:space="preserve"> </w:t>
      </w:r>
      <w:r w:rsidR="00D27F72" w:rsidRPr="00A8388A">
        <w:rPr>
          <w:lang w:val="es-ES"/>
        </w:rPr>
        <w:t>pero</w:t>
      </w:r>
      <w:r w:rsidRPr="00A8388A">
        <w:rPr>
          <w:lang w:val="es-ES"/>
        </w:rPr>
        <w:t xml:space="preserve"> la OMPI explo</w:t>
      </w:r>
      <w:r w:rsidR="00624FC0" w:rsidRPr="00A8388A">
        <w:rPr>
          <w:lang w:val="es-ES"/>
        </w:rPr>
        <w:t>rará la posibilidad de desarrollar</w:t>
      </w:r>
      <w:r w:rsidR="00D27F72" w:rsidRPr="00A8388A">
        <w:rPr>
          <w:lang w:val="es-ES"/>
        </w:rPr>
        <w:t>la</w:t>
      </w:r>
      <w:r w:rsidR="000574EE" w:rsidRPr="00A8388A">
        <w:rPr>
          <w:lang w:val="es-ES"/>
        </w:rPr>
        <w:t xml:space="preserve"> en esa dirección</w:t>
      </w:r>
      <w:r w:rsidRPr="00A8388A">
        <w:rPr>
          <w:lang w:val="es-ES"/>
        </w:rPr>
        <w:t xml:space="preserve"> </w:t>
      </w:r>
      <w:r w:rsidR="000574EE" w:rsidRPr="00A8388A">
        <w:rPr>
          <w:lang w:val="es-ES"/>
        </w:rPr>
        <w:t>y</w:t>
      </w:r>
      <w:r w:rsidR="00D27F72" w:rsidRPr="00A8388A">
        <w:rPr>
          <w:lang w:val="es-ES"/>
        </w:rPr>
        <w:t xml:space="preserve"> </w:t>
      </w:r>
      <w:r w:rsidR="00756EF2" w:rsidRPr="00A8388A">
        <w:rPr>
          <w:lang w:val="es-ES"/>
        </w:rPr>
        <w:t>evaluar la posibilidad d</w:t>
      </w:r>
      <w:r w:rsidR="00D27F72" w:rsidRPr="00A8388A">
        <w:rPr>
          <w:lang w:val="es-ES"/>
        </w:rPr>
        <w:t xml:space="preserve">e </w:t>
      </w:r>
      <w:r w:rsidR="000574EE" w:rsidRPr="00A8388A">
        <w:rPr>
          <w:lang w:val="es-ES"/>
        </w:rPr>
        <w:t xml:space="preserve">colocar </w:t>
      </w:r>
      <w:r w:rsidR="00D27F72" w:rsidRPr="00A8388A">
        <w:rPr>
          <w:lang w:val="es-ES"/>
        </w:rPr>
        <w:t xml:space="preserve">montos de efectivo adicionales </w:t>
      </w:r>
      <w:r w:rsidR="000574EE" w:rsidRPr="00A8388A">
        <w:rPr>
          <w:lang w:val="es-ES"/>
        </w:rPr>
        <w:t xml:space="preserve">al abrigo </w:t>
      </w:r>
      <w:r w:rsidR="00D27F72" w:rsidRPr="00A8388A">
        <w:rPr>
          <w:lang w:val="es-ES"/>
        </w:rPr>
        <w:t>de los tipos de interés negativos. Aunque se trabajará para establecer nuevas relaciones bancarias para el depósito de francos suizos</w:t>
      </w:r>
      <w:r w:rsidRPr="00A8388A">
        <w:rPr>
          <w:lang w:val="es-ES"/>
        </w:rPr>
        <w:t>, es muy poco pro</w:t>
      </w:r>
      <w:r w:rsidR="00D27F72" w:rsidRPr="00A8388A">
        <w:rPr>
          <w:lang w:val="es-ES"/>
        </w:rPr>
        <w:t>bable que la Organización tenga</w:t>
      </w:r>
      <w:r w:rsidRPr="00A8388A">
        <w:rPr>
          <w:lang w:val="es-ES"/>
        </w:rPr>
        <w:t xml:space="preserve"> éxito </w:t>
      </w:r>
      <w:r w:rsidR="00756EF2" w:rsidRPr="00A8388A">
        <w:rPr>
          <w:lang w:val="es-ES"/>
        </w:rPr>
        <w:t>en es</w:t>
      </w:r>
      <w:r w:rsidR="000574EE" w:rsidRPr="00A8388A">
        <w:rPr>
          <w:lang w:val="es-ES"/>
        </w:rPr>
        <w:t>t</w:t>
      </w:r>
      <w:r w:rsidR="00D27F72" w:rsidRPr="00A8388A">
        <w:rPr>
          <w:lang w:val="es-ES"/>
        </w:rPr>
        <w:t>e empeño</w:t>
      </w:r>
      <w:r w:rsidRPr="00A8388A">
        <w:rPr>
          <w:lang w:val="es-ES"/>
        </w:rPr>
        <w:t xml:space="preserve"> y</w:t>
      </w:r>
      <w:r w:rsidR="00D27F72" w:rsidRPr="00A8388A">
        <w:rPr>
          <w:lang w:val="es-ES"/>
        </w:rPr>
        <w:t>,</w:t>
      </w:r>
      <w:r w:rsidRPr="00A8388A">
        <w:rPr>
          <w:lang w:val="es-ES"/>
        </w:rPr>
        <w:t xml:space="preserve"> en consec</w:t>
      </w:r>
      <w:r w:rsidR="00D27F72" w:rsidRPr="00A8388A">
        <w:rPr>
          <w:lang w:val="es-ES"/>
        </w:rPr>
        <w:t>uencia, la política de inversiones tendrá que ser modificada</w:t>
      </w:r>
      <w:r w:rsidRPr="00A8388A">
        <w:rPr>
          <w:lang w:val="es-ES"/>
        </w:rPr>
        <w:t xml:space="preserve"> para reflejar las realidades del entorno bancario actual. </w:t>
      </w:r>
      <w:r w:rsidR="00D27F72" w:rsidRPr="00A8388A">
        <w:rPr>
          <w:lang w:val="es-ES"/>
        </w:rPr>
        <w:t>Se propone que la nueva redacción de la política sea la siguiente:</w:t>
      </w:r>
    </w:p>
    <w:p w:rsidR="00756EF2" w:rsidRPr="00A8388A" w:rsidRDefault="00756EF2" w:rsidP="003360A1">
      <w:pPr>
        <w:pStyle w:val="ONUMFS"/>
        <w:numPr>
          <w:ilvl w:val="0"/>
          <w:numId w:val="0"/>
        </w:numPr>
        <w:ind w:left="1134"/>
        <w:rPr>
          <w:i/>
          <w:lang w:val="es-ES"/>
        </w:rPr>
      </w:pPr>
      <w:r w:rsidRPr="00A8388A">
        <w:rPr>
          <w:i/>
          <w:lang w:val="es-ES"/>
        </w:rPr>
        <w:lastRenderedPageBreak/>
        <w:t xml:space="preserve">Las inversiones de efectivo </w:t>
      </w:r>
      <w:r w:rsidR="00E55E34" w:rsidRPr="00A8388A">
        <w:rPr>
          <w:i/>
          <w:lang w:val="es-ES"/>
        </w:rPr>
        <w:t xml:space="preserve">para gastos de funcionamiento y efectivo básico de la </w:t>
      </w:r>
      <w:r w:rsidRPr="00A8388A">
        <w:rPr>
          <w:i/>
          <w:lang w:val="es-ES"/>
        </w:rPr>
        <w:t xml:space="preserve">Organización </w:t>
      </w:r>
      <w:r w:rsidR="00E55E34" w:rsidRPr="00A8388A">
        <w:rPr>
          <w:i/>
          <w:lang w:val="es-ES"/>
        </w:rPr>
        <w:t xml:space="preserve">habrán de distribuirse </w:t>
      </w:r>
      <w:r w:rsidRPr="00A8388A">
        <w:rPr>
          <w:i/>
          <w:lang w:val="es-ES"/>
        </w:rPr>
        <w:t xml:space="preserve">entre </w:t>
      </w:r>
      <w:r w:rsidR="00E55E34" w:rsidRPr="00A8388A">
        <w:rPr>
          <w:i/>
          <w:lang w:val="es-ES"/>
        </w:rPr>
        <w:t>varias entidades</w:t>
      </w:r>
      <w:r w:rsidRPr="00A8388A">
        <w:rPr>
          <w:i/>
          <w:lang w:val="es-ES"/>
        </w:rPr>
        <w:t>, con el objetivo de</w:t>
      </w:r>
      <w:r w:rsidR="00E55E34" w:rsidRPr="00A8388A">
        <w:rPr>
          <w:i/>
          <w:lang w:val="es-ES"/>
        </w:rPr>
        <w:t xml:space="preserve"> dividir las sumas destinadas a inversiones</w:t>
      </w:r>
      <w:r w:rsidRPr="00A8388A">
        <w:rPr>
          <w:i/>
          <w:lang w:val="es-ES"/>
        </w:rPr>
        <w:t xml:space="preserve"> entre un mí</w:t>
      </w:r>
      <w:r w:rsidR="00E55E34" w:rsidRPr="00A8388A">
        <w:rPr>
          <w:i/>
          <w:lang w:val="es-ES"/>
        </w:rPr>
        <w:t xml:space="preserve">nimo de cuatro instituciones, de ser </w:t>
      </w:r>
      <w:r w:rsidRPr="00A8388A">
        <w:rPr>
          <w:i/>
          <w:lang w:val="es-ES"/>
        </w:rPr>
        <w:t>posible. Todas las i</w:t>
      </w:r>
      <w:r w:rsidR="00E55E34" w:rsidRPr="00A8388A">
        <w:rPr>
          <w:i/>
          <w:lang w:val="es-ES"/>
        </w:rPr>
        <w:t xml:space="preserve">nversiones de efectivo para gastos de funcionamiento y efectivo básico de la Organización podrán colocarse en </w:t>
      </w:r>
      <w:r w:rsidRPr="00A8388A">
        <w:rPr>
          <w:i/>
          <w:lang w:val="es-ES"/>
        </w:rPr>
        <w:t xml:space="preserve">una </w:t>
      </w:r>
      <w:r w:rsidR="00E55E34" w:rsidRPr="00A8388A">
        <w:rPr>
          <w:i/>
          <w:lang w:val="es-ES"/>
        </w:rPr>
        <w:t xml:space="preserve">única </w:t>
      </w:r>
      <w:r w:rsidRPr="00A8388A">
        <w:rPr>
          <w:i/>
          <w:lang w:val="es-ES"/>
        </w:rPr>
        <w:t xml:space="preserve">institución </w:t>
      </w:r>
      <w:r w:rsidR="00E55E34" w:rsidRPr="00A8388A">
        <w:rPr>
          <w:i/>
          <w:lang w:val="es-ES"/>
        </w:rPr>
        <w:t>de riesgo soberano y con</w:t>
      </w:r>
      <w:r w:rsidRPr="00A8388A">
        <w:rPr>
          <w:i/>
          <w:lang w:val="es-ES"/>
        </w:rPr>
        <w:t xml:space="preserve"> calificación</w:t>
      </w:r>
      <w:r w:rsidR="00E55E34" w:rsidRPr="00A8388A">
        <w:rPr>
          <w:i/>
          <w:lang w:val="es-ES"/>
        </w:rPr>
        <w:t xml:space="preserve"> crediticia AAA/</w:t>
      </w:r>
      <w:proofErr w:type="spellStart"/>
      <w:r w:rsidRPr="00A8388A">
        <w:rPr>
          <w:i/>
          <w:lang w:val="es-ES"/>
        </w:rPr>
        <w:t>Aaa</w:t>
      </w:r>
      <w:proofErr w:type="spellEnd"/>
      <w:r w:rsidRPr="00A8388A">
        <w:rPr>
          <w:i/>
          <w:lang w:val="es-ES"/>
        </w:rPr>
        <w:t>.</w:t>
      </w:r>
    </w:p>
    <w:p w:rsidR="00690580" w:rsidRPr="00A8388A" w:rsidRDefault="00E55E34" w:rsidP="00A314DC">
      <w:pPr>
        <w:pStyle w:val="ONUME"/>
        <w:tabs>
          <w:tab w:val="left" w:pos="1134"/>
        </w:tabs>
        <w:rPr>
          <w:szCs w:val="22"/>
          <w:lang w:val="es-ES"/>
        </w:rPr>
      </w:pPr>
      <w:r w:rsidRPr="00A8388A">
        <w:rPr>
          <w:szCs w:val="22"/>
          <w:lang w:val="es-ES"/>
        </w:rPr>
        <w:t>EFECTIVO BÁSICO</w:t>
      </w:r>
    </w:p>
    <w:p w:rsidR="00690580" w:rsidRPr="00A8388A" w:rsidRDefault="0070284C" w:rsidP="003360A1">
      <w:pPr>
        <w:pStyle w:val="ONUMFS"/>
        <w:rPr>
          <w:lang w:val="es-ES"/>
        </w:rPr>
      </w:pPr>
      <w:r w:rsidRPr="00A8388A">
        <w:rPr>
          <w:lang w:val="es-ES"/>
        </w:rPr>
        <w:t>Es el saldo de efectivo de que dispone la OMPI tras la deducción del efectivo para gastos de funcionamiento y del  efectivo estratégico (el efectivo estratégico</w:t>
      </w:r>
      <w:r w:rsidR="003360A1" w:rsidRPr="00A8388A">
        <w:rPr>
          <w:lang w:val="es-ES"/>
        </w:rPr>
        <w:t xml:space="preserve"> se explica en el párrafo </w:t>
      </w:r>
      <w:r w:rsidRPr="00A8388A">
        <w:rPr>
          <w:lang w:val="es-ES"/>
        </w:rPr>
        <w:t xml:space="preserve">12). Constituye la mayor parte del saldo de efectivo y una parte significativa es efectivo “restringido”, pues en realidad no pertenece a la Organización (véase el Cuadro 1). En los últimos años, los niveles de efectivo básico se han mantenido o aumentado, lo cual indica que, aunque gran parte de ese efectivo se desembolsa regularmente en nombre de los terceros para los que se mantiene, </w:t>
      </w:r>
      <w:r w:rsidR="00352C85" w:rsidRPr="00A8388A">
        <w:rPr>
          <w:lang w:val="es-ES"/>
        </w:rPr>
        <w:t>se reciben</w:t>
      </w:r>
      <w:r w:rsidRPr="00A8388A">
        <w:rPr>
          <w:lang w:val="es-ES"/>
        </w:rPr>
        <w:t xml:space="preserve"> influjos de efectivo con periodicidad similar, lo que permite reponer los saldos. Por lo tanto, </w:t>
      </w:r>
      <w:r w:rsidR="005740E4" w:rsidRPr="00A8388A">
        <w:rPr>
          <w:lang w:val="es-ES"/>
        </w:rPr>
        <w:t xml:space="preserve">el objetivo de inversión es </w:t>
      </w:r>
      <w:r w:rsidRPr="00A8388A">
        <w:rPr>
          <w:lang w:val="es-ES"/>
        </w:rPr>
        <w:t>lograr un equilibrio entre liquid</w:t>
      </w:r>
      <w:r w:rsidR="005740E4" w:rsidRPr="00A8388A">
        <w:rPr>
          <w:lang w:val="es-ES"/>
        </w:rPr>
        <w:t xml:space="preserve">ez y rentabilidad, </w:t>
      </w:r>
      <w:r w:rsidRPr="00A8388A">
        <w:rPr>
          <w:lang w:val="es-ES"/>
        </w:rPr>
        <w:t>el hori</w:t>
      </w:r>
      <w:r w:rsidR="00FF2BA6" w:rsidRPr="00A8388A">
        <w:rPr>
          <w:lang w:val="es-ES"/>
        </w:rPr>
        <w:t>zonte de inversión es de medio</w:t>
      </w:r>
      <w:r w:rsidRPr="00A8388A">
        <w:rPr>
          <w:lang w:val="es-ES"/>
        </w:rPr>
        <w:t xml:space="preserve"> plazo (es decir, doce</w:t>
      </w:r>
      <w:r w:rsidR="005740E4" w:rsidRPr="00A8388A">
        <w:rPr>
          <w:lang w:val="es-ES"/>
        </w:rPr>
        <w:t xml:space="preserve"> o más</w:t>
      </w:r>
      <w:r w:rsidRPr="00A8388A">
        <w:rPr>
          <w:lang w:val="es-ES"/>
        </w:rPr>
        <w:t xml:space="preserve"> meses</w:t>
      </w:r>
      <w:r w:rsidR="005740E4" w:rsidRPr="00A8388A">
        <w:rPr>
          <w:lang w:val="es-ES"/>
        </w:rPr>
        <w:t>) y el perfil de riesgo, de preservación</w:t>
      </w:r>
      <w:r w:rsidRPr="00A8388A">
        <w:rPr>
          <w:lang w:val="es-ES"/>
        </w:rPr>
        <w:t xml:space="preserve"> </w:t>
      </w:r>
      <w:r w:rsidR="005740E4" w:rsidRPr="00A8388A">
        <w:rPr>
          <w:lang w:val="es-ES"/>
        </w:rPr>
        <w:t xml:space="preserve">del capital. Al mismo tiempo, debería buscarse que </w:t>
      </w:r>
      <w:r w:rsidR="00352C85" w:rsidRPr="00A8388A">
        <w:rPr>
          <w:lang w:val="es-ES"/>
        </w:rPr>
        <w:t xml:space="preserve">las inversiones </w:t>
      </w:r>
      <w:r w:rsidRPr="00A8388A">
        <w:rPr>
          <w:lang w:val="es-ES"/>
        </w:rPr>
        <w:t>subyacentes</w:t>
      </w:r>
      <w:r w:rsidR="005740E4" w:rsidRPr="00A8388A">
        <w:rPr>
          <w:lang w:val="es-ES"/>
        </w:rPr>
        <w:t xml:space="preserve"> presentasen una volatilidad baja</w:t>
      </w:r>
      <w:r w:rsidRPr="00A8388A">
        <w:rPr>
          <w:lang w:val="es-ES"/>
        </w:rPr>
        <w:t>. La investigación llevada a cabo por la Secretaría, con la plena pa</w:t>
      </w:r>
      <w:r w:rsidR="005740E4" w:rsidRPr="00A8388A">
        <w:rPr>
          <w:lang w:val="es-ES"/>
        </w:rPr>
        <w:t xml:space="preserve">rticipación del Comité Asesor en materia de </w:t>
      </w:r>
      <w:r w:rsidRPr="00A8388A">
        <w:rPr>
          <w:lang w:val="es-ES"/>
        </w:rPr>
        <w:t>Inversiones, sug</w:t>
      </w:r>
      <w:r w:rsidR="005740E4" w:rsidRPr="00A8388A">
        <w:rPr>
          <w:lang w:val="es-ES"/>
        </w:rPr>
        <w:t>iere que puede ser factible</w:t>
      </w:r>
      <w:r w:rsidR="00352C85" w:rsidRPr="00A8388A">
        <w:rPr>
          <w:lang w:val="es-ES"/>
        </w:rPr>
        <w:t xml:space="preserve"> invertir es</w:t>
      </w:r>
      <w:r w:rsidRPr="00A8388A">
        <w:rPr>
          <w:lang w:val="es-ES"/>
        </w:rPr>
        <w:t xml:space="preserve">e dinero </w:t>
      </w:r>
      <w:r w:rsidR="005740E4" w:rsidRPr="00A8388A">
        <w:rPr>
          <w:lang w:val="es-ES"/>
        </w:rPr>
        <w:t xml:space="preserve">a </w:t>
      </w:r>
      <w:r w:rsidRPr="00A8388A">
        <w:rPr>
          <w:lang w:val="es-ES"/>
        </w:rPr>
        <w:t>medi</w:t>
      </w:r>
      <w:r w:rsidR="005740E4" w:rsidRPr="00A8388A">
        <w:rPr>
          <w:lang w:val="es-ES"/>
        </w:rPr>
        <w:t>o</w:t>
      </w:r>
      <w:r w:rsidRPr="00A8388A">
        <w:rPr>
          <w:lang w:val="es-ES"/>
        </w:rPr>
        <w:t xml:space="preserve"> plazo, digamos hasta cuatro años, y </w:t>
      </w:r>
      <w:r w:rsidR="005740E4" w:rsidRPr="00A8388A">
        <w:rPr>
          <w:lang w:val="es-ES"/>
        </w:rPr>
        <w:t xml:space="preserve">generar una rentabilidad </w:t>
      </w:r>
      <w:r w:rsidRPr="00A8388A">
        <w:rPr>
          <w:lang w:val="es-ES"/>
        </w:rPr>
        <w:t>posi</w:t>
      </w:r>
      <w:r w:rsidR="005740E4" w:rsidRPr="00A8388A">
        <w:rPr>
          <w:lang w:val="es-ES"/>
        </w:rPr>
        <w:t>tiva</w:t>
      </w:r>
      <w:r w:rsidRPr="00A8388A">
        <w:rPr>
          <w:lang w:val="es-ES"/>
        </w:rPr>
        <w:t xml:space="preserve">. </w:t>
      </w:r>
      <w:r w:rsidR="00352C85" w:rsidRPr="00A8388A">
        <w:rPr>
          <w:lang w:val="es-ES"/>
        </w:rPr>
        <w:t>Idealmente, ese</w:t>
      </w:r>
      <w:r w:rsidR="005740E4" w:rsidRPr="00A8388A">
        <w:rPr>
          <w:lang w:val="es-ES"/>
        </w:rPr>
        <w:t xml:space="preserve"> efectivo se invertiría de manera que fuese posible </w:t>
      </w:r>
      <w:r w:rsidR="00FF2BA6" w:rsidRPr="00A8388A">
        <w:rPr>
          <w:lang w:val="es-ES"/>
        </w:rPr>
        <w:t xml:space="preserve">acceder </w:t>
      </w:r>
      <w:r w:rsidR="005740E4" w:rsidRPr="00A8388A">
        <w:rPr>
          <w:lang w:val="es-ES"/>
        </w:rPr>
        <w:t>ocasional</w:t>
      </w:r>
      <w:r w:rsidR="00FF2BA6" w:rsidRPr="00A8388A">
        <w:rPr>
          <w:lang w:val="es-ES"/>
        </w:rPr>
        <w:t>mente</w:t>
      </w:r>
      <w:r w:rsidR="005740E4" w:rsidRPr="00A8388A">
        <w:rPr>
          <w:lang w:val="es-ES"/>
        </w:rPr>
        <w:t xml:space="preserve"> a una parte, lo que permitiría disponer de fondos</w:t>
      </w:r>
      <w:r w:rsidRPr="00A8388A">
        <w:rPr>
          <w:lang w:val="es-ES"/>
        </w:rPr>
        <w:t xml:space="preserve">, por ejemplo, para </w:t>
      </w:r>
      <w:r w:rsidR="005740E4" w:rsidRPr="00A8388A">
        <w:rPr>
          <w:lang w:val="es-ES"/>
        </w:rPr>
        <w:t xml:space="preserve">hacer frente a grandes pagos programados para el futuro, </w:t>
      </w:r>
      <w:r w:rsidRPr="00A8388A">
        <w:rPr>
          <w:lang w:val="es-ES"/>
        </w:rPr>
        <w:t xml:space="preserve">como </w:t>
      </w:r>
      <w:r w:rsidR="005740E4" w:rsidRPr="00A8388A">
        <w:rPr>
          <w:lang w:val="es-ES"/>
        </w:rPr>
        <w:t>el pago</w:t>
      </w:r>
      <w:r w:rsidRPr="00A8388A">
        <w:rPr>
          <w:lang w:val="es-ES"/>
        </w:rPr>
        <w:t xml:space="preserve"> de préstamos a su vencimiento. Además, en lugar de invertir la totalidad del </w:t>
      </w:r>
      <w:r w:rsidR="00216578" w:rsidRPr="00A8388A">
        <w:rPr>
          <w:lang w:val="es-ES"/>
        </w:rPr>
        <w:t>efectivo básico</w:t>
      </w:r>
      <w:r w:rsidRPr="00A8388A">
        <w:rPr>
          <w:lang w:val="es-ES"/>
        </w:rPr>
        <w:t xml:space="preserve">, </w:t>
      </w:r>
      <w:r w:rsidR="00216578" w:rsidRPr="00A8388A">
        <w:rPr>
          <w:lang w:val="es-ES"/>
        </w:rPr>
        <w:t>podrían reservarse los fondos necesarios para</w:t>
      </w:r>
      <w:r w:rsidRPr="00A8388A">
        <w:rPr>
          <w:lang w:val="es-ES"/>
        </w:rPr>
        <w:t xml:space="preserve"> pagar dos tramos del préstamo</w:t>
      </w:r>
      <w:r w:rsidR="00AA72DC" w:rsidRPr="00A8388A">
        <w:rPr>
          <w:lang w:val="es-ES"/>
        </w:rPr>
        <w:t xml:space="preserve"> suscrito para la Sala de Conferencias</w:t>
      </w:r>
      <w:r w:rsidR="00216578" w:rsidRPr="00A8388A">
        <w:rPr>
          <w:lang w:val="es-ES"/>
        </w:rPr>
        <w:t xml:space="preserve">, </w:t>
      </w:r>
      <w:r w:rsidRPr="00A8388A">
        <w:rPr>
          <w:lang w:val="es-ES"/>
        </w:rPr>
        <w:t xml:space="preserve">que </w:t>
      </w:r>
      <w:r w:rsidR="00216578" w:rsidRPr="00A8388A">
        <w:rPr>
          <w:lang w:val="es-ES"/>
        </w:rPr>
        <w:t>vence</w:t>
      </w:r>
      <w:r w:rsidRPr="00A8388A">
        <w:rPr>
          <w:lang w:val="es-ES"/>
        </w:rPr>
        <w:t xml:space="preserve">n </w:t>
      </w:r>
      <w:r w:rsidR="00216578" w:rsidRPr="00A8388A">
        <w:rPr>
          <w:lang w:val="es-ES"/>
        </w:rPr>
        <w:t xml:space="preserve">en </w:t>
      </w:r>
      <w:r w:rsidRPr="00A8388A">
        <w:rPr>
          <w:lang w:val="es-ES"/>
        </w:rPr>
        <w:t xml:space="preserve">un futuro próximo (24 millones de francos suizos en noviembre </w:t>
      </w:r>
      <w:r w:rsidR="00216578" w:rsidRPr="00A8388A">
        <w:rPr>
          <w:lang w:val="es-ES"/>
        </w:rPr>
        <w:t xml:space="preserve">de </w:t>
      </w:r>
      <w:r w:rsidRPr="00A8388A">
        <w:rPr>
          <w:lang w:val="es-ES"/>
        </w:rPr>
        <w:t>2015 y 16 millones de francos suizos en enero de 2016).</w:t>
      </w:r>
    </w:p>
    <w:p w:rsidR="00183640" w:rsidRPr="00A8388A" w:rsidRDefault="00352C85" w:rsidP="003360A1">
      <w:pPr>
        <w:pStyle w:val="ONUME"/>
        <w:rPr>
          <w:szCs w:val="22"/>
          <w:u w:val="single"/>
          <w:lang w:val="es-ES"/>
        </w:rPr>
      </w:pPr>
      <w:r w:rsidRPr="00A8388A">
        <w:rPr>
          <w:szCs w:val="22"/>
          <w:u w:val="single"/>
          <w:lang w:val="es-ES"/>
        </w:rPr>
        <w:t>Implicaciones para la política de inversiones</w:t>
      </w:r>
    </w:p>
    <w:p w:rsidR="00E82939" w:rsidRPr="00A8388A" w:rsidRDefault="00352C85" w:rsidP="003360A1">
      <w:pPr>
        <w:pStyle w:val="ONUMFS"/>
        <w:rPr>
          <w:lang w:val="es-ES"/>
        </w:rPr>
      </w:pPr>
      <w:r w:rsidRPr="00A8388A">
        <w:rPr>
          <w:lang w:val="es-ES"/>
        </w:rPr>
        <w:t>En el entorno actual, es evidente que la inversión del efectivo básico en depósitos bancarios y en bonos del gobierno suizo a medio plazo no generará una rentabilidad positiva. Así pues, ese efectivo habrá de invertirse en otras clases de activos, algunas de las cuales no están permitidas actualmente por la política de inversiones. Las clases de activos propuestas para el efectivo básico son las que figuran a continuación. Algunas de ellas comportan un mayor nivel de riesgo que los depósitos bancarios, bonos gubernamentales y corporativos, que hasta ahora han sido las únicas clases de activos permitidas. En los párrafos 17 a 20 se presenta un análisis más detallado sobre aspectos relativos al riesgo.</w:t>
      </w:r>
    </w:p>
    <w:p w:rsidR="00F00B61" w:rsidRPr="00A8388A" w:rsidRDefault="00352C85" w:rsidP="00A314DC">
      <w:pPr>
        <w:pStyle w:val="ONUME"/>
        <w:jc w:val="center"/>
        <w:rPr>
          <w:b/>
          <w:szCs w:val="22"/>
          <w:lang w:val="es-ES"/>
        </w:rPr>
      </w:pPr>
      <w:r w:rsidRPr="00A8388A">
        <w:rPr>
          <w:b/>
          <w:szCs w:val="22"/>
          <w:lang w:val="es-ES"/>
        </w:rPr>
        <w:t>Clases de Activos</w:t>
      </w:r>
    </w:p>
    <w:p w:rsidR="00EC5205" w:rsidRPr="00A8388A" w:rsidRDefault="002D3770" w:rsidP="00ED5296">
      <w:pPr>
        <w:pStyle w:val="ONUME"/>
        <w:numPr>
          <w:ilvl w:val="6"/>
          <w:numId w:val="9"/>
        </w:numPr>
        <w:tabs>
          <w:tab w:val="left" w:pos="1134"/>
        </w:tabs>
        <w:spacing w:after="240"/>
        <w:ind w:left="709" w:firstLine="0"/>
        <w:rPr>
          <w:szCs w:val="22"/>
          <w:lang w:val="es-ES"/>
        </w:rPr>
      </w:pPr>
      <w:r w:rsidRPr="00A8388A">
        <w:rPr>
          <w:szCs w:val="22"/>
          <w:lang w:val="es-ES"/>
        </w:rPr>
        <w:t>Efectivo o equivalentes de efectivo</w:t>
      </w:r>
      <w:r w:rsidR="001D272B" w:rsidRPr="00A8388A">
        <w:rPr>
          <w:szCs w:val="22"/>
          <w:lang w:val="es-ES"/>
        </w:rPr>
        <w:t>:</w:t>
      </w:r>
    </w:p>
    <w:p w:rsidR="00EC5205" w:rsidRPr="00A8388A" w:rsidRDefault="00EC5205" w:rsidP="00AE0BA9">
      <w:pPr>
        <w:pStyle w:val="ONUME"/>
        <w:numPr>
          <w:ilvl w:val="0"/>
          <w:numId w:val="10"/>
        </w:numPr>
        <w:tabs>
          <w:tab w:val="left" w:pos="1701"/>
        </w:tabs>
        <w:spacing w:after="120"/>
        <w:ind w:left="1418" w:firstLine="0"/>
        <w:rPr>
          <w:szCs w:val="22"/>
          <w:lang w:val="es-ES"/>
        </w:rPr>
      </w:pPr>
      <w:r w:rsidRPr="00A8388A">
        <w:rPr>
          <w:szCs w:val="22"/>
          <w:lang w:val="es-ES"/>
        </w:rPr>
        <w:t>C</w:t>
      </w:r>
      <w:r w:rsidR="002D3770" w:rsidRPr="00A8388A">
        <w:rPr>
          <w:szCs w:val="22"/>
          <w:lang w:val="es-ES"/>
        </w:rPr>
        <w:t>uentas a la vista, cuentas de ahorro o cuentas de depósito</w:t>
      </w:r>
    </w:p>
    <w:p w:rsidR="00EC5205" w:rsidRPr="00A8388A" w:rsidRDefault="002D3770" w:rsidP="00AE0BA9">
      <w:pPr>
        <w:pStyle w:val="ONUME"/>
        <w:numPr>
          <w:ilvl w:val="0"/>
          <w:numId w:val="10"/>
        </w:numPr>
        <w:tabs>
          <w:tab w:val="left" w:pos="1701"/>
        </w:tabs>
        <w:spacing w:after="120"/>
        <w:ind w:left="1418" w:firstLine="0"/>
        <w:rPr>
          <w:szCs w:val="22"/>
          <w:lang w:val="es-ES"/>
        </w:rPr>
      </w:pPr>
      <w:r w:rsidRPr="00A8388A">
        <w:rPr>
          <w:szCs w:val="22"/>
          <w:lang w:val="es-ES"/>
        </w:rPr>
        <w:t>Certificados de depósito/depósitos a plazo</w:t>
      </w:r>
    </w:p>
    <w:p w:rsidR="00EC5205" w:rsidRPr="00A8388A" w:rsidRDefault="002D3770" w:rsidP="00AE0BA9">
      <w:pPr>
        <w:pStyle w:val="ONUME"/>
        <w:numPr>
          <w:ilvl w:val="0"/>
          <w:numId w:val="10"/>
        </w:numPr>
        <w:tabs>
          <w:tab w:val="left" w:pos="1701"/>
        </w:tabs>
        <w:spacing w:after="120"/>
        <w:ind w:left="1418" w:firstLine="0"/>
        <w:rPr>
          <w:szCs w:val="22"/>
          <w:lang w:val="es-ES"/>
        </w:rPr>
      </w:pPr>
      <w:r w:rsidRPr="00A8388A">
        <w:rPr>
          <w:szCs w:val="22"/>
          <w:lang w:val="es-ES"/>
        </w:rPr>
        <w:t>Depósitos estructurados</w:t>
      </w:r>
    </w:p>
    <w:p w:rsidR="00EC5205" w:rsidRPr="00A8388A" w:rsidRDefault="002D3770" w:rsidP="00AE0BA9">
      <w:pPr>
        <w:pStyle w:val="ONUME"/>
        <w:numPr>
          <w:ilvl w:val="0"/>
          <w:numId w:val="10"/>
        </w:numPr>
        <w:tabs>
          <w:tab w:val="left" w:pos="1701"/>
        </w:tabs>
        <w:spacing w:after="120"/>
        <w:ind w:left="1418" w:firstLine="0"/>
        <w:rPr>
          <w:szCs w:val="22"/>
          <w:lang w:val="es-ES"/>
        </w:rPr>
      </w:pPr>
      <w:r w:rsidRPr="00A8388A">
        <w:rPr>
          <w:szCs w:val="22"/>
          <w:lang w:val="es-ES"/>
        </w:rPr>
        <w:t>Depósitos en otras divisas</w:t>
      </w:r>
    </w:p>
    <w:p w:rsidR="00EC5205" w:rsidRPr="00A8388A" w:rsidRDefault="002C2B68" w:rsidP="009C6A12">
      <w:pPr>
        <w:pStyle w:val="ONUME"/>
        <w:numPr>
          <w:ilvl w:val="6"/>
          <w:numId w:val="9"/>
        </w:numPr>
        <w:tabs>
          <w:tab w:val="left" w:pos="1134"/>
        </w:tabs>
        <w:spacing w:after="240"/>
        <w:ind w:left="851" w:firstLine="0"/>
        <w:rPr>
          <w:szCs w:val="22"/>
          <w:lang w:val="es-ES"/>
        </w:rPr>
      </w:pPr>
      <w:r w:rsidRPr="00A8388A">
        <w:rPr>
          <w:szCs w:val="22"/>
          <w:lang w:val="es-ES"/>
        </w:rPr>
        <w:t>Instrumentos del m</w:t>
      </w:r>
      <w:r w:rsidR="002D3770" w:rsidRPr="00A8388A">
        <w:rPr>
          <w:szCs w:val="22"/>
          <w:lang w:val="es-ES"/>
        </w:rPr>
        <w:t>ercado monetario</w:t>
      </w:r>
      <w:r w:rsidR="003F715C" w:rsidRPr="00A8388A">
        <w:rPr>
          <w:szCs w:val="22"/>
          <w:lang w:val="es-ES"/>
        </w:rPr>
        <w:t>:</w:t>
      </w:r>
    </w:p>
    <w:p w:rsidR="00EC5205" w:rsidRPr="00A8388A" w:rsidRDefault="002D3770" w:rsidP="00AE0BA9">
      <w:pPr>
        <w:pStyle w:val="ONUMFS"/>
        <w:numPr>
          <w:ilvl w:val="1"/>
          <w:numId w:val="3"/>
        </w:numPr>
        <w:tabs>
          <w:tab w:val="clear" w:pos="1134"/>
          <w:tab w:val="num" w:pos="1701"/>
        </w:tabs>
        <w:ind w:left="1276"/>
        <w:rPr>
          <w:lang w:val="es-ES"/>
        </w:rPr>
      </w:pPr>
      <w:r w:rsidRPr="00A8388A">
        <w:rPr>
          <w:lang w:val="es-ES"/>
        </w:rPr>
        <w:t>Papel comercial</w:t>
      </w:r>
    </w:p>
    <w:p w:rsidR="002D3770" w:rsidRPr="00A8388A" w:rsidRDefault="002D3770" w:rsidP="00AE0BA9">
      <w:pPr>
        <w:pStyle w:val="ONUMFS"/>
        <w:numPr>
          <w:ilvl w:val="1"/>
          <w:numId w:val="3"/>
        </w:numPr>
        <w:tabs>
          <w:tab w:val="clear" w:pos="1134"/>
          <w:tab w:val="num" w:pos="1701"/>
        </w:tabs>
        <w:ind w:left="1276"/>
        <w:rPr>
          <w:lang w:val="es-ES"/>
        </w:rPr>
      </w:pPr>
      <w:r w:rsidRPr="00A8388A">
        <w:rPr>
          <w:lang w:val="es-ES"/>
        </w:rPr>
        <w:t xml:space="preserve">Cesiones y adquisiciones temporales de valores </w:t>
      </w:r>
    </w:p>
    <w:p w:rsidR="00EC5205" w:rsidRPr="00A8388A" w:rsidRDefault="002C2B68" w:rsidP="00AE0BA9">
      <w:pPr>
        <w:pStyle w:val="ONUMFS"/>
        <w:numPr>
          <w:ilvl w:val="1"/>
          <w:numId w:val="3"/>
        </w:numPr>
        <w:tabs>
          <w:tab w:val="clear" w:pos="1134"/>
          <w:tab w:val="num" w:pos="1701"/>
        </w:tabs>
        <w:ind w:left="1276"/>
        <w:rPr>
          <w:lang w:val="es-ES"/>
        </w:rPr>
      </w:pPr>
      <w:r w:rsidRPr="00A8388A">
        <w:rPr>
          <w:lang w:val="es-ES"/>
        </w:rPr>
        <w:t>Aceptaci</w:t>
      </w:r>
      <w:r w:rsidR="005536F6" w:rsidRPr="00A8388A">
        <w:rPr>
          <w:lang w:val="es-ES"/>
        </w:rPr>
        <w:t>ones</w:t>
      </w:r>
      <w:r w:rsidRPr="00A8388A">
        <w:rPr>
          <w:lang w:val="es-ES"/>
        </w:rPr>
        <w:t xml:space="preserve"> bancaria</w:t>
      </w:r>
      <w:r w:rsidR="005536F6" w:rsidRPr="00A8388A">
        <w:rPr>
          <w:lang w:val="es-ES"/>
        </w:rPr>
        <w:t>s</w:t>
      </w:r>
    </w:p>
    <w:p w:rsidR="00EC5205" w:rsidRPr="00A8388A" w:rsidRDefault="002C2B68" w:rsidP="009C6A12">
      <w:pPr>
        <w:pStyle w:val="ONUME"/>
        <w:numPr>
          <w:ilvl w:val="6"/>
          <w:numId w:val="9"/>
        </w:numPr>
        <w:tabs>
          <w:tab w:val="left" w:pos="1134"/>
        </w:tabs>
        <w:spacing w:after="240"/>
        <w:ind w:left="1134" w:hanging="283"/>
        <w:rPr>
          <w:szCs w:val="22"/>
          <w:lang w:val="es-ES"/>
        </w:rPr>
      </w:pPr>
      <w:r w:rsidRPr="00A8388A">
        <w:rPr>
          <w:szCs w:val="22"/>
          <w:lang w:val="es-ES"/>
        </w:rPr>
        <w:lastRenderedPageBreak/>
        <w:t>Bonos, letras y otras obligaciones</w:t>
      </w:r>
      <w:r w:rsidR="008609A1" w:rsidRPr="00A8388A">
        <w:rPr>
          <w:szCs w:val="22"/>
          <w:lang w:val="es-ES"/>
        </w:rPr>
        <w:t xml:space="preserve"> (</w:t>
      </w:r>
      <w:r w:rsidRPr="00A8388A">
        <w:rPr>
          <w:szCs w:val="22"/>
          <w:lang w:val="es-ES"/>
        </w:rPr>
        <w:t>a corto, medio y largo plazo</w:t>
      </w:r>
      <w:r w:rsidR="008609A1" w:rsidRPr="00A8388A">
        <w:rPr>
          <w:szCs w:val="22"/>
          <w:lang w:val="es-ES"/>
        </w:rPr>
        <w:t>)</w:t>
      </w:r>
      <w:r w:rsidR="007D0D8A" w:rsidRPr="00A8388A">
        <w:rPr>
          <w:szCs w:val="22"/>
          <w:lang w:val="es-ES"/>
        </w:rPr>
        <w:t xml:space="preserve"> </w:t>
      </w:r>
      <w:r w:rsidRPr="00A8388A">
        <w:rPr>
          <w:szCs w:val="22"/>
          <w:lang w:val="es-ES"/>
        </w:rPr>
        <w:t>y otros instrumentos de renta fija</w:t>
      </w:r>
      <w:r w:rsidR="007D0D8A" w:rsidRPr="00A8388A">
        <w:rPr>
          <w:szCs w:val="22"/>
          <w:lang w:val="es-ES"/>
        </w:rPr>
        <w:t>:</w:t>
      </w:r>
    </w:p>
    <w:p w:rsidR="008609A1" w:rsidRPr="00A8388A" w:rsidRDefault="002C2B68" w:rsidP="00AE0BA9">
      <w:pPr>
        <w:pStyle w:val="ONUME"/>
        <w:numPr>
          <w:ilvl w:val="0"/>
          <w:numId w:val="23"/>
        </w:numPr>
        <w:tabs>
          <w:tab w:val="left" w:pos="1701"/>
        </w:tabs>
        <w:spacing w:after="120"/>
        <w:ind w:left="1418" w:firstLine="0"/>
        <w:rPr>
          <w:szCs w:val="22"/>
          <w:lang w:val="es-ES"/>
        </w:rPr>
      </w:pPr>
      <w:r w:rsidRPr="00A8388A">
        <w:rPr>
          <w:szCs w:val="22"/>
          <w:lang w:val="es-ES"/>
        </w:rPr>
        <w:t>Bonos</w:t>
      </w:r>
      <w:r w:rsidR="005536F6" w:rsidRPr="00A8388A">
        <w:rPr>
          <w:szCs w:val="22"/>
          <w:lang w:val="es-ES"/>
        </w:rPr>
        <w:t xml:space="preserve"> gubernamentales</w:t>
      </w:r>
    </w:p>
    <w:p w:rsidR="008609A1" w:rsidRPr="00A8388A" w:rsidRDefault="002C2B68" w:rsidP="00AE0BA9">
      <w:pPr>
        <w:pStyle w:val="ONUME"/>
        <w:numPr>
          <w:ilvl w:val="0"/>
          <w:numId w:val="23"/>
        </w:numPr>
        <w:tabs>
          <w:tab w:val="left" w:pos="1701"/>
        </w:tabs>
        <w:spacing w:after="120"/>
        <w:ind w:left="1701" w:hanging="283"/>
        <w:rPr>
          <w:szCs w:val="22"/>
          <w:lang w:val="es-ES"/>
        </w:rPr>
      </w:pPr>
      <w:r w:rsidRPr="00A8388A">
        <w:rPr>
          <w:szCs w:val="22"/>
          <w:lang w:val="es-ES"/>
        </w:rPr>
        <w:t xml:space="preserve">Bonos </w:t>
      </w:r>
      <w:r w:rsidR="00F31EC0" w:rsidRPr="00A8388A">
        <w:rPr>
          <w:szCs w:val="22"/>
          <w:lang w:val="es-ES"/>
        </w:rPr>
        <w:t>cuasi</w:t>
      </w:r>
      <w:r w:rsidRPr="00A8388A">
        <w:rPr>
          <w:szCs w:val="22"/>
          <w:lang w:val="es-ES"/>
        </w:rPr>
        <w:t xml:space="preserve"> soberanos</w:t>
      </w:r>
      <w:r w:rsidR="008609A1" w:rsidRPr="00A8388A">
        <w:rPr>
          <w:szCs w:val="22"/>
          <w:lang w:val="es-ES"/>
        </w:rPr>
        <w:t xml:space="preserve"> – </w:t>
      </w:r>
      <w:r w:rsidR="005536F6" w:rsidRPr="00A8388A">
        <w:rPr>
          <w:szCs w:val="22"/>
          <w:lang w:val="es-ES"/>
        </w:rPr>
        <w:t xml:space="preserve">por ejemplo, </w:t>
      </w:r>
      <w:r w:rsidRPr="00A8388A">
        <w:rPr>
          <w:szCs w:val="22"/>
          <w:lang w:val="es-ES"/>
        </w:rPr>
        <w:t xml:space="preserve">bonos </w:t>
      </w:r>
      <w:r w:rsidR="008609A1" w:rsidRPr="00A8388A">
        <w:rPr>
          <w:szCs w:val="22"/>
          <w:lang w:val="es-ES"/>
        </w:rPr>
        <w:t>provincial</w:t>
      </w:r>
      <w:r w:rsidRPr="00A8388A">
        <w:rPr>
          <w:szCs w:val="22"/>
          <w:lang w:val="es-ES"/>
        </w:rPr>
        <w:t>es</w:t>
      </w:r>
      <w:r w:rsidR="008609A1" w:rsidRPr="00A8388A">
        <w:rPr>
          <w:szCs w:val="22"/>
          <w:lang w:val="es-ES"/>
        </w:rPr>
        <w:t>, municipal</w:t>
      </w:r>
      <w:r w:rsidRPr="00A8388A">
        <w:rPr>
          <w:szCs w:val="22"/>
          <w:lang w:val="es-ES"/>
        </w:rPr>
        <w:t>es o</w:t>
      </w:r>
      <w:r w:rsidR="008609A1" w:rsidRPr="00A8388A">
        <w:rPr>
          <w:szCs w:val="22"/>
          <w:lang w:val="es-ES"/>
        </w:rPr>
        <w:t xml:space="preserve"> territorial</w:t>
      </w:r>
      <w:r w:rsidRPr="00A8388A">
        <w:rPr>
          <w:szCs w:val="22"/>
          <w:lang w:val="es-ES"/>
        </w:rPr>
        <w:t>es</w:t>
      </w:r>
    </w:p>
    <w:p w:rsidR="008609A1" w:rsidRPr="00A8388A" w:rsidRDefault="002C2B68" w:rsidP="00AE0BA9">
      <w:pPr>
        <w:pStyle w:val="ONUME"/>
        <w:numPr>
          <w:ilvl w:val="0"/>
          <w:numId w:val="23"/>
        </w:numPr>
        <w:tabs>
          <w:tab w:val="left" w:pos="1701"/>
        </w:tabs>
        <w:spacing w:after="120"/>
        <w:ind w:left="1418" w:firstLine="0"/>
        <w:rPr>
          <w:szCs w:val="22"/>
          <w:lang w:val="es-ES"/>
        </w:rPr>
      </w:pPr>
      <w:r w:rsidRPr="00A8388A">
        <w:rPr>
          <w:szCs w:val="22"/>
          <w:lang w:val="es-ES"/>
        </w:rPr>
        <w:t>Bonos de instituciones s</w:t>
      </w:r>
      <w:r w:rsidR="008609A1" w:rsidRPr="00A8388A">
        <w:rPr>
          <w:szCs w:val="22"/>
          <w:lang w:val="es-ES"/>
        </w:rPr>
        <w:t>uprana</w:t>
      </w:r>
      <w:r w:rsidRPr="00A8388A">
        <w:rPr>
          <w:szCs w:val="22"/>
          <w:lang w:val="es-ES"/>
        </w:rPr>
        <w:t>cionales</w:t>
      </w:r>
    </w:p>
    <w:p w:rsidR="008609A1" w:rsidRPr="00A8388A" w:rsidRDefault="002C2B68" w:rsidP="00AE0BA9">
      <w:pPr>
        <w:pStyle w:val="ONUME"/>
        <w:numPr>
          <w:ilvl w:val="0"/>
          <w:numId w:val="23"/>
        </w:numPr>
        <w:tabs>
          <w:tab w:val="left" w:pos="1701"/>
        </w:tabs>
        <w:spacing w:after="120"/>
        <w:ind w:left="1418" w:firstLine="0"/>
        <w:rPr>
          <w:szCs w:val="22"/>
          <w:lang w:val="es-ES"/>
        </w:rPr>
      </w:pPr>
      <w:r w:rsidRPr="00A8388A">
        <w:rPr>
          <w:szCs w:val="22"/>
          <w:lang w:val="es-ES"/>
        </w:rPr>
        <w:t>Bonos corporativos</w:t>
      </w:r>
    </w:p>
    <w:p w:rsidR="007D0D8A" w:rsidRPr="00A8388A" w:rsidRDefault="002C2B68" w:rsidP="00AE0BA9">
      <w:pPr>
        <w:pStyle w:val="ONUME"/>
        <w:numPr>
          <w:ilvl w:val="0"/>
          <w:numId w:val="23"/>
        </w:numPr>
        <w:tabs>
          <w:tab w:val="left" w:pos="1701"/>
        </w:tabs>
        <w:spacing w:after="120"/>
        <w:ind w:left="1418" w:firstLine="0"/>
        <w:rPr>
          <w:szCs w:val="22"/>
          <w:lang w:val="es-ES"/>
        </w:rPr>
      </w:pPr>
      <w:r w:rsidRPr="00A8388A">
        <w:rPr>
          <w:szCs w:val="22"/>
          <w:lang w:val="es-ES"/>
        </w:rPr>
        <w:t>Colocaciones privadas</w:t>
      </w:r>
    </w:p>
    <w:p w:rsidR="008609A1" w:rsidRPr="00A8388A" w:rsidRDefault="002C2B68" w:rsidP="009C6A12">
      <w:pPr>
        <w:pStyle w:val="ONUME"/>
        <w:numPr>
          <w:ilvl w:val="6"/>
          <w:numId w:val="9"/>
        </w:numPr>
        <w:tabs>
          <w:tab w:val="left" w:pos="1134"/>
        </w:tabs>
        <w:ind w:left="851" w:firstLine="0"/>
        <w:rPr>
          <w:szCs w:val="22"/>
          <w:lang w:val="es-ES"/>
        </w:rPr>
      </w:pPr>
      <w:r w:rsidRPr="00A8388A">
        <w:rPr>
          <w:szCs w:val="22"/>
          <w:lang w:val="es-ES"/>
        </w:rPr>
        <w:t>Fondos fiduciarios de inversión inmobiliaria</w:t>
      </w:r>
      <w:r w:rsidR="008609A1" w:rsidRPr="00A8388A">
        <w:rPr>
          <w:szCs w:val="22"/>
          <w:lang w:val="es-ES"/>
        </w:rPr>
        <w:t xml:space="preserve"> (</w:t>
      </w:r>
      <w:proofErr w:type="spellStart"/>
      <w:r w:rsidR="008609A1" w:rsidRPr="00A8388A">
        <w:rPr>
          <w:szCs w:val="22"/>
          <w:lang w:val="es-ES"/>
        </w:rPr>
        <w:t>REITs</w:t>
      </w:r>
      <w:proofErr w:type="spellEnd"/>
      <w:r w:rsidR="008609A1" w:rsidRPr="00A8388A">
        <w:rPr>
          <w:szCs w:val="22"/>
          <w:lang w:val="es-ES"/>
        </w:rPr>
        <w:t>)</w:t>
      </w:r>
    </w:p>
    <w:p w:rsidR="00B0550B" w:rsidRPr="00A8388A" w:rsidRDefault="005536F6" w:rsidP="00AE0BA9">
      <w:pPr>
        <w:pStyle w:val="ONUMFS"/>
        <w:numPr>
          <w:ilvl w:val="0"/>
          <w:numId w:val="0"/>
        </w:numPr>
        <w:ind w:left="567"/>
        <w:rPr>
          <w:i/>
          <w:lang w:val="es-ES"/>
        </w:rPr>
      </w:pPr>
      <w:r w:rsidRPr="00A8388A">
        <w:rPr>
          <w:i/>
          <w:lang w:val="es-ES"/>
        </w:rPr>
        <w:t>Nota</w:t>
      </w:r>
      <w:proofErr w:type="gramStart"/>
      <w:r w:rsidR="003F715C" w:rsidRPr="00A8388A">
        <w:rPr>
          <w:i/>
          <w:lang w:val="es-ES"/>
        </w:rPr>
        <w:t xml:space="preserve">:  </w:t>
      </w:r>
      <w:r w:rsidRPr="00A8388A">
        <w:rPr>
          <w:i/>
          <w:lang w:val="es-ES"/>
        </w:rPr>
        <w:t>Cualquiera</w:t>
      </w:r>
      <w:proofErr w:type="gramEnd"/>
      <w:r w:rsidRPr="00A8388A">
        <w:rPr>
          <w:i/>
          <w:lang w:val="es-ES"/>
        </w:rPr>
        <w:t xml:space="preserve"> de estas clases de activos podría suscribirse en monedas distintas del franco suizo y cubrirse el riesgo cambiario respecto a esta divisa. Antes de efectuar inversiones en monedas distintas del franco suizo, sería importante evaluar si dichas inversiones generarían una rentabilidad global positiva para la Organización.</w:t>
      </w:r>
    </w:p>
    <w:p w:rsidR="00183640" w:rsidRPr="00A8388A" w:rsidRDefault="00937E4E" w:rsidP="00AE0BA9">
      <w:pPr>
        <w:pStyle w:val="ONUMFS"/>
        <w:rPr>
          <w:lang w:val="es-ES"/>
        </w:rPr>
      </w:pPr>
      <w:r w:rsidRPr="00A8388A">
        <w:rPr>
          <w:lang w:val="es-ES"/>
        </w:rPr>
        <w:t>In</w:t>
      </w:r>
      <w:r w:rsidR="00FF2BA6" w:rsidRPr="00A8388A">
        <w:rPr>
          <w:lang w:val="es-ES"/>
        </w:rPr>
        <w:t>vertir en una</w:t>
      </w:r>
      <w:r w:rsidRPr="00A8388A">
        <w:rPr>
          <w:lang w:val="es-ES"/>
        </w:rPr>
        <w:t xml:space="preserve"> gama de activos adaptados a los vencimientos que exige el efectivo básico requerirá competencias técnicas que la OMPI no posee internamente. Por consiguiente, se propone externalizar esa labor de gestión de la cartera de efectivo básico a gestores de fondos externos. En el párrafo 21 se proporcionan más detalles sobre </w:t>
      </w:r>
      <w:r w:rsidR="00AD48D2" w:rsidRPr="00A8388A">
        <w:rPr>
          <w:lang w:val="es-ES"/>
        </w:rPr>
        <w:t xml:space="preserve">los </w:t>
      </w:r>
      <w:r w:rsidRPr="00A8388A">
        <w:rPr>
          <w:lang w:val="es-ES"/>
        </w:rPr>
        <w:t>gestores de fondos externos. La Organización Internacional del Trabajo (OIT) ha adoptado recientemente esa estrategia, y ha solicitado a gestores de fondos que formulen propuestas acerca de la creación de una cartera de inversiones. La</w:t>
      </w:r>
      <w:r w:rsidR="00FF2BA6" w:rsidRPr="00A8388A">
        <w:rPr>
          <w:lang w:val="es-ES"/>
        </w:rPr>
        <w:t xml:space="preserve"> OIT ha establecido</w:t>
      </w:r>
      <w:r w:rsidRPr="00A8388A">
        <w:rPr>
          <w:lang w:val="es-ES"/>
        </w:rPr>
        <w:t xml:space="preserve"> un</w:t>
      </w:r>
      <w:r w:rsidR="00A23269" w:rsidRPr="00A8388A">
        <w:rPr>
          <w:lang w:val="es-ES"/>
        </w:rPr>
        <w:t xml:space="preserve"> objetivo de rentabilidad del 1%</w:t>
      </w:r>
      <w:r w:rsidRPr="00A8388A">
        <w:rPr>
          <w:lang w:val="es-ES"/>
        </w:rPr>
        <w:t xml:space="preserve"> (neto de ga</w:t>
      </w:r>
      <w:r w:rsidR="00A23269" w:rsidRPr="00A8388A">
        <w:rPr>
          <w:lang w:val="es-ES"/>
        </w:rPr>
        <w:t xml:space="preserve">stos de gestión) y varios </w:t>
      </w:r>
      <w:r w:rsidRPr="00A8388A">
        <w:rPr>
          <w:lang w:val="es-ES"/>
        </w:rPr>
        <w:t>criterios</w:t>
      </w:r>
      <w:r w:rsidR="00A23269" w:rsidRPr="00A8388A">
        <w:rPr>
          <w:lang w:val="es-ES"/>
        </w:rPr>
        <w:t xml:space="preserve"> adicionales</w:t>
      </w:r>
      <w:r w:rsidRPr="00A8388A">
        <w:rPr>
          <w:lang w:val="es-ES"/>
        </w:rPr>
        <w:t>, como el nivel de volatilidad aceptable (2</w:t>
      </w:r>
      <w:r w:rsidR="00A23269" w:rsidRPr="00A8388A">
        <w:rPr>
          <w:lang w:val="es-ES"/>
        </w:rPr>
        <w:t>%</w:t>
      </w:r>
      <w:r w:rsidRPr="00A8388A">
        <w:rPr>
          <w:lang w:val="es-ES"/>
        </w:rPr>
        <w:t xml:space="preserve">), </w:t>
      </w:r>
      <w:r w:rsidR="00A23269" w:rsidRPr="00A8388A">
        <w:rPr>
          <w:lang w:val="es-ES"/>
        </w:rPr>
        <w:t>las pérdidas máximas toleradas</w:t>
      </w:r>
      <w:r w:rsidRPr="00A8388A">
        <w:rPr>
          <w:lang w:val="es-ES"/>
        </w:rPr>
        <w:t xml:space="preserve"> (3</w:t>
      </w:r>
      <w:r w:rsidR="00A23269" w:rsidRPr="00A8388A">
        <w:rPr>
          <w:lang w:val="es-ES"/>
        </w:rPr>
        <w:t>%)</w:t>
      </w:r>
      <w:r w:rsidRPr="00A8388A">
        <w:rPr>
          <w:lang w:val="es-ES"/>
        </w:rPr>
        <w:t xml:space="preserve"> y </w:t>
      </w:r>
      <w:r w:rsidR="00A23269" w:rsidRPr="00A8388A">
        <w:rPr>
          <w:lang w:val="es-ES"/>
        </w:rPr>
        <w:t>las clas</w:t>
      </w:r>
      <w:r w:rsidRPr="00A8388A">
        <w:rPr>
          <w:lang w:val="es-ES"/>
        </w:rPr>
        <w:t xml:space="preserve">es </w:t>
      </w:r>
      <w:r w:rsidR="00AD48D2" w:rsidRPr="00A8388A">
        <w:rPr>
          <w:lang w:val="es-ES"/>
        </w:rPr>
        <w:t>de activos que no podrán</w:t>
      </w:r>
      <w:r w:rsidR="00A23269" w:rsidRPr="00A8388A">
        <w:rPr>
          <w:lang w:val="es-ES"/>
        </w:rPr>
        <w:t xml:space="preserve"> formar parte de la cartera</w:t>
      </w:r>
      <w:r w:rsidRPr="00A8388A">
        <w:rPr>
          <w:lang w:val="es-ES"/>
        </w:rPr>
        <w:t xml:space="preserve"> (a saber, rent</w:t>
      </w:r>
      <w:r w:rsidR="00A23269" w:rsidRPr="00A8388A">
        <w:rPr>
          <w:lang w:val="es-ES"/>
        </w:rPr>
        <w:t>a variable y fondos de inversión especulativos</w:t>
      </w:r>
      <w:r w:rsidRPr="00A8388A">
        <w:rPr>
          <w:lang w:val="es-ES"/>
        </w:rPr>
        <w:t xml:space="preserve">). Dentro de los límites </w:t>
      </w:r>
      <w:r w:rsidR="00A23269" w:rsidRPr="00A8388A">
        <w:rPr>
          <w:lang w:val="es-ES"/>
        </w:rPr>
        <w:t xml:space="preserve">establecidos por </w:t>
      </w:r>
      <w:r w:rsidRPr="00A8388A">
        <w:rPr>
          <w:lang w:val="es-ES"/>
        </w:rPr>
        <w:t>las</w:t>
      </w:r>
      <w:r w:rsidR="00A23269" w:rsidRPr="00A8388A">
        <w:rPr>
          <w:lang w:val="es-ES"/>
        </w:rPr>
        <w:t xml:space="preserve"> clases de activos permitidas por</w:t>
      </w:r>
      <w:r w:rsidRPr="00A8388A">
        <w:rPr>
          <w:lang w:val="es-ES"/>
        </w:rPr>
        <w:t xml:space="preserve"> la</w:t>
      </w:r>
      <w:r w:rsidR="00A23269" w:rsidRPr="00A8388A">
        <w:rPr>
          <w:lang w:val="es-ES"/>
        </w:rPr>
        <w:t xml:space="preserve"> propuesta original, al gestor seleccionado se le permitiría decidir cómo distribuir</w:t>
      </w:r>
      <w:r w:rsidRPr="00A8388A">
        <w:rPr>
          <w:lang w:val="es-ES"/>
        </w:rPr>
        <w:t xml:space="preserve"> el efectivo </w:t>
      </w:r>
      <w:r w:rsidR="00A23269" w:rsidRPr="00A8388A">
        <w:rPr>
          <w:lang w:val="es-ES"/>
        </w:rPr>
        <w:t>entre</w:t>
      </w:r>
      <w:r w:rsidR="00FF2BA6" w:rsidRPr="00A8388A">
        <w:rPr>
          <w:lang w:val="es-ES"/>
        </w:rPr>
        <w:t xml:space="preserve"> ellas</w:t>
      </w:r>
      <w:r w:rsidRPr="00A8388A">
        <w:rPr>
          <w:lang w:val="es-ES"/>
        </w:rPr>
        <w:t xml:space="preserve">. </w:t>
      </w:r>
      <w:r w:rsidR="00A23269" w:rsidRPr="00A8388A">
        <w:rPr>
          <w:lang w:val="es-ES"/>
        </w:rPr>
        <w:t>También podrán efectuarse inversiones en otras divisas</w:t>
      </w:r>
      <w:r w:rsidRPr="00A8388A">
        <w:rPr>
          <w:lang w:val="es-ES"/>
        </w:rPr>
        <w:t xml:space="preserve">, </w:t>
      </w:r>
      <w:r w:rsidR="00A23269" w:rsidRPr="00A8388A">
        <w:rPr>
          <w:lang w:val="es-ES"/>
        </w:rPr>
        <w:t>siempre que el riesgo cambiario</w:t>
      </w:r>
      <w:r w:rsidR="00AD48D2" w:rsidRPr="00A8388A">
        <w:rPr>
          <w:lang w:val="es-ES"/>
        </w:rPr>
        <w:t xml:space="preserve"> con respecto al franco suizo</w:t>
      </w:r>
      <w:r w:rsidR="00A23269" w:rsidRPr="00A8388A">
        <w:rPr>
          <w:lang w:val="es-ES"/>
        </w:rPr>
        <w:t xml:space="preserve"> se cubra al 100%</w:t>
      </w:r>
      <w:r w:rsidRPr="00A8388A">
        <w:rPr>
          <w:lang w:val="es-ES"/>
        </w:rPr>
        <w:t>.</w:t>
      </w:r>
      <w:r w:rsidR="00A23269" w:rsidRPr="00A8388A">
        <w:rPr>
          <w:lang w:val="es-ES"/>
        </w:rPr>
        <w:t xml:space="preserve"> El valor de la</w:t>
      </w:r>
      <w:r w:rsidRPr="00A8388A">
        <w:rPr>
          <w:lang w:val="es-ES"/>
        </w:rPr>
        <w:t xml:space="preserve"> cartera </w:t>
      </w:r>
      <w:r w:rsidR="00A23269" w:rsidRPr="00A8388A">
        <w:rPr>
          <w:lang w:val="es-ES"/>
        </w:rPr>
        <w:t xml:space="preserve">será de </w:t>
      </w:r>
      <w:r w:rsidRPr="00A8388A">
        <w:rPr>
          <w:lang w:val="es-ES"/>
        </w:rPr>
        <w:t>50 millones de francos suizos</w:t>
      </w:r>
      <w:r w:rsidR="00A23269" w:rsidRPr="00A8388A">
        <w:rPr>
          <w:lang w:val="es-ES"/>
        </w:rPr>
        <w:t>,</w:t>
      </w:r>
      <w:r w:rsidRPr="00A8388A">
        <w:rPr>
          <w:lang w:val="es-ES"/>
        </w:rPr>
        <w:t xml:space="preserve"> y </w:t>
      </w:r>
      <w:r w:rsidR="00A23269" w:rsidRPr="00A8388A">
        <w:rPr>
          <w:lang w:val="es-ES"/>
        </w:rPr>
        <w:t>la OIT también está estudiando</w:t>
      </w:r>
      <w:r w:rsidRPr="00A8388A">
        <w:rPr>
          <w:lang w:val="es-ES"/>
        </w:rPr>
        <w:t xml:space="preserve"> la creación de una cartera </w:t>
      </w:r>
      <w:r w:rsidR="00A23269" w:rsidRPr="00A8388A">
        <w:rPr>
          <w:lang w:val="es-ES"/>
        </w:rPr>
        <w:t>similar en dólares. A través de</w:t>
      </w:r>
      <w:r w:rsidR="00AD48D2" w:rsidRPr="00A8388A">
        <w:rPr>
          <w:lang w:val="es-ES"/>
        </w:rPr>
        <w:t xml:space="preserve"> es</w:t>
      </w:r>
      <w:r w:rsidRPr="00A8388A">
        <w:rPr>
          <w:lang w:val="es-ES"/>
        </w:rPr>
        <w:t xml:space="preserve">as carteras, </w:t>
      </w:r>
      <w:r w:rsidR="00A23269" w:rsidRPr="00A8388A">
        <w:rPr>
          <w:lang w:val="es-ES"/>
        </w:rPr>
        <w:t xml:space="preserve">de </w:t>
      </w:r>
      <w:r w:rsidRPr="00A8388A">
        <w:rPr>
          <w:lang w:val="es-ES"/>
        </w:rPr>
        <w:t xml:space="preserve">los umbrales de exención y </w:t>
      </w:r>
      <w:r w:rsidR="00A23269" w:rsidRPr="00A8388A">
        <w:rPr>
          <w:lang w:val="es-ES"/>
        </w:rPr>
        <w:t>de los depósitos a tipo</w:t>
      </w:r>
      <w:r w:rsidR="00AD48D2" w:rsidRPr="00A8388A">
        <w:rPr>
          <w:lang w:val="es-ES"/>
        </w:rPr>
        <w:t xml:space="preserve"> cero ofrecidos por sus socios bancarios, la OIT espera</w:t>
      </w:r>
      <w:r w:rsidRPr="00A8388A">
        <w:rPr>
          <w:lang w:val="es-ES"/>
        </w:rPr>
        <w:t xml:space="preserve"> minimizar </w:t>
      </w:r>
      <w:r w:rsidR="00AD48D2" w:rsidRPr="00A8388A">
        <w:rPr>
          <w:lang w:val="es-ES"/>
        </w:rPr>
        <w:t>el impacto de los tipos de interés negativo</w:t>
      </w:r>
      <w:r w:rsidRPr="00A8388A">
        <w:rPr>
          <w:lang w:val="es-ES"/>
        </w:rPr>
        <w:t>s sobre su efectivo. De manera similar</w:t>
      </w:r>
      <w:r w:rsidR="00AD48D2" w:rsidRPr="00A8388A">
        <w:rPr>
          <w:lang w:val="es-ES"/>
        </w:rPr>
        <w:t>,</w:t>
      </w:r>
      <w:r w:rsidRPr="00A8388A">
        <w:rPr>
          <w:lang w:val="es-ES"/>
        </w:rPr>
        <w:t xml:space="preserve"> la OM</w:t>
      </w:r>
      <w:r w:rsidR="00AD48D2" w:rsidRPr="00A8388A">
        <w:rPr>
          <w:lang w:val="es-ES"/>
        </w:rPr>
        <w:t>PI podría adjudicar mandatos</w:t>
      </w:r>
      <w:r w:rsidR="00FF2BA6" w:rsidRPr="00A8388A">
        <w:rPr>
          <w:lang w:val="es-ES"/>
        </w:rPr>
        <w:t xml:space="preserve"> de cartera</w:t>
      </w:r>
      <w:r w:rsidR="00AD48D2" w:rsidRPr="00A8388A">
        <w:rPr>
          <w:lang w:val="es-ES"/>
        </w:rPr>
        <w:t xml:space="preserve"> a gestores de fondos</w:t>
      </w:r>
      <w:r w:rsidRPr="00A8388A">
        <w:rPr>
          <w:lang w:val="es-ES"/>
        </w:rPr>
        <w:t xml:space="preserve"> y estipular las pautas de inversión que han de seguirse. Cabe señalar que, en el con</w:t>
      </w:r>
      <w:r w:rsidR="00AD48D2" w:rsidRPr="00A8388A">
        <w:rPr>
          <w:lang w:val="es-ES"/>
        </w:rPr>
        <w:t xml:space="preserve">texto de la OMPI, </w:t>
      </w:r>
      <w:r w:rsidRPr="00A8388A">
        <w:rPr>
          <w:lang w:val="es-ES"/>
        </w:rPr>
        <w:t xml:space="preserve">la </w:t>
      </w:r>
      <w:r w:rsidR="00AD48D2" w:rsidRPr="00A8388A">
        <w:rPr>
          <w:lang w:val="es-ES"/>
        </w:rPr>
        <w:t xml:space="preserve">posibilidad de </w:t>
      </w:r>
      <w:r w:rsidRPr="00A8388A">
        <w:rPr>
          <w:lang w:val="es-ES"/>
        </w:rPr>
        <w:t>realizar inversiones iniciales en divisas distintas de</w:t>
      </w:r>
      <w:r w:rsidR="00AD48D2" w:rsidRPr="00A8388A">
        <w:rPr>
          <w:lang w:val="es-ES"/>
        </w:rPr>
        <w:t>l franco suizo se verá afectada</w:t>
      </w:r>
      <w:r w:rsidRPr="00A8388A">
        <w:rPr>
          <w:lang w:val="es-ES"/>
        </w:rPr>
        <w:t xml:space="preserve"> por la decisión </w:t>
      </w:r>
      <w:r w:rsidR="00AD48D2" w:rsidRPr="00A8388A">
        <w:rPr>
          <w:lang w:val="es-ES"/>
        </w:rPr>
        <w:t xml:space="preserve">sobre la cobertura de riesgos cambiarios de las tasas del PCT, </w:t>
      </w:r>
      <w:r w:rsidRPr="00A8388A">
        <w:rPr>
          <w:lang w:val="es-ES"/>
        </w:rPr>
        <w:t xml:space="preserve">recientemente adoptada por los Estados miembros del Grupo de Trabajo del PCT, </w:t>
      </w:r>
      <w:r w:rsidR="00AD48D2" w:rsidRPr="00A8388A">
        <w:rPr>
          <w:lang w:val="es-ES"/>
        </w:rPr>
        <w:t>y que está pendiente de ser aprobada por las Asambleas</w:t>
      </w:r>
      <w:r w:rsidRPr="00A8388A">
        <w:rPr>
          <w:lang w:val="es-ES"/>
        </w:rPr>
        <w:t>.</w:t>
      </w:r>
    </w:p>
    <w:p w:rsidR="00AD48D2" w:rsidRPr="00A8388A" w:rsidRDefault="00AD48D2" w:rsidP="00933F0A">
      <w:pPr>
        <w:pStyle w:val="ONUME"/>
        <w:rPr>
          <w:szCs w:val="22"/>
          <w:lang w:val="es-ES"/>
        </w:rPr>
      </w:pPr>
      <w:r w:rsidRPr="00A8388A">
        <w:rPr>
          <w:szCs w:val="22"/>
          <w:lang w:val="es-ES"/>
        </w:rPr>
        <w:t>EFECTIVO ESTRATÉGICO (A LARGO PLAZO)</w:t>
      </w:r>
    </w:p>
    <w:p w:rsidR="001141EF" w:rsidRPr="00A8388A" w:rsidRDefault="00F20E7F" w:rsidP="00AE0BA9">
      <w:pPr>
        <w:pStyle w:val="ONUMFS"/>
        <w:rPr>
          <w:lang w:val="es-ES"/>
        </w:rPr>
      </w:pPr>
      <w:r w:rsidRPr="00A8388A">
        <w:rPr>
          <w:lang w:val="es-ES"/>
        </w:rPr>
        <w:t xml:space="preserve">Esta clase de </w:t>
      </w:r>
      <w:r w:rsidR="00AD48D2" w:rsidRPr="00A8388A">
        <w:rPr>
          <w:lang w:val="es-ES"/>
        </w:rPr>
        <w:t xml:space="preserve">efectivo </w:t>
      </w:r>
      <w:r w:rsidRPr="00A8388A">
        <w:rPr>
          <w:lang w:val="es-ES"/>
        </w:rPr>
        <w:t xml:space="preserve">se sitúa en el </w:t>
      </w:r>
      <w:r w:rsidR="00AD48D2" w:rsidRPr="00A8388A">
        <w:rPr>
          <w:lang w:val="es-ES"/>
        </w:rPr>
        <w:t>extremo opuesto del espectro</w:t>
      </w:r>
      <w:r w:rsidRPr="00A8388A">
        <w:rPr>
          <w:lang w:val="es-ES"/>
        </w:rPr>
        <w:t xml:space="preserve"> respecto al efectivo para gastos de funcionamiento</w:t>
      </w:r>
      <w:r w:rsidR="00AD48D2" w:rsidRPr="00A8388A">
        <w:rPr>
          <w:lang w:val="es-ES"/>
        </w:rPr>
        <w:t>. El objetivo de inv</w:t>
      </w:r>
      <w:r w:rsidRPr="00A8388A">
        <w:rPr>
          <w:lang w:val="es-ES"/>
        </w:rPr>
        <w:t>ersión es obtener una rentabilidad positiva</w:t>
      </w:r>
      <w:r w:rsidR="00AD48D2" w:rsidRPr="00A8388A">
        <w:rPr>
          <w:lang w:val="es-ES"/>
        </w:rPr>
        <w:t xml:space="preserve">, el horizonte </w:t>
      </w:r>
      <w:r w:rsidRPr="00A8388A">
        <w:rPr>
          <w:lang w:val="es-ES"/>
        </w:rPr>
        <w:t>de inversión es a largo plazo (</w:t>
      </w:r>
      <w:r w:rsidR="00AD48D2" w:rsidRPr="00A8388A">
        <w:rPr>
          <w:lang w:val="es-ES"/>
        </w:rPr>
        <w:t>por l</w:t>
      </w:r>
      <w:r w:rsidRPr="00A8388A">
        <w:rPr>
          <w:lang w:val="es-ES"/>
        </w:rPr>
        <w:t>o tanto, puede ser</w:t>
      </w:r>
      <w:r w:rsidR="00AD48D2" w:rsidRPr="00A8388A">
        <w:rPr>
          <w:lang w:val="es-ES"/>
        </w:rPr>
        <w:t xml:space="preserve"> </w:t>
      </w:r>
      <w:r w:rsidR="00412A9F" w:rsidRPr="00A8388A">
        <w:rPr>
          <w:lang w:val="es-ES"/>
        </w:rPr>
        <w:t xml:space="preserve">de </w:t>
      </w:r>
      <w:r w:rsidR="00AD48D2" w:rsidRPr="00A8388A">
        <w:rPr>
          <w:lang w:val="es-ES"/>
        </w:rPr>
        <w:t>varios años</w:t>
      </w:r>
      <w:r w:rsidRPr="00A8388A">
        <w:rPr>
          <w:lang w:val="es-ES"/>
        </w:rPr>
        <w:t>) y el perfil de riesgo tolera</w:t>
      </w:r>
      <w:r w:rsidR="00AD48D2" w:rsidRPr="00A8388A">
        <w:rPr>
          <w:lang w:val="es-ES"/>
        </w:rPr>
        <w:t xml:space="preserve"> las inversiones </w:t>
      </w:r>
      <w:r w:rsidRPr="00A8388A">
        <w:rPr>
          <w:lang w:val="es-ES"/>
        </w:rPr>
        <w:t xml:space="preserve">que presentan </w:t>
      </w:r>
      <w:r w:rsidR="00AD48D2" w:rsidRPr="00A8388A">
        <w:rPr>
          <w:lang w:val="es-ES"/>
        </w:rPr>
        <w:t xml:space="preserve">volatilidad. </w:t>
      </w:r>
      <w:r w:rsidRPr="00A8388A">
        <w:rPr>
          <w:lang w:val="es-ES"/>
        </w:rPr>
        <w:t>El efectivo estratégico</w:t>
      </w:r>
      <w:r w:rsidR="00AD48D2" w:rsidRPr="00A8388A">
        <w:rPr>
          <w:lang w:val="es-ES"/>
        </w:rPr>
        <w:t xml:space="preserve"> de la OMPI es el que se ha reservado para financiar los pasivos </w:t>
      </w:r>
      <w:r w:rsidR="001F1F37" w:rsidRPr="00A8388A">
        <w:rPr>
          <w:lang w:val="es-ES"/>
        </w:rPr>
        <w:t>por</w:t>
      </w:r>
      <w:r w:rsidR="006E0E76" w:rsidRPr="00A8388A">
        <w:rPr>
          <w:lang w:val="es-ES"/>
        </w:rPr>
        <w:t xml:space="preserve"> seguro médico tras la separación del servicio</w:t>
      </w:r>
      <w:r w:rsidRPr="00A8388A">
        <w:rPr>
          <w:lang w:val="es-ES"/>
        </w:rPr>
        <w:t>,</w:t>
      </w:r>
      <w:r w:rsidR="00AD48D2" w:rsidRPr="00A8388A">
        <w:rPr>
          <w:lang w:val="es-ES"/>
        </w:rPr>
        <w:t xml:space="preserve"> y actualmente </w:t>
      </w:r>
      <w:r w:rsidRPr="00A8388A">
        <w:rPr>
          <w:lang w:val="es-ES"/>
        </w:rPr>
        <w:t>asciende a</w:t>
      </w:r>
      <w:r w:rsidR="00AD48D2" w:rsidRPr="00A8388A">
        <w:rPr>
          <w:lang w:val="es-ES"/>
        </w:rPr>
        <w:t xml:space="preserve"> 88,9 millones de francos suizos (85</w:t>
      </w:r>
      <w:r w:rsidRPr="00A8388A">
        <w:rPr>
          <w:lang w:val="es-ES"/>
        </w:rPr>
        <w:t xml:space="preserve">,2 millones de francos suizos </w:t>
      </w:r>
      <w:r w:rsidR="000342C0" w:rsidRPr="00A8388A">
        <w:rPr>
          <w:lang w:val="es-ES"/>
        </w:rPr>
        <w:t>a</w:t>
      </w:r>
      <w:r w:rsidR="00AD48D2" w:rsidRPr="00A8388A">
        <w:rPr>
          <w:lang w:val="es-ES"/>
        </w:rPr>
        <w:t xml:space="preserve"> 31 de diciembre de 2014).</w:t>
      </w:r>
    </w:p>
    <w:p w:rsidR="001141EF" w:rsidRPr="00A8388A" w:rsidRDefault="000342C0" w:rsidP="00AE0BA9">
      <w:pPr>
        <w:pStyle w:val="ONUMFS"/>
        <w:rPr>
          <w:lang w:val="es-ES"/>
        </w:rPr>
      </w:pPr>
      <w:r w:rsidRPr="00A8388A">
        <w:rPr>
          <w:lang w:val="es-ES"/>
        </w:rPr>
        <w:t>Com</w:t>
      </w:r>
      <w:r w:rsidR="006E0E76" w:rsidRPr="00A8388A">
        <w:rPr>
          <w:lang w:val="es-ES"/>
        </w:rPr>
        <w:t>o se explica</w:t>
      </w:r>
      <w:r w:rsidRPr="00A8388A">
        <w:rPr>
          <w:lang w:val="es-ES"/>
        </w:rPr>
        <w:t xml:space="preserve"> en el documento WO/PBC/22/19,</w:t>
      </w:r>
      <w:r w:rsidR="00F31EC0" w:rsidRPr="00A8388A">
        <w:rPr>
          <w:lang w:val="es-ES"/>
        </w:rPr>
        <w:t xml:space="preserve"> un estudio de tesorería llevado</w:t>
      </w:r>
      <w:r w:rsidRPr="00A8388A">
        <w:rPr>
          <w:lang w:val="es-ES"/>
        </w:rPr>
        <w:t xml:space="preserve"> a cabo por la consultora de tesorería FTI </w:t>
      </w:r>
      <w:proofErr w:type="spellStart"/>
      <w:r w:rsidRPr="00A8388A">
        <w:rPr>
          <w:lang w:val="es-ES"/>
        </w:rPr>
        <w:t>Treasury</w:t>
      </w:r>
      <w:proofErr w:type="spellEnd"/>
      <w:r w:rsidRPr="00A8388A">
        <w:rPr>
          <w:lang w:val="es-ES"/>
        </w:rPr>
        <w:t xml:space="preserve"> señaló que</w:t>
      </w:r>
      <w:r w:rsidR="008F1456" w:rsidRPr="00A8388A">
        <w:rPr>
          <w:lang w:val="es-ES"/>
        </w:rPr>
        <w:t xml:space="preserve"> los</w:t>
      </w:r>
      <w:r w:rsidR="006E0E76" w:rsidRPr="00A8388A">
        <w:rPr>
          <w:lang w:val="es-ES"/>
        </w:rPr>
        <w:t xml:space="preserve"> fondo</w:t>
      </w:r>
      <w:r w:rsidR="008F1456" w:rsidRPr="00A8388A">
        <w:rPr>
          <w:lang w:val="es-ES"/>
        </w:rPr>
        <w:t>s</w:t>
      </w:r>
      <w:r w:rsidR="006E0E76" w:rsidRPr="00A8388A">
        <w:rPr>
          <w:lang w:val="es-ES"/>
        </w:rPr>
        <w:t xml:space="preserve"> </w:t>
      </w:r>
      <w:r w:rsidR="008F1456" w:rsidRPr="00A8388A">
        <w:rPr>
          <w:lang w:val="es-ES"/>
        </w:rPr>
        <w:t>destinados a</w:t>
      </w:r>
      <w:r w:rsidR="006E0E76" w:rsidRPr="00A8388A">
        <w:rPr>
          <w:lang w:val="es-ES"/>
        </w:rPr>
        <w:t xml:space="preserve"> financiar el seguro médico tras la separación del servicio</w:t>
      </w:r>
      <w:r w:rsidRPr="00A8388A">
        <w:rPr>
          <w:lang w:val="es-ES"/>
        </w:rPr>
        <w:t xml:space="preserve"> </w:t>
      </w:r>
      <w:r w:rsidR="008F1456" w:rsidRPr="00A8388A">
        <w:rPr>
          <w:lang w:val="es-ES"/>
        </w:rPr>
        <w:t>tienen</w:t>
      </w:r>
      <w:r w:rsidRPr="00A8388A">
        <w:rPr>
          <w:lang w:val="es-ES"/>
        </w:rPr>
        <w:t xml:space="preserve"> un “perfil similar al de un fondo de pensiones”. </w:t>
      </w:r>
      <w:r w:rsidR="002772A5" w:rsidRPr="00A8388A">
        <w:rPr>
          <w:lang w:val="es-ES"/>
        </w:rPr>
        <w:t>A 31 de diciembre de 2013, e</w:t>
      </w:r>
      <w:r w:rsidRPr="00A8388A">
        <w:rPr>
          <w:lang w:val="es-ES"/>
        </w:rPr>
        <w:t>l monto originalmente reservado para e</w:t>
      </w:r>
      <w:r w:rsidR="002772A5" w:rsidRPr="00A8388A">
        <w:rPr>
          <w:lang w:val="es-ES"/>
        </w:rPr>
        <w:t>s</w:t>
      </w:r>
      <w:r w:rsidR="008F1456" w:rsidRPr="00A8388A">
        <w:rPr>
          <w:lang w:val="es-ES"/>
        </w:rPr>
        <w:t>e concepto</w:t>
      </w:r>
      <w:r w:rsidRPr="00A8388A">
        <w:rPr>
          <w:lang w:val="es-ES"/>
        </w:rPr>
        <w:t xml:space="preserve"> cubría el 50% </w:t>
      </w:r>
      <w:r w:rsidR="002772A5" w:rsidRPr="00A8388A">
        <w:rPr>
          <w:lang w:val="es-ES"/>
        </w:rPr>
        <w:t>del pasivo total por</w:t>
      </w:r>
      <w:r w:rsidRPr="00A8388A">
        <w:rPr>
          <w:lang w:val="es-ES"/>
        </w:rPr>
        <w:t xml:space="preserve"> </w:t>
      </w:r>
      <w:r w:rsidR="002772A5" w:rsidRPr="00A8388A">
        <w:rPr>
          <w:lang w:val="es-ES"/>
        </w:rPr>
        <w:t>prestaciones</w:t>
      </w:r>
      <w:r w:rsidRPr="00A8388A">
        <w:rPr>
          <w:lang w:val="es-ES"/>
        </w:rPr>
        <w:t xml:space="preserve"> </w:t>
      </w:r>
      <w:r w:rsidR="002772A5" w:rsidRPr="00A8388A">
        <w:rPr>
          <w:lang w:val="es-ES"/>
        </w:rPr>
        <w:t xml:space="preserve">a largo plazo para </w:t>
      </w:r>
      <w:r w:rsidRPr="00A8388A">
        <w:rPr>
          <w:lang w:val="es-ES"/>
        </w:rPr>
        <w:t>los empleados y</w:t>
      </w:r>
      <w:r w:rsidR="002772A5" w:rsidRPr="00A8388A">
        <w:rPr>
          <w:lang w:val="es-ES"/>
        </w:rPr>
        <w:t>, según</w:t>
      </w:r>
      <w:r w:rsidRPr="00A8388A">
        <w:rPr>
          <w:lang w:val="es-ES"/>
        </w:rPr>
        <w:t xml:space="preserve"> los </w:t>
      </w:r>
      <w:r w:rsidRPr="00A8388A">
        <w:rPr>
          <w:lang w:val="es-ES"/>
        </w:rPr>
        <w:lastRenderedPageBreak/>
        <w:t>consultore</w:t>
      </w:r>
      <w:r w:rsidR="002772A5" w:rsidRPr="00A8388A">
        <w:rPr>
          <w:lang w:val="es-ES"/>
        </w:rPr>
        <w:t>s, ese efectivo tendría que rendir un 2,</w:t>
      </w:r>
      <w:r w:rsidRPr="00A8388A">
        <w:rPr>
          <w:lang w:val="es-ES"/>
        </w:rPr>
        <w:t>3</w:t>
      </w:r>
      <w:r w:rsidR="002772A5" w:rsidRPr="00A8388A">
        <w:rPr>
          <w:lang w:val="es-ES"/>
        </w:rPr>
        <w:t xml:space="preserve">% por ciento anual para </w:t>
      </w:r>
      <w:r w:rsidR="00412A9F" w:rsidRPr="00A8388A">
        <w:rPr>
          <w:lang w:val="es-ES"/>
        </w:rPr>
        <w:t>mantener su peso porcentual en relación a</w:t>
      </w:r>
      <w:r w:rsidR="008F1456" w:rsidRPr="00A8388A">
        <w:rPr>
          <w:lang w:val="es-ES"/>
        </w:rPr>
        <w:t>l pasivo. Por consiguiente, esos</w:t>
      </w:r>
      <w:r w:rsidRPr="00A8388A">
        <w:rPr>
          <w:lang w:val="es-ES"/>
        </w:rPr>
        <w:t xml:space="preserve"> fondo</w:t>
      </w:r>
      <w:r w:rsidR="008F1456" w:rsidRPr="00A8388A">
        <w:rPr>
          <w:lang w:val="es-ES"/>
        </w:rPr>
        <w:t>s</w:t>
      </w:r>
      <w:r w:rsidRPr="00A8388A">
        <w:rPr>
          <w:lang w:val="es-ES"/>
        </w:rPr>
        <w:t xml:space="preserve"> debe</w:t>
      </w:r>
      <w:r w:rsidR="002772A5" w:rsidRPr="00A8388A">
        <w:rPr>
          <w:lang w:val="es-ES"/>
        </w:rPr>
        <w:t>ría</w:t>
      </w:r>
      <w:r w:rsidR="00412A9F" w:rsidRPr="00A8388A">
        <w:rPr>
          <w:lang w:val="es-ES"/>
        </w:rPr>
        <w:t>n</w:t>
      </w:r>
      <w:r w:rsidRPr="00A8388A">
        <w:rPr>
          <w:lang w:val="es-ES"/>
        </w:rPr>
        <w:t xml:space="preserve"> </w:t>
      </w:r>
      <w:r w:rsidR="002772A5" w:rsidRPr="00A8388A">
        <w:rPr>
          <w:lang w:val="es-ES"/>
        </w:rPr>
        <w:t>invertirse en</w:t>
      </w:r>
      <w:r w:rsidR="00412A9F" w:rsidRPr="00A8388A">
        <w:rPr>
          <w:lang w:val="es-ES"/>
        </w:rPr>
        <w:t xml:space="preserve"> clases de activos que ofrezcan </w:t>
      </w:r>
      <w:r w:rsidR="002772A5" w:rsidRPr="00A8388A">
        <w:rPr>
          <w:lang w:val="es-ES"/>
        </w:rPr>
        <w:t>es</w:t>
      </w:r>
      <w:r w:rsidR="008F1456" w:rsidRPr="00A8388A">
        <w:rPr>
          <w:lang w:val="es-ES"/>
        </w:rPr>
        <w:t>a</w:t>
      </w:r>
      <w:r w:rsidRPr="00A8388A">
        <w:rPr>
          <w:lang w:val="es-ES"/>
        </w:rPr>
        <w:t xml:space="preserve"> rentabilidad (</w:t>
      </w:r>
      <w:r w:rsidR="002772A5" w:rsidRPr="00A8388A">
        <w:rPr>
          <w:lang w:val="es-ES"/>
        </w:rPr>
        <w:t>como mínimo</w:t>
      </w:r>
      <w:r w:rsidRPr="00A8388A">
        <w:rPr>
          <w:lang w:val="es-ES"/>
        </w:rPr>
        <w:t>)</w:t>
      </w:r>
      <w:r w:rsidR="00412A9F" w:rsidRPr="00A8388A">
        <w:rPr>
          <w:lang w:val="es-ES"/>
        </w:rPr>
        <w:t>,</w:t>
      </w:r>
      <w:r w:rsidRPr="00A8388A">
        <w:rPr>
          <w:lang w:val="es-ES"/>
        </w:rPr>
        <w:t xml:space="preserve"> y </w:t>
      </w:r>
      <w:r w:rsidR="002772A5" w:rsidRPr="00A8388A">
        <w:rPr>
          <w:lang w:val="es-ES"/>
        </w:rPr>
        <w:t xml:space="preserve">para ello será inevitable aceptar </w:t>
      </w:r>
      <w:r w:rsidRPr="00A8388A">
        <w:rPr>
          <w:lang w:val="es-ES"/>
        </w:rPr>
        <w:t>niveles de riesgo</w:t>
      </w:r>
      <w:r w:rsidR="002772A5" w:rsidRPr="00A8388A">
        <w:rPr>
          <w:lang w:val="es-ES"/>
        </w:rPr>
        <w:t xml:space="preserve"> más elevados</w:t>
      </w:r>
      <w:r w:rsidRPr="00A8388A">
        <w:rPr>
          <w:lang w:val="es-ES"/>
        </w:rPr>
        <w:t>.</w:t>
      </w:r>
    </w:p>
    <w:p w:rsidR="006E0E76" w:rsidRPr="00A8388A" w:rsidRDefault="006E0E76" w:rsidP="00AE0BA9">
      <w:pPr>
        <w:pStyle w:val="ONUMFS"/>
        <w:rPr>
          <w:lang w:val="es-ES"/>
        </w:rPr>
      </w:pPr>
      <w:r w:rsidRPr="00A8388A">
        <w:rPr>
          <w:lang w:val="es-ES"/>
        </w:rPr>
        <w:t xml:space="preserve">Como también se señala en el </w:t>
      </w:r>
      <w:r w:rsidR="007848E2" w:rsidRPr="00A8388A">
        <w:rPr>
          <w:lang w:val="es-ES"/>
        </w:rPr>
        <w:t>document</w:t>
      </w:r>
      <w:r w:rsidRPr="00A8388A">
        <w:rPr>
          <w:lang w:val="es-ES"/>
        </w:rPr>
        <w:t>o</w:t>
      </w:r>
      <w:r w:rsidR="007848E2" w:rsidRPr="00A8388A">
        <w:rPr>
          <w:lang w:val="es-ES"/>
        </w:rPr>
        <w:t xml:space="preserve"> WO/PBC/22/19, </w:t>
      </w:r>
      <w:r w:rsidRPr="00A8388A">
        <w:rPr>
          <w:lang w:val="es-ES"/>
        </w:rPr>
        <w:t>varios organismos de las Naciones Unidas han empezado a financiar su</w:t>
      </w:r>
      <w:r w:rsidR="008F1456" w:rsidRPr="00A8388A">
        <w:rPr>
          <w:lang w:val="es-ES"/>
        </w:rPr>
        <w:t>s</w:t>
      </w:r>
      <w:r w:rsidRPr="00A8388A">
        <w:rPr>
          <w:lang w:val="es-ES"/>
        </w:rPr>
        <w:t xml:space="preserve"> pasivo</w:t>
      </w:r>
      <w:r w:rsidR="008F1456" w:rsidRPr="00A8388A">
        <w:rPr>
          <w:lang w:val="es-ES"/>
        </w:rPr>
        <w:t>s</w:t>
      </w:r>
      <w:r w:rsidR="001F1F37" w:rsidRPr="00A8388A">
        <w:rPr>
          <w:lang w:val="es-ES"/>
        </w:rPr>
        <w:t xml:space="preserve"> </w:t>
      </w:r>
      <w:r w:rsidR="00E46D72" w:rsidRPr="00A8388A">
        <w:rPr>
          <w:lang w:val="es-ES"/>
        </w:rPr>
        <w:t>correspondientes al</w:t>
      </w:r>
      <w:r w:rsidRPr="00A8388A">
        <w:rPr>
          <w:lang w:val="es-ES"/>
        </w:rPr>
        <w:t xml:space="preserve"> seguro médico tras la separación del servicio. Figuran entre ellas la Organización Mundial de la Salud (OMS) (que ha invertido los fondos en acciones y títulos de renta fija), la Organización para la Agricultura y la Alimentación (FAO) y el Programa Mundial de Alimentos (PMA). Estos dos últimos organismos han invertido el 50% de esos fondos en renta variable y el 50% en bonos, un 10% de ellos de mercados emergentes. En 2013, el Programa de las Naciones Unidas para el Desarrollo (PNUD), el Fondo </w:t>
      </w:r>
      <w:r w:rsidR="006A2F8F" w:rsidRPr="00A8388A">
        <w:rPr>
          <w:lang w:val="es-ES"/>
        </w:rPr>
        <w:t xml:space="preserve">de las Naciones Unidas para la Infancia </w:t>
      </w:r>
      <w:r w:rsidRPr="00A8388A">
        <w:rPr>
          <w:lang w:val="es-ES"/>
        </w:rPr>
        <w:t>(UNICEF), la Oficina de las Naciones Unidas de Servicios para Proyectos (UNOPS), el Fondo de Població</w:t>
      </w:r>
      <w:r w:rsidR="006A2F8F" w:rsidRPr="00A8388A">
        <w:rPr>
          <w:lang w:val="es-ES"/>
        </w:rPr>
        <w:t>n de las Naciones Unidas (UNFPA</w:t>
      </w:r>
      <w:r w:rsidRPr="00A8388A">
        <w:rPr>
          <w:lang w:val="es-ES"/>
        </w:rPr>
        <w:t xml:space="preserve">), ONU Mujeres y el Fondo de Naciones Unidas para el Desarrollo de la Capitalización (FNUDC) </w:t>
      </w:r>
      <w:r w:rsidR="006A2F8F" w:rsidRPr="00A8388A">
        <w:rPr>
          <w:lang w:val="es-ES"/>
        </w:rPr>
        <w:t>lanzaron conjuntamente una Solicitud de Propuestas (RFP) para encargar la gestión del financiamiento de los pasivos</w:t>
      </w:r>
      <w:r w:rsidR="00E46D72" w:rsidRPr="00A8388A">
        <w:rPr>
          <w:lang w:val="es-ES"/>
        </w:rPr>
        <w:t xml:space="preserve"> correspondientes al</w:t>
      </w:r>
      <w:r w:rsidR="006A2F8F" w:rsidRPr="00A8388A">
        <w:rPr>
          <w:lang w:val="es-ES"/>
        </w:rPr>
        <w:t xml:space="preserve"> seguro médico tras la separación del servicio a gestores de</w:t>
      </w:r>
      <w:r w:rsidRPr="00A8388A">
        <w:rPr>
          <w:lang w:val="es-ES"/>
        </w:rPr>
        <w:t xml:space="preserve"> fondos externos. Este ejercicio </w:t>
      </w:r>
      <w:r w:rsidR="006A2F8F" w:rsidRPr="00A8388A">
        <w:rPr>
          <w:lang w:val="es-ES"/>
        </w:rPr>
        <w:t xml:space="preserve">se ha completado, y </w:t>
      </w:r>
      <w:r w:rsidRPr="00A8388A">
        <w:rPr>
          <w:lang w:val="es-ES"/>
        </w:rPr>
        <w:t>los gestores de fondos designados están invirtiendo en renta variable (60</w:t>
      </w:r>
      <w:r w:rsidR="006A2F8F" w:rsidRPr="00A8388A">
        <w:rPr>
          <w:lang w:val="es-ES"/>
        </w:rPr>
        <w:t>% los</w:t>
      </w:r>
      <w:r w:rsidRPr="00A8388A">
        <w:rPr>
          <w:lang w:val="es-ES"/>
        </w:rPr>
        <w:t xml:space="preserve"> fon</w:t>
      </w:r>
      <w:r w:rsidR="00AE0BA9" w:rsidRPr="00A8388A">
        <w:rPr>
          <w:lang w:val="es-ES"/>
        </w:rPr>
        <w:t>dos) y renta fija </w:t>
      </w:r>
      <w:r w:rsidR="006A2F8F" w:rsidRPr="00A8388A">
        <w:rPr>
          <w:lang w:val="es-ES"/>
        </w:rPr>
        <w:t>(30%). El resto se invierte</w:t>
      </w:r>
      <w:r w:rsidRPr="00A8388A">
        <w:rPr>
          <w:lang w:val="es-ES"/>
        </w:rPr>
        <w:t xml:space="preserve"> en </w:t>
      </w:r>
      <w:r w:rsidR="006A2F8F" w:rsidRPr="00A8388A">
        <w:rPr>
          <w:lang w:val="es-ES"/>
        </w:rPr>
        <w:t>instrumentos alternativo</w:t>
      </w:r>
      <w:r w:rsidRPr="00A8388A">
        <w:rPr>
          <w:lang w:val="es-ES"/>
        </w:rPr>
        <w:t>s</w:t>
      </w:r>
      <w:r w:rsidR="006A2F8F" w:rsidRPr="00A8388A">
        <w:rPr>
          <w:lang w:val="es-ES"/>
        </w:rPr>
        <w:t>, por ejemplo</w:t>
      </w:r>
      <w:r w:rsidRPr="00A8388A">
        <w:rPr>
          <w:lang w:val="es-ES"/>
        </w:rPr>
        <w:t xml:space="preserve"> </w:t>
      </w:r>
      <w:r w:rsidR="006A2F8F" w:rsidRPr="00A8388A">
        <w:rPr>
          <w:lang w:val="es-ES"/>
        </w:rPr>
        <w:t xml:space="preserve">fondos de capital privado y </w:t>
      </w:r>
      <w:r w:rsidRPr="00A8388A">
        <w:rPr>
          <w:lang w:val="es-ES"/>
        </w:rPr>
        <w:t>fondos</w:t>
      </w:r>
      <w:r w:rsidR="006A2F8F" w:rsidRPr="00A8388A">
        <w:rPr>
          <w:lang w:val="es-ES"/>
        </w:rPr>
        <w:t xml:space="preserve"> de inversión </w:t>
      </w:r>
      <w:r w:rsidRPr="00A8388A">
        <w:rPr>
          <w:lang w:val="es-ES"/>
        </w:rPr>
        <w:t>especulativos.</w:t>
      </w:r>
      <w:r w:rsidR="008F1456" w:rsidRPr="00A8388A">
        <w:rPr>
          <w:lang w:val="es-ES"/>
        </w:rPr>
        <w:t xml:space="preserve"> Además</w:t>
      </w:r>
      <w:r w:rsidRPr="00A8388A">
        <w:rPr>
          <w:lang w:val="es-ES"/>
        </w:rPr>
        <w:t xml:space="preserve">, </w:t>
      </w:r>
      <w:r w:rsidR="001F1F37" w:rsidRPr="00A8388A">
        <w:rPr>
          <w:lang w:val="es-ES"/>
        </w:rPr>
        <w:t xml:space="preserve">gracias a estas inversiones, </w:t>
      </w:r>
      <w:r w:rsidRPr="00A8388A">
        <w:rPr>
          <w:lang w:val="es-ES"/>
        </w:rPr>
        <w:t>algunos organismos han logrado cubrir un porcentaje s</w:t>
      </w:r>
      <w:r w:rsidR="008F1456" w:rsidRPr="00A8388A">
        <w:rPr>
          <w:lang w:val="es-ES"/>
        </w:rPr>
        <w:t>ignificativo de los pasivos</w:t>
      </w:r>
      <w:r w:rsidR="001F1F37" w:rsidRPr="00A8388A">
        <w:rPr>
          <w:lang w:val="es-ES"/>
        </w:rPr>
        <w:t xml:space="preserve"> </w:t>
      </w:r>
      <w:r w:rsidR="00E46D72" w:rsidRPr="00A8388A">
        <w:rPr>
          <w:lang w:val="es-ES"/>
        </w:rPr>
        <w:t>correspondientes al</w:t>
      </w:r>
      <w:r w:rsidR="008F1456" w:rsidRPr="00A8388A">
        <w:rPr>
          <w:lang w:val="es-ES"/>
        </w:rPr>
        <w:t xml:space="preserve"> seguro médico tras la separación del servicio. A finales de 2013, la cartera de inversión del</w:t>
      </w:r>
      <w:r w:rsidRPr="00A8388A">
        <w:rPr>
          <w:lang w:val="es-ES"/>
        </w:rPr>
        <w:t xml:space="preserve"> PMA </w:t>
      </w:r>
      <w:r w:rsidR="008F1456" w:rsidRPr="00A8388A">
        <w:rPr>
          <w:lang w:val="es-ES"/>
        </w:rPr>
        <w:t>cubría el 76,</w:t>
      </w:r>
      <w:r w:rsidRPr="00A8388A">
        <w:rPr>
          <w:lang w:val="es-ES"/>
        </w:rPr>
        <w:t>8</w:t>
      </w:r>
      <w:r w:rsidR="008F1456" w:rsidRPr="00A8388A">
        <w:rPr>
          <w:lang w:val="es-ES"/>
        </w:rPr>
        <w:t>%</w:t>
      </w:r>
      <w:r w:rsidRPr="00A8388A">
        <w:rPr>
          <w:lang w:val="es-ES"/>
        </w:rPr>
        <w:t xml:space="preserve"> </w:t>
      </w:r>
      <w:r w:rsidR="00E46D72" w:rsidRPr="00A8388A">
        <w:rPr>
          <w:lang w:val="es-ES"/>
        </w:rPr>
        <w:t>del</w:t>
      </w:r>
      <w:r w:rsidR="008F1456" w:rsidRPr="00A8388A">
        <w:rPr>
          <w:lang w:val="es-ES"/>
        </w:rPr>
        <w:t xml:space="preserve"> pasivo;</w:t>
      </w:r>
      <w:r w:rsidRPr="00A8388A">
        <w:rPr>
          <w:lang w:val="es-ES"/>
        </w:rPr>
        <w:t xml:space="preserve"> la del Fondo Internacional de Desarrollo Agrícola (FIDA)</w:t>
      </w:r>
      <w:r w:rsidR="008F1456" w:rsidRPr="00A8388A">
        <w:rPr>
          <w:lang w:val="es-ES"/>
        </w:rPr>
        <w:t xml:space="preserve">, </w:t>
      </w:r>
      <w:r w:rsidRPr="00A8388A">
        <w:rPr>
          <w:lang w:val="es-ES"/>
        </w:rPr>
        <w:t xml:space="preserve"> </w:t>
      </w:r>
      <w:r w:rsidR="008F1456" w:rsidRPr="00A8388A">
        <w:rPr>
          <w:lang w:val="es-ES"/>
        </w:rPr>
        <w:t>el</w:t>
      </w:r>
      <w:r w:rsidR="00AE0BA9" w:rsidRPr="00A8388A">
        <w:rPr>
          <w:lang w:val="es-ES"/>
        </w:rPr>
        <w:t> </w:t>
      </w:r>
      <w:r w:rsidRPr="00A8388A">
        <w:rPr>
          <w:lang w:val="es-ES"/>
        </w:rPr>
        <w:t>98,6</w:t>
      </w:r>
      <w:r w:rsidR="008F1456" w:rsidRPr="00A8388A">
        <w:rPr>
          <w:lang w:val="es-ES"/>
        </w:rPr>
        <w:t>%;</w:t>
      </w:r>
      <w:r w:rsidRPr="00A8388A">
        <w:rPr>
          <w:lang w:val="es-ES"/>
        </w:rPr>
        <w:t xml:space="preserve"> </w:t>
      </w:r>
      <w:r w:rsidR="008F1456" w:rsidRPr="00A8388A">
        <w:rPr>
          <w:lang w:val="es-ES"/>
        </w:rPr>
        <w:t xml:space="preserve">y la </w:t>
      </w:r>
      <w:r w:rsidRPr="00A8388A">
        <w:rPr>
          <w:lang w:val="es-ES"/>
        </w:rPr>
        <w:t>del PNUD</w:t>
      </w:r>
      <w:r w:rsidR="008F1456" w:rsidRPr="00A8388A">
        <w:rPr>
          <w:lang w:val="es-ES"/>
        </w:rPr>
        <w:t xml:space="preserve">, el </w:t>
      </w:r>
      <w:r w:rsidRPr="00A8388A">
        <w:rPr>
          <w:lang w:val="es-ES"/>
        </w:rPr>
        <w:t>57,9</w:t>
      </w:r>
      <w:r w:rsidR="008F1456" w:rsidRPr="00A8388A">
        <w:rPr>
          <w:lang w:val="es-ES"/>
        </w:rPr>
        <w:t>%</w:t>
      </w:r>
      <w:r w:rsidRPr="00A8388A">
        <w:rPr>
          <w:lang w:val="es-ES"/>
        </w:rPr>
        <w:t xml:space="preserve">. Las decisiones tomadas por todos estos organismos </w:t>
      </w:r>
      <w:r w:rsidR="00412A9F" w:rsidRPr="00A8388A">
        <w:rPr>
          <w:lang w:val="es-ES"/>
        </w:rPr>
        <w:t>acerca de la inversión de los fondos destinados</w:t>
      </w:r>
      <w:r w:rsidR="008F1456" w:rsidRPr="00A8388A">
        <w:rPr>
          <w:lang w:val="es-ES"/>
        </w:rPr>
        <w:t xml:space="preserve"> a</w:t>
      </w:r>
      <w:r w:rsidR="00E46D72" w:rsidRPr="00A8388A">
        <w:rPr>
          <w:lang w:val="es-ES"/>
        </w:rPr>
        <w:t xml:space="preserve"> cubrir los</w:t>
      </w:r>
      <w:r w:rsidR="008F1456" w:rsidRPr="00A8388A">
        <w:rPr>
          <w:lang w:val="es-ES"/>
        </w:rPr>
        <w:t xml:space="preserve"> pasivos</w:t>
      </w:r>
      <w:r w:rsidR="00E46D72" w:rsidRPr="00A8388A">
        <w:rPr>
          <w:lang w:val="es-ES"/>
        </w:rPr>
        <w:t xml:space="preserve"> correspondientes al </w:t>
      </w:r>
      <w:r w:rsidR="008F1456" w:rsidRPr="00A8388A">
        <w:rPr>
          <w:lang w:val="es-ES"/>
        </w:rPr>
        <w:t>seguro médico tras la separación del servicio</w:t>
      </w:r>
      <w:r w:rsidR="001F1F37" w:rsidRPr="00A8388A">
        <w:rPr>
          <w:lang w:val="es-ES"/>
        </w:rPr>
        <w:t xml:space="preserve"> evidencian</w:t>
      </w:r>
      <w:r w:rsidRPr="00A8388A">
        <w:rPr>
          <w:lang w:val="es-ES"/>
        </w:rPr>
        <w:t xml:space="preserve"> su aceptación de un mayor nivel </w:t>
      </w:r>
      <w:r w:rsidR="00412A9F" w:rsidRPr="00A8388A">
        <w:rPr>
          <w:lang w:val="es-ES"/>
        </w:rPr>
        <w:t>de riesgo con el fin de lograr</w:t>
      </w:r>
      <w:r w:rsidRPr="00A8388A">
        <w:rPr>
          <w:lang w:val="es-ES"/>
        </w:rPr>
        <w:t xml:space="preserve"> un</w:t>
      </w:r>
      <w:r w:rsidR="008F1456" w:rsidRPr="00A8388A">
        <w:rPr>
          <w:lang w:val="es-ES"/>
        </w:rPr>
        <w:t>a</w:t>
      </w:r>
      <w:r w:rsidRPr="00A8388A">
        <w:rPr>
          <w:lang w:val="es-ES"/>
        </w:rPr>
        <w:t xml:space="preserve"> mayor</w:t>
      </w:r>
      <w:r w:rsidR="001F1F37" w:rsidRPr="00A8388A">
        <w:rPr>
          <w:lang w:val="es-ES"/>
        </w:rPr>
        <w:t xml:space="preserve"> rentabilidad</w:t>
      </w:r>
      <w:r w:rsidRPr="00A8388A">
        <w:rPr>
          <w:lang w:val="es-ES"/>
        </w:rPr>
        <w:t>.</w:t>
      </w:r>
    </w:p>
    <w:p w:rsidR="008157F8" w:rsidRPr="00A8388A" w:rsidRDefault="001F1F37" w:rsidP="00A314DC">
      <w:pPr>
        <w:pStyle w:val="ONUME"/>
        <w:rPr>
          <w:szCs w:val="22"/>
          <w:u w:val="single"/>
          <w:lang w:val="es-ES"/>
        </w:rPr>
      </w:pPr>
      <w:r w:rsidRPr="00A8388A">
        <w:rPr>
          <w:szCs w:val="22"/>
          <w:u w:val="single"/>
          <w:lang w:val="es-ES"/>
        </w:rPr>
        <w:t>Implicaciones para la política de inversiones</w:t>
      </w:r>
    </w:p>
    <w:p w:rsidR="008157F8" w:rsidRPr="00A8388A" w:rsidRDefault="001F1F37" w:rsidP="00AE0BA9">
      <w:pPr>
        <w:pStyle w:val="ONUMFS"/>
        <w:rPr>
          <w:lang w:val="es-ES"/>
        </w:rPr>
      </w:pPr>
      <w:r w:rsidRPr="00A8388A">
        <w:rPr>
          <w:lang w:val="es-ES"/>
        </w:rPr>
        <w:t xml:space="preserve">Puesto que los fondos destinados a financiar el seguro médico tras la separación del servicio se orientan hacia el largo plazo, en septiembre de 2014 el Comité del Programa y Presupuesto acordó que debía </w:t>
      </w:r>
      <w:r w:rsidR="00412A9F" w:rsidRPr="00A8388A">
        <w:rPr>
          <w:lang w:val="es-ES"/>
        </w:rPr>
        <w:t xml:space="preserve">redactarse </w:t>
      </w:r>
      <w:r w:rsidRPr="00A8388A">
        <w:rPr>
          <w:lang w:val="es-ES"/>
        </w:rPr>
        <w:t xml:space="preserve">una política de inversiones independiente para estos fondos. Ya han comenzado los preparativos para encargar un </w:t>
      </w:r>
      <w:r w:rsidR="00E46D72" w:rsidRPr="00A8388A">
        <w:rPr>
          <w:lang w:val="es-ES"/>
        </w:rPr>
        <w:t xml:space="preserve">estudio </w:t>
      </w:r>
      <w:r w:rsidR="00E95E76" w:rsidRPr="00A8388A">
        <w:rPr>
          <w:lang w:val="es-ES"/>
        </w:rPr>
        <w:t>sobre</w:t>
      </w:r>
      <w:r w:rsidRPr="00A8388A">
        <w:rPr>
          <w:lang w:val="es-ES"/>
        </w:rPr>
        <w:t xml:space="preserve"> la gestión de activos y pasivos </w:t>
      </w:r>
      <w:r w:rsidR="00E46D72" w:rsidRPr="00A8388A">
        <w:rPr>
          <w:lang w:val="es-ES"/>
        </w:rPr>
        <w:t xml:space="preserve">del pasivo correspondiente al seguro médico después de la separación del servicio </w:t>
      </w:r>
      <w:r w:rsidRPr="00A8388A">
        <w:rPr>
          <w:lang w:val="es-ES"/>
        </w:rPr>
        <w:t>para em</w:t>
      </w:r>
      <w:r w:rsidR="00E46D72" w:rsidRPr="00A8388A">
        <w:rPr>
          <w:lang w:val="es-ES"/>
        </w:rPr>
        <w:t>parejar correctamente los vencimientos</w:t>
      </w:r>
      <w:r w:rsidRPr="00A8388A">
        <w:rPr>
          <w:lang w:val="es-ES"/>
        </w:rPr>
        <w:t xml:space="preserve"> </w:t>
      </w:r>
      <w:r w:rsidR="00E46D72" w:rsidRPr="00A8388A">
        <w:rPr>
          <w:lang w:val="es-ES"/>
        </w:rPr>
        <w:t>d</w:t>
      </w:r>
      <w:r w:rsidRPr="00A8388A">
        <w:rPr>
          <w:lang w:val="es-ES"/>
        </w:rPr>
        <w:t xml:space="preserve">el pasivo total con </w:t>
      </w:r>
      <w:r w:rsidR="00E46D72" w:rsidRPr="00A8388A">
        <w:rPr>
          <w:lang w:val="es-ES"/>
        </w:rPr>
        <w:t>los activos en que</w:t>
      </w:r>
      <w:r w:rsidRPr="00A8388A">
        <w:rPr>
          <w:lang w:val="es-ES"/>
        </w:rPr>
        <w:t xml:space="preserve"> se invertiría</w:t>
      </w:r>
      <w:r w:rsidR="00E46D72" w:rsidRPr="00A8388A">
        <w:rPr>
          <w:lang w:val="es-ES"/>
        </w:rPr>
        <w:t xml:space="preserve"> el efectivo</w:t>
      </w:r>
      <w:r w:rsidRPr="00A8388A">
        <w:rPr>
          <w:lang w:val="es-ES"/>
        </w:rPr>
        <w:t xml:space="preserve">. </w:t>
      </w:r>
      <w:r w:rsidR="00E46D72" w:rsidRPr="00A8388A">
        <w:rPr>
          <w:lang w:val="es-ES"/>
        </w:rPr>
        <w:t>Otros organismos de las Naciones Unidas han llevado a cabo</w:t>
      </w:r>
      <w:r w:rsidRPr="00A8388A">
        <w:rPr>
          <w:lang w:val="es-ES"/>
        </w:rPr>
        <w:t xml:space="preserve"> estudios</w:t>
      </w:r>
      <w:r w:rsidR="00E46D72" w:rsidRPr="00A8388A">
        <w:rPr>
          <w:lang w:val="es-ES"/>
        </w:rPr>
        <w:t xml:space="preserve"> de ese tipo, que han servido de base para determinar</w:t>
      </w:r>
      <w:r w:rsidRPr="00A8388A">
        <w:rPr>
          <w:lang w:val="es-ES"/>
        </w:rPr>
        <w:t xml:space="preserve"> las clases de activos </w:t>
      </w:r>
      <w:r w:rsidR="00E46D72" w:rsidRPr="00A8388A">
        <w:rPr>
          <w:lang w:val="es-ES"/>
        </w:rPr>
        <w:t>en que se invertirá</w:t>
      </w:r>
      <w:r w:rsidRPr="00A8388A">
        <w:rPr>
          <w:lang w:val="es-ES"/>
        </w:rPr>
        <w:t>. Además de l</w:t>
      </w:r>
      <w:r w:rsidR="00E46D72" w:rsidRPr="00A8388A">
        <w:rPr>
          <w:lang w:val="es-ES"/>
        </w:rPr>
        <w:t>as clases de activos ya indicada</w:t>
      </w:r>
      <w:r w:rsidRPr="00A8388A">
        <w:rPr>
          <w:lang w:val="es-ES"/>
        </w:rPr>
        <w:t xml:space="preserve">s para </w:t>
      </w:r>
      <w:r w:rsidR="00E46D72" w:rsidRPr="00A8388A">
        <w:rPr>
          <w:lang w:val="es-ES"/>
        </w:rPr>
        <w:t>el efectivo</w:t>
      </w:r>
      <w:r w:rsidR="00E95E76" w:rsidRPr="00A8388A">
        <w:rPr>
          <w:lang w:val="es-ES"/>
        </w:rPr>
        <w:t xml:space="preserve"> destinado a</w:t>
      </w:r>
      <w:r w:rsidR="00E46D72" w:rsidRPr="00A8388A">
        <w:rPr>
          <w:lang w:val="es-ES"/>
        </w:rPr>
        <w:t xml:space="preserve"> gastos de funcionamiento</w:t>
      </w:r>
      <w:r w:rsidRPr="00A8388A">
        <w:rPr>
          <w:lang w:val="es-ES"/>
        </w:rPr>
        <w:t xml:space="preserve"> y</w:t>
      </w:r>
      <w:r w:rsidR="00E46D72" w:rsidRPr="00A8388A">
        <w:rPr>
          <w:lang w:val="es-ES"/>
        </w:rPr>
        <w:t xml:space="preserve"> el efectivo básico</w:t>
      </w:r>
      <w:r w:rsidRPr="00A8388A">
        <w:rPr>
          <w:lang w:val="es-ES"/>
        </w:rPr>
        <w:t xml:space="preserve"> (párrafo 10), se propone permitir </w:t>
      </w:r>
      <w:r w:rsidR="00E46D72" w:rsidRPr="00A8388A">
        <w:rPr>
          <w:lang w:val="es-ES"/>
        </w:rPr>
        <w:t>la</w:t>
      </w:r>
      <w:r w:rsidRPr="00A8388A">
        <w:rPr>
          <w:lang w:val="es-ES"/>
        </w:rPr>
        <w:t xml:space="preserve"> inver</w:t>
      </w:r>
      <w:r w:rsidR="00E46D72" w:rsidRPr="00A8388A">
        <w:rPr>
          <w:lang w:val="es-ES"/>
        </w:rPr>
        <w:t>sión</w:t>
      </w:r>
      <w:r w:rsidRPr="00A8388A">
        <w:rPr>
          <w:lang w:val="es-ES"/>
        </w:rPr>
        <w:t xml:space="preserve"> en participa</w:t>
      </w:r>
      <w:r w:rsidR="00E95E76" w:rsidRPr="00A8388A">
        <w:rPr>
          <w:lang w:val="es-ES"/>
        </w:rPr>
        <w:t>ciones directas en bienes inmuebles</w:t>
      </w:r>
      <w:r w:rsidRPr="00A8388A">
        <w:rPr>
          <w:lang w:val="es-ES"/>
        </w:rPr>
        <w:t xml:space="preserve">, </w:t>
      </w:r>
      <w:r w:rsidR="00412A9F" w:rsidRPr="00A8388A">
        <w:rPr>
          <w:lang w:val="es-ES"/>
        </w:rPr>
        <w:t xml:space="preserve">en </w:t>
      </w:r>
      <w:r w:rsidRPr="00A8388A">
        <w:rPr>
          <w:lang w:val="es-ES"/>
        </w:rPr>
        <w:t xml:space="preserve">acciones (incluidos los fondos </w:t>
      </w:r>
      <w:r w:rsidR="00E95E76" w:rsidRPr="00A8388A">
        <w:rPr>
          <w:lang w:val="es-ES"/>
        </w:rPr>
        <w:t>de renta variable gestionado</w:t>
      </w:r>
      <w:r w:rsidRPr="00A8388A">
        <w:rPr>
          <w:lang w:val="es-ES"/>
        </w:rPr>
        <w:t>s tanto activa como pasiva</w:t>
      </w:r>
      <w:r w:rsidR="00E95E76" w:rsidRPr="00A8388A">
        <w:rPr>
          <w:lang w:val="es-ES"/>
        </w:rPr>
        <w:t>mente)</w:t>
      </w:r>
      <w:r w:rsidR="00E95E76" w:rsidRPr="00A8388A">
        <w:rPr>
          <w:rStyle w:val="FootnoteReference"/>
          <w:szCs w:val="22"/>
          <w:lang w:val="es-ES"/>
        </w:rPr>
        <w:footnoteReference w:id="3"/>
      </w:r>
      <w:r w:rsidR="00E95E76" w:rsidRPr="00A8388A">
        <w:rPr>
          <w:lang w:val="es-ES"/>
        </w:rPr>
        <w:t xml:space="preserve"> y </w:t>
      </w:r>
      <w:r w:rsidR="00412A9F" w:rsidRPr="00A8388A">
        <w:rPr>
          <w:lang w:val="es-ES"/>
        </w:rPr>
        <w:t xml:space="preserve">en </w:t>
      </w:r>
      <w:r w:rsidR="00E95E76" w:rsidRPr="00A8388A">
        <w:rPr>
          <w:lang w:val="es-ES"/>
        </w:rPr>
        <w:t>fondos de inversión especulativos</w:t>
      </w:r>
      <w:r w:rsidRPr="00A8388A">
        <w:rPr>
          <w:lang w:val="es-ES"/>
        </w:rPr>
        <w:t>. Cualquiera de estas inversiones</w:t>
      </w:r>
      <w:r w:rsidR="00E95E76" w:rsidRPr="00A8388A">
        <w:rPr>
          <w:lang w:val="es-ES"/>
        </w:rPr>
        <w:t xml:space="preserve"> podría llevarse</w:t>
      </w:r>
      <w:r w:rsidRPr="00A8388A">
        <w:rPr>
          <w:lang w:val="es-ES"/>
        </w:rPr>
        <w:t xml:space="preserve"> a cabo en monedas distintas del franco su</w:t>
      </w:r>
      <w:r w:rsidR="00E95E76" w:rsidRPr="00A8388A">
        <w:rPr>
          <w:lang w:val="es-ES"/>
        </w:rPr>
        <w:t>izo, siempre y cuando se cubriese el riesgo cambiario respecto a esta divisa. No obstante, este último tipo de inversiones solo se efectuar</w:t>
      </w:r>
      <w:r w:rsidR="005C216B" w:rsidRPr="00A8388A">
        <w:rPr>
          <w:lang w:val="es-ES"/>
        </w:rPr>
        <w:t>ía</w:t>
      </w:r>
      <w:r w:rsidR="00E95E76" w:rsidRPr="00A8388A">
        <w:rPr>
          <w:lang w:val="es-ES"/>
        </w:rPr>
        <w:t xml:space="preserve"> de anticiparse una rentabilidad global positiva.</w:t>
      </w:r>
    </w:p>
    <w:p w:rsidR="004856AB" w:rsidRPr="00A8388A" w:rsidRDefault="00E5081B" w:rsidP="005025F5">
      <w:pPr>
        <w:pStyle w:val="ONUME"/>
        <w:rPr>
          <w:b/>
          <w:caps/>
          <w:szCs w:val="22"/>
          <w:lang w:val="es-ES"/>
        </w:rPr>
      </w:pPr>
      <w:r w:rsidRPr="00A8388A">
        <w:rPr>
          <w:b/>
          <w:caps/>
          <w:szCs w:val="22"/>
          <w:lang w:val="es-ES"/>
        </w:rPr>
        <w:t>Riesgo y rentabilidad</w:t>
      </w:r>
    </w:p>
    <w:p w:rsidR="00AA117F" w:rsidRPr="00A8388A" w:rsidRDefault="00E5081B" w:rsidP="00AE0BA9">
      <w:pPr>
        <w:pStyle w:val="ONUMFS"/>
        <w:rPr>
          <w:sz w:val="18"/>
          <w:szCs w:val="18"/>
          <w:lang w:val="es-ES"/>
        </w:rPr>
      </w:pPr>
      <w:r w:rsidRPr="00A8388A">
        <w:rPr>
          <w:lang w:val="es-ES"/>
        </w:rPr>
        <w:t>El</w:t>
      </w:r>
      <w:r w:rsidR="002C631F" w:rsidRPr="00A8388A">
        <w:rPr>
          <w:lang w:val="es-ES"/>
        </w:rPr>
        <w:t xml:space="preserve"> Gráfico 1 se basa en</w:t>
      </w:r>
      <w:r w:rsidRPr="00A8388A">
        <w:rPr>
          <w:lang w:val="es-ES"/>
        </w:rPr>
        <w:t xml:space="preserve"> gráficos similares proporcionados por </w:t>
      </w:r>
      <w:proofErr w:type="spellStart"/>
      <w:r w:rsidRPr="00A8388A">
        <w:rPr>
          <w:lang w:val="es-ES"/>
        </w:rPr>
        <w:t>Zanders</w:t>
      </w:r>
      <w:proofErr w:type="spellEnd"/>
      <w:r w:rsidRPr="00A8388A">
        <w:rPr>
          <w:lang w:val="es-ES"/>
        </w:rPr>
        <w:t xml:space="preserve"> y otros socios bancarios de la OMPI, y muestra la relación entre riesgo y rentabilidad. Como puede verse claramente, los depósitos bancarios y bonos gubernamentales suizos a corto y medio plazo </w:t>
      </w:r>
      <w:r w:rsidRPr="00A8388A">
        <w:rPr>
          <w:lang w:val="es-ES"/>
        </w:rPr>
        <w:lastRenderedPageBreak/>
        <w:t>ofrecen actualmente rentabilidades negativas. Muchos analistas de mercado estiman que las rentabilidades negativas seguirán existiendo durante un período de hasta cinco años; actualmente, de los bonos gubernamentales suizos, solo aquellos con vencimientos superiores a 12 años ofrecen rentabilidades positivas (bonos a largo plazo). Ante esta situación, muchos inversores, incluidos los del sector público, se han desplazado a lo largo del eje de riesgo, invirtiendo en clases de activos que comportan riesgos adicionales, para lograr que la rentabilidad de sus inversiones sea positiva.</w:t>
      </w:r>
    </w:p>
    <w:p w:rsidR="00702487" w:rsidRPr="00A8388A" w:rsidRDefault="00615854" w:rsidP="00A314DC">
      <w:pPr>
        <w:pStyle w:val="ONUME"/>
        <w:keepNext/>
        <w:keepLines/>
        <w:jc w:val="center"/>
        <w:rPr>
          <w:b/>
          <w:szCs w:val="22"/>
          <w:lang w:val="es-ES"/>
        </w:rPr>
      </w:pPr>
      <w:r w:rsidRPr="00A8388A">
        <w:rPr>
          <w:b/>
          <w:szCs w:val="22"/>
          <w:lang w:val="es-ES"/>
        </w:rPr>
        <w:t>Gráfico</w:t>
      </w:r>
      <w:r w:rsidR="001F13FE" w:rsidRPr="00A8388A">
        <w:rPr>
          <w:b/>
          <w:szCs w:val="22"/>
          <w:lang w:val="es-ES"/>
        </w:rPr>
        <w:t xml:space="preserve"> 1</w:t>
      </w:r>
    </w:p>
    <w:p w:rsidR="00615854" w:rsidRPr="00A8388A" w:rsidRDefault="00A704A6" w:rsidP="00A704A6">
      <w:pPr>
        <w:pStyle w:val="ONUME"/>
        <w:jc w:val="center"/>
        <w:rPr>
          <w:i/>
          <w:sz w:val="18"/>
          <w:szCs w:val="18"/>
          <w:lang w:val="es-ES"/>
        </w:rPr>
      </w:pPr>
      <w:r w:rsidRPr="00A8388A">
        <w:rPr>
          <w:i/>
          <w:noProof/>
          <w:sz w:val="18"/>
          <w:szCs w:val="18"/>
          <w:lang w:eastAsia="en-US"/>
        </w:rPr>
        <w:drawing>
          <wp:inline distT="0" distB="0" distL="0" distR="0" wp14:anchorId="2E1371D0" wp14:editId="3B01FCF9">
            <wp:extent cx="4392292" cy="3204996"/>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92528" cy="3205168"/>
                    </a:xfrm>
                    <a:prstGeom prst="rect">
                      <a:avLst/>
                    </a:prstGeom>
                    <a:noFill/>
                  </pic:spPr>
                </pic:pic>
              </a:graphicData>
            </a:graphic>
          </wp:inline>
        </w:drawing>
      </w:r>
    </w:p>
    <w:p w:rsidR="007D0D8A" w:rsidRPr="00A8388A" w:rsidRDefault="00615854" w:rsidP="00690580">
      <w:pPr>
        <w:pStyle w:val="ONUME"/>
        <w:rPr>
          <w:i/>
          <w:sz w:val="18"/>
          <w:szCs w:val="18"/>
          <w:lang w:val="es-ES"/>
        </w:rPr>
      </w:pPr>
      <w:r w:rsidRPr="00A8388A">
        <w:rPr>
          <w:i/>
          <w:sz w:val="18"/>
          <w:szCs w:val="18"/>
          <w:lang w:val="es-ES"/>
        </w:rPr>
        <w:t>Este gráfico muestra las posiciones relativas de las clases de activos teniendo en cuenta la relación existente entre su riesgo y su rentabilidad. El gráfico no está a escala</w:t>
      </w:r>
      <w:r w:rsidR="007D0D8A" w:rsidRPr="00A8388A">
        <w:rPr>
          <w:i/>
          <w:sz w:val="18"/>
          <w:szCs w:val="18"/>
          <w:lang w:val="es-ES"/>
        </w:rPr>
        <w:t>.</w:t>
      </w:r>
    </w:p>
    <w:p w:rsidR="00F67053" w:rsidRPr="00A8388A" w:rsidRDefault="00A704A6" w:rsidP="00AE0BA9">
      <w:pPr>
        <w:pStyle w:val="ONUMFS"/>
        <w:rPr>
          <w:lang w:val="es-ES"/>
        </w:rPr>
      </w:pPr>
      <w:r w:rsidRPr="00A8388A">
        <w:rPr>
          <w:lang w:val="es-ES"/>
        </w:rPr>
        <w:t>Aunque esta estrategia conlleva obviamente un mayor nivel de riesgo para una cartera de inversiones, la alternativa de invertir en depósitos bancarios y bonos gubernamentales suizos garantiza la erosión de dicho efectivo mientras perduren los tipos de interés negativos. Estos tipos de interés están actualmente en el 0,75% y podrían deteriorarse aún más.</w:t>
      </w:r>
    </w:p>
    <w:p w:rsidR="007B20FC" w:rsidRPr="00A8388A" w:rsidRDefault="00A704A6" w:rsidP="00AE0BA9">
      <w:pPr>
        <w:pStyle w:val="ONUMFS"/>
        <w:rPr>
          <w:lang w:val="es-ES"/>
        </w:rPr>
      </w:pPr>
      <w:r w:rsidRPr="00A8388A">
        <w:rPr>
          <w:lang w:val="es-ES"/>
        </w:rPr>
        <w:t>En la decisión de desplazarse a lo largo del eje riesgo, las consideraciones típicas para el inversor son l</w:t>
      </w:r>
      <w:r w:rsidR="00F31EC0" w:rsidRPr="00A8388A">
        <w:rPr>
          <w:lang w:val="es-ES"/>
        </w:rPr>
        <w:t>a</w:t>
      </w:r>
      <w:r w:rsidRPr="00A8388A">
        <w:rPr>
          <w:lang w:val="es-ES"/>
        </w:rPr>
        <w:t>s siguientes:</w:t>
      </w:r>
    </w:p>
    <w:p w:rsidR="007B20FC" w:rsidRPr="00A8388A" w:rsidRDefault="00A704A6" w:rsidP="00AE0BA9">
      <w:pPr>
        <w:pStyle w:val="ONUMFS"/>
        <w:numPr>
          <w:ilvl w:val="1"/>
          <w:numId w:val="3"/>
        </w:numPr>
        <w:rPr>
          <w:lang w:val="es-ES"/>
        </w:rPr>
      </w:pPr>
      <w:r w:rsidRPr="00A8388A">
        <w:rPr>
          <w:lang w:val="es-ES"/>
        </w:rPr>
        <w:t>La repercusión del horizonte temporal en l</w:t>
      </w:r>
      <w:r w:rsidR="0068536E" w:rsidRPr="00A8388A">
        <w:rPr>
          <w:lang w:val="es-ES"/>
        </w:rPr>
        <w:t xml:space="preserve">a capacidad de asumir riesgos: </w:t>
      </w:r>
      <w:r w:rsidRPr="00A8388A">
        <w:rPr>
          <w:lang w:val="es-ES"/>
        </w:rPr>
        <w:t>en general, cuanto más largo es el horizonte temporal de las inversiones que se pueden efectuar y mantener, mayor es el nivel de riesgo tolerado</w:t>
      </w:r>
      <w:r w:rsidR="007B20FC" w:rsidRPr="00A8388A">
        <w:rPr>
          <w:lang w:val="es-ES"/>
        </w:rPr>
        <w:t>;</w:t>
      </w:r>
    </w:p>
    <w:p w:rsidR="0068536E" w:rsidRPr="00A8388A" w:rsidRDefault="0068536E" w:rsidP="00AE0BA9">
      <w:pPr>
        <w:pStyle w:val="ONUMFS"/>
        <w:numPr>
          <w:ilvl w:val="1"/>
          <w:numId w:val="3"/>
        </w:numPr>
        <w:rPr>
          <w:lang w:val="es-ES"/>
        </w:rPr>
      </w:pPr>
      <w:r w:rsidRPr="00A8388A">
        <w:rPr>
          <w:lang w:val="es-ES"/>
        </w:rPr>
        <w:t xml:space="preserve">La repercusión del horizonte temporal en la asignación de activos: si se necesita efectivo en el futuro inmediato, se invertirá en clases de activos que puedan liquidarse rápidamente y convertirse en efectivo a bajo </w:t>
      </w:r>
      <w:r w:rsidR="00F31EC0" w:rsidRPr="00A8388A">
        <w:rPr>
          <w:lang w:val="es-ES"/>
        </w:rPr>
        <w:t>costo</w:t>
      </w:r>
      <w:r w:rsidRPr="00A8388A">
        <w:rPr>
          <w:lang w:val="es-ES"/>
        </w:rPr>
        <w:t xml:space="preserve"> o </w:t>
      </w:r>
      <w:r w:rsidR="00F31EC0" w:rsidRPr="00A8388A">
        <w:rPr>
          <w:lang w:val="es-ES"/>
        </w:rPr>
        <w:t>costo</w:t>
      </w:r>
      <w:r w:rsidRPr="00A8388A">
        <w:rPr>
          <w:lang w:val="es-ES"/>
        </w:rPr>
        <w:t xml:space="preserve"> cero. Del mismo modo, si el efectivo no va a necesitarse durante varios años, puede invertirse en activos que, o bien puede llevar más tiempo</w:t>
      </w:r>
      <w:r w:rsidR="002C631F" w:rsidRPr="00A8388A">
        <w:rPr>
          <w:lang w:val="es-ES"/>
        </w:rPr>
        <w:t xml:space="preserve"> liquidar</w:t>
      </w:r>
      <w:r w:rsidRPr="00A8388A">
        <w:rPr>
          <w:lang w:val="es-ES"/>
        </w:rPr>
        <w:t xml:space="preserve">, tales como inversiones directas en bienes inmuebles, o que únicamente </w:t>
      </w:r>
      <w:r w:rsidR="002C631F" w:rsidRPr="00A8388A">
        <w:rPr>
          <w:lang w:val="es-ES"/>
        </w:rPr>
        <w:t>es aconsejable vender</w:t>
      </w:r>
      <w:r w:rsidRPr="00A8388A">
        <w:rPr>
          <w:lang w:val="es-ES"/>
        </w:rPr>
        <w:t xml:space="preserve"> cuando las condiciones del mercado son apropi</w:t>
      </w:r>
      <w:r w:rsidR="002C631F" w:rsidRPr="00A8388A">
        <w:rPr>
          <w:lang w:val="es-ES"/>
        </w:rPr>
        <w:t xml:space="preserve">adas, </w:t>
      </w:r>
      <w:r w:rsidRPr="00A8388A">
        <w:rPr>
          <w:lang w:val="es-ES"/>
        </w:rPr>
        <w:t>por ejemplo las posiciones en renta variable.</w:t>
      </w:r>
    </w:p>
    <w:p w:rsidR="0068536E" w:rsidRPr="00A8388A" w:rsidRDefault="0068536E" w:rsidP="00AE0BA9">
      <w:pPr>
        <w:pStyle w:val="ONUMFS"/>
        <w:numPr>
          <w:ilvl w:val="1"/>
          <w:numId w:val="3"/>
        </w:numPr>
        <w:rPr>
          <w:lang w:val="es-ES"/>
        </w:rPr>
      </w:pPr>
      <w:r w:rsidRPr="00A8388A">
        <w:rPr>
          <w:lang w:val="es-ES"/>
        </w:rPr>
        <w:t xml:space="preserve">La voluntad y la capacidad de soportar las fluctuaciones de valor de </w:t>
      </w:r>
      <w:r w:rsidR="00DE7F74" w:rsidRPr="00A8388A">
        <w:rPr>
          <w:lang w:val="es-ES"/>
        </w:rPr>
        <w:t>la cartera (volatilidad): e</w:t>
      </w:r>
      <w:r w:rsidRPr="00A8388A">
        <w:rPr>
          <w:lang w:val="es-ES"/>
        </w:rPr>
        <w:t>l val</w:t>
      </w:r>
      <w:r w:rsidR="00DE7F74" w:rsidRPr="00A8388A">
        <w:rPr>
          <w:lang w:val="es-ES"/>
        </w:rPr>
        <w:t xml:space="preserve">or de las inversiones puede </w:t>
      </w:r>
      <w:r w:rsidR="00561E71" w:rsidRPr="00A8388A">
        <w:rPr>
          <w:lang w:val="es-ES"/>
        </w:rPr>
        <w:t>tanto disminuir como</w:t>
      </w:r>
      <w:r w:rsidR="00DE7F74" w:rsidRPr="00A8388A">
        <w:rPr>
          <w:lang w:val="es-ES"/>
        </w:rPr>
        <w:t xml:space="preserve"> aumentar con el paso del tiempo. Esto no se aplica únicamente a las</w:t>
      </w:r>
      <w:r w:rsidRPr="00A8388A">
        <w:rPr>
          <w:lang w:val="es-ES"/>
        </w:rPr>
        <w:t xml:space="preserve"> clases de ac</w:t>
      </w:r>
      <w:r w:rsidR="00561E71" w:rsidRPr="00A8388A">
        <w:rPr>
          <w:lang w:val="es-ES"/>
        </w:rPr>
        <w:t>tivos consideradas</w:t>
      </w:r>
      <w:r w:rsidR="00DE7F74" w:rsidRPr="00A8388A">
        <w:rPr>
          <w:lang w:val="es-ES"/>
        </w:rPr>
        <w:t xml:space="preserve"> “más arriesgadas”</w:t>
      </w:r>
      <w:r w:rsidRPr="00A8388A">
        <w:rPr>
          <w:lang w:val="es-ES"/>
        </w:rPr>
        <w:t>, tales como la</w:t>
      </w:r>
      <w:r w:rsidR="00DE7F74" w:rsidRPr="00A8388A">
        <w:rPr>
          <w:lang w:val="es-ES"/>
        </w:rPr>
        <w:t xml:space="preserve"> renta variable, sino también a</w:t>
      </w:r>
      <w:r w:rsidRPr="00A8388A">
        <w:rPr>
          <w:lang w:val="es-ES"/>
        </w:rPr>
        <w:t xml:space="preserve"> </w:t>
      </w:r>
      <w:r w:rsidR="00DE7F74" w:rsidRPr="00A8388A">
        <w:rPr>
          <w:lang w:val="es-ES"/>
        </w:rPr>
        <w:t>inversiones de menos</w:t>
      </w:r>
      <w:r w:rsidRPr="00A8388A">
        <w:rPr>
          <w:lang w:val="es-ES"/>
        </w:rPr>
        <w:t xml:space="preserve"> </w:t>
      </w:r>
      <w:r w:rsidR="00DE7F74" w:rsidRPr="00A8388A">
        <w:rPr>
          <w:lang w:val="es-ES"/>
        </w:rPr>
        <w:t>“riesgo”</w:t>
      </w:r>
      <w:r w:rsidR="00561E71" w:rsidRPr="00A8388A">
        <w:rPr>
          <w:lang w:val="es-ES"/>
        </w:rPr>
        <w:t xml:space="preserve">, </w:t>
      </w:r>
      <w:r w:rsidR="00561E71" w:rsidRPr="00A8388A">
        <w:rPr>
          <w:lang w:val="es-ES"/>
        </w:rPr>
        <w:lastRenderedPageBreak/>
        <w:t>como los bonos de</w:t>
      </w:r>
      <w:r w:rsidRPr="00A8388A">
        <w:rPr>
          <w:lang w:val="es-ES"/>
        </w:rPr>
        <w:t xml:space="preserve"> gobierno. En el mercado actual, los depósitos bancarios en francos suizos también </w:t>
      </w:r>
      <w:r w:rsidR="00DE7F74" w:rsidRPr="00A8388A">
        <w:rPr>
          <w:lang w:val="es-ES"/>
        </w:rPr>
        <w:t>generarían una reducción del valor de la cartera</w:t>
      </w:r>
      <w:r w:rsidRPr="00A8388A">
        <w:rPr>
          <w:lang w:val="es-ES"/>
        </w:rPr>
        <w:t xml:space="preserve">. </w:t>
      </w:r>
      <w:r w:rsidR="00DE7F74" w:rsidRPr="00A8388A">
        <w:rPr>
          <w:lang w:val="es-ES"/>
        </w:rPr>
        <w:t>Las inversiones “más arriesgadas” tienden a ir</w:t>
      </w:r>
      <w:r w:rsidR="00615108" w:rsidRPr="00A8388A">
        <w:rPr>
          <w:lang w:val="es-ES"/>
        </w:rPr>
        <w:t xml:space="preserve"> acompañada</w:t>
      </w:r>
      <w:r w:rsidRPr="00A8388A">
        <w:rPr>
          <w:lang w:val="es-ES"/>
        </w:rPr>
        <w:t>s</w:t>
      </w:r>
      <w:r w:rsidR="00DE7F74" w:rsidRPr="00A8388A">
        <w:rPr>
          <w:lang w:val="es-ES"/>
        </w:rPr>
        <w:t xml:space="preserve"> de</w:t>
      </w:r>
      <w:r w:rsidRPr="00A8388A">
        <w:rPr>
          <w:lang w:val="es-ES"/>
        </w:rPr>
        <w:t xml:space="preserve"> mayores niveles de volatilidad. Las fluctuaciones en el valor</w:t>
      </w:r>
      <w:r w:rsidR="00DE7F74" w:rsidRPr="00A8388A">
        <w:rPr>
          <w:lang w:val="es-ES"/>
        </w:rPr>
        <w:t xml:space="preserve"> de la cartera</w:t>
      </w:r>
      <w:r w:rsidRPr="00A8388A">
        <w:rPr>
          <w:lang w:val="es-ES"/>
        </w:rPr>
        <w:t xml:space="preserve"> tendrían qu</w:t>
      </w:r>
      <w:r w:rsidR="00DE7F74" w:rsidRPr="00A8388A">
        <w:rPr>
          <w:lang w:val="es-ES"/>
        </w:rPr>
        <w:t>e registrarse en los estados financiero</w:t>
      </w:r>
      <w:r w:rsidRPr="00A8388A">
        <w:rPr>
          <w:lang w:val="es-ES"/>
        </w:rPr>
        <w:t>s de la Organización</w:t>
      </w:r>
      <w:r w:rsidR="00DE7F74" w:rsidRPr="00A8388A">
        <w:rPr>
          <w:lang w:val="es-ES"/>
        </w:rPr>
        <w:t xml:space="preserve">, </w:t>
      </w:r>
      <w:r w:rsidRPr="00A8388A">
        <w:rPr>
          <w:lang w:val="es-ES"/>
        </w:rPr>
        <w:t xml:space="preserve">y esto </w:t>
      </w:r>
      <w:r w:rsidR="00DE7F74" w:rsidRPr="00A8388A">
        <w:rPr>
          <w:lang w:val="es-ES"/>
        </w:rPr>
        <w:t>implicaría</w:t>
      </w:r>
      <w:r w:rsidRPr="00A8388A">
        <w:rPr>
          <w:lang w:val="es-ES"/>
        </w:rPr>
        <w:t xml:space="preserve"> que las pérdidas </w:t>
      </w:r>
      <w:r w:rsidR="00DE7F74" w:rsidRPr="00A8388A">
        <w:rPr>
          <w:lang w:val="es-ES"/>
        </w:rPr>
        <w:t xml:space="preserve">y ganancias </w:t>
      </w:r>
      <w:r w:rsidR="00615108" w:rsidRPr="00A8388A">
        <w:rPr>
          <w:lang w:val="es-ES"/>
        </w:rPr>
        <w:t xml:space="preserve">de inversión </w:t>
      </w:r>
      <w:r w:rsidRPr="00A8388A">
        <w:rPr>
          <w:lang w:val="es-ES"/>
        </w:rPr>
        <w:t xml:space="preserve">no realizadas </w:t>
      </w:r>
      <w:r w:rsidR="00DE7F74" w:rsidRPr="00A8388A">
        <w:rPr>
          <w:lang w:val="es-ES"/>
        </w:rPr>
        <w:t xml:space="preserve">se incluirían en los </w:t>
      </w:r>
      <w:r w:rsidRPr="00A8388A">
        <w:rPr>
          <w:lang w:val="es-ES"/>
        </w:rPr>
        <w:t xml:space="preserve">resultados del ejercicio o </w:t>
      </w:r>
      <w:r w:rsidR="00561E71" w:rsidRPr="00A8388A">
        <w:rPr>
          <w:lang w:val="es-ES"/>
        </w:rPr>
        <w:t xml:space="preserve">se imputarían </w:t>
      </w:r>
      <w:r w:rsidRPr="00A8388A">
        <w:rPr>
          <w:lang w:val="es-ES"/>
        </w:rPr>
        <w:t xml:space="preserve">a reservas, dependiendo del tipo de inversión realizada. </w:t>
      </w:r>
      <w:r w:rsidR="00DE7F74" w:rsidRPr="00A8388A">
        <w:rPr>
          <w:lang w:val="es-ES"/>
        </w:rPr>
        <w:t>Obviamente, l</w:t>
      </w:r>
      <w:r w:rsidRPr="00A8388A">
        <w:rPr>
          <w:lang w:val="es-ES"/>
        </w:rPr>
        <w:t xml:space="preserve">as pérdidas y ganancias realizadas </w:t>
      </w:r>
      <w:r w:rsidR="00DE7F74" w:rsidRPr="00A8388A">
        <w:rPr>
          <w:lang w:val="es-ES"/>
        </w:rPr>
        <w:t>se incluirían</w:t>
      </w:r>
      <w:r w:rsidRPr="00A8388A">
        <w:rPr>
          <w:lang w:val="es-ES"/>
        </w:rPr>
        <w:t xml:space="preserve"> en los resultados del ejercicio.</w:t>
      </w:r>
    </w:p>
    <w:p w:rsidR="00F67053" w:rsidRPr="00A8388A" w:rsidRDefault="00615108" w:rsidP="00AE0BA9">
      <w:pPr>
        <w:pStyle w:val="ONUMFS"/>
        <w:rPr>
          <w:lang w:val="es-ES"/>
        </w:rPr>
      </w:pPr>
      <w:r w:rsidRPr="00A8388A">
        <w:rPr>
          <w:lang w:val="es-ES"/>
        </w:rPr>
        <w:t>Es importante señalar que la relación entre riesgo y rentabilidad de una cartera de inversiones no sólo depende de las características de riesgo y rentabilidad de cada activo, sino también de la correlación existente entre las rentabilidades de los activos. Si es posible minimizar la correlación entre los diversos activos, la rentabilidad de la cartera no se verá afectada de la misma forma ni en la misma medida por las eventualidades del mercado. En una cartera bien diversificada, cuando la rentabilidad de una clase de activos baja, el aumento de otra compensa parcial o totalmente</w:t>
      </w:r>
      <w:r w:rsidR="00390550" w:rsidRPr="00A8388A">
        <w:rPr>
          <w:lang w:val="es-ES"/>
        </w:rPr>
        <w:t xml:space="preserve"> esta disminución</w:t>
      </w:r>
      <w:r w:rsidRPr="00A8388A">
        <w:rPr>
          <w:lang w:val="es-ES"/>
        </w:rPr>
        <w:t>. Por lo tant</w:t>
      </w:r>
      <w:r w:rsidR="004F72A5" w:rsidRPr="00A8388A">
        <w:rPr>
          <w:lang w:val="es-ES"/>
        </w:rPr>
        <w:t xml:space="preserve">o, es importante invertir en varias clases de activos, tratando de </w:t>
      </w:r>
      <w:r w:rsidR="00390550" w:rsidRPr="00A8388A">
        <w:rPr>
          <w:lang w:val="es-ES"/>
        </w:rPr>
        <w:t xml:space="preserve">lograr </w:t>
      </w:r>
      <w:r w:rsidR="004F72A5" w:rsidRPr="00A8388A">
        <w:rPr>
          <w:lang w:val="es-ES"/>
        </w:rPr>
        <w:t xml:space="preserve">una diversificación </w:t>
      </w:r>
      <w:r w:rsidRPr="00A8388A">
        <w:rPr>
          <w:lang w:val="es-ES"/>
        </w:rPr>
        <w:t xml:space="preserve">suficiente </w:t>
      </w:r>
      <w:r w:rsidR="004F72A5" w:rsidRPr="00A8388A">
        <w:rPr>
          <w:lang w:val="es-ES"/>
        </w:rPr>
        <w:t>y de construir</w:t>
      </w:r>
      <w:r w:rsidRPr="00A8388A">
        <w:rPr>
          <w:lang w:val="es-ES"/>
        </w:rPr>
        <w:t xml:space="preserve"> lo </w:t>
      </w:r>
      <w:r w:rsidR="004F72A5" w:rsidRPr="00A8388A">
        <w:rPr>
          <w:lang w:val="es-ES"/>
        </w:rPr>
        <w:t>que se conoce como una cartera óptima</w:t>
      </w:r>
      <w:r w:rsidRPr="00A8388A">
        <w:rPr>
          <w:lang w:val="es-ES"/>
        </w:rPr>
        <w:t xml:space="preserve">. </w:t>
      </w:r>
      <w:r w:rsidR="004F72A5" w:rsidRPr="00A8388A">
        <w:rPr>
          <w:lang w:val="es-ES"/>
        </w:rPr>
        <w:t xml:space="preserve">En el </w:t>
      </w:r>
      <w:r w:rsidRPr="00A8388A">
        <w:rPr>
          <w:lang w:val="es-ES"/>
        </w:rPr>
        <w:t xml:space="preserve">Anexo 3 </w:t>
      </w:r>
      <w:r w:rsidR="004F72A5" w:rsidRPr="00A8388A">
        <w:rPr>
          <w:lang w:val="es-ES"/>
        </w:rPr>
        <w:t xml:space="preserve">se </w:t>
      </w:r>
      <w:r w:rsidRPr="00A8388A">
        <w:rPr>
          <w:lang w:val="es-ES"/>
        </w:rPr>
        <w:t xml:space="preserve">muestra cómo </w:t>
      </w:r>
      <w:r w:rsidR="004F72A5" w:rsidRPr="00A8388A">
        <w:rPr>
          <w:lang w:val="es-ES"/>
        </w:rPr>
        <w:t xml:space="preserve">puede diversificarse </w:t>
      </w:r>
      <w:r w:rsidRPr="00A8388A">
        <w:rPr>
          <w:lang w:val="es-ES"/>
        </w:rPr>
        <w:t>una cartera</w:t>
      </w:r>
      <w:r w:rsidR="004F72A5" w:rsidRPr="00A8388A">
        <w:rPr>
          <w:lang w:val="es-ES"/>
        </w:rPr>
        <w:t xml:space="preserve"> </w:t>
      </w:r>
      <w:r w:rsidRPr="00A8388A">
        <w:rPr>
          <w:lang w:val="es-ES"/>
        </w:rPr>
        <w:t xml:space="preserve">y </w:t>
      </w:r>
      <w:r w:rsidR="004F72A5" w:rsidRPr="00A8388A">
        <w:rPr>
          <w:lang w:val="es-ES"/>
        </w:rPr>
        <w:t xml:space="preserve">la repercusión que </w:t>
      </w:r>
      <w:r w:rsidR="00561E71" w:rsidRPr="00A8388A">
        <w:rPr>
          <w:lang w:val="es-ES"/>
        </w:rPr>
        <w:t xml:space="preserve">esto </w:t>
      </w:r>
      <w:r w:rsidR="004F72A5" w:rsidRPr="00A8388A">
        <w:rPr>
          <w:lang w:val="es-ES"/>
        </w:rPr>
        <w:t>puede tener sobre las rentabilidades</w:t>
      </w:r>
      <w:r w:rsidRPr="00A8388A">
        <w:rPr>
          <w:lang w:val="es-ES"/>
        </w:rPr>
        <w:t xml:space="preserve"> durante un período </w:t>
      </w:r>
      <w:r w:rsidR="004F72A5" w:rsidRPr="00A8388A">
        <w:rPr>
          <w:lang w:val="es-ES"/>
        </w:rPr>
        <w:t>de varios años (las rentabilidades histórica</w:t>
      </w:r>
      <w:r w:rsidRPr="00A8388A">
        <w:rPr>
          <w:lang w:val="es-ES"/>
        </w:rPr>
        <w:t xml:space="preserve">s de enero </w:t>
      </w:r>
      <w:r w:rsidR="004F72A5" w:rsidRPr="00A8388A">
        <w:rPr>
          <w:lang w:val="es-ES"/>
        </w:rPr>
        <w:t xml:space="preserve">de </w:t>
      </w:r>
      <w:r w:rsidRPr="00A8388A">
        <w:rPr>
          <w:lang w:val="es-ES"/>
        </w:rPr>
        <w:t>2005 a diciembre de 2014</w:t>
      </w:r>
      <w:r w:rsidR="004F72A5" w:rsidRPr="00A8388A">
        <w:rPr>
          <w:lang w:val="es-ES"/>
        </w:rPr>
        <w:t xml:space="preserve"> y las</w:t>
      </w:r>
      <w:r w:rsidRPr="00A8388A">
        <w:rPr>
          <w:lang w:val="es-ES"/>
        </w:rPr>
        <w:t xml:space="preserve"> </w:t>
      </w:r>
      <w:r w:rsidR="004F72A5" w:rsidRPr="00A8388A">
        <w:rPr>
          <w:lang w:val="es-ES"/>
        </w:rPr>
        <w:t xml:space="preserve">rentabilidades previstas </w:t>
      </w:r>
      <w:r w:rsidRPr="00A8388A">
        <w:rPr>
          <w:lang w:val="es-ES"/>
        </w:rPr>
        <w:t>para el período 2015-20</w:t>
      </w:r>
      <w:r w:rsidR="004F72A5" w:rsidRPr="00A8388A">
        <w:rPr>
          <w:lang w:val="es-ES"/>
        </w:rPr>
        <w:t>20). También se muestra el nivel</w:t>
      </w:r>
      <w:r w:rsidRPr="00A8388A">
        <w:rPr>
          <w:lang w:val="es-ES"/>
        </w:rPr>
        <w:t xml:space="preserve"> de riesgo </w:t>
      </w:r>
      <w:r w:rsidR="004F72A5" w:rsidRPr="00A8388A">
        <w:rPr>
          <w:lang w:val="es-ES"/>
        </w:rPr>
        <w:t>de estas rentabilidades</w:t>
      </w:r>
      <w:r w:rsidRPr="00A8388A">
        <w:rPr>
          <w:lang w:val="es-ES"/>
        </w:rPr>
        <w:t>.</w:t>
      </w:r>
      <w:r w:rsidR="004F72A5" w:rsidRPr="00A8388A">
        <w:rPr>
          <w:lang w:val="es-ES"/>
        </w:rPr>
        <w:t xml:space="preserve"> La columna titulada “Cartera”</w:t>
      </w:r>
      <w:r w:rsidRPr="00A8388A">
        <w:rPr>
          <w:lang w:val="es-ES"/>
        </w:rPr>
        <w:t xml:space="preserve"> </w:t>
      </w:r>
      <w:r w:rsidR="004F72A5" w:rsidRPr="00A8388A">
        <w:rPr>
          <w:lang w:val="es-ES"/>
        </w:rPr>
        <w:t xml:space="preserve">presenta una estimación </w:t>
      </w:r>
      <w:r w:rsidRPr="00A8388A">
        <w:rPr>
          <w:lang w:val="es-ES"/>
        </w:rPr>
        <w:t>de la posición</w:t>
      </w:r>
      <w:r w:rsidR="00390550" w:rsidRPr="00A8388A">
        <w:rPr>
          <w:lang w:val="es-ES"/>
        </w:rPr>
        <w:t xml:space="preserve"> de inversión de la OMPI cuando</w:t>
      </w:r>
      <w:r w:rsidRPr="00A8388A">
        <w:rPr>
          <w:lang w:val="es-ES"/>
        </w:rPr>
        <w:t xml:space="preserve"> </w:t>
      </w:r>
      <w:r w:rsidR="004F72A5" w:rsidRPr="00A8388A">
        <w:rPr>
          <w:lang w:val="es-ES"/>
        </w:rPr>
        <w:t xml:space="preserve">se clausuren los </w:t>
      </w:r>
      <w:r w:rsidRPr="00A8388A">
        <w:rPr>
          <w:lang w:val="es-ES"/>
        </w:rPr>
        <w:t xml:space="preserve">depósitos con la AFF </w:t>
      </w:r>
      <w:r w:rsidR="004F72A5" w:rsidRPr="00A8388A">
        <w:rPr>
          <w:lang w:val="es-ES"/>
        </w:rPr>
        <w:t>y se ingresen</w:t>
      </w:r>
      <w:r w:rsidR="00390550" w:rsidRPr="00A8388A">
        <w:rPr>
          <w:lang w:val="es-ES"/>
        </w:rPr>
        <w:t xml:space="preserve"> estas cantidades</w:t>
      </w:r>
      <w:r w:rsidR="004F72A5" w:rsidRPr="00A8388A">
        <w:rPr>
          <w:lang w:val="es-ES"/>
        </w:rPr>
        <w:t xml:space="preserve"> en</w:t>
      </w:r>
      <w:r w:rsidRPr="00A8388A">
        <w:rPr>
          <w:lang w:val="es-ES"/>
        </w:rPr>
        <w:t xml:space="preserve"> las cuentas mantenidas con </w:t>
      </w:r>
      <w:r w:rsidR="004F72A5" w:rsidRPr="00A8388A">
        <w:rPr>
          <w:lang w:val="es-ES"/>
        </w:rPr>
        <w:t>las entidades de banca comercial con las que la Organización trabaja</w:t>
      </w:r>
      <w:r w:rsidRPr="00A8388A">
        <w:rPr>
          <w:lang w:val="es-ES"/>
        </w:rPr>
        <w:t>. La c</w:t>
      </w:r>
      <w:r w:rsidR="00390550" w:rsidRPr="00A8388A">
        <w:rPr>
          <w:lang w:val="es-ES"/>
        </w:rPr>
        <w:t>olumna titulada "Estrategia C" corresponde a</w:t>
      </w:r>
      <w:r w:rsidRPr="00A8388A">
        <w:rPr>
          <w:lang w:val="es-ES"/>
        </w:rPr>
        <w:t xml:space="preserve"> un </w:t>
      </w:r>
      <w:r w:rsidR="00C91DCE" w:rsidRPr="00A8388A">
        <w:rPr>
          <w:lang w:val="es-ES"/>
        </w:rPr>
        <w:t xml:space="preserve">típico </w:t>
      </w:r>
      <w:r w:rsidRPr="00A8388A">
        <w:rPr>
          <w:lang w:val="es-ES"/>
        </w:rPr>
        <w:t>fondo de pensiones</w:t>
      </w:r>
      <w:r w:rsidR="00C91DCE" w:rsidRPr="00A8388A">
        <w:rPr>
          <w:lang w:val="es-ES"/>
        </w:rPr>
        <w:t xml:space="preserve"> suizo que combine</w:t>
      </w:r>
      <w:r w:rsidRPr="00A8388A">
        <w:rPr>
          <w:lang w:val="es-ES"/>
        </w:rPr>
        <w:t xml:space="preserve"> un nivel moderado de riesgo</w:t>
      </w:r>
      <w:r w:rsidR="00390550" w:rsidRPr="00A8388A">
        <w:rPr>
          <w:lang w:val="es-ES"/>
        </w:rPr>
        <w:t xml:space="preserve"> con </w:t>
      </w:r>
      <w:r w:rsidRPr="00A8388A">
        <w:rPr>
          <w:lang w:val="es-ES"/>
        </w:rPr>
        <w:t>una cartera bien diversif</w:t>
      </w:r>
      <w:r w:rsidR="00390550" w:rsidRPr="00A8388A">
        <w:rPr>
          <w:lang w:val="es-ES"/>
        </w:rPr>
        <w:t>icada. L</w:t>
      </w:r>
      <w:r w:rsidRPr="00A8388A">
        <w:rPr>
          <w:lang w:val="es-ES"/>
        </w:rPr>
        <w:t>a construcción de una car</w:t>
      </w:r>
      <w:r w:rsidR="00390550" w:rsidRPr="00A8388A">
        <w:rPr>
          <w:lang w:val="es-ES"/>
        </w:rPr>
        <w:t>tera óptima requiere competencias técnicas y experiencia, adem</w:t>
      </w:r>
      <w:r w:rsidR="00C91DCE" w:rsidRPr="00A8388A">
        <w:rPr>
          <w:lang w:val="es-ES"/>
        </w:rPr>
        <w:t>ás de un robusto seguimiento de la rentabilidad</w:t>
      </w:r>
      <w:r w:rsidR="00390550" w:rsidRPr="00A8388A">
        <w:rPr>
          <w:lang w:val="es-ES"/>
        </w:rPr>
        <w:t xml:space="preserve"> y </w:t>
      </w:r>
      <w:r w:rsidRPr="00A8388A">
        <w:rPr>
          <w:lang w:val="es-ES"/>
        </w:rPr>
        <w:t>procesos int</w:t>
      </w:r>
      <w:r w:rsidR="00390550" w:rsidRPr="00A8388A">
        <w:rPr>
          <w:lang w:val="es-ES"/>
        </w:rPr>
        <w:t xml:space="preserve">egrales de análisis que garanticen la realización de </w:t>
      </w:r>
      <w:r w:rsidRPr="00A8388A">
        <w:rPr>
          <w:lang w:val="es-ES"/>
        </w:rPr>
        <w:t xml:space="preserve">ajustes </w:t>
      </w:r>
      <w:r w:rsidR="00390550" w:rsidRPr="00A8388A">
        <w:rPr>
          <w:lang w:val="es-ES"/>
        </w:rPr>
        <w:t>periódicos para</w:t>
      </w:r>
      <w:r w:rsidRPr="00A8388A">
        <w:rPr>
          <w:lang w:val="es-ES"/>
        </w:rPr>
        <w:t xml:space="preserve"> mantener </w:t>
      </w:r>
      <w:r w:rsidR="00390550" w:rsidRPr="00A8388A">
        <w:rPr>
          <w:lang w:val="es-ES"/>
        </w:rPr>
        <w:t>la diversificación óptima</w:t>
      </w:r>
      <w:r w:rsidRPr="00A8388A">
        <w:rPr>
          <w:lang w:val="es-ES"/>
        </w:rPr>
        <w:t xml:space="preserve"> de la cartera.</w:t>
      </w:r>
    </w:p>
    <w:p w:rsidR="004856AB" w:rsidRPr="00A8388A" w:rsidRDefault="008B56FA" w:rsidP="00AE0BA9">
      <w:pPr>
        <w:pStyle w:val="ONUMFS"/>
        <w:rPr>
          <w:lang w:val="es-ES"/>
        </w:rPr>
      </w:pPr>
      <w:r w:rsidRPr="00A8388A">
        <w:rPr>
          <w:lang w:val="es-ES"/>
        </w:rPr>
        <w:t xml:space="preserve">La propuesta es construir carteras gestionadas externamente </w:t>
      </w:r>
      <w:r w:rsidR="000140FA" w:rsidRPr="00A8388A">
        <w:rPr>
          <w:lang w:val="es-ES"/>
        </w:rPr>
        <w:t xml:space="preserve">para </w:t>
      </w:r>
      <w:r w:rsidRPr="00A8388A">
        <w:rPr>
          <w:lang w:val="es-ES"/>
        </w:rPr>
        <w:t>el efectivo básico y el efectivo estratégico de la OMPI. Los gestores ser</w:t>
      </w:r>
      <w:r w:rsidR="000140FA" w:rsidRPr="00A8388A">
        <w:rPr>
          <w:lang w:val="es-ES"/>
        </w:rPr>
        <w:t>ían</w:t>
      </w:r>
      <w:r w:rsidRPr="00A8388A">
        <w:rPr>
          <w:lang w:val="es-ES"/>
        </w:rPr>
        <w:t xml:space="preserve"> seleccionados por medio de una RFP y </w:t>
      </w:r>
      <w:r w:rsidR="000140FA" w:rsidRPr="00A8388A">
        <w:rPr>
          <w:lang w:val="es-ES"/>
        </w:rPr>
        <w:t xml:space="preserve">cada una de </w:t>
      </w:r>
      <w:r w:rsidRPr="00A8388A">
        <w:rPr>
          <w:lang w:val="es-ES"/>
        </w:rPr>
        <w:t>las dos carteras se dividir</w:t>
      </w:r>
      <w:r w:rsidR="000140FA" w:rsidRPr="00A8388A">
        <w:rPr>
          <w:lang w:val="es-ES"/>
        </w:rPr>
        <w:t>ía</w:t>
      </w:r>
      <w:r w:rsidRPr="00A8388A">
        <w:rPr>
          <w:lang w:val="es-ES"/>
        </w:rPr>
        <w:t xml:space="preserve"> entre al menos dos gestores de fondos. Para la administración de las carteras, </w:t>
      </w:r>
      <w:r w:rsidR="000140FA" w:rsidRPr="00A8388A">
        <w:rPr>
          <w:lang w:val="es-ES"/>
        </w:rPr>
        <w:t>podría optarse por una g</w:t>
      </w:r>
      <w:r w:rsidRPr="00A8388A">
        <w:rPr>
          <w:lang w:val="es-ES"/>
        </w:rPr>
        <w:t xml:space="preserve">estión activa o pasiva. La documentación de la RFP </w:t>
      </w:r>
      <w:r w:rsidR="000140FA" w:rsidRPr="00A8388A">
        <w:rPr>
          <w:lang w:val="es-ES"/>
        </w:rPr>
        <w:t>estipularía</w:t>
      </w:r>
      <w:r w:rsidRPr="00A8388A">
        <w:rPr>
          <w:lang w:val="es-ES"/>
        </w:rPr>
        <w:t xml:space="preserve"> que las rentabilidades</w:t>
      </w:r>
      <w:r w:rsidR="000140FA" w:rsidRPr="00A8388A">
        <w:rPr>
          <w:lang w:val="es-ES"/>
        </w:rPr>
        <w:t xml:space="preserve"> deberían</w:t>
      </w:r>
      <w:r w:rsidRPr="00A8388A">
        <w:rPr>
          <w:lang w:val="es-ES"/>
        </w:rPr>
        <w:t xml:space="preserve"> ser netas de gastos de gestión, establecería las exigencias en materia de información y designaría un depositario global. Como es habitual, los instrumentos de inversión se hallarían en posesión del depositario (a nombre de la OMPI), y este se encargaría también de controlar de manera activa las decisiones de inversión </w:t>
      </w:r>
      <w:r w:rsidR="000140FA" w:rsidRPr="00A8388A">
        <w:rPr>
          <w:lang w:val="es-ES"/>
        </w:rPr>
        <w:t xml:space="preserve">y el desempeño </w:t>
      </w:r>
      <w:r w:rsidRPr="00A8388A">
        <w:rPr>
          <w:lang w:val="es-ES"/>
        </w:rPr>
        <w:t>de los gestores de fondos.</w:t>
      </w:r>
    </w:p>
    <w:p w:rsidR="00871970" w:rsidRPr="00A8388A" w:rsidRDefault="000140FA" w:rsidP="00AE0BA9">
      <w:pPr>
        <w:pStyle w:val="ONUMFS"/>
        <w:rPr>
          <w:lang w:val="es-ES"/>
        </w:rPr>
      </w:pPr>
      <w:r w:rsidRPr="00A8388A">
        <w:rPr>
          <w:lang w:val="es-ES"/>
        </w:rPr>
        <w:t>El efectivo para gastos de funcionamiento se gestionaría internamente. El Comité Asesor en materia de Inversiones revisaría periódicamente los informes sobre las rentabilidades generadas por el efectivo para gastos de funcionamiento y por las carteras de efectivo básico y efectivo estratégico administradas por los gestores de fondos externos. Las dos políticas de inversiones (una relativa al efectivo para gastos de funcionamiento y efectivo básico, y la otra relativa al efectivo estratégico</w:t>
      </w:r>
      <w:r w:rsidR="00C91DCE" w:rsidRPr="00A8388A">
        <w:rPr>
          <w:lang w:val="es-ES"/>
        </w:rPr>
        <w:t>) se ajustarían a</w:t>
      </w:r>
      <w:r w:rsidR="002C29A2" w:rsidRPr="00A8388A">
        <w:rPr>
          <w:lang w:val="es-ES"/>
        </w:rPr>
        <w:t>l formato indicado en el A</w:t>
      </w:r>
      <w:r w:rsidRPr="00A8388A">
        <w:rPr>
          <w:lang w:val="es-ES"/>
        </w:rPr>
        <w:t>nexo 4.</w:t>
      </w:r>
    </w:p>
    <w:p w:rsidR="007D6C4F" w:rsidRPr="00A8388A" w:rsidRDefault="002C29A2" w:rsidP="00AE0BA9">
      <w:pPr>
        <w:pStyle w:val="ONUMFS"/>
        <w:rPr>
          <w:lang w:val="es-ES"/>
        </w:rPr>
      </w:pPr>
      <w:r w:rsidRPr="00A8388A">
        <w:rPr>
          <w:lang w:val="es-ES"/>
        </w:rPr>
        <w:t xml:space="preserve">La gestión interna del efectivo para gastos de funcionamiento y la necesidad </w:t>
      </w:r>
      <w:r w:rsidR="00C91DCE" w:rsidRPr="00A8388A">
        <w:rPr>
          <w:lang w:val="es-ES"/>
        </w:rPr>
        <w:t xml:space="preserve">de </w:t>
      </w:r>
      <w:r w:rsidRPr="00A8388A">
        <w:rPr>
          <w:lang w:val="es-ES"/>
        </w:rPr>
        <w:t>estar en contacto con los gestores de fondos externos requerirá recursos dentro de la Secretaría. La OMPI se ha puesto en contacto con varios organismos para recabar información sobre la cuestión de la dotación de personal de esta función de tesorería y las indicaciones preliminares apuntan a que será necesario contar al menos con un empleado de categoría profesional a tiempo completo.</w:t>
      </w:r>
    </w:p>
    <w:p w:rsidR="00BF24CD" w:rsidRDefault="002C29A2" w:rsidP="00AE0BA9">
      <w:pPr>
        <w:pStyle w:val="ONUMFS"/>
        <w:rPr>
          <w:lang w:val="es-ES"/>
        </w:rPr>
      </w:pPr>
      <w:r w:rsidRPr="00A8388A">
        <w:rPr>
          <w:lang w:val="es-ES"/>
        </w:rPr>
        <w:t>Se propone el siguiente párrafo de decisión:</w:t>
      </w:r>
    </w:p>
    <w:p w:rsidR="00A8388A" w:rsidRPr="00A8388A" w:rsidRDefault="00A8388A" w:rsidP="00A8388A">
      <w:pPr>
        <w:pStyle w:val="ONUMFS"/>
        <w:ind w:left="1134"/>
        <w:rPr>
          <w:i/>
          <w:lang w:val="es-ES"/>
        </w:rPr>
      </w:pPr>
      <w:r w:rsidRPr="00A8388A">
        <w:rPr>
          <w:i/>
          <w:lang w:val="es-ES"/>
        </w:rPr>
        <w:lastRenderedPageBreak/>
        <w:t>El Comité del Programa y Presupuesto, reconociendo la necesidad de contar con dos políticas de inversiones (una relativa al efectivo para gastos de funcionamiento y efectivo básico, y otra relativa al efectivo estratégico), recomendó que se preparen esas dos políticas para su aprobación en su próxima reunión, y que las dos políticas incluyan lo siguiente:</w:t>
      </w:r>
    </w:p>
    <w:p w:rsidR="00BF24CD" w:rsidRPr="00A8388A" w:rsidRDefault="00682EA6" w:rsidP="00AE0BA9">
      <w:pPr>
        <w:pStyle w:val="ONUMFS"/>
        <w:numPr>
          <w:ilvl w:val="2"/>
          <w:numId w:val="3"/>
        </w:numPr>
        <w:tabs>
          <w:tab w:val="clear" w:pos="1701"/>
          <w:tab w:val="num" w:pos="2268"/>
        </w:tabs>
        <w:ind w:left="1701"/>
        <w:rPr>
          <w:lang w:val="es-ES"/>
        </w:rPr>
      </w:pPr>
      <w:r w:rsidRPr="00A8388A">
        <w:rPr>
          <w:lang w:val="es-ES"/>
        </w:rPr>
        <w:t xml:space="preserve">la </w:t>
      </w:r>
      <w:r w:rsidR="00700142" w:rsidRPr="00A8388A">
        <w:rPr>
          <w:lang w:val="es-ES"/>
        </w:rPr>
        <w:t>definición de inversiones a corto plazo como aquellas con plazos de vencimientos iguales o inferiores a un año;</w:t>
      </w:r>
    </w:p>
    <w:p w:rsidR="00BF24CD" w:rsidRPr="00A8388A" w:rsidRDefault="00682EA6" w:rsidP="00AE0BA9">
      <w:pPr>
        <w:pStyle w:val="ONUMFS"/>
        <w:numPr>
          <w:ilvl w:val="2"/>
          <w:numId w:val="3"/>
        </w:numPr>
        <w:tabs>
          <w:tab w:val="clear" w:pos="1701"/>
          <w:tab w:val="num" w:pos="2268"/>
        </w:tabs>
        <w:ind w:left="1701"/>
        <w:rPr>
          <w:lang w:val="es-ES"/>
        </w:rPr>
      </w:pPr>
      <w:r w:rsidRPr="00A8388A">
        <w:rPr>
          <w:lang w:val="es-ES"/>
        </w:rPr>
        <w:t xml:space="preserve">el establecimiento de las </w:t>
      </w:r>
      <w:r w:rsidR="00700142" w:rsidRPr="00A8388A">
        <w:rPr>
          <w:lang w:val="es-ES"/>
        </w:rPr>
        <w:t>calificaciones crediticias mínimas para la</w:t>
      </w:r>
      <w:r w:rsidRPr="00A8388A">
        <w:rPr>
          <w:lang w:val="es-ES"/>
        </w:rPr>
        <w:t xml:space="preserve">s inversiones a corto plazo: </w:t>
      </w:r>
      <w:r w:rsidR="00083D5D" w:rsidRPr="00A8388A">
        <w:rPr>
          <w:lang w:val="es-ES"/>
        </w:rPr>
        <w:t>A-2/P-2</w:t>
      </w:r>
      <w:r w:rsidR="00700142" w:rsidRPr="00A8388A">
        <w:rPr>
          <w:lang w:val="es-ES"/>
        </w:rPr>
        <w:t xml:space="preserve"> para bancos y bonos de gobierno,</w:t>
      </w:r>
      <w:r w:rsidRPr="00A8388A">
        <w:rPr>
          <w:lang w:val="es-ES"/>
        </w:rPr>
        <w:t xml:space="preserve"> y </w:t>
      </w:r>
      <w:r w:rsidR="00882AEF" w:rsidRPr="00A8388A">
        <w:rPr>
          <w:lang w:val="es-ES"/>
        </w:rPr>
        <w:t xml:space="preserve">A3-P3 </w:t>
      </w:r>
      <w:r w:rsidR="00700142" w:rsidRPr="00A8388A">
        <w:rPr>
          <w:lang w:val="es-ES"/>
        </w:rPr>
        <w:t>para bonos corporativos</w:t>
      </w:r>
      <w:r w:rsidR="00882AEF" w:rsidRPr="00A8388A">
        <w:rPr>
          <w:lang w:val="es-ES"/>
        </w:rPr>
        <w:t>;</w:t>
      </w:r>
    </w:p>
    <w:p w:rsidR="00BF24CD" w:rsidRPr="00A8388A" w:rsidRDefault="00682EA6" w:rsidP="00AE0BA9">
      <w:pPr>
        <w:pStyle w:val="ONUMFS"/>
        <w:numPr>
          <w:ilvl w:val="2"/>
          <w:numId w:val="3"/>
        </w:numPr>
        <w:tabs>
          <w:tab w:val="clear" w:pos="1701"/>
          <w:tab w:val="num" w:pos="2268"/>
        </w:tabs>
        <w:ind w:left="1701"/>
        <w:rPr>
          <w:lang w:val="es-ES"/>
        </w:rPr>
      </w:pPr>
      <w:r w:rsidRPr="00A8388A">
        <w:rPr>
          <w:lang w:val="es-ES"/>
        </w:rPr>
        <w:t xml:space="preserve">la </w:t>
      </w:r>
      <w:r w:rsidR="00C91DCE" w:rsidRPr="00A8388A">
        <w:rPr>
          <w:lang w:val="es-ES"/>
        </w:rPr>
        <w:t>revisión de</w:t>
      </w:r>
      <w:r w:rsidR="00700142" w:rsidRPr="00A8388A">
        <w:rPr>
          <w:lang w:val="es-ES"/>
        </w:rPr>
        <w:t xml:space="preserve"> las calificaciones crediticias mínimas para las inversiones a medio y largo plazo, </w:t>
      </w:r>
      <w:r w:rsidR="00C91DCE" w:rsidRPr="00A8388A">
        <w:rPr>
          <w:lang w:val="es-ES"/>
        </w:rPr>
        <w:t xml:space="preserve">para fijarlas </w:t>
      </w:r>
      <w:r w:rsidR="00700142" w:rsidRPr="00A8388A">
        <w:rPr>
          <w:lang w:val="es-ES"/>
        </w:rPr>
        <w:t>en</w:t>
      </w:r>
      <w:r w:rsidR="00882AEF" w:rsidRPr="00A8388A">
        <w:rPr>
          <w:lang w:val="es-ES"/>
        </w:rPr>
        <w:t xml:space="preserve"> A-/A3 </w:t>
      </w:r>
      <w:r w:rsidR="00700142" w:rsidRPr="00A8388A">
        <w:rPr>
          <w:lang w:val="es-ES"/>
        </w:rPr>
        <w:t xml:space="preserve">para bancos y bonos de gobierno, y </w:t>
      </w:r>
      <w:r w:rsidR="00882AEF" w:rsidRPr="00A8388A">
        <w:rPr>
          <w:lang w:val="es-ES"/>
        </w:rPr>
        <w:t>BBB</w:t>
      </w:r>
      <w:r w:rsidR="009E4013" w:rsidRPr="00A8388A">
        <w:rPr>
          <w:lang w:val="es-ES"/>
        </w:rPr>
        <w:t>-</w:t>
      </w:r>
      <w:r w:rsidR="00882AEF" w:rsidRPr="00A8388A">
        <w:rPr>
          <w:lang w:val="es-ES"/>
        </w:rPr>
        <w:t>/Baa</w:t>
      </w:r>
      <w:r w:rsidR="009E4013" w:rsidRPr="00A8388A">
        <w:rPr>
          <w:lang w:val="es-ES"/>
        </w:rPr>
        <w:t>3</w:t>
      </w:r>
      <w:r w:rsidR="00882AEF" w:rsidRPr="00A8388A">
        <w:rPr>
          <w:lang w:val="es-ES"/>
        </w:rPr>
        <w:t xml:space="preserve"> </w:t>
      </w:r>
      <w:r w:rsidR="00700142" w:rsidRPr="00A8388A">
        <w:rPr>
          <w:lang w:val="es-ES"/>
        </w:rPr>
        <w:t>para bonos corporativos</w:t>
      </w:r>
      <w:r w:rsidR="00882AEF" w:rsidRPr="00A8388A">
        <w:rPr>
          <w:lang w:val="es-ES"/>
        </w:rPr>
        <w:t>;</w:t>
      </w:r>
    </w:p>
    <w:p w:rsidR="00BF24CD" w:rsidRPr="00A8388A" w:rsidRDefault="00682EA6" w:rsidP="00AE0BA9">
      <w:pPr>
        <w:pStyle w:val="ONUMFS"/>
        <w:numPr>
          <w:ilvl w:val="2"/>
          <w:numId w:val="3"/>
        </w:numPr>
        <w:tabs>
          <w:tab w:val="clear" w:pos="1701"/>
          <w:tab w:val="num" w:pos="2268"/>
        </w:tabs>
        <w:ind w:left="1701"/>
        <w:rPr>
          <w:lang w:val="es-ES"/>
        </w:rPr>
      </w:pPr>
      <w:r w:rsidRPr="00A8388A">
        <w:rPr>
          <w:lang w:val="es-ES"/>
        </w:rPr>
        <w:t xml:space="preserve">una </w:t>
      </w:r>
      <w:r w:rsidR="00700142" w:rsidRPr="00A8388A">
        <w:rPr>
          <w:lang w:val="es-ES"/>
        </w:rPr>
        <w:t xml:space="preserve">reducción del número mínimo de instituciones financieras entre las que ha de distribuirse el efectivo para gastos de funcionamiento, </w:t>
      </w:r>
      <w:r w:rsidR="00063A5A" w:rsidRPr="00A8388A">
        <w:rPr>
          <w:lang w:val="es-ES"/>
        </w:rPr>
        <w:t>que pasaría a cuatro</w:t>
      </w:r>
      <w:r w:rsidR="00BF24CD" w:rsidRPr="00A8388A">
        <w:rPr>
          <w:lang w:val="es-ES"/>
        </w:rPr>
        <w:t>;</w:t>
      </w:r>
    </w:p>
    <w:p w:rsidR="00BF24CD" w:rsidRPr="00A8388A" w:rsidRDefault="00682EA6" w:rsidP="00AE0BA9">
      <w:pPr>
        <w:pStyle w:val="ONUMFS"/>
        <w:numPr>
          <w:ilvl w:val="2"/>
          <w:numId w:val="3"/>
        </w:numPr>
        <w:tabs>
          <w:tab w:val="clear" w:pos="1701"/>
          <w:tab w:val="num" w:pos="2268"/>
        </w:tabs>
        <w:ind w:left="1701"/>
        <w:rPr>
          <w:lang w:val="es-ES"/>
        </w:rPr>
      </w:pPr>
      <w:r w:rsidRPr="00A8388A">
        <w:rPr>
          <w:lang w:val="es-ES"/>
        </w:rPr>
        <w:t xml:space="preserve">el </w:t>
      </w:r>
      <w:r w:rsidR="00063A5A" w:rsidRPr="00A8388A">
        <w:rPr>
          <w:lang w:val="es-ES"/>
        </w:rPr>
        <w:t>uso de gestores de fondos externos para la administración del efectivo básico y el efectivo estratégico</w:t>
      </w:r>
      <w:r w:rsidR="00BF24CD" w:rsidRPr="00A8388A">
        <w:rPr>
          <w:lang w:val="es-ES"/>
        </w:rPr>
        <w:t>;</w:t>
      </w:r>
    </w:p>
    <w:p w:rsidR="00882AEF" w:rsidRPr="00A8388A" w:rsidRDefault="00682EA6" w:rsidP="00AE0BA9">
      <w:pPr>
        <w:pStyle w:val="ONUMFS"/>
        <w:numPr>
          <w:ilvl w:val="2"/>
          <w:numId w:val="3"/>
        </w:numPr>
        <w:tabs>
          <w:tab w:val="clear" w:pos="1701"/>
          <w:tab w:val="num" w:pos="2268"/>
        </w:tabs>
        <w:ind w:left="1701"/>
        <w:rPr>
          <w:lang w:val="es-ES"/>
        </w:rPr>
      </w:pPr>
      <w:r w:rsidRPr="00A8388A">
        <w:rPr>
          <w:lang w:val="es-ES"/>
        </w:rPr>
        <w:t xml:space="preserve">el </w:t>
      </w:r>
      <w:r w:rsidR="00184BE9" w:rsidRPr="00A8388A">
        <w:rPr>
          <w:lang w:val="es-ES"/>
        </w:rPr>
        <w:t xml:space="preserve">pago de los dos tramos del préstamo </w:t>
      </w:r>
      <w:r w:rsidR="00AA72DC" w:rsidRPr="00A8388A">
        <w:rPr>
          <w:lang w:val="es-ES"/>
        </w:rPr>
        <w:t xml:space="preserve">suscrito para </w:t>
      </w:r>
      <w:r w:rsidR="00252451" w:rsidRPr="00A8388A">
        <w:rPr>
          <w:lang w:val="es-ES"/>
        </w:rPr>
        <w:t>la s</w:t>
      </w:r>
      <w:r w:rsidR="00AA72DC" w:rsidRPr="00A8388A">
        <w:rPr>
          <w:lang w:val="es-ES"/>
        </w:rPr>
        <w:t xml:space="preserve">ala de </w:t>
      </w:r>
      <w:r w:rsidR="00252451" w:rsidRPr="00A8388A">
        <w:rPr>
          <w:lang w:val="es-ES"/>
        </w:rPr>
        <w:t>c</w:t>
      </w:r>
      <w:r w:rsidR="00AA72DC" w:rsidRPr="00A8388A">
        <w:rPr>
          <w:lang w:val="es-ES"/>
        </w:rPr>
        <w:t xml:space="preserve">onferencias </w:t>
      </w:r>
      <w:r w:rsidR="00184BE9" w:rsidRPr="00A8388A">
        <w:rPr>
          <w:lang w:val="es-ES"/>
        </w:rPr>
        <w:t>que vencen en noviembre de 2015 y enero de 2016</w:t>
      </w:r>
      <w:r w:rsidR="00882AEF" w:rsidRPr="00A8388A">
        <w:rPr>
          <w:lang w:val="es-ES"/>
        </w:rPr>
        <w:t>;</w:t>
      </w:r>
    </w:p>
    <w:p w:rsidR="00BF24CD" w:rsidRPr="00A8388A" w:rsidRDefault="00682EA6" w:rsidP="00AE0BA9">
      <w:pPr>
        <w:pStyle w:val="ONUMFS"/>
        <w:numPr>
          <w:ilvl w:val="2"/>
          <w:numId w:val="3"/>
        </w:numPr>
        <w:tabs>
          <w:tab w:val="clear" w:pos="1701"/>
          <w:tab w:val="num" w:pos="2268"/>
        </w:tabs>
        <w:ind w:left="1701"/>
        <w:rPr>
          <w:lang w:val="es-ES"/>
        </w:rPr>
      </w:pPr>
      <w:r w:rsidRPr="00A8388A">
        <w:rPr>
          <w:lang w:val="es-ES"/>
        </w:rPr>
        <w:t xml:space="preserve">una </w:t>
      </w:r>
      <w:r w:rsidR="00184BE9" w:rsidRPr="00A8388A">
        <w:rPr>
          <w:lang w:val="es-ES"/>
        </w:rPr>
        <w:t>lista revisada de las clases de activos aceptables, que sería la siguiente</w:t>
      </w:r>
      <w:r w:rsidR="00BF24CD" w:rsidRPr="00A8388A">
        <w:rPr>
          <w:lang w:val="es-ES"/>
        </w:rPr>
        <w:t>:</w:t>
      </w:r>
    </w:p>
    <w:p w:rsidR="00BF24CD" w:rsidRPr="00A8388A" w:rsidRDefault="00AE0BA9" w:rsidP="00AE0BA9">
      <w:pPr>
        <w:pStyle w:val="ONUMFS"/>
        <w:numPr>
          <w:ilvl w:val="0"/>
          <w:numId w:val="0"/>
        </w:numPr>
        <w:ind w:left="2835" w:hanging="567"/>
        <w:rPr>
          <w:i/>
          <w:lang w:val="es-ES"/>
        </w:rPr>
      </w:pPr>
      <w:r w:rsidRPr="00A8388A">
        <w:rPr>
          <w:i/>
          <w:lang w:val="es-ES"/>
        </w:rPr>
        <w:t>A.</w:t>
      </w:r>
      <w:r w:rsidRPr="00A8388A">
        <w:rPr>
          <w:i/>
          <w:lang w:val="es-ES"/>
        </w:rPr>
        <w:tab/>
      </w:r>
      <w:r w:rsidR="00184BE9" w:rsidRPr="00A8388A">
        <w:rPr>
          <w:i/>
          <w:u w:val="single"/>
          <w:lang w:val="es-ES"/>
        </w:rPr>
        <w:t>En lo que respecta a política de inversiones aplicable al efectivo para gastos de funcionamiento y al efectivo básico</w:t>
      </w:r>
      <w:r w:rsidR="00D321FB" w:rsidRPr="00A8388A">
        <w:rPr>
          <w:i/>
          <w:lang w:val="es-ES"/>
        </w:rPr>
        <w:t>:</w:t>
      </w:r>
    </w:p>
    <w:p w:rsidR="00184BE9" w:rsidRPr="00A8388A" w:rsidRDefault="00184BE9" w:rsidP="0080235D">
      <w:pPr>
        <w:pStyle w:val="ONUME"/>
        <w:tabs>
          <w:tab w:val="left" w:pos="3969"/>
          <w:tab w:val="left" w:pos="6946"/>
        </w:tabs>
        <w:ind w:left="3402"/>
        <w:rPr>
          <w:i/>
          <w:szCs w:val="22"/>
          <w:lang w:val="es-ES"/>
        </w:rPr>
      </w:pPr>
      <w:r w:rsidRPr="00A8388A">
        <w:rPr>
          <w:i/>
          <w:szCs w:val="22"/>
          <w:lang w:val="es-ES"/>
        </w:rPr>
        <w:t>I.</w:t>
      </w:r>
      <w:r w:rsidRPr="00A8388A">
        <w:rPr>
          <w:i/>
          <w:szCs w:val="22"/>
          <w:lang w:val="es-ES"/>
        </w:rPr>
        <w:tab/>
        <w:t>Efectivo o equivalentes de efectivo:</w:t>
      </w:r>
    </w:p>
    <w:p w:rsidR="00184BE9" w:rsidRPr="00A8388A" w:rsidRDefault="00184BE9" w:rsidP="0080235D">
      <w:pPr>
        <w:pStyle w:val="ONUME"/>
        <w:tabs>
          <w:tab w:val="left" w:pos="4395"/>
        </w:tabs>
        <w:ind w:left="4395" w:hanging="426"/>
        <w:rPr>
          <w:i/>
          <w:szCs w:val="22"/>
          <w:lang w:val="es-ES"/>
        </w:rPr>
      </w:pPr>
      <w:r w:rsidRPr="00A8388A">
        <w:rPr>
          <w:i/>
          <w:szCs w:val="22"/>
          <w:lang w:val="es-ES"/>
        </w:rPr>
        <w:t>a)</w:t>
      </w:r>
      <w:r w:rsidRPr="00A8388A">
        <w:rPr>
          <w:i/>
          <w:szCs w:val="22"/>
          <w:lang w:val="es-ES"/>
        </w:rPr>
        <w:tab/>
        <w:t>Cuentas a la vista, cuentas de ahorro o cuentas de depósito</w:t>
      </w:r>
    </w:p>
    <w:p w:rsidR="00184BE9" w:rsidRPr="00A8388A" w:rsidRDefault="00184BE9" w:rsidP="0080235D">
      <w:pPr>
        <w:pStyle w:val="ONUME"/>
        <w:tabs>
          <w:tab w:val="left" w:pos="4395"/>
        </w:tabs>
        <w:ind w:left="4395" w:hanging="426"/>
        <w:rPr>
          <w:i/>
          <w:szCs w:val="22"/>
          <w:lang w:val="es-ES"/>
        </w:rPr>
      </w:pPr>
      <w:r w:rsidRPr="00A8388A">
        <w:rPr>
          <w:i/>
          <w:szCs w:val="22"/>
          <w:lang w:val="es-ES"/>
        </w:rPr>
        <w:t>b)</w:t>
      </w:r>
      <w:r w:rsidRPr="00A8388A">
        <w:rPr>
          <w:i/>
          <w:szCs w:val="22"/>
          <w:lang w:val="es-ES"/>
        </w:rPr>
        <w:tab/>
        <w:t>Certificados de depósito/depósitos a plazo</w:t>
      </w:r>
    </w:p>
    <w:p w:rsidR="00184BE9" w:rsidRPr="00A8388A" w:rsidRDefault="00184BE9" w:rsidP="0080235D">
      <w:pPr>
        <w:pStyle w:val="ONUME"/>
        <w:tabs>
          <w:tab w:val="left" w:pos="4395"/>
        </w:tabs>
        <w:ind w:left="4395" w:hanging="426"/>
        <w:rPr>
          <w:i/>
          <w:szCs w:val="22"/>
          <w:lang w:val="es-ES"/>
        </w:rPr>
      </w:pPr>
      <w:r w:rsidRPr="00A8388A">
        <w:rPr>
          <w:i/>
          <w:szCs w:val="22"/>
          <w:lang w:val="es-ES"/>
        </w:rPr>
        <w:t>c)</w:t>
      </w:r>
      <w:r w:rsidRPr="00A8388A">
        <w:rPr>
          <w:i/>
          <w:szCs w:val="22"/>
          <w:lang w:val="es-ES"/>
        </w:rPr>
        <w:tab/>
        <w:t>Depósitos estructurados</w:t>
      </w:r>
    </w:p>
    <w:p w:rsidR="00184BE9" w:rsidRPr="00A8388A" w:rsidRDefault="00184BE9" w:rsidP="0080235D">
      <w:pPr>
        <w:pStyle w:val="ONUME"/>
        <w:tabs>
          <w:tab w:val="left" w:pos="4395"/>
        </w:tabs>
        <w:ind w:left="4395" w:hanging="426"/>
        <w:rPr>
          <w:i/>
          <w:szCs w:val="22"/>
          <w:lang w:val="es-ES"/>
        </w:rPr>
      </w:pPr>
      <w:r w:rsidRPr="00A8388A">
        <w:rPr>
          <w:i/>
          <w:szCs w:val="22"/>
          <w:lang w:val="es-ES"/>
        </w:rPr>
        <w:t>d)</w:t>
      </w:r>
      <w:r w:rsidRPr="00A8388A">
        <w:rPr>
          <w:i/>
          <w:szCs w:val="22"/>
          <w:lang w:val="es-ES"/>
        </w:rPr>
        <w:tab/>
        <w:t>Depósitos en otras divisas</w:t>
      </w:r>
    </w:p>
    <w:p w:rsidR="00184BE9" w:rsidRPr="00A8388A" w:rsidRDefault="00184BE9" w:rsidP="00184BE9">
      <w:pPr>
        <w:pStyle w:val="ONUME"/>
        <w:tabs>
          <w:tab w:val="left" w:pos="3969"/>
          <w:tab w:val="left" w:pos="6946"/>
        </w:tabs>
        <w:ind w:left="3402"/>
        <w:rPr>
          <w:i/>
          <w:szCs w:val="22"/>
          <w:lang w:val="es-ES"/>
        </w:rPr>
      </w:pPr>
      <w:r w:rsidRPr="00A8388A">
        <w:rPr>
          <w:i/>
          <w:szCs w:val="22"/>
          <w:lang w:val="es-ES"/>
        </w:rPr>
        <w:t>II.</w:t>
      </w:r>
      <w:r w:rsidRPr="00A8388A">
        <w:rPr>
          <w:i/>
          <w:szCs w:val="22"/>
          <w:lang w:val="es-ES"/>
        </w:rPr>
        <w:tab/>
        <w:t>Instrumentos del mercado monetario:</w:t>
      </w:r>
    </w:p>
    <w:p w:rsidR="00184BE9" w:rsidRPr="00A8388A" w:rsidRDefault="00184BE9" w:rsidP="0080235D">
      <w:pPr>
        <w:pStyle w:val="ONUME"/>
        <w:tabs>
          <w:tab w:val="left" w:pos="4395"/>
          <w:tab w:val="left" w:pos="6946"/>
        </w:tabs>
        <w:ind w:left="4395" w:hanging="426"/>
        <w:rPr>
          <w:i/>
          <w:szCs w:val="22"/>
          <w:lang w:val="es-ES"/>
        </w:rPr>
      </w:pPr>
      <w:r w:rsidRPr="00A8388A">
        <w:rPr>
          <w:i/>
          <w:szCs w:val="22"/>
          <w:lang w:val="es-ES"/>
        </w:rPr>
        <w:t>a)</w:t>
      </w:r>
      <w:r w:rsidRPr="00A8388A">
        <w:rPr>
          <w:i/>
          <w:szCs w:val="22"/>
          <w:lang w:val="es-ES"/>
        </w:rPr>
        <w:tab/>
        <w:t>Papel comercial</w:t>
      </w:r>
    </w:p>
    <w:p w:rsidR="00184BE9" w:rsidRPr="00A8388A" w:rsidRDefault="00184BE9" w:rsidP="0080235D">
      <w:pPr>
        <w:pStyle w:val="ONUME"/>
        <w:tabs>
          <w:tab w:val="left" w:pos="4395"/>
          <w:tab w:val="left" w:pos="6946"/>
        </w:tabs>
        <w:ind w:left="4395" w:hanging="426"/>
        <w:rPr>
          <w:i/>
          <w:szCs w:val="22"/>
          <w:lang w:val="es-ES"/>
        </w:rPr>
      </w:pPr>
      <w:r w:rsidRPr="00A8388A">
        <w:rPr>
          <w:i/>
          <w:szCs w:val="22"/>
          <w:lang w:val="es-ES"/>
        </w:rPr>
        <w:t>b)</w:t>
      </w:r>
      <w:r w:rsidRPr="00A8388A">
        <w:rPr>
          <w:i/>
          <w:szCs w:val="22"/>
          <w:lang w:val="es-ES"/>
        </w:rPr>
        <w:tab/>
        <w:t xml:space="preserve">Cesiones y adquisiciones temporales de valores </w:t>
      </w:r>
    </w:p>
    <w:p w:rsidR="00184BE9" w:rsidRPr="00A8388A" w:rsidRDefault="00184BE9" w:rsidP="0080235D">
      <w:pPr>
        <w:pStyle w:val="ONUME"/>
        <w:tabs>
          <w:tab w:val="left" w:pos="4395"/>
          <w:tab w:val="left" w:pos="6946"/>
        </w:tabs>
        <w:ind w:left="4395" w:hanging="426"/>
        <w:rPr>
          <w:i/>
          <w:szCs w:val="22"/>
          <w:lang w:val="es-ES"/>
        </w:rPr>
      </w:pPr>
      <w:r w:rsidRPr="00A8388A">
        <w:rPr>
          <w:i/>
          <w:szCs w:val="22"/>
          <w:lang w:val="es-ES"/>
        </w:rPr>
        <w:t>c)</w:t>
      </w:r>
      <w:r w:rsidRPr="00A8388A">
        <w:rPr>
          <w:i/>
          <w:szCs w:val="22"/>
          <w:lang w:val="es-ES"/>
        </w:rPr>
        <w:tab/>
        <w:t>Aceptaciones bancarias</w:t>
      </w:r>
    </w:p>
    <w:p w:rsidR="00184BE9" w:rsidRPr="00A8388A" w:rsidRDefault="00184BE9" w:rsidP="00184BE9">
      <w:pPr>
        <w:pStyle w:val="ONUME"/>
        <w:tabs>
          <w:tab w:val="left" w:pos="3969"/>
          <w:tab w:val="left" w:pos="6946"/>
        </w:tabs>
        <w:ind w:left="3402"/>
        <w:rPr>
          <w:i/>
          <w:szCs w:val="22"/>
          <w:lang w:val="es-ES"/>
        </w:rPr>
      </w:pPr>
      <w:r w:rsidRPr="00A8388A">
        <w:rPr>
          <w:i/>
          <w:szCs w:val="22"/>
          <w:lang w:val="es-ES"/>
        </w:rPr>
        <w:t>III.</w:t>
      </w:r>
      <w:r w:rsidRPr="00A8388A">
        <w:rPr>
          <w:i/>
          <w:szCs w:val="22"/>
          <w:lang w:val="es-ES"/>
        </w:rPr>
        <w:tab/>
        <w:t>Bonos, letras y otras obligaciones (a corto, medio y largo plazo) y otros instrumentos de renta fija:</w:t>
      </w:r>
    </w:p>
    <w:p w:rsidR="00184BE9" w:rsidRPr="00A8388A" w:rsidRDefault="00184BE9" w:rsidP="0080235D">
      <w:pPr>
        <w:pStyle w:val="ONUME"/>
        <w:tabs>
          <w:tab w:val="left" w:pos="4395"/>
          <w:tab w:val="left" w:pos="6946"/>
        </w:tabs>
        <w:ind w:left="4395" w:hanging="426"/>
        <w:rPr>
          <w:i/>
          <w:szCs w:val="22"/>
          <w:lang w:val="es-ES"/>
        </w:rPr>
      </w:pPr>
      <w:r w:rsidRPr="00A8388A">
        <w:rPr>
          <w:i/>
          <w:szCs w:val="22"/>
          <w:lang w:val="es-ES"/>
        </w:rPr>
        <w:t>a)</w:t>
      </w:r>
      <w:r w:rsidRPr="00A8388A">
        <w:rPr>
          <w:i/>
          <w:szCs w:val="22"/>
          <w:lang w:val="es-ES"/>
        </w:rPr>
        <w:tab/>
        <w:t>Bonos gubernamentales</w:t>
      </w:r>
    </w:p>
    <w:p w:rsidR="00184BE9" w:rsidRPr="00A8388A" w:rsidRDefault="00184BE9" w:rsidP="0080235D">
      <w:pPr>
        <w:pStyle w:val="ONUME"/>
        <w:tabs>
          <w:tab w:val="left" w:pos="4395"/>
        </w:tabs>
        <w:ind w:left="4395" w:hanging="426"/>
        <w:rPr>
          <w:i/>
          <w:szCs w:val="22"/>
          <w:lang w:val="es-ES"/>
        </w:rPr>
      </w:pPr>
      <w:r w:rsidRPr="00A8388A">
        <w:rPr>
          <w:i/>
          <w:szCs w:val="22"/>
          <w:lang w:val="es-ES"/>
        </w:rPr>
        <w:t>b)</w:t>
      </w:r>
      <w:r w:rsidRPr="00A8388A">
        <w:rPr>
          <w:i/>
          <w:szCs w:val="22"/>
          <w:lang w:val="es-ES"/>
        </w:rPr>
        <w:tab/>
        <w:t xml:space="preserve">Bonos </w:t>
      </w:r>
      <w:r w:rsidR="00F31EC0" w:rsidRPr="00A8388A">
        <w:rPr>
          <w:i/>
          <w:szCs w:val="22"/>
          <w:lang w:val="es-ES"/>
        </w:rPr>
        <w:t>cuasi</w:t>
      </w:r>
      <w:r w:rsidRPr="00A8388A">
        <w:rPr>
          <w:i/>
          <w:szCs w:val="22"/>
          <w:lang w:val="es-ES"/>
        </w:rPr>
        <w:t xml:space="preserve"> soberanos – por ejemplo, bonos provinciales, municipales o territoriales</w:t>
      </w:r>
    </w:p>
    <w:p w:rsidR="00184BE9" w:rsidRPr="00A8388A" w:rsidRDefault="00184BE9" w:rsidP="0080235D">
      <w:pPr>
        <w:pStyle w:val="ONUME"/>
        <w:tabs>
          <w:tab w:val="left" w:pos="4395"/>
          <w:tab w:val="left" w:pos="6946"/>
        </w:tabs>
        <w:ind w:left="4395" w:hanging="426"/>
        <w:rPr>
          <w:i/>
          <w:szCs w:val="22"/>
          <w:lang w:val="es-ES"/>
        </w:rPr>
      </w:pPr>
      <w:r w:rsidRPr="00A8388A">
        <w:rPr>
          <w:i/>
          <w:szCs w:val="22"/>
          <w:lang w:val="es-ES"/>
        </w:rPr>
        <w:lastRenderedPageBreak/>
        <w:t>c)</w:t>
      </w:r>
      <w:r w:rsidRPr="00A8388A">
        <w:rPr>
          <w:i/>
          <w:szCs w:val="22"/>
          <w:lang w:val="es-ES"/>
        </w:rPr>
        <w:tab/>
        <w:t>Bonos de instituciones supranacionales</w:t>
      </w:r>
    </w:p>
    <w:p w:rsidR="00184BE9" w:rsidRPr="00A8388A" w:rsidRDefault="00184BE9" w:rsidP="0080235D">
      <w:pPr>
        <w:pStyle w:val="ONUME"/>
        <w:tabs>
          <w:tab w:val="left" w:pos="4395"/>
          <w:tab w:val="left" w:pos="6946"/>
        </w:tabs>
        <w:ind w:left="4395" w:hanging="426"/>
        <w:rPr>
          <w:i/>
          <w:szCs w:val="22"/>
          <w:lang w:val="es-ES"/>
        </w:rPr>
      </w:pPr>
      <w:r w:rsidRPr="00A8388A">
        <w:rPr>
          <w:i/>
          <w:szCs w:val="22"/>
          <w:lang w:val="es-ES"/>
        </w:rPr>
        <w:t>d)</w:t>
      </w:r>
      <w:r w:rsidRPr="00A8388A">
        <w:rPr>
          <w:i/>
          <w:szCs w:val="22"/>
          <w:lang w:val="es-ES"/>
        </w:rPr>
        <w:tab/>
        <w:t>Bonos corporativos</w:t>
      </w:r>
    </w:p>
    <w:p w:rsidR="00184BE9" w:rsidRPr="00A8388A" w:rsidRDefault="00184BE9" w:rsidP="0080235D">
      <w:pPr>
        <w:pStyle w:val="ONUME"/>
        <w:tabs>
          <w:tab w:val="left" w:pos="4395"/>
        </w:tabs>
        <w:ind w:left="4395" w:hanging="426"/>
        <w:rPr>
          <w:i/>
          <w:szCs w:val="22"/>
          <w:lang w:val="es-ES"/>
        </w:rPr>
      </w:pPr>
      <w:r w:rsidRPr="00A8388A">
        <w:rPr>
          <w:i/>
          <w:szCs w:val="22"/>
          <w:lang w:val="es-ES"/>
        </w:rPr>
        <w:t>e)</w:t>
      </w:r>
      <w:r w:rsidRPr="00A8388A">
        <w:rPr>
          <w:i/>
          <w:szCs w:val="22"/>
          <w:lang w:val="es-ES"/>
        </w:rPr>
        <w:tab/>
        <w:t>Colocaciones privadas</w:t>
      </w:r>
    </w:p>
    <w:p w:rsidR="00184BE9" w:rsidRPr="00A8388A" w:rsidRDefault="00184BE9" w:rsidP="0080235D">
      <w:pPr>
        <w:pStyle w:val="ONUME"/>
        <w:tabs>
          <w:tab w:val="left" w:pos="3969"/>
        </w:tabs>
        <w:ind w:left="3402"/>
        <w:rPr>
          <w:i/>
          <w:szCs w:val="22"/>
          <w:lang w:val="es-ES"/>
        </w:rPr>
      </w:pPr>
      <w:r w:rsidRPr="00A8388A">
        <w:rPr>
          <w:i/>
          <w:szCs w:val="22"/>
          <w:lang w:val="es-ES"/>
        </w:rPr>
        <w:t>IV.</w:t>
      </w:r>
      <w:r w:rsidRPr="00A8388A">
        <w:rPr>
          <w:i/>
          <w:szCs w:val="22"/>
          <w:lang w:val="es-ES"/>
        </w:rPr>
        <w:tab/>
        <w:t>Fondos fiduciarios de inversión inmobiliaria (</w:t>
      </w:r>
      <w:proofErr w:type="spellStart"/>
      <w:r w:rsidRPr="00A8388A">
        <w:rPr>
          <w:i/>
          <w:szCs w:val="22"/>
          <w:lang w:val="es-ES"/>
        </w:rPr>
        <w:t>REITs</w:t>
      </w:r>
      <w:proofErr w:type="spellEnd"/>
      <w:r w:rsidRPr="00A8388A">
        <w:rPr>
          <w:i/>
          <w:szCs w:val="22"/>
          <w:lang w:val="es-ES"/>
        </w:rPr>
        <w:t>)</w:t>
      </w:r>
    </w:p>
    <w:p w:rsidR="00BF24CD" w:rsidRPr="00A8388A" w:rsidRDefault="00AE0BA9" w:rsidP="00AE0BA9">
      <w:pPr>
        <w:pStyle w:val="ONUMFS"/>
        <w:numPr>
          <w:ilvl w:val="0"/>
          <w:numId w:val="0"/>
        </w:numPr>
        <w:ind w:left="2835" w:hanging="567"/>
        <w:rPr>
          <w:i/>
          <w:u w:val="single"/>
          <w:lang w:val="es-ES"/>
        </w:rPr>
      </w:pPr>
      <w:r w:rsidRPr="00A8388A">
        <w:rPr>
          <w:i/>
          <w:lang w:val="es-ES"/>
        </w:rPr>
        <w:t>B.</w:t>
      </w:r>
      <w:r w:rsidRPr="00A8388A">
        <w:rPr>
          <w:i/>
          <w:lang w:val="es-ES"/>
        </w:rPr>
        <w:tab/>
      </w:r>
      <w:r w:rsidR="00184BE9" w:rsidRPr="00A8388A">
        <w:rPr>
          <w:i/>
          <w:u w:val="single"/>
          <w:lang w:val="es-ES"/>
        </w:rPr>
        <w:t>En lo que respecta a la política de inversiones aplicable al efectivo estratégico</w:t>
      </w:r>
      <w:r w:rsidR="00D321FB" w:rsidRPr="00A8388A">
        <w:rPr>
          <w:i/>
          <w:u w:val="single"/>
          <w:lang w:val="es-ES"/>
        </w:rPr>
        <w:t>:</w:t>
      </w:r>
    </w:p>
    <w:p w:rsidR="00882AEF" w:rsidRPr="00A8388A" w:rsidRDefault="00184BE9" w:rsidP="0080235D">
      <w:pPr>
        <w:pStyle w:val="ONUME"/>
        <w:numPr>
          <w:ilvl w:val="0"/>
          <w:numId w:val="17"/>
        </w:numPr>
        <w:tabs>
          <w:tab w:val="left" w:pos="4395"/>
        </w:tabs>
        <w:ind w:left="4395" w:hanging="426"/>
        <w:rPr>
          <w:i/>
          <w:szCs w:val="22"/>
          <w:lang w:val="es-ES"/>
        </w:rPr>
      </w:pPr>
      <w:r w:rsidRPr="00A8388A">
        <w:rPr>
          <w:i/>
          <w:szCs w:val="22"/>
          <w:lang w:val="es-ES"/>
        </w:rPr>
        <w:t>Todas las clases de activos permitidas por la política de inversiones aplicable al efectivo para gastos de funcionamiento y al efectivo básico</w:t>
      </w:r>
      <w:r w:rsidR="003F715C" w:rsidRPr="00A8388A">
        <w:rPr>
          <w:i/>
          <w:szCs w:val="22"/>
          <w:lang w:val="es-ES"/>
        </w:rPr>
        <w:t>;</w:t>
      </w:r>
    </w:p>
    <w:p w:rsidR="00BF24CD" w:rsidRPr="00A8388A" w:rsidRDefault="00184BE9" w:rsidP="0080235D">
      <w:pPr>
        <w:pStyle w:val="ONUME"/>
        <w:numPr>
          <w:ilvl w:val="0"/>
          <w:numId w:val="17"/>
        </w:numPr>
        <w:tabs>
          <w:tab w:val="left" w:pos="4395"/>
        </w:tabs>
        <w:ind w:left="4395" w:hanging="426"/>
        <w:rPr>
          <w:i/>
          <w:szCs w:val="22"/>
          <w:lang w:val="es-ES"/>
        </w:rPr>
      </w:pPr>
      <w:r w:rsidRPr="00A8388A">
        <w:rPr>
          <w:i/>
          <w:szCs w:val="22"/>
          <w:lang w:val="es-ES"/>
        </w:rPr>
        <w:t>Participaciones directas en bienes inmuebles</w:t>
      </w:r>
      <w:r w:rsidR="003F715C" w:rsidRPr="00A8388A">
        <w:rPr>
          <w:i/>
          <w:szCs w:val="22"/>
          <w:lang w:val="es-ES"/>
        </w:rPr>
        <w:t>;</w:t>
      </w:r>
    </w:p>
    <w:p w:rsidR="00BF24CD" w:rsidRPr="00A8388A" w:rsidRDefault="00996CD7" w:rsidP="0080235D">
      <w:pPr>
        <w:pStyle w:val="ONUME"/>
        <w:numPr>
          <w:ilvl w:val="0"/>
          <w:numId w:val="17"/>
        </w:numPr>
        <w:tabs>
          <w:tab w:val="left" w:pos="4395"/>
        </w:tabs>
        <w:ind w:left="4395" w:hanging="426"/>
        <w:rPr>
          <w:i/>
          <w:szCs w:val="22"/>
          <w:lang w:val="es-ES"/>
        </w:rPr>
      </w:pPr>
      <w:r w:rsidRPr="00A8388A">
        <w:rPr>
          <w:i/>
          <w:szCs w:val="22"/>
          <w:lang w:val="es-ES"/>
        </w:rPr>
        <w:t>Acciones y fondos de renta</w:t>
      </w:r>
      <w:r w:rsidR="00184BE9" w:rsidRPr="00A8388A">
        <w:rPr>
          <w:i/>
          <w:szCs w:val="22"/>
          <w:lang w:val="es-ES"/>
        </w:rPr>
        <w:t xml:space="preserve"> variable</w:t>
      </w:r>
      <w:r w:rsidR="003F715C" w:rsidRPr="00A8388A">
        <w:rPr>
          <w:i/>
          <w:szCs w:val="22"/>
          <w:lang w:val="es-ES"/>
        </w:rPr>
        <w:t>;</w:t>
      </w:r>
    </w:p>
    <w:p w:rsidR="007439B0" w:rsidRPr="00A8388A" w:rsidRDefault="00184BE9" w:rsidP="0080235D">
      <w:pPr>
        <w:pStyle w:val="ONUME"/>
        <w:numPr>
          <w:ilvl w:val="0"/>
          <w:numId w:val="17"/>
        </w:numPr>
        <w:tabs>
          <w:tab w:val="left" w:pos="4395"/>
        </w:tabs>
        <w:ind w:left="4395" w:hanging="426"/>
        <w:rPr>
          <w:i/>
          <w:lang w:val="es-ES"/>
        </w:rPr>
      </w:pPr>
      <w:r w:rsidRPr="00A8388A">
        <w:rPr>
          <w:i/>
          <w:szCs w:val="22"/>
          <w:lang w:val="es-ES"/>
        </w:rPr>
        <w:t>Fondos de inversión especulativos</w:t>
      </w:r>
      <w:r w:rsidR="003F715C" w:rsidRPr="00A8388A">
        <w:rPr>
          <w:i/>
          <w:szCs w:val="22"/>
          <w:lang w:val="es-ES"/>
        </w:rPr>
        <w:t>.</w:t>
      </w:r>
    </w:p>
    <w:p w:rsidR="007439B0" w:rsidRPr="00A8388A" w:rsidRDefault="007439B0" w:rsidP="00094592">
      <w:pPr>
        <w:pStyle w:val="ONUMFS"/>
        <w:numPr>
          <w:ilvl w:val="0"/>
          <w:numId w:val="0"/>
        </w:numPr>
        <w:rPr>
          <w:lang w:val="es-ES"/>
        </w:rPr>
      </w:pPr>
    </w:p>
    <w:p w:rsidR="007439B0" w:rsidRPr="00A8388A" w:rsidRDefault="007439B0" w:rsidP="00094592">
      <w:pPr>
        <w:pStyle w:val="Endofdocument-Annex"/>
        <w:rPr>
          <w:lang w:val="es-ES"/>
        </w:rPr>
      </w:pPr>
      <w:r w:rsidRPr="00A8388A">
        <w:rPr>
          <w:lang w:val="es-ES"/>
        </w:rPr>
        <w:t>[</w:t>
      </w:r>
      <w:r w:rsidR="00184BE9" w:rsidRPr="00A8388A">
        <w:rPr>
          <w:lang w:val="es-ES"/>
        </w:rPr>
        <w:t xml:space="preserve">Siguen los </w:t>
      </w:r>
      <w:r w:rsidRPr="00A8388A">
        <w:rPr>
          <w:lang w:val="es-ES"/>
        </w:rPr>
        <w:t>A</w:t>
      </w:r>
      <w:r w:rsidR="00184BE9" w:rsidRPr="00A8388A">
        <w:rPr>
          <w:lang w:val="es-ES"/>
        </w:rPr>
        <w:t>nexos</w:t>
      </w:r>
      <w:r w:rsidRPr="00A8388A">
        <w:rPr>
          <w:lang w:val="es-ES"/>
        </w:rPr>
        <w:t>]</w:t>
      </w:r>
    </w:p>
    <w:p w:rsidR="00006F80" w:rsidRPr="00A8388A" w:rsidRDefault="00006F80" w:rsidP="00094592">
      <w:pPr>
        <w:rPr>
          <w:lang w:val="es-ES"/>
        </w:rPr>
      </w:pPr>
    </w:p>
    <w:p w:rsidR="00006F80" w:rsidRPr="00A8388A" w:rsidRDefault="00006F80" w:rsidP="00094592">
      <w:pPr>
        <w:rPr>
          <w:lang w:val="es-ES"/>
        </w:rPr>
      </w:pPr>
    </w:p>
    <w:p w:rsidR="003E300A" w:rsidRPr="00A8388A" w:rsidRDefault="003E300A" w:rsidP="00BF24CD">
      <w:pPr>
        <w:pStyle w:val="Endofdocument-Annex"/>
        <w:rPr>
          <w:sz w:val="18"/>
          <w:szCs w:val="18"/>
          <w:lang w:val="es-ES"/>
        </w:rPr>
        <w:sectPr w:rsidR="003E300A" w:rsidRPr="00A8388A" w:rsidSect="000978CE">
          <w:headerReference w:type="default" r:id="rId13"/>
          <w:endnotePr>
            <w:numFmt w:val="decimal"/>
          </w:endnotePr>
          <w:pgSz w:w="11907" w:h="16840" w:code="9"/>
          <w:pgMar w:top="567" w:right="1134" w:bottom="1191" w:left="1418" w:header="510" w:footer="1021" w:gutter="0"/>
          <w:cols w:space="720"/>
          <w:titlePg/>
          <w:docGrid w:linePitch="299"/>
        </w:sectPr>
      </w:pPr>
    </w:p>
    <w:p w:rsidR="00006F80" w:rsidRPr="00A8388A" w:rsidRDefault="00006F80" w:rsidP="00006F80">
      <w:pPr>
        <w:pStyle w:val="ONUME"/>
        <w:ind w:left="-284" w:right="538"/>
        <w:jc w:val="center"/>
        <w:rPr>
          <w:b/>
          <w:sz w:val="18"/>
          <w:szCs w:val="18"/>
          <w:lang w:val="es-ES"/>
        </w:rPr>
      </w:pPr>
      <w:r w:rsidRPr="00A8388A">
        <w:rPr>
          <w:b/>
          <w:noProof/>
          <w:sz w:val="18"/>
          <w:szCs w:val="18"/>
          <w:lang w:eastAsia="en-US"/>
        </w:rPr>
        <w:lastRenderedPageBreak/>
        <w:drawing>
          <wp:inline distT="0" distB="0" distL="0" distR="0" wp14:anchorId="40C85F68" wp14:editId="6200E5F5">
            <wp:extent cx="9082800" cy="5202000"/>
            <wp:effectExtent l="0" t="0" r="444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082800" cy="5202000"/>
                    </a:xfrm>
                    <a:prstGeom prst="rect">
                      <a:avLst/>
                    </a:prstGeom>
                    <a:noFill/>
                  </pic:spPr>
                </pic:pic>
              </a:graphicData>
            </a:graphic>
          </wp:inline>
        </w:drawing>
      </w:r>
    </w:p>
    <w:p w:rsidR="00006F80" w:rsidRPr="00A8388A" w:rsidRDefault="00006F80" w:rsidP="00006F80">
      <w:pPr>
        <w:pStyle w:val="ONUME"/>
        <w:ind w:left="2694" w:hanging="993"/>
        <w:jc w:val="both"/>
        <w:rPr>
          <w:szCs w:val="22"/>
          <w:lang w:val="es-ES"/>
        </w:rPr>
      </w:pPr>
      <w:r w:rsidRPr="00A8388A">
        <w:rPr>
          <w:szCs w:val="22"/>
          <w:lang w:val="es-ES"/>
        </w:rPr>
        <w:t xml:space="preserve">Este gráfico se reproduce gracias a la amable autorización del profesorado del Instituto de Contables Públicos de Inglaterra y Gales </w:t>
      </w:r>
    </w:p>
    <w:p w:rsidR="006A4E51" w:rsidRPr="00A8388A" w:rsidRDefault="00B22D9B" w:rsidP="00A314DC">
      <w:pPr>
        <w:pStyle w:val="ONUME"/>
        <w:ind w:left="10206" w:firstLine="567"/>
        <w:rPr>
          <w:szCs w:val="22"/>
          <w:lang w:val="es-ES"/>
        </w:rPr>
      </w:pPr>
      <w:r w:rsidRPr="00A8388A">
        <w:rPr>
          <w:szCs w:val="22"/>
          <w:lang w:val="es-ES"/>
        </w:rPr>
        <w:t>[</w:t>
      </w:r>
      <w:r w:rsidR="00006F80" w:rsidRPr="00A8388A">
        <w:rPr>
          <w:szCs w:val="22"/>
          <w:lang w:val="es-ES"/>
        </w:rPr>
        <w:t xml:space="preserve">Sigue el </w:t>
      </w:r>
      <w:r w:rsidRPr="00A8388A">
        <w:rPr>
          <w:szCs w:val="22"/>
          <w:lang w:val="es-ES"/>
        </w:rPr>
        <w:t>Anex</w:t>
      </w:r>
      <w:r w:rsidR="00006F80" w:rsidRPr="00A8388A">
        <w:rPr>
          <w:szCs w:val="22"/>
          <w:lang w:val="es-ES"/>
        </w:rPr>
        <w:t>o</w:t>
      </w:r>
      <w:r w:rsidRPr="00A8388A">
        <w:rPr>
          <w:szCs w:val="22"/>
          <w:lang w:val="es-ES"/>
        </w:rPr>
        <w:t xml:space="preserve"> II]</w:t>
      </w:r>
    </w:p>
    <w:p w:rsidR="006A4E51" w:rsidRPr="00A8388A" w:rsidRDefault="00F94B62" w:rsidP="006A4E51">
      <w:pPr>
        <w:pStyle w:val="ONUME"/>
        <w:jc w:val="both"/>
        <w:rPr>
          <w:b/>
          <w:sz w:val="18"/>
          <w:szCs w:val="18"/>
          <w:lang w:val="es-ES"/>
        </w:rPr>
      </w:pPr>
      <w:r w:rsidRPr="00A8388A">
        <w:rPr>
          <w:noProof/>
          <w:lang w:eastAsia="en-US"/>
        </w:rPr>
        <w:lastRenderedPageBreak/>
        <w:drawing>
          <wp:inline distT="0" distB="0" distL="0" distR="0" wp14:anchorId="292FCF26" wp14:editId="2A2AAA6A">
            <wp:extent cx="8884693" cy="51180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88087" cy="5120027"/>
                    </a:xfrm>
                    <a:prstGeom prst="rect">
                      <a:avLst/>
                    </a:prstGeom>
                    <a:noFill/>
                    <a:ln>
                      <a:noFill/>
                    </a:ln>
                  </pic:spPr>
                </pic:pic>
              </a:graphicData>
            </a:graphic>
          </wp:inline>
        </w:drawing>
      </w:r>
    </w:p>
    <w:p w:rsidR="006A4E51" w:rsidRPr="00A8388A" w:rsidRDefault="006A4E51" w:rsidP="003E300A">
      <w:pPr>
        <w:pStyle w:val="ONUME"/>
        <w:rPr>
          <w:b/>
          <w:sz w:val="18"/>
          <w:szCs w:val="18"/>
          <w:lang w:val="es-ES"/>
        </w:rPr>
      </w:pPr>
    </w:p>
    <w:p w:rsidR="00E24FE5" w:rsidRDefault="00B22D9B" w:rsidP="00A314DC">
      <w:pPr>
        <w:pStyle w:val="ONUME"/>
        <w:ind w:left="10206" w:firstLine="567"/>
        <w:rPr>
          <w:szCs w:val="22"/>
          <w:lang w:val="es-ES"/>
        </w:rPr>
      </w:pPr>
      <w:r w:rsidRPr="00A8388A">
        <w:rPr>
          <w:szCs w:val="22"/>
          <w:lang w:val="es-ES"/>
        </w:rPr>
        <w:t>[</w:t>
      </w:r>
      <w:r w:rsidR="00EB5CB0" w:rsidRPr="00A8388A">
        <w:rPr>
          <w:szCs w:val="22"/>
          <w:lang w:val="es-ES"/>
        </w:rPr>
        <w:t>Sigue el Ane</w:t>
      </w:r>
      <w:r w:rsidRPr="00A8388A">
        <w:rPr>
          <w:szCs w:val="22"/>
          <w:lang w:val="es-ES"/>
        </w:rPr>
        <w:t>x</w:t>
      </w:r>
      <w:r w:rsidR="00EB5CB0" w:rsidRPr="00A8388A">
        <w:rPr>
          <w:szCs w:val="22"/>
          <w:lang w:val="es-ES"/>
        </w:rPr>
        <w:t>o</w:t>
      </w:r>
      <w:r w:rsidRPr="00A8388A">
        <w:rPr>
          <w:szCs w:val="22"/>
          <w:lang w:val="es-ES"/>
        </w:rPr>
        <w:t xml:space="preserve"> III]</w:t>
      </w:r>
    </w:p>
    <w:p w:rsidR="00A8388A" w:rsidRDefault="00A8388A" w:rsidP="00A314DC">
      <w:pPr>
        <w:pStyle w:val="ONUME"/>
        <w:ind w:left="10206" w:firstLine="567"/>
        <w:rPr>
          <w:szCs w:val="22"/>
          <w:lang w:val="es-ES"/>
        </w:rPr>
      </w:pPr>
    </w:p>
    <w:p w:rsidR="00A8388A" w:rsidRPr="00A8388A" w:rsidRDefault="00A8388A" w:rsidP="00A314DC">
      <w:pPr>
        <w:pStyle w:val="ONUME"/>
        <w:ind w:left="10206" w:firstLine="567"/>
        <w:rPr>
          <w:szCs w:val="22"/>
          <w:lang w:val="es-ES"/>
        </w:rPr>
        <w:sectPr w:rsidR="00A8388A" w:rsidRPr="00A8388A" w:rsidSect="00A314DC">
          <w:headerReference w:type="default" r:id="rId16"/>
          <w:headerReference w:type="first" r:id="rId17"/>
          <w:endnotePr>
            <w:numFmt w:val="decimal"/>
          </w:endnotePr>
          <w:pgSz w:w="16840" w:h="11907" w:orient="landscape" w:code="9"/>
          <w:pgMar w:top="993" w:right="567" w:bottom="1134" w:left="1418" w:header="510" w:footer="1021" w:gutter="0"/>
          <w:cols w:space="720"/>
          <w:titlePg/>
          <w:docGrid w:linePitch="299"/>
        </w:sectPr>
      </w:pPr>
    </w:p>
    <w:p w:rsidR="00862D0A" w:rsidRPr="00A8388A" w:rsidRDefault="00EB5CB0" w:rsidP="003E300A">
      <w:pPr>
        <w:pStyle w:val="ONUME"/>
        <w:rPr>
          <w:b/>
          <w:szCs w:val="22"/>
          <w:lang w:val="es-ES"/>
        </w:rPr>
      </w:pPr>
      <w:r w:rsidRPr="00A8388A">
        <w:rPr>
          <w:b/>
          <w:szCs w:val="22"/>
          <w:lang w:val="es-ES"/>
        </w:rPr>
        <w:lastRenderedPageBreak/>
        <w:t>CONSTRUCCIÓN DE UNA CARTERA ÓPTIMA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559"/>
        <w:gridCol w:w="2694"/>
        <w:gridCol w:w="2976"/>
        <w:gridCol w:w="2977"/>
      </w:tblGrid>
      <w:tr w:rsidR="00A8388A" w:rsidRPr="00A8388A" w:rsidTr="00A314DC">
        <w:trPr>
          <w:trHeight w:hRule="exact" w:val="714"/>
        </w:trPr>
        <w:tc>
          <w:tcPr>
            <w:tcW w:w="3652" w:type="dxa"/>
            <w:shd w:val="pct10" w:color="auto" w:fill="auto"/>
          </w:tcPr>
          <w:p w:rsidR="00862D0A" w:rsidRPr="00A8388A" w:rsidRDefault="00EB5CB0" w:rsidP="00EB5CB0">
            <w:pPr>
              <w:pStyle w:val="ONUME"/>
              <w:rPr>
                <w:b/>
                <w:sz w:val="20"/>
                <w:lang w:val="es-ES"/>
              </w:rPr>
            </w:pPr>
            <w:r w:rsidRPr="00A8388A">
              <w:rPr>
                <w:b/>
                <w:sz w:val="20"/>
                <w:lang w:val="es-ES"/>
              </w:rPr>
              <w:t>Clase de activos</w:t>
            </w:r>
          </w:p>
        </w:tc>
        <w:tc>
          <w:tcPr>
            <w:tcW w:w="1559" w:type="dxa"/>
            <w:shd w:val="pct10" w:color="auto" w:fill="auto"/>
          </w:tcPr>
          <w:p w:rsidR="00862D0A" w:rsidRPr="00A8388A" w:rsidRDefault="00EB5CB0" w:rsidP="00A314DC">
            <w:pPr>
              <w:pStyle w:val="ONUME"/>
              <w:jc w:val="right"/>
              <w:rPr>
                <w:b/>
                <w:sz w:val="20"/>
                <w:lang w:val="es-ES"/>
              </w:rPr>
            </w:pPr>
            <w:r w:rsidRPr="00A8388A">
              <w:rPr>
                <w:b/>
                <w:sz w:val="20"/>
                <w:lang w:val="es-ES"/>
              </w:rPr>
              <w:t>Cartera</w:t>
            </w:r>
          </w:p>
          <w:p w:rsidR="00862D0A" w:rsidRPr="00A8388A" w:rsidRDefault="00862D0A" w:rsidP="00A314DC">
            <w:pPr>
              <w:pStyle w:val="ONUME"/>
              <w:jc w:val="right"/>
              <w:rPr>
                <w:b/>
                <w:sz w:val="20"/>
                <w:lang w:val="es-ES"/>
              </w:rPr>
            </w:pPr>
            <w:r w:rsidRPr="00A8388A">
              <w:rPr>
                <w:b/>
                <w:sz w:val="20"/>
                <w:lang w:val="es-ES"/>
              </w:rPr>
              <w:t>%</w:t>
            </w:r>
          </w:p>
        </w:tc>
        <w:tc>
          <w:tcPr>
            <w:tcW w:w="2694" w:type="dxa"/>
            <w:shd w:val="pct10" w:color="auto" w:fill="auto"/>
          </w:tcPr>
          <w:p w:rsidR="00862D0A" w:rsidRPr="00A8388A" w:rsidRDefault="00EB5CB0" w:rsidP="00A314DC">
            <w:pPr>
              <w:pStyle w:val="ONUME"/>
              <w:jc w:val="right"/>
              <w:rPr>
                <w:b/>
                <w:sz w:val="20"/>
                <w:lang w:val="es-ES"/>
              </w:rPr>
            </w:pPr>
            <w:r w:rsidRPr="00A8388A">
              <w:rPr>
                <w:b/>
                <w:sz w:val="20"/>
                <w:lang w:val="es-ES"/>
              </w:rPr>
              <w:t>Estrategia</w:t>
            </w:r>
            <w:r w:rsidR="00EB0008" w:rsidRPr="00A8388A">
              <w:rPr>
                <w:b/>
                <w:sz w:val="20"/>
                <w:lang w:val="es-ES"/>
              </w:rPr>
              <w:t xml:space="preserve"> A</w:t>
            </w:r>
          </w:p>
          <w:p w:rsidR="00EB0008" w:rsidRPr="00A8388A" w:rsidRDefault="00EB0008" w:rsidP="00A314DC">
            <w:pPr>
              <w:pStyle w:val="ONUME"/>
              <w:jc w:val="right"/>
              <w:rPr>
                <w:b/>
                <w:sz w:val="20"/>
                <w:lang w:val="es-ES"/>
              </w:rPr>
            </w:pPr>
            <w:r w:rsidRPr="00A8388A">
              <w:rPr>
                <w:b/>
                <w:sz w:val="20"/>
                <w:lang w:val="es-ES"/>
              </w:rPr>
              <w:t>%</w:t>
            </w:r>
          </w:p>
        </w:tc>
        <w:tc>
          <w:tcPr>
            <w:tcW w:w="2976" w:type="dxa"/>
            <w:shd w:val="pct10" w:color="auto" w:fill="auto"/>
          </w:tcPr>
          <w:p w:rsidR="00EB0008" w:rsidRPr="00A8388A" w:rsidRDefault="00EB5CB0" w:rsidP="00A314DC">
            <w:pPr>
              <w:pStyle w:val="ONUME"/>
              <w:jc w:val="right"/>
              <w:rPr>
                <w:b/>
                <w:sz w:val="20"/>
                <w:lang w:val="es-ES"/>
              </w:rPr>
            </w:pPr>
            <w:r w:rsidRPr="00A8388A">
              <w:rPr>
                <w:b/>
                <w:sz w:val="20"/>
                <w:lang w:val="es-ES"/>
              </w:rPr>
              <w:t>Estrategia</w:t>
            </w:r>
            <w:r w:rsidR="00EB0008" w:rsidRPr="00A8388A">
              <w:rPr>
                <w:b/>
                <w:sz w:val="20"/>
                <w:lang w:val="es-ES"/>
              </w:rPr>
              <w:t xml:space="preserve"> B</w:t>
            </w:r>
          </w:p>
          <w:p w:rsidR="00862D0A" w:rsidRPr="00A8388A" w:rsidRDefault="00EB0008" w:rsidP="00A314DC">
            <w:pPr>
              <w:pStyle w:val="ONUME"/>
              <w:jc w:val="right"/>
              <w:rPr>
                <w:b/>
                <w:sz w:val="20"/>
                <w:lang w:val="es-ES"/>
              </w:rPr>
            </w:pPr>
            <w:r w:rsidRPr="00A8388A">
              <w:rPr>
                <w:b/>
                <w:sz w:val="20"/>
                <w:lang w:val="es-ES"/>
              </w:rPr>
              <w:t>%</w:t>
            </w:r>
          </w:p>
        </w:tc>
        <w:tc>
          <w:tcPr>
            <w:tcW w:w="2977" w:type="dxa"/>
            <w:shd w:val="pct10" w:color="auto" w:fill="auto"/>
          </w:tcPr>
          <w:p w:rsidR="00EB0008" w:rsidRPr="00A8388A" w:rsidRDefault="00EB5CB0" w:rsidP="00A314DC">
            <w:pPr>
              <w:pStyle w:val="ONUME"/>
              <w:jc w:val="right"/>
              <w:rPr>
                <w:b/>
                <w:sz w:val="20"/>
                <w:lang w:val="es-ES"/>
              </w:rPr>
            </w:pPr>
            <w:r w:rsidRPr="00A8388A">
              <w:rPr>
                <w:b/>
                <w:sz w:val="20"/>
                <w:lang w:val="es-ES"/>
              </w:rPr>
              <w:t>E</w:t>
            </w:r>
            <w:r w:rsidR="007016AC" w:rsidRPr="00A8388A">
              <w:rPr>
                <w:b/>
                <w:sz w:val="20"/>
                <w:lang w:val="es-ES"/>
              </w:rPr>
              <w:t>s</w:t>
            </w:r>
            <w:r w:rsidRPr="00A8388A">
              <w:rPr>
                <w:b/>
                <w:sz w:val="20"/>
                <w:lang w:val="es-ES"/>
              </w:rPr>
              <w:t>trategia</w:t>
            </w:r>
            <w:r w:rsidR="00EB0008" w:rsidRPr="00A8388A">
              <w:rPr>
                <w:b/>
                <w:sz w:val="20"/>
                <w:lang w:val="es-ES"/>
              </w:rPr>
              <w:t xml:space="preserve"> C</w:t>
            </w:r>
          </w:p>
          <w:p w:rsidR="00862D0A" w:rsidRPr="00A8388A" w:rsidRDefault="00EB0008" w:rsidP="00A314DC">
            <w:pPr>
              <w:pStyle w:val="ONUME"/>
              <w:jc w:val="right"/>
              <w:rPr>
                <w:b/>
                <w:sz w:val="20"/>
                <w:lang w:val="es-ES"/>
              </w:rPr>
            </w:pPr>
            <w:r w:rsidRPr="00A8388A">
              <w:rPr>
                <w:b/>
                <w:sz w:val="20"/>
                <w:lang w:val="es-ES"/>
              </w:rPr>
              <w:t>%</w:t>
            </w:r>
          </w:p>
        </w:tc>
      </w:tr>
      <w:tr w:rsidR="00A8388A" w:rsidRPr="00A8388A" w:rsidTr="00A314DC">
        <w:tc>
          <w:tcPr>
            <w:tcW w:w="3652" w:type="dxa"/>
            <w:shd w:val="clear" w:color="auto" w:fill="auto"/>
          </w:tcPr>
          <w:p w:rsidR="00862D0A" w:rsidRPr="00A8388A" w:rsidRDefault="00EB5CB0" w:rsidP="00EB5CB0">
            <w:pPr>
              <w:pStyle w:val="ONUME"/>
              <w:rPr>
                <w:sz w:val="20"/>
                <w:lang w:val="es-ES"/>
              </w:rPr>
            </w:pPr>
            <w:r w:rsidRPr="00A8388A">
              <w:rPr>
                <w:sz w:val="20"/>
                <w:lang w:val="es-ES"/>
              </w:rPr>
              <w:t xml:space="preserve">Mercado monetario </w:t>
            </w:r>
            <w:r w:rsidR="00CE73A1" w:rsidRPr="00A8388A">
              <w:rPr>
                <w:sz w:val="20"/>
                <w:lang w:val="es-ES"/>
              </w:rPr>
              <w:t>CHF</w:t>
            </w:r>
          </w:p>
        </w:tc>
        <w:tc>
          <w:tcPr>
            <w:tcW w:w="1559" w:type="dxa"/>
            <w:shd w:val="clear" w:color="auto" w:fill="auto"/>
          </w:tcPr>
          <w:p w:rsidR="00862D0A" w:rsidRPr="00A8388A" w:rsidRDefault="00526131" w:rsidP="00A314DC">
            <w:pPr>
              <w:pStyle w:val="ONUME"/>
              <w:jc w:val="right"/>
              <w:rPr>
                <w:sz w:val="20"/>
                <w:lang w:val="es-ES"/>
              </w:rPr>
            </w:pPr>
            <w:r w:rsidRPr="00A8388A">
              <w:rPr>
                <w:sz w:val="20"/>
                <w:lang w:val="es-ES"/>
              </w:rPr>
              <w:t>100</w:t>
            </w:r>
          </w:p>
        </w:tc>
        <w:tc>
          <w:tcPr>
            <w:tcW w:w="2694" w:type="dxa"/>
            <w:shd w:val="clear" w:color="auto" w:fill="auto"/>
          </w:tcPr>
          <w:p w:rsidR="00862D0A" w:rsidRPr="00A8388A" w:rsidRDefault="00526131" w:rsidP="00A314DC">
            <w:pPr>
              <w:pStyle w:val="ONUME"/>
              <w:jc w:val="right"/>
              <w:rPr>
                <w:sz w:val="20"/>
                <w:lang w:val="es-ES"/>
              </w:rPr>
            </w:pPr>
            <w:r w:rsidRPr="00A8388A">
              <w:rPr>
                <w:sz w:val="20"/>
                <w:lang w:val="es-ES"/>
              </w:rPr>
              <w:t>50</w:t>
            </w:r>
          </w:p>
        </w:tc>
        <w:tc>
          <w:tcPr>
            <w:tcW w:w="2976" w:type="dxa"/>
            <w:shd w:val="clear" w:color="auto" w:fill="auto"/>
          </w:tcPr>
          <w:p w:rsidR="00862D0A" w:rsidRPr="00A8388A" w:rsidRDefault="00526131" w:rsidP="00A314DC">
            <w:pPr>
              <w:pStyle w:val="ONUME"/>
              <w:jc w:val="right"/>
              <w:rPr>
                <w:sz w:val="20"/>
                <w:lang w:val="es-ES"/>
              </w:rPr>
            </w:pPr>
            <w:r w:rsidRPr="00A8388A">
              <w:rPr>
                <w:sz w:val="20"/>
                <w:lang w:val="es-ES"/>
              </w:rPr>
              <w:t>50</w:t>
            </w:r>
          </w:p>
        </w:tc>
        <w:tc>
          <w:tcPr>
            <w:tcW w:w="2977" w:type="dxa"/>
            <w:shd w:val="clear" w:color="auto" w:fill="auto"/>
          </w:tcPr>
          <w:p w:rsidR="00862D0A" w:rsidRPr="00A8388A" w:rsidRDefault="00526131" w:rsidP="00A314DC">
            <w:pPr>
              <w:pStyle w:val="ONUME"/>
              <w:jc w:val="right"/>
              <w:rPr>
                <w:sz w:val="20"/>
                <w:lang w:val="es-ES"/>
              </w:rPr>
            </w:pPr>
            <w:r w:rsidRPr="00A8388A">
              <w:rPr>
                <w:sz w:val="20"/>
                <w:lang w:val="es-ES"/>
              </w:rPr>
              <w:t>10</w:t>
            </w:r>
          </w:p>
        </w:tc>
      </w:tr>
      <w:tr w:rsidR="00A8388A" w:rsidRPr="00A8388A" w:rsidTr="00A314DC">
        <w:tc>
          <w:tcPr>
            <w:tcW w:w="3652" w:type="dxa"/>
            <w:shd w:val="clear" w:color="auto" w:fill="auto"/>
          </w:tcPr>
          <w:p w:rsidR="00862D0A" w:rsidRPr="00A8388A" w:rsidRDefault="00EB5CB0" w:rsidP="00EB5CB0">
            <w:pPr>
              <w:pStyle w:val="ONUME"/>
              <w:rPr>
                <w:sz w:val="20"/>
                <w:lang w:val="es-ES"/>
              </w:rPr>
            </w:pPr>
            <w:r w:rsidRPr="00A8388A">
              <w:rPr>
                <w:sz w:val="20"/>
                <w:lang w:val="es-ES"/>
              </w:rPr>
              <w:t xml:space="preserve">Bonos </w:t>
            </w:r>
            <w:r w:rsidR="00CE73A1" w:rsidRPr="00A8388A">
              <w:rPr>
                <w:sz w:val="20"/>
                <w:lang w:val="es-ES"/>
              </w:rPr>
              <w:t>CHF</w:t>
            </w:r>
          </w:p>
        </w:tc>
        <w:tc>
          <w:tcPr>
            <w:tcW w:w="1559" w:type="dxa"/>
            <w:shd w:val="clear" w:color="auto" w:fill="auto"/>
          </w:tcPr>
          <w:p w:rsidR="00862D0A" w:rsidRPr="00A8388A" w:rsidRDefault="00526131" w:rsidP="00A314DC">
            <w:pPr>
              <w:pStyle w:val="ONUME"/>
              <w:jc w:val="right"/>
              <w:rPr>
                <w:sz w:val="20"/>
                <w:lang w:val="es-ES"/>
              </w:rPr>
            </w:pPr>
            <w:r w:rsidRPr="00A8388A">
              <w:rPr>
                <w:sz w:val="20"/>
                <w:lang w:val="es-ES"/>
              </w:rPr>
              <w:t>0</w:t>
            </w:r>
          </w:p>
        </w:tc>
        <w:tc>
          <w:tcPr>
            <w:tcW w:w="2694" w:type="dxa"/>
            <w:shd w:val="clear" w:color="auto" w:fill="auto"/>
          </w:tcPr>
          <w:p w:rsidR="00862D0A" w:rsidRPr="00A8388A" w:rsidRDefault="00526131" w:rsidP="00A314DC">
            <w:pPr>
              <w:pStyle w:val="ONUME"/>
              <w:jc w:val="right"/>
              <w:rPr>
                <w:sz w:val="20"/>
                <w:lang w:val="es-ES"/>
              </w:rPr>
            </w:pPr>
            <w:r w:rsidRPr="00A8388A">
              <w:rPr>
                <w:sz w:val="20"/>
                <w:lang w:val="es-ES"/>
              </w:rPr>
              <w:t>50</w:t>
            </w:r>
          </w:p>
        </w:tc>
        <w:tc>
          <w:tcPr>
            <w:tcW w:w="2976" w:type="dxa"/>
            <w:shd w:val="clear" w:color="auto" w:fill="auto"/>
          </w:tcPr>
          <w:p w:rsidR="00862D0A" w:rsidRPr="00A8388A" w:rsidRDefault="00526131" w:rsidP="00A314DC">
            <w:pPr>
              <w:pStyle w:val="ONUME"/>
              <w:jc w:val="right"/>
              <w:rPr>
                <w:sz w:val="20"/>
                <w:lang w:val="es-ES"/>
              </w:rPr>
            </w:pPr>
            <w:r w:rsidRPr="00A8388A">
              <w:rPr>
                <w:sz w:val="20"/>
                <w:lang w:val="es-ES"/>
              </w:rPr>
              <w:t>25</w:t>
            </w:r>
          </w:p>
        </w:tc>
        <w:tc>
          <w:tcPr>
            <w:tcW w:w="2977" w:type="dxa"/>
            <w:shd w:val="clear" w:color="auto" w:fill="auto"/>
          </w:tcPr>
          <w:p w:rsidR="00862D0A" w:rsidRPr="00A8388A" w:rsidRDefault="00526131" w:rsidP="00A314DC">
            <w:pPr>
              <w:pStyle w:val="ONUME"/>
              <w:jc w:val="right"/>
              <w:rPr>
                <w:sz w:val="20"/>
                <w:lang w:val="es-ES"/>
              </w:rPr>
            </w:pPr>
            <w:r w:rsidRPr="00A8388A">
              <w:rPr>
                <w:sz w:val="20"/>
                <w:lang w:val="es-ES"/>
              </w:rPr>
              <w:t>25</w:t>
            </w:r>
          </w:p>
        </w:tc>
      </w:tr>
      <w:tr w:rsidR="00A8388A" w:rsidRPr="00A8388A" w:rsidTr="00A314DC">
        <w:tc>
          <w:tcPr>
            <w:tcW w:w="3652" w:type="dxa"/>
            <w:shd w:val="clear" w:color="auto" w:fill="auto"/>
          </w:tcPr>
          <w:p w:rsidR="00862D0A" w:rsidRPr="00A8388A" w:rsidRDefault="00EB5CB0" w:rsidP="00EB5CB0">
            <w:pPr>
              <w:pStyle w:val="ONUME"/>
              <w:rPr>
                <w:sz w:val="20"/>
                <w:lang w:val="es-ES"/>
              </w:rPr>
            </w:pPr>
            <w:r w:rsidRPr="00A8388A">
              <w:rPr>
                <w:sz w:val="20"/>
                <w:lang w:val="es-ES"/>
              </w:rPr>
              <w:t xml:space="preserve">Bonos corporativos en moneda extranjera </w:t>
            </w:r>
            <w:r w:rsidR="00CE73A1" w:rsidRPr="00A8388A">
              <w:rPr>
                <w:sz w:val="20"/>
                <w:lang w:val="es-ES"/>
              </w:rPr>
              <w:t>(</w:t>
            </w:r>
            <w:r w:rsidRPr="00A8388A">
              <w:rPr>
                <w:sz w:val="20"/>
                <w:lang w:val="es-ES"/>
              </w:rPr>
              <w:t xml:space="preserve">con cobertura cambiaria respecto al </w:t>
            </w:r>
            <w:r w:rsidR="00CE73A1" w:rsidRPr="00A8388A">
              <w:rPr>
                <w:sz w:val="20"/>
                <w:lang w:val="es-ES"/>
              </w:rPr>
              <w:t>CHF)</w:t>
            </w:r>
          </w:p>
        </w:tc>
        <w:tc>
          <w:tcPr>
            <w:tcW w:w="1559" w:type="dxa"/>
            <w:shd w:val="clear" w:color="auto" w:fill="auto"/>
          </w:tcPr>
          <w:p w:rsidR="00862D0A" w:rsidRPr="00A8388A" w:rsidRDefault="00526131" w:rsidP="00A314DC">
            <w:pPr>
              <w:pStyle w:val="ONUME"/>
              <w:jc w:val="right"/>
              <w:rPr>
                <w:sz w:val="20"/>
                <w:lang w:val="es-ES"/>
              </w:rPr>
            </w:pPr>
            <w:r w:rsidRPr="00A8388A">
              <w:rPr>
                <w:sz w:val="20"/>
                <w:lang w:val="es-ES"/>
              </w:rPr>
              <w:t>0</w:t>
            </w:r>
          </w:p>
        </w:tc>
        <w:tc>
          <w:tcPr>
            <w:tcW w:w="2694" w:type="dxa"/>
            <w:shd w:val="clear" w:color="auto" w:fill="auto"/>
          </w:tcPr>
          <w:p w:rsidR="00862D0A" w:rsidRPr="00A8388A" w:rsidRDefault="00526131" w:rsidP="00A314DC">
            <w:pPr>
              <w:pStyle w:val="ONUME"/>
              <w:jc w:val="right"/>
              <w:rPr>
                <w:sz w:val="20"/>
                <w:lang w:val="es-ES"/>
              </w:rPr>
            </w:pPr>
            <w:r w:rsidRPr="00A8388A">
              <w:rPr>
                <w:sz w:val="20"/>
                <w:lang w:val="es-ES"/>
              </w:rPr>
              <w:t>0</w:t>
            </w:r>
          </w:p>
        </w:tc>
        <w:tc>
          <w:tcPr>
            <w:tcW w:w="2976" w:type="dxa"/>
            <w:shd w:val="clear" w:color="auto" w:fill="auto"/>
          </w:tcPr>
          <w:p w:rsidR="00862D0A" w:rsidRPr="00A8388A" w:rsidRDefault="00526131" w:rsidP="00A314DC">
            <w:pPr>
              <w:pStyle w:val="ONUME"/>
              <w:jc w:val="right"/>
              <w:rPr>
                <w:sz w:val="20"/>
                <w:lang w:val="es-ES"/>
              </w:rPr>
            </w:pPr>
            <w:r w:rsidRPr="00A8388A">
              <w:rPr>
                <w:sz w:val="20"/>
                <w:lang w:val="es-ES"/>
              </w:rPr>
              <w:t>25</w:t>
            </w:r>
          </w:p>
        </w:tc>
        <w:tc>
          <w:tcPr>
            <w:tcW w:w="2977" w:type="dxa"/>
            <w:shd w:val="clear" w:color="auto" w:fill="auto"/>
          </w:tcPr>
          <w:p w:rsidR="00862D0A" w:rsidRPr="00A8388A" w:rsidRDefault="00526131" w:rsidP="00A314DC">
            <w:pPr>
              <w:pStyle w:val="ONUME"/>
              <w:jc w:val="right"/>
              <w:rPr>
                <w:sz w:val="20"/>
                <w:lang w:val="es-ES"/>
              </w:rPr>
            </w:pPr>
            <w:r w:rsidRPr="00A8388A">
              <w:rPr>
                <w:sz w:val="20"/>
                <w:lang w:val="es-ES"/>
              </w:rPr>
              <w:t>20</w:t>
            </w:r>
          </w:p>
        </w:tc>
      </w:tr>
      <w:tr w:rsidR="00A8388A" w:rsidRPr="00A8388A" w:rsidTr="00A314DC">
        <w:tc>
          <w:tcPr>
            <w:tcW w:w="3652" w:type="dxa"/>
            <w:shd w:val="clear" w:color="auto" w:fill="auto"/>
          </w:tcPr>
          <w:p w:rsidR="00862D0A" w:rsidRPr="00A8388A" w:rsidRDefault="00EB5CB0" w:rsidP="00EB5CB0">
            <w:pPr>
              <w:pStyle w:val="ONUME"/>
              <w:rPr>
                <w:b/>
                <w:sz w:val="20"/>
                <w:lang w:val="es-ES"/>
              </w:rPr>
            </w:pPr>
            <w:r w:rsidRPr="00A8388A">
              <w:rPr>
                <w:b/>
                <w:sz w:val="20"/>
                <w:lang w:val="es-ES"/>
              </w:rPr>
              <w:t>Valores nominales t</w:t>
            </w:r>
            <w:r w:rsidR="00CE73A1" w:rsidRPr="00A8388A">
              <w:rPr>
                <w:b/>
                <w:sz w:val="20"/>
                <w:lang w:val="es-ES"/>
              </w:rPr>
              <w:t>otal</w:t>
            </w:r>
            <w:r w:rsidRPr="00A8388A">
              <w:rPr>
                <w:b/>
                <w:sz w:val="20"/>
                <w:lang w:val="es-ES"/>
              </w:rPr>
              <w:t>es</w:t>
            </w:r>
          </w:p>
        </w:tc>
        <w:tc>
          <w:tcPr>
            <w:tcW w:w="1559" w:type="dxa"/>
            <w:shd w:val="clear" w:color="auto" w:fill="auto"/>
          </w:tcPr>
          <w:p w:rsidR="00862D0A" w:rsidRPr="00A8388A" w:rsidRDefault="00526131" w:rsidP="00A314DC">
            <w:pPr>
              <w:pStyle w:val="ONUME"/>
              <w:jc w:val="right"/>
              <w:rPr>
                <w:b/>
                <w:sz w:val="20"/>
                <w:lang w:val="es-ES"/>
              </w:rPr>
            </w:pPr>
            <w:r w:rsidRPr="00A8388A">
              <w:rPr>
                <w:b/>
                <w:sz w:val="20"/>
                <w:lang w:val="es-ES"/>
              </w:rPr>
              <w:t>100</w:t>
            </w:r>
          </w:p>
        </w:tc>
        <w:tc>
          <w:tcPr>
            <w:tcW w:w="2694" w:type="dxa"/>
            <w:shd w:val="clear" w:color="auto" w:fill="auto"/>
          </w:tcPr>
          <w:p w:rsidR="00862D0A" w:rsidRPr="00A8388A" w:rsidRDefault="00526131" w:rsidP="00A314DC">
            <w:pPr>
              <w:pStyle w:val="ONUME"/>
              <w:jc w:val="right"/>
              <w:rPr>
                <w:b/>
                <w:sz w:val="20"/>
                <w:lang w:val="es-ES"/>
              </w:rPr>
            </w:pPr>
            <w:r w:rsidRPr="00A8388A">
              <w:rPr>
                <w:b/>
                <w:sz w:val="20"/>
                <w:lang w:val="es-ES"/>
              </w:rPr>
              <w:t>100</w:t>
            </w:r>
          </w:p>
        </w:tc>
        <w:tc>
          <w:tcPr>
            <w:tcW w:w="2976" w:type="dxa"/>
            <w:shd w:val="clear" w:color="auto" w:fill="auto"/>
          </w:tcPr>
          <w:p w:rsidR="00862D0A" w:rsidRPr="00A8388A" w:rsidRDefault="00526131" w:rsidP="00A314DC">
            <w:pPr>
              <w:pStyle w:val="ONUME"/>
              <w:jc w:val="right"/>
              <w:rPr>
                <w:b/>
                <w:sz w:val="20"/>
                <w:lang w:val="es-ES"/>
              </w:rPr>
            </w:pPr>
            <w:r w:rsidRPr="00A8388A">
              <w:rPr>
                <w:b/>
                <w:sz w:val="20"/>
                <w:lang w:val="es-ES"/>
              </w:rPr>
              <w:t>100</w:t>
            </w:r>
          </w:p>
        </w:tc>
        <w:tc>
          <w:tcPr>
            <w:tcW w:w="2977" w:type="dxa"/>
            <w:shd w:val="clear" w:color="auto" w:fill="auto"/>
          </w:tcPr>
          <w:p w:rsidR="00862D0A" w:rsidRPr="00A8388A" w:rsidRDefault="00526131" w:rsidP="00A314DC">
            <w:pPr>
              <w:pStyle w:val="ONUME"/>
              <w:jc w:val="right"/>
              <w:rPr>
                <w:b/>
                <w:sz w:val="20"/>
                <w:lang w:val="es-ES"/>
              </w:rPr>
            </w:pPr>
            <w:r w:rsidRPr="00A8388A">
              <w:rPr>
                <w:b/>
                <w:sz w:val="20"/>
                <w:lang w:val="es-ES"/>
              </w:rPr>
              <w:t>55</w:t>
            </w:r>
          </w:p>
        </w:tc>
      </w:tr>
      <w:tr w:rsidR="00A8388A" w:rsidRPr="00A8388A" w:rsidTr="00A314DC">
        <w:tc>
          <w:tcPr>
            <w:tcW w:w="3652" w:type="dxa"/>
            <w:shd w:val="clear" w:color="auto" w:fill="auto"/>
          </w:tcPr>
          <w:p w:rsidR="00526131" w:rsidRPr="00A8388A" w:rsidRDefault="00EB5CB0" w:rsidP="00EB5CB0">
            <w:pPr>
              <w:pStyle w:val="ONUME"/>
              <w:rPr>
                <w:sz w:val="20"/>
                <w:lang w:val="es-ES"/>
              </w:rPr>
            </w:pPr>
            <w:r w:rsidRPr="00A8388A">
              <w:rPr>
                <w:sz w:val="20"/>
                <w:lang w:val="es-ES"/>
              </w:rPr>
              <w:t>Acciones Suiza</w:t>
            </w:r>
          </w:p>
        </w:tc>
        <w:tc>
          <w:tcPr>
            <w:tcW w:w="1559" w:type="dxa"/>
            <w:shd w:val="clear" w:color="auto" w:fill="auto"/>
          </w:tcPr>
          <w:p w:rsidR="00526131" w:rsidRPr="00A8388A" w:rsidRDefault="00526131" w:rsidP="00A314DC">
            <w:pPr>
              <w:pStyle w:val="ONUME"/>
              <w:jc w:val="right"/>
              <w:rPr>
                <w:sz w:val="20"/>
                <w:lang w:val="es-ES"/>
              </w:rPr>
            </w:pPr>
            <w:r w:rsidRPr="00A8388A">
              <w:rPr>
                <w:sz w:val="20"/>
                <w:lang w:val="es-ES"/>
              </w:rPr>
              <w:t>0</w:t>
            </w:r>
          </w:p>
        </w:tc>
        <w:tc>
          <w:tcPr>
            <w:tcW w:w="2694" w:type="dxa"/>
            <w:shd w:val="clear" w:color="auto" w:fill="auto"/>
          </w:tcPr>
          <w:p w:rsidR="00526131" w:rsidRPr="00A8388A" w:rsidRDefault="00526131" w:rsidP="00A314DC">
            <w:pPr>
              <w:pStyle w:val="ONUME"/>
              <w:jc w:val="right"/>
              <w:rPr>
                <w:sz w:val="20"/>
                <w:lang w:val="es-ES"/>
              </w:rPr>
            </w:pPr>
            <w:r w:rsidRPr="00A8388A">
              <w:rPr>
                <w:sz w:val="20"/>
                <w:lang w:val="es-ES"/>
              </w:rPr>
              <w:t>0</w:t>
            </w:r>
          </w:p>
        </w:tc>
        <w:tc>
          <w:tcPr>
            <w:tcW w:w="2976" w:type="dxa"/>
            <w:shd w:val="clear" w:color="auto" w:fill="auto"/>
          </w:tcPr>
          <w:p w:rsidR="00526131" w:rsidRPr="00A8388A" w:rsidRDefault="00526131" w:rsidP="00A314DC">
            <w:pPr>
              <w:pStyle w:val="ONUME"/>
              <w:jc w:val="right"/>
              <w:rPr>
                <w:sz w:val="20"/>
                <w:lang w:val="es-ES"/>
              </w:rPr>
            </w:pPr>
            <w:r w:rsidRPr="00A8388A">
              <w:rPr>
                <w:sz w:val="20"/>
                <w:lang w:val="es-ES"/>
              </w:rPr>
              <w:t>0</w:t>
            </w:r>
          </w:p>
        </w:tc>
        <w:tc>
          <w:tcPr>
            <w:tcW w:w="2977" w:type="dxa"/>
            <w:shd w:val="clear" w:color="auto" w:fill="auto"/>
          </w:tcPr>
          <w:p w:rsidR="00526131" w:rsidRPr="00A8388A" w:rsidRDefault="00526131" w:rsidP="00A314DC">
            <w:pPr>
              <w:pStyle w:val="ONUME"/>
              <w:jc w:val="right"/>
              <w:rPr>
                <w:sz w:val="20"/>
                <w:lang w:val="es-ES"/>
              </w:rPr>
            </w:pPr>
            <w:r w:rsidRPr="00A8388A">
              <w:rPr>
                <w:sz w:val="20"/>
                <w:lang w:val="es-ES"/>
              </w:rPr>
              <w:t>10</w:t>
            </w:r>
          </w:p>
        </w:tc>
      </w:tr>
      <w:tr w:rsidR="00A8388A" w:rsidRPr="00A8388A" w:rsidTr="00A314DC">
        <w:tc>
          <w:tcPr>
            <w:tcW w:w="3652" w:type="dxa"/>
            <w:shd w:val="clear" w:color="auto" w:fill="auto"/>
          </w:tcPr>
          <w:p w:rsidR="00526131" w:rsidRPr="00A8388A" w:rsidRDefault="00EB5CB0" w:rsidP="003E300A">
            <w:pPr>
              <w:pStyle w:val="ONUME"/>
              <w:rPr>
                <w:sz w:val="20"/>
                <w:lang w:val="es-ES"/>
              </w:rPr>
            </w:pPr>
            <w:r w:rsidRPr="00A8388A">
              <w:rPr>
                <w:sz w:val="20"/>
                <w:lang w:val="es-ES"/>
              </w:rPr>
              <w:t>Acciones extranjero</w:t>
            </w:r>
          </w:p>
        </w:tc>
        <w:tc>
          <w:tcPr>
            <w:tcW w:w="1559" w:type="dxa"/>
            <w:shd w:val="clear" w:color="auto" w:fill="auto"/>
          </w:tcPr>
          <w:p w:rsidR="00526131" w:rsidRPr="00A8388A" w:rsidRDefault="00526131" w:rsidP="00A314DC">
            <w:pPr>
              <w:pStyle w:val="ONUME"/>
              <w:jc w:val="right"/>
              <w:rPr>
                <w:sz w:val="20"/>
                <w:lang w:val="es-ES"/>
              </w:rPr>
            </w:pPr>
            <w:r w:rsidRPr="00A8388A">
              <w:rPr>
                <w:sz w:val="20"/>
                <w:lang w:val="es-ES"/>
              </w:rPr>
              <w:t>0</w:t>
            </w:r>
          </w:p>
        </w:tc>
        <w:tc>
          <w:tcPr>
            <w:tcW w:w="2694" w:type="dxa"/>
            <w:shd w:val="clear" w:color="auto" w:fill="auto"/>
          </w:tcPr>
          <w:p w:rsidR="00526131" w:rsidRPr="00A8388A" w:rsidRDefault="00526131" w:rsidP="00A314DC">
            <w:pPr>
              <w:pStyle w:val="ONUME"/>
              <w:jc w:val="right"/>
              <w:rPr>
                <w:sz w:val="20"/>
                <w:lang w:val="es-ES"/>
              </w:rPr>
            </w:pPr>
            <w:r w:rsidRPr="00A8388A">
              <w:rPr>
                <w:sz w:val="20"/>
                <w:lang w:val="es-ES"/>
              </w:rPr>
              <w:t>0</w:t>
            </w:r>
          </w:p>
        </w:tc>
        <w:tc>
          <w:tcPr>
            <w:tcW w:w="2976" w:type="dxa"/>
            <w:shd w:val="clear" w:color="auto" w:fill="auto"/>
          </w:tcPr>
          <w:p w:rsidR="00526131" w:rsidRPr="00A8388A" w:rsidRDefault="00526131" w:rsidP="00A314DC">
            <w:pPr>
              <w:pStyle w:val="ONUME"/>
              <w:jc w:val="right"/>
              <w:rPr>
                <w:sz w:val="20"/>
                <w:lang w:val="es-ES"/>
              </w:rPr>
            </w:pPr>
            <w:r w:rsidRPr="00A8388A">
              <w:rPr>
                <w:sz w:val="20"/>
                <w:lang w:val="es-ES"/>
              </w:rPr>
              <w:t>0</w:t>
            </w:r>
          </w:p>
        </w:tc>
        <w:tc>
          <w:tcPr>
            <w:tcW w:w="2977" w:type="dxa"/>
            <w:shd w:val="clear" w:color="auto" w:fill="auto"/>
          </w:tcPr>
          <w:p w:rsidR="00526131" w:rsidRPr="00A8388A" w:rsidRDefault="00526131" w:rsidP="00A314DC">
            <w:pPr>
              <w:pStyle w:val="ONUME"/>
              <w:jc w:val="right"/>
              <w:rPr>
                <w:sz w:val="20"/>
                <w:lang w:val="es-ES"/>
              </w:rPr>
            </w:pPr>
            <w:r w:rsidRPr="00A8388A">
              <w:rPr>
                <w:sz w:val="20"/>
                <w:lang w:val="es-ES"/>
              </w:rPr>
              <w:t>15</w:t>
            </w:r>
          </w:p>
        </w:tc>
      </w:tr>
      <w:tr w:rsidR="00A8388A" w:rsidRPr="00A8388A" w:rsidTr="00A314DC">
        <w:tc>
          <w:tcPr>
            <w:tcW w:w="3652" w:type="dxa"/>
            <w:shd w:val="clear" w:color="auto" w:fill="auto"/>
          </w:tcPr>
          <w:p w:rsidR="00526131" w:rsidRPr="00A8388A" w:rsidRDefault="00526131" w:rsidP="00EB5CB0">
            <w:pPr>
              <w:pStyle w:val="ONUME"/>
              <w:rPr>
                <w:b/>
                <w:sz w:val="20"/>
                <w:lang w:val="es-ES"/>
              </w:rPr>
            </w:pPr>
            <w:r w:rsidRPr="00A8388A">
              <w:rPr>
                <w:b/>
                <w:sz w:val="20"/>
                <w:lang w:val="es-ES"/>
              </w:rPr>
              <w:t>Total</w:t>
            </w:r>
            <w:r w:rsidR="00EB5CB0" w:rsidRPr="00A8388A">
              <w:rPr>
                <w:b/>
                <w:sz w:val="20"/>
                <w:lang w:val="es-ES"/>
              </w:rPr>
              <w:t xml:space="preserve"> de acciones</w:t>
            </w:r>
          </w:p>
        </w:tc>
        <w:tc>
          <w:tcPr>
            <w:tcW w:w="1559" w:type="dxa"/>
            <w:shd w:val="clear" w:color="auto" w:fill="auto"/>
          </w:tcPr>
          <w:p w:rsidR="00526131" w:rsidRPr="00A8388A" w:rsidRDefault="00526131" w:rsidP="00A314DC">
            <w:pPr>
              <w:pStyle w:val="ONUME"/>
              <w:jc w:val="right"/>
              <w:rPr>
                <w:b/>
                <w:sz w:val="20"/>
                <w:lang w:val="es-ES"/>
              </w:rPr>
            </w:pPr>
            <w:r w:rsidRPr="00A8388A">
              <w:rPr>
                <w:b/>
                <w:sz w:val="20"/>
                <w:lang w:val="es-ES"/>
              </w:rPr>
              <w:t>0</w:t>
            </w:r>
          </w:p>
        </w:tc>
        <w:tc>
          <w:tcPr>
            <w:tcW w:w="2694" w:type="dxa"/>
            <w:shd w:val="clear" w:color="auto" w:fill="auto"/>
          </w:tcPr>
          <w:p w:rsidR="00526131" w:rsidRPr="00A8388A" w:rsidRDefault="00526131" w:rsidP="00A314DC">
            <w:pPr>
              <w:pStyle w:val="ONUME"/>
              <w:jc w:val="right"/>
              <w:rPr>
                <w:sz w:val="20"/>
                <w:lang w:val="es-ES"/>
              </w:rPr>
            </w:pPr>
            <w:r w:rsidRPr="00A8388A">
              <w:rPr>
                <w:b/>
                <w:sz w:val="20"/>
                <w:lang w:val="es-ES"/>
              </w:rPr>
              <w:t>0</w:t>
            </w:r>
          </w:p>
        </w:tc>
        <w:tc>
          <w:tcPr>
            <w:tcW w:w="2976" w:type="dxa"/>
            <w:shd w:val="clear" w:color="auto" w:fill="auto"/>
          </w:tcPr>
          <w:p w:rsidR="00526131" w:rsidRPr="00A8388A" w:rsidRDefault="00526131" w:rsidP="00A314DC">
            <w:pPr>
              <w:pStyle w:val="ONUME"/>
              <w:jc w:val="right"/>
              <w:rPr>
                <w:sz w:val="20"/>
                <w:lang w:val="es-ES"/>
              </w:rPr>
            </w:pPr>
            <w:r w:rsidRPr="00A8388A">
              <w:rPr>
                <w:b/>
                <w:sz w:val="20"/>
                <w:lang w:val="es-ES"/>
              </w:rPr>
              <w:t>0</w:t>
            </w:r>
          </w:p>
        </w:tc>
        <w:tc>
          <w:tcPr>
            <w:tcW w:w="2977" w:type="dxa"/>
            <w:shd w:val="clear" w:color="auto" w:fill="auto"/>
          </w:tcPr>
          <w:p w:rsidR="00526131" w:rsidRPr="00A8388A" w:rsidRDefault="00526131" w:rsidP="00A314DC">
            <w:pPr>
              <w:pStyle w:val="ONUME"/>
              <w:jc w:val="right"/>
              <w:rPr>
                <w:b/>
                <w:sz w:val="20"/>
                <w:lang w:val="es-ES"/>
              </w:rPr>
            </w:pPr>
            <w:r w:rsidRPr="00A8388A">
              <w:rPr>
                <w:b/>
                <w:sz w:val="20"/>
                <w:lang w:val="es-ES"/>
              </w:rPr>
              <w:t>25</w:t>
            </w:r>
          </w:p>
        </w:tc>
      </w:tr>
      <w:tr w:rsidR="00A8388A" w:rsidRPr="00A8388A" w:rsidTr="00A314DC">
        <w:tc>
          <w:tcPr>
            <w:tcW w:w="3652" w:type="dxa"/>
            <w:shd w:val="clear" w:color="auto" w:fill="auto"/>
          </w:tcPr>
          <w:p w:rsidR="00526131" w:rsidRPr="00A8388A" w:rsidRDefault="00EB5CB0" w:rsidP="00EB5CB0">
            <w:pPr>
              <w:pStyle w:val="ONUME"/>
              <w:rPr>
                <w:sz w:val="20"/>
                <w:lang w:val="es-ES"/>
              </w:rPr>
            </w:pPr>
            <w:r w:rsidRPr="00A8388A">
              <w:rPr>
                <w:sz w:val="20"/>
                <w:lang w:val="es-ES"/>
              </w:rPr>
              <w:t>Inmobiliaria</w:t>
            </w:r>
            <w:r w:rsidR="00526131" w:rsidRPr="00A8388A">
              <w:rPr>
                <w:sz w:val="20"/>
                <w:lang w:val="es-ES"/>
              </w:rPr>
              <w:t xml:space="preserve"> CH (f</w:t>
            </w:r>
            <w:r w:rsidRPr="00A8388A">
              <w:rPr>
                <w:sz w:val="20"/>
                <w:lang w:val="es-ES"/>
              </w:rPr>
              <w:t>ondos</w:t>
            </w:r>
            <w:r w:rsidR="00526131" w:rsidRPr="00A8388A">
              <w:rPr>
                <w:sz w:val="20"/>
                <w:lang w:val="es-ES"/>
              </w:rPr>
              <w:t>)</w:t>
            </w:r>
          </w:p>
        </w:tc>
        <w:tc>
          <w:tcPr>
            <w:tcW w:w="1559" w:type="dxa"/>
            <w:shd w:val="clear" w:color="auto" w:fill="auto"/>
          </w:tcPr>
          <w:p w:rsidR="00526131" w:rsidRPr="00A8388A" w:rsidRDefault="00526131" w:rsidP="00A314DC">
            <w:pPr>
              <w:pStyle w:val="ONUME"/>
              <w:jc w:val="right"/>
              <w:rPr>
                <w:sz w:val="20"/>
                <w:lang w:val="es-ES"/>
              </w:rPr>
            </w:pPr>
            <w:r w:rsidRPr="00A8388A">
              <w:rPr>
                <w:sz w:val="20"/>
                <w:lang w:val="es-ES"/>
              </w:rPr>
              <w:t>0</w:t>
            </w:r>
          </w:p>
        </w:tc>
        <w:tc>
          <w:tcPr>
            <w:tcW w:w="2694" w:type="dxa"/>
            <w:shd w:val="clear" w:color="auto" w:fill="auto"/>
          </w:tcPr>
          <w:p w:rsidR="00526131" w:rsidRPr="00A8388A" w:rsidRDefault="00526131" w:rsidP="00A314DC">
            <w:pPr>
              <w:pStyle w:val="ONUME"/>
              <w:jc w:val="right"/>
              <w:rPr>
                <w:sz w:val="20"/>
                <w:lang w:val="es-ES"/>
              </w:rPr>
            </w:pPr>
            <w:r w:rsidRPr="00A8388A">
              <w:rPr>
                <w:sz w:val="20"/>
                <w:lang w:val="es-ES"/>
              </w:rPr>
              <w:t>0</w:t>
            </w:r>
          </w:p>
        </w:tc>
        <w:tc>
          <w:tcPr>
            <w:tcW w:w="2976" w:type="dxa"/>
            <w:shd w:val="clear" w:color="auto" w:fill="auto"/>
          </w:tcPr>
          <w:p w:rsidR="00526131" w:rsidRPr="00A8388A" w:rsidRDefault="00526131" w:rsidP="00A314DC">
            <w:pPr>
              <w:pStyle w:val="ONUME"/>
              <w:jc w:val="right"/>
              <w:rPr>
                <w:sz w:val="20"/>
                <w:lang w:val="es-ES"/>
              </w:rPr>
            </w:pPr>
            <w:r w:rsidRPr="00A8388A">
              <w:rPr>
                <w:sz w:val="20"/>
                <w:lang w:val="es-ES"/>
              </w:rPr>
              <w:t>0</w:t>
            </w:r>
          </w:p>
        </w:tc>
        <w:tc>
          <w:tcPr>
            <w:tcW w:w="2977" w:type="dxa"/>
            <w:shd w:val="clear" w:color="auto" w:fill="auto"/>
          </w:tcPr>
          <w:p w:rsidR="00526131" w:rsidRPr="00A8388A" w:rsidRDefault="00526131" w:rsidP="00A314DC">
            <w:pPr>
              <w:pStyle w:val="ONUME"/>
              <w:jc w:val="right"/>
              <w:rPr>
                <w:sz w:val="20"/>
                <w:lang w:val="es-ES"/>
              </w:rPr>
            </w:pPr>
            <w:r w:rsidRPr="00A8388A">
              <w:rPr>
                <w:sz w:val="20"/>
                <w:lang w:val="es-ES"/>
              </w:rPr>
              <w:t>10</w:t>
            </w:r>
          </w:p>
        </w:tc>
      </w:tr>
      <w:tr w:rsidR="00A8388A" w:rsidRPr="00A8388A" w:rsidTr="00A314DC">
        <w:tc>
          <w:tcPr>
            <w:tcW w:w="3652" w:type="dxa"/>
            <w:shd w:val="clear" w:color="auto" w:fill="auto"/>
          </w:tcPr>
          <w:p w:rsidR="00526131" w:rsidRPr="00A8388A" w:rsidRDefault="00EB5CB0" w:rsidP="003E300A">
            <w:pPr>
              <w:pStyle w:val="ONUME"/>
              <w:rPr>
                <w:b/>
                <w:sz w:val="20"/>
                <w:lang w:val="es-ES"/>
              </w:rPr>
            </w:pPr>
            <w:r w:rsidRPr="00A8388A">
              <w:rPr>
                <w:b/>
                <w:sz w:val="20"/>
                <w:lang w:val="es-ES"/>
              </w:rPr>
              <w:t>Total inmobiliaria</w:t>
            </w:r>
          </w:p>
        </w:tc>
        <w:tc>
          <w:tcPr>
            <w:tcW w:w="1559" w:type="dxa"/>
            <w:shd w:val="clear" w:color="auto" w:fill="auto"/>
          </w:tcPr>
          <w:p w:rsidR="00526131" w:rsidRPr="00A8388A" w:rsidRDefault="00526131" w:rsidP="00A314DC">
            <w:pPr>
              <w:pStyle w:val="ONUME"/>
              <w:jc w:val="right"/>
              <w:rPr>
                <w:b/>
                <w:sz w:val="20"/>
                <w:lang w:val="es-ES"/>
              </w:rPr>
            </w:pPr>
            <w:r w:rsidRPr="00A8388A">
              <w:rPr>
                <w:b/>
                <w:sz w:val="20"/>
                <w:lang w:val="es-ES"/>
              </w:rPr>
              <w:t>0</w:t>
            </w:r>
          </w:p>
        </w:tc>
        <w:tc>
          <w:tcPr>
            <w:tcW w:w="2694" w:type="dxa"/>
            <w:shd w:val="clear" w:color="auto" w:fill="auto"/>
          </w:tcPr>
          <w:p w:rsidR="00526131" w:rsidRPr="00A8388A" w:rsidRDefault="00526131" w:rsidP="00A314DC">
            <w:pPr>
              <w:pStyle w:val="ONUME"/>
              <w:jc w:val="right"/>
              <w:rPr>
                <w:sz w:val="20"/>
                <w:lang w:val="es-ES"/>
              </w:rPr>
            </w:pPr>
            <w:r w:rsidRPr="00A8388A">
              <w:rPr>
                <w:b/>
                <w:sz w:val="20"/>
                <w:lang w:val="es-ES"/>
              </w:rPr>
              <w:t>0</w:t>
            </w:r>
          </w:p>
        </w:tc>
        <w:tc>
          <w:tcPr>
            <w:tcW w:w="2976" w:type="dxa"/>
            <w:shd w:val="clear" w:color="auto" w:fill="auto"/>
          </w:tcPr>
          <w:p w:rsidR="00526131" w:rsidRPr="00A8388A" w:rsidRDefault="00526131" w:rsidP="00A314DC">
            <w:pPr>
              <w:pStyle w:val="ONUME"/>
              <w:jc w:val="right"/>
              <w:rPr>
                <w:sz w:val="20"/>
                <w:lang w:val="es-ES"/>
              </w:rPr>
            </w:pPr>
            <w:r w:rsidRPr="00A8388A">
              <w:rPr>
                <w:b/>
                <w:sz w:val="20"/>
                <w:lang w:val="es-ES"/>
              </w:rPr>
              <w:t>0</w:t>
            </w:r>
          </w:p>
        </w:tc>
        <w:tc>
          <w:tcPr>
            <w:tcW w:w="2977" w:type="dxa"/>
            <w:shd w:val="clear" w:color="auto" w:fill="auto"/>
          </w:tcPr>
          <w:p w:rsidR="00526131" w:rsidRPr="00A8388A" w:rsidRDefault="00526131" w:rsidP="00A314DC">
            <w:pPr>
              <w:pStyle w:val="ONUME"/>
              <w:jc w:val="right"/>
              <w:rPr>
                <w:b/>
                <w:sz w:val="20"/>
                <w:lang w:val="es-ES"/>
              </w:rPr>
            </w:pPr>
            <w:r w:rsidRPr="00A8388A">
              <w:rPr>
                <w:b/>
                <w:sz w:val="20"/>
                <w:lang w:val="es-ES"/>
              </w:rPr>
              <w:t>10</w:t>
            </w:r>
          </w:p>
        </w:tc>
      </w:tr>
      <w:tr w:rsidR="00A8388A" w:rsidRPr="00A8388A" w:rsidTr="00A314DC">
        <w:tc>
          <w:tcPr>
            <w:tcW w:w="3652" w:type="dxa"/>
            <w:shd w:val="clear" w:color="auto" w:fill="auto"/>
          </w:tcPr>
          <w:p w:rsidR="00526131" w:rsidRPr="00A8388A" w:rsidRDefault="00EB5CB0" w:rsidP="00EB5CB0">
            <w:pPr>
              <w:pStyle w:val="ONUME"/>
              <w:rPr>
                <w:sz w:val="20"/>
                <w:lang w:val="es-ES"/>
              </w:rPr>
            </w:pPr>
            <w:r w:rsidRPr="00A8388A">
              <w:rPr>
                <w:sz w:val="20"/>
                <w:lang w:val="es-ES"/>
              </w:rPr>
              <w:t xml:space="preserve">Títulos vinculados a seguros </w:t>
            </w:r>
            <w:r w:rsidR="00526131" w:rsidRPr="00A8388A">
              <w:rPr>
                <w:sz w:val="20"/>
                <w:lang w:val="es-ES"/>
              </w:rPr>
              <w:t>(</w:t>
            </w:r>
            <w:r w:rsidRPr="00A8388A">
              <w:rPr>
                <w:sz w:val="20"/>
                <w:lang w:val="es-ES"/>
              </w:rPr>
              <w:t>con cobertura cambiaria respecto al</w:t>
            </w:r>
            <w:r w:rsidR="00526131" w:rsidRPr="00A8388A">
              <w:rPr>
                <w:sz w:val="20"/>
                <w:lang w:val="es-ES"/>
              </w:rPr>
              <w:t xml:space="preserve"> CHF)</w:t>
            </w:r>
          </w:p>
        </w:tc>
        <w:tc>
          <w:tcPr>
            <w:tcW w:w="1559" w:type="dxa"/>
            <w:shd w:val="clear" w:color="auto" w:fill="auto"/>
          </w:tcPr>
          <w:p w:rsidR="00526131" w:rsidRPr="00A8388A" w:rsidRDefault="00526131" w:rsidP="00A314DC">
            <w:pPr>
              <w:pStyle w:val="ONUME"/>
              <w:jc w:val="right"/>
              <w:rPr>
                <w:sz w:val="20"/>
                <w:lang w:val="es-ES"/>
              </w:rPr>
            </w:pPr>
            <w:r w:rsidRPr="00A8388A">
              <w:rPr>
                <w:sz w:val="20"/>
                <w:lang w:val="es-ES"/>
              </w:rPr>
              <w:t>0</w:t>
            </w:r>
          </w:p>
        </w:tc>
        <w:tc>
          <w:tcPr>
            <w:tcW w:w="2694" w:type="dxa"/>
            <w:shd w:val="clear" w:color="auto" w:fill="auto"/>
          </w:tcPr>
          <w:p w:rsidR="00526131" w:rsidRPr="00A8388A" w:rsidRDefault="00526131" w:rsidP="00A314DC">
            <w:pPr>
              <w:pStyle w:val="ONUME"/>
              <w:jc w:val="right"/>
              <w:rPr>
                <w:sz w:val="20"/>
                <w:lang w:val="es-ES"/>
              </w:rPr>
            </w:pPr>
            <w:r w:rsidRPr="00A8388A">
              <w:rPr>
                <w:sz w:val="20"/>
                <w:lang w:val="es-ES"/>
              </w:rPr>
              <w:t>0</w:t>
            </w:r>
          </w:p>
        </w:tc>
        <w:tc>
          <w:tcPr>
            <w:tcW w:w="2976" w:type="dxa"/>
            <w:shd w:val="clear" w:color="auto" w:fill="auto"/>
          </w:tcPr>
          <w:p w:rsidR="00526131" w:rsidRPr="00A8388A" w:rsidRDefault="00526131" w:rsidP="00A314DC">
            <w:pPr>
              <w:pStyle w:val="ONUME"/>
              <w:jc w:val="right"/>
              <w:rPr>
                <w:sz w:val="20"/>
                <w:lang w:val="es-ES"/>
              </w:rPr>
            </w:pPr>
            <w:r w:rsidRPr="00A8388A">
              <w:rPr>
                <w:sz w:val="20"/>
                <w:lang w:val="es-ES"/>
              </w:rPr>
              <w:t>0</w:t>
            </w:r>
          </w:p>
        </w:tc>
        <w:tc>
          <w:tcPr>
            <w:tcW w:w="2977" w:type="dxa"/>
            <w:shd w:val="clear" w:color="auto" w:fill="auto"/>
          </w:tcPr>
          <w:p w:rsidR="00526131" w:rsidRPr="00A8388A" w:rsidRDefault="00526131" w:rsidP="00A314DC">
            <w:pPr>
              <w:pStyle w:val="ONUME"/>
              <w:jc w:val="right"/>
              <w:rPr>
                <w:sz w:val="20"/>
                <w:lang w:val="es-ES"/>
              </w:rPr>
            </w:pPr>
            <w:r w:rsidRPr="00A8388A">
              <w:rPr>
                <w:sz w:val="20"/>
                <w:lang w:val="es-ES"/>
              </w:rPr>
              <w:t>5</w:t>
            </w:r>
          </w:p>
        </w:tc>
      </w:tr>
      <w:tr w:rsidR="00A8388A" w:rsidRPr="00A8388A" w:rsidTr="00A314DC">
        <w:tc>
          <w:tcPr>
            <w:tcW w:w="3652" w:type="dxa"/>
            <w:shd w:val="clear" w:color="auto" w:fill="auto"/>
          </w:tcPr>
          <w:p w:rsidR="00526131" w:rsidRPr="00A8388A" w:rsidRDefault="00EB5CB0" w:rsidP="006A2FB5">
            <w:pPr>
              <w:pStyle w:val="ONUME"/>
              <w:rPr>
                <w:sz w:val="20"/>
                <w:lang w:val="es-ES"/>
              </w:rPr>
            </w:pPr>
            <w:r w:rsidRPr="00A8388A">
              <w:rPr>
                <w:sz w:val="20"/>
                <w:lang w:val="es-ES"/>
              </w:rPr>
              <w:t xml:space="preserve">Fondos de inversión especulativos </w:t>
            </w:r>
            <w:r w:rsidR="00526131" w:rsidRPr="00A8388A">
              <w:rPr>
                <w:sz w:val="20"/>
                <w:lang w:val="es-ES"/>
              </w:rPr>
              <w:t>(</w:t>
            </w:r>
            <w:r w:rsidR="006A2FB5" w:rsidRPr="00A8388A">
              <w:rPr>
                <w:sz w:val="20"/>
                <w:lang w:val="es-ES"/>
              </w:rPr>
              <w:t>con cobertura cambiaria respecto al CHF</w:t>
            </w:r>
            <w:r w:rsidR="00526131" w:rsidRPr="00A8388A">
              <w:rPr>
                <w:sz w:val="20"/>
                <w:lang w:val="es-ES"/>
              </w:rPr>
              <w:t>)</w:t>
            </w:r>
          </w:p>
        </w:tc>
        <w:tc>
          <w:tcPr>
            <w:tcW w:w="1559" w:type="dxa"/>
            <w:shd w:val="clear" w:color="auto" w:fill="auto"/>
          </w:tcPr>
          <w:p w:rsidR="00526131" w:rsidRPr="00A8388A" w:rsidRDefault="00526131" w:rsidP="00A314DC">
            <w:pPr>
              <w:pStyle w:val="ONUME"/>
              <w:jc w:val="right"/>
              <w:rPr>
                <w:sz w:val="20"/>
                <w:lang w:val="es-ES"/>
              </w:rPr>
            </w:pPr>
            <w:r w:rsidRPr="00A8388A">
              <w:rPr>
                <w:sz w:val="20"/>
                <w:lang w:val="es-ES"/>
              </w:rPr>
              <w:t>0</w:t>
            </w:r>
          </w:p>
        </w:tc>
        <w:tc>
          <w:tcPr>
            <w:tcW w:w="2694" w:type="dxa"/>
            <w:shd w:val="clear" w:color="auto" w:fill="auto"/>
          </w:tcPr>
          <w:p w:rsidR="00526131" w:rsidRPr="00A8388A" w:rsidRDefault="00526131" w:rsidP="00A314DC">
            <w:pPr>
              <w:pStyle w:val="ONUME"/>
              <w:jc w:val="right"/>
              <w:rPr>
                <w:sz w:val="20"/>
                <w:lang w:val="es-ES"/>
              </w:rPr>
            </w:pPr>
            <w:r w:rsidRPr="00A8388A">
              <w:rPr>
                <w:sz w:val="20"/>
                <w:lang w:val="es-ES"/>
              </w:rPr>
              <w:t>0</w:t>
            </w:r>
          </w:p>
        </w:tc>
        <w:tc>
          <w:tcPr>
            <w:tcW w:w="2976" w:type="dxa"/>
            <w:shd w:val="clear" w:color="auto" w:fill="auto"/>
          </w:tcPr>
          <w:p w:rsidR="00526131" w:rsidRPr="00A8388A" w:rsidRDefault="00526131" w:rsidP="00A314DC">
            <w:pPr>
              <w:pStyle w:val="ONUME"/>
              <w:jc w:val="right"/>
              <w:rPr>
                <w:sz w:val="20"/>
                <w:lang w:val="es-ES"/>
              </w:rPr>
            </w:pPr>
            <w:r w:rsidRPr="00A8388A">
              <w:rPr>
                <w:sz w:val="20"/>
                <w:lang w:val="es-ES"/>
              </w:rPr>
              <w:t>0</w:t>
            </w:r>
          </w:p>
        </w:tc>
        <w:tc>
          <w:tcPr>
            <w:tcW w:w="2977" w:type="dxa"/>
            <w:shd w:val="clear" w:color="auto" w:fill="auto"/>
          </w:tcPr>
          <w:p w:rsidR="00526131" w:rsidRPr="00A8388A" w:rsidRDefault="00526131" w:rsidP="00A314DC">
            <w:pPr>
              <w:pStyle w:val="ONUME"/>
              <w:jc w:val="right"/>
              <w:rPr>
                <w:sz w:val="20"/>
                <w:lang w:val="es-ES"/>
              </w:rPr>
            </w:pPr>
            <w:r w:rsidRPr="00A8388A">
              <w:rPr>
                <w:sz w:val="20"/>
                <w:lang w:val="es-ES"/>
              </w:rPr>
              <w:t>5</w:t>
            </w:r>
          </w:p>
        </w:tc>
      </w:tr>
      <w:tr w:rsidR="00A8388A" w:rsidRPr="00A8388A" w:rsidTr="00A314DC">
        <w:tc>
          <w:tcPr>
            <w:tcW w:w="3652" w:type="dxa"/>
            <w:shd w:val="clear" w:color="auto" w:fill="auto"/>
          </w:tcPr>
          <w:p w:rsidR="00526131" w:rsidRPr="00A8388A" w:rsidRDefault="00526131" w:rsidP="006A2FB5">
            <w:pPr>
              <w:pStyle w:val="ONUME"/>
              <w:rPr>
                <w:b/>
                <w:sz w:val="20"/>
                <w:lang w:val="es-ES"/>
              </w:rPr>
            </w:pPr>
            <w:r w:rsidRPr="00A8388A">
              <w:rPr>
                <w:b/>
                <w:sz w:val="20"/>
                <w:lang w:val="es-ES"/>
              </w:rPr>
              <w:t xml:space="preserve">Total </w:t>
            </w:r>
            <w:r w:rsidR="006A2FB5" w:rsidRPr="00A8388A">
              <w:rPr>
                <w:b/>
                <w:sz w:val="20"/>
                <w:lang w:val="es-ES"/>
              </w:rPr>
              <w:t>de inversiones alternativas</w:t>
            </w:r>
          </w:p>
        </w:tc>
        <w:tc>
          <w:tcPr>
            <w:tcW w:w="1559" w:type="dxa"/>
            <w:shd w:val="clear" w:color="auto" w:fill="auto"/>
          </w:tcPr>
          <w:p w:rsidR="00526131" w:rsidRPr="00A8388A" w:rsidRDefault="00526131" w:rsidP="00A314DC">
            <w:pPr>
              <w:pStyle w:val="ONUME"/>
              <w:jc w:val="right"/>
              <w:rPr>
                <w:b/>
                <w:sz w:val="20"/>
                <w:lang w:val="es-ES"/>
              </w:rPr>
            </w:pPr>
            <w:r w:rsidRPr="00A8388A">
              <w:rPr>
                <w:b/>
                <w:sz w:val="20"/>
                <w:lang w:val="es-ES"/>
              </w:rPr>
              <w:t>0</w:t>
            </w:r>
          </w:p>
        </w:tc>
        <w:tc>
          <w:tcPr>
            <w:tcW w:w="2694" w:type="dxa"/>
            <w:shd w:val="clear" w:color="auto" w:fill="auto"/>
          </w:tcPr>
          <w:p w:rsidR="00526131" w:rsidRPr="00A8388A" w:rsidRDefault="00526131" w:rsidP="00A314DC">
            <w:pPr>
              <w:pStyle w:val="ONUME"/>
              <w:jc w:val="right"/>
              <w:rPr>
                <w:b/>
                <w:sz w:val="20"/>
                <w:lang w:val="es-ES"/>
              </w:rPr>
            </w:pPr>
            <w:r w:rsidRPr="00A8388A">
              <w:rPr>
                <w:b/>
                <w:sz w:val="20"/>
                <w:lang w:val="es-ES"/>
              </w:rPr>
              <w:t>0</w:t>
            </w:r>
          </w:p>
        </w:tc>
        <w:tc>
          <w:tcPr>
            <w:tcW w:w="2976" w:type="dxa"/>
            <w:shd w:val="clear" w:color="auto" w:fill="auto"/>
          </w:tcPr>
          <w:p w:rsidR="00526131" w:rsidRPr="00A8388A" w:rsidRDefault="00526131" w:rsidP="00A314DC">
            <w:pPr>
              <w:pStyle w:val="ONUME"/>
              <w:jc w:val="right"/>
              <w:rPr>
                <w:b/>
                <w:sz w:val="20"/>
                <w:lang w:val="es-ES"/>
              </w:rPr>
            </w:pPr>
            <w:r w:rsidRPr="00A8388A">
              <w:rPr>
                <w:b/>
                <w:sz w:val="20"/>
                <w:lang w:val="es-ES"/>
              </w:rPr>
              <w:t>0</w:t>
            </w:r>
          </w:p>
        </w:tc>
        <w:tc>
          <w:tcPr>
            <w:tcW w:w="2977" w:type="dxa"/>
            <w:shd w:val="clear" w:color="auto" w:fill="auto"/>
          </w:tcPr>
          <w:p w:rsidR="00526131" w:rsidRPr="00A8388A" w:rsidRDefault="00526131" w:rsidP="00A314DC">
            <w:pPr>
              <w:pStyle w:val="ONUME"/>
              <w:jc w:val="right"/>
              <w:rPr>
                <w:b/>
                <w:sz w:val="20"/>
                <w:lang w:val="es-ES"/>
              </w:rPr>
            </w:pPr>
            <w:r w:rsidRPr="00A8388A">
              <w:rPr>
                <w:b/>
                <w:sz w:val="20"/>
                <w:lang w:val="es-ES"/>
              </w:rPr>
              <w:t>10</w:t>
            </w:r>
          </w:p>
        </w:tc>
      </w:tr>
      <w:tr w:rsidR="00A8388A" w:rsidRPr="00A8388A" w:rsidTr="00A314DC">
        <w:tc>
          <w:tcPr>
            <w:tcW w:w="3652" w:type="dxa"/>
            <w:shd w:val="clear" w:color="auto" w:fill="auto"/>
          </w:tcPr>
          <w:p w:rsidR="00526131" w:rsidRPr="00A8388A" w:rsidRDefault="00526131" w:rsidP="006A2FB5">
            <w:pPr>
              <w:pStyle w:val="ONUME"/>
              <w:rPr>
                <w:b/>
                <w:sz w:val="20"/>
                <w:lang w:val="es-ES"/>
              </w:rPr>
            </w:pPr>
            <w:r w:rsidRPr="00A8388A">
              <w:rPr>
                <w:b/>
                <w:sz w:val="20"/>
                <w:lang w:val="es-ES"/>
              </w:rPr>
              <w:t xml:space="preserve">Total </w:t>
            </w:r>
            <w:r w:rsidR="006A2FB5" w:rsidRPr="00A8388A">
              <w:rPr>
                <w:b/>
                <w:sz w:val="20"/>
                <w:lang w:val="es-ES"/>
              </w:rPr>
              <w:t>de activos tangibles</w:t>
            </w:r>
          </w:p>
        </w:tc>
        <w:tc>
          <w:tcPr>
            <w:tcW w:w="1559" w:type="dxa"/>
            <w:shd w:val="clear" w:color="auto" w:fill="auto"/>
          </w:tcPr>
          <w:p w:rsidR="00526131" w:rsidRPr="00A8388A" w:rsidRDefault="00526131" w:rsidP="00A314DC">
            <w:pPr>
              <w:pStyle w:val="ONUME"/>
              <w:jc w:val="right"/>
              <w:rPr>
                <w:b/>
                <w:sz w:val="20"/>
                <w:lang w:val="es-ES"/>
              </w:rPr>
            </w:pPr>
            <w:r w:rsidRPr="00A8388A">
              <w:rPr>
                <w:b/>
                <w:sz w:val="20"/>
                <w:lang w:val="es-ES"/>
              </w:rPr>
              <w:t>0</w:t>
            </w:r>
          </w:p>
        </w:tc>
        <w:tc>
          <w:tcPr>
            <w:tcW w:w="2694" w:type="dxa"/>
            <w:shd w:val="clear" w:color="auto" w:fill="auto"/>
          </w:tcPr>
          <w:p w:rsidR="00526131" w:rsidRPr="00A8388A" w:rsidRDefault="00526131" w:rsidP="00A314DC">
            <w:pPr>
              <w:pStyle w:val="ONUME"/>
              <w:jc w:val="right"/>
              <w:rPr>
                <w:b/>
                <w:sz w:val="20"/>
                <w:lang w:val="es-ES"/>
              </w:rPr>
            </w:pPr>
            <w:r w:rsidRPr="00A8388A">
              <w:rPr>
                <w:b/>
                <w:sz w:val="20"/>
                <w:lang w:val="es-ES"/>
              </w:rPr>
              <w:t>0</w:t>
            </w:r>
          </w:p>
        </w:tc>
        <w:tc>
          <w:tcPr>
            <w:tcW w:w="2976" w:type="dxa"/>
            <w:shd w:val="clear" w:color="auto" w:fill="auto"/>
          </w:tcPr>
          <w:p w:rsidR="00526131" w:rsidRPr="00A8388A" w:rsidRDefault="00526131" w:rsidP="00A314DC">
            <w:pPr>
              <w:pStyle w:val="ONUME"/>
              <w:jc w:val="right"/>
              <w:rPr>
                <w:b/>
                <w:sz w:val="20"/>
                <w:lang w:val="es-ES"/>
              </w:rPr>
            </w:pPr>
            <w:r w:rsidRPr="00A8388A">
              <w:rPr>
                <w:b/>
                <w:sz w:val="20"/>
                <w:lang w:val="es-ES"/>
              </w:rPr>
              <w:t>0</w:t>
            </w:r>
          </w:p>
        </w:tc>
        <w:tc>
          <w:tcPr>
            <w:tcW w:w="2977" w:type="dxa"/>
            <w:shd w:val="clear" w:color="auto" w:fill="auto"/>
          </w:tcPr>
          <w:p w:rsidR="00526131" w:rsidRPr="00A8388A" w:rsidRDefault="00526131" w:rsidP="00A314DC">
            <w:pPr>
              <w:pStyle w:val="ONUME"/>
              <w:jc w:val="right"/>
              <w:rPr>
                <w:b/>
                <w:sz w:val="20"/>
                <w:lang w:val="es-ES"/>
              </w:rPr>
            </w:pPr>
            <w:r w:rsidRPr="00A8388A">
              <w:rPr>
                <w:b/>
                <w:sz w:val="20"/>
                <w:lang w:val="es-ES"/>
              </w:rPr>
              <w:t>45</w:t>
            </w:r>
          </w:p>
        </w:tc>
      </w:tr>
      <w:tr w:rsidR="00A8388A" w:rsidRPr="00A8388A" w:rsidTr="00A314DC">
        <w:tc>
          <w:tcPr>
            <w:tcW w:w="3652" w:type="dxa"/>
            <w:shd w:val="pct10" w:color="auto" w:fill="auto"/>
          </w:tcPr>
          <w:p w:rsidR="00526131" w:rsidRPr="00A8388A" w:rsidRDefault="00526131" w:rsidP="003E300A">
            <w:pPr>
              <w:pStyle w:val="ONUME"/>
              <w:rPr>
                <w:b/>
                <w:sz w:val="20"/>
                <w:lang w:val="es-ES"/>
              </w:rPr>
            </w:pPr>
            <w:r w:rsidRPr="00A8388A">
              <w:rPr>
                <w:b/>
                <w:sz w:val="20"/>
                <w:lang w:val="es-ES"/>
              </w:rPr>
              <w:t>Total</w:t>
            </w:r>
          </w:p>
        </w:tc>
        <w:tc>
          <w:tcPr>
            <w:tcW w:w="1559" w:type="dxa"/>
            <w:shd w:val="pct10" w:color="auto" w:fill="auto"/>
          </w:tcPr>
          <w:p w:rsidR="00526131" w:rsidRPr="00A8388A" w:rsidRDefault="00526131" w:rsidP="00A314DC">
            <w:pPr>
              <w:pStyle w:val="ONUME"/>
              <w:jc w:val="right"/>
              <w:rPr>
                <w:b/>
                <w:sz w:val="20"/>
                <w:lang w:val="es-ES"/>
              </w:rPr>
            </w:pPr>
            <w:r w:rsidRPr="00A8388A">
              <w:rPr>
                <w:b/>
                <w:sz w:val="20"/>
                <w:lang w:val="es-ES"/>
              </w:rPr>
              <w:t>100</w:t>
            </w:r>
          </w:p>
        </w:tc>
        <w:tc>
          <w:tcPr>
            <w:tcW w:w="2694" w:type="dxa"/>
            <w:shd w:val="pct10" w:color="auto" w:fill="auto"/>
          </w:tcPr>
          <w:p w:rsidR="00526131" w:rsidRPr="00A8388A" w:rsidRDefault="00526131" w:rsidP="00A314DC">
            <w:pPr>
              <w:pStyle w:val="ONUME"/>
              <w:jc w:val="right"/>
              <w:rPr>
                <w:b/>
                <w:sz w:val="20"/>
                <w:lang w:val="es-ES"/>
              </w:rPr>
            </w:pPr>
            <w:r w:rsidRPr="00A8388A">
              <w:rPr>
                <w:b/>
                <w:sz w:val="20"/>
                <w:lang w:val="es-ES"/>
              </w:rPr>
              <w:t>100</w:t>
            </w:r>
          </w:p>
        </w:tc>
        <w:tc>
          <w:tcPr>
            <w:tcW w:w="2976" w:type="dxa"/>
            <w:shd w:val="pct10" w:color="auto" w:fill="auto"/>
          </w:tcPr>
          <w:p w:rsidR="00526131" w:rsidRPr="00A8388A" w:rsidRDefault="00526131" w:rsidP="00A314DC">
            <w:pPr>
              <w:pStyle w:val="ONUME"/>
              <w:jc w:val="right"/>
              <w:rPr>
                <w:b/>
                <w:sz w:val="20"/>
                <w:lang w:val="es-ES"/>
              </w:rPr>
            </w:pPr>
            <w:r w:rsidRPr="00A8388A">
              <w:rPr>
                <w:b/>
                <w:sz w:val="20"/>
                <w:lang w:val="es-ES"/>
              </w:rPr>
              <w:t>100</w:t>
            </w:r>
          </w:p>
        </w:tc>
        <w:tc>
          <w:tcPr>
            <w:tcW w:w="2977" w:type="dxa"/>
            <w:shd w:val="pct10" w:color="auto" w:fill="auto"/>
          </w:tcPr>
          <w:p w:rsidR="00526131" w:rsidRPr="00A8388A" w:rsidRDefault="00526131" w:rsidP="00A314DC">
            <w:pPr>
              <w:pStyle w:val="ONUME"/>
              <w:jc w:val="right"/>
              <w:rPr>
                <w:b/>
                <w:sz w:val="20"/>
                <w:lang w:val="es-ES"/>
              </w:rPr>
            </w:pPr>
            <w:r w:rsidRPr="00A8388A">
              <w:rPr>
                <w:b/>
                <w:sz w:val="20"/>
                <w:lang w:val="es-ES"/>
              </w:rPr>
              <w:t>100</w:t>
            </w:r>
          </w:p>
        </w:tc>
      </w:tr>
      <w:tr w:rsidR="00A8388A" w:rsidRPr="00A8388A" w:rsidTr="00A314DC">
        <w:tc>
          <w:tcPr>
            <w:tcW w:w="3652" w:type="dxa"/>
            <w:shd w:val="clear" w:color="auto" w:fill="auto"/>
          </w:tcPr>
          <w:p w:rsidR="00526131" w:rsidRPr="00A8388A" w:rsidRDefault="006A2FB5" w:rsidP="003E300A">
            <w:pPr>
              <w:pStyle w:val="ONUME"/>
              <w:rPr>
                <w:b/>
                <w:sz w:val="20"/>
                <w:lang w:val="es-ES"/>
              </w:rPr>
            </w:pPr>
            <w:r w:rsidRPr="00A8388A">
              <w:rPr>
                <w:b/>
                <w:sz w:val="20"/>
                <w:lang w:val="es-ES"/>
              </w:rPr>
              <w:t>Exposición cambiaria</w:t>
            </w:r>
          </w:p>
        </w:tc>
        <w:tc>
          <w:tcPr>
            <w:tcW w:w="1559" w:type="dxa"/>
            <w:shd w:val="clear" w:color="auto" w:fill="auto"/>
          </w:tcPr>
          <w:p w:rsidR="00526131" w:rsidRPr="00A8388A" w:rsidRDefault="00526131" w:rsidP="00A314DC">
            <w:pPr>
              <w:pStyle w:val="ONUME"/>
              <w:jc w:val="right"/>
              <w:rPr>
                <w:b/>
                <w:sz w:val="20"/>
                <w:lang w:val="es-ES"/>
              </w:rPr>
            </w:pPr>
            <w:r w:rsidRPr="00A8388A">
              <w:rPr>
                <w:b/>
                <w:sz w:val="20"/>
                <w:lang w:val="es-ES"/>
              </w:rPr>
              <w:t>0</w:t>
            </w:r>
          </w:p>
        </w:tc>
        <w:tc>
          <w:tcPr>
            <w:tcW w:w="2694" w:type="dxa"/>
            <w:shd w:val="clear" w:color="auto" w:fill="auto"/>
          </w:tcPr>
          <w:p w:rsidR="00526131" w:rsidRPr="00A8388A" w:rsidRDefault="00526131" w:rsidP="00A314DC">
            <w:pPr>
              <w:pStyle w:val="ONUME"/>
              <w:jc w:val="right"/>
              <w:rPr>
                <w:b/>
                <w:sz w:val="20"/>
                <w:lang w:val="es-ES"/>
              </w:rPr>
            </w:pPr>
            <w:r w:rsidRPr="00A8388A">
              <w:rPr>
                <w:b/>
                <w:sz w:val="20"/>
                <w:lang w:val="es-ES"/>
              </w:rPr>
              <w:t>0</w:t>
            </w:r>
          </w:p>
        </w:tc>
        <w:tc>
          <w:tcPr>
            <w:tcW w:w="2976" w:type="dxa"/>
            <w:shd w:val="clear" w:color="auto" w:fill="auto"/>
          </w:tcPr>
          <w:p w:rsidR="00526131" w:rsidRPr="00A8388A" w:rsidRDefault="00526131" w:rsidP="00A314DC">
            <w:pPr>
              <w:pStyle w:val="ONUME"/>
              <w:jc w:val="right"/>
              <w:rPr>
                <w:b/>
                <w:sz w:val="20"/>
                <w:lang w:val="es-ES"/>
              </w:rPr>
            </w:pPr>
            <w:r w:rsidRPr="00A8388A">
              <w:rPr>
                <w:b/>
                <w:sz w:val="20"/>
                <w:lang w:val="es-ES"/>
              </w:rPr>
              <w:t>0</w:t>
            </w:r>
          </w:p>
        </w:tc>
        <w:tc>
          <w:tcPr>
            <w:tcW w:w="2977" w:type="dxa"/>
            <w:shd w:val="clear" w:color="auto" w:fill="auto"/>
          </w:tcPr>
          <w:p w:rsidR="00526131" w:rsidRPr="00A8388A" w:rsidRDefault="00526131" w:rsidP="00A314DC">
            <w:pPr>
              <w:pStyle w:val="ONUME"/>
              <w:jc w:val="right"/>
              <w:rPr>
                <w:b/>
                <w:sz w:val="20"/>
                <w:lang w:val="es-ES"/>
              </w:rPr>
            </w:pPr>
            <w:r w:rsidRPr="00A8388A">
              <w:rPr>
                <w:b/>
                <w:sz w:val="20"/>
                <w:lang w:val="es-ES"/>
              </w:rPr>
              <w:t>15</w:t>
            </w:r>
          </w:p>
        </w:tc>
      </w:tr>
    </w:tbl>
    <w:p w:rsidR="00862D0A" w:rsidRPr="00A8388A" w:rsidRDefault="004C13C2" w:rsidP="003E300A">
      <w:pPr>
        <w:pStyle w:val="ONUME"/>
        <w:rPr>
          <w:sz w:val="20"/>
          <w:lang w:val="es-ES"/>
        </w:rPr>
      </w:pPr>
      <w:r w:rsidRPr="00A8388A">
        <w:rPr>
          <w:noProof/>
          <w:sz w:val="20"/>
          <w:lang w:eastAsia="en-US"/>
        </w:rPr>
        <mc:AlternateContent>
          <mc:Choice Requires="wps">
            <w:drawing>
              <wp:anchor distT="0" distB="0" distL="114300" distR="114300" simplePos="0" relativeHeight="251659264" behindDoc="0" locked="0" layoutInCell="1" allowOverlap="1" wp14:anchorId="0BEF7627" wp14:editId="7C945C01">
                <wp:simplePos x="0" y="0"/>
                <wp:positionH relativeFrom="column">
                  <wp:posOffset>80645</wp:posOffset>
                </wp:positionH>
                <wp:positionV relativeFrom="paragraph">
                  <wp:posOffset>192405</wp:posOffset>
                </wp:positionV>
                <wp:extent cx="5600700" cy="0"/>
                <wp:effectExtent l="0" t="133350" r="0" b="133350"/>
                <wp:wrapNone/>
                <wp:docPr id="7" name="Straight Arrow Connector 7"/>
                <wp:cNvGraphicFramePr/>
                <a:graphic xmlns:a="http://schemas.openxmlformats.org/drawingml/2006/main">
                  <a:graphicData uri="http://schemas.microsoft.com/office/word/2010/wordprocessingShape">
                    <wps:wsp>
                      <wps:cNvCnPr/>
                      <wps:spPr>
                        <a:xfrm>
                          <a:off x="0" y="0"/>
                          <a:ext cx="5600700" cy="0"/>
                        </a:xfrm>
                        <a:prstGeom prst="straightConnector1">
                          <a:avLst/>
                        </a:prstGeom>
                        <a:ln w="317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6.35pt;margin-top:15.15pt;width:44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" strokecolor="black [3213]" strokeweight="2.5pt">
                <v:stroke endarrow="open"/>
              </v:shape>
            </w:pict>
          </mc:Fallback>
        </mc:AlternateContent>
      </w:r>
    </w:p>
    <w:p w:rsidR="00DC4916" w:rsidRPr="00A8388A" w:rsidRDefault="006A2FB5">
      <w:pPr>
        <w:pStyle w:val="ONUME"/>
        <w:ind w:firstLine="2552"/>
        <w:rPr>
          <w:sz w:val="20"/>
          <w:lang w:val="es-ES"/>
        </w:rPr>
      </w:pPr>
      <w:r w:rsidRPr="00A8388A">
        <w:rPr>
          <w:sz w:val="20"/>
          <w:lang w:val="es-ES"/>
        </w:rPr>
        <w:t>Aumento de la diversificación</w:t>
      </w:r>
      <w:r w:rsidR="00DC4916" w:rsidRPr="00A8388A">
        <w:rPr>
          <w:sz w:val="20"/>
          <w:lang w:val="es-ES"/>
        </w:rPr>
        <w:br w:type="page"/>
      </w:r>
    </w:p>
    <w:tbl>
      <w:tblPr>
        <w:tblStyle w:val="TableGrid"/>
        <w:tblW w:w="0" w:type="auto"/>
        <w:jc w:val="center"/>
        <w:tblLayout w:type="fixed"/>
        <w:tblLook w:val="04A0" w:firstRow="1" w:lastRow="0" w:firstColumn="1" w:lastColumn="0" w:noHBand="0" w:noVBand="1"/>
      </w:tblPr>
      <w:tblGrid>
        <w:gridCol w:w="5353"/>
        <w:gridCol w:w="1134"/>
        <w:gridCol w:w="1985"/>
        <w:gridCol w:w="2126"/>
        <w:gridCol w:w="2268"/>
      </w:tblGrid>
      <w:tr w:rsidR="00A8388A" w:rsidRPr="00A8388A" w:rsidTr="002D5273">
        <w:trPr>
          <w:trHeight w:val="359"/>
          <w:jc w:val="center"/>
        </w:trPr>
        <w:tc>
          <w:tcPr>
            <w:tcW w:w="5353" w:type="dxa"/>
            <w:tcBorders>
              <w:top w:val="nil"/>
              <w:left w:val="nil"/>
              <w:bottom w:val="nil"/>
              <w:right w:val="nil"/>
            </w:tcBorders>
            <w:shd w:val="pct10" w:color="auto" w:fill="auto"/>
          </w:tcPr>
          <w:p w:rsidR="0022611D" w:rsidRPr="00A8388A" w:rsidRDefault="00195435" w:rsidP="00195435">
            <w:pPr>
              <w:pStyle w:val="ONUME"/>
              <w:rPr>
                <w:b/>
                <w:sz w:val="20"/>
                <w:lang w:val="es-ES"/>
              </w:rPr>
            </w:pPr>
            <w:r w:rsidRPr="00A8388A">
              <w:rPr>
                <w:b/>
                <w:sz w:val="20"/>
                <w:lang w:val="es-ES"/>
              </w:rPr>
              <w:lastRenderedPageBreak/>
              <w:t>Riesgo</w:t>
            </w:r>
            <w:r w:rsidR="0022611D" w:rsidRPr="00A8388A">
              <w:rPr>
                <w:b/>
                <w:sz w:val="20"/>
                <w:lang w:val="es-ES"/>
              </w:rPr>
              <w:t>-</w:t>
            </w:r>
            <w:r w:rsidRPr="00A8388A">
              <w:rPr>
                <w:b/>
                <w:sz w:val="20"/>
                <w:lang w:val="es-ES"/>
              </w:rPr>
              <w:t>rentabilidad de las estrategias de cartera</w:t>
            </w:r>
          </w:p>
        </w:tc>
        <w:tc>
          <w:tcPr>
            <w:tcW w:w="1134" w:type="dxa"/>
            <w:tcBorders>
              <w:top w:val="nil"/>
              <w:left w:val="nil"/>
              <w:bottom w:val="nil"/>
              <w:right w:val="nil"/>
            </w:tcBorders>
            <w:shd w:val="pct10" w:color="auto" w:fill="auto"/>
          </w:tcPr>
          <w:p w:rsidR="0022611D" w:rsidRPr="00A8388A" w:rsidRDefault="00195435" w:rsidP="003E300A">
            <w:pPr>
              <w:pStyle w:val="ONUME"/>
              <w:rPr>
                <w:b/>
                <w:sz w:val="20"/>
                <w:lang w:val="es-ES"/>
              </w:rPr>
            </w:pPr>
            <w:r w:rsidRPr="00A8388A">
              <w:rPr>
                <w:b/>
                <w:sz w:val="20"/>
                <w:lang w:val="es-ES"/>
              </w:rPr>
              <w:t>Cartera</w:t>
            </w:r>
          </w:p>
        </w:tc>
        <w:tc>
          <w:tcPr>
            <w:tcW w:w="1985" w:type="dxa"/>
            <w:tcBorders>
              <w:top w:val="nil"/>
              <w:left w:val="nil"/>
              <w:bottom w:val="nil"/>
              <w:right w:val="nil"/>
            </w:tcBorders>
            <w:shd w:val="pct10" w:color="auto" w:fill="auto"/>
          </w:tcPr>
          <w:p w:rsidR="0022611D" w:rsidRPr="00A8388A" w:rsidRDefault="00195435" w:rsidP="00195435">
            <w:pPr>
              <w:pStyle w:val="ONUME"/>
              <w:rPr>
                <w:b/>
                <w:sz w:val="20"/>
                <w:lang w:val="es-ES"/>
              </w:rPr>
            </w:pPr>
            <w:r w:rsidRPr="00A8388A">
              <w:rPr>
                <w:b/>
                <w:sz w:val="20"/>
                <w:lang w:val="es-ES"/>
              </w:rPr>
              <w:t>Estrategia</w:t>
            </w:r>
            <w:r w:rsidR="0022611D" w:rsidRPr="00A8388A">
              <w:rPr>
                <w:b/>
                <w:sz w:val="20"/>
                <w:lang w:val="es-ES"/>
              </w:rPr>
              <w:t xml:space="preserve"> A</w:t>
            </w:r>
          </w:p>
        </w:tc>
        <w:tc>
          <w:tcPr>
            <w:tcW w:w="2126" w:type="dxa"/>
            <w:tcBorders>
              <w:top w:val="nil"/>
              <w:left w:val="nil"/>
              <w:bottom w:val="nil"/>
              <w:right w:val="nil"/>
            </w:tcBorders>
            <w:shd w:val="pct10" w:color="auto" w:fill="auto"/>
          </w:tcPr>
          <w:p w:rsidR="0022611D" w:rsidRPr="00A8388A" w:rsidRDefault="00195435" w:rsidP="003E300A">
            <w:pPr>
              <w:pStyle w:val="ONUME"/>
              <w:rPr>
                <w:b/>
                <w:sz w:val="20"/>
                <w:lang w:val="es-ES"/>
              </w:rPr>
            </w:pPr>
            <w:r w:rsidRPr="00A8388A">
              <w:rPr>
                <w:b/>
                <w:sz w:val="20"/>
                <w:lang w:val="es-ES"/>
              </w:rPr>
              <w:t>Estrategia</w:t>
            </w:r>
            <w:r w:rsidR="0022611D" w:rsidRPr="00A8388A">
              <w:rPr>
                <w:b/>
                <w:sz w:val="20"/>
                <w:lang w:val="es-ES"/>
              </w:rPr>
              <w:t xml:space="preserve"> B</w:t>
            </w:r>
          </w:p>
        </w:tc>
        <w:tc>
          <w:tcPr>
            <w:tcW w:w="2268" w:type="dxa"/>
            <w:tcBorders>
              <w:top w:val="nil"/>
              <w:left w:val="nil"/>
              <w:bottom w:val="nil"/>
              <w:right w:val="nil"/>
            </w:tcBorders>
            <w:shd w:val="pct10" w:color="auto" w:fill="auto"/>
          </w:tcPr>
          <w:p w:rsidR="0022611D" w:rsidRPr="00A8388A" w:rsidRDefault="00195435" w:rsidP="003E300A">
            <w:pPr>
              <w:pStyle w:val="ONUME"/>
              <w:rPr>
                <w:b/>
                <w:sz w:val="20"/>
                <w:lang w:val="es-ES"/>
              </w:rPr>
            </w:pPr>
            <w:r w:rsidRPr="00A8388A">
              <w:rPr>
                <w:b/>
                <w:sz w:val="20"/>
                <w:lang w:val="es-ES"/>
              </w:rPr>
              <w:t>Estrategia</w:t>
            </w:r>
            <w:r w:rsidR="0022611D" w:rsidRPr="00A8388A">
              <w:rPr>
                <w:b/>
                <w:sz w:val="20"/>
                <w:lang w:val="es-ES"/>
              </w:rPr>
              <w:t xml:space="preserve"> C</w:t>
            </w:r>
          </w:p>
        </w:tc>
      </w:tr>
      <w:tr w:rsidR="00A8388A" w:rsidRPr="00A8388A" w:rsidTr="002D5273">
        <w:trPr>
          <w:trHeight w:val="172"/>
          <w:jc w:val="center"/>
        </w:trPr>
        <w:tc>
          <w:tcPr>
            <w:tcW w:w="5353" w:type="dxa"/>
            <w:tcBorders>
              <w:top w:val="nil"/>
              <w:left w:val="nil"/>
              <w:bottom w:val="nil"/>
              <w:right w:val="nil"/>
            </w:tcBorders>
            <w:shd w:val="clear" w:color="auto" w:fill="auto"/>
          </w:tcPr>
          <w:p w:rsidR="0022611D" w:rsidRPr="00A8388A" w:rsidRDefault="00195435" w:rsidP="00195435">
            <w:pPr>
              <w:pStyle w:val="ONUME"/>
              <w:rPr>
                <w:b/>
                <w:sz w:val="20"/>
                <w:lang w:val="es-ES"/>
              </w:rPr>
            </w:pPr>
            <w:r w:rsidRPr="00A8388A">
              <w:rPr>
                <w:b/>
                <w:sz w:val="20"/>
                <w:lang w:val="es-ES"/>
              </w:rPr>
              <w:t>Escenarios a medio plazo</w:t>
            </w:r>
            <w:r w:rsidR="0022611D" w:rsidRPr="00A8388A">
              <w:rPr>
                <w:b/>
                <w:sz w:val="20"/>
                <w:lang w:val="es-ES"/>
              </w:rPr>
              <w:t xml:space="preserve"> (2015-2020)</w:t>
            </w:r>
          </w:p>
        </w:tc>
        <w:tc>
          <w:tcPr>
            <w:tcW w:w="1134" w:type="dxa"/>
            <w:tcBorders>
              <w:top w:val="nil"/>
              <w:left w:val="nil"/>
              <w:bottom w:val="nil"/>
              <w:right w:val="nil"/>
            </w:tcBorders>
            <w:shd w:val="clear" w:color="auto" w:fill="auto"/>
            <w:vAlign w:val="bottom"/>
          </w:tcPr>
          <w:p w:rsidR="0022611D" w:rsidRPr="00A8388A" w:rsidRDefault="0022611D" w:rsidP="00A314DC">
            <w:pPr>
              <w:pStyle w:val="ONUME"/>
              <w:jc w:val="center"/>
              <w:rPr>
                <w:sz w:val="20"/>
                <w:lang w:val="es-ES"/>
              </w:rPr>
            </w:pPr>
          </w:p>
        </w:tc>
        <w:tc>
          <w:tcPr>
            <w:tcW w:w="1985" w:type="dxa"/>
            <w:tcBorders>
              <w:top w:val="nil"/>
              <w:left w:val="nil"/>
              <w:bottom w:val="nil"/>
              <w:right w:val="nil"/>
            </w:tcBorders>
            <w:shd w:val="clear" w:color="auto" w:fill="auto"/>
            <w:vAlign w:val="bottom"/>
          </w:tcPr>
          <w:p w:rsidR="0022611D" w:rsidRPr="00A8388A" w:rsidRDefault="0022611D" w:rsidP="00A314DC">
            <w:pPr>
              <w:pStyle w:val="ONUME"/>
              <w:jc w:val="center"/>
              <w:rPr>
                <w:sz w:val="20"/>
                <w:lang w:val="es-ES"/>
              </w:rPr>
            </w:pPr>
          </w:p>
        </w:tc>
        <w:tc>
          <w:tcPr>
            <w:tcW w:w="2126" w:type="dxa"/>
            <w:tcBorders>
              <w:top w:val="nil"/>
              <w:left w:val="nil"/>
              <w:bottom w:val="nil"/>
              <w:right w:val="nil"/>
            </w:tcBorders>
            <w:shd w:val="clear" w:color="auto" w:fill="auto"/>
            <w:vAlign w:val="bottom"/>
          </w:tcPr>
          <w:p w:rsidR="0022611D" w:rsidRPr="00A8388A" w:rsidRDefault="0022611D" w:rsidP="00A314DC">
            <w:pPr>
              <w:pStyle w:val="ONUME"/>
              <w:jc w:val="center"/>
              <w:rPr>
                <w:sz w:val="20"/>
                <w:lang w:val="es-ES"/>
              </w:rPr>
            </w:pPr>
          </w:p>
        </w:tc>
        <w:tc>
          <w:tcPr>
            <w:tcW w:w="2268" w:type="dxa"/>
            <w:tcBorders>
              <w:top w:val="nil"/>
              <w:left w:val="nil"/>
              <w:bottom w:val="nil"/>
              <w:right w:val="nil"/>
            </w:tcBorders>
            <w:shd w:val="clear" w:color="auto" w:fill="auto"/>
            <w:vAlign w:val="bottom"/>
          </w:tcPr>
          <w:p w:rsidR="0022611D" w:rsidRPr="00A8388A" w:rsidRDefault="0022611D" w:rsidP="00A314DC">
            <w:pPr>
              <w:pStyle w:val="ONUME"/>
              <w:jc w:val="center"/>
              <w:rPr>
                <w:sz w:val="20"/>
                <w:lang w:val="es-ES"/>
              </w:rPr>
            </w:pPr>
          </w:p>
        </w:tc>
      </w:tr>
      <w:tr w:rsidR="00A8388A" w:rsidRPr="00A8388A" w:rsidTr="002D5273">
        <w:trPr>
          <w:trHeight w:val="315"/>
          <w:jc w:val="center"/>
        </w:trPr>
        <w:tc>
          <w:tcPr>
            <w:tcW w:w="5353" w:type="dxa"/>
            <w:tcBorders>
              <w:top w:val="nil"/>
              <w:left w:val="nil"/>
              <w:bottom w:val="nil"/>
              <w:right w:val="nil"/>
            </w:tcBorders>
            <w:shd w:val="clear" w:color="auto" w:fill="auto"/>
          </w:tcPr>
          <w:p w:rsidR="0022611D" w:rsidRPr="00A8388A" w:rsidRDefault="00195435" w:rsidP="00195435">
            <w:pPr>
              <w:pStyle w:val="ONUME"/>
              <w:ind w:firstLine="426"/>
              <w:rPr>
                <w:sz w:val="20"/>
                <w:lang w:val="es-ES"/>
              </w:rPr>
            </w:pPr>
            <w:r w:rsidRPr="00A8388A">
              <w:rPr>
                <w:sz w:val="20"/>
                <w:lang w:val="es-ES"/>
              </w:rPr>
              <w:t>Potencial de rentabilidad del “escenario base”</w:t>
            </w:r>
          </w:p>
        </w:tc>
        <w:tc>
          <w:tcPr>
            <w:tcW w:w="1134" w:type="dxa"/>
            <w:tcBorders>
              <w:top w:val="nil"/>
              <w:left w:val="nil"/>
              <w:bottom w:val="nil"/>
              <w:right w:val="nil"/>
            </w:tcBorders>
            <w:shd w:val="clear" w:color="auto" w:fill="auto"/>
            <w:vAlign w:val="bottom"/>
          </w:tcPr>
          <w:p w:rsidR="0022611D" w:rsidRPr="00A8388A" w:rsidRDefault="003901B2" w:rsidP="00A314DC">
            <w:pPr>
              <w:pStyle w:val="ONUME"/>
              <w:jc w:val="center"/>
              <w:rPr>
                <w:sz w:val="20"/>
                <w:lang w:val="es-ES"/>
              </w:rPr>
            </w:pPr>
            <w:r w:rsidRPr="00A8388A">
              <w:rPr>
                <w:sz w:val="20"/>
                <w:lang w:val="es-ES"/>
              </w:rPr>
              <w:t>-0</w:t>
            </w:r>
            <w:r w:rsidR="00195435" w:rsidRPr="00A8388A">
              <w:rPr>
                <w:sz w:val="20"/>
                <w:lang w:val="es-ES"/>
              </w:rPr>
              <w:t>,</w:t>
            </w:r>
            <w:r w:rsidRPr="00A8388A">
              <w:rPr>
                <w:sz w:val="20"/>
                <w:lang w:val="es-ES"/>
              </w:rPr>
              <w:t>5%</w:t>
            </w:r>
          </w:p>
        </w:tc>
        <w:tc>
          <w:tcPr>
            <w:tcW w:w="1985" w:type="dxa"/>
            <w:tcBorders>
              <w:top w:val="nil"/>
              <w:left w:val="nil"/>
              <w:bottom w:val="nil"/>
              <w:right w:val="nil"/>
            </w:tcBorders>
            <w:shd w:val="clear" w:color="auto" w:fill="auto"/>
            <w:vAlign w:val="bottom"/>
          </w:tcPr>
          <w:p w:rsidR="0022611D" w:rsidRPr="00A8388A" w:rsidRDefault="00FB1D7D" w:rsidP="00A314DC">
            <w:pPr>
              <w:pStyle w:val="ONUME"/>
              <w:jc w:val="center"/>
              <w:rPr>
                <w:sz w:val="20"/>
                <w:lang w:val="es-ES"/>
              </w:rPr>
            </w:pPr>
            <w:r w:rsidRPr="00A8388A">
              <w:rPr>
                <w:sz w:val="20"/>
                <w:lang w:val="es-ES"/>
              </w:rPr>
              <w:t>-0</w:t>
            </w:r>
            <w:r w:rsidR="00195435" w:rsidRPr="00A8388A">
              <w:rPr>
                <w:sz w:val="20"/>
                <w:lang w:val="es-ES"/>
              </w:rPr>
              <w:t>,</w:t>
            </w:r>
            <w:r w:rsidRPr="00A8388A">
              <w:rPr>
                <w:sz w:val="20"/>
                <w:lang w:val="es-ES"/>
              </w:rPr>
              <w:t>1%</w:t>
            </w:r>
          </w:p>
        </w:tc>
        <w:tc>
          <w:tcPr>
            <w:tcW w:w="2126" w:type="dxa"/>
            <w:tcBorders>
              <w:top w:val="nil"/>
              <w:left w:val="nil"/>
              <w:bottom w:val="nil"/>
              <w:right w:val="nil"/>
            </w:tcBorders>
            <w:shd w:val="clear" w:color="auto" w:fill="auto"/>
            <w:vAlign w:val="bottom"/>
          </w:tcPr>
          <w:p w:rsidR="0022611D" w:rsidRPr="00A8388A" w:rsidRDefault="00FB1D7D" w:rsidP="00A314DC">
            <w:pPr>
              <w:pStyle w:val="ONUME"/>
              <w:jc w:val="center"/>
              <w:rPr>
                <w:sz w:val="20"/>
                <w:lang w:val="es-ES"/>
              </w:rPr>
            </w:pPr>
            <w:r w:rsidRPr="00A8388A">
              <w:rPr>
                <w:sz w:val="20"/>
                <w:lang w:val="es-ES"/>
              </w:rPr>
              <w:t>0</w:t>
            </w:r>
            <w:r w:rsidR="00195435" w:rsidRPr="00A8388A">
              <w:rPr>
                <w:sz w:val="20"/>
                <w:lang w:val="es-ES"/>
              </w:rPr>
              <w:t>,</w:t>
            </w:r>
            <w:r w:rsidRPr="00A8388A">
              <w:rPr>
                <w:sz w:val="20"/>
                <w:lang w:val="es-ES"/>
              </w:rPr>
              <w:t>4%</w:t>
            </w:r>
          </w:p>
        </w:tc>
        <w:tc>
          <w:tcPr>
            <w:tcW w:w="2268" w:type="dxa"/>
            <w:tcBorders>
              <w:top w:val="nil"/>
              <w:left w:val="nil"/>
              <w:bottom w:val="nil"/>
              <w:right w:val="nil"/>
            </w:tcBorders>
            <w:shd w:val="clear" w:color="auto" w:fill="auto"/>
            <w:vAlign w:val="bottom"/>
          </w:tcPr>
          <w:p w:rsidR="0022611D" w:rsidRPr="00A8388A" w:rsidRDefault="00F7198D" w:rsidP="00A314DC">
            <w:pPr>
              <w:pStyle w:val="ONUME"/>
              <w:jc w:val="center"/>
              <w:rPr>
                <w:sz w:val="20"/>
                <w:lang w:val="es-ES"/>
              </w:rPr>
            </w:pPr>
            <w:r w:rsidRPr="00A8388A">
              <w:rPr>
                <w:sz w:val="20"/>
                <w:lang w:val="es-ES"/>
              </w:rPr>
              <w:t>3</w:t>
            </w:r>
            <w:r w:rsidR="00195435" w:rsidRPr="00A8388A">
              <w:rPr>
                <w:sz w:val="20"/>
                <w:lang w:val="es-ES"/>
              </w:rPr>
              <w:t>,</w:t>
            </w:r>
            <w:r w:rsidRPr="00A8388A">
              <w:rPr>
                <w:sz w:val="20"/>
                <w:lang w:val="es-ES"/>
              </w:rPr>
              <w:t>1%</w:t>
            </w:r>
          </w:p>
        </w:tc>
      </w:tr>
      <w:tr w:rsidR="00A8388A" w:rsidRPr="00A8388A" w:rsidTr="002D5273">
        <w:trPr>
          <w:jc w:val="center"/>
        </w:trPr>
        <w:tc>
          <w:tcPr>
            <w:tcW w:w="5353" w:type="dxa"/>
            <w:tcBorders>
              <w:top w:val="nil"/>
              <w:left w:val="nil"/>
              <w:bottom w:val="nil"/>
              <w:right w:val="nil"/>
            </w:tcBorders>
            <w:shd w:val="clear" w:color="auto" w:fill="auto"/>
          </w:tcPr>
          <w:p w:rsidR="0022611D" w:rsidRPr="00A8388A" w:rsidRDefault="00195435" w:rsidP="00195435">
            <w:pPr>
              <w:pStyle w:val="ONUME"/>
              <w:ind w:firstLine="426"/>
              <w:rPr>
                <w:sz w:val="20"/>
                <w:lang w:val="es-ES"/>
              </w:rPr>
            </w:pPr>
            <w:r w:rsidRPr="00A8388A">
              <w:rPr>
                <w:sz w:val="20"/>
                <w:lang w:val="es-ES"/>
              </w:rPr>
              <w:t xml:space="preserve">Potencial de rentabilidad en caso de </w:t>
            </w:r>
            <w:r w:rsidR="0022611D" w:rsidRPr="00A8388A">
              <w:rPr>
                <w:sz w:val="20"/>
                <w:lang w:val="es-ES"/>
              </w:rPr>
              <w:t>“</w:t>
            </w:r>
            <w:r w:rsidRPr="00A8388A">
              <w:rPr>
                <w:sz w:val="20"/>
                <w:lang w:val="es-ES"/>
              </w:rPr>
              <w:t>fuerte crecimiento económico</w:t>
            </w:r>
            <w:r w:rsidR="0022611D" w:rsidRPr="00A8388A">
              <w:rPr>
                <w:sz w:val="20"/>
                <w:lang w:val="es-ES"/>
              </w:rPr>
              <w:t>”</w:t>
            </w:r>
          </w:p>
        </w:tc>
        <w:tc>
          <w:tcPr>
            <w:tcW w:w="1134" w:type="dxa"/>
            <w:tcBorders>
              <w:top w:val="nil"/>
              <w:left w:val="nil"/>
              <w:bottom w:val="nil"/>
              <w:right w:val="nil"/>
            </w:tcBorders>
            <w:shd w:val="clear" w:color="auto" w:fill="auto"/>
            <w:vAlign w:val="bottom"/>
          </w:tcPr>
          <w:p w:rsidR="0022611D" w:rsidRPr="00A8388A" w:rsidRDefault="00FB1D7D" w:rsidP="00A314DC">
            <w:pPr>
              <w:pStyle w:val="ONUME"/>
              <w:jc w:val="center"/>
              <w:rPr>
                <w:sz w:val="20"/>
                <w:lang w:val="es-ES"/>
              </w:rPr>
            </w:pPr>
            <w:r w:rsidRPr="00A8388A">
              <w:rPr>
                <w:sz w:val="20"/>
                <w:lang w:val="es-ES"/>
              </w:rPr>
              <w:t>0</w:t>
            </w:r>
            <w:r w:rsidR="00195435" w:rsidRPr="00A8388A">
              <w:rPr>
                <w:sz w:val="20"/>
                <w:lang w:val="es-ES"/>
              </w:rPr>
              <w:t>,</w:t>
            </w:r>
            <w:r w:rsidRPr="00A8388A">
              <w:rPr>
                <w:sz w:val="20"/>
                <w:lang w:val="es-ES"/>
              </w:rPr>
              <w:t>2</w:t>
            </w:r>
            <w:r w:rsidR="0031126F" w:rsidRPr="00A8388A">
              <w:rPr>
                <w:sz w:val="20"/>
                <w:lang w:val="es-ES"/>
              </w:rPr>
              <w:t>%</w:t>
            </w:r>
          </w:p>
        </w:tc>
        <w:tc>
          <w:tcPr>
            <w:tcW w:w="1985" w:type="dxa"/>
            <w:tcBorders>
              <w:top w:val="nil"/>
              <w:left w:val="nil"/>
              <w:bottom w:val="nil"/>
              <w:right w:val="nil"/>
            </w:tcBorders>
            <w:shd w:val="clear" w:color="auto" w:fill="auto"/>
            <w:vAlign w:val="bottom"/>
          </w:tcPr>
          <w:p w:rsidR="0022611D" w:rsidRPr="00A8388A" w:rsidRDefault="00FB1D7D" w:rsidP="00A314DC">
            <w:pPr>
              <w:pStyle w:val="ONUME"/>
              <w:jc w:val="center"/>
              <w:rPr>
                <w:sz w:val="20"/>
                <w:lang w:val="es-ES"/>
              </w:rPr>
            </w:pPr>
            <w:r w:rsidRPr="00A8388A">
              <w:rPr>
                <w:sz w:val="20"/>
                <w:lang w:val="es-ES"/>
              </w:rPr>
              <w:t>-0</w:t>
            </w:r>
            <w:r w:rsidR="00195435" w:rsidRPr="00A8388A">
              <w:rPr>
                <w:sz w:val="20"/>
                <w:lang w:val="es-ES"/>
              </w:rPr>
              <w:t>,</w:t>
            </w:r>
            <w:r w:rsidRPr="00A8388A">
              <w:rPr>
                <w:sz w:val="20"/>
                <w:lang w:val="es-ES"/>
              </w:rPr>
              <w:t>1%</w:t>
            </w:r>
          </w:p>
        </w:tc>
        <w:tc>
          <w:tcPr>
            <w:tcW w:w="2126" w:type="dxa"/>
            <w:tcBorders>
              <w:top w:val="nil"/>
              <w:left w:val="nil"/>
              <w:bottom w:val="nil"/>
              <w:right w:val="nil"/>
            </w:tcBorders>
            <w:shd w:val="clear" w:color="auto" w:fill="auto"/>
            <w:vAlign w:val="bottom"/>
          </w:tcPr>
          <w:p w:rsidR="0022611D" w:rsidRPr="00A8388A" w:rsidRDefault="00FB1D7D" w:rsidP="00A314DC">
            <w:pPr>
              <w:pStyle w:val="ONUME"/>
              <w:jc w:val="center"/>
              <w:rPr>
                <w:sz w:val="20"/>
                <w:lang w:val="es-ES"/>
              </w:rPr>
            </w:pPr>
            <w:r w:rsidRPr="00A8388A">
              <w:rPr>
                <w:sz w:val="20"/>
                <w:lang w:val="es-ES"/>
              </w:rPr>
              <w:t>0</w:t>
            </w:r>
            <w:r w:rsidR="00195435" w:rsidRPr="00A8388A">
              <w:rPr>
                <w:sz w:val="20"/>
                <w:lang w:val="es-ES"/>
              </w:rPr>
              <w:t>,</w:t>
            </w:r>
            <w:r w:rsidRPr="00A8388A">
              <w:rPr>
                <w:sz w:val="20"/>
                <w:lang w:val="es-ES"/>
              </w:rPr>
              <w:t>8%</w:t>
            </w:r>
          </w:p>
        </w:tc>
        <w:tc>
          <w:tcPr>
            <w:tcW w:w="2268" w:type="dxa"/>
            <w:tcBorders>
              <w:top w:val="nil"/>
              <w:left w:val="nil"/>
              <w:bottom w:val="nil"/>
              <w:right w:val="nil"/>
            </w:tcBorders>
            <w:shd w:val="clear" w:color="auto" w:fill="auto"/>
            <w:vAlign w:val="bottom"/>
          </w:tcPr>
          <w:p w:rsidR="0022611D" w:rsidRPr="00A8388A" w:rsidRDefault="00F7198D" w:rsidP="00A314DC">
            <w:pPr>
              <w:pStyle w:val="ONUME"/>
              <w:jc w:val="center"/>
              <w:rPr>
                <w:sz w:val="20"/>
                <w:lang w:val="es-ES"/>
              </w:rPr>
            </w:pPr>
            <w:r w:rsidRPr="00A8388A">
              <w:rPr>
                <w:sz w:val="20"/>
                <w:lang w:val="es-ES"/>
              </w:rPr>
              <w:t>3</w:t>
            </w:r>
            <w:r w:rsidR="00195435" w:rsidRPr="00A8388A">
              <w:rPr>
                <w:sz w:val="20"/>
                <w:lang w:val="es-ES"/>
              </w:rPr>
              <w:t>,</w:t>
            </w:r>
            <w:r w:rsidRPr="00A8388A">
              <w:rPr>
                <w:sz w:val="20"/>
                <w:lang w:val="es-ES"/>
              </w:rPr>
              <w:t>7%</w:t>
            </w:r>
          </w:p>
        </w:tc>
      </w:tr>
      <w:tr w:rsidR="00A8388A" w:rsidRPr="00A8388A" w:rsidTr="002D5273">
        <w:trPr>
          <w:jc w:val="center"/>
        </w:trPr>
        <w:tc>
          <w:tcPr>
            <w:tcW w:w="5353" w:type="dxa"/>
            <w:tcBorders>
              <w:top w:val="nil"/>
              <w:left w:val="nil"/>
              <w:bottom w:val="nil"/>
              <w:right w:val="nil"/>
            </w:tcBorders>
            <w:shd w:val="clear" w:color="auto" w:fill="auto"/>
          </w:tcPr>
          <w:p w:rsidR="0022611D" w:rsidRPr="00A8388A" w:rsidRDefault="00195435" w:rsidP="00195435">
            <w:pPr>
              <w:pStyle w:val="ONUME"/>
              <w:ind w:firstLine="426"/>
              <w:rPr>
                <w:sz w:val="20"/>
                <w:lang w:val="es-ES"/>
              </w:rPr>
            </w:pPr>
            <w:r w:rsidRPr="00A8388A">
              <w:rPr>
                <w:sz w:val="20"/>
                <w:lang w:val="es-ES"/>
              </w:rPr>
              <w:t>Potencial de rentabilidad en caso de “débil crecimiento económico</w:t>
            </w:r>
            <w:r w:rsidR="0022611D" w:rsidRPr="00A8388A">
              <w:rPr>
                <w:sz w:val="20"/>
                <w:lang w:val="es-ES"/>
              </w:rPr>
              <w:t>”</w:t>
            </w:r>
          </w:p>
        </w:tc>
        <w:tc>
          <w:tcPr>
            <w:tcW w:w="1134" w:type="dxa"/>
            <w:tcBorders>
              <w:top w:val="nil"/>
              <w:left w:val="nil"/>
              <w:bottom w:val="nil"/>
              <w:right w:val="nil"/>
            </w:tcBorders>
            <w:shd w:val="clear" w:color="auto" w:fill="auto"/>
            <w:vAlign w:val="bottom"/>
          </w:tcPr>
          <w:p w:rsidR="0022611D" w:rsidRPr="00A8388A" w:rsidRDefault="00FB1D7D" w:rsidP="00A314DC">
            <w:pPr>
              <w:pStyle w:val="ONUME"/>
              <w:jc w:val="center"/>
              <w:rPr>
                <w:sz w:val="20"/>
                <w:lang w:val="es-ES"/>
              </w:rPr>
            </w:pPr>
            <w:r w:rsidRPr="00A8388A">
              <w:rPr>
                <w:sz w:val="20"/>
                <w:lang w:val="es-ES"/>
              </w:rPr>
              <w:t>-0</w:t>
            </w:r>
            <w:r w:rsidR="00195435" w:rsidRPr="00A8388A">
              <w:rPr>
                <w:sz w:val="20"/>
                <w:lang w:val="es-ES"/>
              </w:rPr>
              <w:t>,</w:t>
            </w:r>
            <w:r w:rsidRPr="00A8388A">
              <w:rPr>
                <w:sz w:val="20"/>
                <w:lang w:val="es-ES"/>
              </w:rPr>
              <w:t>6%</w:t>
            </w:r>
          </w:p>
        </w:tc>
        <w:tc>
          <w:tcPr>
            <w:tcW w:w="1985" w:type="dxa"/>
            <w:tcBorders>
              <w:top w:val="nil"/>
              <w:left w:val="nil"/>
              <w:bottom w:val="nil"/>
              <w:right w:val="nil"/>
            </w:tcBorders>
            <w:shd w:val="clear" w:color="auto" w:fill="auto"/>
            <w:vAlign w:val="bottom"/>
          </w:tcPr>
          <w:p w:rsidR="0022611D" w:rsidRPr="00A8388A" w:rsidRDefault="00FB1D7D" w:rsidP="00A314DC">
            <w:pPr>
              <w:pStyle w:val="ONUME"/>
              <w:jc w:val="center"/>
              <w:rPr>
                <w:sz w:val="20"/>
                <w:lang w:val="es-ES"/>
              </w:rPr>
            </w:pPr>
            <w:r w:rsidRPr="00A8388A">
              <w:rPr>
                <w:sz w:val="20"/>
                <w:lang w:val="es-ES"/>
              </w:rPr>
              <w:t>0</w:t>
            </w:r>
            <w:r w:rsidR="00195435" w:rsidRPr="00A8388A">
              <w:rPr>
                <w:sz w:val="20"/>
                <w:lang w:val="es-ES"/>
              </w:rPr>
              <w:t>,</w:t>
            </w:r>
            <w:r w:rsidRPr="00A8388A">
              <w:rPr>
                <w:sz w:val="20"/>
                <w:lang w:val="es-ES"/>
              </w:rPr>
              <w:t>1%</w:t>
            </w:r>
          </w:p>
        </w:tc>
        <w:tc>
          <w:tcPr>
            <w:tcW w:w="2126" w:type="dxa"/>
            <w:tcBorders>
              <w:top w:val="nil"/>
              <w:left w:val="nil"/>
              <w:bottom w:val="nil"/>
              <w:right w:val="nil"/>
            </w:tcBorders>
            <w:shd w:val="clear" w:color="auto" w:fill="auto"/>
            <w:vAlign w:val="bottom"/>
          </w:tcPr>
          <w:p w:rsidR="0022611D" w:rsidRPr="00A8388A" w:rsidRDefault="00FB1D7D" w:rsidP="00A314DC">
            <w:pPr>
              <w:pStyle w:val="ONUME"/>
              <w:jc w:val="center"/>
              <w:rPr>
                <w:sz w:val="20"/>
                <w:lang w:val="es-ES"/>
              </w:rPr>
            </w:pPr>
            <w:r w:rsidRPr="00A8388A">
              <w:rPr>
                <w:sz w:val="20"/>
                <w:lang w:val="es-ES"/>
              </w:rPr>
              <w:t>0</w:t>
            </w:r>
            <w:r w:rsidR="00195435" w:rsidRPr="00A8388A">
              <w:rPr>
                <w:sz w:val="20"/>
                <w:lang w:val="es-ES"/>
              </w:rPr>
              <w:t>,</w:t>
            </w:r>
            <w:r w:rsidRPr="00A8388A">
              <w:rPr>
                <w:sz w:val="20"/>
                <w:lang w:val="es-ES"/>
              </w:rPr>
              <w:t>5%</w:t>
            </w:r>
          </w:p>
        </w:tc>
        <w:tc>
          <w:tcPr>
            <w:tcW w:w="2268" w:type="dxa"/>
            <w:tcBorders>
              <w:top w:val="nil"/>
              <w:left w:val="nil"/>
              <w:bottom w:val="nil"/>
              <w:right w:val="nil"/>
            </w:tcBorders>
            <w:shd w:val="clear" w:color="auto" w:fill="auto"/>
            <w:vAlign w:val="bottom"/>
          </w:tcPr>
          <w:p w:rsidR="0022611D" w:rsidRPr="00A8388A" w:rsidRDefault="00F7198D" w:rsidP="00A314DC">
            <w:pPr>
              <w:pStyle w:val="ONUME"/>
              <w:jc w:val="center"/>
              <w:rPr>
                <w:sz w:val="20"/>
                <w:lang w:val="es-ES"/>
              </w:rPr>
            </w:pPr>
            <w:r w:rsidRPr="00A8388A">
              <w:rPr>
                <w:sz w:val="20"/>
                <w:lang w:val="es-ES"/>
              </w:rPr>
              <w:t>2</w:t>
            </w:r>
            <w:r w:rsidR="00195435" w:rsidRPr="00A8388A">
              <w:rPr>
                <w:sz w:val="20"/>
                <w:lang w:val="es-ES"/>
              </w:rPr>
              <w:t>,</w:t>
            </w:r>
            <w:r w:rsidRPr="00A8388A">
              <w:rPr>
                <w:sz w:val="20"/>
                <w:lang w:val="es-ES"/>
              </w:rPr>
              <w:t>2%</w:t>
            </w:r>
          </w:p>
        </w:tc>
      </w:tr>
      <w:tr w:rsidR="00A8388A" w:rsidRPr="00A8388A" w:rsidTr="002D5273">
        <w:trPr>
          <w:jc w:val="center"/>
        </w:trPr>
        <w:tc>
          <w:tcPr>
            <w:tcW w:w="5353" w:type="dxa"/>
            <w:tcBorders>
              <w:top w:val="nil"/>
              <w:left w:val="nil"/>
              <w:bottom w:val="nil"/>
              <w:right w:val="nil"/>
            </w:tcBorders>
            <w:shd w:val="clear" w:color="auto" w:fill="auto"/>
          </w:tcPr>
          <w:p w:rsidR="0022611D" w:rsidRPr="00A8388A" w:rsidRDefault="00195435" w:rsidP="00195435">
            <w:pPr>
              <w:pStyle w:val="ONUME"/>
              <w:rPr>
                <w:b/>
                <w:sz w:val="20"/>
                <w:lang w:val="es-ES"/>
              </w:rPr>
            </w:pPr>
            <w:r w:rsidRPr="00A8388A">
              <w:rPr>
                <w:b/>
                <w:sz w:val="20"/>
                <w:lang w:val="es-ES"/>
              </w:rPr>
              <w:t>Escenarios a largo plazo</w:t>
            </w:r>
          </w:p>
        </w:tc>
        <w:tc>
          <w:tcPr>
            <w:tcW w:w="1134" w:type="dxa"/>
            <w:tcBorders>
              <w:top w:val="nil"/>
              <w:left w:val="nil"/>
              <w:bottom w:val="nil"/>
              <w:right w:val="nil"/>
            </w:tcBorders>
            <w:shd w:val="clear" w:color="auto" w:fill="auto"/>
            <w:vAlign w:val="bottom"/>
          </w:tcPr>
          <w:p w:rsidR="0022611D" w:rsidRPr="00A8388A" w:rsidRDefault="0022611D" w:rsidP="00A314DC">
            <w:pPr>
              <w:pStyle w:val="ONUME"/>
              <w:jc w:val="center"/>
              <w:rPr>
                <w:b/>
                <w:sz w:val="20"/>
                <w:lang w:val="es-ES"/>
              </w:rPr>
            </w:pPr>
          </w:p>
        </w:tc>
        <w:tc>
          <w:tcPr>
            <w:tcW w:w="1985" w:type="dxa"/>
            <w:tcBorders>
              <w:top w:val="nil"/>
              <w:left w:val="nil"/>
              <w:bottom w:val="nil"/>
              <w:right w:val="nil"/>
            </w:tcBorders>
            <w:shd w:val="clear" w:color="auto" w:fill="auto"/>
            <w:vAlign w:val="bottom"/>
          </w:tcPr>
          <w:p w:rsidR="0022611D" w:rsidRPr="00A8388A" w:rsidRDefault="0022611D" w:rsidP="00A314DC">
            <w:pPr>
              <w:pStyle w:val="ONUME"/>
              <w:jc w:val="center"/>
              <w:rPr>
                <w:b/>
                <w:sz w:val="20"/>
                <w:lang w:val="es-ES"/>
              </w:rPr>
            </w:pPr>
          </w:p>
        </w:tc>
        <w:tc>
          <w:tcPr>
            <w:tcW w:w="2126" w:type="dxa"/>
            <w:tcBorders>
              <w:top w:val="nil"/>
              <w:left w:val="nil"/>
              <w:bottom w:val="nil"/>
              <w:right w:val="nil"/>
            </w:tcBorders>
            <w:shd w:val="clear" w:color="auto" w:fill="auto"/>
            <w:vAlign w:val="bottom"/>
          </w:tcPr>
          <w:p w:rsidR="0022611D" w:rsidRPr="00A8388A" w:rsidRDefault="0022611D" w:rsidP="00A314DC">
            <w:pPr>
              <w:pStyle w:val="ONUME"/>
              <w:jc w:val="center"/>
              <w:rPr>
                <w:b/>
                <w:sz w:val="20"/>
                <w:lang w:val="es-ES"/>
              </w:rPr>
            </w:pPr>
          </w:p>
        </w:tc>
        <w:tc>
          <w:tcPr>
            <w:tcW w:w="2268" w:type="dxa"/>
            <w:tcBorders>
              <w:top w:val="nil"/>
              <w:left w:val="nil"/>
              <w:bottom w:val="nil"/>
              <w:right w:val="nil"/>
            </w:tcBorders>
            <w:shd w:val="clear" w:color="auto" w:fill="auto"/>
            <w:vAlign w:val="bottom"/>
          </w:tcPr>
          <w:p w:rsidR="0022611D" w:rsidRPr="00A8388A" w:rsidRDefault="0022611D" w:rsidP="00A314DC">
            <w:pPr>
              <w:pStyle w:val="ONUME"/>
              <w:jc w:val="center"/>
              <w:rPr>
                <w:b/>
                <w:sz w:val="20"/>
                <w:lang w:val="es-ES"/>
              </w:rPr>
            </w:pPr>
          </w:p>
        </w:tc>
      </w:tr>
      <w:tr w:rsidR="00A8388A" w:rsidRPr="00A8388A" w:rsidTr="002D5273">
        <w:trPr>
          <w:jc w:val="center"/>
        </w:trPr>
        <w:tc>
          <w:tcPr>
            <w:tcW w:w="5353" w:type="dxa"/>
            <w:tcBorders>
              <w:top w:val="nil"/>
              <w:left w:val="nil"/>
              <w:bottom w:val="nil"/>
              <w:right w:val="nil"/>
            </w:tcBorders>
            <w:shd w:val="clear" w:color="auto" w:fill="auto"/>
          </w:tcPr>
          <w:p w:rsidR="0022611D" w:rsidRPr="00A8388A" w:rsidRDefault="00195435" w:rsidP="00195435">
            <w:pPr>
              <w:pStyle w:val="ONUME"/>
              <w:ind w:firstLine="426"/>
              <w:rPr>
                <w:b/>
                <w:sz w:val="20"/>
                <w:lang w:val="es-ES"/>
              </w:rPr>
            </w:pPr>
            <w:r w:rsidRPr="00A8388A">
              <w:rPr>
                <w:b/>
                <w:sz w:val="20"/>
                <w:lang w:val="es-ES"/>
              </w:rPr>
              <w:t>Rentabilidad prevista</w:t>
            </w:r>
          </w:p>
        </w:tc>
        <w:tc>
          <w:tcPr>
            <w:tcW w:w="1134" w:type="dxa"/>
            <w:tcBorders>
              <w:top w:val="nil"/>
              <w:left w:val="nil"/>
              <w:bottom w:val="nil"/>
              <w:right w:val="nil"/>
            </w:tcBorders>
            <w:shd w:val="clear" w:color="auto" w:fill="auto"/>
            <w:vAlign w:val="bottom"/>
          </w:tcPr>
          <w:p w:rsidR="0022611D" w:rsidRPr="00A8388A" w:rsidRDefault="00FB1D7D" w:rsidP="00A314DC">
            <w:pPr>
              <w:pStyle w:val="ONUME"/>
              <w:jc w:val="center"/>
              <w:rPr>
                <w:b/>
                <w:sz w:val="20"/>
                <w:lang w:val="es-ES"/>
              </w:rPr>
            </w:pPr>
            <w:r w:rsidRPr="00A8388A">
              <w:rPr>
                <w:b/>
                <w:sz w:val="20"/>
                <w:lang w:val="es-ES"/>
              </w:rPr>
              <w:t>-0</w:t>
            </w:r>
            <w:r w:rsidR="00195435" w:rsidRPr="00A8388A">
              <w:rPr>
                <w:b/>
                <w:sz w:val="20"/>
                <w:lang w:val="es-ES"/>
              </w:rPr>
              <w:t>,</w:t>
            </w:r>
            <w:r w:rsidRPr="00A8388A">
              <w:rPr>
                <w:b/>
                <w:sz w:val="20"/>
                <w:lang w:val="es-ES"/>
              </w:rPr>
              <w:t>5%</w:t>
            </w:r>
          </w:p>
        </w:tc>
        <w:tc>
          <w:tcPr>
            <w:tcW w:w="1985" w:type="dxa"/>
            <w:tcBorders>
              <w:top w:val="nil"/>
              <w:left w:val="nil"/>
              <w:bottom w:val="nil"/>
              <w:right w:val="nil"/>
            </w:tcBorders>
            <w:shd w:val="clear" w:color="auto" w:fill="auto"/>
            <w:vAlign w:val="bottom"/>
          </w:tcPr>
          <w:p w:rsidR="0022611D" w:rsidRPr="00A8388A" w:rsidRDefault="00FB1D7D" w:rsidP="00A314DC">
            <w:pPr>
              <w:pStyle w:val="ONUME"/>
              <w:jc w:val="center"/>
              <w:rPr>
                <w:b/>
                <w:sz w:val="20"/>
                <w:lang w:val="es-ES"/>
              </w:rPr>
            </w:pPr>
            <w:r w:rsidRPr="00A8388A">
              <w:rPr>
                <w:b/>
                <w:sz w:val="20"/>
                <w:lang w:val="es-ES"/>
              </w:rPr>
              <w:t>-0</w:t>
            </w:r>
            <w:r w:rsidR="00195435" w:rsidRPr="00A8388A">
              <w:rPr>
                <w:b/>
                <w:sz w:val="20"/>
                <w:lang w:val="es-ES"/>
              </w:rPr>
              <w:t>,</w:t>
            </w:r>
            <w:r w:rsidRPr="00A8388A">
              <w:rPr>
                <w:b/>
                <w:sz w:val="20"/>
                <w:lang w:val="es-ES"/>
              </w:rPr>
              <w:t>3%</w:t>
            </w:r>
          </w:p>
        </w:tc>
        <w:tc>
          <w:tcPr>
            <w:tcW w:w="2126" w:type="dxa"/>
            <w:tcBorders>
              <w:top w:val="nil"/>
              <w:left w:val="nil"/>
              <w:bottom w:val="nil"/>
              <w:right w:val="nil"/>
            </w:tcBorders>
            <w:shd w:val="clear" w:color="auto" w:fill="auto"/>
            <w:vAlign w:val="bottom"/>
          </w:tcPr>
          <w:p w:rsidR="0022611D" w:rsidRPr="00A8388A" w:rsidRDefault="00FB1D7D" w:rsidP="00A314DC">
            <w:pPr>
              <w:pStyle w:val="ONUME"/>
              <w:jc w:val="center"/>
              <w:rPr>
                <w:b/>
                <w:sz w:val="20"/>
                <w:lang w:val="es-ES"/>
              </w:rPr>
            </w:pPr>
            <w:r w:rsidRPr="00A8388A">
              <w:rPr>
                <w:b/>
                <w:sz w:val="20"/>
                <w:lang w:val="es-ES"/>
              </w:rPr>
              <w:t>0</w:t>
            </w:r>
            <w:r w:rsidR="00195435" w:rsidRPr="00A8388A">
              <w:rPr>
                <w:b/>
                <w:sz w:val="20"/>
                <w:lang w:val="es-ES"/>
              </w:rPr>
              <w:t>,</w:t>
            </w:r>
            <w:r w:rsidRPr="00A8388A">
              <w:rPr>
                <w:b/>
                <w:sz w:val="20"/>
                <w:lang w:val="es-ES"/>
              </w:rPr>
              <w:t>3%</w:t>
            </w:r>
          </w:p>
        </w:tc>
        <w:tc>
          <w:tcPr>
            <w:tcW w:w="2268" w:type="dxa"/>
            <w:tcBorders>
              <w:top w:val="nil"/>
              <w:left w:val="nil"/>
              <w:bottom w:val="nil"/>
              <w:right w:val="nil"/>
            </w:tcBorders>
            <w:shd w:val="clear" w:color="auto" w:fill="auto"/>
            <w:vAlign w:val="bottom"/>
          </w:tcPr>
          <w:p w:rsidR="0022611D" w:rsidRPr="00A8388A" w:rsidRDefault="00F7198D" w:rsidP="00A314DC">
            <w:pPr>
              <w:pStyle w:val="ONUME"/>
              <w:jc w:val="center"/>
              <w:rPr>
                <w:b/>
                <w:sz w:val="20"/>
                <w:lang w:val="es-ES"/>
              </w:rPr>
            </w:pPr>
            <w:r w:rsidRPr="00A8388A">
              <w:rPr>
                <w:b/>
                <w:sz w:val="20"/>
                <w:lang w:val="es-ES"/>
              </w:rPr>
              <w:t>2</w:t>
            </w:r>
            <w:r w:rsidR="00195435" w:rsidRPr="00A8388A">
              <w:rPr>
                <w:b/>
                <w:sz w:val="20"/>
                <w:lang w:val="es-ES"/>
              </w:rPr>
              <w:t>,</w:t>
            </w:r>
            <w:r w:rsidRPr="00A8388A">
              <w:rPr>
                <w:b/>
                <w:sz w:val="20"/>
                <w:lang w:val="es-ES"/>
              </w:rPr>
              <w:t>3%</w:t>
            </w:r>
          </w:p>
        </w:tc>
      </w:tr>
      <w:tr w:rsidR="00A8388A" w:rsidRPr="00A8388A" w:rsidTr="002D5273">
        <w:trPr>
          <w:jc w:val="center"/>
        </w:trPr>
        <w:tc>
          <w:tcPr>
            <w:tcW w:w="5353" w:type="dxa"/>
            <w:tcBorders>
              <w:top w:val="nil"/>
              <w:left w:val="nil"/>
              <w:bottom w:val="nil"/>
              <w:right w:val="nil"/>
            </w:tcBorders>
            <w:shd w:val="clear" w:color="auto" w:fill="auto"/>
          </w:tcPr>
          <w:p w:rsidR="0022611D" w:rsidRPr="00A8388A" w:rsidRDefault="00195435" w:rsidP="00195435">
            <w:pPr>
              <w:pStyle w:val="ONUME"/>
              <w:ind w:firstLine="426"/>
              <w:rPr>
                <w:sz w:val="20"/>
                <w:lang w:val="es-ES"/>
              </w:rPr>
            </w:pPr>
            <w:r w:rsidRPr="00A8388A">
              <w:rPr>
                <w:sz w:val="20"/>
                <w:lang w:val="es-ES"/>
              </w:rPr>
              <w:t xml:space="preserve">Rentabilidades históricas (ene. </w:t>
            </w:r>
            <w:r w:rsidR="004465F3" w:rsidRPr="00A8388A">
              <w:rPr>
                <w:sz w:val="20"/>
                <w:lang w:val="es-ES"/>
              </w:rPr>
              <w:t>05</w:t>
            </w:r>
            <w:r w:rsidR="00CA23A8" w:rsidRPr="00A8388A">
              <w:rPr>
                <w:sz w:val="20"/>
                <w:lang w:val="es-ES"/>
              </w:rPr>
              <w:t xml:space="preserve"> -</w:t>
            </w:r>
            <w:r w:rsidRPr="00A8388A">
              <w:rPr>
                <w:sz w:val="20"/>
                <w:lang w:val="es-ES"/>
              </w:rPr>
              <w:t xml:space="preserve"> dic. </w:t>
            </w:r>
            <w:r w:rsidR="0022611D" w:rsidRPr="00A8388A">
              <w:rPr>
                <w:sz w:val="20"/>
                <w:lang w:val="es-ES"/>
              </w:rPr>
              <w:t>14)</w:t>
            </w:r>
          </w:p>
        </w:tc>
        <w:tc>
          <w:tcPr>
            <w:tcW w:w="1134" w:type="dxa"/>
            <w:tcBorders>
              <w:top w:val="nil"/>
              <w:left w:val="nil"/>
              <w:bottom w:val="nil"/>
              <w:right w:val="nil"/>
            </w:tcBorders>
            <w:shd w:val="clear" w:color="auto" w:fill="auto"/>
            <w:vAlign w:val="bottom"/>
          </w:tcPr>
          <w:p w:rsidR="0022611D" w:rsidRPr="00A8388A" w:rsidRDefault="00FB1D7D" w:rsidP="00A314DC">
            <w:pPr>
              <w:pStyle w:val="ONUME"/>
              <w:jc w:val="center"/>
              <w:rPr>
                <w:sz w:val="20"/>
                <w:lang w:val="es-ES"/>
              </w:rPr>
            </w:pPr>
            <w:r w:rsidRPr="00A8388A">
              <w:rPr>
                <w:sz w:val="20"/>
                <w:lang w:val="es-ES"/>
              </w:rPr>
              <w:t>0</w:t>
            </w:r>
            <w:r w:rsidR="00195435" w:rsidRPr="00A8388A">
              <w:rPr>
                <w:sz w:val="20"/>
                <w:lang w:val="es-ES"/>
              </w:rPr>
              <w:t>,</w:t>
            </w:r>
            <w:r w:rsidRPr="00A8388A">
              <w:rPr>
                <w:sz w:val="20"/>
                <w:lang w:val="es-ES"/>
              </w:rPr>
              <w:t>8%</w:t>
            </w:r>
          </w:p>
        </w:tc>
        <w:tc>
          <w:tcPr>
            <w:tcW w:w="1985" w:type="dxa"/>
            <w:tcBorders>
              <w:top w:val="nil"/>
              <w:left w:val="nil"/>
              <w:bottom w:val="nil"/>
              <w:right w:val="nil"/>
            </w:tcBorders>
            <w:shd w:val="clear" w:color="auto" w:fill="auto"/>
            <w:vAlign w:val="bottom"/>
          </w:tcPr>
          <w:p w:rsidR="0022611D" w:rsidRPr="00A8388A" w:rsidRDefault="00FB1D7D" w:rsidP="00A314DC">
            <w:pPr>
              <w:pStyle w:val="ONUME"/>
              <w:jc w:val="center"/>
              <w:rPr>
                <w:sz w:val="20"/>
                <w:lang w:val="es-ES"/>
              </w:rPr>
            </w:pPr>
            <w:r w:rsidRPr="00A8388A">
              <w:rPr>
                <w:sz w:val="20"/>
                <w:lang w:val="es-ES"/>
              </w:rPr>
              <w:t>1</w:t>
            </w:r>
            <w:r w:rsidR="00195435" w:rsidRPr="00A8388A">
              <w:rPr>
                <w:sz w:val="20"/>
                <w:lang w:val="es-ES"/>
              </w:rPr>
              <w:t>,</w:t>
            </w:r>
            <w:r w:rsidRPr="00A8388A">
              <w:rPr>
                <w:sz w:val="20"/>
                <w:lang w:val="es-ES"/>
              </w:rPr>
              <w:t>9%</w:t>
            </w:r>
          </w:p>
        </w:tc>
        <w:tc>
          <w:tcPr>
            <w:tcW w:w="2126" w:type="dxa"/>
            <w:tcBorders>
              <w:top w:val="nil"/>
              <w:left w:val="nil"/>
              <w:bottom w:val="nil"/>
              <w:right w:val="nil"/>
            </w:tcBorders>
            <w:shd w:val="clear" w:color="auto" w:fill="auto"/>
            <w:vAlign w:val="bottom"/>
          </w:tcPr>
          <w:p w:rsidR="0022611D" w:rsidRPr="00A8388A" w:rsidRDefault="00FB1D7D" w:rsidP="00A314DC">
            <w:pPr>
              <w:pStyle w:val="ONUME"/>
              <w:jc w:val="center"/>
              <w:rPr>
                <w:sz w:val="20"/>
                <w:lang w:val="es-ES"/>
              </w:rPr>
            </w:pPr>
            <w:r w:rsidRPr="00A8388A">
              <w:rPr>
                <w:sz w:val="20"/>
                <w:lang w:val="es-ES"/>
              </w:rPr>
              <w:t>2</w:t>
            </w:r>
            <w:r w:rsidR="00195435" w:rsidRPr="00A8388A">
              <w:rPr>
                <w:sz w:val="20"/>
                <w:lang w:val="es-ES"/>
              </w:rPr>
              <w:t>,</w:t>
            </w:r>
            <w:r w:rsidRPr="00A8388A">
              <w:rPr>
                <w:sz w:val="20"/>
                <w:lang w:val="es-ES"/>
              </w:rPr>
              <w:t>0%</w:t>
            </w:r>
          </w:p>
        </w:tc>
        <w:tc>
          <w:tcPr>
            <w:tcW w:w="2268" w:type="dxa"/>
            <w:tcBorders>
              <w:top w:val="nil"/>
              <w:left w:val="nil"/>
              <w:bottom w:val="nil"/>
              <w:right w:val="nil"/>
            </w:tcBorders>
            <w:shd w:val="clear" w:color="auto" w:fill="auto"/>
            <w:vAlign w:val="bottom"/>
          </w:tcPr>
          <w:p w:rsidR="0022611D" w:rsidRPr="00A8388A" w:rsidRDefault="00F7198D" w:rsidP="00A314DC">
            <w:pPr>
              <w:pStyle w:val="ONUME"/>
              <w:jc w:val="center"/>
              <w:rPr>
                <w:sz w:val="20"/>
                <w:lang w:val="es-ES"/>
              </w:rPr>
            </w:pPr>
            <w:r w:rsidRPr="00A8388A">
              <w:rPr>
                <w:sz w:val="20"/>
                <w:lang w:val="es-ES"/>
              </w:rPr>
              <w:t>4</w:t>
            </w:r>
            <w:r w:rsidR="00195435" w:rsidRPr="00A8388A">
              <w:rPr>
                <w:sz w:val="20"/>
                <w:lang w:val="es-ES"/>
              </w:rPr>
              <w:t>,</w:t>
            </w:r>
            <w:r w:rsidRPr="00A8388A">
              <w:rPr>
                <w:sz w:val="20"/>
                <w:lang w:val="es-ES"/>
              </w:rPr>
              <w:t>1%</w:t>
            </w:r>
          </w:p>
        </w:tc>
      </w:tr>
      <w:tr w:rsidR="00A8388A" w:rsidRPr="00A8388A" w:rsidTr="002D5273">
        <w:trPr>
          <w:trHeight w:val="311"/>
          <w:jc w:val="center"/>
        </w:trPr>
        <w:tc>
          <w:tcPr>
            <w:tcW w:w="5353" w:type="dxa"/>
            <w:tcBorders>
              <w:top w:val="nil"/>
              <w:left w:val="nil"/>
              <w:bottom w:val="nil"/>
              <w:right w:val="nil"/>
            </w:tcBorders>
            <w:shd w:val="pct10" w:color="auto" w:fill="auto"/>
          </w:tcPr>
          <w:p w:rsidR="00DA3947" w:rsidRPr="00A8388A" w:rsidRDefault="00195435" w:rsidP="00195435">
            <w:pPr>
              <w:pStyle w:val="ONUME"/>
              <w:rPr>
                <w:b/>
                <w:sz w:val="20"/>
                <w:lang w:val="es-ES"/>
              </w:rPr>
            </w:pPr>
            <w:r w:rsidRPr="00A8388A">
              <w:rPr>
                <w:b/>
                <w:sz w:val="20"/>
                <w:lang w:val="es-ES"/>
              </w:rPr>
              <w:t>Riesgo</w:t>
            </w:r>
            <w:r w:rsidR="00DA3947" w:rsidRPr="00A8388A">
              <w:rPr>
                <w:b/>
                <w:sz w:val="20"/>
                <w:lang w:val="es-ES"/>
              </w:rPr>
              <w:t xml:space="preserve"> (</w:t>
            </w:r>
            <w:r w:rsidRPr="00A8388A">
              <w:rPr>
                <w:b/>
                <w:sz w:val="20"/>
                <w:lang w:val="es-ES"/>
              </w:rPr>
              <w:t>volatilidad a</w:t>
            </w:r>
            <w:r w:rsidR="00DA3947" w:rsidRPr="00A8388A">
              <w:rPr>
                <w:b/>
                <w:sz w:val="20"/>
                <w:lang w:val="es-ES"/>
              </w:rPr>
              <w:t>nual) (</w:t>
            </w:r>
            <w:r w:rsidRPr="00A8388A">
              <w:rPr>
                <w:b/>
                <w:sz w:val="20"/>
                <w:lang w:val="es-ES"/>
              </w:rPr>
              <w:t xml:space="preserve">ene. 05 - dic. </w:t>
            </w:r>
            <w:r w:rsidR="00DA3947" w:rsidRPr="00A8388A">
              <w:rPr>
                <w:b/>
                <w:sz w:val="20"/>
                <w:lang w:val="es-ES"/>
              </w:rPr>
              <w:t>14)</w:t>
            </w:r>
          </w:p>
        </w:tc>
        <w:tc>
          <w:tcPr>
            <w:tcW w:w="1134" w:type="dxa"/>
            <w:tcBorders>
              <w:top w:val="nil"/>
              <w:left w:val="nil"/>
              <w:bottom w:val="nil"/>
              <w:right w:val="nil"/>
            </w:tcBorders>
            <w:shd w:val="pct10" w:color="auto" w:fill="auto"/>
          </w:tcPr>
          <w:p w:rsidR="00DA3947" w:rsidRPr="00A8388A" w:rsidRDefault="00FB1D7D" w:rsidP="00A314DC">
            <w:pPr>
              <w:pStyle w:val="ONUME"/>
              <w:jc w:val="center"/>
              <w:rPr>
                <w:b/>
                <w:sz w:val="20"/>
                <w:lang w:val="es-ES"/>
              </w:rPr>
            </w:pPr>
            <w:r w:rsidRPr="00A8388A">
              <w:rPr>
                <w:b/>
                <w:sz w:val="20"/>
                <w:lang w:val="es-ES"/>
              </w:rPr>
              <w:t>0</w:t>
            </w:r>
            <w:r w:rsidR="00195435" w:rsidRPr="00A8388A">
              <w:rPr>
                <w:b/>
                <w:sz w:val="20"/>
                <w:lang w:val="es-ES"/>
              </w:rPr>
              <w:t>,</w:t>
            </w:r>
            <w:r w:rsidRPr="00A8388A">
              <w:rPr>
                <w:b/>
                <w:sz w:val="20"/>
                <w:lang w:val="es-ES"/>
              </w:rPr>
              <w:t>3%</w:t>
            </w:r>
          </w:p>
        </w:tc>
        <w:tc>
          <w:tcPr>
            <w:tcW w:w="1985" w:type="dxa"/>
            <w:tcBorders>
              <w:top w:val="nil"/>
              <w:left w:val="nil"/>
              <w:bottom w:val="nil"/>
              <w:right w:val="nil"/>
            </w:tcBorders>
            <w:shd w:val="pct10" w:color="auto" w:fill="auto"/>
          </w:tcPr>
          <w:p w:rsidR="00DA3947" w:rsidRPr="00A8388A" w:rsidRDefault="00FB1D7D" w:rsidP="00A314DC">
            <w:pPr>
              <w:pStyle w:val="ONUME"/>
              <w:jc w:val="center"/>
              <w:rPr>
                <w:b/>
                <w:sz w:val="20"/>
                <w:lang w:val="es-ES"/>
              </w:rPr>
            </w:pPr>
            <w:r w:rsidRPr="00A8388A">
              <w:rPr>
                <w:b/>
                <w:sz w:val="20"/>
                <w:lang w:val="es-ES"/>
              </w:rPr>
              <w:t>1</w:t>
            </w:r>
            <w:r w:rsidR="00195435" w:rsidRPr="00A8388A">
              <w:rPr>
                <w:b/>
                <w:sz w:val="20"/>
                <w:lang w:val="es-ES"/>
              </w:rPr>
              <w:t>,</w:t>
            </w:r>
            <w:r w:rsidRPr="00A8388A">
              <w:rPr>
                <w:b/>
                <w:sz w:val="20"/>
                <w:lang w:val="es-ES"/>
              </w:rPr>
              <w:t>2%</w:t>
            </w:r>
          </w:p>
        </w:tc>
        <w:tc>
          <w:tcPr>
            <w:tcW w:w="2126" w:type="dxa"/>
            <w:tcBorders>
              <w:top w:val="nil"/>
              <w:left w:val="nil"/>
              <w:bottom w:val="nil"/>
              <w:right w:val="nil"/>
            </w:tcBorders>
            <w:shd w:val="pct10" w:color="auto" w:fill="auto"/>
          </w:tcPr>
          <w:p w:rsidR="00DA3947" w:rsidRPr="00A8388A" w:rsidRDefault="00FB1D7D" w:rsidP="00A314DC">
            <w:pPr>
              <w:pStyle w:val="ONUME"/>
              <w:jc w:val="center"/>
              <w:rPr>
                <w:b/>
                <w:sz w:val="20"/>
                <w:lang w:val="es-ES"/>
              </w:rPr>
            </w:pPr>
            <w:r w:rsidRPr="00A8388A">
              <w:rPr>
                <w:b/>
                <w:sz w:val="20"/>
                <w:lang w:val="es-ES"/>
              </w:rPr>
              <w:t>1</w:t>
            </w:r>
            <w:r w:rsidR="00195435" w:rsidRPr="00A8388A">
              <w:rPr>
                <w:b/>
                <w:sz w:val="20"/>
                <w:lang w:val="es-ES"/>
              </w:rPr>
              <w:t>,</w:t>
            </w:r>
            <w:r w:rsidRPr="00A8388A">
              <w:rPr>
                <w:b/>
                <w:sz w:val="20"/>
                <w:lang w:val="es-ES"/>
              </w:rPr>
              <w:t>6%</w:t>
            </w:r>
          </w:p>
        </w:tc>
        <w:tc>
          <w:tcPr>
            <w:tcW w:w="2268" w:type="dxa"/>
            <w:tcBorders>
              <w:top w:val="nil"/>
              <w:left w:val="nil"/>
              <w:bottom w:val="nil"/>
              <w:right w:val="nil"/>
            </w:tcBorders>
            <w:shd w:val="pct10" w:color="auto" w:fill="auto"/>
          </w:tcPr>
          <w:p w:rsidR="00DA3947" w:rsidRPr="00A8388A" w:rsidRDefault="00F7198D" w:rsidP="00A314DC">
            <w:pPr>
              <w:pStyle w:val="ONUME"/>
              <w:jc w:val="center"/>
              <w:rPr>
                <w:b/>
                <w:sz w:val="20"/>
                <w:lang w:val="es-ES"/>
              </w:rPr>
            </w:pPr>
            <w:r w:rsidRPr="00A8388A">
              <w:rPr>
                <w:b/>
                <w:sz w:val="20"/>
                <w:lang w:val="es-ES"/>
              </w:rPr>
              <w:t>4</w:t>
            </w:r>
            <w:r w:rsidR="00195435" w:rsidRPr="00A8388A">
              <w:rPr>
                <w:b/>
                <w:sz w:val="20"/>
                <w:lang w:val="es-ES"/>
              </w:rPr>
              <w:t>,</w:t>
            </w:r>
            <w:r w:rsidRPr="00A8388A">
              <w:rPr>
                <w:b/>
                <w:sz w:val="20"/>
                <w:lang w:val="es-ES"/>
              </w:rPr>
              <w:t>5%</w:t>
            </w:r>
          </w:p>
        </w:tc>
      </w:tr>
    </w:tbl>
    <w:p w:rsidR="00D156CF" w:rsidRPr="00A8388A" w:rsidRDefault="00D156CF" w:rsidP="004465F3">
      <w:pPr>
        <w:pStyle w:val="ONUME"/>
        <w:spacing w:after="0"/>
        <w:rPr>
          <w:i/>
          <w:sz w:val="20"/>
          <w:lang w:val="es-ES"/>
        </w:rPr>
      </w:pPr>
    </w:p>
    <w:tbl>
      <w:tblPr>
        <w:tblStyle w:val="TableGrid"/>
        <w:tblW w:w="0" w:type="auto"/>
        <w:jc w:val="center"/>
        <w:tblLayout w:type="fixed"/>
        <w:tblLook w:val="04A0" w:firstRow="1" w:lastRow="0" w:firstColumn="1" w:lastColumn="0" w:noHBand="0" w:noVBand="1"/>
      </w:tblPr>
      <w:tblGrid>
        <w:gridCol w:w="6487"/>
        <w:gridCol w:w="1985"/>
        <w:gridCol w:w="2126"/>
        <w:gridCol w:w="2268"/>
      </w:tblGrid>
      <w:tr w:rsidR="00A8388A" w:rsidRPr="00A8388A" w:rsidTr="002D5273">
        <w:trPr>
          <w:trHeight w:val="336"/>
          <w:jc w:val="center"/>
        </w:trPr>
        <w:tc>
          <w:tcPr>
            <w:tcW w:w="6487" w:type="dxa"/>
            <w:tcBorders>
              <w:top w:val="nil"/>
              <w:left w:val="nil"/>
              <w:bottom w:val="nil"/>
              <w:right w:val="nil"/>
            </w:tcBorders>
            <w:shd w:val="pct10" w:color="auto" w:fill="auto"/>
          </w:tcPr>
          <w:p w:rsidR="00195435" w:rsidRPr="00A8388A" w:rsidRDefault="00195435" w:rsidP="00A314DC">
            <w:pPr>
              <w:pStyle w:val="ONUME"/>
              <w:jc w:val="center"/>
              <w:rPr>
                <w:b/>
                <w:sz w:val="20"/>
                <w:lang w:val="es-ES"/>
              </w:rPr>
            </w:pPr>
          </w:p>
        </w:tc>
        <w:tc>
          <w:tcPr>
            <w:tcW w:w="1985" w:type="dxa"/>
            <w:tcBorders>
              <w:top w:val="nil"/>
              <w:left w:val="nil"/>
              <w:bottom w:val="nil"/>
              <w:right w:val="nil"/>
            </w:tcBorders>
            <w:shd w:val="pct10" w:color="auto" w:fill="auto"/>
          </w:tcPr>
          <w:p w:rsidR="00195435" w:rsidRPr="00A8388A" w:rsidRDefault="00195435" w:rsidP="00E26FD5">
            <w:pPr>
              <w:pStyle w:val="ONUME"/>
              <w:rPr>
                <w:b/>
                <w:sz w:val="20"/>
                <w:lang w:val="es-ES"/>
              </w:rPr>
            </w:pPr>
            <w:r w:rsidRPr="00A8388A">
              <w:rPr>
                <w:b/>
                <w:sz w:val="20"/>
                <w:lang w:val="es-ES"/>
              </w:rPr>
              <w:t>Estrategia A</w:t>
            </w:r>
          </w:p>
        </w:tc>
        <w:tc>
          <w:tcPr>
            <w:tcW w:w="2126" w:type="dxa"/>
            <w:tcBorders>
              <w:top w:val="nil"/>
              <w:left w:val="nil"/>
              <w:bottom w:val="nil"/>
              <w:right w:val="nil"/>
            </w:tcBorders>
            <w:shd w:val="pct10" w:color="auto" w:fill="auto"/>
          </w:tcPr>
          <w:p w:rsidR="00195435" w:rsidRPr="00A8388A" w:rsidRDefault="00195435" w:rsidP="00E26FD5">
            <w:pPr>
              <w:pStyle w:val="ONUME"/>
              <w:rPr>
                <w:b/>
                <w:sz w:val="20"/>
                <w:lang w:val="es-ES"/>
              </w:rPr>
            </w:pPr>
            <w:r w:rsidRPr="00A8388A">
              <w:rPr>
                <w:b/>
                <w:sz w:val="20"/>
                <w:lang w:val="es-ES"/>
              </w:rPr>
              <w:t>Estrategia B</w:t>
            </w:r>
          </w:p>
        </w:tc>
        <w:tc>
          <w:tcPr>
            <w:tcW w:w="2268" w:type="dxa"/>
            <w:tcBorders>
              <w:top w:val="nil"/>
              <w:left w:val="nil"/>
              <w:bottom w:val="nil"/>
              <w:right w:val="nil"/>
            </w:tcBorders>
            <w:shd w:val="pct10" w:color="auto" w:fill="auto"/>
          </w:tcPr>
          <w:p w:rsidR="00195435" w:rsidRPr="00A8388A" w:rsidRDefault="00195435" w:rsidP="00E26FD5">
            <w:pPr>
              <w:pStyle w:val="ONUME"/>
              <w:rPr>
                <w:b/>
                <w:sz w:val="20"/>
                <w:lang w:val="es-ES"/>
              </w:rPr>
            </w:pPr>
            <w:r w:rsidRPr="00A8388A">
              <w:rPr>
                <w:b/>
                <w:sz w:val="20"/>
                <w:lang w:val="es-ES"/>
              </w:rPr>
              <w:t>Estrategia C</w:t>
            </w:r>
          </w:p>
        </w:tc>
      </w:tr>
      <w:tr w:rsidR="00A8388A" w:rsidRPr="00A8388A" w:rsidTr="002D5273">
        <w:trPr>
          <w:trHeight w:val="172"/>
          <w:jc w:val="center"/>
        </w:trPr>
        <w:tc>
          <w:tcPr>
            <w:tcW w:w="6487" w:type="dxa"/>
            <w:tcBorders>
              <w:top w:val="nil"/>
              <w:left w:val="nil"/>
              <w:bottom w:val="nil"/>
              <w:right w:val="nil"/>
            </w:tcBorders>
            <w:shd w:val="clear" w:color="auto" w:fill="auto"/>
          </w:tcPr>
          <w:p w:rsidR="00195435" w:rsidRPr="00A8388A" w:rsidRDefault="00193864" w:rsidP="00193864">
            <w:pPr>
              <w:pStyle w:val="ONUME"/>
              <w:rPr>
                <w:sz w:val="20"/>
                <w:lang w:val="es-ES"/>
              </w:rPr>
            </w:pPr>
            <w:r w:rsidRPr="00A8388A">
              <w:rPr>
                <w:sz w:val="20"/>
                <w:lang w:val="es-ES"/>
              </w:rPr>
              <w:t>Mejor año civil</w:t>
            </w:r>
          </w:p>
        </w:tc>
        <w:tc>
          <w:tcPr>
            <w:tcW w:w="1985" w:type="dxa"/>
            <w:tcBorders>
              <w:top w:val="nil"/>
              <w:left w:val="nil"/>
              <w:bottom w:val="nil"/>
              <w:right w:val="nil"/>
            </w:tcBorders>
            <w:shd w:val="clear" w:color="auto" w:fill="auto"/>
          </w:tcPr>
          <w:p w:rsidR="00195435" w:rsidRPr="00A8388A" w:rsidRDefault="00195435" w:rsidP="00A314DC">
            <w:pPr>
              <w:pStyle w:val="ONUME"/>
              <w:jc w:val="center"/>
              <w:rPr>
                <w:sz w:val="20"/>
                <w:lang w:val="es-ES"/>
              </w:rPr>
            </w:pPr>
            <w:r w:rsidRPr="00A8388A">
              <w:rPr>
                <w:sz w:val="20"/>
                <w:lang w:val="es-ES"/>
              </w:rPr>
              <w:t>3,4%</w:t>
            </w:r>
          </w:p>
        </w:tc>
        <w:tc>
          <w:tcPr>
            <w:tcW w:w="2126" w:type="dxa"/>
            <w:tcBorders>
              <w:top w:val="nil"/>
              <w:left w:val="nil"/>
              <w:bottom w:val="nil"/>
              <w:right w:val="nil"/>
            </w:tcBorders>
            <w:shd w:val="clear" w:color="auto" w:fill="auto"/>
          </w:tcPr>
          <w:p w:rsidR="00195435" w:rsidRPr="00A8388A" w:rsidRDefault="00195435" w:rsidP="00A314DC">
            <w:pPr>
              <w:pStyle w:val="ONUME"/>
              <w:jc w:val="center"/>
              <w:rPr>
                <w:sz w:val="20"/>
                <w:lang w:val="es-ES"/>
              </w:rPr>
            </w:pPr>
            <w:r w:rsidRPr="00A8388A">
              <w:rPr>
                <w:sz w:val="20"/>
                <w:lang w:val="es-ES"/>
              </w:rPr>
              <w:t>5,7%</w:t>
            </w:r>
          </w:p>
        </w:tc>
        <w:tc>
          <w:tcPr>
            <w:tcW w:w="2268" w:type="dxa"/>
            <w:tcBorders>
              <w:top w:val="nil"/>
              <w:left w:val="nil"/>
              <w:bottom w:val="nil"/>
              <w:right w:val="nil"/>
            </w:tcBorders>
            <w:shd w:val="clear" w:color="auto" w:fill="auto"/>
          </w:tcPr>
          <w:p w:rsidR="00195435" w:rsidRPr="00A8388A" w:rsidRDefault="00195435" w:rsidP="00A314DC">
            <w:pPr>
              <w:pStyle w:val="ONUME"/>
              <w:jc w:val="center"/>
              <w:rPr>
                <w:sz w:val="20"/>
                <w:lang w:val="es-ES"/>
              </w:rPr>
            </w:pPr>
            <w:r w:rsidRPr="00A8388A">
              <w:rPr>
                <w:sz w:val="20"/>
                <w:lang w:val="es-ES"/>
              </w:rPr>
              <w:t>15,0%</w:t>
            </w:r>
          </w:p>
        </w:tc>
      </w:tr>
      <w:tr w:rsidR="00A8388A" w:rsidRPr="00A8388A" w:rsidTr="002D5273">
        <w:trPr>
          <w:jc w:val="center"/>
        </w:trPr>
        <w:tc>
          <w:tcPr>
            <w:tcW w:w="6487" w:type="dxa"/>
            <w:tcBorders>
              <w:top w:val="nil"/>
              <w:left w:val="nil"/>
              <w:bottom w:val="nil"/>
              <w:right w:val="nil"/>
            </w:tcBorders>
            <w:shd w:val="clear" w:color="auto" w:fill="auto"/>
          </w:tcPr>
          <w:p w:rsidR="00195435" w:rsidRPr="00A8388A" w:rsidRDefault="00193864">
            <w:pPr>
              <w:pStyle w:val="ONUME"/>
              <w:rPr>
                <w:sz w:val="20"/>
                <w:lang w:val="es-ES"/>
              </w:rPr>
            </w:pPr>
            <w:r w:rsidRPr="00A8388A">
              <w:rPr>
                <w:sz w:val="20"/>
                <w:lang w:val="es-ES"/>
              </w:rPr>
              <w:t>Media</w:t>
            </w:r>
          </w:p>
        </w:tc>
        <w:tc>
          <w:tcPr>
            <w:tcW w:w="1985" w:type="dxa"/>
            <w:tcBorders>
              <w:top w:val="nil"/>
              <w:left w:val="nil"/>
              <w:bottom w:val="nil"/>
              <w:right w:val="nil"/>
            </w:tcBorders>
            <w:shd w:val="clear" w:color="auto" w:fill="auto"/>
          </w:tcPr>
          <w:p w:rsidR="00195435" w:rsidRPr="00A8388A" w:rsidRDefault="00195435" w:rsidP="00A314DC">
            <w:pPr>
              <w:pStyle w:val="ONUME"/>
              <w:jc w:val="center"/>
              <w:rPr>
                <w:sz w:val="20"/>
                <w:lang w:val="es-ES"/>
              </w:rPr>
            </w:pPr>
            <w:r w:rsidRPr="00A8388A">
              <w:rPr>
                <w:sz w:val="20"/>
                <w:lang w:val="es-ES"/>
              </w:rPr>
              <w:t>1,9%</w:t>
            </w:r>
          </w:p>
        </w:tc>
        <w:tc>
          <w:tcPr>
            <w:tcW w:w="2126" w:type="dxa"/>
            <w:tcBorders>
              <w:top w:val="nil"/>
              <w:left w:val="nil"/>
              <w:bottom w:val="nil"/>
              <w:right w:val="nil"/>
            </w:tcBorders>
            <w:shd w:val="clear" w:color="auto" w:fill="auto"/>
          </w:tcPr>
          <w:p w:rsidR="00195435" w:rsidRPr="00A8388A" w:rsidRDefault="00195435" w:rsidP="00A314DC">
            <w:pPr>
              <w:pStyle w:val="ONUME"/>
              <w:jc w:val="center"/>
              <w:rPr>
                <w:sz w:val="20"/>
                <w:lang w:val="es-ES"/>
              </w:rPr>
            </w:pPr>
            <w:r w:rsidRPr="00A8388A">
              <w:rPr>
                <w:sz w:val="20"/>
                <w:lang w:val="es-ES"/>
              </w:rPr>
              <w:t>2,0%</w:t>
            </w:r>
          </w:p>
        </w:tc>
        <w:tc>
          <w:tcPr>
            <w:tcW w:w="2268" w:type="dxa"/>
            <w:tcBorders>
              <w:top w:val="nil"/>
              <w:left w:val="nil"/>
              <w:bottom w:val="nil"/>
              <w:right w:val="nil"/>
            </w:tcBorders>
            <w:shd w:val="clear" w:color="auto" w:fill="auto"/>
          </w:tcPr>
          <w:p w:rsidR="00195435" w:rsidRPr="00A8388A" w:rsidRDefault="00195435" w:rsidP="00A314DC">
            <w:pPr>
              <w:pStyle w:val="ONUME"/>
              <w:jc w:val="center"/>
              <w:rPr>
                <w:sz w:val="20"/>
                <w:lang w:val="es-ES"/>
              </w:rPr>
            </w:pPr>
            <w:r w:rsidRPr="00A8388A">
              <w:rPr>
                <w:sz w:val="20"/>
                <w:lang w:val="es-ES"/>
              </w:rPr>
              <w:t>4,1%</w:t>
            </w:r>
          </w:p>
        </w:tc>
      </w:tr>
      <w:tr w:rsidR="00A8388A" w:rsidRPr="00A8388A" w:rsidTr="002D5273">
        <w:trPr>
          <w:jc w:val="center"/>
        </w:trPr>
        <w:tc>
          <w:tcPr>
            <w:tcW w:w="6487" w:type="dxa"/>
            <w:tcBorders>
              <w:top w:val="nil"/>
              <w:left w:val="nil"/>
              <w:bottom w:val="nil"/>
              <w:right w:val="nil"/>
            </w:tcBorders>
            <w:shd w:val="clear" w:color="auto" w:fill="auto"/>
          </w:tcPr>
          <w:p w:rsidR="00195435" w:rsidRPr="00A8388A" w:rsidRDefault="00193864" w:rsidP="00193864">
            <w:pPr>
              <w:pStyle w:val="ONUME"/>
              <w:rPr>
                <w:sz w:val="20"/>
                <w:lang w:val="es-ES"/>
              </w:rPr>
            </w:pPr>
            <w:r w:rsidRPr="00A8388A">
              <w:rPr>
                <w:sz w:val="20"/>
                <w:lang w:val="es-ES"/>
              </w:rPr>
              <w:t>Peor</w:t>
            </w:r>
            <w:r w:rsidR="00195435" w:rsidRPr="00A8388A">
              <w:rPr>
                <w:sz w:val="20"/>
                <w:lang w:val="es-ES"/>
              </w:rPr>
              <w:t xml:space="preserve"> </w:t>
            </w:r>
            <w:r w:rsidRPr="00A8388A">
              <w:rPr>
                <w:sz w:val="20"/>
                <w:lang w:val="es-ES"/>
              </w:rPr>
              <w:t>año civil</w:t>
            </w:r>
          </w:p>
        </w:tc>
        <w:tc>
          <w:tcPr>
            <w:tcW w:w="1985" w:type="dxa"/>
            <w:tcBorders>
              <w:top w:val="nil"/>
              <w:left w:val="nil"/>
              <w:bottom w:val="nil"/>
              <w:right w:val="nil"/>
            </w:tcBorders>
            <w:shd w:val="clear" w:color="auto" w:fill="auto"/>
          </w:tcPr>
          <w:p w:rsidR="00195435" w:rsidRPr="00A8388A" w:rsidRDefault="00195435" w:rsidP="00A314DC">
            <w:pPr>
              <w:pStyle w:val="ONUME"/>
              <w:jc w:val="center"/>
              <w:rPr>
                <w:sz w:val="20"/>
                <w:lang w:val="es-ES"/>
              </w:rPr>
            </w:pPr>
            <w:r w:rsidRPr="00A8388A">
              <w:rPr>
                <w:sz w:val="20"/>
                <w:lang w:val="es-ES"/>
              </w:rPr>
              <w:t>0,1%</w:t>
            </w:r>
          </w:p>
        </w:tc>
        <w:tc>
          <w:tcPr>
            <w:tcW w:w="2126" w:type="dxa"/>
            <w:tcBorders>
              <w:top w:val="nil"/>
              <w:left w:val="nil"/>
              <w:bottom w:val="nil"/>
              <w:right w:val="nil"/>
            </w:tcBorders>
            <w:shd w:val="clear" w:color="auto" w:fill="auto"/>
          </w:tcPr>
          <w:p w:rsidR="00195435" w:rsidRPr="00A8388A" w:rsidRDefault="00195435" w:rsidP="00A314DC">
            <w:pPr>
              <w:pStyle w:val="ONUME"/>
              <w:jc w:val="center"/>
              <w:rPr>
                <w:sz w:val="20"/>
                <w:lang w:val="es-ES"/>
              </w:rPr>
            </w:pPr>
            <w:r w:rsidRPr="00A8388A">
              <w:rPr>
                <w:sz w:val="20"/>
                <w:lang w:val="es-ES"/>
              </w:rPr>
              <w:t>-0,1%</w:t>
            </w:r>
          </w:p>
        </w:tc>
        <w:tc>
          <w:tcPr>
            <w:tcW w:w="2268" w:type="dxa"/>
            <w:tcBorders>
              <w:top w:val="nil"/>
              <w:left w:val="nil"/>
              <w:bottom w:val="nil"/>
              <w:right w:val="nil"/>
            </w:tcBorders>
            <w:shd w:val="clear" w:color="auto" w:fill="auto"/>
          </w:tcPr>
          <w:p w:rsidR="00195435" w:rsidRPr="00A8388A" w:rsidRDefault="00195435" w:rsidP="00A314DC">
            <w:pPr>
              <w:pStyle w:val="ONUME"/>
              <w:jc w:val="center"/>
              <w:rPr>
                <w:sz w:val="20"/>
                <w:lang w:val="es-ES"/>
              </w:rPr>
            </w:pPr>
            <w:r w:rsidRPr="00A8388A">
              <w:rPr>
                <w:sz w:val="20"/>
                <w:lang w:val="es-ES"/>
              </w:rPr>
              <w:t>-13,1%</w:t>
            </w:r>
          </w:p>
        </w:tc>
      </w:tr>
      <w:tr w:rsidR="00A8388A" w:rsidRPr="00A8388A" w:rsidTr="002D5273">
        <w:trPr>
          <w:trHeight w:val="376"/>
          <w:jc w:val="center"/>
        </w:trPr>
        <w:tc>
          <w:tcPr>
            <w:tcW w:w="6487" w:type="dxa"/>
            <w:tcBorders>
              <w:top w:val="nil"/>
              <w:left w:val="nil"/>
              <w:bottom w:val="nil"/>
              <w:right w:val="nil"/>
            </w:tcBorders>
            <w:shd w:val="clear" w:color="auto" w:fill="auto"/>
          </w:tcPr>
          <w:p w:rsidR="00195435" w:rsidRPr="00A8388A" w:rsidRDefault="00193864" w:rsidP="00193864">
            <w:pPr>
              <w:pStyle w:val="ONUME"/>
              <w:rPr>
                <w:sz w:val="20"/>
                <w:lang w:val="es-ES"/>
              </w:rPr>
            </w:pPr>
            <w:r w:rsidRPr="00A8388A">
              <w:rPr>
                <w:sz w:val="20"/>
                <w:lang w:val="es-ES"/>
              </w:rPr>
              <w:t>Mejor período rotatorio de 12 meses</w:t>
            </w:r>
          </w:p>
        </w:tc>
        <w:tc>
          <w:tcPr>
            <w:tcW w:w="1985" w:type="dxa"/>
            <w:tcBorders>
              <w:top w:val="nil"/>
              <w:left w:val="nil"/>
              <w:bottom w:val="nil"/>
              <w:right w:val="nil"/>
            </w:tcBorders>
            <w:shd w:val="clear" w:color="auto" w:fill="auto"/>
          </w:tcPr>
          <w:p w:rsidR="00195435" w:rsidRPr="00A8388A" w:rsidRDefault="00195435" w:rsidP="00A314DC">
            <w:pPr>
              <w:pStyle w:val="ONUME"/>
              <w:jc w:val="center"/>
              <w:rPr>
                <w:sz w:val="20"/>
                <w:lang w:val="es-ES"/>
              </w:rPr>
            </w:pPr>
            <w:r w:rsidRPr="00A8388A">
              <w:rPr>
                <w:sz w:val="20"/>
                <w:lang w:val="es-ES"/>
              </w:rPr>
              <w:t>5,6%</w:t>
            </w:r>
          </w:p>
        </w:tc>
        <w:tc>
          <w:tcPr>
            <w:tcW w:w="2126" w:type="dxa"/>
            <w:tcBorders>
              <w:top w:val="nil"/>
              <w:left w:val="nil"/>
              <w:bottom w:val="nil"/>
              <w:right w:val="nil"/>
            </w:tcBorders>
            <w:shd w:val="clear" w:color="auto" w:fill="auto"/>
          </w:tcPr>
          <w:p w:rsidR="00195435" w:rsidRPr="00A8388A" w:rsidRDefault="00195435" w:rsidP="00A314DC">
            <w:pPr>
              <w:pStyle w:val="ONUME"/>
              <w:jc w:val="center"/>
              <w:rPr>
                <w:sz w:val="20"/>
                <w:lang w:val="es-ES"/>
              </w:rPr>
            </w:pPr>
            <w:r w:rsidRPr="00A8388A">
              <w:rPr>
                <w:sz w:val="20"/>
                <w:lang w:val="es-ES"/>
              </w:rPr>
              <w:t>8,1%</w:t>
            </w:r>
          </w:p>
        </w:tc>
        <w:tc>
          <w:tcPr>
            <w:tcW w:w="2268" w:type="dxa"/>
            <w:tcBorders>
              <w:top w:val="nil"/>
              <w:left w:val="nil"/>
              <w:bottom w:val="nil"/>
              <w:right w:val="nil"/>
            </w:tcBorders>
            <w:shd w:val="clear" w:color="auto" w:fill="auto"/>
          </w:tcPr>
          <w:p w:rsidR="00195435" w:rsidRPr="00A8388A" w:rsidRDefault="00195435" w:rsidP="00A314DC">
            <w:pPr>
              <w:pStyle w:val="ONUME"/>
              <w:jc w:val="center"/>
              <w:rPr>
                <w:sz w:val="20"/>
                <w:lang w:val="es-ES"/>
              </w:rPr>
            </w:pPr>
            <w:r w:rsidRPr="00A8388A">
              <w:rPr>
                <w:sz w:val="20"/>
                <w:lang w:val="es-ES"/>
              </w:rPr>
              <w:t>19,9%</w:t>
            </w:r>
          </w:p>
        </w:tc>
      </w:tr>
      <w:tr w:rsidR="00A8388A" w:rsidRPr="00A8388A" w:rsidTr="002D5273">
        <w:trPr>
          <w:trHeight w:val="339"/>
          <w:jc w:val="center"/>
        </w:trPr>
        <w:tc>
          <w:tcPr>
            <w:tcW w:w="6487" w:type="dxa"/>
            <w:tcBorders>
              <w:top w:val="nil"/>
              <w:left w:val="nil"/>
              <w:bottom w:val="nil"/>
              <w:right w:val="nil"/>
            </w:tcBorders>
            <w:shd w:val="clear" w:color="auto" w:fill="auto"/>
          </w:tcPr>
          <w:p w:rsidR="00195435" w:rsidRPr="00A8388A" w:rsidRDefault="00193864" w:rsidP="00193864">
            <w:pPr>
              <w:pStyle w:val="ONUME"/>
              <w:rPr>
                <w:sz w:val="20"/>
                <w:lang w:val="es-ES"/>
              </w:rPr>
            </w:pPr>
            <w:r w:rsidRPr="00A8388A">
              <w:rPr>
                <w:sz w:val="20"/>
                <w:lang w:val="es-ES"/>
              </w:rPr>
              <w:t>Peor período rotatorio de 12 meses</w:t>
            </w:r>
          </w:p>
        </w:tc>
        <w:tc>
          <w:tcPr>
            <w:tcW w:w="1985" w:type="dxa"/>
            <w:tcBorders>
              <w:top w:val="nil"/>
              <w:left w:val="nil"/>
              <w:bottom w:val="nil"/>
              <w:right w:val="nil"/>
            </w:tcBorders>
            <w:shd w:val="clear" w:color="auto" w:fill="auto"/>
          </w:tcPr>
          <w:p w:rsidR="00195435" w:rsidRPr="00A8388A" w:rsidRDefault="00195435" w:rsidP="00A314DC">
            <w:pPr>
              <w:pStyle w:val="ONUME"/>
              <w:jc w:val="center"/>
              <w:rPr>
                <w:sz w:val="20"/>
                <w:lang w:val="es-ES"/>
              </w:rPr>
            </w:pPr>
            <w:r w:rsidRPr="00A8388A">
              <w:rPr>
                <w:sz w:val="20"/>
                <w:lang w:val="es-ES"/>
              </w:rPr>
              <w:t>-1,0%</w:t>
            </w:r>
          </w:p>
        </w:tc>
        <w:tc>
          <w:tcPr>
            <w:tcW w:w="2126" w:type="dxa"/>
            <w:tcBorders>
              <w:top w:val="nil"/>
              <w:left w:val="nil"/>
              <w:bottom w:val="nil"/>
              <w:right w:val="nil"/>
            </w:tcBorders>
            <w:shd w:val="clear" w:color="auto" w:fill="auto"/>
          </w:tcPr>
          <w:p w:rsidR="00195435" w:rsidRPr="00A8388A" w:rsidRDefault="00195435" w:rsidP="00A314DC">
            <w:pPr>
              <w:pStyle w:val="ONUME"/>
              <w:jc w:val="center"/>
              <w:rPr>
                <w:sz w:val="20"/>
                <w:lang w:val="es-ES"/>
              </w:rPr>
            </w:pPr>
            <w:r w:rsidRPr="00A8388A">
              <w:rPr>
                <w:sz w:val="20"/>
                <w:lang w:val="es-ES"/>
              </w:rPr>
              <w:t>-1,6%</w:t>
            </w:r>
          </w:p>
        </w:tc>
        <w:tc>
          <w:tcPr>
            <w:tcW w:w="2268" w:type="dxa"/>
            <w:tcBorders>
              <w:top w:val="nil"/>
              <w:left w:val="nil"/>
              <w:bottom w:val="nil"/>
              <w:right w:val="nil"/>
            </w:tcBorders>
            <w:shd w:val="clear" w:color="auto" w:fill="auto"/>
          </w:tcPr>
          <w:p w:rsidR="00195435" w:rsidRPr="00A8388A" w:rsidRDefault="00195435" w:rsidP="00A314DC">
            <w:pPr>
              <w:pStyle w:val="ONUME"/>
              <w:jc w:val="center"/>
              <w:rPr>
                <w:sz w:val="20"/>
                <w:lang w:val="es-ES"/>
              </w:rPr>
            </w:pPr>
            <w:r w:rsidRPr="00A8388A">
              <w:rPr>
                <w:sz w:val="20"/>
                <w:lang w:val="es-ES"/>
              </w:rPr>
              <w:t>-14,3%</w:t>
            </w:r>
          </w:p>
        </w:tc>
      </w:tr>
      <w:tr w:rsidR="00A8388A" w:rsidRPr="00A8388A" w:rsidTr="002D5273">
        <w:trPr>
          <w:trHeight w:val="175"/>
          <w:jc w:val="center"/>
        </w:trPr>
        <w:tc>
          <w:tcPr>
            <w:tcW w:w="6487" w:type="dxa"/>
            <w:tcBorders>
              <w:top w:val="nil"/>
              <w:left w:val="nil"/>
              <w:bottom w:val="nil"/>
              <w:right w:val="nil"/>
            </w:tcBorders>
            <w:shd w:val="clear" w:color="auto" w:fill="auto"/>
          </w:tcPr>
          <w:p w:rsidR="00195435" w:rsidRPr="00A8388A" w:rsidRDefault="00193864" w:rsidP="00193864">
            <w:pPr>
              <w:pStyle w:val="ONUME"/>
              <w:ind w:firstLine="426"/>
              <w:jc w:val="center"/>
              <w:rPr>
                <w:b/>
                <w:sz w:val="20"/>
                <w:lang w:val="es-ES"/>
              </w:rPr>
            </w:pPr>
            <w:r w:rsidRPr="00A8388A">
              <w:rPr>
                <w:b/>
                <w:sz w:val="20"/>
                <w:lang w:val="es-ES"/>
              </w:rPr>
              <w:t>Escenarios históricos</w:t>
            </w:r>
          </w:p>
        </w:tc>
        <w:tc>
          <w:tcPr>
            <w:tcW w:w="1985" w:type="dxa"/>
            <w:tcBorders>
              <w:top w:val="nil"/>
              <w:left w:val="nil"/>
              <w:bottom w:val="nil"/>
              <w:right w:val="nil"/>
            </w:tcBorders>
            <w:shd w:val="clear" w:color="auto" w:fill="auto"/>
          </w:tcPr>
          <w:p w:rsidR="00195435" w:rsidRPr="00A8388A" w:rsidRDefault="00195435" w:rsidP="00A314DC">
            <w:pPr>
              <w:pStyle w:val="ONUME"/>
              <w:jc w:val="center"/>
              <w:rPr>
                <w:b/>
                <w:sz w:val="20"/>
                <w:lang w:val="es-ES"/>
              </w:rPr>
            </w:pPr>
          </w:p>
        </w:tc>
        <w:tc>
          <w:tcPr>
            <w:tcW w:w="2126" w:type="dxa"/>
            <w:tcBorders>
              <w:top w:val="nil"/>
              <w:left w:val="nil"/>
              <w:bottom w:val="nil"/>
              <w:right w:val="nil"/>
            </w:tcBorders>
            <w:shd w:val="clear" w:color="auto" w:fill="auto"/>
          </w:tcPr>
          <w:p w:rsidR="00195435" w:rsidRPr="00A8388A" w:rsidRDefault="00195435" w:rsidP="00A314DC">
            <w:pPr>
              <w:pStyle w:val="ONUME"/>
              <w:jc w:val="center"/>
              <w:rPr>
                <w:b/>
                <w:sz w:val="20"/>
                <w:lang w:val="es-ES"/>
              </w:rPr>
            </w:pPr>
          </w:p>
        </w:tc>
        <w:tc>
          <w:tcPr>
            <w:tcW w:w="2268" w:type="dxa"/>
            <w:tcBorders>
              <w:top w:val="nil"/>
              <w:left w:val="nil"/>
              <w:bottom w:val="nil"/>
              <w:right w:val="nil"/>
            </w:tcBorders>
            <w:shd w:val="clear" w:color="auto" w:fill="auto"/>
          </w:tcPr>
          <w:p w:rsidR="00195435" w:rsidRPr="00A8388A" w:rsidRDefault="00195435" w:rsidP="00A314DC">
            <w:pPr>
              <w:pStyle w:val="ONUME"/>
              <w:jc w:val="center"/>
              <w:rPr>
                <w:b/>
                <w:sz w:val="20"/>
                <w:lang w:val="es-ES"/>
              </w:rPr>
            </w:pPr>
          </w:p>
        </w:tc>
      </w:tr>
      <w:tr w:rsidR="00A8388A" w:rsidRPr="00A8388A" w:rsidTr="002D5273">
        <w:trPr>
          <w:trHeight w:val="294"/>
          <w:jc w:val="center"/>
        </w:trPr>
        <w:tc>
          <w:tcPr>
            <w:tcW w:w="6487" w:type="dxa"/>
            <w:tcBorders>
              <w:top w:val="nil"/>
              <w:left w:val="nil"/>
              <w:bottom w:val="nil"/>
              <w:right w:val="nil"/>
            </w:tcBorders>
            <w:shd w:val="clear" w:color="auto" w:fill="auto"/>
          </w:tcPr>
          <w:p w:rsidR="00195435" w:rsidRPr="00A8388A" w:rsidRDefault="00CA23A8" w:rsidP="00CA23A8">
            <w:pPr>
              <w:pStyle w:val="ONUME"/>
              <w:rPr>
                <w:sz w:val="20"/>
                <w:lang w:val="es-ES"/>
              </w:rPr>
            </w:pPr>
            <w:r w:rsidRPr="00A8388A">
              <w:rPr>
                <w:sz w:val="20"/>
                <w:lang w:val="es-ES"/>
              </w:rPr>
              <w:t xml:space="preserve">Crisis financiera (jun. 2007 - feb. </w:t>
            </w:r>
            <w:r w:rsidR="00195435" w:rsidRPr="00A8388A">
              <w:rPr>
                <w:sz w:val="20"/>
                <w:lang w:val="es-ES"/>
              </w:rPr>
              <w:t>2009)</w:t>
            </w:r>
          </w:p>
        </w:tc>
        <w:tc>
          <w:tcPr>
            <w:tcW w:w="1985" w:type="dxa"/>
            <w:tcBorders>
              <w:top w:val="nil"/>
              <w:left w:val="nil"/>
              <w:bottom w:val="nil"/>
              <w:right w:val="nil"/>
            </w:tcBorders>
            <w:shd w:val="clear" w:color="auto" w:fill="auto"/>
          </w:tcPr>
          <w:p w:rsidR="00195435" w:rsidRPr="00A8388A" w:rsidRDefault="00195435" w:rsidP="00A314DC">
            <w:pPr>
              <w:pStyle w:val="ONUME"/>
              <w:jc w:val="center"/>
              <w:rPr>
                <w:sz w:val="20"/>
                <w:lang w:val="es-ES"/>
              </w:rPr>
            </w:pPr>
            <w:r w:rsidRPr="00A8388A">
              <w:rPr>
                <w:sz w:val="20"/>
                <w:lang w:val="es-ES"/>
              </w:rPr>
              <w:t>5,3%</w:t>
            </w:r>
          </w:p>
        </w:tc>
        <w:tc>
          <w:tcPr>
            <w:tcW w:w="2126" w:type="dxa"/>
            <w:tcBorders>
              <w:top w:val="nil"/>
              <w:left w:val="nil"/>
              <w:bottom w:val="nil"/>
              <w:right w:val="nil"/>
            </w:tcBorders>
            <w:shd w:val="clear" w:color="auto" w:fill="auto"/>
          </w:tcPr>
          <w:p w:rsidR="00195435" w:rsidRPr="00A8388A" w:rsidRDefault="00195435" w:rsidP="00A314DC">
            <w:pPr>
              <w:pStyle w:val="ONUME"/>
              <w:jc w:val="center"/>
              <w:rPr>
                <w:sz w:val="20"/>
                <w:lang w:val="es-ES"/>
              </w:rPr>
            </w:pPr>
            <w:r w:rsidRPr="00A8388A">
              <w:rPr>
                <w:sz w:val="20"/>
                <w:lang w:val="es-ES"/>
              </w:rPr>
              <w:t>1,8%</w:t>
            </w:r>
          </w:p>
        </w:tc>
        <w:tc>
          <w:tcPr>
            <w:tcW w:w="2268" w:type="dxa"/>
            <w:tcBorders>
              <w:top w:val="nil"/>
              <w:left w:val="nil"/>
              <w:bottom w:val="nil"/>
              <w:right w:val="nil"/>
            </w:tcBorders>
            <w:shd w:val="clear" w:color="auto" w:fill="auto"/>
          </w:tcPr>
          <w:p w:rsidR="00195435" w:rsidRPr="00A8388A" w:rsidRDefault="00195435" w:rsidP="00A314DC">
            <w:pPr>
              <w:pStyle w:val="ONUME"/>
              <w:jc w:val="center"/>
              <w:rPr>
                <w:sz w:val="20"/>
                <w:lang w:val="es-ES"/>
              </w:rPr>
            </w:pPr>
            <w:r w:rsidRPr="00A8388A">
              <w:rPr>
                <w:sz w:val="20"/>
                <w:lang w:val="es-ES"/>
              </w:rPr>
              <w:t>-15,2%</w:t>
            </w:r>
          </w:p>
        </w:tc>
      </w:tr>
      <w:tr w:rsidR="00A8388A" w:rsidRPr="00A8388A" w:rsidTr="00806CCC">
        <w:trPr>
          <w:trHeight w:val="131"/>
          <w:jc w:val="center"/>
        </w:trPr>
        <w:tc>
          <w:tcPr>
            <w:tcW w:w="6487" w:type="dxa"/>
            <w:tcBorders>
              <w:top w:val="nil"/>
              <w:left w:val="nil"/>
              <w:bottom w:val="nil"/>
              <w:right w:val="nil"/>
            </w:tcBorders>
            <w:shd w:val="clear" w:color="auto" w:fill="auto"/>
          </w:tcPr>
          <w:p w:rsidR="00195435" w:rsidRPr="00A8388A" w:rsidRDefault="00193864" w:rsidP="00CA23A8">
            <w:pPr>
              <w:pStyle w:val="ONUME"/>
              <w:rPr>
                <w:sz w:val="20"/>
                <w:lang w:val="es-ES"/>
              </w:rPr>
            </w:pPr>
            <w:r w:rsidRPr="00A8388A">
              <w:rPr>
                <w:sz w:val="20"/>
                <w:lang w:val="es-ES"/>
              </w:rPr>
              <w:t>Subida de los bono</w:t>
            </w:r>
            <w:r w:rsidR="00CA23A8" w:rsidRPr="00A8388A">
              <w:rPr>
                <w:sz w:val="20"/>
                <w:lang w:val="es-ES"/>
              </w:rPr>
              <w:t>s (jul.</w:t>
            </w:r>
            <w:r w:rsidRPr="00A8388A">
              <w:rPr>
                <w:sz w:val="20"/>
                <w:lang w:val="es-ES"/>
              </w:rPr>
              <w:t xml:space="preserve"> </w:t>
            </w:r>
            <w:r w:rsidR="00CA23A8" w:rsidRPr="00A8388A">
              <w:rPr>
                <w:sz w:val="20"/>
                <w:lang w:val="es-ES"/>
              </w:rPr>
              <w:t>2008 -</w:t>
            </w:r>
            <w:r w:rsidR="00195435" w:rsidRPr="00A8388A">
              <w:rPr>
                <w:sz w:val="20"/>
                <w:lang w:val="es-ES"/>
              </w:rPr>
              <w:t xml:space="preserve"> </w:t>
            </w:r>
            <w:r w:rsidRPr="00A8388A">
              <w:rPr>
                <w:sz w:val="20"/>
                <w:lang w:val="es-ES"/>
              </w:rPr>
              <w:t>ago</w:t>
            </w:r>
            <w:r w:rsidR="00CA23A8" w:rsidRPr="00A8388A">
              <w:rPr>
                <w:sz w:val="20"/>
                <w:lang w:val="es-ES"/>
              </w:rPr>
              <w:t>.</w:t>
            </w:r>
            <w:r w:rsidR="00195435" w:rsidRPr="00A8388A">
              <w:rPr>
                <w:sz w:val="20"/>
                <w:lang w:val="es-ES"/>
              </w:rPr>
              <w:t xml:space="preserve"> 2010)</w:t>
            </w:r>
          </w:p>
        </w:tc>
        <w:tc>
          <w:tcPr>
            <w:tcW w:w="1985" w:type="dxa"/>
            <w:tcBorders>
              <w:top w:val="nil"/>
              <w:left w:val="nil"/>
              <w:bottom w:val="nil"/>
              <w:right w:val="nil"/>
            </w:tcBorders>
            <w:shd w:val="clear" w:color="auto" w:fill="auto"/>
          </w:tcPr>
          <w:p w:rsidR="00195435" w:rsidRPr="00A8388A" w:rsidRDefault="00195435">
            <w:pPr>
              <w:pStyle w:val="ONUME"/>
              <w:jc w:val="center"/>
              <w:rPr>
                <w:sz w:val="20"/>
                <w:lang w:val="es-ES"/>
              </w:rPr>
            </w:pPr>
            <w:r w:rsidRPr="00A8388A">
              <w:rPr>
                <w:sz w:val="20"/>
                <w:lang w:val="es-ES"/>
              </w:rPr>
              <w:t>9,1%</w:t>
            </w:r>
          </w:p>
        </w:tc>
        <w:tc>
          <w:tcPr>
            <w:tcW w:w="2126" w:type="dxa"/>
            <w:tcBorders>
              <w:top w:val="nil"/>
              <w:left w:val="nil"/>
              <w:bottom w:val="nil"/>
              <w:right w:val="nil"/>
            </w:tcBorders>
            <w:shd w:val="clear" w:color="auto" w:fill="auto"/>
          </w:tcPr>
          <w:p w:rsidR="00195435" w:rsidRPr="00A8388A" w:rsidRDefault="00195435">
            <w:pPr>
              <w:pStyle w:val="ONUME"/>
              <w:jc w:val="center"/>
              <w:rPr>
                <w:sz w:val="20"/>
                <w:lang w:val="es-ES"/>
              </w:rPr>
            </w:pPr>
            <w:r w:rsidRPr="00A8388A">
              <w:rPr>
                <w:sz w:val="20"/>
                <w:lang w:val="es-ES"/>
              </w:rPr>
              <w:t>9,7%</w:t>
            </w:r>
          </w:p>
        </w:tc>
        <w:tc>
          <w:tcPr>
            <w:tcW w:w="2268" w:type="dxa"/>
            <w:tcBorders>
              <w:top w:val="nil"/>
              <w:left w:val="nil"/>
              <w:bottom w:val="nil"/>
              <w:right w:val="nil"/>
            </w:tcBorders>
            <w:shd w:val="clear" w:color="auto" w:fill="auto"/>
          </w:tcPr>
          <w:p w:rsidR="00195435" w:rsidRPr="00A8388A" w:rsidRDefault="00195435">
            <w:pPr>
              <w:pStyle w:val="ONUME"/>
              <w:jc w:val="center"/>
              <w:rPr>
                <w:sz w:val="20"/>
                <w:lang w:val="es-ES"/>
              </w:rPr>
            </w:pPr>
            <w:r w:rsidRPr="00A8388A">
              <w:rPr>
                <w:sz w:val="20"/>
                <w:lang w:val="es-ES"/>
              </w:rPr>
              <w:t>6,7%</w:t>
            </w:r>
          </w:p>
        </w:tc>
      </w:tr>
      <w:tr w:rsidR="00A8388A" w:rsidRPr="00A8388A" w:rsidTr="00806CCC">
        <w:trPr>
          <w:trHeight w:val="237"/>
          <w:jc w:val="center"/>
        </w:trPr>
        <w:tc>
          <w:tcPr>
            <w:tcW w:w="6487" w:type="dxa"/>
            <w:tcBorders>
              <w:top w:val="nil"/>
              <w:left w:val="nil"/>
              <w:bottom w:val="single" w:sz="4" w:space="0" w:color="auto"/>
              <w:right w:val="nil"/>
            </w:tcBorders>
            <w:shd w:val="clear" w:color="auto" w:fill="auto"/>
          </w:tcPr>
          <w:p w:rsidR="00195435" w:rsidRPr="00A8388A" w:rsidRDefault="00193864" w:rsidP="00CA23A8">
            <w:pPr>
              <w:pStyle w:val="ONUME"/>
              <w:rPr>
                <w:sz w:val="20"/>
                <w:lang w:val="es-ES"/>
              </w:rPr>
            </w:pPr>
            <w:r w:rsidRPr="00A8388A">
              <w:rPr>
                <w:sz w:val="20"/>
                <w:lang w:val="es-ES"/>
              </w:rPr>
              <w:t>Crisis del euro</w:t>
            </w:r>
            <w:r w:rsidR="00195435" w:rsidRPr="00A8388A">
              <w:rPr>
                <w:sz w:val="20"/>
                <w:lang w:val="es-ES"/>
              </w:rPr>
              <w:t xml:space="preserve"> (</w:t>
            </w:r>
            <w:r w:rsidR="00CA23A8" w:rsidRPr="00A8388A">
              <w:rPr>
                <w:sz w:val="20"/>
                <w:lang w:val="es-ES"/>
              </w:rPr>
              <w:t>abr.</w:t>
            </w:r>
            <w:r w:rsidRPr="00A8388A">
              <w:rPr>
                <w:sz w:val="20"/>
                <w:lang w:val="es-ES"/>
              </w:rPr>
              <w:t xml:space="preserve"> 2011 -  sept</w:t>
            </w:r>
            <w:r w:rsidR="00CA23A8" w:rsidRPr="00A8388A">
              <w:rPr>
                <w:sz w:val="20"/>
                <w:lang w:val="es-ES"/>
              </w:rPr>
              <w:t>.</w:t>
            </w:r>
            <w:r w:rsidRPr="00A8388A">
              <w:rPr>
                <w:sz w:val="20"/>
                <w:lang w:val="es-ES"/>
              </w:rPr>
              <w:t xml:space="preserve"> </w:t>
            </w:r>
            <w:r w:rsidR="00195435" w:rsidRPr="00A8388A">
              <w:rPr>
                <w:sz w:val="20"/>
                <w:lang w:val="es-ES"/>
              </w:rPr>
              <w:t>2012)</w:t>
            </w:r>
          </w:p>
        </w:tc>
        <w:tc>
          <w:tcPr>
            <w:tcW w:w="1985" w:type="dxa"/>
            <w:tcBorders>
              <w:top w:val="nil"/>
              <w:left w:val="nil"/>
              <w:bottom w:val="single" w:sz="4" w:space="0" w:color="auto"/>
              <w:right w:val="nil"/>
            </w:tcBorders>
            <w:shd w:val="clear" w:color="auto" w:fill="auto"/>
          </w:tcPr>
          <w:p w:rsidR="00195435" w:rsidRPr="00A8388A" w:rsidRDefault="00195435">
            <w:pPr>
              <w:pStyle w:val="ONUME"/>
              <w:jc w:val="center"/>
              <w:rPr>
                <w:sz w:val="20"/>
                <w:lang w:val="es-ES"/>
              </w:rPr>
            </w:pPr>
            <w:r w:rsidRPr="00A8388A">
              <w:rPr>
                <w:sz w:val="20"/>
                <w:lang w:val="es-ES"/>
              </w:rPr>
              <w:t>4,1%</w:t>
            </w:r>
          </w:p>
        </w:tc>
        <w:tc>
          <w:tcPr>
            <w:tcW w:w="2126" w:type="dxa"/>
            <w:tcBorders>
              <w:top w:val="nil"/>
              <w:left w:val="nil"/>
              <w:bottom w:val="single" w:sz="4" w:space="0" w:color="auto"/>
              <w:right w:val="nil"/>
            </w:tcBorders>
            <w:shd w:val="clear" w:color="auto" w:fill="auto"/>
          </w:tcPr>
          <w:p w:rsidR="00195435" w:rsidRPr="00A8388A" w:rsidRDefault="00195435">
            <w:pPr>
              <w:pStyle w:val="ONUME"/>
              <w:jc w:val="center"/>
              <w:rPr>
                <w:sz w:val="20"/>
                <w:lang w:val="es-ES"/>
              </w:rPr>
            </w:pPr>
            <w:r w:rsidRPr="00A8388A">
              <w:rPr>
                <w:sz w:val="20"/>
                <w:lang w:val="es-ES"/>
              </w:rPr>
              <w:t>5,1%</w:t>
            </w:r>
          </w:p>
        </w:tc>
        <w:tc>
          <w:tcPr>
            <w:tcW w:w="2268" w:type="dxa"/>
            <w:tcBorders>
              <w:top w:val="nil"/>
              <w:left w:val="nil"/>
              <w:bottom w:val="single" w:sz="4" w:space="0" w:color="auto"/>
              <w:right w:val="nil"/>
            </w:tcBorders>
            <w:shd w:val="clear" w:color="auto" w:fill="auto"/>
          </w:tcPr>
          <w:p w:rsidR="00195435" w:rsidRPr="00A8388A" w:rsidRDefault="00195435">
            <w:pPr>
              <w:pStyle w:val="ONUME"/>
              <w:jc w:val="center"/>
              <w:rPr>
                <w:sz w:val="20"/>
                <w:lang w:val="es-ES"/>
              </w:rPr>
            </w:pPr>
            <w:r w:rsidRPr="00A8388A">
              <w:rPr>
                <w:sz w:val="20"/>
                <w:lang w:val="es-ES"/>
              </w:rPr>
              <w:t>6,7%</w:t>
            </w:r>
          </w:p>
        </w:tc>
      </w:tr>
    </w:tbl>
    <w:p w:rsidR="003B5CCF" w:rsidRPr="00A8388A" w:rsidRDefault="00CA23A8" w:rsidP="00193864">
      <w:pPr>
        <w:pStyle w:val="ONUME"/>
        <w:tabs>
          <w:tab w:val="left" w:pos="993"/>
          <w:tab w:val="left" w:pos="8222"/>
        </w:tabs>
        <w:jc w:val="center"/>
        <w:rPr>
          <w:i/>
          <w:sz w:val="20"/>
          <w:lang w:val="es-ES"/>
        </w:rPr>
      </w:pPr>
      <w:r w:rsidRPr="00A8388A">
        <w:rPr>
          <w:sz w:val="20"/>
          <w:lang w:val="es-ES"/>
        </w:rPr>
        <w:t>Base</w:t>
      </w:r>
      <w:proofErr w:type="gramStart"/>
      <w:r w:rsidRPr="00A8388A">
        <w:rPr>
          <w:sz w:val="20"/>
          <w:lang w:val="es-ES"/>
        </w:rPr>
        <w:t>:  ene</w:t>
      </w:r>
      <w:proofErr w:type="gramEnd"/>
      <w:r w:rsidRPr="00A8388A">
        <w:rPr>
          <w:sz w:val="20"/>
          <w:lang w:val="es-ES"/>
        </w:rPr>
        <w:t>. 2005 –</w:t>
      </w:r>
      <w:r w:rsidR="00193864" w:rsidRPr="00A8388A">
        <w:rPr>
          <w:sz w:val="20"/>
          <w:lang w:val="es-ES"/>
        </w:rPr>
        <w:t xml:space="preserve"> dic</w:t>
      </w:r>
      <w:r w:rsidRPr="00A8388A">
        <w:rPr>
          <w:sz w:val="20"/>
          <w:lang w:val="es-ES"/>
        </w:rPr>
        <w:t>.</w:t>
      </w:r>
      <w:r w:rsidR="00193864" w:rsidRPr="00A8388A">
        <w:rPr>
          <w:sz w:val="20"/>
          <w:lang w:val="es-ES"/>
        </w:rPr>
        <w:t xml:space="preserve"> 20</w:t>
      </w:r>
      <w:r w:rsidR="00806CCC" w:rsidRPr="00A8388A">
        <w:rPr>
          <w:sz w:val="20"/>
          <w:lang w:val="es-ES"/>
        </w:rPr>
        <w:t>14</w:t>
      </w:r>
      <w:r w:rsidR="00806CCC" w:rsidRPr="00A8388A">
        <w:rPr>
          <w:sz w:val="20"/>
          <w:lang w:val="es-ES"/>
        </w:rPr>
        <w:tab/>
      </w:r>
      <w:r w:rsidR="00755C90" w:rsidRPr="00A8388A">
        <w:rPr>
          <w:i/>
          <w:sz w:val="20"/>
          <w:lang w:val="es-ES"/>
        </w:rPr>
        <w:t>Informa</w:t>
      </w:r>
      <w:r w:rsidR="00193864" w:rsidRPr="00A8388A">
        <w:rPr>
          <w:i/>
          <w:sz w:val="20"/>
          <w:lang w:val="es-ES"/>
        </w:rPr>
        <w:t>ción reproducida gracias a la amable autorización de</w:t>
      </w:r>
      <w:r w:rsidR="007016AC" w:rsidRPr="00A8388A">
        <w:rPr>
          <w:i/>
          <w:sz w:val="20"/>
          <w:lang w:val="es-ES"/>
        </w:rPr>
        <w:t xml:space="preserve"> </w:t>
      </w:r>
      <w:proofErr w:type="spellStart"/>
      <w:r w:rsidR="007016AC" w:rsidRPr="00A8388A">
        <w:rPr>
          <w:i/>
          <w:sz w:val="20"/>
          <w:lang w:val="es-ES"/>
        </w:rPr>
        <w:t>Cré</w:t>
      </w:r>
      <w:r w:rsidR="00755C90" w:rsidRPr="00A8388A">
        <w:rPr>
          <w:i/>
          <w:sz w:val="20"/>
          <w:lang w:val="es-ES"/>
        </w:rPr>
        <w:t>dit</w:t>
      </w:r>
      <w:proofErr w:type="spellEnd"/>
      <w:r w:rsidR="00755C90" w:rsidRPr="00A8388A">
        <w:rPr>
          <w:i/>
          <w:sz w:val="20"/>
          <w:lang w:val="es-ES"/>
        </w:rPr>
        <w:t xml:space="preserve"> </w:t>
      </w:r>
      <w:proofErr w:type="spellStart"/>
      <w:r w:rsidR="00755C90" w:rsidRPr="00A8388A">
        <w:rPr>
          <w:i/>
          <w:sz w:val="20"/>
          <w:lang w:val="es-ES"/>
        </w:rPr>
        <w:t>Suisse</w:t>
      </w:r>
      <w:proofErr w:type="spellEnd"/>
      <w:r w:rsidR="00193864" w:rsidRPr="00A8388A">
        <w:rPr>
          <w:i/>
          <w:sz w:val="20"/>
          <w:lang w:val="es-ES"/>
        </w:rPr>
        <w:t xml:space="preserve"> </w:t>
      </w:r>
      <w:r w:rsidR="003B5CCF" w:rsidRPr="00A8388A">
        <w:rPr>
          <w:lang w:val="es-ES"/>
        </w:rPr>
        <w:t>[</w:t>
      </w:r>
      <w:r w:rsidR="00193864" w:rsidRPr="00A8388A">
        <w:rPr>
          <w:lang w:val="es-ES"/>
        </w:rPr>
        <w:t xml:space="preserve">Sigue el Anexo </w:t>
      </w:r>
      <w:r w:rsidR="003B5CCF" w:rsidRPr="00A8388A">
        <w:rPr>
          <w:lang w:val="es-ES"/>
        </w:rPr>
        <w:t>IV]</w:t>
      </w:r>
    </w:p>
    <w:p w:rsidR="003B5CCF" w:rsidRPr="00A8388A" w:rsidRDefault="003B5CCF" w:rsidP="00A314DC">
      <w:pPr>
        <w:pStyle w:val="Endofdocument-Annex"/>
        <w:rPr>
          <w:lang w:val="es-ES"/>
        </w:rPr>
        <w:sectPr w:rsidR="003B5CCF" w:rsidRPr="00A8388A" w:rsidSect="00A314DC">
          <w:headerReference w:type="default" r:id="rId18"/>
          <w:headerReference w:type="first" r:id="rId19"/>
          <w:endnotePr>
            <w:numFmt w:val="decimal"/>
          </w:endnotePr>
          <w:pgSz w:w="16840" w:h="11907" w:orient="landscape" w:code="9"/>
          <w:pgMar w:top="1077" w:right="567" w:bottom="680" w:left="1418" w:header="510" w:footer="1021" w:gutter="0"/>
          <w:cols w:space="720"/>
          <w:titlePg/>
          <w:docGrid w:linePitch="299"/>
        </w:sectPr>
      </w:pPr>
    </w:p>
    <w:p w:rsidR="003E300A" w:rsidRPr="00A8388A" w:rsidRDefault="0034269A" w:rsidP="003E300A">
      <w:pPr>
        <w:pStyle w:val="ONUME"/>
        <w:rPr>
          <w:b/>
          <w:szCs w:val="22"/>
          <w:lang w:val="es-ES"/>
        </w:rPr>
      </w:pPr>
      <w:r w:rsidRPr="00A8388A">
        <w:rPr>
          <w:b/>
          <w:szCs w:val="22"/>
          <w:lang w:val="es-ES"/>
        </w:rPr>
        <w:lastRenderedPageBreak/>
        <w:t>PLANTILLA PARA LA POLÍTICA DE INVERSIONES</w:t>
      </w:r>
    </w:p>
    <w:p w:rsidR="003E300A" w:rsidRPr="00A8388A" w:rsidRDefault="00CA23A8" w:rsidP="003E300A">
      <w:pPr>
        <w:pStyle w:val="ONUME"/>
        <w:rPr>
          <w:szCs w:val="22"/>
          <w:lang w:val="es-ES"/>
        </w:rPr>
      </w:pPr>
      <w:r w:rsidRPr="00A8388A">
        <w:rPr>
          <w:szCs w:val="22"/>
          <w:lang w:val="es-ES"/>
        </w:rPr>
        <w:t>Sobre la base de las mejores prácticas, la consultoría de</w:t>
      </w:r>
      <w:r w:rsidR="0034269A" w:rsidRPr="00A8388A">
        <w:rPr>
          <w:szCs w:val="22"/>
          <w:lang w:val="es-ES"/>
        </w:rPr>
        <w:t xml:space="preserve"> tesorería</w:t>
      </w:r>
      <w:r w:rsidRPr="00A8388A">
        <w:rPr>
          <w:szCs w:val="22"/>
          <w:lang w:val="es-ES"/>
        </w:rPr>
        <w:t xml:space="preserve"> externa e independiente</w:t>
      </w:r>
      <w:r w:rsidR="006563EC" w:rsidRPr="00A8388A">
        <w:rPr>
          <w:szCs w:val="22"/>
          <w:lang w:val="es-ES"/>
        </w:rPr>
        <w:t xml:space="preserve"> </w:t>
      </w:r>
      <w:proofErr w:type="spellStart"/>
      <w:r w:rsidR="0034269A" w:rsidRPr="00A8388A">
        <w:rPr>
          <w:szCs w:val="22"/>
          <w:lang w:val="es-ES"/>
        </w:rPr>
        <w:t>Zanders</w:t>
      </w:r>
      <w:proofErr w:type="spellEnd"/>
      <w:r w:rsidRPr="00A8388A">
        <w:rPr>
          <w:szCs w:val="22"/>
          <w:lang w:val="es-ES"/>
        </w:rPr>
        <w:t xml:space="preserve"> ha</w:t>
      </w:r>
      <w:r w:rsidR="006563EC" w:rsidRPr="00A8388A">
        <w:rPr>
          <w:szCs w:val="22"/>
          <w:lang w:val="es-ES"/>
        </w:rPr>
        <w:t xml:space="preserve"> señalado</w:t>
      </w:r>
      <w:r w:rsidR="0034269A" w:rsidRPr="00A8388A">
        <w:rPr>
          <w:szCs w:val="22"/>
          <w:lang w:val="es-ES"/>
        </w:rPr>
        <w:t xml:space="preserve"> que los elementos </w:t>
      </w:r>
      <w:r w:rsidR="006563EC" w:rsidRPr="00A8388A">
        <w:rPr>
          <w:szCs w:val="22"/>
          <w:lang w:val="es-ES"/>
        </w:rPr>
        <w:t>integrantes de una política de inversiones</w:t>
      </w:r>
      <w:r w:rsidRPr="00A8388A">
        <w:rPr>
          <w:szCs w:val="22"/>
          <w:lang w:val="es-ES"/>
        </w:rPr>
        <w:t xml:space="preserve"> </w:t>
      </w:r>
      <w:r w:rsidR="0034269A" w:rsidRPr="00A8388A">
        <w:rPr>
          <w:szCs w:val="22"/>
          <w:lang w:val="es-ES"/>
        </w:rPr>
        <w:t>son</w:t>
      </w:r>
      <w:r w:rsidRPr="00A8388A">
        <w:rPr>
          <w:szCs w:val="22"/>
          <w:lang w:val="es-ES"/>
        </w:rPr>
        <w:t xml:space="preserve"> </w:t>
      </w:r>
      <w:r w:rsidR="006563EC" w:rsidRPr="00A8388A">
        <w:rPr>
          <w:szCs w:val="22"/>
          <w:lang w:val="es-ES"/>
        </w:rPr>
        <w:t>normalmente</w:t>
      </w:r>
      <w:r w:rsidR="0034269A" w:rsidRPr="00A8388A">
        <w:rPr>
          <w:szCs w:val="22"/>
          <w:lang w:val="es-ES"/>
        </w:rPr>
        <w:t xml:space="preserve"> los siguientes:</w:t>
      </w:r>
    </w:p>
    <w:p w:rsidR="003E300A" w:rsidRPr="00A8388A" w:rsidRDefault="003E300A" w:rsidP="001150C9">
      <w:pPr>
        <w:pStyle w:val="ONUME"/>
        <w:numPr>
          <w:ilvl w:val="0"/>
          <w:numId w:val="7"/>
        </w:numPr>
        <w:rPr>
          <w:szCs w:val="22"/>
          <w:lang w:val="es-ES"/>
        </w:rPr>
      </w:pPr>
      <w:r w:rsidRPr="00A8388A">
        <w:rPr>
          <w:szCs w:val="22"/>
          <w:lang w:val="es-ES"/>
        </w:rPr>
        <w:t>Descri</w:t>
      </w:r>
      <w:r w:rsidR="006563EC" w:rsidRPr="00A8388A">
        <w:rPr>
          <w:szCs w:val="22"/>
          <w:lang w:val="es-ES"/>
        </w:rPr>
        <w:t>pción del inversor</w:t>
      </w:r>
      <w:r w:rsidR="0080736D" w:rsidRPr="00A8388A">
        <w:rPr>
          <w:szCs w:val="22"/>
          <w:lang w:val="es-ES"/>
        </w:rPr>
        <w:t>.</w:t>
      </w:r>
    </w:p>
    <w:p w:rsidR="003E300A" w:rsidRPr="00A8388A" w:rsidRDefault="006563EC" w:rsidP="00A12BE5">
      <w:pPr>
        <w:pStyle w:val="ONUME"/>
        <w:numPr>
          <w:ilvl w:val="0"/>
          <w:numId w:val="7"/>
        </w:numPr>
        <w:rPr>
          <w:szCs w:val="22"/>
          <w:lang w:val="es-ES"/>
        </w:rPr>
      </w:pPr>
      <w:r w:rsidRPr="00A8388A">
        <w:rPr>
          <w:szCs w:val="22"/>
          <w:lang w:val="es-ES"/>
        </w:rPr>
        <w:t>Propósito de la política</w:t>
      </w:r>
      <w:r w:rsidR="0080736D" w:rsidRPr="00A8388A">
        <w:rPr>
          <w:szCs w:val="22"/>
          <w:lang w:val="es-ES"/>
        </w:rPr>
        <w:t>.</w:t>
      </w:r>
    </w:p>
    <w:p w:rsidR="003E300A" w:rsidRPr="00A8388A" w:rsidRDefault="006563EC" w:rsidP="002D5273">
      <w:pPr>
        <w:pStyle w:val="ONUME"/>
        <w:rPr>
          <w:i/>
          <w:szCs w:val="22"/>
          <w:lang w:val="es-ES"/>
        </w:rPr>
      </w:pPr>
      <w:r w:rsidRPr="00A8388A">
        <w:rPr>
          <w:i/>
          <w:szCs w:val="22"/>
          <w:lang w:val="es-ES"/>
        </w:rPr>
        <w:t xml:space="preserve">En estas dos secciones se explicaría que la OMPI es un organismo especializado de las Naciones Unidas, </w:t>
      </w:r>
      <w:r w:rsidR="00CA23A8" w:rsidRPr="00A8388A">
        <w:rPr>
          <w:i/>
          <w:szCs w:val="22"/>
          <w:lang w:val="es-ES"/>
        </w:rPr>
        <w:t>se proporcionaría</w:t>
      </w:r>
      <w:r w:rsidRPr="00A8388A">
        <w:rPr>
          <w:i/>
          <w:szCs w:val="22"/>
          <w:lang w:val="es-ES"/>
        </w:rPr>
        <w:t xml:space="preserve"> una breve descripción de sus actividades y </w:t>
      </w:r>
      <w:r w:rsidR="00CA23A8" w:rsidRPr="00A8388A">
        <w:rPr>
          <w:i/>
          <w:szCs w:val="22"/>
          <w:lang w:val="es-ES"/>
        </w:rPr>
        <w:t xml:space="preserve">se detallaría </w:t>
      </w:r>
      <w:r w:rsidRPr="00A8388A">
        <w:rPr>
          <w:i/>
          <w:szCs w:val="22"/>
          <w:lang w:val="es-ES"/>
        </w:rPr>
        <w:t xml:space="preserve">qué inversiones </w:t>
      </w:r>
      <w:r w:rsidR="00CA23A8" w:rsidRPr="00A8388A">
        <w:rPr>
          <w:i/>
          <w:szCs w:val="22"/>
          <w:lang w:val="es-ES"/>
        </w:rPr>
        <w:t>abarca</w:t>
      </w:r>
      <w:r w:rsidRPr="00A8388A">
        <w:rPr>
          <w:i/>
          <w:szCs w:val="22"/>
          <w:lang w:val="es-ES"/>
        </w:rPr>
        <w:t xml:space="preserve"> la política (si</w:t>
      </w:r>
      <w:r w:rsidR="00252451" w:rsidRPr="00A8388A">
        <w:rPr>
          <w:i/>
          <w:szCs w:val="22"/>
          <w:lang w:val="es-ES"/>
        </w:rPr>
        <w:t xml:space="preserve"> son</w:t>
      </w:r>
      <w:r w:rsidRPr="00A8388A">
        <w:rPr>
          <w:i/>
          <w:szCs w:val="22"/>
          <w:lang w:val="es-ES"/>
        </w:rPr>
        <w:t xml:space="preserve"> las </w:t>
      </w:r>
      <w:r w:rsidR="00CA23A8" w:rsidRPr="00A8388A">
        <w:rPr>
          <w:i/>
          <w:szCs w:val="22"/>
          <w:lang w:val="es-ES"/>
        </w:rPr>
        <w:t>de</w:t>
      </w:r>
      <w:r w:rsidRPr="00A8388A">
        <w:rPr>
          <w:i/>
          <w:szCs w:val="22"/>
          <w:lang w:val="es-ES"/>
        </w:rPr>
        <w:t xml:space="preserve"> efectivo pa</w:t>
      </w:r>
      <w:r w:rsidR="00CA23A8" w:rsidRPr="00A8388A">
        <w:rPr>
          <w:i/>
          <w:szCs w:val="22"/>
          <w:lang w:val="es-ES"/>
        </w:rPr>
        <w:t>ra gastos de funcionamiento y</w:t>
      </w:r>
      <w:r w:rsidRPr="00A8388A">
        <w:rPr>
          <w:i/>
          <w:szCs w:val="22"/>
          <w:lang w:val="es-ES"/>
        </w:rPr>
        <w:t xml:space="preserve"> efectivo básico o las de efectivo estratégico).</w:t>
      </w:r>
    </w:p>
    <w:p w:rsidR="00561A0B" w:rsidRPr="00A8388A" w:rsidRDefault="00EC59EA" w:rsidP="004A3B76">
      <w:pPr>
        <w:pStyle w:val="ONUME"/>
        <w:numPr>
          <w:ilvl w:val="0"/>
          <w:numId w:val="7"/>
        </w:numPr>
        <w:rPr>
          <w:szCs w:val="22"/>
          <w:lang w:val="es-ES"/>
        </w:rPr>
      </w:pPr>
      <w:r w:rsidRPr="00A8388A">
        <w:rPr>
          <w:szCs w:val="22"/>
          <w:lang w:val="es-ES"/>
        </w:rPr>
        <w:t xml:space="preserve">Designación de las partes interesadas </w:t>
      </w:r>
      <w:r w:rsidR="004A3B76" w:rsidRPr="00A8388A">
        <w:rPr>
          <w:szCs w:val="22"/>
          <w:lang w:val="es-ES"/>
        </w:rPr>
        <w:t xml:space="preserve">en el proceso de gestión de </w:t>
      </w:r>
      <w:r w:rsidR="00CA23A8" w:rsidRPr="00A8388A">
        <w:rPr>
          <w:szCs w:val="22"/>
          <w:lang w:val="es-ES"/>
        </w:rPr>
        <w:t xml:space="preserve">las </w:t>
      </w:r>
      <w:r w:rsidR="004A3B76" w:rsidRPr="00A8388A">
        <w:rPr>
          <w:szCs w:val="22"/>
          <w:lang w:val="es-ES"/>
        </w:rPr>
        <w:t>inversiones</w:t>
      </w:r>
      <w:r w:rsidR="0080736D" w:rsidRPr="00A8388A">
        <w:rPr>
          <w:szCs w:val="22"/>
          <w:lang w:val="es-ES"/>
        </w:rPr>
        <w:t>.</w:t>
      </w:r>
    </w:p>
    <w:p w:rsidR="00561A0B" w:rsidRPr="00A8388A" w:rsidRDefault="00EC59EA" w:rsidP="00561A0B">
      <w:pPr>
        <w:pStyle w:val="ONUME"/>
        <w:rPr>
          <w:i/>
          <w:szCs w:val="22"/>
          <w:lang w:val="es-ES"/>
        </w:rPr>
      </w:pPr>
      <w:r w:rsidRPr="00A8388A">
        <w:rPr>
          <w:i/>
          <w:szCs w:val="22"/>
          <w:lang w:val="es-ES"/>
        </w:rPr>
        <w:t xml:space="preserve">Serían </w:t>
      </w:r>
      <w:r w:rsidR="004A3B76" w:rsidRPr="00A8388A">
        <w:rPr>
          <w:i/>
          <w:szCs w:val="22"/>
          <w:lang w:val="es-ES"/>
        </w:rPr>
        <w:t>el Comité Asesor en materia de Inversiones</w:t>
      </w:r>
      <w:r w:rsidR="00561A0B" w:rsidRPr="00A8388A">
        <w:rPr>
          <w:i/>
          <w:szCs w:val="22"/>
          <w:lang w:val="es-ES"/>
        </w:rPr>
        <w:t xml:space="preserve">, </w:t>
      </w:r>
      <w:r w:rsidR="004A3B76" w:rsidRPr="00A8388A">
        <w:rPr>
          <w:i/>
          <w:szCs w:val="22"/>
          <w:lang w:val="es-ES"/>
        </w:rPr>
        <w:t>la Sección de Tesorería de la División de Finanzas</w:t>
      </w:r>
      <w:r w:rsidR="00561A0B" w:rsidRPr="00A8388A">
        <w:rPr>
          <w:i/>
          <w:szCs w:val="22"/>
          <w:lang w:val="es-ES"/>
        </w:rPr>
        <w:t xml:space="preserve">, </w:t>
      </w:r>
      <w:r w:rsidR="004A3B76" w:rsidRPr="00A8388A">
        <w:rPr>
          <w:i/>
          <w:szCs w:val="22"/>
          <w:lang w:val="es-ES"/>
        </w:rPr>
        <w:t>el Controlador</w:t>
      </w:r>
      <w:r w:rsidR="00561A0B" w:rsidRPr="00A8388A">
        <w:rPr>
          <w:i/>
          <w:szCs w:val="22"/>
          <w:lang w:val="es-ES"/>
        </w:rPr>
        <w:t xml:space="preserve">, </w:t>
      </w:r>
      <w:r w:rsidR="00E26FD5" w:rsidRPr="00A8388A">
        <w:rPr>
          <w:i/>
          <w:szCs w:val="22"/>
          <w:lang w:val="es-ES"/>
        </w:rPr>
        <w:t>los gestores de inversiones</w:t>
      </w:r>
      <w:r w:rsidR="004A3B76" w:rsidRPr="00A8388A">
        <w:rPr>
          <w:i/>
          <w:szCs w:val="22"/>
          <w:lang w:val="es-ES"/>
        </w:rPr>
        <w:t xml:space="preserve"> externos</w:t>
      </w:r>
      <w:r w:rsidR="00561A0B" w:rsidRPr="00A8388A">
        <w:rPr>
          <w:i/>
          <w:szCs w:val="22"/>
          <w:lang w:val="es-ES"/>
        </w:rPr>
        <w:t xml:space="preserve"> </w:t>
      </w:r>
      <w:r w:rsidR="004A3B76" w:rsidRPr="00A8388A">
        <w:rPr>
          <w:i/>
          <w:szCs w:val="22"/>
          <w:lang w:val="es-ES"/>
        </w:rPr>
        <w:t>y, potencialmente, el banco depositario</w:t>
      </w:r>
      <w:r w:rsidR="00A822E9" w:rsidRPr="00A8388A">
        <w:rPr>
          <w:i/>
          <w:szCs w:val="22"/>
          <w:lang w:val="es-ES"/>
        </w:rPr>
        <w:t>.</w:t>
      </w:r>
    </w:p>
    <w:p w:rsidR="00A822E9" w:rsidRPr="00A8388A" w:rsidRDefault="004A3B76" w:rsidP="004A3B76">
      <w:pPr>
        <w:pStyle w:val="ONUME"/>
        <w:numPr>
          <w:ilvl w:val="0"/>
          <w:numId w:val="7"/>
        </w:numPr>
        <w:rPr>
          <w:szCs w:val="22"/>
          <w:lang w:val="es-ES"/>
        </w:rPr>
      </w:pPr>
      <w:r w:rsidRPr="00A8388A">
        <w:rPr>
          <w:szCs w:val="22"/>
          <w:lang w:val="es-ES"/>
        </w:rPr>
        <w:t>Las responsabilidades de inversión de las partes involucradas (como se define en el punto 3). Esto abarcaría elementos como</w:t>
      </w:r>
      <w:r w:rsidR="00A822E9" w:rsidRPr="00A8388A">
        <w:rPr>
          <w:szCs w:val="22"/>
          <w:lang w:val="es-ES"/>
        </w:rPr>
        <w:t>:</w:t>
      </w:r>
    </w:p>
    <w:p w:rsidR="00A822E9" w:rsidRPr="00A8388A" w:rsidRDefault="004A3B76" w:rsidP="002D5273">
      <w:pPr>
        <w:pStyle w:val="ONUME"/>
        <w:numPr>
          <w:ilvl w:val="0"/>
          <w:numId w:val="8"/>
        </w:numPr>
        <w:ind w:left="1134" w:hanging="567"/>
        <w:rPr>
          <w:szCs w:val="22"/>
          <w:lang w:val="es-ES"/>
        </w:rPr>
      </w:pPr>
      <w:r w:rsidRPr="00A8388A">
        <w:rPr>
          <w:szCs w:val="22"/>
          <w:lang w:val="es-ES"/>
        </w:rPr>
        <w:t>La ejecución y supervisión de la política de inversiones;</w:t>
      </w:r>
    </w:p>
    <w:p w:rsidR="00A822E9" w:rsidRPr="00A8388A" w:rsidRDefault="0080736D" w:rsidP="002D5273">
      <w:pPr>
        <w:pStyle w:val="ONUME"/>
        <w:numPr>
          <w:ilvl w:val="0"/>
          <w:numId w:val="8"/>
        </w:numPr>
        <w:ind w:left="1134" w:hanging="567"/>
        <w:rPr>
          <w:szCs w:val="22"/>
          <w:lang w:val="es-ES"/>
        </w:rPr>
      </w:pPr>
      <w:r w:rsidRPr="00A8388A">
        <w:rPr>
          <w:szCs w:val="22"/>
          <w:lang w:val="es-ES"/>
        </w:rPr>
        <w:t>El procedimiento para revisar y actualizar la política de inversiones</w:t>
      </w:r>
      <w:r w:rsidR="00A822E9" w:rsidRPr="00A8388A">
        <w:rPr>
          <w:szCs w:val="22"/>
          <w:lang w:val="es-ES"/>
        </w:rPr>
        <w:t>;</w:t>
      </w:r>
    </w:p>
    <w:p w:rsidR="00A822E9" w:rsidRPr="00A8388A" w:rsidRDefault="0080736D" w:rsidP="002D5273">
      <w:pPr>
        <w:pStyle w:val="ONUME"/>
        <w:numPr>
          <w:ilvl w:val="0"/>
          <w:numId w:val="8"/>
        </w:numPr>
        <w:ind w:left="1134" w:hanging="567"/>
        <w:rPr>
          <w:szCs w:val="22"/>
          <w:lang w:val="es-ES"/>
        </w:rPr>
      </w:pPr>
      <w:r w:rsidRPr="00A8388A">
        <w:rPr>
          <w:szCs w:val="22"/>
          <w:lang w:val="es-ES"/>
        </w:rPr>
        <w:t>La responsabilidad de establecer y extinguir rela</w:t>
      </w:r>
      <w:r w:rsidR="00E26FD5" w:rsidRPr="00A8388A">
        <w:rPr>
          <w:szCs w:val="22"/>
          <w:lang w:val="es-ES"/>
        </w:rPr>
        <w:t>ciones con los gestores de inversiones</w:t>
      </w:r>
      <w:r w:rsidRPr="00A8388A">
        <w:rPr>
          <w:szCs w:val="22"/>
          <w:lang w:val="es-ES"/>
        </w:rPr>
        <w:t xml:space="preserve"> externos y el banco depositario</w:t>
      </w:r>
      <w:r w:rsidR="00A822E9" w:rsidRPr="00A8388A">
        <w:rPr>
          <w:szCs w:val="22"/>
          <w:lang w:val="es-ES"/>
        </w:rPr>
        <w:t>;</w:t>
      </w:r>
    </w:p>
    <w:p w:rsidR="00A822E9" w:rsidRPr="00A8388A" w:rsidRDefault="0080736D" w:rsidP="002D5273">
      <w:pPr>
        <w:pStyle w:val="ONUME"/>
        <w:numPr>
          <w:ilvl w:val="0"/>
          <w:numId w:val="8"/>
        </w:numPr>
        <w:ind w:left="1134" w:hanging="567"/>
        <w:rPr>
          <w:szCs w:val="22"/>
          <w:lang w:val="es-ES"/>
        </w:rPr>
      </w:pPr>
      <w:r w:rsidRPr="00A8388A">
        <w:rPr>
          <w:szCs w:val="22"/>
          <w:lang w:val="es-ES"/>
        </w:rPr>
        <w:t>La responsabilidad de sup</w:t>
      </w:r>
      <w:r w:rsidR="00E26FD5" w:rsidRPr="00A8388A">
        <w:rPr>
          <w:szCs w:val="22"/>
          <w:lang w:val="es-ES"/>
        </w:rPr>
        <w:t>ervisar a los gestores de inversiones</w:t>
      </w:r>
      <w:r w:rsidRPr="00A8388A">
        <w:rPr>
          <w:szCs w:val="22"/>
          <w:lang w:val="es-ES"/>
        </w:rPr>
        <w:t xml:space="preserve"> externos y al banco depositario;</w:t>
      </w:r>
    </w:p>
    <w:p w:rsidR="00A822E9" w:rsidRPr="00A8388A" w:rsidRDefault="0080736D" w:rsidP="002D5273">
      <w:pPr>
        <w:pStyle w:val="ONUME"/>
        <w:numPr>
          <w:ilvl w:val="0"/>
          <w:numId w:val="8"/>
        </w:numPr>
        <w:ind w:left="1134" w:hanging="567"/>
        <w:rPr>
          <w:szCs w:val="22"/>
          <w:lang w:val="es-ES"/>
        </w:rPr>
      </w:pPr>
      <w:r w:rsidRPr="00A8388A">
        <w:rPr>
          <w:szCs w:val="22"/>
          <w:lang w:val="es-ES"/>
        </w:rPr>
        <w:t>La responsabilidad de gestionar las inversiones administradas internamente</w:t>
      </w:r>
      <w:r w:rsidR="00A822E9" w:rsidRPr="00A8388A">
        <w:rPr>
          <w:szCs w:val="22"/>
          <w:lang w:val="es-ES"/>
        </w:rPr>
        <w:t>;</w:t>
      </w:r>
    </w:p>
    <w:p w:rsidR="00A822E9" w:rsidRPr="00A8388A" w:rsidRDefault="0080736D" w:rsidP="002D5273">
      <w:pPr>
        <w:pStyle w:val="ONUME"/>
        <w:numPr>
          <w:ilvl w:val="0"/>
          <w:numId w:val="8"/>
        </w:numPr>
        <w:ind w:left="1134" w:hanging="567"/>
        <w:rPr>
          <w:szCs w:val="22"/>
          <w:lang w:val="es-ES"/>
        </w:rPr>
      </w:pPr>
      <w:r w:rsidRPr="00A8388A">
        <w:rPr>
          <w:szCs w:val="22"/>
          <w:lang w:val="es-ES"/>
        </w:rPr>
        <w:t>La elaboración de informes.</w:t>
      </w:r>
    </w:p>
    <w:p w:rsidR="00A822E9" w:rsidRPr="00A8388A" w:rsidRDefault="0080736D" w:rsidP="0080736D">
      <w:pPr>
        <w:pStyle w:val="ONUME"/>
        <w:numPr>
          <w:ilvl w:val="0"/>
          <w:numId w:val="7"/>
        </w:numPr>
        <w:rPr>
          <w:szCs w:val="22"/>
          <w:lang w:val="es-ES"/>
        </w:rPr>
      </w:pPr>
      <w:r w:rsidRPr="00A8388A">
        <w:rPr>
          <w:szCs w:val="22"/>
          <w:lang w:val="es-ES"/>
        </w:rPr>
        <w:t>Establecimiento de las metas, objetivos y limitaciones de inversión.</w:t>
      </w:r>
    </w:p>
    <w:p w:rsidR="00A822E9" w:rsidRPr="00A8388A" w:rsidRDefault="00ED1F10" w:rsidP="00A822E9">
      <w:pPr>
        <w:pStyle w:val="ONUME"/>
        <w:rPr>
          <w:i/>
          <w:szCs w:val="22"/>
          <w:lang w:val="es-ES"/>
        </w:rPr>
      </w:pPr>
      <w:r w:rsidRPr="00A8388A">
        <w:rPr>
          <w:i/>
          <w:szCs w:val="22"/>
          <w:lang w:val="es-ES"/>
        </w:rPr>
        <w:t>En e</w:t>
      </w:r>
      <w:r w:rsidR="00E26FD5" w:rsidRPr="00A8388A">
        <w:rPr>
          <w:i/>
          <w:szCs w:val="22"/>
          <w:lang w:val="es-ES"/>
        </w:rPr>
        <w:t>sta sección</w:t>
      </w:r>
      <w:r w:rsidR="0080736D" w:rsidRPr="00A8388A">
        <w:rPr>
          <w:i/>
          <w:szCs w:val="22"/>
          <w:lang w:val="es-ES"/>
        </w:rPr>
        <w:t xml:space="preserve"> debe</w:t>
      </w:r>
      <w:r w:rsidRPr="00A8388A">
        <w:rPr>
          <w:i/>
          <w:szCs w:val="22"/>
          <w:lang w:val="es-ES"/>
        </w:rPr>
        <w:t>ría proporcionarse una descripción</w:t>
      </w:r>
      <w:r w:rsidR="0080736D" w:rsidRPr="00A8388A">
        <w:rPr>
          <w:i/>
          <w:szCs w:val="22"/>
          <w:lang w:val="es-ES"/>
        </w:rPr>
        <w:t xml:space="preserve"> </w:t>
      </w:r>
      <w:r w:rsidRPr="00A8388A">
        <w:rPr>
          <w:i/>
          <w:szCs w:val="22"/>
          <w:lang w:val="es-ES"/>
        </w:rPr>
        <w:t>pormenorizada de</w:t>
      </w:r>
      <w:r w:rsidR="0080736D" w:rsidRPr="00A8388A">
        <w:rPr>
          <w:i/>
          <w:szCs w:val="22"/>
          <w:lang w:val="es-ES"/>
        </w:rPr>
        <w:t xml:space="preserve"> las necesidad</w:t>
      </w:r>
      <w:r w:rsidR="00EC59EA" w:rsidRPr="00A8388A">
        <w:rPr>
          <w:i/>
          <w:szCs w:val="22"/>
          <w:lang w:val="es-ES"/>
        </w:rPr>
        <w:t xml:space="preserve">es de inversión específicas de </w:t>
      </w:r>
      <w:r w:rsidR="0080736D" w:rsidRPr="00A8388A">
        <w:rPr>
          <w:i/>
          <w:szCs w:val="22"/>
          <w:lang w:val="es-ES"/>
        </w:rPr>
        <w:t>los diferentes tipos de efectivo (el efectivo para gastos de funcionamiento, el efectivo básico y el efectivo estratégico), así</w:t>
      </w:r>
      <w:r w:rsidRPr="00A8388A">
        <w:rPr>
          <w:i/>
          <w:szCs w:val="22"/>
          <w:lang w:val="es-ES"/>
        </w:rPr>
        <w:t xml:space="preserve"> como</w:t>
      </w:r>
      <w:r w:rsidR="0080736D" w:rsidRPr="00A8388A">
        <w:rPr>
          <w:i/>
          <w:szCs w:val="22"/>
          <w:lang w:val="es-ES"/>
        </w:rPr>
        <w:t xml:space="preserve"> </w:t>
      </w:r>
      <w:r w:rsidRPr="00A8388A">
        <w:rPr>
          <w:i/>
          <w:szCs w:val="22"/>
          <w:lang w:val="es-ES"/>
        </w:rPr>
        <w:t xml:space="preserve">información detallada sobre </w:t>
      </w:r>
      <w:r w:rsidR="0080736D" w:rsidRPr="00A8388A">
        <w:rPr>
          <w:i/>
          <w:szCs w:val="22"/>
          <w:lang w:val="es-ES"/>
        </w:rPr>
        <w:t>los horizontes temporales qu</w:t>
      </w:r>
      <w:r w:rsidRPr="00A8388A">
        <w:rPr>
          <w:i/>
          <w:szCs w:val="22"/>
          <w:lang w:val="es-ES"/>
        </w:rPr>
        <w:t>e se aplican a cada tipo de efectivo</w:t>
      </w:r>
      <w:r w:rsidR="0080736D" w:rsidRPr="00A8388A">
        <w:rPr>
          <w:i/>
          <w:szCs w:val="22"/>
          <w:lang w:val="es-ES"/>
        </w:rPr>
        <w:t xml:space="preserve">. </w:t>
      </w:r>
      <w:r w:rsidRPr="00A8388A">
        <w:rPr>
          <w:i/>
          <w:szCs w:val="22"/>
          <w:lang w:val="es-ES"/>
        </w:rPr>
        <w:t>En e</w:t>
      </w:r>
      <w:r w:rsidR="0080736D" w:rsidRPr="00A8388A">
        <w:rPr>
          <w:i/>
          <w:szCs w:val="22"/>
          <w:lang w:val="es-ES"/>
        </w:rPr>
        <w:t>sta sección también debe</w:t>
      </w:r>
      <w:r w:rsidRPr="00A8388A">
        <w:rPr>
          <w:i/>
          <w:szCs w:val="22"/>
          <w:lang w:val="es-ES"/>
        </w:rPr>
        <w:t>rían</w:t>
      </w:r>
      <w:r w:rsidR="0080736D" w:rsidRPr="00A8388A">
        <w:rPr>
          <w:i/>
          <w:szCs w:val="22"/>
          <w:lang w:val="es-ES"/>
        </w:rPr>
        <w:t xml:space="preserve"> incluir</w:t>
      </w:r>
      <w:r w:rsidRPr="00A8388A">
        <w:rPr>
          <w:i/>
          <w:szCs w:val="22"/>
          <w:lang w:val="es-ES"/>
        </w:rPr>
        <w:t>se</w:t>
      </w:r>
      <w:r w:rsidR="0080736D" w:rsidRPr="00A8388A">
        <w:rPr>
          <w:i/>
          <w:szCs w:val="22"/>
          <w:lang w:val="es-ES"/>
        </w:rPr>
        <w:t xml:space="preserve"> declaraciones específicas sobre </w:t>
      </w:r>
      <w:r w:rsidRPr="00A8388A">
        <w:rPr>
          <w:i/>
          <w:szCs w:val="22"/>
          <w:lang w:val="es-ES"/>
        </w:rPr>
        <w:t>la rentabilidad</w:t>
      </w:r>
      <w:r w:rsidR="0080736D" w:rsidRPr="00A8388A">
        <w:rPr>
          <w:i/>
          <w:szCs w:val="22"/>
          <w:lang w:val="es-ES"/>
        </w:rPr>
        <w:t xml:space="preserve"> y </w:t>
      </w:r>
      <w:r w:rsidRPr="00A8388A">
        <w:rPr>
          <w:i/>
          <w:szCs w:val="22"/>
          <w:lang w:val="es-ES"/>
        </w:rPr>
        <w:t xml:space="preserve">la </w:t>
      </w:r>
      <w:r w:rsidR="00A8388A">
        <w:rPr>
          <w:i/>
          <w:szCs w:val="22"/>
          <w:lang w:val="es-ES"/>
        </w:rPr>
        <w:t>tolerancia al riesgo.</w:t>
      </w:r>
    </w:p>
    <w:p w:rsidR="00A822E9" w:rsidRPr="00A8388A" w:rsidRDefault="00E26FD5" w:rsidP="00E26FD5">
      <w:pPr>
        <w:pStyle w:val="ONUME"/>
        <w:numPr>
          <w:ilvl w:val="0"/>
          <w:numId w:val="7"/>
        </w:numPr>
        <w:rPr>
          <w:szCs w:val="22"/>
          <w:lang w:val="es-ES"/>
        </w:rPr>
      </w:pPr>
      <w:r w:rsidRPr="00A8388A">
        <w:rPr>
          <w:szCs w:val="22"/>
          <w:lang w:val="es-ES"/>
        </w:rPr>
        <w:t>Clases de activos aceptables con sus respectivos niveles de calificación crediticia.</w:t>
      </w:r>
    </w:p>
    <w:p w:rsidR="00A822E9" w:rsidRPr="00A8388A" w:rsidRDefault="00EC59EA" w:rsidP="00A12BE5">
      <w:pPr>
        <w:pStyle w:val="ONUME"/>
        <w:numPr>
          <w:ilvl w:val="0"/>
          <w:numId w:val="7"/>
        </w:numPr>
        <w:rPr>
          <w:szCs w:val="22"/>
          <w:lang w:val="es-ES"/>
        </w:rPr>
      </w:pPr>
      <w:r w:rsidRPr="00A8388A">
        <w:rPr>
          <w:szCs w:val="22"/>
          <w:lang w:val="es-ES"/>
        </w:rPr>
        <w:t>Descripción</w:t>
      </w:r>
      <w:r w:rsidR="00E26FD5" w:rsidRPr="00A8388A">
        <w:rPr>
          <w:szCs w:val="22"/>
          <w:lang w:val="es-ES"/>
        </w:rPr>
        <w:t xml:space="preserve"> de l</w:t>
      </w:r>
      <w:r w:rsidRPr="00A8388A">
        <w:rPr>
          <w:szCs w:val="22"/>
          <w:lang w:val="es-ES"/>
        </w:rPr>
        <w:t xml:space="preserve">os indicadores de rentabilidad y </w:t>
      </w:r>
      <w:r w:rsidR="00E26FD5" w:rsidRPr="00A8388A">
        <w:rPr>
          <w:szCs w:val="22"/>
          <w:lang w:val="es-ES"/>
        </w:rPr>
        <w:t xml:space="preserve">las referencias </w:t>
      </w:r>
      <w:r w:rsidRPr="00A8388A">
        <w:rPr>
          <w:szCs w:val="22"/>
          <w:lang w:val="es-ES"/>
        </w:rPr>
        <w:t>que van a utilizarse en la evaluación de esta</w:t>
      </w:r>
      <w:r w:rsidR="00E26FD5" w:rsidRPr="00A8388A">
        <w:rPr>
          <w:szCs w:val="22"/>
          <w:lang w:val="es-ES"/>
        </w:rPr>
        <w:t>.</w:t>
      </w:r>
    </w:p>
    <w:p w:rsidR="00561A0B" w:rsidRPr="00A8388A" w:rsidRDefault="00E26FD5" w:rsidP="00A12BE5">
      <w:pPr>
        <w:pStyle w:val="ONUME"/>
        <w:numPr>
          <w:ilvl w:val="0"/>
          <w:numId w:val="7"/>
        </w:numPr>
        <w:rPr>
          <w:szCs w:val="22"/>
          <w:lang w:val="es-ES"/>
        </w:rPr>
      </w:pPr>
      <w:r w:rsidRPr="00A8388A">
        <w:rPr>
          <w:szCs w:val="22"/>
          <w:lang w:val="es-ES"/>
        </w:rPr>
        <w:t>Estrategias y estilos de inversión</w:t>
      </w:r>
    </w:p>
    <w:p w:rsidR="00A8388A" w:rsidRDefault="00A8388A">
      <w:pPr>
        <w:rPr>
          <w:i/>
          <w:szCs w:val="22"/>
          <w:lang w:val="es-ES"/>
        </w:rPr>
      </w:pPr>
      <w:r>
        <w:rPr>
          <w:i/>
          <w:szCs w:val="22"/>
          <w:lang w:val="es-ES"/>
        </w:rPr>
        <w:br w:type="page"/>
      </w:r>
    </w:p>
    <w:p w:rsidR="00D9575E" w:rsidRPr="00A8388A" w:rsidRDefault="00E26FD5" w:rsidP="006A4E51">
      <w:pPr>
        <w:pStyle w:val="ONUME"/>
        <w:rPr>
          <w:i/>
          <w:szCs w:val="22"/>
          <w:lang w:val="es-ES"/>
        </w:rPr>
      </w:pPr>
      <w:r w:rsidRPr="00A8388A">
        <w:rPr>
          <w:i/>
          <w:szCs w:val="22"/>
          <w:lang w:val="es-ES"/>
        </w:rPr>
        <w:lastRenderedPageBreak/>
        <w:t xml:space="preserve">En esta sección, debería abordarse </w:t>
      </w:r>
      <w:r w:rsidR="00C17C27" w:rsidRPr="00A8388A">
        <w:rPr>
          <w:i/>
          <w:szCs w:val="22"/>
          <w:lang w:val="es-ES"/>
        </w:rPr>
        <w:t xml:space="preserve">la selección de una estrategia </w:t>
      </w:r>
      <w:r w:rsidRPr="00A8388A">
        <w:rPr>
          <w:i/>
          <w:szCs w:val="22"/>
          <w:lang w:val="es-ES"/>
        </w:rPr>
        <w:t>activa o pasiva (esto se refiere a las estrategias empleadas por los gestores de inversiones externos).</w:t>
      </w:r>
    </w:p>
    <w:p w:rsidR="00D31DBD" w:rsidRPr="00A8388A" w:rsidRDefault="00C17C27" w:rsidP="00A8388A">
      <w:pPr>
        <w:pStyle w:val="ONUME"/>
        <w:rPr>
          <w:i/>
          <w:szCs w:val="22"/>
          <w:lang w:val="es-ES"/>
        </w:rPr>
      </w:pPr>
      <w:r w:rsidRPr="00A8388A">
        <w:rPr>
          <w:i/>
          <w:szCs w:val="22"/>
          <w:lang w:val="es-ES"/>
        </w:rPr>
        <w:t>Deberían establecerse p</w:t>
      </w:r>
      <w:r w:rsidR="00E26FD5" w:rsidRPr="00A8388A">
        <w:rPr>
          <w:i/>
          <w:szCs w:val="22"/>
          <w:lang w:val="es-ES"/>
        </w:rPr>
        <w:t xml:space="preserve">autas para </w:t>
      </w:r>
      <w:r w:rsidR="00621114" w:rsidRPr="00A8388A">
        <w:rPr>
          <w:i/>
          <w:szCs w:val="22"/>
          <w:lang w:val="es-ES"/>
        </w:rPr>
        <w:t xml:space="preserve">reorganizar las carteras </w:t>
      </w:r>
      <w:r w:rsidRPr="00A8388A">
        <w:rPr>
          <w:i/>
          <w:szCs w:val="22"/>
          <w:lang w:val="es-ES"/>
        </w:rPr>
        <w:t xml:space="preserve">en función de </w:t>
      </w:r>
      <w:r w:rsidR="00621114" w:rsidRPr="00A8388A">
        <w:rPr>
          <w:i/>
          <w:szCs w:val="22"/>
          <w:lang w:val="es-ES"/>
        </w:rPr>
        <w:t xml:space="preserve">la información recibida como parte de la etapa de retroalimentación del proceso de gestión de carteras </w:t>
      </w:r>
      <w:r w:rsidR="00D9575E" w:rsidRPr="00A8388A">
        <w:rPr>
          <w:i/>
          <w:szCs w:val="22"/>
          <w:lang w:val="es-ES"/>
        </w:rPr>
        <w:t>(</w:t>
      </w:r>
      <w:r w:rsidR="00621114" w:rsidRPr="00A8388A">
        <w:rPr>
          <w:i/>
          <w:szCs w:val="22"/>
          <w:lang w:val="es-ES"/>
        </w:rPr>
        <w:t>véase el punto</w:t>
      </w:r>
      <w:r w:rsidR="00D9575E" w:rsidRPr="00A8388A">
        <w:rPr>
          <w:i/>
          <w:szCs w:val="22"/>
          <w:lang w:val="es-ES"/>
        </w:rPr>
        <w:t xml:space="preserve"> 4</w:t>
      </w:r>
      <w:r w:rsidR="00CA3AA9" w:rsidRPr="00A8388A">
        <w:rPr>
          <w:i/>
          <w:szCs w:val="22"/>
          <w:lang w:val="es-ES"/>
        </w:rPr>
        <w:t>.</w:t>
      </w:r>
      <w:r w:rsidR="00D9575E" w:rsidRPr="00A8388A">
        <w:rPr>
          <w:i/>
          <w:szCs w:val="22"/>
          <w:lang w:val="es-ES"/>
        </w:rPr>
        <w:t>f)</w:t>
      </w:r>
      <w:r w:rsidR="00621114" w:rsidRPr="00A8388A">
        <w:rPr>
          <w:i/>
          <w:szCs w:val="22"/>
          <w:lang w:val="es-ES"/>
        </w:rPr>
        <w:t>, supra</w:t>
      </w:r>
      <w:r w:rsidR="00D9575E" w:rsidRPr="00A8388A">
        <w:rPr>
          <w:i/>
          <w:szCs w:val="22"/>
          <w:lang w:val="es-ES"/>
        </w:rPr>
        <w:t>)</w:t>
      </w:r>
      <w:r w:rsidR="00D31DBD" w:rsidRPr="00A8388A">
        <w:rPr>
          <w:i/>
          <w:szCs w:val="22"/>
          <w:lang w:val="es-ES"/>
        </w:rPr>
        <w:t>.</w:t>
      </w:r>
    </w:p>
    <w:p w:rsidR="00D31DBD" w:rsidRDefault="00621114" w:rsidP="00A8388A">
      <w:pPr>
        <w:pStyle w:val="ONUME"/>
        <w:rPr>
          <w:i/>
          <w:szCs w:val="22"/>
          <w:lang w:val="es-ES"/>
        </w:rPr>
      </w:pPr>
      <w:r w:rsidRPr="00A8388A">
        <w:rPr>
          <w:i/>
          <w:szCs w:val="22"/>
          <w:lang w:val="es-ES"/>
        </w:rPr>
        <w:t>En esta sección debería explicarse de qué manera se aplicarán las recomen</w:t>
      </w:r>
      <w:r w:rsidR="00BA33E5" w:rsidRPr="00A8388A">
        <w:rPr>
          <w:i/>
          <w:szCs w:val="22"/>
          <w:lang w:val="es-ES"/>
        </w:rPr>
        <w:t xml:space="preserve">daciones formuladas en </w:t>
      </w:r>
      <w:r w:rsidRPr="00A8388A">
        <w:rPr>
          <w:i/>
          <w:szCs w:val="22"/>
          <w:lang w:val="es-ES"/>
        </w:rPr>
        <w:t>el proceso de supervisión/cómo se reorganizarán las carteras cuando se hayan sobrepasado los límites de tolerancia al riesgo.</w:t>
      </w:r>
    </w:p>
    <w:p w:rsidR="00A8388A" w:rsidRPr="00A8388A" w:rsidRDefault="00A8388A" w:rsidP="00A8388A">
      <w:pPr>
        <w:pStyle w:val="ONUME"/>
        <w:rPr>
          <w:szCs w:val="22"/>
          <w:lang w:val="es-ES"/>
        </w:rPr>
      </w:pPr>
    </w:p>
    <w:p w:rsidR="001358BB" w:rsidRPr="00A8388A" w:rsidRDefault="001358BB" w:rsidP="00A314DC">
      <w:pPr>
        <w:pStyle w:val="Endofdocument-Annex"/>
        <w:rPr>
          <w:lang w:val="es-ES"/>
        </w:rPr>
      </w:pPr>
      <w:bookmarkStart w:id="6" w:name="_GoBack"/>
      <w:bookmarkEnd w:id="6"/>
      <w:r w:rsidRPr="00A8388A">
        <w:rPr>
          <w:lang w:val="es-ES"/>
        </w:rPr>
        <w:t>[</w:t>
      </w:r>
      <w:r w:rsidR="00BA33E5" w:rsidRPr="00A8388A">
        <w:rPr>
          <w:lang w:val="es-ES"/>
        </w:rPr>
        <w:t>Fin del Anexo IV y del documento</w:t>
      </w:r>
      <w:r w:rsidRPr="00A8388A">
        <w:rPr>
          <w:lang w:val="es-ES"/>
        </w:rPr>
        <w:t>]</w:t>
      </w:r>
    </w:p>
    <w:sectPr w:rsidR="001358BB" w:rsidRPr="00A8388A" w:rsidSect="002D5273">
      <w:headerReference w:type="default" r:id="rId20"/>
      <w:headerReference w:type="first" r:id="rId21"/>
      <w:endnotePr>
        <w:numFmt w:val="decimal"/>
      </w:endnotePr>
      <w:pgSz w:w="11907" w:h="16840" w:code="9"/>
      <w:pgMar w:top="567" w:right="1134" w:bottom="709"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344" w:rsidRPr="00657AE4" w:rsidRDefault="00D25344">
      <w:pPr>
        <w:rPr>
          <w:sz w:val="18"/>
          <w:szCs w:val="18"/>
        </w:rPr>
      </w:pPr>
      <w:r w:rsidRPr="00657AE4">
        <w:rPr>
          <w:sz w:val="18"/>
          <w:szCs w:val="18"/>
        </w:rPr>
        <w:separator/>
      </w:r>
    </w:p>
  </w:endnote>
  <w:endnote w:type="continuationSeparator" w:id="0">
    <w:p w:rsidR="00D25344" w:rsidRPr="00657AE4" w:rsidRDefault="00D25344" w:rsidP="003B38C1">
      <w:pPr>
        <w:rPr>
          <w:sz w:val="18"/>
          <w:szCs w:val="18"/>
        </w:rPr>
      </w:pPr>
      <w:r w:rsidRPr="00657AE4">
        <w:rPr>
          <w:sz w:val="18"/>
          <w:szCs w:val="18"/>
        </w:rPr>
        <w:separator/>
      </w:r>
    </w:p>
    <w:p w:rsidR="00D25344" w:rsidRPr="00657AE4" w:rsidRDefault="00D25344" w:rsidP="003B38C1">
      <w:pPr>
        <w:spacing w:after="60"/>
        <w:rPr>
          <w:sz w:val="14"/>
          <w:szCs w:val="14"/>
        </w:rPr>
      </w:pPr>
      <w:r w:rsidRPr="00657AE4">
        <w:rPr>
          <w:sz w:val="14"/>
          <w:szCs w:val="14"/>
        </w:rPr>
        <w:t>[Endnote continued from previous page]</w:t>
      </w:r>
    </w:p>
  </w:endnote>
  <w:endnote w:type="continuationNotice" w:id="1">
    <w:p w:rsidR="00D25344" w:rsidRPr="00657AE4" w:rsidRDefault="00D25344" w:rsidP="003B38C1">
      <w:pPr>
        <w:spacing w:before="60"/>
        <w:jc w:val="right"/>
        <w:rPr>
          <w:sz w:val="14"/>
          <w:szCs w:val="14"/>
        </w:rPr>
      </w:pPr>
      <w:r w:rsidRPr="00657AE4">
        <w:rPr>
          <w:sz w:val="14"/>
          <w:szCs w:val="14"/>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344" w:rsidRPr="00657AE4" w:rsidRDefault="00D25344">
      <w:pPr>
        <w:rPr>
          <w:sz w:val="18"/>
          <w:szCs w:val="18"/>
        </w:rPr>
      </w:pPr>
      <w:r w:rsidRPr="00657AE4">
        <w:rPr>
          <w:sz w:val="18"/>
          <w:szCs w:val="18"/>
        </w:rPr>
        <w:separator/>
      </w:r>
    </w:p>
  </w:footnote>
  <w:footnote w:type="continuationSeparator" w:id="0">
    <w:p w:rsidR="00D25344" w:rsidRPr="00657AE4" w:rsidRDefault="00D25344" w:rsidP="008B60B2">
      <w:pPr>
        <w:rPr>
          <w:sz w:val="18"/>
          <w:szCs w:val="18"/>
        </w:rPr>
      </w:pPr>
      <w:r w:rsidRPr="00657AE4">
        <w:rPr>
          <w:sz w:val="18"/>
          <w:szCs w:val="18"/>
        </w:rPr>
        <w:separator/>
      </w:r>
    </w:p>
    <w:p w:rsidR="00D25344" w:rsidRPr="00657AE4" w:rsidRDefault="00D25344" w:rsidP="008B60B2">
      <w:pPr>
        <w:spacing w:after="60"/>
        <w:rPr>
          <w:sz w:val="14"/>
          <w:szCs w:val="14"/>
        </w:rPr>
      </w:pPr>
      <w:r w:rsidRPr="00657AE4">
        <w:rPr>
          <w:sz w:val="14"/>
          <w:szCs w:val="14"/>
        </w:rPr>
        <w:t>[Footnote continued from previous page]</w:t>
      </w:r>
    </w:p>
  </w:footnote>
  <w:footnote w:type="continuationNotice" w:id="1">
    <w:p w:rsidR="00D25344" w:rsidRPr="00657AE4" w:rsidRDefault="00D25344" w:rsidP="008B60B2">
      <w:pPr>
        <w:spacing w:before="60"/>
        <w:jc w:val="right"/>
        <w:rPr>
          <w:sz w:val="14"/>
          <w:szCs w:val="14"/>
        </w:rPr>
      </w:pPr>
      <w:r w:rsidRPr="00657AE4">
        <w:rPr>
          <w:sz w:val="14"/>
          <w:szCs w:val="14"/>
        </w:rPr>
        <w:t>[Footnote continued on next page]</w:t>
      </w:r>
    </w:p>
  </w:footnote>
  <w:footnote w:id="2">
    <w:p w:rsidR="00E26FD5" w:rsidRPr="00280E15" w:rsidRDefault="00E26FD5">
      <w:pPr>
        <w:pStyle w:val="FootnoteText"/>
        <w:rPr>
          <w:lang w:val="es-ES"/>
        </w:rPr>
      </w:pPr>
      <w:r>
        <w:rPr>
          <w:rStyle w:val="FootnoteReference"/>
        </w:rPr>
        <w:footnoteRef/>
      </w:r>
      <w:r w:rsidRPr="00280E15">
        <w:rPr>
          <w:lang w:val="es-ES"/>
        </w:rPr>
        <w:t xml:space="preserve"> Para </w:t>
      </w:r>
      <w:r>
        <w:rPr>
          <w:lang w:val="es-ES"/>
        </w:rPr>
        <w:t>mayor información sobre calific</w:t>
      </w:r>
      <w:r w:rsidRPr="00280E15">
        <w:rPr>
          <w:lang w:val="es-ES"/>
        </w:rPr>
        <w:t>aciones crediticias, v</w:t>
      </w:r>
      <w:r>
        <w:rPr>
          <w:lang w:val="es-ES"/>
        </w:rPr>
        <w:t>éase el Anexo 2</w:t>
      </w:r>
    </w:p>
  </w:footnote>
  <w:footnote w:id="3">
    <w:p w:rsidR="00E26FD5" w:rsidRPr="00E95E76" w:rsidRDefault="00E26FD5" w:rsidP="00E95E76">
      <w:pPr>
        <w:pStyle w:val="FootnoteText"/>
        <w:rPr>
          <w:lang w:val="es-ES"/>
        </w:rPr>
      </w:pPr>
      <w:r>
        <w:rPr>
          <w:rStyle w:val="FootnoteReference"/>
        </w:rPr>
        <w:footnoteRef/>
      </w:r>
      <w:r w:rsidRPr="00E95E76">
        <w:rPr>
          <w:lang w:val="es-ES"/>
        </w:rPr>
        <w:t xml:space="preserve"> </w:t>
      </w:r>
      <w:r>
        <w:rPr>
          <w:lang w:val="es-ES"/>
        </w:rPr>
        <w:t xml:space="preserve">La gestión activa es </w:t>
      </w:r>
      <w:r w:rsidRPr="00E95E76">
        <w:rPr>
          <w:lang w:val="es-ES"/>
        </w:rPr>
        <w:t>una estrategia de gestión de la ca</w:t>
      </w:r>
      <w:r>
        <w:rPr>
          <w:lang w:val="es-ES"/>
        </w:rPr>
        <w:t>rtera en la que el gestor</w:t>
      </w:r>
      <w:r w:rsidRPr="00E95E76">
        <w:rPr>
          <w:lang w:val="es-ES"/>
        </w:rPr>
        <w:t xml:space="preserve"> realiza inversiones especí</w:t>
      </w:r>
      <w:r>
        <w:rPr>
          <w:lang w:val="es-ES"/>
        </w:rPr>
        <w:t xml:space="preserve">ficas con el objetivo de obtener rentabilidades superiores a las de </w:t>
      </w:r>
      <w:r w:rsidRPr="00E95E76">
        <w:rPr>
          <w:lang w:val="es-ES"/>
        </w:rPr>
        <w:t>un índice de referencia. Con una ge</w:t>
      </w:r>
      <w:r>
        <w:rPr>
          <w:lang w:val="es-ES"/>
        </w:rPr>
        <w:t>stión pasiva, los inversores esperan una rentabilidad</w:t>
      </w:r>
      <w:r w:rsidRPr="00E95E76">
        <w:rPr>
          <w:lang w:val="es-ES"/>
        </w:rPr>
        <w:t xml:space="preserve"> que replica</w:t>
      </w:r>
      <w:r>
        <w:rPr>
          <w:lang w:val="es-ES"/>
        </w:rPr>
        <w:t xml:space="preserve"> de cerca</w:t>
      </w:r>
      <w:r w:rsidRPr="00E95E76">
        <w:rPr>
          <w:lang w:val="es-ES"/>
        </w:rPr>
        <w:t xml:space="preserve"> la ponderación de inversiones y </w:t>
      </w:r>
      <w:r>
        <w:rPr>
          <w:lang w:val="es-ES"/>
        </w:rPr>
        <w:t xml:space="preserve">las rentabilidades </w:t>
      </w:r>
      <w:r w:rsidRPr="00E95E76">
        <w:rPr>
          <w:lang w:val="es-ES"/>
        </w:rPr>
        <w:t>de un índice de referencia y, a menudo</w:t>
      </w:r>
      <w:r>
        <w:rPr>
          <w:lang w:val="es-ES"/>
        </w:rPr>
        <w:t>, invierten en un fondo indexado</w:t>
      </w:r>
      <w:r w:rsidRPr="00E95E76">
        <w:rPr>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FD5" w:rsidRPr="00AA117F" w:rsidRDefault="00E26FD5" w:rsidP="00477D6B">
    <w:pPr>
      <w:jc w:val="right"/>
      <w:rPr>
        <w:szCs w:val="22"/>
      </w:rPr>
    </w:pPr>
    <w:bookmarkStart w:id="5" w:name="Code2"/>
    <w:bookmarkEnd w:id="5"/>
    <w:r w:rsidRPr="00AA117F">
      <w:rPr>
        <w:szCs w:val="22"/>
      </w:rPr>
      <w:t>WO/PBC/23/7</w:t>
    </w:r>
  </w:p>
  <w:p w:rsidR="00E26FD5" w:rsidRPr="00EB5CB0" w:rsidRDefault="00E26FD5" w:rsidP="00477D6B">
    <w:pPr>
      <w:jc w:val="right"/>
      <w:rPr>
        <w:szCs w:val="22"/>
        <w:lang w:val="es-ES_tradnl"/>
      </w:rPr>
    </w:pPr>
    <w:proofErr w:type="gramStart"/>
    <w:r>
      <w:rPr>
        <w:szCs w:val="22"/>
        <w:lang w:val="es-ES_tradnl"/>
      </w:rPr>
      <w:t>página</w:t>
    </w:r>
    <w:proofErr w:type="gramEnd"/>
    <w:r w:rsidRPr="00EB5CB0">
      <w:rPr>
        <w:szCs w:val="22"/>
        <w:lang w:val="es-ES_tradnl"/>
      </w:rPr>
      <w:t xml:space="preserve"> </w:t>
    </w:r>
    <w:r w:rsidRPr="00EB5CB0">
      <w:rPr>
        <w:szCs w:val="22"/>
        <w:lang w:val="es-ES_tradnl"/>
      </w:rPr>
      <w:fldChar w:fldCharType="begin"/>
    </w:r>
    <w:r w:rsidRPr="00EB5CB0">
      <w:rPr>
        <w:szCs w:val="22"/>
        <w:lang w:val="es-ES_tradnl"/>
      </w:rPr>
      <w:instrText xml:space="preserve"> PAGE  \* MERGEFORMAT </w:instrText>
    </w:r>
    <w:r w:rsidRPr="00EB5CB0">
      <w:rPr>
        <w:szCs w:val="22"/>
        <w:lang w:val="es-ES_tradnl"/>
      </w:rPr>
      <w:fldChar w:fldCharType="separate"/>
    </w:r>
    <w:r w:rsidR="00485726">
      <w:rPr>
        <w:noProof/>
        <w:szCs w:val="22"/>
        <w:lang w:val="es-ES_tradnl"/>
      </w:rPr>
      <w:t>11</w:t>
    </w:r>
    <w:r w:rsidRPr="00EB5CB0">
      <w:rPr>
        <w:szCs w:val="22"/>
        <w:lang w:val="es-ES_tradnl"/>
      </w:rPr>
      <w:fldChar w:fldCharType="end"/>
    </w:r>
  </w:p>
  <w:p w:rsidR="00E26FD5" w:rsidRPr="00A314DC" w:rsidRDefault="00E26FD5" w:rsidP="00477D6B">
    <w:pPr>
      <w:jc w:val="right"/>
      <w:rPr>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606386088"/>
      <w:docPartObj>
        <w:docPartGallery w:val="Page Numbers (Top of Page)"/>
        <w:docPartUnique/>
      </w:docPartObj>
    </w:sdtPr>
    <w:sdtEndPr>
      <w:rPr>
        <w:noProof/>
        <w:sz w:val="22"/>
        <w:szCs w:val="22"/>
      </w:rPr>
    </w:sdtEndPr>
    <w:sdtContent>
      <w:p w:rsidR="00E26FD5" w:rsidRPr="00AA117F" w:rsidRDefault="00E26FD5">
        <w:pPr>
          <w:pStyle w:val="Header"/>
          <w:jc w:val="right"/>
          <w:rPr>
            <w:szCs w:val="22"/>
          </w:rPr>
        </w:pPr>
        <w:r w:rsidRPr="00AA117F">
          <w:rPr>
            <w:szCs w:val="22"/>
          </w:rPr>
          <w:t>WO/PBC/23/7</w:t>
        </w:r>
      </w:p>
      <w:p w:rsidR="00E26FD5" w:rsidRPr="00AA117F" w:rsidRDefault="00E26FD5">
        <w:pPr>
          <w:pStyle w:val="Header"/>
          <w:jc w:val="right"/>
          <w:rPr>
            <w:szCs w:val="22"/>
          </w:rPr>
        </w:pPr>
        <w:r>
          <w:rPr>
            <w:szCs w:val="22"/>
          </w:rPr>
          <w:t>ANEXO II</w:t>
        </w:r>
      </w:p>
    </w:sdtContent>
  </w:sdt>
  <w:p w:rsidR="00E26FD5" w:rsidRPr="00657AE4" w:rsidRDefault="00E26FD5" w:rsidP="00477D6B">
    <w:pPr>
      <w:jc w:val="right"/>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FD5" w:rsidRPr="00AA117F" w:rsidRDefault="00E26FD5" w:rsidP="003E300A">
    <w:pPr>
      <w:pStyle w:val="Header"/>
      <w:jc w:val="right"/>
      <w:rPr>
        <w:szCs w:val="22"/>
      </w:rPr>
    </w:pPr>
    <w:r w:rsidRPr="00AA117F">
      <w:rPr>
        <w:szCs w:val="22"/>
      </w:rPr>
      <w:t>WO/PBC/23/7</w:t>
    </w:r>
  </w:p>
  <w:p w:rsidR="00E26FD5" w:rsidRPr="00AA117F" w:rsidRDefault="00E26FD5" w:rsidP="003E300A">
    <w:pPr>
      <w:pStyle w:val="Header"/>
      <w:jc w:val="right"/>
      <w:rPr>
        <w:szCs w:val="22"/>
      </w:rPr>
    </w:pPr>
    <w:r>
      <w:rPr>
        <w:szCs w:val="22"/>
      </w:rPr>
      <w:t>ANEXO</w:t>
    </w:r>
    <w:r w:rsidRPr="00AA117F">
      <w:rPr>
        <w:szCs w:val="22"/>
      </w:rPr>
      <w:t xml:space="preserve"> I</w:t>
    </w:r>
  </w:p>
  <w:p w:rsidR="00E26FD5" w:rsidRPr="00657AE4" w:rsidRDefault="00E26FD5" w:rsidP="003E300A">
    <w:pPr>
      <w:pStyle w:val="Header"/>
      <w:jc w:val="right"/>
      <w:rPr>
        <w:sz w:val="18"/>
        <w:szCs w:val="18"/>
      </w:rPr>
    </w:pPr>
  </w:p>
  <w:p w:rsidR="00E26FD5" w:rsidRPr="00657AE4" w:rsidRDefault="00E26FD5" w:rsidP="003E300A">
    <w:pPr>
      <w:pStyle w:val="Header"/>
      <w:jc w:val="right"/>
      <w:rPr>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944993190"/>
      <w:docPartObj>
        <w:docPartGallery w:val="Page Numbers (Top of Page)"/>
        <w:docPartUnique/>
      </w:docPartObj>
    </w:sdtPr>
    <w:sdtEndPr>
      <w:rPr>
        <w:noProof/>
        <w:sz w:val="22"/>
        <w:szCs w:val="22"/>
      </w:rPr>
    </w:sdtEndPr>
    <w:sdtContent>
      <w:p w:rsidR="00E26FD5" w:rsidRPr="00195435" w:rsidRDefault="00E26FD5">
        <w:pPr>
          <w:pStyle w:val="Header"/>
          <w:jc w:val="right"/>
          <w:rPr>
            <w:szCs w:val="22"/>
            <w:lang w:val="es-ES"/>
          </w:rPr>
        </w:pPr>
        <w:r w:rsidRPr="00195435">
          <w:rPr>
            <w:szCs w:val="22"/>
            <w:lang w:val="es-ES"/>
          </w:rPr>
          <w:t>WO/PBC/23/7</w:t>
        </w:r>
      </w:p>
      <w:p w:rsidR="00E26FD5" w:rsidRPr="00195435" w:rsidRDefault="00E26FD5">
        <w:pPr>
          <w:pStyle w:val="Header"/>
          <w:jc w:val="right"/>
          <w:rPr>
            <w:szCs w:val="22"/>
            <w:lang w:val="es-ES"/>
          </w:rPr>
        </w:pPr>
        <w:r w:rsidRPr="00195435">
          <w:rPr>
            <w:szCs w:val="22"/>
            <w:lang w:val="es-ES"/>
          </w:rPr>
          <w:t>Anexo III, página 2</w:t>
        </w:r>
      </w:p>
    </w:sdtContent>
  </w:sdt>
  <w:p w:rsidR="00E26FD5" w:rsidRPr="00195435" w:rsidRDefault="00E26FD5" w:rsidP="00477D6B">
    <w:pPr>
      <w:jc w:val="right"/>
      <w:rPr>
        <w:sz w:val="18"/>
        <w:szCs w:val="18"/>
        <w:lang w:val="es-ES"/>
      </w:rPr>
    </w:pPr>
  </w:p>
  <w:p w:rsidR="00E26FD5" w:rsidRPr="00195435" w:rsidRDefault="00E26FD5" w:rsidP="00477D6B">
    <w:pPr>
      <w:jc w:val="right"/>
      <w:rPr>
        <w:sz w:val="18"/>
        <w:szCs w:val="18"/>
        <w:lang w:val="es-E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FD5" w:rsidRPr="00AA117F" w:rsidRDefault="00E26FD5" w:rsidP="003E300A">
    <w:pPr>
      <w:pStyle w:val="Header"/>
      <w:jc w:val="right"/>
      <w:rPr>
        <w:szCs w:val="22"/>
      </w:rPr>
    </w:pPr>
    <w:r w:rsidRPr="00AA117F">
      <w:rPr>
        <w:szCs w:val="22"/>
      </w:rPr>
      <w:t>WO/PBC/23/7</w:t>
    </w:r>
  </w:p>
  <w:p w:rsidR="00E26FD5" w:rsidRPr="00AA117F" w:rsidRDefault="00E26FD5" w:rsidP="003E300A">
    <w:pPr>
      <w:pStyle w:val="Header"/>
      <w:jc w:val="right"/>
      <w:rPr>
        <w:szCs w:val="22"/>
      </w:rPr>
    </w:pPr>
    <w:r>
      <w:rPr>
        <w:szCs w:val="22"/>
      </w:rPr>
      <w:t>ANEXO</w:t>
    </w:r>
    <w:r w:rsidRPr="00AA117F">
      <w:rPr>
        <w:szCs w:val="22"/>
      </w:rPr>
      <w:t xml:space="preserve"> II</w:t>
    </w:r>
    <w:r>
      <w:rPr>
        <w:szCs w:val="22"/>
      </w:rPr>
      <w:t>I</w:t>
    </w:r>
  </w:p>
  <w:p w:rsidR="00E26FD5" w:rsidRPr="00657AE4" w:rsidRDefault="00E26FD5" w:rsidP="003E300A">
    <w:pPr>
      <w:pStyle w:val="Header"/>
      <w:jc w:val="right"/>
      <w:rPr>
        <w:sz w:val="18"/>
        <w:szCs w:val="18"/>
      </w:rPr>
    </w:pPr>
  </w:p>
  <w:p w:rsidR="00E26FD5" w:rsidRPr="00657AE4" w:rsidRDefault="00E26FD5" w:rsidP="003E300A">
    <w:pPr>
      <w:pStyle w:val="Header"/>
      <w:jc w:val="right"/>
      <w:rPr>
        <w:sz w:val="18"/>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562567264"/>
      <w:docPartObj>
        <w:docPartGallery w:val="Page Numbers (Top of Page)"/>
        <w:docPartUnique/>
      </w:docPartObj>
    </w:sdtPr>
    <w:sdtEndPr>
      <w:rPr>
        <w:noProof/>
        <w:sz w:val="22"/>
        <w:szCs w:val="22"/>
      </w:rPr>
    </w:sdtEndPr>
    <w:sdtContent>
      <w:p w:rsidR="00E26FD5" w:rsidRPr="001D72E9" w:rsidRDefault="00E26FD5">
        <w:pPr>
          <w:pStyle w:val="Header"/>
          <w:jc w:val="right"/>
          <w:rPr>
            <w:szCs w:val="22"/>
            <w:lang w:val="es-ES"/>
          </w:rPr>
        </w:pPr>
        <w:r w:rsidRPr="001D72E9">
          <w:rPr>
            <w:szCs w:val="22"/>
            <w:lang w:val="es-ES"/>
          </w:rPr>
          <w:t>WO/PBC/23/7</w:t>
        </w:r>
      </w:p>
      <w:p w:rsidR="00E26FD5" w:rsidRPr="001D72E9" w:rsidRDefault="00E26FD5">
        <w:pPr>
          <w:pStyle w:val="Header"/>
          <w:jc w:val="right"/>
          <w:rPr>
            <w:szCs w:val="22"/>
            <w:lang w:val="es-ES"/>
          </w:rPr>
        </w:pPr>
        <w:r w:rsidRPr="001D72E9">
          <w:rPr>
            <w:szCs w:val="22"/>
            <w:lang w:val="es-ES"/>
          </w:rPr>
          <w:t>A</w:t>
        </w:r>
        <w:r w:rsidR="001D72E9" w:rsidRPr="001D72E9">
          <w:rPr>
            <w:szCs w:val="22"/>
            <w:lang w:val="es-ES"/>
          </w:rPr>
          <w:t>n</w:t>
        </w:r>
        <w:r w:rsidRPr="001D72E9">
          <w:rPr>
            <w:szCs w:val="22"/>
            <w:lang w:val="es-ES"/>
          </w:rPr>
          <w:t>ex</w:t>
        </w:r>
        <w:r w:rsidR="001D72E9" w:rsidRPr="001D72E9">
          <w:rPr>
            <w:szCs w:val="22"/>
            <w:lang w:val="es-ES"/>
          </w:rPr>
          <w:t>o IV, página</w:t>
        </w:r>
        <w:r w:rsidRPr="001D72E9">
          <w:rPr>
            <w:szCs w:val="22"/>
            <w:lang w:val="es-ES"/>
          </w:rPr>
          <w:t xml:space="preserve"> 2</w:t>
        </w:r>
      </w:p>
    </w:sdtContent>
  </w:sdt>
  <w:p w:rsidR="00E26FD5" w:rsidRPr="001D72E9" w:rsidRDefault="00E26FD5" w:rsidP="00477D6B">
    <w:pPr>
      <w:jc w:val="right"/>
      <w:rPr>
        <w:sz w:val="18"/>
        <w:szCs w:val="18"/>
        <w:lang w:val="es-ES"/>
      </w:rPr>
    </w:pPr>
  </w:p>
  <w:p w:rsidR="00E26FD5" w:rsidRPr="001D72E9" w:rsidRDefault="00E26FD5" w:rsidP="00477D6B">
    <w:pPr>
      <w:jc w:val="right"/>
      <w:rPr>
        <w:sz w:val="18"/>
        <w:szCs w:val="18"/>
        <w:lang w:val="es-ES"/>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FD5" w:rsidRPr="00AA117F" w:rsidRDefault="00E26FD5" w:rsidP="003E300A">
    <w:pPr>
      <w:pStyle w:val="Header"/>
      <w:jc w:val="right"/>
      <w:rPr>
        <w:szCs w:val="22"/>
      </w:rPr>
    </w:pPr>
    <w:r w:rsidRPr="00AA117F">
      <w:rPr>
        <w:szCs w:val="22"/>
      </w:rPr>
      <w:t>WO/PBC/23/7</w:t>
    </w:r>
  </w:p>
  <w:p w:rsidR="00E26FD5" w:rsidRPr="00AA117F" w:rsidRDefault="00E26FD5" w:rsidP="003E300A">
    <w:pPr>
      <w:pStyle w:val="Header"/>
      <w:jc w:val="right"/>
      <w:rPr>
        <w:szCs w:val="22"/>
      </w:rPr>
    </w:pPr>
    <w:r>
      <w:rPr>
        <w:szCs w:val="22"/>
      </w:rPr>
      <w:t>ANEXO</w:t>
    </w:r>
    <w:r w:rsidRPr="00AA117F">
      <w:rPr>
        <w:szCs w:val="22"/>
      </w:rPr>
      <w:t xml:space="preserve"> </w:t>
    </w:r>
    <w:r>
      <w:rPr>
        <w:szCs w:val="22"/>
      </w:rPr>
      <w:t>IV</w:t>
    </w:r>
  </w:p>
  <w:p w:rsidR="00E26FD5" w:rsidRPr="00657AE4" w:rsidRDefault="00E26FD5" w:rsidP="003E300A">
    <w:pPr>
      <w:pStyle w:val="Header"/>
      <w:jc w:val="right"/>
      <w:rPr>
        <w:sz w:val="18"/>
        <w:szCs w:val="18"/>
      </w:rPr>
    </w:pPr>
  </w:p>
  <w:p w:rsidR="00E26FD5" w:rsidRPr="00657AE4" w:rsidRDefault="00E26FD5" w:rsidP="003E300A">
    <w:pPr>
      <w:pStyle w:val="Header"/>
      <w:jc w:val="right"/>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5C720F22"/>
    <w:lvl w:ilvl="0">
      <w:start w:val="1"/>
      <w:numFmt w:val="decimal"/>
      <w:lvlRestart w:val="0"/>
      <w:lvlText w:val="%1."/>
      <w:lvlJc w:val="left"/>
      <w:pPr>
        <w:tabs>
          <w:tab w:val="num" w:pos="567"/>
        </w:tabs>
        <w:ind w:left="0" w:firstLine="0"/>
      </w:pPr>
      <w:rPr>
        <w:rFonts w:hint="default"/>
        <w:sz w:val="22"/>
        <w:szCs w:val="22"/>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1B46845"/>
    <w:multiLevelType w:val="hybridMultilevel"/>
    <w:tmpl w:val="8632CB62"/>
    <w:lvl w:ilvl="0" w:tplc="DDFA5716">
      <w:start w:val="1"/>
      <w:numFmt w:val="lowerLetter"/>
      <w:lvlText w:val="%1)"/>
      <w:lvlJc w:val="right"/>
      <w:pPr>
        <w:ind w:left="7243" w:hanging="360"/>
      </w:pPr>
      <w:rPr>
        <w:rFonts w:hint="default"/>
      </w:rPr>
    </w:lvl>
    <w:lvl w:ilvl="1" w:tplc="04090019" w:tentative="1">
      <w:start w:val="1"/>
      <w:numFmt w:val="lowerLetter"/>
      <w:lvlText w:val="%2."/>
      <w:lvlJc w:val="left"/>
      <w:pPr>
        <w:ind w:left="7963" w:hanging="360"/>
      </w:pPr>
    </w:lvl>
    <w:lvl w:ilvl="2" w:tplc="0409001B" w:tentative="1">
      <w:start w:val="1"/>
      <w:numFmt w:val="lowerRoman"/>
      <w:lvlText w:val="%3."/>
      <w:lvlJc w:val="right"/>
      <w:pPr>
        <w:ind w:left="8683" w:hanging="180"/>
      </w:pPr>
    </w:lvl>
    <w:lvl w:ilvl="3" w:tplc="0409000F" w:tentative="1">
      <w:start w:val="1"/>
      <w:numFmt w:val="decimal"/>
      <w:lvlText w:val="%4."/>
      <w:lvlJc w:val="left"/>
      <w:pPr>
        <w:ind w:left="9403" w:hanging="360"/>
      </w:pPr>
    </w:lvl>
    <w:lvl w:ilvl="4" w:tplc="04090019" w:tentative="1">
      <w:start w:val="1"/>
      <w:numFmt w:val="lowerLetter"/>
      <w:lvlText w:val="%5."/>
      <w:lvlJc w:val="left"/>
      <w:pPr>
        <w:ind w:left="10123" w:hanging="360"/>
      </w:pPr>
    </w:lvl>
    <w:lvl w:ilvl="5" w:tplc="0409001B" w:tentative="1">
      <w:start w:val="1"/>
      <w:numFmt w:val="lowerRoman"/>
      <w:lvlText w:val="%6."/>
      <w:lvlJc w:val="right"/>
      <w:pPr>
        <w:ind w:left="10843" w:hanging="180"/>
      </w:pPr>
    </w:lvl>
    <w:lvl w:ilvl="6" w:tplc="0409000F" w:tentative="1">
      <w:start w:val="1"/>
      <w:numFmt w:val="decimal"/>
      <w:lvlText w:val="%7."/>
      <w:lvlJc w:val="left"/>
      <w:pPr>
        <w:ind w:left="11563" w:hanging="360"/>
      </w:pPr>
    </w:lvl>
    <w:lvl w:ilvl="7" w:tplc="04090019" w:tentative="1">
      <w:start w:val="1"/>
      <w:numFmt w:val="lowerLetter"/>
      <w:lvlText w:val="%8."/>
      <w:lvlJc w:val="left"/>
      <w:pPr>
        <w:ind w:left="12283" w:hanging="360"/>
      </w:pPr>
    </w:lvl>
    <w:lvl w:ilvl="8" w:tplc="0409001B" w:tentative="1">
      <w:start w:val="1"/>
      <w:numFmt w:val="lowerRoman"/>
      <w:lvlText w:val="%9."/>
      <w:lvlJc w:val="right"/>
      <w:pPr>
        <w:ind w:left="13003" w:hanging="180"/>
      </w:pPr>
    </w:lvl>
  </w:abstractNum>
  <w:abstractNum w:abstractNumId="2">
    <w:nsid w:val="12D36459"/>
    <w:multiLevelType w:val="hybridMultilevel"/>
    <w:tmpl w:val="EF448362"/>
    <w:lvl w:ilvl="0" w:tplc="04090017">
      <w:start w:val="1"/>
      <w:numFmt w:val="lowerLetter"/>
      <w:lvlText w:val="%1)"/>
      <w:lvlJc w:val="left"/>
      <w:pPr>
        <w:ind w:left="7243" w:hanging="360"/>
      </w:pPr>
    </w:lvl>
    <w:lvl w:ilvl="1" w:tplc="04090019" w:tentative="1">
      <w:start w:val="1"/>
      <w:numFmt w:val="lowerLetter"/>
      <w:lvlText w:val="%2."/>
      <w:lvlJc w:val="left"/>
      <w:pPr>
        <w:ind w:left="7963" w:hanging="360"/>
      </w:pPr>
    </w:lvl>
    <w:lvl w:ilvl="2" w:tplc="0409001B" w:tentative="1">
      <w:start w:val="1"/>
      <w:numFmt w:val="lowerRoman"/>
      <w:lvlText w:val="%3."/>
      <w:lvlJc w:val="right"/>
      <w:pPr>
        <w:ind w:left="8683" w:hanging="180"/>
      </w:pPr>
    </w:lvl>
    <w:lvl w:ilvl="3" w:tplc="0409000F" w:tentative="1">
      <w:start w:val="1"/>
      <w:numFmt w:val="decimal"/>
      <w:lvlText w:val="%4."/>
      <w:lvlJc w:val="left"/>
      <w:pPr>
        <w:ind w:left="9403" w:hanging="360"/>
      </w:pPr>
    </w:lvl>
    <w:lvl w:ilvl="4" w:tplc="04090019" w:tentative="1">
      <w:start w:val="1"/>
      <w:numFmt w:val="lowerLetter"/>
      <w:lvlText w:val="%5."/>
      <w:lvlJc w:val="left"/>
      <w:pPr>
        <w:ind w:left="10123" w:hanging="360"/>
      </w:pPr>
    </w:lvl>
    <w:lvl w:ilvl="5" w:tplc="0409001B" w:tentative="1">
      <w:start w:val="1"/>
      <w:numFmt w:val="lowerRoman"/>
      <w:lvlText w:val="%6."/>
      <w:lvlJc w:val="right"/>
      <w:pPr>
        <w:ind w:left="10843" w:hanging="180"/>
      </w:pPr>
    </w:lvl>
    <w:lvl w:ilvl="6" w:tplc="0409000F" w:tentative="1">
      <w:start w:val="1"/>
      <w:numFmt w:val="decimal"/>
      <w:lvlText w:val="%7."/>
      <w:lvlJc w:val="left"/>
      <w:pPr>
        <w:ind w:left="11563" w:hanging="360"/>
      </w:pPr>
    </w:lvl>
    <w:lvl w:ilvl="7" w:tplc="04090019" w:tentative="1">
      <w:start w:val="1"/>
      <w:numFmt w:val="lowerLetter"/>
      <w:lvlText w:val="%8."/>
      <w:lvlJc w:val="left"/>
      <w:pPr>
        <w:ind w:left="12283" w:hanging="360"/>
      </w:pPr>
    </w:lvl>
    <w:lvl w:ilvl="8" w:tplc="0409001B" w:tentative="1">
      <w:start w:val="1"/>
      <w:numFmt w:val="lowerRoman"/>
      <w:lvlText w:val="%9."/>
      <w:lvlJc w:val="right"/>
      <w:pPr>
        <w:ind w:left="13003" w:hanging="180"/>
      </w:pPr>
    </w:lvl>
  </w:abstractNum>
  <w:abstractNum w:abstractNumId="3">
    <w:nsid w:val="145F3252"/>
    <w:multiLevelType w:val="hybridMultilevel"/>
    <w:tmpl w:val="6AEC7D84"/>
    <w:lvl w:ilvl="0" w:tplc="B2087C9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CB635B1"/>
    <w:multiLevelType w:val="hybridMultilevel"/>
    <w:tmpl w:val="2F7E5D5C"/>
    <w:lvl w:ilvl="0" w:tplc="B2087C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F440D3"/>
    <w:multiLevelType w:val="hybridMultilevel"/>
    <w:tmpl w:val="59C8CCA4"/>
    <w:lvl w:ilvl="0" w:tplc="13D6574C">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FB19A2"/>
    <w:multiLevelType w:val="multilevel"/>
    <w:tmpl w:val="E850DB4A"/>
    <w:lvl w:ilvl="0">
      <w:start w:val="1"/>
      <w:numFmt w:val="decimal"/>
      <w:lvlRestart w:val="0"/>
      <w:pStyle w:val="ONUMFS"/>
      <w:lvlText w:val="%1."/>
      <w:lvlJc w:val="left"/>
      <w:pPr>
        <w:tabs>
          <w:tab w:val="num" w:pos="567"/>
        </w:tabs>
        <w:ind w:left="0" w:firstLine="0"/>
      </w:pPr>
      <w:rPr>
        <w:rFonts w:hint="default"/>
        <w:sz w:val="22"/>
        <w:szCs w:val="22"/>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23F7623"/>
    <w:multiLevelType w:val="hybridMultilevel"/>
    <w:tmpl w:val="966EA72C"/>
    <w:lvl w:ilvl="0" w:tplc="DDFA5716">
      <w:start w:val="1"/>
      <w:numFmt w:val="lowerLetter"/>
      <w:lvlText w:val="%1)"/>
      <w:lvlJc w:val="right"/>
      <w:pPr>
        <w:ind w:left="1569" w:hanging="360"/>
      </w:pPr>
      <w:rPr>
        <w:rFonts w:hint="default"/>
      </w:rPr>
    </w:lvl>
    <w:lvl w:ilvl="1" w:tplc="04090019" w:tentative="1">
      <w:start w:val="1"/>
      <w:numFmt w:val="lowerLetter"/>
      <w:lvlText w:val="%2."/>
      <w:lvlJc w:val="left"/>
      <w:pPr>
        <w:ind w:left="2289" w:hanging="360"/>
      </w:pPr>
    </w:lvl>
    <w:lvl w:ilvl="2" w:tplc="0409001B" w:tentative="1">
      <w:start w:val="1"/>
      <w:numFmt w:val="lowerRoman"/>
      <w:lvlText w:val="%3."/>
      <w:lvlJc w:val="right"/>
      <w:pPr>
        <w:ind w:left="3009" w:hanging="180"/>
      </w:pPr>
    </w:lvl>
    <w:lvl w:ilvl="3" w:tplc="0409000F" w:tentative="1">
      <w:start w:val="1"/>
      <w:numFmt w:val="decimal"/>
      <w:lvlText w:val="%4."/>
      <w:lvlJc w:val="left"/>
      <w:pPr>
        <w:ind w:left="3729" w:hanging="360"/>
      </w:pPr>
    </w:lvl>
    <w:lvl w:ilvl="4" w:tplc="04090019" w:tentative="1">
      <w:start w:val="1"/>
      <w:numFmt w:val="lowerLetter"/>
      <w:lvlText w:val="%5."/>
      <w:lvlJc w:val="left"/>
      <w:pPr>
        <w:ind w:left="4449" w:hanging="360"/>
      </w:pPr>
    </w:lvl>
    <w:lvl w:ilvl="5" w:tplc="0409001B" w:tentative="1">
      <w:start w:val="1"/>
      <w:numFmt w:val="lowerRoman"/>
      <w:lvlText w:val="%6."/>
      <w:lvlJc w:val="right"/>
      <w:pPr>
        <w:ind w:left="5169" w:hanging="180"/>
      </w:pPr>
    </w:lvl>
    <w:lvl w:ilvl="6" w:tplc="0409000F" w:tentative="1">
      <w:start w:val="1"/>
      <w:numFmt w:val="decimal"/>
      <w:lvlText w:val="%7."/>
      <w:lvlJc w:val="left"/>
      <w:pPr>
        <w:ind w:left="5889" w:hanging="360"/>
      </w:pPr>
    </w:lvl>
    <w:lvl w:ilvl="7" w:tplc="04090019" w:tentative="1">
      <w:start w:val="1"/>
      <w:numFmt w:val="lowerLetter"/>
      <w:lvlText w:val="%8."/>
      <w:lvlJc w:val="left"/>
      <w:pPr>
        <w:ind w:left="6609" w:hanging="360"/>
      </w:pPr>
    </w:lvl>
    <w:lvl w:ilvl="8" w:tplc="0409001B" w:tentative="1">
      <w:start w:val="1"/>
      <w:numFmt w:val="lowerRoman"/>
      <w:lvlText w:val="%9."/>
      <w:lvlJc w:val="right"/>
      <w:pPr>
        <w:ind w:left="7329" w:hanging="180"/>
      </w:pPr>
    </w:lvl>
  </w:abstractNum>
  <w:abstractNum w:abstractNumId="8">
    <w:nsid w:val="22E14A96"/>
    <w:multiLevelType w:val="hybridMultilevel"/>
    <w:tmpl w:val="8EF85B7A"/>
    <w:lvl w:ilvl="0" w:tplc="DDFA5716">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B62DD9"/>
    <w:multiLevelType w:val="hybridMultilevel"/>
    <w:tmpl w:val="13AADF9E"/>
    <w:lvl w:ilvl="0" w:tplc="04090015">
      <w:start w:val="1"/>
      <w:numFmt w:val="upperLetter"/>
      <w:lvlText w:val="%1."/>
      <w:lvlJc w:val="left"/>
      <w:pPr>
        <w:ind w:left="7033" w:hanging="360"/>
      </w:pPr>
      <w:rPr>
        <w:rFonts w:hint="default"/>
      </w:rPr>
    </w:lvl>
    <w:lvl w:ilvl="1" w:tplc="04090019" w:tentative="1">
      <w:start w:val="1"/>
      <w:numFmt w:val="lowerLetter"/>
      <w:lvlText w:val="%2."/>
      <w:lvlJc w:val="left"/>
      <w:pPr>
        <w:ind w:left="7753" w:hanging="360"/>
      </w:pPr>
    </w:lvl>
    <w:lvl w:ilvl="2" w:tplc="0409001B" w:tentative="1">
      <w:start w:val="1"/>
      <w:numFmt w:val="lowerRoman"/>
      <w:lvlText w:val="%3."/>
      <w:lvlJc w:val="right"/>
      <w:pPr>
        <w:ind w:left="8473" w:hanging="180"/>
      </w:pPr>
    </w:lvl>
    <w:lvl w:ilvl="3" w:tplc="0409000F" w:tentative="1">
      <w:start w:val="1"/>
      <w:numFmt w:val="decimal"/>
      <w:lvlText w:val="%4."/>
      <w:lvlJc w:val="left"/>
      <w:pPr>
        <w:ind w:left="9193" w:hanging="360"/>
      </w:pPr>
    </w:lvl>
    <w:lvl w:ilvl="4" w:tplc="04090019" w:tentative="1">
      <w:start w:val="1"/>
      <w:numFmt w:val="lowerLetter"/>
      <w:lvlText w:val="%5."/>
      <w:lvlJc w:val="left"/>
      <w:pPr>
        <w:ind w:left="9913" w:hanging="360"/>
      </w:pPr>
    </w:lvl>
    <w:lvl w:ilvl="5" w:tplc="0409001B" w:tentative="1">
      <w:start w:val="1"/>
      <w:numFmt w:val="lowerRoman"/>
      <w:lvlText w:val="%6."/>
      <w:lvlJc w:val="right"/>
      <w:pPr>
        <w:ind w:left="10633" w:hanging="180"/>
      </w:pPr>
    </w:lvl>
    <w:lvl w:ilvl="6" w:tplc="0409000F" w:tentative="1">
      <w:start w:val="1"/>
      <w:numFmt w:val="decimal"/>
      <w:lvlText w:val="%7."/>
      <w:lvlJc w:val="left"/>
      <w:pPr>
        <w:ind w:left="11353" w:hanging="360"/>
      </w:pPr>
    </w:lvl>
    <w:lvl w:ilvl="7" w:tplc="04090019" w:tentative="1">
      <w:start w:val="1"/>
      <w:numFmt w:val="lowerLetter"/>
      <w:lvlText w:val="%8."/>
      <w:lvlJc w:val="left"/>
      <w:pPr>
        <w:ind w:left="12073" w:hanging="360"/>
      </w:pPr>
    </w:lvl>
    <w:lvl w:ilvl="8" w:tplc="0409001B" w:tentative="1">
      <w:start w:val="1"/>
      <w:numFmt w:val="lowerRoman"/>
      <w:lvlText w:val="%9."/>
      <w:lvlJc w:val="right"/>
      <w:pPr>
        <w:ind w:left="12793" w:hanging="180"/>
      </w:pPr>
    </w:lvl>
  </w:abstractNum>
  <w:abstractNum w:abstractNumId="10">
    <w:nsid w:val="31106E65"/>
    <w:multiLevelType w:val="hybridMultilevel"/>
    <w:tmpl w:val="BB66B222"/>
    <w:lvl w:ilvl="0" w:tplc="62C6C150">
      <w:start w:val="1"/>
      <w:numFmt w:val="lowerRoman"/>
      <w:pStyle w:val="Style2"/>
      <w:lvlText w:val="(%1)"/>
      <w:lvlJc w:val="left"/>
      <w:pPr>
        <w:ind w:left="6598" w:hanging="360"/>
      </w:pPr>
      <w:rPr>
        <w:rFonts w:hint="default"/>
      </w:rPr>
    </w:lvl>
    <w:lvl w:ilvl="1" w:tplc="04090019" w:tentative="1">
      <w:start w:val="1"/>
      <w:numFmt w:val="lowerLetter"/>
      <w:lvlText w:val="%2."/>
      <w:lvlJc w:val="left"/>
      <w:pPr>
        <w:ind w:left="7318" w:hanging="360"/>
      </w:pPr>
    </w:lvl>
    <w:lvl w:ilvl="2" w:tplc="0409001B" w:tentative="1">
      <w:start w:val="1"/>
      <w:numFmt w:val="lowerRoman"/>
      <w:lvlText w:val="%3."/>
      <w:lvlJc w:val="right"/>
      <w:pPr>
        <w:ind w:left="8038" w:hanging="180"/>
      </w:pPr>
    </w:lvl>
    <w:lvl w:ilvl="3" w:tplc="0409000F" w:tentative="1">
      <w:start w:val="1"/>
      <w:numFmt w:val="decimal"/>
      <w:lvlText w:val="%4."/>
      <w:lvlJc w:val="left"/>
      <w:pPr>
        <w:ind w:left="8758" w:hanging="360"/>
      </w:pPr>
    </w:lvl>
    <w:lvl w:ilvl="4" w:tplc="04090019" w:tentative="1">
      <w:start w:val="1"/>
      <w:numFmt w:val="lowerLetter"/>
      <w:lvlText w:val="%5."/>
      <w:lvlJc w:val="left"/>
      <w:pPr>
        <w:ind w:left="9478" w:hanging="360"/>
      </w:pPr>
    </w:lvl>
    <w:lvl w:ilvl="5" w:tplc="0409001B" w:tentative="1">
      <w:start w:val="1"/>
      <w:numFmt w:val="lowerRoman"/>
      <w:lvlText w:val="%6."/>
      <w:lvlJc w:val="right"/>
      <w:pPr>
        <w:ind w:left="10198" w:hanging="180"/>
      </w:pPr>
    </w:lvl>
    <w:lvl w:ilvl="6" w:tplc="0409000F" w:tentative="1">
      <w:start w:val="1"/>
      <w:numFmt w:val="decimal"/>
      <w:lvlText w:val="%7."/>
      <w:lvlJc w:val="left"/>
      <w:pPr>
        <w:ind w:left="10918" w:hanging="360"/>
      </w:pPr>
    </w:lvl>
    <w:lvl w:ilvl="7" w:tplc="04090019" w:tentative="1">
      <w:start w:val="1"/>
      <w:numFmt w:val="lowerLetter"/>
      <w:lvlText w:val="%8."/>
      <w:lvlJc w:val="left"/>
      <w:pPr>
        <w:ind w:left="11638" w:hanging="360"/>
      </w:pPr>
    </w:lvl>
    <w:lvl w:ilvl="8" w:tplc="0409001B" w:tentative="1">
      <w:start w:val="1"/>
      <w:numFmt w:val="lowerRoman"/>
      <w:lvlText w:val="%9."/>
      <w:lvlJc w:val="right"/>
      <w:pPr>
        <w:ind w:left="12358" w:hanging="180"/>
      </w:pPr>
    </w:lvl>
  </w:abstractNum>
  <w:abstractNum w:abstractNumId="11">
    <w:nsid w:val="3258131B"/>
    <w:multiLevelType w:val="hybridMultilevel"/>
    <w:tmpl w:val="24C60240"/>
    <w:lvl w:ilvl="0" w:tplc="BBA4294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13">
      <w:start w:val="1"/>
      <w:numFmt w:val="upperRoman"/>
      <w:lvlText w:val="%7."/>
      <w:lvlJc w:val="righ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183E58"/>
    <w:multiLevelType w:val="hybridMultilevel"/>
    <w:tmpl w:val="B0E4B9C4"/>
    <w:lvl w:ilvl="0" w:tplc="04090001">
      <w:start w:val="1"/>
      <w:numFmt w:val="bullet"/>
      <w:lvlText w:val=""/>
      <w:lvlJc w:val="left"/>
      <w:pPr>
        <w:ind w:left="6969" w:hanging="360"/>
      </w:pPr>
      <w:rPr>
        <w:rFonts w:ascii="Symbol" w:hAnsi="Symbol" w:hint="default"/>
      </w:rPr>
    </w:lvl>
    <w:lvl w:ilvl="1" w:tplc="04090003" w:tentative="1">
      <w:start w:val="1"/>
      <w:numFmt w:val="bullet"/>
      <w:lvlText w:val="o"/>
      <w:lvlJc w:val="left"/>
      <w:pPr>
        <w:ind w:left="7689" w:hanging="360"/>
      </w:pPr>
      <w:rPr>
        <w:rFonts w:ascii="Courier New" w:hAnsi="Courier New" w:cs="Courier New" w:hint="default"/>
      </w:rPr>
    </w:lvl>
    <w:lvl w:ilvl="2" w:tplc="04090005" w:tentative="1">
      <w:start w:val="1"/>
      <w:numFmt w:val="bullet"/>
      <w:lvlText w:val=""/>
      <w:lvlJc w:val="left"/>
      <w:pPr>
        <w:ind w:left="8409" w:hanging="360"/>
      </w:pPr>
      <w:rPr>
        <w:rFonts w:ascii="Wingdings" w:hAnsi="Wingdings" w:hint="default"/>
      </w:rPr>
    </w:lvl>
    <w:lvl w:ilvl="3" w:tplc="04090001" w:tentative="1">
      <w:start w:val="1"/>
      <w:numFmt w:val="bullet"/>
      <w:lvlText w:val=""/>
      <w:lvlJc w:val="left"/>
      <w:pPr>
        <w:ind w:left="9129" w:hanging="360"/>
      </w:pPr>
      <w:rPr>
        <w:rFonts w:ascii="Symbol" w:hAnsi="Symbol" w:hint="default"/>
      </w:rPr>
    </w:lvl>
    <w:lvl w:ilvl="4" w:tplc="04090003" w:tentative="1">
      <w:start w:val="1"/>
      <w:numFmt w:val="bullet"/>
      <w:lvlText w:val="o"/>
      <w:lvlJc w:val="left"/>
      <w:pPr>
        <w:ind w:left="9849" w:hanging="360"/>
      </w:pPr>
      <w:rPr>
        <w:rFonts w:ascii="Courier New" w:hAnsi="Courier New" w:cs="Courier New" w:hint="default"/>
      </w:rPr>
    </w:lvl>
    <w:lvl w:ilvl="5" w:tplc="04090005" w:tentative="1">
      <w:start w:val="1"/>
      <w:numFmt w:val="bullet"/>
      <w:lvlText w:val=""/>
      <w:lvlJc w:val="left"/>
      <w:pPr>
        <w:ind w:left="10569" w:hanging="360"/>
      </w:pPr>
      <w:rPr>
        <w:rFonts w:ascii="Wingdings" w:hAnsi="Wingdings" w:hint="default"/>
      </w:rPr>
    </w:lvl>
    <w:lvl w:ilvl="6" w:tplc="04090001" w:tentative="1">
      <w:start w:val="1"/>
      <w:numFmt w:val="bullet"/>
      <w:lvlText w:val=""/>
      <w:lvlJc w:val="left"/>
      <w:pPr>
        <w:ind w:left="11289" w:hanging="360"/>
      </w:pPr>
      <w:rPr>
        <w:rFonts w:ascii="Symbol" w:hAnsi="Symbol" w:hint="default"/>
      </w:rPr>
    </w:lvl>
    <w:lvl w:ilvl="7" w:tplc="04090003" w:tentative="1">
      <w:start w:val="1"/>
      <w:numFmt w:val="bullet"/>
      <w:lvlText w:val="o"/>
      <w:lvlJc w:val="left"/>
      <w:pPr>
        <w:ind w:left="12009" w:hanging="360"/>
      </w:pPr>
      <w:rPr>
        <w:rFonts w:ascii="Courier New" w:hAnsi="Courier New" w:cs="Courier New" w:hint="default"/>
      </w:rPr>
    </w:lvl>
    <w:lvl w:ilvl="8" w:tplc="04090005" w:tentative="1">
      <w:start w:val="1"/>
      <w:numFmt w:val="bullet"/>
      <w:lvlText w:val=""/>
      <w:lvlJc w:val="left"/>
      <w:pPr>
        <w:ind w:left="12729" w:hanging="360"/>
      </w:pPr>
      <w:rPr>
        <w:rFonts w:ascii="Wingdings" w:hAnsi="Wingdings" w:hint="default"/>
      </w:rPr>
    </w:lvl>
  </w:abstractNum>
  <w:abstractNum w:abstractNumId="13">
    <w:nsid w:val="37FF7993"/>
    <w:multiLevelType w:val="hybridMultilevel"/>
    <w:tmpl w:val="2F7E5D5C"/>
    <w:lvl w:ilvl="0" w:tplc="B2087C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3635DC"/>
    <w:multiLevelType w:val="hybridMultilevel"/>
    <w:tmpl w:val="346C8A98"/>
    <w:lvl w:ilvl="0" w:tplc="04090017">
      <w:start w:val="1"/>
      <w:numFmt w:val="lowerLetter"/>
      <w:lvlText w:val="%1)"/>
      <w:lvlJc w:val="left"/>
      <w:pPr>
        <w:ind w:left="6613" w:hanging="360"/>
      </w:pPr>
      <w:rPr>
        <w:rFonts w:hint="default"/>
        <w:i w:val="0"/>
      </w:rPr>
    </w:lvl>
    <w:lvl w:ilvl="1" w:tplc="04090019" w:tentative="1">
      <w:start w:val="1"/>
      <w:numFmt w:val="lowerLetter"/>
      <w:lvlText w:val="%2."/>
      <w:lvlJc w:val="left"/>
      <w:pPr>
        <w:ind w:left="7333" w:hanging="360"/>
      </w:pPr>
    </w:lvl>
    <w:lvl w:ilvl="2" w:tplc="0409001B" w:tentative="1">
      <w:start w:val="1"/>
      <w:numFmt w:val="lowerRoman"/>
      <w:lvlText w:val="%3."/>
      <w:lvlJc w:val="right"/>
      <w:pPr>
        <w:ind w:left="8053" w:hanging="180"/>
      </w:pPr>
    </w:lvl>
    <w:lvl w:ilvl="3" w:tplc="0409000F" w:tentative="1">
      <w:start w:val="1"/>
      <w:numFmt w:val="decimal"/>
      <w:lvlText w:val="%4."/>
      <w:lvlJc w:val="left"/>
      <w:pPr>
        <w:ind w:left="8773" w:hanging="360"/>
      </w:pPr>
    </w:lvl>
    <w:lvl w:ilvl="4" w:tplc="04090019" w:tentative="1">
      <w:start w:val="1"/>
      <w:numFmt w:val="lowerLetter"/>
      <w:lvlText w:val="%5."/>
      <w:lvlJc w:val="left"/>
      <w:pPr>
        <w:ind w:left="9493" w:hanging="360"/>
      </w:pPr>
    </w:lvl>
    <w:lvl w:ilvl="5" w:tplc="0409001B" w:tentative="1">
      <w:start w:val="1"/>
      <w:numFmt w:val="lowerRoman"/>
      <w:lvlText w:val="%6."/>
      <w:lvlJc w:val="right"/>
      <w:pPr>
        <w:ind w:left="10213" w:hanging="180"/>
      </w:pPr>
    </w:lvl>
    <w:lvl w:ilvl="6" w:tplc="0409000F" w:tentative="1">
      <w:start w:val="1"/>
      <w:numFmt w:val="decimal"/>
      <w:lvlText w:val="%7."/>
      <w:lvlJc w:val="left"/>
      <w:pPr>
        <w:ind w:left="10933" w:hanging="360"/>
      </w:pPr>
    </w:lvl>
    <w:lvl w:ilvl="7" w:tplc="04090019" w:tentative="1">
      <w:start w:val="1"/>
      <w:numFmt w:val="lowerLetter"/>
      <w:lvlText w:val="%8."/>
      <w:lvlJc w:val="left"/>
      <w:pPr>
        <w:ind w:left="11653" w:hanging="360"/>
      </w:pPr>
    </w:lvl>
    <w:lvl w:ilvl="8" w:tplc="0409001B" w:tentative="1">
      <w:start w:val="1"/>
      <w:numFmt w:val="lowerRoman"/>
      <w:lvlText w:val="%9."/>
      <w:lvlJc w:val="right"/>
      <w:pPr>
        <w:ind w:left="12373" w:hanging="180"/>
      </w:pPr>
    </w:lvl>
  </w:abstractNum>
  <w:abstractNum w:abstractNumId="15">
    <w:nsid w:val="456C0710"/>
    <w:multiLevelType w:val="hybridMultilevel"/>
    <w:tmpl w:val="111E2032"/>
    <w:lvl w:ilvl="0" w:tplc="C0A656DA">
      <w:start w:val="1"/>
      <w:numFmt w:val="lowerRoman"/>
      <w:lvlText w:val="%1)"/>
      <w:lvlJc w:val="left"/>
      <w:pPr>
        <w:ind w:left="72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25C5BF3"/>
    <w:multiLevelType w:val="hybridMultilevel"/>
    <w:tmpl w:val="8A704BC8"/>
    <w:lvl w:ilvl="0" w:tplc="B2087C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CB4525"/>
    <w:multiLevelType w:val="hybridMultilevel"/>
    <w:tmpl w:val="E182C7AE"/>
    <w:lvl w:ilvl="0" w:tplc="C0A656DA">
      <w:start w:val="1"/>
      <w:numFmt w:val="lowerRoman"/>
      <w:lvlText w:val="%1)"/>
      <w:lvlJc w:val="left"/>
      <w:pPr>
        <w:ind w:left="6249" w:hanging="360"/>
      </w:pPr>
      <w:rPr>
        <w:rFonts w:ascii="Arial" w:eastAsiaTheme="minorHAnsi" w:hAnsi="Arial" w:cs="Arial" w:hint="default"/>
      </w:rPr>
    </w:lvl>
    <w:lvl w:ilvl="1" w:tplc="04090019" w:tentative="1">
      <w:start w:val="1"/>
      <w:numFmt w:val="lowerLetter"/>
      <w:lvlText w:val="%2."/>
      <w:lvlJc w:val="left"/>
      <w:pPr>
        <w:ind w:left="6969" w:hanging="360"/>
      </w:pPr>
    </w:lvl>
    <w:lvl w:ilvl="2" w:tplc="0409001B" w:tentative="1">
      <w:start w:val="1"/>
      <w:numFmt w:val="lowerRoman"/>
      <w:lvlText w:val="%3."/>
      <w:lvlJc w:val="right"/>
      <w:pPr>
        <w:ind w:left="7689" w:hanging="180"/>
      </w:pPr>
    </w:lvl>
    <w:lvl w:ilvl="3" w:tplc="0409000F" w:tentative="1">
      <w:start w:val="1"/>
      <w:numFmt w:val="decimal"/>
      <w:lvlText w:val="%4."/>
      <w:lvlJc w:val="left"/>
      <w:pPr>
        <w:ind w:left="8409" w:hanging="360"/>
      </w:pPr>
    </w:lvl>
    <w:lvl w:ilvl="4" w:tplc="04090019" w:tentative="1">
      <w:start w:val="1"/>
      <w:numFmt w:val="lowerLetter"/>
      <w:lvlText w:val="%5."/>
      <w:lvlJc w:val="left"/>
      <w:pPr>
        <w:ind w:left="9129" w:hanging="360"/>
      </w:pPr>
    </w:lvl>
    <w:lvl w:ilvl="5" w:tplc="0409001B" w:tentative="1">
      <w:start w:val="1"/>
      <w:numFmt w:val="lowerRoman"/>
      <w:lvlText w:val="%6."/>
      <w:lvlJc w:val="right"/>
      <w:pPr>
        <w:ind w:left="9849" w:hanging="180"/>
      </w:pPr>
    </w:lvl>
    <w:lvl w:ilvl="6" w:tplc="0409000F" w:tentative="1">
      <w:start w:val="1"/>
      <w:numFmt w:val="decimal"/>
      <w:lvlText w:val="%7."/>
      <w:lvlJc w:val="left"/>
      <w:pPr>
        <w:ind w:left="10569" w:hanging="360"/>
      </w:pPr>
    </w:lvl>
    <w:lvl w:ilvl="7" w:tplc="04090019" w:tentative="1">
      <w:start w:val="1"/>
      <w:numFmt w:val="lowerLetter"/>
      <w:lvlText w:val="%8."/>
      <w:lvlJc w:val="left"/>
      <w:pPr>
        <w:ind w:left="11289" w:hanging="360"/>
      </w:pPr>
    </w:lvl>
    <w:lvl w:ilvl="8" w:tplc="0409001B" w:tentative="1">
      <w:start w:val="1"/>
      <w:numFmt w:val="lowerRoman"/>
      <w:lvlText w:val="%9."/>
      <w:lvlJc w:val="right"/>
      <w:pPr>
        <w:ind w:left="12009" w:hanging="180"/>
      </w:pPr>
    </w:lvl>
  </w:abstractNum>
  <w:abstractNum w:abstractNumId="19">
    <w:nsid w:val="58324D33"/>
    <w:multiLevelType w:val="hybridMultilevel"/>
    <w:tmpl w:val="D17E74F0"/>
    <w:lvl w:ilvl="0" w:tplc="230CFB9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D57DAA"/>
    <w:multiLevelType w:val="hybridMultilevel"/>
    <w:tmpl w:val="545A86E4"/>
    <w:lvl w:ilvl="0" w:tplc="DDFA5716">
      <w:start w:val="1"/>
      <w:numFmt w:val="lowerLetter"/>
      <w:lvlText w:val="%1)"/>
      <w:lvlJc w:val="right"/>
      <w:pPr>
        <w:ind w:left="1002" w:hanging="360"/>
      </w:pPr>
      <w:rPr>
        <w:rFonts w:hint="default"/>
      </w:rPr>
    </w:lvl>
    <w:lvl w:ilvl="1" w:tplc="04090019" w:tentative="1">
      <w:start w:val="1"/>
      <w:numFmt w:val="lowerLetter"/>
      <w:lvlText w:val="%2."/>
      <w:lvlJc w:val="left"/>
      <w:pPr>
        <w:ind w:left="1722" w:hanging="360"/>
      </w:pPr>
    </w:lvl>
    <w:lvl w:ilvl="2" w:tplc="0409001B" w:tentative="1">
      <w:start w:val="1"/>
      <w:numFmt w:val="lowerRoman"/>
      <w:lvlText w:val="%3."/>
      <w:lvlJc w:val="right"/>
      <w:pPr>
        <w:ind w:left="2442" w:hanging="180"/>
      </w:pPr>
    </w:lvl>
    <w:lvl w:ilvl="3" w:tplc="0409000F" w:tentative="1">
      <w:start w:val="1"/>
      <w:numFmt w:val="decimal"/>
      <w:lvlText w:val="%4."/>
      <w:lvlJc w:val="left"/>
      <w:pPr>
        <w:ind w:left="3162" w:hanging="360"/>
      </w:pPr>
    </w:lvl>
    <w:lvl w:ilvl="4" w:tplc="04090019" w:tentative="1">
      <w:start w:val="1"/>
      <w:numFmt w:val="lowerLetter"/>
      <w:lvlText w:val="%5."/>
      <w:lvlJc w:val="left"/>
      <w:pPr>
        <w:ind w:left="3882" w:hanging="360"/>
      </w:pPr>
    </w:lvl>
    <w:lvl w:ilvl="5" w:tplc="0409001B" w:tentative="1">
      <w:start w:val="1"/>
      <w:numFmt w:val="lowerRoman"/>
      <w:lvlText w:val="%6."/>
      <w:lvlJc w:val="right"/>
      <w:pPr>
        <w:ind w:left="4602" w:hanging="180"/>
      </w:pPr>
    </w:lvl>
    <w:lvl w:ilvl="6" w:tplc="0409000F" w:tentative="1">
      <w:start w:val="1"/>
      <w:numFmt w:val="decimal"/>
      <w:lvlText w:val="%7."/>
      <w:lvlJc w:val="left"/>
      <w:pPr>
        <w:ind w:left="5322" w:hanging="360"/>
      </w:pPr>
    </w:lvl>
    <w:lvl w:ilvl="7" w:tplc="04090019" w:tentative="1">
      <w:start w:val="1"/>
      <w:numFmt w:val="lowerLetter"/>
      <w:lvlText w:val="%8."/>
      <w:lvlJc w:val="left"/>
      <w:pPr>
        <w:ind w:left="6042" w:hanging="360"/>
      </w:pPr>
    </w:lvl>
    <w:lvl w:ilvl="8" w:tplc="0409001B" w:tentative="1">
      <w:start w:val="1"/>
      <w:numFmt w:val="lowerRoman"/>
      <w:lvlText w:val="%9."/>
      <w:lvlJc w:val="right"/>
      <w:pPr>
        <w:ind w:left="6762" w:hanging="180"/>
      </w:pPr>
    </w:lvl>
  </w:abstractNum>
  <w:abstractNum w:abstractNumId="21">
    <w:nsid w:val="7F303ADE"/>
    <w:multiLevelType w:val="hybridMultilevel"/>
    <w:tmpl w:val="1A822D22"/>
    <w:lvl w:ilvl="0" w:tplc="DDFA5716">
      <w:start w:val="1"/>
      <w:numFmt w:val="lowerLetter"/>
      <w:lvlText w:val="%1)"/>
      <w:lvlJc w:val="right"/>
      <w:pPr>
        <w:ind w:left="1002" w:hanging="360"/>
      </w:pPr>
      <w:rPr>
        <w:rFonts w:hint="default"/>
      </w:rPr>
    </w:lvl>
    <w:lvl w:ilvl="1" w:tplc="04090019" w:tentative="1">
      <w:start w:val="1"/>
      <w:numFmt w:val="lowerLetter"/>
      <w:lvlText w:val="%2."/>
      <w:lvlJc w:val="left"/>
      <w:pPr>
        <w:ind w:left="1722" w:hanging="360"/>
      </w:pPr>
    </w:lvl>
    <w:lvl w:ilvl="2" w:tplc="0409001B" w:tentative="1">
      <w:start w:val="1"/>
      <w:numFmt w:val="lowerRoman"/>
      <w:lvlText w:val="%3."/>
      <w:lvlJc w:val="right"/>
      <w:pPr>
        <w:ind w:left="2442" w:hanging="180"/>
      </w:pPr>
    </w:lvl>
    <w:lvl w:ilvl="3" w:tplc="0409000F" w:tentative="1">
      <w:start w:val="1"/>
      <w:numFmt w:val="decimal"/>
      <w:lvlText w:val="%4."/>
      <w:lvlJc w:val="left"/>
      <w:pPr>
        <w:ind w:left="3162" w:hanging="360"/>
      </w:pPr>
    </w:lvl>
    <w:lvl w:ilvl="4" w:tplc="04090019" w:tentative="1">
      <w:start w:val="1"/>
      <w:numFmt w:val="lowerLetter"/>
      <w:lvlText w:val="%5."/>
      <w:lvlJc w:val="left"/>
      <w:pPr>
        <w:ind w:left="3882" w:hanging="360"/>
      </w:pPr>
    </w:lvl>
    <w:lvl w:ilvl="5" w:tplc="0409001B" w:tentative="1">
      <w:start w:val="1"/>
      <w:numFmt w:val="lowerRoman"/>
      <w:lvlText w:val="%6."/>
      <w:lvlJc w:val="right"/>
      <w:pPr>
        <w:ind w:left="4602" w:hanging="180"/>
      </w:pPr>
    </w:lvl>
    <w:lvl w:ilvl="6" w:tplc="0409000F" w:tentative="1">
      <w:start w:val="1"/>
      <w:numFmt w:val="decimal"/>
      <w:lvlText w:val="%7."/>
      <w:lvlJc w:val="left"/>
      <w:pPr>
        <w:ind w:left="5322" w:hanging="360"/>
      </w:pPr>
    </w:lvl>
    <w:lvl w:ilvl="7" w:tplc="04090019" w:tentative="1">
      <w:start w:val="1"/>
      <w:numFmt w:val="lowerLetter"/>
      <w:lvlText w:val="%8."/>
      <w:lvlJc w:val="left"/>
      <w:pPr>
        <w:ind w:left="6042" w:hanging="360"/>
      </w:pPr>
    </w:lvl>
    <w:lvl w:ilvl="8" w:tplc="0409001B" w:tentative="1">
      <w:start w:val="1"/>
      <w:numFmt w:val="lowerRoman"/>
      <w:lvlText w:val="%9."/>
      <w:lvlJc w:val="right"/>
      <w:pPr>
        <w:ind w:left="6762" w:hanging="180"/>
      </w:pPr>
    </w:lvl>
  </w:abstractNum>
  <w:num w:numId="1">
    <w:abstractNumId w:val="16"/>
  </w:num>
  <w:num w:numId="2">
    <w:abstractNumId w:val="0"/>
  </w:num>
  <w:num w:numId="3">
    <w:abstractNumId w:val="6"/>
  </w:num>
  <w:num w:numId="4">
    <w:abstractNumId w:val="3"/>
  </w:num>
  <w:num w:numId="5">
    <w:abstractNumId w:val="17"/>
  </w:num>
  <w:num w:numId="6">
    <w:abstractNumId w:val="19"/>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1"/>
  </w:num>
  <w:num w:numId="10">
    <w:abstractNumId w:val="21"/>
  </w:num>
  <w:num w:numId="11">
    <w:abstractNumId w:val="4"/>
  </w:num>
  <w:num w:numId="12">
    <w:abstractNumId w:val="13"/>
  </w:num>
  <w:num w:numId="13">
    <w:abstractNumId w:val="18"/>
  </w:num>
  <w:num w:numId="14">
    <w:abstractNumId w:val="9"/>
  </w:num>
  <w:num w:numId="15">
    <w:abstractNumId w:val="12"/>
  </w:num>
  <w:num w:numId="16">
    <w:abstractNumId w:val="2"/>
  </w:num>
  <w:num w:numId="17">
    <w:abstractNumId w:val="1"/>
  </w:num>
  <w:num w:numId="18">
    <w:abstractNumId w:val="10"/>
  </w:num>
  <w:num w:numId="19">
    <w:abstractNumId w:val="14"/>
  </w:num>
  <w:num w:numId="20">
    <w:abstractNumId w:val="5"/>
  </w:num>
  <w:num w:numId="21">
    <w:abstractNumId w:val="15"/>
  </w:num>
  <w:num w:numId="22">
    <w:abstractNumId w:val="7"/>
  </w:num>
  <w:num w:numId="23">
    <w:abstractNumId w:val="20"/>
  </w:num>
  <w:num w:numId="24">
    <w:abstractNumId w:val="10"/>
  </w:num>
  <w:num w:numId="25">
    <w:abstractNumId w:val="6"/>
  </w:num>
  <w:num w:numId="26">
    <w:abstractNumId w:val="6"/>
  </w:num>
  <w:num w:numId="27">
    <w:abstractNumId w:val="6"/>
  </w:num>
  <w:num w:numId="28">
    <w:abstractNumId w:val="6"/>
  </w:num>
  <w:num w:numId="29">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B22"/>
    <w:rsid w:val="00006F80"/>
    <w:rsid w:val="000140FA"/>
    <w:rsid w:val="00022EBE"/>
    <w:rsid w:val="00023218"/>
    <w:rsid w:val="00030202"/>
    <w:rsid w:val="00033BE7"/>
    <w:rsid w:val="000342C0"/>
    <w:rsid w:val="0003716F"/>
    <w:rsid w:val="00043CAA"/>
    <w:rsid w:val="00044161"/>
    <w:rsid w:val="00056083"/>
    <w:rsid w:val="000574EE"/>
    <w:rsid w:val="00057C24"/>
    <w:rsid w:val="00063A5A"/>
    <w:rsid w:val="00075432"/>
    <w:rsid w:val="00075A67"/>
    <w:rsid w:val="00083D5D"/>
    <w:rsid w:val="00087374"/>
    <w:rsid w:val="000918E0"/>
    <w:rsid w:val="00094592"/>
    <w:rsid w:val="000968ED"/>
    <w:rsid w:val="000978CE"/>
    <w:rsid w:val="000A2992"/>
    <w:rsid w:val="000A51FF"/>
    <w:rsid w:val="000A5E2F"/>
    <w:rsid w:val="000F07E1"/>
    <w:rsid w:val="000F2D7A"/>
    <w:rsid w:val="000F3B85"/>
    <w:rsid w:val="000F5E56"/>
    <w:rsid w:val="001141EF"/>
    <w:rsid w:val="001150C9"/>
    <w:rsid w:val="0011638C"/>
    <w:rsid w:val="00122A3B"/>
    <w:rsid w:val="00132BDD"/>
    <w:rsid w:val="001358BB"/>
    <w:rsid w:val="001362EE"/>
    <w:rsid w:val="00144205"/>
    <w:rsid w:val="001459CE"/>
    <w:rsid w:val="00147940"/>
    <w:rsid w:val="001614B4"/>
    <w:rsid w:val="0016667F"/>
    <w:rsid w:val="0017355D"/>
    <w:rsid w:val="001832A6"/>
    <w:rsid w:val="00183640"/>
    <w:rsid w:val="00184BE9"/>
    <w:rsid w:val="0018569C"/>
    <w:rsid w:val="00193864"/>
    <w:rsid w:val="00195435"/>
    <w:rsid w:val="001D272B"/>
    <w:rsid w:val="001D3C2D"/>
    <w:rsid w:val="001D72E9"/>
    <w:rsid w:val="001E0EBB"/>
    <w:rsid w:val="001E2CB9"/>
    <w:rsid w:val="001F13FE"/>
    <w:rsid w:val="001F1F37"/>
    <w:rsid w:val="001F3B22"/>
    <w:rsid w:val="001F6705"/>
    <w:rsid w:val="00216578"/>
    <w:rsid w:val="002229FF"/>
    <w:rsid w:val="0022611D"/>
    <w:rsid w:val="002276CB"/>
    <w:rsid w:val="00244178"/>
    <w:rsid w:val="002465F0"/>
    <w:rsid w:val="00252451"/>
    <w:rsid w:val="00252FCF"/>
    <w:rsid w:val="0025354E"/>
    <w:rsid w:val="00253A97"/>
    <w:rsid w:val="0025429D"/>
    <w:rsid w:val="002634C4"/>
    <w:rsid w:val="00266D91"/>
    <w:rsid w:val="002772A5"/>
    <w:rsid w:val="00280E15"/>
    <w:rsid w:val="00285750"/>
    <w:rsid w:val="00292375"/>
    <w:rsid w:val="002928D3"/>
    <w:rsid w:val="002A056B"/>
    <w:rsid w:val="002C02EA"/>
    <w:rsid w:val="002C29A2"/>
    <w:rsid w:val="002C2B68"/>
    <w:rsid w:val="002C631F"/>
    <w:rsid w:val="002D3770"/>
    <w:rsid w:val="002D5273"/>
    <w:rsid w:val="002E737E"/>
    <w:rsid w:val="002F050C"/>
    <w:rsid w:val="002F1FE6"/>
    <w:rsid w:val="002F4E68"/>
    <w:rsid w:val="003057AD"/>
    <w:rsid w:val="00307FF0"/>
    <w:rsid w:val="0031126F"/>
    <w:rsid w:val="00312356"/>
    <w:rsid w:val="00312D8A"/>
    <w:rsid w:val="00312F7F"/>
    <w:rsid w:val="00326029"/>
    <w:rsid w:val="003360A1"/>
    <w:rsid w:val="0034269A"/>
    <w:rsid w:val="00351C0A"/>
    <w:rsid w:val="00352C85"/>
    <w:rsid w:val="0035607C"/>
    <w:rsid w:val="00361450"/>
    <w:rsid w:val="00362A51"/>
    <w:rsid w:val="003673CF"/>
    <w:rsid w:val="0037225E"/>
    <w:rsid w:val="003845C1"/>
    <w:rsid w:val="003901B2"/>
    <w:rsid w:val="00390550"/>
    <w:rsid w:val="00397D6E"/>
    <w:rsid w:val="003A17BB"/>
    <w:rsid w:val="003A25A3"/>
    <w:rsid w:val="003A6F89"/>
    <w:rsid w:val="003B38C1"/>
    <w:rsid w:val="003B3FB5"/>
    <w:rsid w:val="003B5CCF"/>
    <w:rsid w:val="003C7605"/>
    <w:rsid w:val="003D27AD"/>
    <w:rsid w:val="003D4A8F"/>
    <w:rsid w:val="003E300A"/>
    <w:rsid w:val="003F715C"/>
    <w:rsid w:val="00401266"/>
    <w:rsid w:val="00405F2A"/>
    <w:rsid w:val="004060D7"/>
    <w:rsid w:val="00407887"/>
    <w:rsid w:val="00412A9F"/>
    <w:rsid w:val="00423E3E"/>
    <w:rsid w:val="00426D19"/>
    <w:rsid w:val="00427AF4"/>
    <w:rsid w:val="00430625"/>
    <w:rsid w:val="004465F3"/>
    <w:rsid w:val="00454F3E"/>
    <w:rsid w:val="004647DA"/>
    <w:rsid w:val="00471563"/>
    <w:rsid w:val="00471B80"/>
    <w:rsid w:val="00474062"/>
    <w:rsid w:val="00476D2E"/>
    <w:rsid w:val="00477D6B"/>
    <w:rsid w:val="004856AB"/>
    <w:rsid w:val="00485726"/>
    <w:rsid w:val="00491705"/>
    <w:rsid w:val="004A02E2"/>
    <w:rsid w:val="004A3B76"/>
    <w:rsid w:val="004B00BF"/>
    <w:rsid w:val="004B6BDF"/>
    <w:rsid w:val="004B798F"/>
    <w:rsid w:val="004C13C2"/>
    <w:rsid w:val="004C39B0"/>
    <w:rsid w:val="004E5FC5"/>
    <w:rsid w:val="004F618C"/>
    <w:rsid w:val="004F72A5"/>
    <w:rsid w:val="005019FF"/>
    <w:rsid w:val="005025F5"/>
    <w:rsid w:val="00504F51"/>
    <w:rsid w:val="00526131"/>
    <w:rsid w:val="0053057A"/>
    <w:rsid w:val="005328D8"/>
    <w:rsid w:val="005346B5"/>
    <w:rsid w:val="00534793"/>
    <w:rsid w:val="00550931"/>
    <w:rsid w:val="005536F6"/>
    <w:rsid w:val="00560A29"/>
    <w:rsid w:val="005619AD"/>
    <w:rsid w:val="00561A0B"/>
    <w:rsid w:val="00561E71"/>
    <w:rsid w:val="00567EB7"/>
    <w:rsid w:val="005740E4"/>
    <w:rsid w:val="00584493"/>
    <w:rsid w:val="0059310A"/>
    <w:rsid w:val="00596824"/>
    <w:rsid w:val="005B7C8F"/>
    <w:rsid w:val="005C216B"/>
    <w:rsid w:val="005C2EB8"/>
    <w:rsid w:val="005C6649"/>
    <w:rsid w:val="005C6F7C"/>
    <w:rsid w:val="005D2A72"/>
    <w:rsid w:val="005D6332"/>
    <w:rsid w:val="005F2D4B"/>
    <w:rsid w:val="00605827"/>
    <w:rsid w:val="00615108"/>
    <w:rsid w:val="00615854"/>
    <w:rsid w:val="00621114"/>
    <w:rsid w:val="00624FC0"/>
    <w:rsid w:val="00646050"/>
    <w:rsid w:val="006563EC"/>
    <w:rsid w:val="00657A95"/>
    <w:rsid w:val="00657AE4"/>
    <w:rsid w:val="006713CA"/>
    <w:rsid w:val="006726B7"/>
    <w:rsid w:val="00676C5C"/>
    <w:rsid w:val="00677206"/>
    <w:rsid w:val="00682EA6"/>
    <w:rsid w:val="0068536E"/>
    <w:rsid w:val="00690580"/>
    <w:rsid w:val="006960CC"/>
    <w:rsid w:val="006961AE"/>
    <w:rsid w:val="006A1D35"/>
    <w:rsid w:val="006A2F8F"/>
    <w:rsid w:val="006A2FB5"/>
    <w:rsid w:val="006A4E51"/>
    <w:rsid w:val="006B07BD"/>
    <w:rsid w:val="006B1AC0"/>
    <w:rsid w:val="006E0E76"/>
    <w:rsid w:val="006E77DB"/>
    <w:rsid w:val="006F054D"/>
    <w:rsid w:val="006F4908"/>
    <w:rsid w:val="00700142"/>
    <w:rsid w:val="007016AC"/>
    <w:rsid w:val="00702487"/>
    <w:rsid w:val="0070284C"/>
    <w:rsid w:val="007439B0"/>
    <w:rsid w:val="00755C90"/>
    <w:rsid w:val="00756EF2"/>
    <w:rsid w:val="0075765A"/>
    <w:rsid w:val="007619D8"/>
    <w:rsid w:val="00772BEF"/>
    <w:rsid w:val="007848E2"/>
    <w:rsid w:val="00786274"/>
    <w:rsid w:val="007A7CA1"/>
    <w:rsid w:val="007B20FC"/>
    <w:rsid w:val="007C5F21"/>
    <w:rsid w:val="007C733A"/>
    <w:rsid w:val="007D0D8A"/>
    <w:rsid w:val="007D1613"/>
    <w:rsid w:val="007D6C4F"/>
    <w:rsid w:val="007D7ACA"/>
    <w:rsid w:val="007E1A1F"/>
    <w:rsid w:val="007F2EAE"/>
    <w:rsid w:val="007F4BF2"/>
    <w:rsid w:val="0080235D"/>
    <w:rsid w:val="00803EFF"/>
    <w:rsid w:val="00806CCC"/>
    <w:rsid w:val="0080736D"/>
    <w:rsid w:val="00807C43"/>
    <w:rsid w:val="008145E1"/>
    <w:rsid w:val="008157F8"/>
    <w:rsid w:val="00831DC4"/>
    <w:rsid w:val="00833DAA"/>
    <w:rsid w:val="00842A4F"/>
    <w:rsid w:val="00847040"/>
    <w:rsid w:val="008506E8"/>
    <w:rsid w:val="008609A1"/>
    <w:rsid w:val="008626F9"/>
    <w:rsid w:val="00862D0A"/>
    <w:rsid w:val="00865FDE"/>
    <w:rsid w:val="00871970"/>
    <w:rsid w:val="00882483"/>
    <w:rsid w:val="00882AEF"/>
    <w:rsid w:val="00882F77"/>
    <w:rsid w:val="00895F28"/>
    <w:rsid w:val="008979F7"/>
    <w:rsid w:val="008B2CC1"/>
    <w:rsid w:val="008B4479"/>
    <w:rsid w:val="008B56FA"/>
    <w:rsid w:val="008B60B2"/>
    <w:rsid w:val="008C201A"/>
    <w:rsid w:val="008C5915"/>
    <w:rsid w:val="008D2E57"/>
    <w:rsid w:val="008F1456"/>
    <w:rsid w:val="0090731E"/>
    <w:rsid w:val="00914C17"/>
    <w:rsid w:val="00916EE2"/>
    <w:rsid w:val="00917771"/>
    <w:rsid w:val="0092251C"/>
    <w:rsid w:val="009228F3"/>
    <w:rsid w:val="0092709B"/>
    <w:rsid w:val="00931EE8"/>
    <w:rsid w:val="00933B4D"/>
    <w:rsid w:val="00933F0A"/>
    <w:rsid w:val="00937E4E"/>
    <w:rsid w:val="00947634"/>
    <w:rsid w:val="009479A1"/>
    <w:rsid w:val="00956948"/>
    <w:rsid w:val="00961C18"/>
    <w:rsid w:val="00966A22"/>
    <w:rsid w:val="0096722F"/>
    <w:rsid w:val="00973002"/>
    <w:rsid w:val="00980843"/>
    <w:rsid w:val="00996CD7"/>
    <w:rsid w:val="009B27D2"/>
    <w:rsid w:val="009C6A12"/>
    <w:rsid w:val="009C72A4"/>
    <w:rsid w:val="009E102B"/>
    <w:rsid w:val="009E2791"/>
    <w:rsid w:val="009E3F6F"/>
    <w:rsid w:val="009E4013"/>
    <w:rsid w:val="009F3748"/>
    <w:rsid w:val="009F499F"/>
    <w:rsid w:val="009F73AB"/>
    <w:rsid w:val="009F747C"/>
    <w:rsid w:val="00A0425F"/>
    <w:rsid w:val="00A1045A"/>
    <w:rsid w:val="00A12BE5"/>
    <w:rsid w:val="00A22A97"/>
    <w:rsid w:val="00A23269"/>
    <w:rsid w:val="00A30F86"/>
    <w:rsid w:val="00A314DC"/>
    <w:rsid w:val="00A323B1"/>
    <w:rsid w:val="00A42DAF"/>
    <w:rsid w:val="00A45BD8"/>
    <w:rsid w:val="00A45F64"/>
    <w:rsid w:val="00A46899"/>
    <w:rsid w:val="00A51019"/>
    <w:rsid w:val="00A704A6"/>
    <w:rsid w:val="00A71265"/>
    <w:rsid w:val="00A822E9"/>
    <w:rsid w:val="00A8388A"/>
    <w:rsid w:val="00A869B7"/>
    <w:rsid w:val="00A87990"/>
    <w:rsid w:val="00A936DA"/>
    <w:rsid w:val="00A979D8"/>
    <w:rsid w:val="00AA117F"/>
    <w:rsid w:val="00AA72DC"/>
    <w:rsid w:val="00AC205C"/>
    <w:rsid w:val="00AD48D2"/>
    <w:rsid w:val="00AE0BA9"/>
    <w:rsid w:val="00AF0A6B"/>
    <w:rsid w:val="00AF3A8B"/>
    <w:rsid w:val="00B0550B"/>
    <w:rsid w:val="00B05A69"/>
    <w:rsid w:val="00B15E23"/>
    <w:rsid w:val="00B22D9B"/>
    <w:rsid w:val="00B312A9"/>
    <w:rsid w:val="00B422F8"/>
    <w:rsid w:val="00B66C0B"/>
    <w:rsid w:val="00B84421"/>
    <w:rsid w:val="00B9068B"/>
    <w:rsid w:val="00B9734B"/>
    <w:rsid w:val="00BA33E5"/>
    <w:rsid w:val="00BD19F1"/>
    <w:rsid w:val="00BD3B77"/>
    <w:rsid w:val="00BD45DB"/>
    <w:rsid w:val="00BF24CD"/>
    <w:rsid w:val="00BF7567"/>
    <w:rsid w:val="00C0585C"/>
    <w:rsid w:val="00C06AB5"/>
    <w:rsid w:val="00C11BFE"/>
    <w:rsid w:val="00C16463"/>
    <w:rsid w:val="00C16B51"/>
    <w:rsid w:val="00C17C27"/>
    <w:rsid w:val="00C43976"/>
    <w:rsid w:val="00C60436"/>
    <w:rsid w:val="00C634C8"/>
    <w:rsid w:val="00C817AA"/>
    <w:rsid w:val="00C85D7D"/>
    <w:rsid w:val="00C91DCE"/>
    <w:rsid w:val="00C9444B"/>
    <w:rsid w:val="00C94654"/>
    <w:rsid w:val="00C94673"/>
    <w:rsid w:val="00CA0A10"/>
    <w:rsid w:val="00CA23A8"/>
    <w:rsid w:val="00CA3209"/>
    <w:rsid w:val="00CA3AA9"/>
    <w:rsid w:val="00CA7310"/>
    <w:rsid w:val="00CB4989"/>
    <w:rsid w:val="00CB67E8"/>
    <w:rsid w:val="00CC21DA"/>
    <w:rsid w:val="00CC30FA"/>
    <w:rsid w:val="00CD0DD1"/>
    <w:rsid w:val="00CD675C"/>
    <w:rsid w:val="00CD6ED6"/>
    <w:rsid w:val="00CE70AE"/>
    <w:rsid w:val="00CE73A1"/>
    <w:rsid w:val="00D02B32"/>
    <w:rsid w:val="00D06370"/>
    <w:rsid w:val="00D156CF"/>
    <w:rsid w:val="00D25344"/>
    <w:rsid w:val="00D27F72"/>
    <w:rsid w:val="00D30FA4"/>
    <w:rsid w:val="00D31DBD"/>
    <w:rsid w:val="00D321FB"/>
    <w:rsid w:val="00D3548C"/>
    <w:rsid w:val="00D45252"/>
    <w:rsid w:val="00D633C0"/>
    <w:rsid w:val="00D67C04"/>
    <w:rsid w:val="00D71B4D"/>
    <w:rsid w:val="00D71CD9"/>
    <w:rsid w:val="00D936CA"/>
    <w:rsid w:val="00D93D55"/>
    <w:rsid w:val="00D956E9"/>
    <w:rsid w:val="00D9575E"/>
    <w:rsid w:val="00DA3947"/>
    <w:rsid w:val="00DB74EE"/>
    <w:rsid w:val="00DC4916"/>
    <w:rsid w:val="00DE7F74"/>
    <w:rsid w:val="00DF17B2"/>
    <w:rsid w:val="00DF1AF8"/>
    <w:rsid w:val="00E05C3E"/>
    <w:rsid w:val="00E24FE5"/>
    <w:rsid w:val="00E26FD5"/>
    <w:rsid w:val="00E335FE"/>
    <w:rsid w:val="00E33C24"/>
    <w:rsid w:val="00E46D72"/>
    <w:rsid w:val="00E5081B"/>
    <w:rsid w:val="00E52461"/>
    <w:rsid w:val="00E55E34"/>
    <w:rsid w:val="00E6791B"/>
    <w:rsid w:val="00E70AB2"/>
    <w:rsid w:val="00E82939"/>
    <w:rsid w:val="00E9276B"/>
    <w:rsid w:val="00E95E76"/>
    <w:rsid w:val="00EA3CE5"/>
    <w:rsid w:val="00EB0008"/>
    <w:rsid w:val="00EB4586"/>
    <w:rsid w:val="00EB5CB0"/>
    <w:rsid w:val="00EC4E49"/>
    <w:rsid w:val="00EC5205"/>
    <w:rsid w:val="00EC59EA"/>
    <w:rsid w:val="00ED1F10"/>
    <w:rsid w:val="00ED2034"/>
    <w:rsid w:val="00ED5296"/>
    <w:rsid w:val="00ED77FB"/>
    <w:rsid w:val="00EE45FA"/>
    <w:rsid w:val="00F00B61"/>
    <w:rsid w:val="00F072F2"/>
    <w:rsid w:val="00F20E7F"/>
    <w:rsid w:val="00F31EC0"/>
    <w:rsid w:val="00F66152"/>
    <w:rsid w:val="00F67053"/>
    <w:rsid w:val="00F70A16"/>
    <w:rsid w:val="00F7198D"/>
    <w:rsid w:val="00F76A29"/>
    <w:rsid w:val="00F8608F"/>
    <w:rsid w:val="00F923D5"/>
    <w:rsid w:val="00F94B62"/>
    <w:rsid w:val="00FB1D7D"/>
    <w:rsid w:val="00FB3F67"/>
    <w:rsid w:val="00FB5385"/>
    <w:rsid w:val="00FB64CA"/>
    <w:rsid w:val="00FD53D5"/>
    <w:rsid w:val="00FE05C6"/>
    <w:rsid w:val="00FE740C"/>
    <w:rsid w:val="00FF2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397D6E"/>
    <w:rPr>
      <w:rFonts w:ascii="Tahoma" w:hAnsi="Tahoma" w:cs="Tahoma"/>
      <w:sz w:val="16"/>
      <w:szCs w:val="16"/>
    </w:rPr>
  </w:style>
  <w:style w:type="character" w:customStyle="1" w:styleId="BalloonTextChar">
    <w:name w:val="Balloon Text Char"/>
    <w:basedOn w:val="DefaultParagraphFont"/>
    <w:link w:val="BalloonText"/>
    <w:rsid w:val="00397D6E"/>
    <w:rPr>
      <w:rFonts w:ascii="Tahoma" w:eastAsia="SimSun" w:hAnsi="Tahoma" w:cs="Tahoma"/>
      <w:sz w:val="16"/>
      <w:szCs w:val="16"/>
      <w:lang w:eastAsia="zh-CN"/>
    </w:rPr>
  </w:style>
  <w:style w:type="character" w:customStyle="1" w:styleId="HeaderChar">
    <w:name w:val="Header Char"/>
    <w:basedOn w:val="DefaultParagraphFont"/>
    <w:link w:val="Header"/>
    <w:uiPriority w:val="99"/>
    <w:rsid w:val="00D71CD9"/>
    <w:rPr>
      <w:rFonts w:ascii="Arial" w:eastAsia="SimSun" w:hAnsi="Arial" w:cs="Arial"/>
      <w:sz w:val="22"/>
      <w:lang w:eastAsia="zh-CN"/>
    </w:rPr>
  </w:style>
  <w:style w:type="character" w:styleId="FootnoteReference">
    <w:name w:val="footnote reference"/>
    <w:basedOn w:val="DefaultParagraphFont"/>
    <w:rsid w:val="004060D7"/>
    <w:rPr>
      <w:vertAlign w:val="superscript"/>
    </w:rPr>
  </w:style>
  <w:style w:type="table" w:styleId="TableGrid">
    <w:name w:val="Table Grid"/>
    <w:basedOn w:val="TableNormal"/>
    <w:rsid w:val="00132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1C0A"/>
    <w:pPr>
      <w:ind w:left="720"/>
      <w:contextualSpacing/>
    </w:pPr>
  </w:style>
  <w:style w:type="character" w:customStyle="1" w:styleId="ONUMEChar">
    <w:name w:val="ONUM E Char"/>
    <w:link w:val="ONUME"/>
    <w:rsid w:val="007439B0"/>
    <w:rPr>
      <w:rFonts w:ascii="Arial" w:eastAsia="SimSun" w:hAnsi="Arial" w:cs="Arial"/>
      <w:sz w:val="22"/>
      <w:lang w:eastAsia="zh-CN"/>
    </w:rPr>
  </w:style>
  <w:style w:type="character" w:styleId="EndnoteReference">
    <w:name w:val="endnote reference"/>
    <w:basedOn w:val="DefaultParagraphFont"/>
    <w:rsid w:val="007C733A"/>
    <w:rPr>
      <w:vertAlign w:val="superscript"/>
    </w:rPr>
  </w:style>
  <w:style w:type="character" w:styleId="CommentReference">
    <w:name w:val="annotation reference"/>
    <w:basedOn w:val="DefaultParagraphFont"/>
    <w:uiPriority w:val="99"/>
    <w:rsid w:val="00B422F8"/>
    <w:rPr>
      <w:sz w:val="16"/>
      <w:szCs w:val="16"/>
    </w:rPr>
  </w:style>
  <w:style w:type="paragraph" w:styleId="CommentSubject">
    <w:name w:val="annotation subject"/>
    <w:basedOn w:val="CommentText"/>
    <w:next w:val="CommentText"/>
    <w:link w:val="CommentSubjectChar"/>
    <w:rsid w:val="00B422F8"/>
    <w:rPr>
      <w:b/>
      <w:bCs/>
      <w:sz w:val="20"/>
    </w:rPr>
  </w:style>
  <w:style w:type="character" w:customStyle="1" w:styleId="CommentTextChar">
    <w:name w:val="Comment Text Char"/>
    <w:basedOn w:val="DefaultParagraphFont"/>
    <w:link w:val="CommentText"/>
    <w:semiHidden/>
    <w:rsid w:val="00B422F8"/>
    <w:rPr>
      <w:rFonts w:ascii="Arial" w:eastAsia="SimSun" w:hAnsi="Arial" w:cs="Arial"/>
      <w:sz w:val="18"/>
      <w:lang w:eastAsia="zh-CN"/>
    </w:rPr>
  </w:style>
  <w:style w:type="character" w:customStyle="1" w:styleId="CommentSubjectChar">
    <w:name w:val="Comment Subject Char"/>
    <w:basedOn w:val="CommentTextChar"/>
    <w:link w:val="CommentSubject"/>
    <w:rsid w:val="00B422F8"/>
    <w:rPr>
      <w:rFonts w:ascii="Arial" w:eastAsia="SimSun" w:hAnsi="Arial" w:cs="Arial"/>
      <w:b/>
      <w:bCs/>
      <w:sz w:val="18"/>
      <w:lang w:eastAsia="zh-CN"/>
    </w:rPr>
  </w:style>
  <w:style w:type="paragraph" w:customStyle="1" w:styleId="Style2">
    <w:name w:val="Style2"/>
    <w:basedOn w:val="Normal"/>
    <w:rsid w:val="00AF3A8B"/>
    <w:pPr>
      <w:numPr>
        <w:numId w:val="18"/>
      </w:numPr>
    </w:pPr>
  </w:style>
  <w:style w:type="paragraph" w:styleId="Revision">
    <w:name w:val="Revision"/>
    <w:hidden/>
    <w:uiPriority w:val="99"/>
    <w:semiHidden/>
    <w:rsid w:val="00292375"/>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397D6E"/>
    <w:rPr>
      <w:rFonts w:ascii="Tahoma" w:hAnsi="Tahoma" w:cs="Tahoma"/>
      <w:sz w:val="16"/>
      <w:szCs w:val="16"/>
    </w:rPr>
  </w:style>
  <w:style w:type="character" w:customStyle="1" w:styleId="BalloonTextChar">
    <w:name w:val="Balloon Text Char"/>
    <w:basedOn w:val="DefaultParagraphFont"/>
    <w:link w:val="BalloonText"/>
    <w:rsid w:val="00397D6E"/>
    <w:rPr>
      <w:rFonts w:ascii="Tahoma" w:eastAsia="SimSun" w:hAnsi="Tahoma" w:cs="Tahoma"/>
      <w:sz w:val="16"/>
      <w:szCs w:val="16"/>
      <w:lang w:eastAsia="zh-CN"/>
    </w:rPr>
  </w:style>
  <w:style w:type="character" w:customStyle="1" w:styleId="HeaderChar">
    <w:name w:val="Header Char"/>
    <w:basedOn w:val="DefaultParagraphFont"/>
    <w:link w:val="Header"/>
    <w:uiPriority w:val="99"/>
    <w:rsid w:val="00D71CD9"/>
    <w:rPr>
      <w:rFonts w:ascii="Arial" w:eastAsia="SimSun" w:hAnsi="Arial" w:cs="Arial"/>
      <w:sz w:val="22"/>
      <w:lang w:eastAsia="zh-CN"/>
    </w:rPr>
  </w:style>
  <w:style w:type="character" w:styleId="FootnoteReference">
    <w:name w:val="footnote reference"/>
    <w:basedOn w:val="DefaultParagraphFont"/>
    <w:rsid w:val="004060D7"/>
    <w:rPr>
      <w:vertAlign w:val="superscript"/>
    </w:rPr>
  </w:style>
  <w:style w:type="table" w:styleId="TableGrid">
    <w:name w:val="Table Grid"/>
    <w:basedOn w:val="TableNormal"/>
    <w:rsid w:val="00132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1C0A"/>
    <w:pPr>
      <w:ind w:left="720"/>
      <w:contextualSpacing/>
    </w:pPr>
  </w:style>
  <w:style w:type="character" w:customStyle="1" w:styleId="ONUMEChar">
    <w:name w:val="ONUM E Char"/>
    <w:link w:val="ONUME"/>
    <w:rsid w:val="007439B0"/>
    <w:rPr>
      <w:rFonts w:ascii="Arial" w:eastAsia="SimSun" w:hAnsi="Arial" w:cs="Arial"/>
      <w:sz w:val="22"/>
      <w:lang w:eastAsia="zh-CN"/>
    </w:rPr>
  </w:style>
  <w:style w:type="character" w:styleId="EndnoteReference">
    <w:name w:val="endnote reference"/>
    <w:basedOn w:val="DefaultParagraphFont"/>
    <w:rsid w:val="007C733A"/>
    <w:rPr>
      <w:vertAlign w:val="superscript"/>
    </w:rPr>
  </w:style>
  <w:style w:type="character" w:styleId="CommentReference">
    <w:name w:val="annotation reference"/>
    <w:basedOn w:val="DefaultParagraphFont"/>
    <w:uiPriority w:val="99"/>
    <w:rsid w:val="00B422F8"/>
    <w:rPr>
      <w:sz w:val="16"/>
      <w:szCs w:val="16"/>
    </w:rPr>
  </w:style>
  <w:style w:type="paragraph" w:styleId="CommentSubject">
    <w:name w:val="annotation subject"/>
    <w:basedOn w:val="CommentText"/>
    <w:next w:val="CommentText"/>
    <w:link w:val="CommentSubjectChar"/>
    <w:rsid w:val="00B422F8"/>
    <w:rPr>
      <w:b/>
      <w:bCs/>
      <w:sz w:val="20"/>
    </w:rPr>
  </w:style>
  <w:style w:type="character" w:customStyle="1" w:styleId="CommentTextChar">
    <w:name w:val="Comment Text Char"/>
    <w:basedOn w:val="DefaultParagraphFont"/>
    <w:link w:val="CommentText"/>
    <w:semiHidden/>
    <w:rsid w:val="00B422F8"/>
    <w:rPr>
      <w:rFonts w:ascii="Arial" w:eastAsia="SimSun" w:hAnsi="Arial" w:cs="Arial"/>
      <w:sz w:val="18"/>
      <w:lang w:eastAsia="zh-CN"/>
    </w:rPr>
  </w:style>
  <w:style w:type="character" w:customStyle="1" w:styleId="CommentSubjectChar">
    <w:name w:val="Comment Subject Char"/>
    <w:basedOn w:val="CommentTextChar"/>
    <w:link w:val="CommentSubject"/>
    <w:rsid w:val="00B422F8"/>
    <w:rPr>
      <w:rFonts w:ascii="Arial" w:eastAsia="SimSun" w:hAnsi="Arial" w:cs="Arial"/>
      <w:b/>
      <w:bCs/>
      <w:sz w:val="18"/>
      <w:lang w:eastAsia="zh-CN"/>
    </w:rPr>
  </w:style>
  <w:style w:type="paragraph" w:customStyle="1" w:styleId="Style2">
    <w:name w:val="Style2"/>
    <w:basedOn w:val="Normal"/>
    <w:rsid w:val="00AF3A8B"/>
    <w:pPr>
      <w:numPr>
        <w:numId w:val="18"/>
      </w:numPr>
    </w:pPr>
  </w:style>
  <w:style w:type="paragraph" w:styleId="Revision">
    <w:name w:val="Revision"/>
    <w:hidden/>
    <w:uiPriority w:val="99"/>
    <w:semiHidden/>
    <w:rsid w:val="00292375"/>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775602">
      <w:bodyDiv w:val="1"/>
      <w:marLeft w:val="0"/>
      <w:marRight w:val="0"/>
      <w:marTop w:val="0"/>
      <w:marBottom w:val="0"/>
      <w:divBdr>
        <w:top w:val="none" w:sz="0" w:space="0" w:color="auto"/>
        <w:left w:val="none" w:sz="0" w:space="0" w:color="auto"/>
        <w:bottom w:val="none" w:sz="0" w:space="0" w:color="auto"/>
        <w:right w:val="none" w:sz="0" w:space="0" w:color="auto"/>
      </w:divBdr>
    </w:div>
    <w:div w:id="86995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A321C-C6AF-4329-BC81-E20E57448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5507</Words>
  <Characters>31285</Characters>
  <Application>Microsoft Office Word</Application>
  <DocSecurity>4</DocSecurity>
  <Lines>10428</Lines>
  <Paragraphs>2627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WO/PBC/23/</vt:lpstr>
      <vt:lpstr>WO/PBC/23/</vt:lpstr>
    </vt:vector>
  </TitlesOfParts>
  <Company>WIPO</Company>
  <LinksUpToDate>false</LinksUpToDate>
  <CharactersWithSpaces>34165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WO/PBC/23/</dc:title>
  <dc:creator>MITON GENOUD Anne</dc:creator>
  <cp:lastModifiedBy>NETTER Iza</cp:lastModifiedBy>
  <cp:revision>2</cp:revision>
  <cp:lastPrinted>2015-06-19T08:26:00Z</cp:lastPrinted>
  <dcterms:created xsi:type="dcterms:W3CDTF">2015-06-19T15:07:00Z</dcterms:created>
  <dcterms:modified xsi:type="dcterms:W3CDTF">2015-06-19T15:07:00Z</dcterms:modified>
</cp:coreProperties>
</file>