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B7865" w:rsidRPr="00804BF4" w:rsidTr="00361450">
        <w:tc>
          <w:tcPr>
            <w:tcW w:w="4513" w:type="dxa"/>
            <w:tcBorders>
              <w:bottom w:val="single" w:sz="4" w:space="0" w:color="auto"/>
            </w:tcBorders>
            <w:tcMar>
              <w:bottom w:w="170" w:type="dxa"/>
            </w:tcMar>
          </w:tcPr>
          <w:p w:rsidR="00EC4E49" w:rsidRPr="00804BF4"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804BF4" w:rsidRDefault="002F3759" w:rsidP="00916EE2">
            <w:pPr>
              <w:rPr>
                <w:lang w:val="es-ES"/>
              </w:rPr>
            </w:pPr>
            <w:r w:rsidRPr="00804BF4">
              <w:rPr>
                <w:noProof/>
                <w:lang w:eastAsia="en-US"/>
              </w:rPr>
              <w:drawing>
                <wp:inline distT="0" distB="0" distL="0" distR="0" wp14:anchorId="227585CE" wp14:editId="119AEF4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04BF4" w:rsidRDefault="00DB4BB6" w:rsidP="00DB4BB6">
            <w:pPr>
              <w:jc w:val="right"/>
              <w:rPr>
                <w:b/>
                <w:sz w:val="40"/>
                <w:szCs w:val="40"/>
                <w:lang w:val="es-ES"/>
              </w:rPr>
            </w:pPr>
            <w:r w:rsidRPr="00804BF4">
              <w:rPr>
                <w:b/>
                <w:sz w:val="40"/>
                <w:szCs w:val="40"/>
                <w:lang w:val="es-ES"/>
              </w:rPr>
              <w:t>S</w:t>
            </w:r>
          </w:p>
        </w:tc>
      </w:tr>
      <w:tr w:rsidR="001B7865" w:rsidRPr="00804BF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804BF4" w:rsidRDefault="00DB4BB6" w:rsidP="00DB4BB6">
            <w:pPr>
              <w:jc w:val="right"/>
              <w:rPr>
                <w:rFonts w:ascii="Arial Black" w:hAnsi="Arial Black"/>
                <w:caps/>
                <w:sz w:val="15"/>
                <w:lang w:val="es-ES"/>
              </w:rPr>
            </w:pPr>
            <w:r w:rsidRPr="00804BF4">
              <w:rPr>
                <w:rFonts w:ascii="Arial Black" w:hAnsi="Arial Black"/>
                <w:caps/>
                <w:sz w:val="15"/>
                <w:lang w:val="es-ES"/>
              </w:rPr>
              <w:t>WO/PBC/23/4</w:t>
            </w:r>
          </w:p>
        </w:tc>
      </w:tr>
      <w:tr w:rsidR="001B7865" w:rsidRPr="00804BF4" w:rsidTr="00916EE2">
        <w:trPr>
          <w:trHeight w:hRule="exact" w:val="170"/>
        </w:trPr>
        <w:tc>
          <w:tcPr>
            <w:tcW w:w="9356" w:type="dxa"/>
            <w:gridSpan w:val="3"/>
            <w:noWrap/>
            <w:tcMar>
              <w:left w:w="0" w:type="dxa"/>
              <w:right w:w="0" w:type="dxa"/>
            </w:tcMar>
            <w:vAlign w:val="bottom"/>
          </w:tcPr>
          <w:p w:rsidR="008B2CC1" w:rsidRPr="00804BF4" w:rsidRDefault="00DB4BB6" w:rsidP="00DB4BB6">
            <w:pPr>
              <w:jc w:val="right"/>
              <w:rPr>
                <w:rFonts w:ascii="Arial Black" w:hAnsi="Arial Black"/>
                <w:caps/>
                <w:sz w:val="15"/>
                <w:lang w:val="es-ES"/>
              </w:rPr>
            </w:pPr>
            <w:r w:rsidRPr="00804BF4">
              <w:rPr>
                <w:rFonts w:ascii="Arial Black" w:hAnsi="Arial Black"/>
                <w:caps/>
                <w:sz w:val="15"/>
                <w:lang w:val="es-ES"/>
              </w:rPr>
              <w:t xml:space="preserve">ORIGINAL: </w:t>
            </w:r>
            <w:r w:rsidR="002927A0">
              <w:rPr>
                <w:rFonts w:ascii="Arial Black" w:hAnsi="Arial Black"/>
                <w:caps/>
                <w:sz w:val="15"/>
                <w:lang w:val="es-ES"/>
              </w:rPr>
              <w:t xml:space="preserve"> </w:t>
            </w:r>
            <w:r w:rsidRPr="00804BF4">
              <w:rPr>
                <w:rFonts w:ascii="Arial Black" w:hAnsi="Arial Black"/>
                <w:caps/>
                <w:sz w:val="15"/>
                <w:lang w:val="es-ES"/>
              </w:rPr>
              <w:t>INGLÉS</w:t>
            </w:r>
          </w:p>
        </w:tc>
      </w:tr>
      <w:tr w:rsidR="001B7865" w:rsidRPr="00804BF4" w:rsidTr="00916EE2">
        <w:trPr>
          <w:trHeight w:hRule="exact" w:val="198"/>
        </w:trPr>
        <w:tc>
          <w:tcPr>
            <w:tcW w:w="9356" w:type="dxa"/>
            <w:gridSpan w:val="3"/>
            <w:tcMar>
              <w:left w:w="0" w:type="dxa"/>
              <w:right w:w="0" w:type="dxa"/>
            </w:tcMar>
            <w:vAlign w:val="bottom"/>
          </w:tcPr>
          <w:p w:rsidR="008B2CC1" w:rsidRPr="00804BF4" w:rsidRDefault="00DB4BB6" w:rsidP="00441B21">
            <w:pPr>
              <w:jc w:val="right"/>
              <w:rPr>
                <w:rFonts w:ascii="Arial Black" w:hAnsi="Arial Black"/>
                <w:caps/>
                <w:sz w:val="15"/>
                <w:lang w:val="es-ES"/>
              </w:rPr>
            </w:pPr>
            <w:r w:rsidRPr="00804BF4">
              <w:rPr>
                <w:rFonts w:ascii="Arial Black" w:hAnsi="Arial Black"/>
                <w:caps/>
                <w:sz w:val="15"/>
                <w:lang w:val="es-ES"/>
              </w:rPr>
              <w:t>Fecha</w:t>
            </w:r>
            <w:r w:rsidR="002927A0">
              <w:rPr>
                <w:rFonts w:ascii="Arial Black" w:hAnsi="Arial Black"/>
                <w:caps/>
                <w:sz w:val="15"/>
                <w:lang w:val="es-ES"/>
              </w:rPr>
              <w:t xml:space="preserve">: </w:t>
            </w:r>
            <w:r w:rsidRPr="00804BF4">
              <w:rPr>
                <w:rFonts w:ascii="Arial Black" w:hAnsi="Arial Black"/>
                <w:caps/>
                <w:sz w:val="15"/>
                <w:lang w:val="es-ES"/>
              </w:rPr>
              <w:t xml:space="preserve"> 11 de </w:t>
            </w:r>
            <w:r w:rsidR="00441B21" w:rsidRPr="00804BF4">
              <w:rPr>
                <w:rFonts w:ascii="Arial Black" w:hAnsi="Arial Black"/>
                <w:caps/>
                <w:sz w:val="15"/>
                <w:lang w:val="es-ES"/>
              </w:rPr>
              <w:t>mayo</w:t>
            </w:r>
            <w:r w:rsidRPr="00804BF4">
              <w:rPr>
                <w:rFonts w:ascii="Arial Black" w:hAnsi="Arial Black"/>
                <w:caps/>
                <w:sz w:val="15"/>
                <w:lang w:val="es-ES"/>
              </w:rPr>
              <w:t xml:space="preserve"> de 2015</w:t>
            </w:r>
          </w:p>
        </w:tc>
      </w:tr>
    </w:tbl>
    <w:p w:rsidR="00DB4BB6" w:rsidRPr="00804BF4" w:rsidRDefault="00DB4BB6" w:rsidP="008B2CC1">
      <w:pPr>
        <w:rPr>
          <w:lang w:val="es-ES"/>
        </w:rPr>
      </w:pPr>
    </w:p>
    <w:p w:rsidR="00DB4BB6" w:rsidRPr="00804BF4" w:rsidRDefault="00DB4BB6" w:rsidP="008B2CC1">
      <w:pPr>
        <w:rPr>
          <w:lang w:val="es-ES"/>
        </w:rPr>
      </w:pPr>
    </w:p>
    <w:p w:rsidR="00DB4BB6" w:rsidRPr="00804BF4" w:rsidRDefault="00DB4BB6" w:rsidP="008B2CC1">
      <w:pPr>
        <w:rPr>
          <w:lang w:val="es-ES"/>
        </w:rPr>
      </w:pPr>
    </w:p>
    <w:p w:rsidR="00DB4BB6" w:rsidRPr="00804BF4" w:rsidRDefault="00DB4BB6" w:rsidP="008B2CC1">
      <w:pPr>
        <w:rPr>
          <w:lang w:val="es-ES"/>
        </w:rPr>
      </w:pPr>
    </w:p>
    <w:p w:rsidR="00DB4BB6" w:rsidRPr="00804BF4" w:rsidRDefault="00DB4BB6" w:rsidP="008B2CC1">
      <w:pPr>
        <w:rPr>
          <w:lang w:val="es-ES"/>
        </w:rPr>
      </w:pPr>
    </w:p>
    <w:p w:rsidR="00DB4BB6" w:rsidRPr="00804BF4" w:rsidRDefault="00DB4BB6" w:rsidP="00DB4BB6">
      <w:pPr>
        <w:rPr>
          <w:b/>
          <w:sz w:val="28"/>
          <w:szCs w:val="28"/>
          <w:lang w:val="es-ES"/>
        </w:rPr>
      </w:pPr>
      <w:r w:rsidRPr="00804BF4">
        <w:rPr>
          <w:b/>
          <w:sz w:val="28"/>
          <w:szCs w:val="28"/>
          <w:lang w:val="es-ES"/>
        </w:rPr>
        <w:t>Comité del Programa y Presupuesto</w:t>
      </w:r>
    </w:p>
    <w:p w:rsidR="00DB4BB6" w:rsidRPr="00804BF4" w:rsidRDefault="00DB4BB6" w:rsidP="003845C1">
      <w:pPr>
        <w:rPr>
          <w:lang w:val="es-ES"/>
        </w:rPr>
      </w:pPr>
    </w:p>
    <w:p w:rsidR="00DB4BB6" w:rsidRPr="00804BF4" w:rsidRDefault="00DB4BB6" w:rsidP="003845C1">
      <w:pPr>
        <w:rPr>
          <w:lang w:val="es-ES"/>
        </w:rPr>
      </w:pPr>
    </w:p>
    <w:p w:rsidR="00DB4BB6" w:rsidRPr="00804BF4" w:rsidRDefault="00DB4BB6" w:rsidP="00DB4BB6">
      <w:pPr>
        <w:rPr>
          <w:b/>
          <w:sz w:val="24"/>
          <w:szCs w:val="24"/>
          <w:lang w:val="es-ES"/>
        </w:rPr>
      </w:pPr>
      <w:r w:rsidRPr="00804BF4">
        <w:rPr>
          <w:b/>
          <w:sz w:val="24"/>
          <w:szCs w:val="24"/>
          <w:lang w:val="es-ES"/>
        </w:rPr>
        <w:t>Vigesimotercera sesión</w:t>
      </w:r>
    </w:p>
    <w:p w:rsidR="00DB4BB6" w:rsidRPr="00804BF4" w:rsidRDefault="00DB4BB6" w:rsidP="00DB4BB6">
      <w:pPr>
        <w:rPr>
          <w:b/>
          <w:sz w:val="24"/>
          <w:szCs w:val="24"/>
          <w:lang w:val="es-ES"/>
        </w:rPr>
      </w:pPr>
      <w:r w:rsidRPr="00804BF4">
        <w:rPr>
          <w:b/>
          <w:sz w:val="24"/>
          <w:szCs w:val="24"/>
          <w:lang w:val="es-ES"/>
        </w:rPr>
        <w:t>Ginebra, 13 a 17 de julio de 2015</w:t>
      </w:r>
    </w:p>
    <w:p w:rsidR="00DB4BB6" w:rsidRPr="00804BF4" w:rsidRDefault="00DB4BB6" w:rsidP="008B2CC1">
      <w:pPr>
        <w:rPr>
          <w:lang w:val="es-ES"/>
        </w:rPr>
      </w:pPr>
    </w:p>
    <w:p w:rsidR="00DB4BB6" w:rsidRPr="00804BF4" w:rsidRDefault="00DB4BB6" w:rsidP="008B2CC1">
      <w:pPr>
        <w:rPr>
          <w:lang w:val="es-ES"/>
        </w:rPr>
      </w:pPr>
    </w:p>
    <w:p w:rsidR="00DB4BB6" w:rsidRPr="00804BF4" w:rsidRDefault="00DB4BB6" w:rsidP="008B2CC1">
      <w:pPr>
        <w:rPr>
          <w:lang w:val="es-ES"/>
        </w:rPr>
      </w:pPr>
    </w:p>
    <w:p w:rsidR="00DB4BB6" w:rsidRPr="00804BF4" w:rsidRDefault="002F3759" w:rsidP="008B2CC1">
      <w:pPr>
        <w:rPr>
          <w:caps/>
          <w:sz w:val="24"/>
          <w:lang w:val="es-ES"/>
        </w:rPr>
      </w:pPr>
      <w:bookmarkStart w:id="1" w:name="TitleOfDoc"/>
      <w:bookmarkEnd w:id="1"/>
      <w:r w:rsidRPr="00804BF4">
        <w:rPr>
          <w:caps/>
          <w:sz w:val="24"/>
          <w:lang w:val="es-ES"/>
        </w:rPr>
        <w:t>Informe de la Dependencia Común de Inspección “Examen de la Gestión y la Administración de la Organización Mundial de la Propiedad Intelectual (OMPI)” (JIU/REP/2014/2)</w:t>
      </w:r>
      <w:r w:rsidR="00BB6025" w:rsidRPr="00804BF4">
        <w:rPr>
          <w:caps/>
          <w:sz w:val="24"/>
          <w:lang w:val="es-ES"/>
        </w:rPr>
        <w:t xml:space="preserve">:  </w:t>
      </w:r>
      <w:r w:rsidRPr="00804BF4">
        <w:rPr>
          <w:caps/>
          <w:sz w:val="24"/>
          <w:lang w:val="es-ES"/>
        </w:rPr>
        <w:t>informe sobre la marcha de la aplicación de las RECOM</w:t>
      </w:r>
      <w:r w:rsidR="00822AB0" w:rsidRPr="00804BF4">
        <w:rPr>
          <w:caps/>
          <w:sz w:val="24"/>
          <w:lang w:val="es-ES"/>
        </w:rPr>
        <w:t>ENDA</w:t>
      </w:r>
      <w:r w:rsidRPr="00804BF4">
        <w:rPr>
          <w:caps/>
          <w:sz w:val="24"/>
          <w:lang w:val="es-ES"/>
        </w:rPr>
        <w:t>cione</w:t>
      </w:r>
      <w:r w:rsidR="00822AB0" w:rsidRPr="00804BF4">
        <w:rPr>
          <w:caps/>
          <w:sz w:val="24"/>
          <w:lang w:val="es-ES"/>
        </w:rPr>
        <w:t>S</w:t>
      </w:r>
    </w:p>
    <w:p w:rsidR="00DB4BB6" w:rsidRPr="00804BF4" w:rsidRDefault="00DB4BB6" w:rsidP="008B2CC1">
      <w:pPr>
        <w:rPr>
          <w:lang w:val="es-ES"/>
        </w:rPr>
      </w:pPr>
    </w:p>
    <w:p w:rsidR="00DB4BB6" w:rsidRPr="00804BF4" w:rsidRDefault="00DB4BB6" w:rsidP="00DB4BB6">
      <w:pPr>
        <w:rPr>
          <w:i/>
          <w:lang w:val="es-ES"/>
        </w:rPr>
      </w:pPr>
      <w:bookmarkStart w:id="2" w:name="Prepared"/>
      <w:bookmarkEnd w:id="2"/>
      <w:r w:rsidRPr="00804BF4">
        <w:rPr>
          <w:i/>
          <w:lang w:val="es-ES"/>
        </w:rPr>
        <w:t>Documento preparado por la Secretaría</w:t>
      </w:r>
    </w:p>
    <w:p w:rsidR="00DB4BB6" w:rsidRPr="00804BF4" w:rsidRDefault="00DB4BB6">
      <w:pPr>
        <w:rPr>
          <w:lang w:val="es-ES"/>
        </w:rPr>
      </w:pPr>
    </w:p>
    <w:p w:rsidR="00DB4BB6" w:rsidRPr="00804BF4" w:rsidRDefault="00DB4BB6">
      <w:pPr>
        <w:rPr>
          <w:lang w:val="es-ES"/>
        </w:rPr>
      </w:pPr>
    </w:p>
    <w:p w:rsidR="00DB4BB6" w:rsidRPr="00804BF4" w:rsidRDefault="00DB4BB6">
      <w:pPr>
        <w:rPr>
          <w:lang w:val="es-ES"/>
        </w:rPr>
      </w:pPr>
    </w:p>
    <w:p w:rsidR="00DB4BB6" w:rsidRPr="00804BF4" w:rsidRDefault="00DB4BB6" w:rsidP="0053057A">
      <w:pPr>
        <w:rPr>
          <w:lang w:val="es-ES"/>
        </w:rPr>
      </w:pPr>
    </w:p>
    <w:p w:rsidR="00DB4BB6" w:rsidRPr="00804BF4" w:rsidRDefault="00DB4BB6" w:rsidP="00616A69">
      <w:pPr>
        <w:pStyle w:val="ONUME"/>
        <w:rPr>
          <w:lang w:val="es-ES"/>
        </w:rPr>
      </w:pPr>
      <w:r w:rsidRPr="00804BF4">
        <w:rPr>
          <w:lang w:val="es-ES"/>
        </w:rPr>
        <w:t>La Dependencia Común de Inspección (DCI) llevó a cabo un examen de la gestión y la administración de la OMPI en 2014, como parte de una serie de exámenes de las organizaciones participantes.</w:t>
      </w:r>
      <w:r w:rsidR="00205BEA" w:rsidRPr="00804BF4">
        <w:rPr>
          <w:lang w:val="es-ES"/>
        </w:rPr>
        <w:t xml:space="preserve"> </w:t>
      </w:r>
      <w:r w:rsidR="00616A69" w:rsidRPr="00804BF4">
        <w:rPr>
          <w:lang w:val="es-ES"/>
        </w:rPr>
        <w:t xml:space="preserve"> El</w:t>
      </w:r>
      <w:r w:rsidR="00205BEA" w:rsidRPr="00804BF4">
        <w:rPr>
          <w:lang w:val="es-ES"/>
        </w:rPr>
        <w:t xml:space="preserve"> </w:t>
      </w:r>
      <w:r w:rsidR="00616A69" w:rsidRPr="00804BF4">
        <w:rPr>
          <w:lang w:val="es-ES"/>
        </w:rPr>
        <w:t>informe se presentó a los Estados miembros en</w:t>
      </w:r>
      <w:r w:rsidR="002C463D" w:rsidRPr="00804BF4">
        <w:rPr>
          <w:lang w:val="es-ES"/>
        </w:rPr>
        <w:t xml:space="preserve"> 2014 (</w:t>
      </w:r>
      <w:r w:rsidR="001B7865" w:rsidRPr="00804BF4">
        <w:rPr>
          <w:lang w:val="es-ES"/>
        </w:rPr>
        <w:t>documento</w:t>
      </w:r>
      <w:r w:rsidR="00F0308D" w:rsidRPr="00804BF4">
        <w:rPr>
          <w:lang w:val="es-ES"/>
        </w:rPr>
        <w:t xml:space="preserve"> WO/PBC/22/20)</w:t>
      </w:r>
      <w:r w:rsidR="00FF61F0" w:rsidRPr="00804BF4">
        <w:rPr>
          <w:lang w:val="es-ES"/>
        </w:rPr>
        <w:t xml:space="preserve">.  </w:t>
      </w:r>
      <w:r w:rsidR="00616A69" w:rsidRPr="00804BF4">
        <w:rPr>
          <w:lang w:val="es-ES"/>
        </w:rPr>
        <w:t xml:space="preserve">El </w:t>
      </w:r>
      <w:r w:rsidR="001B7865" w:rsidRPr="00804BF4">
        <w:rPr>
          <w:lang w:val="es-ES"/>
        </w:rPr>
        <w:t>Comité</w:t>
      </w:r>
      <w:r w:rsidR="00616A69" w:rsidRPr="00804BF4">
        <w:rPr>
          <w:lang w:val="es-ES"/>
        </w:rPr>
        <w:t xml:space="preserve"> del Programa y </w:t>
      </w:r>
      <w:r w:rsidR="001B7865" w:rsidRPr="00804BF4">
        <w:rPr>
          <w:lang w:val="es-ES"/>
        </w:rPr>
        <w:t>Presupuesto</w:t>
      </w:r>
      <w:r w:rsidR="00FF61F0" w:rsidRPr="00804BF4">
        <w:rPr>
          <w:lang w:val="es-ES"/>
        </w:rPr>
        <w:t xml:space="preserve"> (PBC) to</w:t>
      </w:r>
      <w:r w:rsidR="00616A69" w:rsidRPr="00804BF4">
        <w:rPr>
          <w:lang w:val="es-ES"/>
        </w:rPr>
        <w:t>mó nota de</w:t>
      </w:r>
      <w:r w:rsidR="00FF61F0" w:rsidRPr="00804BF4">
        <w:rPr>
          <w:lang w:val="es-ES"/>
        </w:rPr>
        <w:t xml:space="preserve"> i) </w:t>
      </w:r>
      <w:r w:rsidR="00616A69" w:rsidRPr="00804BF4">
        <w:rPr>
          <w:lang w:val="es-ES"/>
        </w:rPr>
        <w:t>las medidas adoptadas por el Director General de enviar cartas a los Presidentes de la Asamblea General de la OMPI y del Comité de Coordinación, señalando a su atención las recomendaciones dirigidas por la DCI a los órganos legislativos</w:t>
      </w:r>
      <w:r w:rsidR="00441B21" w:rsidRPr="00804BF4">
        <w:rPr>
          <w:lang w:val="es-ES"/>
        </w:rPr>
        <w:t xml:space="preserve"> de la OMPI</w:t>
      </w:r>
      <w:r w:rsidR="00616A69" w:rsidRPr="00804BF4">
        <w:rPr>
          <w:lang w:val="es-ES"/>
        </w:rPr>
        <w:t xml:space="preserve">, </w:t>
      </w:r>
      <w:r w:rsidR="00441B21" w:rsidRPr="00804BF4">
        <w:rPr>
          <w:lang w:val="es-ES"/>
        </w:rPr>
        <w:t>a</w:t>
      </w:r>
      <w:r w:rsidR="00616A69" w:rsidRPr="00804BF4">
        <w:rPr>
          <w:lang w:val="es-ES"/>
        </w:rPr>
        <w:t>sí como de ii) los avances realizados en la aplicación de las recomendaciones dirigidas al Director General.</w:t>
      </w:r>
    </w:p>
    <w:p w:rsidR="00DB4BB6" w:rsidRPr="00804BF4" w:rsidRDefault="00BF4EB2" w:rsidP="00A00F9A">
      <w:pPr>
        <w:pStyle w:val="ONUME"/>
        <w:rPr>
          <w:lang w:val="es-ES"/>
        </w:rPr>
      </w:pPr>
      <w:r w:rsidRPr="00804BF4">
        <w:rPr>
          <w:lang w:val="es-ES"/>
        </w:rPr>
        <w:t xml:space="preserve">De </w:t>
      </w:r>
      <w:r w:rsidR="001B7865" w:rsidRPr="00804BF4">
        <w:rPr>
          <w:lang w:val="es-ES"/>
        </w:rPr>
        <w:t>conformidad</w:t>
      </w:r>
      <w:r w:rsidRPr="00804BF4">
        <w:rPr>
          <w:lang w:val="es-ES"/>
        </w:rPr>
        <w:t xml:space="preserve"> con lo solicitado por el PBC</w:t>
      </w:r>
      <w:r w:rsidR="00FF61F0" w:rsidRPr="00804BF4">
        <w:rPr>
          <w:lang w:val="es-ES"/>
        </w:rPr>
        <w:t xml:space="preserve">, </w:t>
      </w:r>
      <w:r w:rsidRPr="00804BF4">
        <w:rPr>
          <w:lang w:val="es-ES"/>
        </w:rPr>
        <w:t>la</w:t>
      </w:r>
      <w:r w:rsidR="00FF61F0" w:rsidRPr="00804BF4">
        <w:rPr>
          <w:lang w:val="es-ES"/>
        </w:rPr>
        <w:t xml:space="preserve"> </w:t>
      </w:r>
      <w:r w:rsidR="001B7865" w:rsidRPr="00804BF4">
        <w:rPr>
          <w:lang w:val="es-ES"/>
        </w:rPr>
        <w:t>Secretaría</w:t>
      </w:r>
      <w:r w:rsidR="00FF61F0" w:rsidRPr="00804BF4">
        <w:rPr>
          <w:lang w:val="es-ES"/>
        </w:rPr>
        <w:t xml:space="preserve"> </w:t>
      </w:r>
      <w:r w:rsidR="001B7865" w:rsidRPr="00804BF4">
        <w:rPr>
          <w:lang w:val="es-ES"/>
        </w:rPr>
        <w:t>presenta</w:t>
      </w:r>
      <w:r w:rsidR="00FF61F0" w:rsidRPr="00804BF4">
        <w:rPr>
          <w:lang w:val="es-ES"/>
        </w:rPr>
        <w:t xml:space="preserve"> </w:t>
      </w:r>
      <w:r w:rsidRPr="00804BF4">
        <w:rPr>
          <w:lang w:val="es-ES"/>
        </w:rPr>
        <w:t xml:space="preserve">este informe de seguimiento sobre la aplicación de las recomendaciones </w:t>
      </w:r>
      <w:r w:rsidR="00A00F9A" w:rsidRPr="00804BF4">
        <w:rPr>
          <w:lang w:val="es-ES"/>
        </w:rPr>
        <w:t>que constan en el Informe de la DCI sobre gestión y administración</w:t>
      </w:r>
      <w:r w:rsidR="00441B21" w:rsidRPr="00804BF4">
        <w:rPr>
          <w:lang w:val="es-ES"/>
        </w:rPr>
        <w:t>,</w:t>
      </w:r>
      <w:r w:rsidR="00A00F9A" w:rsidRPr="00804BF4">
        <w:rPr>
          <w:lang w:val="es-ES"/>
        </w:rPr>
        <w:t xml:space="preserve"> así como de toda otra medida tomada en respuesta al </w:t>
      </w:r>
      <w:r w:rsidR="00F85A5D" w:rsidRPr="00804BF4">
        <w:rPr>
          <w:lang w:val="es-ES"/>
        </w:rPr>
        <w:t>Informe</w:t>
      </w:r>
      <w:r w:rsidR="00FF61F0" w:rsidRPr="00804BF4">
        <w:rPr>
          <w:lang w:val="es-ES"/>
        </w:rPr>
        <w:t>.</w:t>
      </w:r>
    </w:p>
    <w:p w:rsidR="00DB4BB6" w:rsidRPr="00804BF4" w:rsidRDefault="00A00F9A" w:rsidP="00205BEA">
      <w:pPr>
        <w:pStyle w:val="ONUME"/>
        <w:rPr>
          <w:lang w:val="es-ES"/>
        </w:rPr>
      </w:pPr>
      <w:r w:rsidRPr="00804BF4">
        <w:rPr>
          <w:lang w:val="es-ES"/>
        </w:rPr>
        <w:t xml:space="preserve">En el cuadro que figura </w:t>
      </w:r>
      <w:r w:rsidRPr="00804BF4">
        <w:rPr>
          <w:i/>
          <w:lang w:val="es-ES"/>
        </w:rPr>
        <w:t>infra</w:t>
      </w:r>
      <w:r w:rsidRPr="00804BF4">
        <w:rPr>
          <w:lang w:val="es-ES"/>
        </w:rPr>
        <w:t xml:space="preserve"> se presenta información actualizada detallada sobre la situación </w:t>
      </w:r>
      <w:r w:rsidR="00FF61F0" w:rsidRPr="00804BF4">
        <w:rPr>
          <w:lang w:val="es-ES"/>
        </w:rPr>
        <w:t>de</w:t>
      </w:r>
      <w:r w:rsidRPr="00804BF4">
        <w:rPr>
          <w:lang w:val="es-ES"/>
        </w:rPr>
        <w:t xml:space="preserve"> las medidas tomadas por la OMPI e</w:t>
      </w:r>
      <w:r w:rsidR="00A05199" w:rsidRPr="00804BF4">
        <w:rPr>
          <w:lang w:val="es-ES"/>
        </w:rPr>
        <w:t>n</w:t>
      </w:r>
      <w:r w:rsidR="00FF61F0" w:rsidRPr="00804BF4">
        <w:rPr>
          <w:lang w:val="es-ES"/>
        </w:rPr>
        <w:t xml:space="preserve"> resp</w:t>
      </w:r>
      <w:r w:rsidRPr="00804BF4">
        <w:rPr>
          <w:lang w:val="es-ES"/>
        </w:rPr>
        <w:t>uesta a las recomendaciones de la DCI</w:t>
      </w:r>
      <w:r w:rsidR="00FF61F0" w:rsidRPr="00804BF4">
        <w:rPr>
          <w:lang w:val="es-ES"/>
        </w:rPr>
        <w:t>, indican</w:t>
      </w:r>
      <w:r w:rsidRPr="00804BF4">
        <w:rPr>
          <w:lang w:val="es-ES"/>
        </w:rPr>
        <w:t>do que</w:t>
      </w:r>
      <w:r w:rsidR="00811E7B" w:rsidRPr="00804BF4">
        <w:rPr>
          <w:lang w:val="es-ES"/>
        </w:rPr>
        <w:t>:</w:t>
      </w:r>
    </w:p>
    <w:p w:rsidR="00DB4BB6" w:rsidRPr="00804BF4" w:rsidRDefault="00C518C3" w:rsidP="00A05199">
      <w:pPr>
        <w:pStyle w:val="ONUME"/>
        <w:numPr>
          <w:ilvl w:val="1"/>
          <w:numId w:val="5"/>
        </w:numPr>
        <w:rPr>
          <w:lang w:val="es-ES"/>
        </w:rPr>
      </w:pPr>
      <w:r w:rsidRPr="00804BF4">
        <w:rPr>
          <w:lang w:val="es-ES"/>
        </w:rPr>
        <w:t xml:space="preserve">de </w:t>
      </w:r>
      <w:r w:rsidR="00A00F9A" w:rsidRPr="00804BF4">
        <w:rPr>
          <w:lang w:val="es-ES"/>
        </w:rPr>
        <w:t>ocho</w:t>
      </w:r>
      <w:r w:rsidR="00A05199" w:rsidRPr="00804BF4">
        <w:rPr>
          <w:lang w:val="es-ES"/>
        </w:rPr>
        <w:t xml:space="preserve"> </w:t>
      </w:r>
      <w:r w:rsidR="001B7865" w:rsidRPr="00804BF4">
        <w:rPr>
          <w:lang w:val="es-ES"/>
        </w:rPr>
        <w:t>recomendaciones</w:t>
      </w:r>
      <w:r w:rsidR="00A05199" w:rsidRPr="00804BF4">
        <w:rPr>
          <w:lang w:val="es-ES"/>
        </w:rPr>
        <w:t xml:space="preserve"> </w:t>
      </w:r>
      <w:r w:rsidR="00A00F9A" w:rsidRPr="00804BF4">
        <w:rPr>
          <w:lang w:val="es-ES"/>
        </w:rPr>
        <w:t>dirigidas al</w:t>
      </w:r>
      <w:r w:rsidR="00A05199" w:rsidRPr="00804BF4">
        <w:rPr>
          <w:lang w:val="es-ES"/>
        </w:rPr>
        <w:t xml:space="preserve"> Director General, </w:t>
      </w:r>
      <w:r w:rsidR="009B2D83" w:rsidRPr="00804BF4">
        <w:rPr>
          <w:lang w:val="es-ES"/>
        </w:rPr>
        <w:t>s</w:t>
      </w:r>
      <w:r w:rsidR="00A00F9A" w:rsidRPr="00804BF4">
        <w:rPr>
          <w:lang w:val="es-ES"/>
        </w:rPr>
        <w:t>iete han sido aplicadas en su totalidad</w:t>
      </w:r>
      <w:r w:rsidR="00A05199" w:rsidRPr="00804BF4">
        <w:rPr>
          <w:lang w:val="es-ES"/>
        </w:rPr>
        <w:t xml:space="preserve"> (</w:t>
      </w:r>
      <w:r w:rsidR="00A00F9A" w:rsidRPr="00804BF4">
        <w:rPr>
          <w:lang w:val="es-ES"/>
        </w:rPr>
        <w:t xml:space="preserve">las </w:t>
      </w:r>
      <w:r w:rsidR="001B7865" w:rsidRPr="00804BF4">
        <w:rPr>
          <w:lang w:val="es-ES"/>
        </w:rPr>
        <w:t>recomendaciones</w:t>
      </w:r>
      <w:r w:rsidR="00A05199" w:rsidRPr="00804BF4">
        <w:rPr>
          <w:lang w:val="es-ES"/>
        </w:rPr>
        <w:t xml:space="preserve"> 2, 3, 4, 5, 8, </w:t>
      </w:r>
      <w:r w:rsidR="00A00F9A" w:rsidRPr="00804BF4">
        <w:rPr>
          <w:lang w:val="es-ES"/>
        </w:rPr>
        <w:t xml:space="preserve">9 y </w:t>
      </w:r>
      <w:r w:rsidR="009B2D83" w:rsidRPr="00804BF4">
        <w:rPr>
          <w:lang w:val="es-ES"/>
        </w:rPr>
        <w:t>10</w:t>
      </w:r>
      <w:r w:rsidR="00441B21" w:rsidRPr="00804BF4">
        <w:rPr>
          <w:lang w:val="es-ES"/>
        </w:rPr>
        <w:t>)</w:t>
      </w:r>
      <w:r w:rsidR="00A05199" w:rsidRPr="00804BF4">
        <w:rPr>
          <w:lang w:val="es-ES"/>
        </w:rPr>
        <w:t xml:space="preserve"> </w:t>
      </w:r>
      <w:r w:rsidR="00A00F9A" w:rsidRPr="00804BF4">
        <w:rPr>
          <w:lang w:val="es-ES"/>
        </w:rPr>
        <w:t>y una</w:t>
      </w:r>
      <w:r w:rsidR="009B2D83" w:rsidRPr="00804BF4">
        <w:rPr>
          <w:lang w:val="es-ES"/>
        </w:rPr>
        <w:t xml:space="preserve"> (</w:t>
      </w:r>
      <w:r w:rsidR="00A00F9A" w:rsidRPr="00804BF4">
        <w:rPr>
          <w:lang w:val="es-ES"/>
        </w:rPr>
        <w:t xml:space="preserve">la </w:t>
      </w:r>
      <w:r w:rsidR="001B7865" w:rsidRPr="00804BF4">
        <w:rPr>
          <w:lang w:val="es-ES"/>
        </w:rPr>
        <w:t>recomendación</w:t>
      </w:r>
      <w:r w:rsidR="00811E7B" w:rsidRPr="00804BF4">
        <w:rPr>
          <w:lang w:val="es-ES"/>
        </w:rPr>
        <w:t> </w:t>
      </w:r>
      <w:r w:rsidR="009B2D83" w:rsidRPr="00804BF4">
        <w:rPr>
          <w:lang w:val="es-ES"/>
        </w:rPr>
        <w:t xml:space="preserve">7) </w:t>
      </w:r>
      <w:r w:rsidRPr="00804BF4">
        <w:rPr>
          <w:lang w:val="es-ES"/>
        </w:rPr>
        <w:t>sigue supeditada a un</w:t>
      </w:r>
      <w:r w:rsidR="009B2D83" w:rsidRPr="00804BF4">
        <w:rPr>
          <w:lang w:val="es-ES"/>
        </w:rPr>
        <w:t xml:space="preserve">a </w:t>
      </w:r>
      <w:r w:rsidRPr="00804BF4">
        <w:rPr>
          <w:lang w:val="es-ES"/>
        </w:rPr>
        <w:t xml:space="preserve">recomendación a un órgano </w:t>
      </w:r>
      <w:r w:rsidR="001B7865" w:rsidRPr="00804BF4">
        <w:rPr>
          <w:lang w:val="es-ES"/>
        </w:rPr>
        <w:t>legislativo</w:t>
      </w:r>
      <w:r w:rsidR="009B2D83" w:rsidRPr="00804BF4">
        <w:rPr>
          <w:lang w:val="es-ES"/>
        </w:rPr>
        <w:t xml:space="preserve"> (</w:t>
      </w:r>
      <w:r w:rsidRPr="00804BF4">
        <w:rPr>
          <w:lang w:val="es-ES"/>
        </w:rPr>
        <w:t xml:space="preserve">la </w:t>
      </w:r>
      <w:r w:rsidR="001B7865" w:rsidRPr="00804BF4">
        <w:rPr>
          <w:lang w:val="es-ES"/>
        </w:rPr>
        <w:t>recomendación</w:t>
      </w:r>
      <w:r w:rsidR="009B2D83" w:rsidRPr="00804BF4">
        <w:rPr>
          <w:lang w:val="es-ES"/>
        </w:rPr>
        <w:t xml:space="preserve"> 6)</w:t>
      </w:r>
      <w:r w:rsidR="00A05199" w:rsidRPr="00804BF4">
        <w:rPr>
          <w:lang w:val="es-ES"/>
        </w:rPr>
        <w:t>;</w:t>
      </w:r>
      <w:r w:rsidR="00CF4E91" w:rsidRPr="00804BF4">
        <w:rPr>
          <w:lang w:val="es-ES"/>
        </w:rPr>
        <w:t xml:space="preserve">  </w:t>
      </w:r>
      <w:r w:rsidRPr="00804BF4">
        <w:rPr>
          <w:lang w:val="es-ES"/>
        </w:rPr>
        <w:t>y</w:t>
      </w:r>
    </w:p>
    <w:p w:rsidR="00DB4BB6" w:rsidRPr="00804BF4" w:rsidRDefault="00C518C3" w:rsidP="00811E7B">
      <w:pPr>
        <w:pStyle w:val="ONUME"/>
        <w:numPr>
          <w:ilvl w:val="1"/>
          <w:numId w:val="5"/>
        </w:numPr>
        <w:rPr>
          <w:lang w:val="es-ES"/>
        </w:rPr>
      </w:pPr>
      <w:r w:rsidRPr="00804BF4">
        <w:rPr>
          <w:lang w:val="es-ES"/>
        </w:rPr>
        <w:t>dos</w:t>
      </w:r>
      <w:r w:rsidR="00A05199" w:rsidRPr="00804BF4">
        <w:rPr>
          <w:lang w:val="es-ES"/>
        </w:rPr>
        <w:t xml:space="preserve"> </w:t>
      </w:r>
      <w:r w:rsidR="001B7865" w:rsidRPr="00804BF4">
        <w:rPr>
          <w:lang w:val="es-ES"/>
        </w:rPr>
        <w:t>recomendaciones</w:t>
      </w:r>
      <w:r w:rsidR="00A05199" w:rsidRPr="00804BF4">
        <w:rPr>
          <w:lang w:val="es-ES"/>
        </w:rPr>
        <w:t xml:space="preserve"> </w:t>
      </w:r>
      <w:r w:rsidRPr="00804BF4">
        <w:rPr>
          <w:lang w:val="es-ES"/>
        </w:rPr>
        <w:t xml:space="preserve">dirigidas a los órganos </w:t>
      </w:r>
      <w:r w:rsidR="001B7865" w:rsidRPr="00804BF4">
        <w:rPr>
          <w:lang w:val="es-ES"/>
        </w:rPr>
        <w:t>legislativos</w:t>
      </w:r>
      <w:r w:rsidRPr="00804BF4">
        <w:rPr>
          <w:lang w:val="es-ES"/>
        </w:rPr>
        <w:t xml:space="preserve"> de la OMPI, a saber, la Asamblea </w:t>
      </w:r>
      <w:r w:rsidR="00A05199" w:rsidRPr="00804BF4">
        <w:rPr>
          <w:lang w:val="es-ES"/>
        </w:rPr>
        <w:t>General (</w:t>
      </w:r>
      <w:r w:rsidRPr="00804BF4">
        <w:rPr>
          <w:lang w:val="es-ES"/>
        </w:rPr>
        <w:t xml:space="preserve">la </w:t>
      </w:r>
      <w:r w:rsidR="001B7865" w:rsidRPr="00804BF4">
        <w:rPr>
          <w:lang w:val="es-ES"/>
        </w:rPr>
        <w:t>recomendación</w:t>
      </w:r>
      <w:r w:rsidR="00A05199" w:rsidRPr="00804BF4">
        <w:rPr>
          <w:lang w:val="es-ES"/>
        </w:rPr>
        <w:t xml:space="preserve"> 1) </w:t>
      </w:r>
      <w:r w:rsidRPr="00804BF4">
        <w:rPr>
          <w:lang w:val="es-ES"/>
        </w:rPr>
        <w:t xml:space="preserve">y el </w:t>
      </w:r>
      <w:r w:rsidR="001B7865" w:rsidRPr="00804BF4">
        <w:rPr>
          <w:lang w:val="es-ES"/>
        </w:rPr>
        <w:t>Comité</w:t>
      </w:r>
      <w:r w:rsidR="00A05199" w:rsidRPr="00804BF4">
        <w:rPr>
          <w:lang w:val="es-ES"/>
        </w:rPr>
        <w:t xml:space="preserve"> </w:t>
      </w:r>
      <w:r w:rsidRPr="00804BF4">
        <w:rPr>
          <w:lang w:val="es-ES"/>
        </w:rPr>
        <w:t xml:space="preserve">de </w:t>
      </w:r>
      <w:r w:rsidR="00804BF4">
        <w:rPr>
          <w:lang w:val="es-ES"/>
        </w:rPr>
        <w:t>Coordinación</w:t>
      </w:r>
      <w:r w:rsidRPr="00804BF4">
        <w:rPr>
          <w:lang w:val="es-ES"/>
        </w:rPr>
        <w:t xml:space="preserve"> </w:t>
      </w:r>
      <w:r w:rsidR="00A05199" w:rsidRPr="00804BF4">
        <w:rPr>
          <w:lang w:val="es-ES"/>
        </w:rPr>
        <w:t>(</w:t>
      </w:r>
      <w:r w:rsidRPr="00804BF4">
        <w:rPr>
          <w:lang w:val="es-ES"/>
        </w:rPr>
        <w:t xml:space="preserve">la </w:t>
      </w:r>
      <w:r w:rsidR="001B7865" w:rsidRPr="00804BF4">
        <w:rPr>
          <w:lang w:val="es-ES"/>
        </w:rPr>
        <w:t>recomendación</w:t>
      </w:r>
      <w:r w:rsidR="00441B21" w:rsidRPr="00804BF4">
        <w:rPr>
          <w:lang w:val="es-ES"/>
        </w:rPr>
        <w:t> </w:t>
      </w:r>
      <w:r w:rsidR="00A05199" w:rsidRPr="00804BF4">
        <w:rPr>
          <w:lang w:val="es-ES"/>
        </w:rPr>
        <w:t xml:space="preserve">6) </w:t>
      </w:r>
      <w:r w:rsidRPr="00804BF4">
        <w:rPr>
          <w:lang w:val="es-ES"/>
        </w:rPr>
        <w:t xml:space="preserve">aún están siendo </w:t>
      </w:r>
      <w:r w:rsidR="001B7865" w:rsidRPr="00804BF4">
        <w:rPr>
          <w:lang w:val="es-ES"/>
        </w:rPr>
        <w:t>examinadas</w:t>
      </w:r>
      <w:r w:rsidRPr="00804BF4">
        <w:rPr>
          <w:lang w:val="es-ES"/>
        </w:rPr>
        <w:t xml:space="preserve"> por esos órganos</w:t>
      </w:r>
      <w:r w:rsidR="00205BEA" w:rsidRPr="00804BF4">
        <w:rPr>
          <w:lang w:val="es-ES"/>
        </w:rPr>
        <w:t>.</w:t>
      </w:r>
    </w:p>
    <w:p w:rsidR="00DB4BB6" w:rsidRPr="00804BF4" w:rsidRDefault="00C518C3" w:rsidP="00205BEA">
      <w:pPr>
        <w:pStyle w:val="ONUME"/>
        <w:rPr>
          <w:lang w:val="es-ES"/>
        </w:rPr>
      </w:pPr>
      <w:r w:rsidRPr="00804BF4">
        <w:rPr>
          <w:lang w:val="es-ES"/>
        </w:rPr>
        <w:lastRenderedPageBreak/>
        <w:t xml:space="preserve">La OMPI seguirá </w:t>
      </w:r>
      <w:r w:rsidR="001B7865" w:rsidRPr="00804BF4">
        <w:rPr>
          <w:lang w:val="es-ES"/>
        </w:rPr>
        <w:t>informando</w:t>
      </w:r>
      <w:r w:rsidRPr="00804BF4">
        <w:rPr>
          <w:lang w:val="es-ES"/>
        </w:rPr>
        <w:t xml:space="preserve"> sobre las </w:t>
      </w:r>
      <w:r w:rsidR="001B7865" w:rsidRPr="00804BF4">
        <w:rPr>
          <w:lang w:val="es-ES"/>
        </w:rPr>
        <w:t>recomendaciones</w:t>
      </w:r>
      <w:r w:rsidR="00A05199" w:rsidRPr="00804BF4">
        <w:rPr>
          <w:lang w:val="es-ES"/>
        </w:rPr>
        <w:t xml:space="preserve"> </w:t>
      </w:r>
      <w:r w:rsidRPr="00804BF4">
        <w:rPr>
          <w:lang w:val="es-ES"/>
        </w:rPr>
        <w:t xml:space="preserve">pendientes, en el </w:t>
      </w:r>
      <w:r w:rsidR="001B7865" w:rsidRPr="00804BF4">
        <w:rPr>
          <w:lang w:val="es-ES"/>
        </w:rPr>
        <w:t>contexto</w:t>
      </w:r>
      <w:r w:rsidRPr="00804BF4">
        <w:rPr>
          <w:lang w:val="es-ES"/>
        </w:rPr>
        <w:t xml:space="preserve"> de su presentación periódica de informes sobre la marc</w:t>
      </w:r>
      <w:r w:rsidR="00441B21" w:rsidRPr="00804BF4">
        <w:rPr>
          <w:lang w:val="es-ES"/>
        </w:rPr>
        <w:t>h</w:t>
      </w:r>
      <w:r w:rsidRPr="00804BF4">
        <w:rPr>
          <w:lang w:val="es-ES"/>
        </w:rPr>
        <w:t xml:space="preserve">a de la aplicación de las </w:t>
      </w:r>
      <w:r w:rsidR="001B7865" w:rsidRPr="00804BF4">
        <w:rPr>
          <w:lang w:val="es-ES"/>
        </w:rPr>
        <w:t>recomendaciones</w:t>
      </w:r>
      <w:r w:rsidRPr="00804BF4">
        <w:rPr>
          <w:lang w:val="es-ES"/>
        </w:rPr>
        <w:t xml:space="preserve"> de la DCI</w:t>
      </w:r>
      <w:r w:rsidR="00A05199" w:rsidRPr="00804BF4">
        <w:rPr>
          <w:lang w:val="es-ES"/>
        </w:rPr>
        <w:t>.</w:t>
      </w:r>
    </w:p>
    <w:tbl>
      <w:tblPr>
        <w:tblStyle w:val="TableGrid"/>
        <w:tblW w:w="0" w:type="auto"/>
        <w:tblLook w:val="04A0" w:firstRow="1" w:lastRow="0" w:firstColumn="1" w:lastColumn="0" w:noHBand="0" w:noVBand="1"/>
      </w:tblPr>
      <w:tblGrid>
        <w:gridCol w:w="1951"/>
        <w:gridCol w:w="1701"/>
        <w:gridCol w:w="1287"/>
        <w:gridCol w:w="1548"/>
        <w:gridCol w:w="3084"/>
      </w:tblGrid>
      <w:tr w:rsidR="001B7865" w:rsidRPr="00804BF4" w:rsidTr="00EC6D92">
        <w:trPr>
          <w:trHeight w:val="435"/>
          <w:tblHeader/>
        </w:trPr>
        <w:tc>
          <w:tcPr>
            <w:tcW w:w="1951" w:type="dxa"/>
            <w:vMerge w:val="restart"/>
            <w:tcBorders>
              <w:top w:val="single" w:sz="4" w:space="0" w:color="auto"/>
              <w:left w:val="single" w:sz="4" w:space="0" w:color="auto"/>
              <w:right w:val="single" w:sz="4" w:space="0" w:color="auto"/>
            </w:tcBorders>
            <w:shd w:val="clear" w:color="auto" w:fill="B6DDE8" w:themeFill="accent5" w:themeFillTint="66"/>
            <w:tcMar>
              <w:top w:w="113" w:type="dxa"/>
            </w:tcMar>
            <w:vAlign w:val="bottom"/>
          </w:tcPr>
          <w:p w:rsidR="0053155A" w:rsidRPr="00804BF4" w:rsidRDefault="00DB4BB6" w:rsidP="00DB4BB6">
            <w:pPr>
              <w:pStyle w:val="ONUME"/>
              <w:numPr>
                <w:ilvl w:val="0"/>
                <w:numId w:val="0"/>
              </w:numPr>
              <w:jc w:val="center"/>
              <w:rPr>
                <w:sz w:val="18"/>
                <w:szCs w:val="18"/>
                <w:lang w:val="es-ES"/>
              </w:rPr>
            </w:pPr>
            <w:r w:rsidRPr="00804BF4">
              <w:rPr>
                <w:b/>
                <w:sz w:val="18"/>
                <w:szCs w:val="18"/>
                <w:lang w:val="es-ES"/>
              </w:rPr>
              <w:t>Recomendaciones</w:t>
            </w:r>
          </w:p>
        </w:tc>
        <w:tc>
          <w:tcPr>
            <w:tcW w:w="1701" w:type="dxa"/>
            <w:vMerge w:val="restart"/>
            <w:tcBorders>
              <w:top w:val="single" w:sz="4" w:space="0" w:color="auto"/>
              <w:left w:val="single" w:sz="4" w:space="0" w:color="auto"/>
              <w:right w:val="single" w:sz="4" w:space="0" w:color="auto"/>
            </w:tcBorders>
            <w:shd w:val="clear" w:color="auto" w:fill="B6DDE8" w:themeFill="accent5" w:themeFillTint="66"/>
            <w:tcMar>
              <w:top w:w="113" w:type="dxa"/>
            </w:tcMar>
            <w:vAlign w:val="bottom"/>
          </w:tcPr>
          <w:p w:rsidR="0053155A" w:rsidRPr="00804BF4" w:rsidRDefault="00DB4BB6" w:rsidP="00DB4BB6">
            <w:pPr>
              <w:pStyle w:val="ONUME"/>
              <w:numPr>
                <w:ilvl w:val="0"/>
                <w:numId w:val="0"/>
              </w:numPr>
              <w:jc w:val="center"/>
              <w:rPr>
                <w:b/>
                <w:sz w:val="18"/>
                <w:szCs w:val="18"/>
                <w:lang w:val="es-ES"/>
              </w:rPr>
            </w:pPr>
            <w:r w:rsidRPr="00804BF4">
              <w:rPr>
                <w:b/>
                <w:sz w:val="18"/>
                <w:szCs w:val="18"/>
                <w:lang w:val="es-ES"/>
              </w:rPr>
              <w:t>Funcionario encargado</w:t>
            </w:r>
          </w:p>
        </w:tc>
        <w:tc>
          <w:tcPr>
            <w:tcW w:w="2835" w:type="dxa"/>
            <w:gridSpan w:val="2"/>
            <w:tcBorders>
              <w:left w:val="single" w:sz="4" w:space="0" w:color="auto"/>
              <w:right w:val="single" w:sz="4" w:space="0" w:color="auto"/>
            </w:tcBorders>
            <w:shd w:val="clear" w:color="auto" w:fill="B6DDE8" w:themeFill="accent5" w:themeFillTint="66"/>
            <w:tcMar>
              <w:top w:w="113" w:type="dxa"/>
            </w:tcMar>
            <w:vAlign w:val="bottom"/>
          </w:tcPr>
          <w:p w:rsidR="0053155A" w:rsidRPr="00804BF4" w:rsidRDefault="00C518C3" w:rsidP="0053155A">
            <w:pPr>
              <w:pStyle w:val="ONUME"/>
              <w:numPr>
                <w:ilvl w:val="0"/>
                <w:numId w:val="0"/>
              </w:numPr>
              <w:jc w:val="center"/>
              <w:rPr>
                <w:sz w:val="18"/>
                <w:szCs w:val="18"/>
                <w:lang w:val="es-ES"/>
              </w:rPr>
            </w:pPr>
            <w:r w:rsidRPr="00804BF4">
              <w:rPr>
                <w:b/>
                <w:sz w:val="18"/>
                <w:szCs w:val="18"/>
                <w:lang w:val="es-ES"/>
              </w:rPr>
              <w:t>Situación relativa a la aceptación</w:t>
            </w:r>
          </w:p>
        </w:tc>
        <w:tc>
          <w:tcPr>
            <w:tcW w:w="3084" w:type="dxa"/>
            <w:vMerge w:val="restart"/>
            <w:tcBorders>
              <w:top w:val="single" w:sz="4" w:space="0" w:color="auto"/>
              <w:left w:val="single" w:sz="4" w:space="0" w:color="auto"/>
              <w:right w:val="single" w:sz="4" w:space="0" w:color="auto"/>
            </w:tcBorders>
            <w:shd w:val="clear" w:color="auto" w:fill="B6DDE8" w:themeFill="accent5" w:themeFillTint="66"/>
            <w:tcMar>
              <w:top w:w="85" w:type="dxa"/>
            </w:tcMar>
            <w:vAlign w:val="bottom"/>
          </w:tcPr>
          <w:p w:rsidR="0053155A" w:rsidRPr="00804BF4" w:rsidRDefault="00DB4BB6" w:rsidP="00860405">
            <w:pPr>
              <w:pStyle w:val="ONUME"/>
              <w:numPr>
                <w:ilvl w:val="0"/>
                <w:numId w:val="0"/>
              </w:numPr>
              <w:jc w:val="center"/>
              <w:rPr>
                <w:b/>
                <w:sz w:val="18"/>
                <w:szCs w:val="18"/>
                <w:lang w:val="es-ES"/>
              </w:rPr>
            </w:pPr>
            <w:r w:rsidRPr="00804BF4">
              <w:rPr>
                <w:b/>
                <w:sz w:val="18"/>
                <w:szCs w:val="18"/>
                <w:lang w:val="es-ES"/>
              </w:rPr>
              <w:t xml:space="preserve">Evaluación </w:t>
            </w:r>
            <w:r w:rsidR="00860405" w:rsidRPr="00804BF4">
              <w:rPr>
                <w:b/>
                <w:sz w:val="18"/>
                <w:szCs w:val="18"/>
                <w:lang w:val="es-ES"/>
              </w:rPr>
              <w:t xml:space="preserve">por el personal </w:t>
            </w:r>
            <w:r w:rsidRPr="00804BF4">
              <w:rPr>
                <w:b/>
                <w:sz w:val="18"/>
                <w:szCs w:val="18"/>
                <w:lang w:val="es-ES"/>
              </w:rPr>
              <w:t>directivo/</w:t>
            </w:r>
            <w:r w:rsidR="00860405" w:rsidRPr="00804BF4">
              <w:rPr>
                <w:b/>
                <w:sz w:val="18"/>
                <w:szCs w:val="18"/>
                <w:lang w:val="es-ES"/>
              </w:rPr>
              <w:t>coordinador</w:t>
            </w:r>
          </w:p>
        </w:tc>
      </w:tr>
      <w:tr w:rsidR="001B7865" w:rsidRPr="00804BF4" w:rsidTr="00EC6D92">
        <w:trPr>
          <w:trHeight w:val="20"/>
          <w:tblHeader/>
        </w:trPr>
        <w:tc>
          <w:tcPr>
            <w:tcW w:w="1951" w:type="dxa"/>
            <w:vMerge/>
            <w:tcBorders>
              <w:left w:val="single" w:sz="4" w:space="0" w:color="auto"/>
              <w:right w:val="single" w:sz="4" w:space="0" w:color="auto"/>
            </w:tcBorders>
            <w:shd w:val="clear" w:color="auto" w:fill="B6DDE8" w:themeFill="accent5" w:themeFillTint="66"/>
            <w:tcMar>
              <w:top w:w="113" w:type="dxa"/>
            </w:tcMar>
            <w:vAlign w:val="bottom"/>
          </w:tcPr>
          <w:p w:rsidR="0053155A" w:rsidRPr="00804BF4" w:rsidRDefault="0053155A" w:rsidP="006B7BE1">
            <w:pPr>
              <w:pStyle w:val="ONUME"/>
              <w:numPr>
                <w:ilvl w:val="0"/>
                <w:numId w:val="0"/>
              </w:numPr>
              <w:jc w:val="center"/>
              <w:rPr>
                <w:b/>
                <w:sz w:val="18"/>
                <w:szCs w:val="18"/>
                <w:lang w:val="es-ES"/>
              </w:rPr>
            </w:pPr>
          </w:p>
        </w:tc>
        <w:tc>
          <w:tcPr>
            <w:tcW w:w="1701" w:type="dxa"/>
            <w:vMerge/>
            <w:tcBorders>
              <w:left w:val="single" w:sz="4" w:space="0" w:color="auto"/>
              <w:right w:val="single" w:sz="4" w:space="0" w:color="auto"/>
            </w:tcBorders>
            <w:shd w:val="clear" w:color="auto" w:fill="B6DDE8" w:themeFill="accent5" w:themeFillTint="66"/>
            <w:tcMar>
              <w:top w:w="113" w:type="dxa"/>
            </w:tcMar>
            <w:vAlign w:val="bottom"/>
          </w:tcPr>
          <w:p w:rsidR="0053155A" w:rsidRPr="00804BF4" w:rsidRDefault="0053155A" w:rsidP="006B7BE1">
            <w:pPr>
              <w:pStyle w:val="ONUME"/>
              <w:numPr>
                <w:ilvl w:val="0"/>
                <w:numId w:val="0"/>
              </w:numPr>
              <w:jc w:val="center"/>
              <w:rPr>
                <w:b/>
                <w:sz w:val="18"/>
                <w:szCs w:val="18"/>
                <w:lang w:val="es-ES"/>
              </w:rPr>
            </w:pPr>
          </w:p>
        </w:tc>
        <w:tc>
          <w:tcPr>
            <w:tcW w:w="1287" w:type="dxa"/>
            <w:tcBorders>
              <w:left w:val="single" w:sz="4" w:space="0" w:color="auto"/>
              <w:right w:val="single" w:sz="4" w:space="0" w:color="auto"/>
            </w:tcBorders>
            <w:shd w:val="clear" w:color="auto" w:fill="B6DDE8" w:themeFill="accent5" w:themeFillTint="66"/>
            <w:tcMar>
              <w:top w:w="113" w:type="dxa"/>
            </w:tcMar>
            <w:vAlign w:val="bottom"/>
          </w:tcPr>
          <w:p w:rsidR="0053155A" w:rsidRPr="00804BF4" w:rsidRDefault="00DB4BB6" w:rsidP="00DB4BB6">
            <w:pPr>
              <w:pStyle w:val="ONUME"/>
              <w:numPr>
                <w:ilvl w:val="0"/>
                <w:numId w:val="0"/>
              </w:numPr>
              <w:jc w:val="center"/>
              <w:rPr>
                <w:b/>
                <w:sz w:val="18"/>
                <w:szCs w:val="18"/>
                <w:lang w:val="es-ES"/>
              </w:rPr>
            </w:pPr>
            <w:r w:rsidRPr="00804BF4">
              <w:rPr>
                <w:b/>
                <w:sz w:val="18"/>
                <w:szCs w:val="18"/>
                <w:lang w:val="es-ES"/>
              </w:rPr>
              <w:t>Aceptación</w:t>
            </w:r>
          </w:p>
        </w:tc>
        <w:tc>
          <w:tcPr>
            <w:tcW w:w="1548" w:type="dxa"/>
            <w:tcBorders>
              <w:left w:val="single" w:sz="4" w:space="0" w:color="auto"/>
              <w:right w:val="single" w:sz="4" w:space="0" w:color="auto"/>
            </w:tcBorders>
            <w:shd w:val="clear" w:color="auto" w:fill="B6DDE8" w:themeFill="accent5" w:themeFillTint="66"/>
            <w:tcMar>
              <w:top w:w="113" w:type="dxa"/>
            </w:tcMar>
            <w:vAlign w:val="bottom"/>
          </w:tcPr>
          <w:p w:rsidR="0053155A" w:rsidRPr="00804BF4" w:rsidRDefault="00DB4BB6" w:rsidP="00DB4BB6">
            <w:pPr>
              <w:pStyle w:val="ONUME"/>
              <w:numPr>
                <w:ilvl w:val="0"/>
                <w:numId w:val="0"/>
              </w:numPr>
              <w:jc w:val="center"/>
              <w:rPr>
                <w:b/>
                <w:sz w:val="18"/>
                <w:szCs w:val="18"/>
                <w:lang w:val="es-ES"/>
              </w:rPr>
            </w:pPr>
            <w:r w:rsidRPr="00804BF4">
              <w:rPr>
                <w:b/>
                <w:sz w:val="18"/>
                <w:szCs w:val="18"/>
                <w:lang w:val="es-ES"/>
              </w:rPr>
              <w:t>Aplicación</w:t>
            </w:r>
          </w:p>
        </w:tc>
        <w:tc>
          <w:tcPr>
            <w:tcW w:w="3084" w:type="dxa"/>
            <w:vMerge/>
            <w:tcBorders>
              <w:left w:val="single" w:sz="4" w:space="0" w:color="auto"/>
              <w:right w:val="single" w:sz="4" w:space="0" w:color="auto"/>
            </w:tcBorders>
            <w:shd w:val="clear" w:color="auto" w:fill="B6DDE8" w:themeFill="accent5" w:themeFillTint="66"/>
            <w:tcMar>
              <w:top w:w="113" w:type="dxa"/>
            </w:tcMar>
            <w:vAlign w:val="bottom"/>
          </w:tcPr>
          <w:p w:rsidR="0053155A" w:rsidRPr="00804BF4" w:rsidRDefault="0053155A" w:rsidP="006B7BE1">
            <w:pPr>
              <w:pStyle w:val="ONUME"/>
              <w:numPr>
                <w:ilvl w:val="0"/>
                <w:numId w:val="0"/>
              </w:numPr>
              <w:jc w:val="center"/>
              <w:rPr>
                <w:b/>
                <w:sz w:val="18"/>
                <w:szCs w:val="18"/>
                <w:lang w:val="es-ES"/>
              </w:rPr>
            </w:pPr>
          </w:p>
        </w:tc>
      </w:tr>
      <w:tr w:rsidR="001B7865" w:rsidRPr="00804BF4" w:rsidTr="00EC6D92">
        <w:tc>
          <w:tcPr>
            <w:tcW w:w="1951" w:type="dxa"/>
            <w:tcBorders>
              <w:top w:val="single" w:sz="4" w:space="0" w:color="auto"/>
            </w:tcBorders>
            <w:tcMar>
              <w:top w:w="113" w:type="dxa"/>
            </w:tcMar>
          </w:tcPr>
          <w:p w:rsidR="00D51C8D" w:rsidRPr="00804BF4" w:rsidRDefault="00DB4BB6" w:rsidP="00DB4BB6">
            <w:pPr>
              <w:pStyle w:val="ONUME"/>
              <w:numPr>
                <w:ilvl w:val="0"/>
                <w:numId w:val="0"/>
              </w:numPr>
              <w:rPr>
                <w:sz w:val="18"/>
                <w:szCs w:val="18"/>
                <w:lang w:val="es-ES"/>
              </w:rPr>
            </w:pPr>
            <w:r w:rsidRPr="00804BF4">
              <w:rPr>
                <w:sz w:val="18"/>
                <w:szCs w:val="18"/>
                <w:lang w:val="es-ES"/>
              </w:rPr>
              <w:t xml:space="preserve">Rec. 1.  </w:t>
            </w:r>
            <w:r w:rsidR="00933841" w:rsidRPr="00804BF4">
              <w:rPr>
                <w:sz w:val="18"/>
                <w:szCs w:val="18"/>
                <w:lang w:val="es-ES"/>
              </w:rPr>
              <w:t>La Asamblea General de la OMPI debe examinar el marco de gobernanza de la OMPI así como sus prácticas vigentes con miras a reforzar la capacidad de los órganos rectores de orientar y supervisar la labor de la organización. Con ese fin, puede que los Estados miembros deseen considerar en sus deliberaciones las opciones que se proponen en el presente informe.</w:t>
            </w:r>
          </w:p>
        </w:tc>
        <w:tc>
          <w:tcPr>
            <w:tcW w:w="1701" w:type="dxa"/>
            <w:tcBorders>
              <w:top w:val="single" w:sz="4" w:space="0" w:color="auto"/>
            </w:tcBorders>
            <w:tcMar>
              <w:top w:w="113" w:type="dxa"/>
            </w:tcMar>
          </w:tcPr>
          <w:p w:rsidR="00D51C8D" w:rsidRPr="00804BF4" w:rsidRDefault="00860405" w:rsidP="00860405">
            <w:pPr>
              <w:pStyle w:val="ONUME"/>
              <w:numPr>
                <w:ilvl w:val="0"/>
                <w:numId w:val="0"/>
              </w:numPr>
              <w:rPr>
                <w:sz w:val="18"/>
                <w:szCs w:val="18"/>
                <w:lang w:val="es-ES"/>
              </w:rPr>
            </w:pPr>
            <w:r w:rsidRPr="00804BF4">
              <w:rPr>
                <w:rFonts w:eastAsia="Calibri"/>
                <w:sz w:val="18"/>
                <w:szCs w:val="18"/>
                <w:lang w:val="es-ES"/>
              </w:rPr>
              <w:t>Subdirector General y Jefe de Gabinete</w:t>
            </w:r>
          </w:p>
        </w:tc>
        <w:tc>
          <w:tcPr>
            <w:tcW w:w="1287" w:type="dxa"/>
            <w:shd w:val="clear" w:color="auto" w:fill="auto"/>
            <w:tcMar>
              <w:top w:w="113" w:type="dxa"/>
            </w:tcMar>
          </w:tcPr>
          <w:p w:rsidR="00D51C8D" w:rsidRPr="00804BF4" w:rsidRDefault="00DB4BB6" w:rsidP="00DB4BB6">
            <w:pPr>
              <w:pStyle w:val="ONUME"/>
              <w:numPr>
                <w:ilvl w:val="0"/>
                <w:numId w:val="0"/>
              </w:numPr>
              <w:rPr>
                <w:sz w:val="18"/>
                <w:szCs w:val="18"/>
                <w:lang w:val="es-ES"/>
              </w:rPr>
            </w:pPr>
            <w:r w:rsidRPr="00804BF4">
              <w:rPr>
                <w:sz w:val="18"/>
                <w:szCs w:val="18"/>
                <w:lang w:val="es-ES"/>
              </w:rPr>
              <w:t>Objeto de examen</w:t>
            </w:r>
          </w:p>
        </w:tc>
        <w:tc>
          <w:tcPr>
            <w:tcW w:w="1548" w:type="dxa"/>
            <w:shd w:val="clear" w:color="auto" w:fill="auto"/>
            <w:tcMar>
              <w:top w:w="113" w:type="dxa"/>
            </w:tcMar>
          </w:tcPr>
          <w:p w:rsidR="00D51C8D" w:rsidRPr="00804BF4" w:rsidRDefault="00D51C8D" w:rsidP="00D166D7">
            <w:pPr>
              <w:pStyle w:val="ONUME"/>
              <w:numPr>
                <w:ilvl w:val="0"/>
                <w:numId w:val="0"/>
              </w:numPr>
              <w:rPr>
                <w:b/>
                <w:sz w:val="18"/>
                <w:szCs w:val="18"/>
                <w:lang w:val="es-ES"/>
              </w:rPr>
            </w:pPr>
          </w:p>
        </w:tc>
        <w:tc>
          <w:tcPr>
            <w:tcW w:w="3084" w:type="dxa"/>
            <w:tcBorders>
              <w:top w:val="single" w:sz="4" w:space="0" w:color="auto"/>
            </w:tcBorders>
            <w:tcMar>
              <w:top w:w="113" w:type="dxa"/>
            </w:tcMar>
          </w:tcPr>
          <w:p w:rsidR="00D51C8D" w:rsidRPr="00804BF4" w:rsidRDefault="00DB4BB6" w:rsidP="00AD6D5F">
            <w:pPr>
              <w:pStyle w:val="ONUME"/>
              <w:numPr>
                <w:ilvl w:val="0"/>
                <w:numId w:val="0"/>
              </w:numPr>
              <w:rPr>
                <w:sz w:val="18"/>
                <w:szCs w:val="18"/>
                <w:lang w:val="es-ES"/>
              </w:rPr>
            </w:pPr>
            <w:r w:rsidRPr="00804BF4">
              <w:rPr>
                <w:rFonts w:eastAsia="Calibri"/>
                <w:sz w:val="18"/>
                <w:szCs w:val="18"/>
                <w:lang w:val="es-ES"/>
              </w:rPr>
              <w:t>El 30 de mayo de 2014 se envió una carta del Director General de la OMPI a la Presidenta de la Asamblea General de la OMPI, señalando a su atención esa recomendación.</w:t>
            </w:r>
            <w:r w:rsidR="00EC6D92" w:rsidRPr="00804BF4">
              <w:rPr>
                <w:rFonts w:eastAsia="Calibri"/>
                <w:sz w:val="18"/>
                <w:szCs w:val="18"/>
                <w:lang w:val="es-ES"/>
              </w:rPr>
              <w:t xml:space="preserve"> </w:t>
            </w:r>
            <w:r w:rsidR="008579C3" w:rsidRPr="00804BF4">
              <w:rPr>
                <w:rFonts w:eastAsia="Calibri"/>
                <w:sz w:val="18"/>
                <w:szCs w:val="18"/>
                <w:lang w:val="es-ES"/>
              </w:rPr>
              <w:t xml:space="preserve"> </w:t>
            </w:r>
            <w:r w:rsidR="00860405" w:rsidRPr="00804BF4">
              <w:rPr>
                <w:rFonts w:eastAsia="Calibri"/>
                <w:sz w:val="18"/>
                <w:szCs w:val="18"/>
                <w:lang w:val="es-ES"/>
              </w:rPr>
              <w:t>La gobernanza fue objeto de examen durante la </w:t>
            </w:r>
            <w:r w:rsidR="008579C3" w:rsidRPr="00804BF4">
              <w:rPr>
                <w:rFonts w:eastAsia="Calibri"/>
                <w:sz w:val="18"/>
                <w:szCs w:val="18"/>
                <w:lang w:val="es-ES"/>
              </w:rPr>
              <w:t>22</w:t>
            </w:r>
            <w:r w:rsidR="00860405" w:rsidRPr="00804BF4">
              <w:rPr>
                <w:rFonts w:eastAsia="Calibri"/>
                <w:sz w:val="18"/>
                <w:szCs w:val="18"/>
                <w:vertAlign w:val="superscript"/>
                <w:lang w:val="es-ES"/>
              </w:rPr>
              <w:t>ª</w:t>
            </w:r>
            <w:r w:rsidR="008579C3" w:rsidRPr="00804BF4">
              <w:rPr>
                <w:rFonts w:eastAsia="Calibri"/>
                <w:sz w:val="18"/>
                <w:szCs w:val="18"/>
                <w:lang w:val="es-ES"/>
              </w:rPr>
              <w:t xml:space="preserve"> </w:t>
            </w:r>
            <w:r w:rsidR="001B7865" w:rsidRPr="00804BF4">
              <w:rPr>
                <w:rFonts w:eastAsia="Calibri"/>
                <w:sz w:val="18"/>
                <w:szCs w:val="18"/>
                <w:lang w:val="es-ES"/>
              </w:rPr>
              <w:t>sesión</w:t>
            </w:r>
            <w:r w:rsidR="008579C3" w:rsidRPr="00804BF4">
              <w:rPr>
                <w:rFonts w:eastAsia="Calibri"/>
                <w:sz w:val="18"/>
                <w:szCs w:val="18"/>
                <w:lang w:val="es-ES"/>
              </w:rPr>
              <w:t xml:space="preserve"> </w:t>
            </w:r>
            <w:r w:rsidR="00860405" w:rsidRPr="00804BF4">
              <w:rPr>
                <w:rFonts w:eastAsia="Calibri"/>
                <w:sz w:val="18"/>
                <w:szCs w:val="18"/>
                <w:lang w:val="es-ES"/>
              </w:rPr>
              <w:t xml:space="preserve">del </w:t>
            </w:r>
            <w:r w:rsidR="008579C3" w:rsidRPr="00804BF4">
              <w:rPr>
                <w:rFonts w:eastAsia="Calibri"/>
                <w:sz w:val="18"/>
                <w:szCs w:val="18"/>
                <w:lang w:val="es-ES"/>
              </w:rPr>
              <w:t>PBC</w:t>
            </w:r>
            <w:r w:rsidR="00860405" w:rsidRPr="00804BF4">
              <w:rPr>
                <w:rFonts w:eastAsia="Calibri"/>
                <w:sz w:val="18"/>
                <w:szCs w:val="18"/>
                <w:lang w:val="es-ES"/>
              </w:rPr>
              <w:t>,</w:t>
            </w:r>
            <w:r w:rsidR="008579C3" w:rsidRPr="00804BF4">
              <w:rPr>
                <w:rFonts w:eastAsia="Calibri"/>
                <w:sz w:val="18"/>
                <w:szCs w:val="18"/>
                <w:lang w:val="es-ES"/>
              </w:rPr>
              <w:t xml:space="preserve"> </w:t>
            </w:r>
            <w:r w:rsidR="00860405" w:rsidRPr="00804BF4">
              <w:rPr>
                <w:rFonts w:eastAsia="Calibri"/>
                <w:sz w:val="18"/>
                <w:szCs w:val="18"/>
                <w:lang w:val="es-ES"/>
              </w:rPr>
              <w:t>e</w:t>
            </w:r>
            <w:r w:rsidR="008579C3" w:rsidRPr="00804BF4">
              <w:rPr>
                <w:rFonts w:eastAsia="Calibri"/>
                <w:sz w:val="18"/>
                <w:szCs w:val="18"/>
                <w:lang w:val="es-ES"/>
              </w:rPr>
              <w:t xml:space="preserve">n </w:t>
            </w:r>
            <w:r w:rsidR="001B7865" w:rsidRPr="00804BF4">
              <w:rPr>
                <w:rFonts w:eastAsia="Calibri"/>
                <w:sz w:val="18"/>
                <w:szCs w:val="18"/>
                <w:lang w:val="es-ES"/>
              </w:rPr>
              <w:t>septiembre</w:t>
            </w:r>
            <w:r w:rsidR="008579C3" w:rsidRPr="00804BF4">
              <w:rPr>
                <w:rFonts w:eastAsia="Calibri"/>
                <w:sz w:val="18"/>
                <w:szCs w:val="18"/>
                <w:lang w:val="es-ES"/>
              </w:rPr>
              <w:t xml:space="preserve"> </w:t>
            </w:r>
            <w:r w:rsidR="00860405" w:rsidRPr="00804BF4">
              <w:rPr>
                <w:rFonts w:eastAsia="Calibri"/>
                <w:sz w:val="18"/>
                <w:szCs w:val="18"/>
                <w:lang w:val="es-ES"/>
              </w:rPr>
              <w:t xml:space="preserve">de </w:t>
            </w:r>
            <w:r w:rsidR="008579C3" w:rsidRPr="00804BF4">
              <w:rPr>
                <w:rFonts w:eastAsia="Calibri"/>
                <w:sz w:val="18"/>
                <w:szCs w:val="18"/>
                <w:lang w:val="es-ES"/>
              </w:rPr>
              <w:t>2014, as</w:t>
            </w:r>
            <w:r w:rsidR="00860405" w:rsidRPr="00804BF4">
              <w:rPr>
                <w:rFonts w:eastAsia="Calibri"/>
                <w:sz w:val="18"/>
                <w:szCs w:val="18"/>
                <w:lang w:val="es-ES"/>
              </w:rPr>
              <w:t xml:space="preserve">í como en la serie de reuniones de las Asambleas </w:t>
            </w:r>
            <w:r w:rsidR="00AD6D5F" w:rsidRPr="00804BF4">
              <w:rPr>
                <w:rFonts w:eastAsia="Calibri"/>
                <w:sz w:val="18"/>
                <w:szCs w:val="18"/>
                <w:lang w:val="es-ES"/>
              </w:rPr>
              <w:t>d</w:t>
            </w:r>
            <w:r w:rsidR="00860405" w:rsidRPr="00804BF4">
              <w:rPr>
                <w:rFonts w:eastAsia="Calibri"/>
                <w:sz w:val="18"/>
                <w:szCs w:val="18"/>
                <w:lang w:val="es-ES"/>
              </w:rPr>
              <w:t>el mismo año</w:t>
            </w:r>
            <w:r w:rsidR="008579C3" w:rsidRPr="00804BF4">
              <w:rPr>
                <w:rFonts w:eastAsia="Calibri"/>
                <w:sz w:val="18"/>
                <w:szCs w:val="18"/>
                <w:lang w:val="es-ES"/>
              </w:rPr>
              <w:t>.</w:t>
            </w:r>
            <w:r w:rsidR="00860405" w:rsidRPr="00804BF4">
              <w:rPr>
                <w:rFonts w:eastAsia="Calibri"/>
                <w:sz w:val="18"/>
                <w:szCs w:val="18"/>
                <w:lang w:val="es-ES"/>
              </w:rPr>
              <w:t xml:space="preserve"> </w:t>
            </w:r>
            <w:r w:rsidR="008579C3" w:rsidRPr="00804BF4">
              <w:rPr>
                <w:rFonts w:eastAsia="Calibri"/>
                <w:sz w:val="18"/>
                <w:szCs w:val="18"/>
                <w:lang w:val="es-ES"/>
              </w:rPr>
              <w:t xml:space="preserve"> </w:t>
            </w:r>
            <w:r w:rsidR="00860405" w:rsidRPr="00804BF4">
              <w:rPr>
                <w:rFonts w:eastAsia="Calibri"/>
                <w:sz w:val="18"/>
                <w:szCs w:val="18"/>
                <w:lang w:val="es-ES"/>
              </w:rPr>
              <w:t xml:space="preserve">Los Estados miembros decidieron incluir ese punto en el orden del día de la siguiente sesión </w:t>
            </w:r>
            <w:r w:rsidR="008579C3" w:rsidRPr="00804BF4">
              <w:rPr>
                <w:rFonts w:eastAsia="Calibri"/>
                <w:sz w:val="18"/>
                <w:szCs w:val="18"/>
                <w:lang w:val="es-ES"/>
              </w:rPr>
              <w:t>(</w:t>
            </w:r>
            <w:r w:rsidR="00860405" w:rsidRPr="00804BF4">
              <w:rPr>
                <w:rFonts w:eastAsia="Calibri"/>
                <w:sz w:val="18"/>
                <w:szCs w:val="18"/>
                <w:lang w:val="es-ES"/>
              </w:rPr>
              <w:t xml:space="preserve">verano </w:t>
            </w:r>
            <w:r w:rsidR="00DA211F" w:rsidRPr="00804BF4">
              <w:rPr>
                <w:rFonts w:eastAsia="Calibri"/>
                <w:sz w:val="18"/>
                <w:szCs w:val="18"/>
                <w:lang w:val="es-ES"/>
              </w:rPr>
              <w:t>de</w:t>
            </w:r>
            <w:r w:rsidR="00860405" w:rsidRPr="00804BF4">
              <w:rPr>
                <w:rFonts w:eastAsia="Calibri"/>
                <w:sz w:val="18"/>
                <w:szCs w:val="18"/>
                <w:lang w:val="es-ES"/>
              </w:rPr>
              <w:t> </w:t>
            </w:r>
            <w:r w:rsidR="008579C3" w:rsidRPr="00804BF4">
              <w:rPr>
                <w:rFonts w:eastAsia="Calibri"/>
                <w:sz w:val="18"/>
                <w:szCs w:val="18"/>
                <w:lang w:val="es-ES"/>
              </w:rPr>
              <w:t xml:space="preserve">2015) </w:t>
            </w:r>
            <w:r w:rsidR="00860405" w:rsidRPr="00804BF4">
              <w:rPr>
                <w:rFonts w:eastAsia="Calibri"/>
                <w:sz w:val="18"/>
                <w:szCs w:val="18"/>
                <w:lang w:val="es-ES"/>
              </w:rPr>
              <w:t>del</w:t>
            </w:r>
            <w:r w:rsidR="008579C3" w:rsidRPr="00804BF4">
              <w:rPr>
                <w:rFonts w:eastAsia="Calibri"/>
                <w:sz w:val="18"/>
                <w:szCs w:val="18"/>
                <w:lang w:val="es-ES"/>
              </w:rPr>
              <w:t xml:space="preserve"> PBC.</w:t>
            </w:r>
          </w:p>
        </w:tc>
      </w:tr>
      <w:tr w:rsidR="001B7865" w:rsidRPr="00804BF4" w:rsidTr="00EC6D92">
        <w:trPr>
          <w:trHeight w:val="2953"/>
        </w:trPr>
        <w:tc>
          <w:tcPr>
            <w:tcW w:w="1951" w:type="dxa"/>
            <w:tcMar>
              <w:top w:w="113" w:type="dxa"/>
            </w:tcMar>
          </w:tcPr>
          <w:p w:rsidR="00D51C8D" w:rsidRPr="00804BF4" w:rsidRDefault="00882072" w:rsidP="00DB4BB6">
            <w:pPr>
              <w:pStyle w:val="ONUME"/>
              <w:numPr>
                <w:ilvl w:val="0"/>
                <w:numId w:val="0"/>
              </w:numPr>
              <w:rPr>
                <w:sz w:val="18"/>
                <w:szCs w:val="18"/>
                <w:lang w:val="es-ES"/>
              </w:rPr>
            </w:pPr>
            <w:r w:rsidRPr="00804BF4">
              <w:rPr>
                <w:sz w:val="18"/>
                <w:szCs w:val="18"/>
                <w:lang w:val="es-ES"/>
              </w:rPr>
              <w:t xml:space="preserve">Rec. 2.  </w:t>
            </w:r>
            <w:r w:rsidR="00933841" w:rsidRPr="00804BF4">
              <w:rPr>
                <w:sz w:val="18"/>
                <w:szCs w:val="18"/>
                <w:lang w:val="es-ES"/>
              </w:rPr>
              <w:t>El Director General debe velar por que se establezca un mandato claro y actualizado para todas las unidades organizativas de la OMPI y exponer dicho mandato en las órdenes de servicio que proceda, en particular, cada vez que se lleve a cabo una reorganización interna.</w:t>
            </w:r>
          </w:p>
        </w:tc>
        <w:tc>
          <w:tcPr>
            <w:tcW w:w="1701" w:type="dxa"/>
            <w:tcMar>
              <w:top w:w="113" w:type="dxa"/>
            </w:tcMar>
          </w:tcPr>
          <w:p w:rsidR="00D51C8D" w:rsidRPr="00804BF4" w:rsidRDefault="00DB4BB6" w:rsidP="00933841">
            <w:pPr>
              <w:pStyle w:val="ONUME"/>
              <w:numPr>
                <w:ilvl w:val="0"/>
                <w:numId w:val="0"/>
              </w:numPr>
              <w:rPr>
                <w:sz w:val="18"/>
                <w:szCs w:val="18"/>
                <w:lang w:val="es-ES"/>
              </w:rPr>
            </w:pPr>
            <w:r w:rsidRPr="00804BF4">
              <w:rPr>
                <w:sz w:val="18"/>
                <w:szCs w:val="18"/>
                <w:lang w:val="es-ES"/>
              </w:rPr>
              <w:t>Directora del Dep</w:t>
            </w:r>
            <w:r w:rsidR="00933841" w:rsidRPr="00804BF4">
              <w:rPr>
                <w:sz w:val="18"/>
                <w:szCs w:val="18"/>
                <w:lang w:val="es-ES"/>
              </w:rPr>
              <w:t>artamento</w:t>
            </w:r>
            <w:r w:rsidRPr="00804BF4">
              <w:rPr>
                <w:sz w:val="18"/>
                <w:szCs w:val="18"/>
                <w:lang w:val="es-ES"/>
              </w:rPr>
              <w:t xml:space="preserve"> de </w:t>
            </w:r>
            <w:r w:rsidR="00933841" w:rsidRPr="00804BF4">
              <w:rPr>
                <w:sz w:val="18"/>
                <w:szCs w:val="18"/>
                <w:lang w:val="es-ES"/>
              </w:rPr>
              <w:t>Gestión de los Recursos Humanos</w:t>
            </w:r>
          </w:p>
        </w:tc>
        <w:tc>
          <w:tcPr>
            <w:tcW w:w="1287" w:type="dxa"/>
            <w:tcMar>
              <w:top w:w="113" w:type="dxa"/>
            </w:tcMar>
          </w:tcPr>
          <w:p w:rsidR="00D51C8D" w:rsidRPr="00804BF4" w:rsidRDefault="00DB4BB6" w:rsidP="00DB4BB6">
            <w:pPr>
              <w:pStyle w:val="ONUME"/>
              <w:numPr>
                <w:ilvl w:val="0"/>
                <w:numId w:val="0"/>
              </w:numPr>
              <w:rPr>
                <w:sz w:val="18"/>
                <w:szCs w:val="18"/>
                <w:lang w:val="es-ES"/>
              </w:rPr>
            </w:pPr>
            <w:r w:rsidRPr="00804BF4">
              <w:rPr>
                <w:sz w:val="18"/>
                <w:szCs w:val="18"/>
                <w:lang w:val="es-ES"/>
              </w:rPr>
              <w:t>Aceptada</w:t>
            </w:r>
          </w:p>
        </w:tc>
        <w:tc>
          <w:tcPr>
            <w:tcW w:w="1548" w:type="dxa"/>
            <w:tcMar>
              <w:top w:w="113" w:type="dxa"/>
            </w:tcMar>
          </w:tcPr>
          <w:p w:rsidR="00D51C8D" w:rsidRPr="00804BF4" w:rsidRDefault="00DB4BB6" w:rsidP="00DB4BB6">
            <w:pPr>
              <w:pStyle w:val="ONUME"/>
              <w:numPr>
                <w:ilvl w:val="0"/>
                <w:numId w:val="0"/>
              </w:numPr>
              <w:rPr>
                <w:sz w:val="18"/>
                <w:szCs w:val="18"/>
                <w:lang w:val="es-ES"/>
              </w:rPr>
            </w:pPr>
            <w:r w:rsidRPr="00804BF4">
              <w:rPr>
                <w:sz w:val="18"/>
                <w:szCs w:val="18"/>
                <w:lang w:val="es-ES"/>
              </w:rPr>
              <w:t>Aplicada</w:t>
            </w:r>
          </w:p>
        </w:tc>
        <w:tc>
          <w:tcPr>
            <w:tcW w:w="3084" w:type="dxa"/>
            <w:tcMar>
              <w:top w:w="113" w:type="dxa"/>
            </w:tcMar>
          </w:tcPr>
          <w:p w:rsidR="00D51C8D" w:rsidRPr="00804BF4" w:rsidRDefault="00933841" w:rsidP="008579C3">
            <w:pPr>
              <w:pStyle w:val="ONUME"/>
              <w:numPr>
                <w:ilvl w:val="0"/>
                <w:numId w:val="0"/>
              </w:numPr>
              <w:rPr>
                <w:sz w:val="18"/>
                <w:szCs w:val="18"/>
                <w:lang w:val="es-ES"/>
              </w:rPr>
            </w:pPr>
            <w:r w:rsidRPr="00804BF4">
              <w:rPr>
                <w:sz w:val="18"/>
                <w:szCs w:val="18"/>
                <w:lang w:val="es-ES"/>
              </w:rPr>
              <w:t>Tras el nombramiento del nuevo Equipo Directivo Superior, esta recomendación ha sido aplicada</w:t>
            </w:r>
            <w:r w:rsidR="008579C3" w:rsidRPr="00804BF4">
              <w:rPr>
                <w:sz w:val="18"/>
                <w:szCs w:val="18"/>
                <w:lang w:val="es-ES"/>
              </w:rPr>
              <w:t>.</w:t>
            </w:r>
          </w:p>
        </w:tc>
      </w:tr>
      <w:tr w:rsidR="001B7865" w:rsidRPr="00804BF4" w:rsidTr="00EC6D92">
        <w:tc>
          <w:tcPr>
            <w:tcW w:w="1951" w:type="dxa"/>
            <w:tcMar>
              <w:top w:w="113" w:type="dxa"/>
            </w:tcMar>
          </w:tcPr>
          <w:p w:rsidR="00D51C8D" w:rsidRPr="00804BF4" w:rsidRDefault="00882072" w:rsidP="00DB4BB6">
            <w:pPr>
              <w:pStyle w:val="ONUME"/>
              <w:numPr>
                <w:ilvl w:val="0"/>
                <w:numId w:val="0"/>
              </w:numPr>
              <w:rPr>
                <w:sz w:val="18"/>
                <w:szCs w:val="18"/>
                <w:lang w:val="es-ES"/>
              </w:rPr>
            </w:pPr>
            <w:r w:rsidRPr="00804BF4">
              <w:rPr>
                <w:sz w:val="18"/>
                <w:szCs w:val="18"/>
                <w:lang w:val="es-ES"/>
              </w:rPr>
              <w:t xml:space="preserve">Rec. 3.  </w:t>
            </w:r>
            <w:r w:rsidR="00933841" w:rsidRPr="00804BF4">
              <w:rPr>
                <w:sz w:val="18"/>
                <w:szCs w:val="18"/>
                <w:lang w:val="es-ES"/>
              </w:rPr>
              <w:t>El Director General debe atribuir un amplio mandato a los órganos de gestión antes de finales de 2014 y ponerlo en conocimiento de los órganos rectores pertinentes de la OMPI.</w:t>
            </w:r>
          </w:p>
        </w:tc>
        <w:tc>
          <w:tcPr>
            <w:tcW w:w="1701" w:type="dxa"/>
            <w:tcMar>
              <w:top w:w="113" w:type="dxa"/>
            </w:tcMar>
          </w:tcPr>
          <w:p w:rsidR="00D51C8D" w:rsidRPr="00804BF4" w:rsidRDefault="00933841" w:rsidP="00D166D7">
            <w:pPr>
              <w:pStyle w:val="ONUME"/>
              <w:numPr>
                <w:ilvl w:val="0"/>
                <w:numId w:val="0"/>
              </w:numPr>
              <w:rPr>
                <w:sz w:val="18"/>
                <w:szCs w:val="18"/>
                <w:lang w:val="es-ES"/>
              </w:rPr>
            </w:pPr>
            <w:r w:rsidRPr="00804BF4">
              <w:rPr>
                <w:rFonts w:eastAsia="Calibri"/>
                <w:sz w:val="18"/>
                <w:szCs w:val="18"/>
                <w:lang w:val="es-ES"/>
              </w:rPr>
              <w:t>Subdirector General y Jefe de Gabinete</w:t>
            </w:r>
          </w:p>
        </w:tc>
        <w:tc>
          <w:tcPr>
            <w:tcW w:w="1287" w:type="dxa"/>
            <w:tcMar>
              <w:top w:w="113" w:type="dxa"/>
            </w:tcMar>
          </w:tcPr>
          <w:p w:rsidR="00D51C8D" w:rsidRPr="00804BF4" w:rsidRDefault="00DB4BB6" w:rsidP="00DB4BB6">
            <w:pPr>
              <w:pStyle w:val="ONUME"/>
              <w:numPr>
                <w:ilvl w:val="0"/>
                <w:numId w:val="0"/>
              </w:numPr>
              <w:rPr>
                <w:sz w:val="18"/>
                <w:szCs w:val="18"/>
                <w:lang w:val="es-ES"/>
              </w:rPr>
            </w:pPr>
            <w:r w:rsidRPr="00804BF4">
              <w:rPr>
                <w:sz w:val="18"/>
                <w:szCs w:val="18"/>
                <w:lang w:val="es-ES"/>
              </w:rPr>
              <w:t>Aceptada</w:t>
            </w:r>
          </w:p>
        </w:tc>
        <w:tc>
          <w:tcPr>
            <w:tcW w:w="1548" w:type="dxa"/>
            <w:tcMar>
              <w:top w:w="113" w:type="dxa"/>
            </w:tcMar>
          </w:tcPr>
          <w:p w:rsidR="00D51C8D" w:rsidRPr="00804BF4" w:rsidRDefault="00DB4BB6" w:rsidP="00DB4BB6">
            <w:pPr>
              <w:pStyle w:val="ONUME"/>
              <w:numPr>
                <w:ilvl w:val="0"/>
                <w:numId w:val="0"/>
              </w:numPr>
              <w:rPr>
                <w:sz w:val="18"/>
                <w:szCs w:val="18"/>
                <w:lang w:val="es-ES"/>
              </w:rPr>
            </w:pPr>
            <w:r w:rsidRPr="00804BF4">
              <w:rPr>
                <w:sz w:val="18"/>
                <w:szCs w:val="18"/>
                <w:lang w:val="es-ES"/>
              </w:rPr>
              <w:t>Aplicada</w:t>
            </w:r>
          </w:p>
        </w:tc>
        <w:tc>
          <w:tcPr>
            <w:tcW w:w="3084" w:type="dxa"/>
            <w:tcMar>
              <w:top w:w="113" w:type="dxa"/>
            </w:tcMar>
          </w:tcPr>
          <w:p w:rsidR="00D51C8D" w:rsidRPr="00804BF4" w:rsidRDefault="00933841" w:rsidP="001B7865">
            <w:pPr>
              <w:pStyle w:val="ONUME"/>
              <w:numPr>
                <w:ilvl w:val="0"/>
                <w:numId w:val="0"/>
              </w:numPr>
              <w:rPr>
                <w:sz w:val="18"/>
                <w:szCs w:val="18"/>
                <w:lang w:val="es-ES"/>
              </w:rPr>
            </w:pPr>
            <w:r w:rsidRPr="00804BF4">
              <w:rPr>
                <w:rFonts w:eastAsia="Calibri"/>
                <w:sz w:val="18"/>
                <w:szCs w:val="18"/>
                <w:lang w:val="es-ES"/>
              </w:rPr>
              <w:t>El mandato del Equipo Directivo Superior y de las reuniones del personal directivo</w:t>
            </w:r>
            <w:r w:rsidR="006D76E9" w:rsidRPr="00804BF4">
              <w:rPr>
                <w:rFonts w:eastAsia="Calibri"/>
                <w:sz w:val="18"/>
                <w:szCs w:val="18"/>
                <w:lang w:val="es-ES"/>
              </w:rPr>
              <w:t xml:space="preserve"> fue publicado como orden d</w:t>
            </w:r>
            <w:r w:rsidR="001B7865" w:rsidRPr="00804BF4">
              <w:rPr>
                <w:rFonts w:eastAsia="Calibri"/>
                <w:sz w:val="18"/>
                <w:szCs w:val="18"/>
                <w:lang w:val="es-ES"/>
              </w:rPr>
              <w:t>e servicio el 1 de diciembre de </w:t>
            </w:r>
            <w:r w:rsidR="00EC6D92" w:rsidRPr="00804BF4">
              <w:rPr>
                <w:rFonts w:eastAsia="Calibri"/>
                <w:sz w:val="18"/>
                <w:szCs w:val="18"/>
                <w:lang w:val="es-ES"/>
              </w:rPr>
              <w:t>2014.</w:t>
            </w:r>
            <w:r w:rsidR="002F4C82" w:rsidRPr="00804BF4">
              <w:rPr>
                <w:rFonts w:eastAsia="Calibri"/>
                <w:sz w:val="18"/>
                <w:szCs w:val="18"/>
                <w:lang w:val="es-ES"/>
              </w:rPr>
              <w:t xml:space="preserve"> </w:t>
            </w:r>
            <w:r w:rsidR="006D76E9" w:rsidRPr="00804BF4">
              <w:rPr>
                <w:rFonts w:eastAsia="Calibri"/>
                <w:sz w:val="18"/>
                <w:szCs w:val="18"/>
                <w:lang w:val="es-ES"/>
              </w:rPr>
              <w:t xml:space="preserve"> </w:t>
            </w:r>
            <w:r w:rsidR="00DB4BB6" w:rsidRPr="00804BF4">
              <w:rPr>
                <w:rFonts w:eastAsia="Calibri"/>
                <w:sz w:val="18"/>
                <w:szCs w:val="18"/>
                <w:lang w:val="es-ES"/>
              </w:rPr>
              <w:t>Ya se han proporcionado a la DCI los mandatos completos de otros órganos de gestión internos.</w:t>
            </w:r>
          </w:p>
        </w:tc>
      </w:tr>
      <w:tr w:rsidR="001B7865" w:rsidRPr="00804BF4" w:rsidTr="001136B1">
        <w:tc>
          <w:tcPr>
            <w:tcW w:w="1951" w:type="dxa"/>
            <w:tcMar>
              <w:top w:w="113" w:type="dxa"/>
            </w:tcMar>
          </w:tcPr>
          <w:p w:rsidR="00D51C8D" w:rsidRPr="00804BF4" w:rsidRDefault="00882072" w:rsidP="00DB4BB6">
            <w:pPr>
              <w:pStyle w:val="ONUME"/>
              <w:keepNext/>
              <w:keepLines/>
              <w:numPr>
                <w:ilvl w:val="0"/>
                <w:numId w:val="0"/>
              </w:numPr>
              <w:rPr>
                <w:sz w:val="18"/>
                <w:szCs w:val="18"/>
                <w:lang w:val="es-ES"/>
              </w:rPr>
            </w:pPr>
            <w:r w:rsidRPr="00804BF4">
              <w:rPr>
                <w:sz w:val="18"/>
                <w:szCs w:val="18"/>
                <w:lang w:val="es-ES"/>
              </w:rPr>
              <w:lastRenderedPageBreak/>
              <w:t xml:space="preserve">Rec. 4.  </w:t>
            </w:r>
            <w:r w:rsidR="00933841" w:rsidRPr="00804BF4">
              <w:rPr>
                <w:sz w:val="18"/>
                <w:szCs w:val="18"/>
                <w:lang w:val="es-ES"/>
              </w:rPr>
              <w:t>El Director General debe pedir a la División de Auditoría y Supervisión Internas que prevea en su plan de actividades la realización de una serie de evaluaciones de las iniciativas tomadas en el marco del Programa de Alineación Estratégica (PAE) así como de sus resultados a fin de aprovechar las enseñanzas adquiridas, respaldando así al personal directivo de la OMPI durante las siguientes fases del proceso de reforma de la organización.</w:t>
            </w:r>
          </w:p>
        </w:tc>
        <w:tc>
          <w:tcPr>
            <w:tcW w:w="1701" w:type="dxa"/>
            <w:tcMar>
              <w:top w:w="113" w:type="dxa"/>
            </w:tcMar>
          </w:tcPr>
          <w:p w:rsidR="00D51C8D" w:rsidRPr="00804BF4" w:rsidRDefault="002F4C82" w:rsidP="006D76E9">
            <w:pPr>
              <w:pStyle w:val="ONUME"/>
              <w:keepNext/>
              <w:keepLines/>
              <w:numPr>
                <w:ilvl w:val="0"/>
                <w:numId w:val="0"/>
              </w:numPr>
              <w:rPr>
                <w:sz w:val="18"/>
                <w:szCs w:val="18"/>
                <w:lang w:val="es-ES"/>
              </w:rPr>
            </w:pPr>
            <w:r w:rsidRPr="00804BF4">
              <w:rPr>
                <w:sz w:val="18"/>
                <w:szCs w:val="18"/>
                <w:lang w:val="es-ES"/>
              </w:rPr>
              <w:t xml:space="preserve">Director, </w:t>
            </w:r>
            <w:r w:rsidR="001B7865" w:rsidRPr="00804BF4">
              <w:rPr>
                <w:sz w:val="18"/>
                <w:szCs w:val="18"/>
                <w:lang w:val="es-ES"/>
              </w:rPr>
              <w:t>División</w:t>
            </w:r>
            <w:r w:rsidR="006D76E9" w:rsidRPr="00804BF4">
              <w:rPr>
                <w:sz w:val="18"/>
                <w:szCs w:val="18"/>
                <w:lang w:val="es-ES"/>
              </w:rPr>
              <w:t xml:space="preserve"> de Supervisión Interna</w:t>
            </w:r>
          </w:p>
        </w:tc>
        <w:tc>
          <w:tcPr>
            <w:tcW w:w="1287" w:type="dxa"/>
            <w:tcMar>
              <w:top w:w="113" w:type="dxa"/>
            </w:tcMar>
          </w:tcPr>
          <w:p w:rsidR="00D51C8D" w:rsidRPr="00804BF4" w:rsidRDefault="00DB4BB6" w:rsidP="00DB4BB6">
            <w:pPr>
              <w:pStyle w:val="ONUME"/>
              <w:keepNext/>
              <w:keepLines/>
              <w:numPr>
                <w:ilvl w:val="0"/>
                <w:numId w:val="0"/>
              </w:numPr>
              <w:rPr>
                <w:sz w:val="18"/>
                <w:szCs w:val="18"/>
                <w:lang w:val="es-ES"/>
              </w:rPr>
            </w:pPr>
            <w:r w:rsidRPr="00804BF4">
              <w:rPr>
                <w:sz w:val="18"/>
                <w:szCs w:val="18"/>
                <w:lang w:val="es-ES"/>
              </w:rPr>
              <w:t>Aceptada</w:t>
            </w:r>
          </w:p>
        </w:tc>
        <w:tc>
          <w:tcPr>
            <w:tcW w:w="1548" w:type="dxa"/>
            <w:tcMar>
              <w:top w:w="113" w:type="dxa"/>
            </w:tcMar>
          </w:tcPr>
          <w:p w:rsidR="00D51C8D" w:rsidRPr="00804BF4" w:rsidRDefault="00DB4BB6" w:rsidP="00DB4BB6">
            <w:pPr>
              <w:pStyle w:val="ONUME"/>
              <w:keepNext/>
              <w:keepLines/>
              <w:numPr>
                <w:ilvl w:val="0"/>
                <w:numId w:val="0"/>
              </w:numPr>
              <w:rPr>
                <w:sz w:val="18"/>
                <w:szCs w:val="18"/>
                <w:lang w:val="es-ES"/>
              </w:rPr>
            </w:pPr>
            <w:r w:rsidRPr="00804BF4">
              <w:rPr>
                <w:sz w:val="18"/>
                <w:szCs w:val="18"/>
                <w:lang w:val="es-ES"/>
              </w:rPr>
              <w:t>Aplicada</w:t>
            </w:r>
          </w:p>
        </w:tc>
        <w:tc>
          <w:tcPr>
            <w:tcW w:w="3084" w:type="dxa"/>
            <w:tcMar>
              <w:top w:w="113" w:type="dxa"/>
              <w:bottom w:w="113" w:type="dxa"/>
            </w:tcMar>
          </w:tcPr>
          <w:p w:rsidR="00D51C8D" w:rsidRPr="00804BF4" w:rsidRDefault="00301613" w:rsidP="00DA211F">
            <w:pPr>
              <w:pStyle w:val="ONUME"/>
              <w:keepNext/>
              <w:keepLines/>
              <w:numPr>
                <w:ilvl w:val="0"/>
                <w:numId w:val="0"/>
              </w:numPr>
              <w:rPr>
                <w:sz w:val="18"/>
                <w:szCs w:val="18"/>
                <w:lang w:val="es-ES"/>
              </w:rPr>
            </w:pPr>
            <w:r w:rsidRPr="00804BF4">
              <w:rPr>
                <w:sz w:val="18"/>
                <w:szCs w:val="18"/>
                <w:lang w:val="es-ES"/>
              </w:rPr>
              <w:t xml:space="preserve">A principios de 2014, la DSI llevó a cabo la auditoría de la gestión por resultados emprendida específicamente como examen de una iniciativa del PAE en el marco de la prioridad central “Responsabilidad por los resultados”.  Igualmente, la DSI terminó la evaluación del intercambio de conocimientos en la </w:t>
            </w:r>
            <w:r w:rsidR="00DA211F" w:rsidRPr="00804BF4">
              <w:rPr>
                <w:sz w:val="18"/>
                <w:szCs w:val="18"/>
                <w:lang w:val="es-ES"/>
              </w:rPr>
              <w:t>OMPI,</w:t>
            </w:r>
            <w:r w:rsidRPr="00804BF4">
              <w:rPr>
                <w:sz w:val="18"/>
                <w:szCs w:val="18"/>
                <w:lang w:val="es-ES"/>
              </w:rPr>
              <w:t xml:space="preserve"> en la que se examinó detenidamente otra prioridad central del PAE, “Mancomunar esfuerzos”, </w:t>
            </w:r>
            <w:r w:rsidR="00DA211F" w:rsidRPr="00804BF4">
              <w:rPr>
                <w:sz w:val="18"/>
                <w:szCs w:val="18"/>
                <w:lang w:val="es-ES"/>
              </w:rPr>
              <w:t>así como</w:t>
            </w:r>
            <w:r w:rsidRPr="00804BF4">
              <w:rPr>
                <w:sz w:val="18"/>
                <w:szCs w:val="18"/>
                <w:lang w:val="es-ES"/>
              </w:rPr>
              <w:t xml:space="preserve"> una de sus actividades, “fortalecer la comunicación interna”. </w:t>
            </w:r>
            <w:r w:rsidR="006C6549" w:rsidRPr="00804BF4">
              <w:rPr>
                <w:sz w:val="18"/>
                <w:szCs w:val="18"/>
                <w:lang w:val="es-ES"/>
              </w:rPr>
              <w:t xml:space="preserve"> </w:t>
            </w:r>
            <w:r w:rsidR="001B6599" w:rsidRPr="00804BF4">
              <w:rPr>
                <w:sz w:val="18"/>
                <w:szCs w:val="18"/>
                <w:lang w:val="es-ES"/>
              </w:rPr>
              <w:t>La DSI complet</w:t>
            </w:r>
            <w:r w:rsidR="00DA211F" w:rsidRPr="00804BF4">
              <w:rPr>
                <w:sz w:val="18"/>
                <w:szCs w:val="18"/>
                <w:lang w:val="es-ES"/>
              </w:rPr>
              <w:t>ó</w:t>
            </w:r>
            <w:r w:rsidR="001B6599" w:rsidRPr="00804BF4">
              <w:rPr>
                <w:sz w:val="18"/>
                <w:szCs w:val="18"/>
                <w:lang w:val="es-ES"/>
              </w:rPr>
              <w:t xml:space="preserve"> también la </w:t>
            </w:r>
            <w:r w:rsidR="001B7865" w:rsidRPr="00804BF4">
              <w:rPr>
                <w:bCs/>
                <w:sz w:val="18"/>
                <w:szCs w:val="18"/>
                <w:lang w:val="es-ES"/>
              </w:rPr>
              <w:t>evaluación</w:t>
            </w:r>
            <w:r w:rsidR="006C6549" w:rsidRPr="00804BF4">
              <w:rPr>
                <w:bCs/>
                <w:sz w:val="18"/>
                <w:szCs w:val="18"/>
                <w:lang w:val="es-ES"/>
              </w:rPr>
              <w:t xml:space="preserve"> </w:t>
            </w:r>
            <w:r w:rsidR="001B6599" w:rsidRPr="00804BF4">
              <w:rPr>
                <w:bCs/>
                <w:sz w:val="18"/>
                <w:szCs w:val="18"/>
                <w:lang w:val="es-ES"/>
              </w:rPr>
              <w:t>del programa de recompensa y reconocimiento, relacionado con dos actividades del PAE</w:t>
            </w:r>
            <w:r w:rsidR="006C6549" w:rsidRPr="00804BF4">
              <w:rPr>
                <w:bCs/>
                <w:sz w:val="18"/>
                <w:szCs w:val="18"/>
                <w:lang w:val="es-ES"/>
              </w:rPr>
              <w:t>, “</w:t>
            </w:r>
            <w:r w:rsidR="001B6599" w:rsidRPr="00804BF4">
              <w:rPr>
                <w:bCs/>
                <w:sz w:val="18"/>
                <w:szCs w:val="18"/>
                <w:lang w:val="es-ES"/>
              </w:rPr>
              <w:t>Revisar el marco regulador propicio a la gestión de los recursos humanos</w:t>
            </w:r>
            <w:r w:rsidR="006C6549" w:rsidRPr="00804BF4">
              <w:rPr>
                <w:bCs/>
                <w:sz w:val="18"/>
                <w:szCs w:val="18"/>
                <w:lang w:val="es-ES"/>
              </w:rPr>
              <w:t xml:space="preserve">” </w:t>
            </w:r>
            <w:r w:rsidR="001B6599" w:rsidRPr="00804BF4">
              <w:rPr>
                <w:bCs/>
                <w:sz w:val="18"/>
                <w:szCs w:val="18"/>
                <w:lang w:val="es-ES"/>
              </w:rPr>
              <w:t>e</w:t>
            </w:r>
            <w:r w:rsidR="006C6549" w:rsidRPr="00804BF4">
              <w:rPr>
                <w:bCs/>
                <w:sz w:val="18"/>
                <w:szCs w:val="18"/>
                <w:lang w:val="es-ES"/>
              </w:rPr>
              <w:t xml:space="preserve"> “</w:t>
            </w:r>
            <w:r w:rsidR="001B6599" w:rsidRPr="00804BF4">
              <w:rPr>
                <w:bCs/>
                <w:sz w:val="18"/>
                <w:szCs w:val="18"/>
                <w:lang w:val="es-ES"/>
              </w:rPr>
              <w:t>Implantar el Sistema de gestión del desempeño y el perfeccionamiento del personal</w:t>
            </w:r>
            <w:r w:rsidR="006C6549" w:rsidRPr="00804BF4">
              <w:rPr>
                <w:bCs/>
                <w:sz w:val="18"/>
                <w:szCs w:val="18"/>
                <w:lang w:val="es-ES"/>
              </w:rPr>
              <w:t>” (</w:t>
            </w:r>
            <w:r w:rsidR="001B6599" w:rsidRPr="00804BF4">
              <w:rPr>
                <w:bCs/>
                <w:sz w:val="18"/>
                <w:szCs w:val="18"/>
                <w:lang w:val="es-ES"/>
              </w:rPr>
              <w:t>una actividad en el marco de “Responsabilidad por los resultados”</w:t>
            </w:r>
            <w:r w:rsidR="006C6549" w:rsidRPr="00804BF4">
              <w:rPr>
                <w:bCs/>
                <w:sz w:val="18"/>
                <w:szCs w:val="18"/>
                <w:lang w:val="es-ES"/>
              </w:rPr>
              <w:t xml:space="preserve">).  </w:t>
            </w:r>
            <w:r w:rsidR="00DB4BB6" w:rsidRPr="00804BF4">
              <w:rPr>
                <w:bCs/>
                <w:sz w:val="18"/>
                <w:szCs w:val="18"/>
                <w:lang w:val="es-ES"/>
              </w:rPr>
              <w:t xml:space="preserve">Entre otras auditorías que ya se han emprendido figura una auditoría del Programa de cese voluntario y una auditoría de migración de datos para </w:t>
            </w:r>
            <w:r w:rsidR="0077449B" w:rsidRPr="00804BF4">
              <w:rPr>
                <w:bCs/>
                <w:sz w:val="18"/>
                <w:szCs w:val="18"/>
                <w:lang w:val="es-ES"/>
              </w:rPr>
              <w:t>la PRI</w:t>
            </w:r>
            <w:r w:rsidR="00DB4BB6" w:rsidRPr="00804BF4">
              <w:rPr>
                <w:bCs/>
                <w:sz w:val="18"/>
                <w:szCs w:val="18"/>
                <w:lang w:val="es-ES"/>
              </w:rPr>
              <w:t>.  Los Auditores Externos efectuarán una auditoría de resultados de</w:t>
            </w:r>
            <w:r w:rsidR="0077449B" w:rsidRPr="00804BF4">
              <w:rPr>
                <w:bCs/>
                <w:sz w:val="18"/>
                <w:szCs w:val="18"/>
                <w:lang w:val="es-ES"/>
              </w:rPr>
              <w:t xml:space="preserve"> </w:t>
            </w:r>
            <w:r w:rsidR="00DB4BB6" w:rsidRPr="00804BF4">
              <w:rPr>
                <w:bCs/>
                <w:sz w:val="18"/>
                <w:szCs w:val="18"/>
                <w:lang w:val="es-ES"/>
              </w:rPr>
              <w:t>l</w:t>
            </w:r>
            <w:r w:rsidR="0077449B" w:rsidRPr="00804BF4">
              <w:rPr>
                <w:bCs/>
                <w:sz w:val="18"/>
                <w:szCs w:val="18"/>
                <w:lang w:val="es-ES"/>
              </w:rPr>
              <w:t>a</w:t>
            </w:r>
            <w:r w:rsidR="00DB4BB6" w:rsidRPr="00804BF4">
              <w:rPr>
                <w:bCs/>
                <w:sz w:val="18"/>
                <w:szCs w:val="18"/>
                <w:lang w:val="es-ES"/>
              </w:rPr>
              <w:t xml:space="preserve"> P</w:t>
            </w:r>
            <w:r w:rsidR="0077449B" w:rsidRPr="00804BF4">
              <w:rPr>
                <w:bCs/>
                <w:sz w:val="18"/>
                <w:szCs w:val="18"/>
                <w:lang w:val="es-ES"/>
              </w:rPr>
              <w:t>RI</w:t>
            </w:r>
            <w:r w:rsidR="00DB4BB6" w:rsidRPr="00804BF4">
              <w:rPr>
                <w:bCs/>
                <w:sz w:val="18"/>
                <w:szCs w:val="18"/>
                <w:lang w:val="es-ES"/>
              </w:rPr>
              <w:t>.</w:t>
            </w:r>
          </w:p>
        </w:tc>
      </w:tr>
      <w:tr w:rsidR="001B7865" w:rsidRPr="00804BF4" w:rsidTr="001136B1">
        <w:trPr>
          <w:trHeight w:val="2277"/>
        </w:trPr>
        <w:tc>
          <w:tcPr>
            <w:tcW w:w="1951" w:type="dxa"/>
            <w:tcMar>
              <w:top w:w="113" w:type="dxa"/>
            </w:tcMar>
          </w:tcPr>
          <w:p w:rsidR="00D51C8D" w:rsidRPr="00804BF4" w:rsidRDefault="00882072" w:rsidP="00DB4BB6">
            <w:pPr>
              <w:pStyle w:val="ONUME"/>
              <w:numPr>
                <w:ilvl w:val="0"/>
                <w:numId w:val="0"/>
              </w:numPr>
              <w:rPr>
                <w:sz w:val="18"/>
                <w:szCs w:val="18"/>
                <w:lang w:val="es-ES"/>
              </w:rPr>
            </w:pPr>
            <w:r w:rsidRPr="00804BF4">
              <w:rPr>
                <w:sz w:val="18"/>
                <w:szCs w:val="18"/>
                <w:lang w:val="es-ES"/>
              </w:rPr>
              <w:t xml:space="preserve">Rec. 5.  </w:t>
            </w:r>
            <w:r w:rsidR="00933841" w:rsidRPr="00804BF4">
              <w:rPr>
                <w:sz w:val="18"/>
                <w:szCs w:val="18"/>
                <w:lang w:val="es-ES"/>
              </w:rPr>
              <w:t>El Director General debe ultimar la Política de la OMPI en materia de Riesgos a más tardar a fines de 2015, y actualizar regularmente dicha política y todos los elementos de un marco exhaustivo de gestión de riesgos.</w:t>
            </w:r>
          </w:p>
        </w:tc>
        <w:tc>
          <w:tcPr>
            <w:tcW w:w="1701" w:type="dxa"/>
            <w:tcMar>
              <w:top w:w="113" w:type="dxa"/>
            </w:tcMar>
          </w:tcPr>
          <w:p w:rsidR="00D51C8D" w:rsidRPr="00804BF4" w:rsidRDefault="0096149D" w:rsidP="0096149D">
            <w:pPr>
              <w:pStyle w:val="ONUME"/>
              <w:numPr>
                <w:ilvl w:val="0"/>
                <w:numId w:val="0"/>
              </w:numPr>
              <w:rPr>
                <w:sz w:val="18"/>
                <w:szCs w:val="18"/>
                <w:lang w:val="es-ES"/>
              </w:rPr>
            </w:pPr>
            <w:r w:rsidRPr="00804BF4">
              <w:rPr>
                <w:sz w:val="18"/>
                <w:szCs w:val="18"/>
                <w:lang w:val="es-ES"/>
              </w:rPr>
              <w:t>Directora</w:t>
            </w:r>
            <w:r w:rsidR="00C90379" w:rsidRPr="00804BF4">
              <w:rPr>
                <w:sz w:val="18"/>
                <w:szCs w:val="18"/>
                <w:lang w:val="es-ES"/>
              </w:rPr>
              <w:t xml:space="preserve"> de</w:t>
            </w:r>
            <w:r w:rsidRPr="00804BF4">
              <w:rPr>
                <w:sz w:val="18"/>
                <w:szCs w:val="18"/>
                <w:lang w:val="es-ES"/>
              </w:rPr>
              <w:t xml:space="preserve"> Planificación de Programas y Finanzas (Contralor)</w:t>
            </w:r>
          </w:p>
        </w:tc>
        <w:tc>
          <w:tcPr>
            <w:tcW w:w="1287" w:type="dxa"/>
            <w:tcMar>
              <w:top w:w="113" w:type="dxa"/>
            </w:tcMar>
          </w:tcPr>
          <w:p w:rsidR="00D51C8D" w:rsidRPr="00804BF4" w:rsidRDefault="00DB4BB6" w:rsidP="00DB4BB6">
            <w:pPr>
              <w:pStyle w:val="ONUME"/>
              <w:numPr>
                <w:ilvl w:val="0"/>
                <w:numId w:val="0"/>
              </w:numPr>
              <w:rPr>
                <w:sz w:val="18"/>
                <w:szCs w:val="18"/>
                <w:lang w:val="es-ES"/>
              </w:rPr>
            </w:pPr>
            <w:r w:rsidRPr="00804BF4">
              <w:rPr>
                <w:sz w:val="18"/>
                <w:szCs w:val="18"/>
                <w:lang w:val="es-ES"/>
              </w:rPr>
              <w:t>Aceptada</w:t>
            </w:r>
          </w:p>
        </w:tc>
        <w:tc>
          <w:tcPr>
            <w:tcW w:w="1548" w:type="dxa"/>
            <w:tcMar>
              <w:top w:w="113" w:type="dxa"/>
            </w:tcMar>
          </w:tcPr>
          <w:p w:rsidR="00D51C8D" w:rsidRPr="00804BF4" w:rsidRDefault="00DB4BB6" w:rsidP="00DB4BB6">
            <w:pPr>
              <w:pStyle w:val="ONUME"/>
              <w:numPr>
                <w:ilvl w:val="0"/>
                <w:numId w:val="0"/>
              </w:numPr>
              <w:rPr>
                <w:sz w:val="18"/>
                <w:szCs w:val="18"/>
                <w:lang w:val="es-ES"/>
              </w:rPr>
            </w:pPr>
            <w:r w:rsidRPr="00804BF4">
              <w:rPr>
                <w:sz w:val="18"/>
                <w:szCs w:val="18"/>
                <w:lang w:val="es-ES"/>
              </w:rPr>
              <w:t>Aplicada</w:t>
            </w:r>
          </w:p>
        </w:tc>
        <w:tc>
          <w:tcPr>
            <w:tcW w:w="3084" w:type="dxa"/>
            <w:tcMar>
              <w:top w:w="113" w:type="dxa"/>
            </w:tcMar>
          </w:tcPr>
          <w:p w:rsidR="00D51C8D" w:rsidRPr="00804BF4" w:rsidRDefault="0096149D" w:rsidP="00F85A5D">
            <w:pPr>
              <w:pStyle w:val="ONUME"/>
              <w:numPr>
                <w:ilvl w:val="0"/>
                <w:numId w:val="0"/>
              </w:numPr>
              <w:rPr>
                <w:sz w:val="18"/>
                <w:szCs w:val="18"/>
                <w:lang w:val="es-ES"/>
              </w:rPr>
            </w:pPr>
            <w:r w:rsidRPr="00804BF4">
              <w:rPr>
                <w:sz w:val="18"/>
                <w:szCs w:val="18"/>
                <w:lang w:val="es-ES"/>
              </w:rPr>
              <w:t>La OMPI ha puesto en marcha todos los elementos de un marco exhaustivo de gestión de riesgos</w:t>
            </w:r>
            <w:r w:rsidR="002F4C82" w:rsidRPr="00804BF4">
              <w:rPr>
                <w:sz w:val="18"/>
                <w:szCs w:val="18"/>
                <w:lang w:val="es-ES"/>
              </w:rPr>
              <w:t xml:space="preserve">:  </w:t>
            </w:r>
            <w:r w:rsidRPr="00804BF4">
              <w:rPr>
                <w:sz w:val="18"/>
                <w:szCs w:val="18"/>
                <w:lang w:val="es-ES"/>
              </w:rPr>
              <w:t>el Grupo de Gestión de Riesgos de la OMPI</w:t>
            </w:r>
            <w:r w:rsidR="002F4C82" w:rsidRPr="00804BF4">
              <w:rPr>
                <w:sz w:val="18"/>
                <w:szCs w:val="18"/>
                <w:lang w:val="es-ES"/>
              </w:rPr>
              <w:t xml:space="preserve">, </w:t>
            </w:r>
            <w:r w:rsidRPr="00804BF4">
              <w:rPr>
                <w:sz w:val="18"/>
                <w:szCs w:val="18"/>
                <w:lang w:val="es-ES"/>
              </w:rPr>
              <w:t>el apetito de riesgo</w:t>
            </w:r>
            <w:r w:rsidR="002F4C82" w:rsidRPr="00804BF4">
              <w:rPr>
                <w:sz w:val="18"/>
                <w:szCs w:val="18"/>
                <w:lang w:val="es-ES"/>
              </w:rPr>
              <w:t xml:space="preserve">, </w:t>
            </w:r>
            <w:r w:rsidRPr="00804BF4">
              <w:rPr>
                <w:sz w:val="18"/>
                <w:szCs w:val="18"/>
                <w:lang w:val="es-ES"/>
              </w:rPr>
              <w:t>la política de riesgo</w:t>
            </w:r>
            <w:r w:rsidR="002F4C82" w:rsidRPr="00804BF4">
              <w:rPr>
                <w:sz w:val="18"/>
                <w:szCs w:val="18"/>
                <w:lang w:val="es-ES"/>
              </w:rPr>
              <w:t xml:space="preserve">, </w:t>
            </w:r>
            <w:r w:rsidRPr="00804BF4">
              <w:rPr>
                <w:sz w:val="18"/>
                <w:szCs w:val="18"/>
                <w:lang w:val="es-ES"/>
              </w:rPr>
              <w:t>un manual de gestión de riesgos y control interno</w:t>
            </w:r>
            <w:r w:rsidR="002F4C82" w:rsidRPr="00804BF4">
              <w:rPr>
                <w:sz w:val="18"/>
                <w:szCs w:val="18"/>
                <w:lang w:val="es-ES"/>
              </w:rPr>
              <w:t xml:space="preserve"> </w:t>
            </w:r>
            <w:r w:rsidR="00C90379" w:rsidRPr="00804BF4">
              <w:rPr>
                <w:sz w:val="18"/>
                <w:szCs w:val="18"/>
                <w:lang w:val="es-ES"/>
              </w:rPr>
              <w:t>y</w:t>
            </w:r>
            <w:r w:rsidR="00F85A5D" w:rsidRPr="00804BF4">
              <w:rPr>
                <w:sz w:val="18"/>
                <w:szCs w:val="18"/>
                <w:lang w:val="es-ES"/>
              </w:rPr>
              <w:t>, además,</w:t>
            </w:r>
            <w:r w:rsidR="00C90379" w:rsidRPr="00804BF4">
              <w:rPr>
                <w:sz w:val="18"/>
                <w:szCs w:val="18"/>
                <w:lang w:val="es-ES"/>
              </w:rPr>
              <w:t xml:space="preserve"> el riesgo se aborda como parte integrante del proceso de gestión por resultados</w:t>
            </w:r>
            <w:r w:rsidR="002F4C82" w:rsidRPr="00804BF4">
              <w:rPr>
                <w:sz w:val="18"/>
                <w:szCs w:val="18"/>
                <w:lang w:val="es-ES"/>
              </w:rPr>
              <w:t xml:space="preserve">.  </w:t>
            </w:r>
            <w:r w:rsidR="00C90379" w:rsidRPr="00804BF4">
              <w:rPr>
                <w:sz w:val="18"/>
                <w:szCs w:val="18"/>
                <w:lang w:val="es-ES"/>
              </w:rPr>
              <w:t xml:space="preserve">La Declaración de apetito de riesgo de la OMPI se </w:t>
            </w:r>
            <w:r w:rsidR="001B7865" w:rsidRPr="00804BF4">
              <w:rPr>
                <w:sz w:val="18"/>
                <w:szCs w:val="18"/>
                <w:lang w:val="es-ES"/>
              </w:rPr>
              <w:t>presentó</w:t>
            </w:r>
            <w:r w:rsidR="00C90379" w:rsidRPr="00804BF4">
              <w:rPr>
                <w:sz w:val="18"/>
                <w:szCs w:val="18"/>
                <w:lang w:val="es-ES"/>
              </w:rPr>
              <w:t xml:space="preserve"> a los </w:t>
            </w:r>
            <w:r w:rsidR="001B7865" w:rsidRPr="00804BF4">
              <w:rPr>
                <w:sz w:val="18"/>
                <w:szCs w:val="18"/>
                <w:lang w:val="es-ES"/>
              </w:rPr>
              <w:t>Estados</w:t>
            </w:r>
            <w:r w:rsidR="00C90379" w:rsidRPr="00804BF4">
              <w:rPr>
                <w:sz w:val="18"/>
                <w:szCs w:val="18"/>
                <w:lang w:val="es-ES"/>
              </w:rPr>
              <w:t xml:space="preserve"> miembros, que la examinaron, </w:t>
            </w:r>
            <w:r w:rsidR="000A5901" w:rsidRPr="00804BF4">
              <w:rPr>
                <w:sz w:val="18"/>
                <w:szCs w:val="18"/>
                <w:lang w:val="es-ES"/>
              </w:rPr>
              <w:t>(</w:t>
            </w:r>
            <w:r w:rsidR="001B7865" w:rsidRPr="00804BF4">
              <w:rPr>
                <w:sz w:val="18"/>
                <w:szCs w:val="18"/>
                <w:lang w:val="es-ES"/>
              </w:rPr>
              <w:t>documento</w:t>
            </w:r>
            <w:r w:rsidR="000A5901" w:rsidRPr="00804BF4">
              <w:rPr>
                <w:sz w:val="18"/>
                <w:szCs w:val="18"/>
                <w:lang w:val="es-ES"/>
              </w:rPr>
              <w:t xml:space="preserve"> WO/PBC/22/17</w:t>
            </w:r>
            <w:r w:rsidR="00C90379" w:rsidRPr="00804BF4">
              <w:rPr>
                <w:sz w:val="18"/>
                <w:szCs w:val="18"/>
                <w:lang w:val="es-ES"/>
              </w:rPr>
              <w:t>) e</w:t>
            </w:r>
            <w:r w:rsidR="000A5901" w:rsidRPr="00804BF4">
              <w:rPr>
                <w:sz w:val="18"/>
                <w:szCs w:val="18"/>
                <w:lang w:val="es-ES"/>
              </w:rPr>
              <w:t xml:space="preserve">n </w:t>
            </w:r>
            <w:r w:rsidR="001B7865" w:rsidRPr="00804BF4">
              <w:rPr>
                <w:sz w:val="18"/>
                <w:szCs w:val="18"/>
                <w:lang w:val="es-ES"/>
              </w:rPr>
              <w:t>septiembre</w:t>
            </w:r>
            <w:r w:rsidR="00C90379" w:rsidRPr="00804BF4">
              <w:rPr>
                <w:sz w:val="18"/>
                <w:szCs w:val="18"/>
                <w:lang w:val="es-ES"/>
              </w:rPr>
              <w:t xml:space="preserve"> de </w:t>
            </w:r>
            <w:r w:rsidR="000A5901" w:rsidRPr="00804BF4">
              <w:rPr>
                <w:sz w:val="18"/>
                <w:szCs w:val="18"/>
                <w:lang w:val="es-ES"/>
              </w:rPr>
              <w:t xml:space="preserve">2014, </w:t>
            </w:r>
            <w:r w:rsidR="00C90379" w:rsidRPr="00804BF4">
              <w:rPr>
                <w:sz w:val="18"/>
                <w:szCs w:val="18"/>
                <w:lang w:val="es-ES"/>
              </w:rPr>
              <w:t xml:space="preserve">y los procesos de </w:t>
            </w:r>
            <w:r w:rsidR="001B7865" w:rsidRPr="00804BF4">
              <w:rPr>
                <w:sz w:val="18"/>
                <w:szCs w:val="18"/>
                <w:lang w:val="es-ES"/>
              </w:rPr>
              <w:t>gestión</w:t>
            </w:r>
            <w:r w:rsidR="00C90379" w:rsidRPr="00804BF4">
              <w:rPr>
                <w:sz w:val="18"/>
                <w:szCs w:val="18"/>
                <w:lang w:val="es-ES"/>
              </w:rPr>
              <w:t xml:space="preserve"> de riesgo de la </w:t>
            </w:r>
            <w:r w:rsidR="001B7865" w:rsidRPr="00804BF4">
              <w:rPr>
                <w:sz w:val="18"/>
                <w:szCs w:val="18"/>
                <w:lang w:val="es-ES"/>
              </w:rPr>
              <w:t>Organización</w:t>
            </w:r>
            <w:r w:rsidR="000A5901" w:rsidRPr="00804BF4">
              <w:rPr>
                <w:sz w:val="18"/>
                <w:szCs w:val="18"/>
                <w:lang w:val="es-ES"/>
              </w:rPr>
              <w:t xml:space="preserve"> </w:t>
            </w:r>
            <w:r w:rsidR="00C90379" w:rsidRPr="00804BF4">
              <w:rPr>
                <w:sz w:val="18"/>
                <w:szCs w:val="18"/>
                <w:lang w:val="es-ES"/>
              </w:rPr>
              <w:t>cuentan actualmente con el pleno apoyo de un sistema de gestión de los riesgos institucionales</w:t>
            </w:r>
            <w:r w:rsidR="000A5901" w:rsidRPr="00804BF4">
              <w:rPr>
                <w:sz w:val="18"/>
                <w:szCs w:val="18"/>
                <w:lang w:val="es-ES"/>
              </w:rPr>
              <w:t xml:space="preserve">. </w:t>
            </w:r>
          </w:p>
        </w:tc>
      </w:tr>
      <w:tr w:rsidR="001B7865" w:rsidRPr="00804BF4" w:rsidTr="001136B1">
        <w:tc>
          <w:tcPr>
            <w:tcW w:w="1951" w:type="dxa"/>
            <w:tcMar>
              <w:top w:w="113" w:type="dxa"/>
            </w:tcMar>
          </w:tcPr>
          <w:p w:rsidR="00D51C8D" w:rsidRPr="00804BF4" w:rsidRDefault="00DB4BB6" w:rsidP="00804BF4">
            <w:pPr>
              <w:keepNext/>
              <w:rPr>
                <w:sz w:val="18"/>
                <w:szCs w:val="18"/>
                <w:lang w:val="es-ES"/>
              </w:rPr>
            </w:pPr>
            <w:r w:rsidRPr="00804BF4">
              <w:rPr>
                <w:sz w:val="18"/>
                <w:szCs w:val="18"/>
                <w:lang w:val="es-ES"/>
              </w:rPr>
              <w:lastRenderedPageBreak/>
              <w:t xml:space="preserve">Rec. 6.  </w:t>
            </w:r>
            <w:r w:rsidR="00933841" w:rsidRPr="00804BF4">
              <w:rPr>
                <w:sz w:val="18"/>
                <w:szCs w:val="18"/>
                <w:lang w:val="es-ES"/>
              </w:rPr>
              <w:t>El Comité de Coordinación debe reexaminar los principios vigentes acerca de la distribución geográfica a fin de garantizar una mayor diversidad geográfica del personal profesional de la OMPI.</w:t>
            </w:r>
          </w:p>
        </w:tc>
        <w:tc>
          <w:tcPr>
            <w:tcW w:w="1701" w:type="dxa"/>
            <w:tcMar>
              <w:top w:w="113" w:type="dxa"/>
            </w:tcMar>
          </w:tcPr>
          <w:p w:rsidR="00D51C8D" w:rsidRPr="00804BF4" w:rsidRDefault="00DB4BB6" w:rsidP="00804BF4">
            <w:pPr>
              <w:pStyle w:val="ONUME"/>
              <w:keepNext/>
              <w:numPr>
                <w:ilvl w:val="0"/>
                <w:numId w:val="0"/>
              </w:numPr>
              <w:rPr>
                <w:sz w:val="18"/>
                <w:szCs w:val="18"/>
                <w:lang w:val="es-ES"/>
              </w:rPr>
            </w:pPr>
            <w:r w:rsidRPr="00804BF4">
              <w:rPr>
                <w:sz w:val="18"/>
                <w:szCs w:val="18"/>
                <w:lang w:val="es-ES"/>
              </w:rPr>
              <w:t xml:space="preserve">Directora del </w:t>
            </w:r>
            <w:r w:rsidR="00C90379" w:rsidRPr="00804BF4">
              <w:rPr>
                <w:sz w:val="18"/>
                <w:szCs w:val="18"/>
                <w:lang w:val="es-ES"/>
              </w:rPr>
              <w:t>Departamento</w:t>
            </w:r>
            <w:r w:rsidRPr="00804BF4">
              <w:rPr>
                <w:sz w:val="18"/>
                <w:szCs w:val="18"/>
                <w:lang w:val="es-ES"/>
              </w:rPr>
              <w:t xml:space="preserve"> de Gestión de los Recurso</w:t>
            </w:r>
            <w:r w:rsidR="00C90379" w:rsidRPr="00804BF4">
              <w:rPr>
                <w:sz w:val="18"/>
                <w:szCs w:val="18"/>
                <w:lang w:val="es-ES"/>
              </w:rPr>
              <w:t>s Humanos</w:t>
            </w:r>
          </w:p>
        </w:tc>
        <w:tc>
          <w:tcPr>
            <w:tcW w:w="1287" w:type="dxa"/>
            <w:tcMar>
              <w:top w:w="113" w:type="dxa"/>
            </w:tcMar>
          </w:tcPr>
          <w:p w:rsidR="00D51C8D" w:rsidRPr="00804BF4" w:rsidRDefault="00DB4BB6" w:rsidP="00804BF4">
            <w:pPr>
              <w:pStyle w:val="ONUME"/>
              <w:keepNext/>
              <w:numPr>
                <w:ilvl w:val="0"/>
                <w:numId w:val="0"/>
              </w:numPr>
              <w:rPr>
                <w:sz w:val="18"/>
                <w:szCs w:val="18"/>
                <w:lang w:val="es-ES"/>
              </w:rPr>
            </w:pPr>
            <w:r w:rsidRPr="00804BF4">
              <w:rPr>
                <w:sz w:val="18"/>
                <w:szCs w:val="18"/>
                <w:lang w:val="es-ES"/>
              </w:rPr>
              <w:t>Objeto de examen</w:t>
            </w:r>
          </w:p>
        </w:tc>
        <w:tc>
          <w:tcPr>
            <w:tcW w:w="1548" w:type="dxa"/>
            <w:tcMar>
              <w:top w:w="113" w:type="dxa"/>
            </w:tcMar>
          </w:tcPr>
          <w:p w:rsidR="00D51C8D" w:rsidRPr="00804BF4" w:rsidRDefault="00D51C8D" w:rsidP="00804BF4">
            <w:pPr>
              <w:pStyle w:val="ONUME"/>
              <w:keepNext/>
              <w:numPr>
                <w:ilvl w:val="0"/>
                <w:numId w:val="0"/>
              </w:numPr>
              <w:rPr>
                <w:sz w:val="18"/>
                <w:szCs w:val="18"/>
                <w:lang w:val="es-ES"/>
              </w:rPr>
            </w:pPr>
          </w:p>
        </w:tc>
        <w:tc>
          <w:tcPr>
            <w:tcW w:w="3084" w:type="dxa"/>
            <w:tcMar>
              <w:top w:w="113" w:type="dxa"/>
              <w:bottom w:w="113" w:type="dxa"/>
            </w:tcMar>
          </w:tcPr>
          <w:p w:rsidR="00D51C8D" w:rsidRPr="00804BF4" w:rsidRDefault="00C90379" w:rsidP="00804BF4">
            <w:pPr>
              <w:pStyle w:val="ONUME"/>
              <w:keepNext/>
              <w:numPr>
                <w:ilvl w:val="0"/>
                <w:numId w:val="0"/>
              </w:numPr>
              <w:rPr>
                <w:sz w:val="18"/>
                <w:szCs w:val="18"/>
                <w:lang w:val="es-ES"/>
              </w:rPr>
            </w:pPr>
            <w:r w:rsidRPr="00804BF4">
              <w:rPr>
                <w:sz w:val="18"/>
                <w:szCs w:val="18"/>
                <w:lang w:val="es-ES"/>
              </w:rPr>
              <w:t>El 3</w:t>
            </w:r>
            <w:r w:rsidR="00DB4BB6" w:rsidRPr="00804BF4">
              <w:rPr>
                <w:sz w:val="18"/>
                <w:szCs w:val="18"/>
                <w:lang w:val="es-ES"/>
              </w:rPr>
              <w:t>0 de mayo de 2014, se envió una carta del Director General de la OMPI al Presidente del Comité de Coordinación de la OMPI, señalando a su atención esta recomendación.</w:t>
            </w:r>
          </w:p>
        </w:tc>
      </w:tr>
      <w:tr w:rsidR="001B7865" w:rsidRPr="00804BF4" w:rsidTr="00625389">
        <w:tc>
          <w:tcPr>
            <w:tcW w:w="1951" w:type="dxa"/>
            <w:tcMar>
              <w:top w:w="113" w:type="dxa"/>
            </w:tcMar>
          </w:tcPr>
          <w:p w:rsidR="00D51C8D" w:rsidRPr="00804BF4" w:rsidRDefault="00882072" w:rsidP="00DB4BB6">
            <w:pPr>
              <w:pStyle w:val="ONUME"/>
              <w:numPr>
                <w:ilvl w:val="0"/>
                <w:numId w:val="0"/>
              </w:numPr>
              <w:rPr>
                <w:sz w:val="18"/>
                <w:szCs w:val="18"/>
                <w:lang w:val="es-ES"/>
              </w:rPr>
            </w:pPr>
            <w:r w:rsidRPr="00804BF4">
              <w:rPr>
                <w:sz w:val="18"/>
                <w:szCs w:val="18"/>
                <w:lang w:val="es-ES"/>
              </w:rPr>
              <w:t xml:space="preserve">Rec. 7.  </w:t>
            </w:r>
            <w:r w:rsidR="00933841" w:rsidRPr="00804BF4">
              <w:rPr>
                <w:sz w:val="18"/>
                <w:szCs w:val="18"/>
                <w:lang w:val="es-ES"/>
              </w:rPr>
              <w:t>Sobre la base de la orientación del Comité de Coordinación, el Director General debe establecer, a fines de 2015 a más tardar, un plan de acción con medidas y objetivos específicos para aumentar la diversidad geográfica del personal profesional e informar cada año sobre la puesta en práctica de dicho plan.</w:t>
            </w:r>
          </w:p>
        </w:tc>
        <w:tc>
          <w:tcPr>
            <w:tcW w:w="1701" w:type="dxa"/>
            <w:tcMar>
              <w:top w:w="113" w:type="dxa"/>
            </w:tcMar>
          </w:tcPr>
          <w:p w:rsidR="00D51C8D" w:rsidRPr="00804BF4" w:rsidRDefault="00C90379" w:rsidP="00DB4BB6">
            <w:pPr>
              <w:pStyle w:val="ONUME"/>
              <w:numPr>
                <w:ilvl w:val="0"/>
                <w:numId w:val="0"/>
              </w:numPr>
              <w:rPr>
                <w:sz w:val="18"/>
                <w:szCs w:val="18"/>
                <w:lang w:val="es-ES"/>
              </w:rPr>
            </w:pPr>
            <w:r w:rsidRPr="00804BF4">
              <w:rPr>
                <w:sz w:val="18"/>
                <w:szCs w:val="18"/>
                <w:lang w:val="es-ES"/>
              </w:rPr>
              <w:t>Directora del Departamento de Gestión de los Recursos Humanos</w:t>
            </w:r>
          </w:p>
        </w:tc>
        <w:tc>
          <w:tcPr>
            <w:tcW w:w="1287" w:type="dxa"/>
            <w:tcMar>
              <w:top w:w="113" w:type="dxa"/>
            </w:tcMar>
          </w:tcPr>
          <w:p w:rsidR="00D51C8D" w:rsidRPr="00804BF4" w:rsidRDefault="00DB4BB6" w:rsidP="00DB4BB6">
            <w:pPr>
              <w:pStyle w:val="ONUME"/>
              <w:numPr>
                <w:ilvl w:val="0"/>
                <w:numId w:val="0"/>
              </w:numPr>
              <w:rPr>
                <w:sz w:val="18"/>
                <w:szCs w:val="18"/>
                <w:lang w:val="es-ES"/>
              </w:rPr>
            </w:pPr>
            <w:r w:rsidRPr="00804BF4">
              <w:rPr>
                <w:sz w:val="18"/>
                <w:szCs w:val="18"/>
                <w:lang w:val="es-ES"/>
              </w:rPr>
              <w:t>Aceptada</w:t>
            </w:r>
          </w:p>
        </w:tc>
        <w:tc>
          <w:tcPr>
            <w:tcW w:w="1548" w:type="dxa"/>
            <w:tcMar>
              <w:top w:w="113" w:type="dxa"/>
            </w:tcMar>
          </w:tcPr>
          <w:p w:rsidR="00D51C8D" w:rsidRPr="00804BF4" w:rsidRDefault="00DB4BB6" w:rsidP="00DB4BB6">
            <w:pPr>
              <w:pStyle w:val="ONUME"/>
              <w:numPr>
                <w:ilvl w:val="0"/>
                <w:numId w:val="0"/>
              </w:numPr>
              <w:rPr>
                <w:sz w:val="18"/>
                <w:szCs w:val="18"/>
                <w:lang w:val="es-ES"/>
              </w:rPr>
            </w:pPr>
            <w:r w:rsidRPr="00804BF4">
              <w:rPr>
                <w:sz w:val="18"/>
                <w:szCs w:val="18"/>
                <w:lang w:val="es-ES"/>
              </w:rPr>
              <w:t>En curso</w:t>
            </w:r>
          </w:p>
        </w:tc>
        <w:tc>
          <w:tcPr>
            <w:tcW w:w="3084" w:type="dxa"/>
            <w:tcMar>
              <w:top w:w="113" w:type="dxa"/>
              <w:bottom w:w="113" w:type="dxa"/>
            </w:tcMar>
          </w:tcPr>
          <w:p w:rsidR="002F4C82" w:rsidRPr="00804BF4" w:rsidRDefault="00DB4BB6" w:rsidP="00F85A5D">
            <w:pPr>
              <w:pStyle w:val="ONUME"/>
              <w:numPr>
                <w:ilvl w:val="0"/>
                <w:numId w:val="0"/>
              </w:numPr>
              <w:spacing w:after="0"/>
              <w:rPr>
                <w:sz w:val="18"/>
                <w:szCs w:val="18"/>
                <w:lang w:val="es-ES"/>
              </w:rPr>
            </w:pPr>
            <w:r w:rsidRPr="00804BF4">
              <w:rPr>
                <w:sz w:val="18"/>
                <w:szCs w:val="18"/>
                <w:lang w:val="es-ES"/>
              </w:rPr>
              <w:t>Se establecerá un programa de acción en consulta con los Estados miembros con el fin de ampliar la diversidad geográfica del personal profesional.  En octubre de 2013 se iniciaron campañas de sensibilización y se fomentó la interacción con los Estados miembros, actividades que continuarán a lo largo de 2014</w:t>
            </w:r>
            <w:r w:rsidR="00F85A5D" w:rsidRPr="00804BF4">
              <w:rPr>
                <w:sz w:val="18"/>
                <w:szCs w:val="18"/>
                <w:lang w:val="es-ES"/>
              </w:rPr>
              <w:noBreakHyphen/>
            </w:r>
            <w:r w:rsidRPr="00804BF4">
              <w:rPr>
                <w:sz w:val="18"/>
                <w:szCs w:val="18"/>
                <w:lang w:val="es-ES"/>
              </w:rPr>
              <w:t xml:space="preserve">2015 para incrementar la diversidad geográfica </w:t>
            </w:r>
            <w:r w:rsidR="00F85A5D" w:rsidRPr="00804BF4">
              <w:rPr>
                <w:sz w:val="18"/>
                <w:szCs w:val="18"/>
                <w:lang w:val="es-ES"/>
              </w:rPr>
              <w:t>en</w:t>
            </w:r>
            <w:r w:rsidRPr="00804BF4">
              <w:rPr>
                <w:sz w:val="18"/>
                <w:szCs w:val="18"/>
                <w:lang w:val="es-ES"/>
              </w:rPr>
              <w:t xml:space="preserve"> la Organización.</w:t>
            </w:r>
            <w:r w:rsidR="00FC341F" w:rsidRPr="00804BF4">
              <w:rPr>
                <w:sz w:val="18"/>
                <w:szCs w:val="18"/>
                <w:lang w:val="es-ES"/>
              </w:rPr>
              <w:t xml:space="preserve"> </w:t>
            </w:r>
            <w:r w:rsidR="00F85A5D" w:rsidRPr="00804BF4">
              <w:rPr>
                <w:sz w:val="18"/>
                <w:szCs w:val="18"/>
                <w:lang w:val="es-ES"/>
              </w:rPr>
              <w:t xml:space="preserve"> </w:t>
            </w:r>
            <w:r w:rsidRPr="00804BF4">
              <w:rPr>
                <w:sz w:val="18"/>
                <w:szCs w:val="18"/>
                <w:lang w:val="es-ES"/>
              </w:rPr>
              <w:t xml:space="preserve">El </w:t>
            </w:r>
            <w:r w:rsidR="00C90379" w:rsidRPr="00804BF4">
              <w:rPr>
                <w:sz w:val="18"/>
                <w:szCs w:val="18"/>
                <w:lang w:val="es-ES"/>
              </w:rPr>
              <w:t>Departamento de Gestión de los Recursos Humanos</w:t>
            </w:r>
            <w:r w:rsidRPr="00804BF4">
              <w:rPr>
                <w:sz w:val="18"/>
                <w:szCs w:val="18"/>
                <w:lang w:val="es-ES"/>
              </w:rPr>
              <w:t xml:space="preserve"> informa bianualmente sobre la diversidad geográfica de la OMPI a </w:t>
            </w:r>
            <w:r w:rsidR="00C90379" w:rsidRPr="00804BF4">
              <w:rPr>
                <w:sz w:val="18"/>
                <w:szCs w:val="18"/>
                <w:lang w:val="es-ES"/>
              </w:rPr>
              <w:t xml:space="preserve">todos </w:t>
            </w:r>
            <w:r w:rsidRPr="00804BF4">
              <w:rPr>
                <w:sz w:val="18"/>
                <w:szCs w:val="18"/>
                <w:lang w:val="es-ES"/>
              </w:rPr>
              <w:t>los Estados miembros</w:t>
            </w:r>
            <w:r w:rsidR="00F85A5D" w:rsidRPr="00804BF4">
              <w:rPr>
                <w:sz w:val="18"/>
                <w:szCs w:val="18"/>
                <w:lang w:val="es-ES"/>
              </w:rPr>
              <w:t>,</w:t>
            </w:r>
            <w:r w:rsidRPr="00804BF4">
              <w:rPr>
                <w:sz w:val="18"/>
                <w:szCs w:val="18"/>
                <w:lang w:val="es-ES"/>
              </w:rPr>
              <w:t xml:space="preserve"> y anualmente al Comité de Coordinación por medio de su Informe anual sobre recursos humanos.</w:t>
            </w:r>
          </w:p>
        </w:tc>
      </w:tr>
      <w:tr w:rsidR="001B7865" w:rsidRPr="00804BF4" w:rsidTr="001136B1">
        <w:tc>
          <w:tcPr>
            <w:tcW w:w="1951" w:type="dxa"/>
            <w:tcMar>
              <w:top w:w="113" w:type="dxa"/>
            </w:tcMar>
          </w:tcPr>
          <w:p w:rsidR="002F4C82" w:rsidRPr="00804BF4" w:rsidRDefault="00933841" w:rsidP="00DB4BB6">
            <w:pPr>
              <w:pStyle w:val="ONUME"/>
              <w:numPr>
                <w:ilvl w:val="0"/>
                <w:numId w:val="0"/>
              </w:numPr>
              <w:rPr>
                <w:sz w:val="18"/>
                <w:szCs w:val="18"/>
                <w:lang w:val="es-ES"/>
              </w:rPr>
            </w:pPr>
            <w:r w:rsidRPr="00804BF4">
              <w:rPr>
                <w:sz w:val="18"/>
                <w:szCs w:val="18"/>
                <w:lang w:val="es-ES"/>
              </w:rPr>
              <w:t>Rec. 8.  El Director General debe ultimar la política de la OMPI de igualdad de género a fines de 2014 a más tardar, velando por que contenga medidas y objetivos específicos para mejorar el equilibrio entre hombres y mujeres, en particular, a nivel del personal directivo superior, e informar cada año sobre la puesta en práctica de dicha política.</w:t>
            </w:r>
          </w:p>
        </w:tc>
        <w:tc>
          <w:tcPr>
            <w:tcW w:w="1701" w:type="dxa"/>
            <w:tcMar>
              <w:top w:w="113" w:type="dxa"/>
            </w:tcMar>
          </w:tcPr>
          <w:p w:rsidR="002F4C82" w:rsidRPr="00804BF4" w:rsidRDefault="00973C52" w:rsidP="00DB4BB6">
            <w:pPr>
              <w:pStyle w:val="ONUME"/>
              <w:numPr>
                <w:ilvl w:val="0"/>
                <w:numId w:val="0"/>
              </w:numPr>
              <w:rPr>
                <w:sz w:val="18"/>
                <w:szCs w:val="18"/>
                <w:lang w:val="es-ES"/>
              </w:rPr>
            </w:pPr>
            <w:r w:rsidRPr="00804BF4">
              <w:rPr>
                <w:sz w:val="18"/>
                <w:szCs w:val="18"/>
                <w:lang w:val="es-ES"/>
              </w:rPr>
              <w:t>Directora del Departamento de Gestión de los Recursos Humanos</w:t>
            </w:r>
          </w:p>
        </w:tc>
        <w:tc>
          <w:tcPr>
            <w:tcW w:w="1287" w:type="dxa"/>
            <w:tcMar>
              <w:top w:w="113" w:type="dxa"/>
            </w:tcMar>
          </w:tcPr>
          <w:p w:rsidR="002F4C82" w:rsidRPr="00804BF4" w:rsidRDefault="00DB4BB6" w:rsidP="00DB4BB6">
            <w:pPr>
              <w:pStyle w:val="ONUME"/>
              <w:numPr>
                <w:ilvl w:val="0"/>
                <w:numId w:val="0"/>
              </w:numPr>
              <w:rPr>
                <w:sz w:val="18"/>
                <w:szCs w:val="18"/>
                <w:lang w:val="es-ES"/>
              </w:rPr>
            </w:pPr>
            <w:r w:rsidRPr="00804BF4">
              <w:rPr>
                <w:sz w:val="18"/>
                <w:szCs w:val="18"/>
                <w:lang w:val="es-ES"/>
              </w:rPr>
              <w:t>Aceptada</w:t>
            </w:r>
          </w:p>
        </w:tc>
        <w:tc>
          <w:tcPr>
            <w:tcW w:w="1548" w:type="dxa"/>
            <w:tcMar>
              <w:top w:w="113" w:type="dxa"/>
            </w:tcMar>
          </w:tcPr>
          <w:p w:rsidR="002F4C82" w:rsidRPr="00804BF4" w:rsidRDefault="00DB4BB6" w:rsidP="00DB4BB6">
            <w:pPr>
              <w:pStyle w:val="ONUME"/>
              <w:numPr>
                <w:ilvl w:val="0"/>
                <w:numId w:val="0"/>
              </w:numPr>
              <w:rPr>
                <w:sz w:val="18"/>
                <w:szCs w:val="18"/>
                <w:lang w:val="es-ES"/>
              </w:rPr>
            </w:pPr>
            <w:r w:rsidRPr="00804BF4">
              <w:rPr>
                <w:sz w:val="18"/>
                <w:szCs w:val="18"/>
                <w:lang w:val="es-ES"/>
              </w:rPr>
              <w:t>Aplicada</w:t>
            </w:r>
          </w:p>
        </w:tc>
        <w:tc>
          <w:tcPr>
            <w:tcW w:w="3084" w:type="dxa"/>
            <w:tcMar>
              <w:top w:w="113" w:type="dxa"/>
              <w:bottom w:w="142" w:type="dxa"/>
            </w:tcMar>
          </w:tcPr>
          <w:p w:rsidR="002F4C82" w:rsidRPr="00804BF4" w:rsidRDefault="00F85A5D" w:rsidP="00F85A5D">
            <w:pPr>
              <w:pStyle w:val="ONUME"/>
              <w:numPr>
                <w:ilvl w:val="0"/>
                <w:numId w:val="0"/>
              </w:numPr>
              <w:spacing w:after="0"/>
              <w:rPr>
                <w:sz w:val="18"/>
                <w:szCs w:val="18"/>
                <w:lang w:val="es-ES"/>
              </w:rPr>
            </w:pPr>
            <w:r w:rsidRPr="00804BF4">
              <w:rPr>
                <w:bCs/>
                <w:sz w:val="18"/>
                <w:szCs w:val="18"/>
                <w:lang w:val="es-ES"/>
              </w:rPr>
              <w:t>En agosto de 2014, l</w:t>
            </w:r>
            <w:r w:rsidR="00C90379" w:rsidRPr="00804BF4">
              <w:rPr>
                <w:bCs/>
                <w:sz w:val="18"/>
                <w:szCs w:val="18"/>
                <w:lang w:val="es-ES"/>
              </w:rPr>
              <w:t xml:space="preserve">a OMPI </w:t>
            </w:r>
            <w:r w:rsidR="001B7865" w:rsidRPr="00804BF4">
              <w:rPr>
                <w:bCs/>
                <w:sz w:val="18"/>
                <w:szCs w:val="18"/>
                <w:lang w:val="es-ES"/>
              </w:rPr>
              <w:t>publicó</w:t>
            </w:r>
            <w:r w:rsidR="00C90379" w:rsidRPr="00804BF4">
              <w:rPr>
                <w:bCs/>
                <w:sz w:val="18"/>
                <w:szCs w:val="18"/>
                <w:lang w:val="es-ES"/>
              </w:rPr>
              <w:t xml:space="preserve"> </w:t>
            </w:r>
            <w:r w:rsidRPr="00804BF4">
              <w:rPr>
                <w:bCs/>
                <w:sz w:val="18"/>
                <w:szCs w:val="18"/>
                <w:lang w:val="es-ES"/>
              </w:rPr>
              <w:t xml:space="preserve">como Orden de servicio </w:t>
            </w:r>
            <w:r w:rsidR="00C90379" w:rsidRPr="00804BF4">
              <w:rPr>
                <w:bCs/>
                <w:sz w:val="18"/>
                <w:szCs w:val="18"/>
                <w:lang w:val="es-ES"/>
              </w:rPr>
              <w:t xml:space="preserve">su política sobre la igualdad de género en la que se tienen en cuenta la incorporación de la perspectiva de género en la labor de los programas de la OMPI y la igualdad de género en el lugar de trabajo de la </w:t>
            </w:r>
            <w:r w:rsidRPr="00804BF4">
              <w:rPr>
                <w:bCs/>
                <w:sz w:val="18"/>
                <w:szCs w:val="18"/>
                <w:lang w:val="es-ES"/>
              </w:rPr>
              <w:t>OMPI, además de establecerse</w:t>
            </w:r>
            <w:r w:rsidR="00C90379" w:rsidRPr="00804BF4">
              <w:rPr>
                <w:bCs/>
                <w:sz w:val="18"/>
                <w:szCs w:val="18"/>
                <w:lang w:val="es-ES"/>
              </w:rPr>
              <w:t xml:space="preserve"> medidas y objetivos específicos para mejorar el equilibrio de género a todos los niveles antes de</w:t>
            </w:r>
            <w:r w:rsidRPr="00804BF4">
              <w:rPr>
                <w:bCs/>
                <w:sz w:val="18"/>
                <w:szCs w:val="18"/>
                <w:lang w:val="es-ES"/>
              </w:rPr>
              <w:t xml:space="preserve"> 2020</w:t>
            </w:r>
            <w:r w:rsidR="00FC341F" w:rsidRPr="00804BF4">
              <w:rPr>
                <w:sz w:val="18"/>
                <w:szCs w:val="18"/>
                <w:lang w:val="es-ES"/>
              </w:rPr>
              <w:t xml:space="preserve">. </w:t>
            </w:r>
            <w:r w:rsidR="00FC341F" w:rsidRPr="00804BF4">
              <w:rPr>
                <w:bCs/>
                <w:sz w:val="18"/>
                <w:szCs w:val="18"/>
                <w:lang w:val="es-ES"/>
              </w:rPr>
              <w:t xml:space="preserve"> A</w:t>
            </w:r>
            <w:r w:rsidR="00C90379" w:rsidRPr="00804BF4">
              <w:rPr>
                <w:bCs/>
                <w:sz w:val="18"/>
                <w:szCs w:val="18"/>
                <w:lang w:val="es-ES"/>
              </w:rPr>
              <w:t xml:space="preserve">l mismo tiempo, se </w:t>
            </w:r>
            <w:r w:rsidR="001B7865" w:rsidRPr="00804BF4">
              <w:rPr>
                <w:bCs/>
                <w:sz w:val="18"/>
                <w:szCs w:val="18"/>
                <w:lang w:val="es-ES"/>
              </w:rPr>
              <w:t>publicó</w:t>
            </w:r>
            <w:r w:rsidR="00C90379" w:rsidRPr="00804BF4">
              <w:rPr>
                <w:bCs/>
                <w:sz w:val="18"/>
                <w:szCs w:val="18"/>
                <w:lang w:val="es-ES"/>
              </w:rPr>
              <w:t xml:space="preserve"> un plan de acción en el que se exponen las medidas que se pondr</w:t>
            </w:r>
            <w:r w:rsidR="00973C52" w:rsidRPr="00804BF4">
              <w:rPr>
                <w:bCs/>
                <w:sz w:val="18"/>
                <w:szCs w:val="18"/>
                <w:lang w:val="es-ES"/>
              </w:rPr>
              <w:t xml:space="preserve">án en marcha entre septiembre de 2014 y diciembre de </w:t>
            </w:r>
            <w:r w:rsidR="00FC341F" w:rsidRPr="00804BF4">
              <w:rPr>
                <w:bCs/>
                <w:sz w:val="18"/>
                <w:szCs w:val="18"/>
                <w:lang w:val="es-ES"/>
              </w:rPr>
              <w:t xml:space="preserve">2015, </w:t>
            </w:r>
            <w:r w:rsidR="00973C52" w:rsidRPr="00804BF4">
              <w:rPr>
                <w:bCs/>
                <w:sz w:val="18"/>
                <w:szCs w:val="18"/>
                <w:lang w:val="es-ES"/>
              </w:rPr>
              <w:t>junto con un calendario específico y la indicación de a quién corresponde cada medida</w:t>
            </w:r>
            <w:r w:rsidR="00FC341F" w:rsidRPr="00804BF4">
              <w:rPr>
                <w:bCs/>
                <w:sz w:val="18"/>
                <w:szCs w:val="18"/>
                <w:lang w:val="es-ES"/>
              </w:rPr>
              <w:t xml:space="preserve">.  </w:t>
            </w:r>
            <w:r w:rsidR="00DB4BB6" w:rsidRPr="00804BF4">
              <w:rPr>
                <w:bCs/>
                <w:sz w:val="18"/>
                <w:szCs w:val="18"/>
                <w:lang w:val="es-ES"/>
              </w:rPr>
              <w:t xml:space="preserve">Actualmente, el </w:t>
            </w:r>
            <w:r w:rsidR="00973C52" w:rsidRPr="00804BF4">
              <w:rPr>
                <w:bCs/>
                <w:sz w:val="18"/>
                <w:szCs w:val="18"/>
                <w:lang w:val="es-ES"/>
              </w:rPr>
              <w:t>Departamento de Gestión de los Recursos Humanos</w:t>
            </w:r>
            <w:r w:rsidR="00DB4BB6" w:rsidRPr="00804BF4">
              <w:rPr>
                <w:bCs/>
                <w:sz w:val="18"/>
                <w:szCs w:val="18"/>
                <w:lang w:val="es-ES"/>
              </w:rPr>
              <w:t xml:space="preserve"> informa bianualmente </w:t>
            </w:r>
            <w:r w:rsidR="00973C52" w:rsidRPr="00804BF4">
              <w:rPr>
                <w:bCs/>
                <w:sz w:val="18"/>
                <w:szCs w:val="18"/>
                <w:lang w:val="es-ES"/>
              </w:rPr>
              <w:t xml:space="preserve">acerca </w:t>
            </w:r>
            <w:r w:rsidR="00DB4BB6" w:rsidRPr="00804BF4">
              <w:rPr>
                <w:bCs/>
                <w:sz w:val="18"/>
                <w:szCs w:val="18"/>
                <w:lang w:val="es-ES"/>
              </w:rPr>
              <w:t>de los avances en equilibrio de género a los Estados miembros</w:t>
            </w:r>
            <w:r w:rsidRPr="00804BF4">
              <w:rPr>
                <w:bCs/>
                <w:sz w:val="18"/>
                <w:szCs w:val="18"/>
                <w:lang w:val="es-ES"/>
              </w:rPr>
              <w:t>,</w:t>
            </w:r>
            <w:r w:rsidR="00DB4BB6" w:rsidRPr="00804BF4">
              <w:rPr>
                <w:bCs/>
                <w:sz w:val="18"/>
                <w:szCs w:val="18"/>
                <w:lang w:val="es-ES"/>
              </w:rPr>
              <w:t xml:space="preserve"> y </w:t>
            </w:r>
            <w:r w:rsidR="00DB4BB6" w:rsidRPr="00804BF4">
              <w:rPr>
                <w:bCs/>
                <w:sz w:val="18"/>
                <w:szCs w:val="18"/>
                <w:lang w:val="es-ES"/>
              </w:rPr>
              <w:lastRenderedPageBreak/>
              <w:t>anualmente al Comité de Coordinación por medio de su Informe anual sobre recursos humanos.</w:t>
            </w:r>
          </w:p>
        </w:tc>
      </w:tr>
      <w:tr w:rsidR="001B7865" w:rsidRPr="00804BF4" w:rsidTr="001136B1">
        <w:tc>
          <w:tcPr>
            <w:tcW w:w="1951" w:type="dxa"/>
            <w:tcMar>
              <w:top w:w="113" w:type="dxa"/>
            </w:tcMar>
          </w:tcPr>
          <w:p w:rsidR="001F0D37" w:rsidRPr="00804BF4" w:rsidRDefault="00933841" w:rsidP="00DB4BB6">
            <w:pPr>
              <w:rPr>
                <w:sz w:val="18"/>
                <w:szCs w:val="18"/>
                <w:lang w:val="es-ES"/>
              </w:rPr>
            </w:pPr>
            <w:r w:rsidRPr="00804BF4">
              <w:rPr>
                <w:sz w:val="18"/>
                <w:szCs w:val="18"/>
                <w:lang w:val="es-ES"/>
              </w:rPr>
              <w:lastRenderedPageBreak/>
              <w:t>Rec. 9.  El Director General debe formalizar la estrategia de la OMPI en materia de tecnologías de la información y las comunicaciones y someterla a la atención de la Asamblea General de la OMPI a fines de 2014 a más tardar.</w:t>
            </w:r>
          </w:p>
        </w:tc>
        <w:tc>
          <w:tcPr>
            <w:tcW w:w="1701" w:type="dxa"/>
            <w:tcMar>
              <w:top w:w="113" w:type="dxa"/>
            </w:tcMar>
          </w:tcPr>
          <w:p w:rsidR="001F0D37" w:rsidRPr="00804BF4" w:rsidRDefault="00973C52" w:rsidP="00973C52">
            <w:pPr>
              <w:rPr>
                <w:sz w:val="18"/>
                <w:szCs w:val="18"/>
                <w:lang w:val="es-ES"/>
              </w:rPr>
            </w:pPr>
            <w:r w:rsidRPr="00804BF4">
              <w:rPr>
                <w:sz w:val="18"/>
                <w:szCs w:val="18"/>
                <w:lang w:val="es-ES"/>
              </w:rPr>
              <w:t>Director de sistemas de información,</w:t>
            </w:r>
            <w:r w:rsidR="0055349E" w:rsidRPr="00804BF4">
              <w:rPr>
                <w:sz w:val="18"/>
                <w:szCs w:val="18"/>
                <w:lang w:val="es-ES"/>
              </w:rPr>
              <w:t xml:space="preserve"> </w:t>
            </w:r>
            <w:r w:rsidRPr="00804BF4">
              <w:rPr>
                <w:sz w:val="18"/>
                <w:szCs w:val="18"/>
                <w:lang w:val="es-ES"/>
              </w:rPr>
              <w:t>Departamento de Tecnologías de la Información y las Comunicaciones</w:t>
            </w:r>
          </w:p>
        </w:tc>
        <w:tc>
          <w:tcPr>
            <w:tcW w:w="1287" w:type="dxa"/>
            <w:tcMar>
              <w:top w:w="113" w:type="dxa"/>
            </w:tcMar>
          </w:tcPr>
          <w:p w:rsidR="001F0D37" w:rsidRPr="00804BF4" w:rsidRDefault="00DB4BB6" w:rsidP="00DB4BB6">
            <w:pPr>
              <w:rPr>
                <w:sz w:val="18"/>
                <w:szCs w:val="18"/>
                <w:lang w:val="es-ES"/>
              </w:rPr>
            </w:pPr>
            <w:r w:rsidRPr="00804BF4">
              <w:rPr>
                <w:sz w:val="18"/>
                <w:szCs w:val="18"/>
                <w:lang w:val="es-ES"/>
              </w:rPr>
              <w:t>Aceptada</w:t>
            </w:r>
          </w:p>
        </w:tc>
        <w:tc>
          <w:tcPr>
            <w:tcW w:w="1548" w:type="dxa"/>
            <w:tcMar>
              <w:top w:w="113" w:type="dxa"/>
            </w:tcMar>
          </w:tcPr>
          <w:p w:rsidR="001F0D37" w:rsidRPr="00804BF4" w:rsidRDefault="00DB4BB6" w:rsidP="00DB4BB6">
            <w:pPr>
              <w:rPr>
                <w:sz w:val="18"/>
                <w:szCs w:val="18"/>
                <w:lang w:val="es-ES"/>
              </w:rPr>
            </w:pPr>
            <w:r w:rsidRPr="00804BF4">
              <w:rPr>
                <w:sz w:val="18"/>
                <w:szCs w:val="18"/>
                <w:lang w:val="es-ES"/>
              </w:rPr>
              <w:t>Aplicada</w:t>
            </w:r>
          </w:p>
        </w:tc>
        <w:tc>
          <w:tcPr>
            <w:tcW w:w="3084" w:type="dxa"/>
            <w:tcMar>
              <w:top w:w="113" w:type="dxa"/>
              <w:bottom w:w="142" w:type="dxa"/>
            </w:tcMar>
          </w:tcPr>
          <w:p w:rsidR="001F0D37" w:rsidRPr="00804BF4" w:rsidRDefault="00DB4BB6" w:rsidP="00973C52">
            <w:pPr>
              <w:rPr>
                <w:sz w:val="18"/>
                <w:szCs w:val="18"/>
                <w:lang w:val="es-ES"/>
              </w:rPr>
            </w:pPr>
            <w:r w:rsidRPr="00804BF4">
              <w:rPr>
                <w:sz w:val="18"/>
                <w:szCs w:val="18"/>
                <w:lang w:val="es-ES"/>
              </w:rPr>
              <w:t xml:space="preserve">La Estrategia de la OMPI en materia de tecnologías de la información y las comunicaciones se ha </w:t>
            </w:r>
            <w:r w:rsidR="00973C52" w:rsidRPr="00804BF4">
              <w:rPr>
                <w:sz w:val="18"/>
                <w:szCs w:val="18"/>
                <w:lang w:val="es-ES"/>
              </w:rPr>
              <w:t>presentado</w:t>
            </w:r>
            <w:r w:rsidRPr="00804BF4">
              <w:rPr>
                <w:sz w:val="18"/>
                <w:szCs w:val="18"/>
                <w:lang w:val="es-ES"/>
              </w:rPr>
              <w:t xml:space="preserve"> como parte de la documentación del 54º período de sesiones de las Asambleas de los Estados miembros de la OMPI (22 a 30 de septiembre de 2014).</w:t>
            </w:r>
          </w:p>
        </w:tc>
      </w:tr>
      <w:tr w:rsidR="001B7865" w:rsidRPr="00804BF4" w:rsidTr="001136B1">
        <w:tc>
          <w:tcPr>
            <w:tcW w:w="1951" w:type="dxa"/>
            <w:tcMar>
              <w:top w:w="113" w:type="dxa"/>
            </w:tcMar>
          </w:tcPr>
          <w:p w:rsidR="00625389" w:rsidRPr="00804BF4" w:rsidRDefault="00933841" w:rsidP="00DB4BB6">
            <w:pPr>
              <w:rPr>
                <w:sz w:val="18"/>
                <w:szCs w:val="18"/>
                <w:lang w:val="es-ES"/>
              </w:rPr>
            </w:pPr>
            <w:r w:rsidRPr="00804BF4">
              <w:rPr>
                <w:sz w:val="18"/>
                <w:szCs w:val="18"/>
                <w:lang w:val="es-ES"/>
              </w:rPr>
              <w:t>Rec. 10.  El Director General debe ultimar una estrategia exhaustiva de gestión de los conocimientos y someterla a la atención de la Asamblea General a fines de 2015 a más tardar.</w:t>
            </w:r>
          </w:p>
        </w:tc>
        <w:tc>
          <w:tcPr>
            <w:tcW w:w="1701" w:type="dxa"/>
            <w:tcMar>
              <w:top w:w="113" w:type="dxa"/>
            </w:tcMar>
          </w:tcPr>
          <w:p w:rsidR="00625389" w:rsidRPr="00804BF4" w:rsidRDefault="001B7865" w:rsidP="002927A0">
            <w:pPr>
              <w:pStyle w:val="ONUME"/>
              <w:numPr>
                <w:ilvl w:val="0"/>
                <w:numId w:val="0"/>
              </w:numPr>
              <w:rPr>
                <w:sz w:val="18"/>
                <w:szCs w:val="18"/>
                <w:lang w:val="es-ES"/>
              </w:rPr>
            </w:pPr>
            <w:r w:rsidRPr="00804BF4">
              <w:rPr>
                <w:rFonts w:eastAsia="Calibri"/>
                <w:sz w:val="18"/>
                <w:szCs w:val="18"/>
                <w:lang w:val="es-ES"/>
              </w:rPr>
              <w:t>Subdirector</w:t>
            </w:r>
            <w:r w:rsidR="00973C52" w:rsidRPr="00804BF4">
              <w:rPr>
                <w:rFonts w:eastAsia="Calibri"/>
                <w:sz w:val="18"/>
                <w:szCs w:val="18"/>
                <w:lang w:val="es-ES"/>
              </w:rPr>
              <w:t xml:space="preserve"> General</w:t>
            </w:r>
            <w:r w:rsidR="00625389" w:rsidRPr="00804BF4">
              <w:rPr>
                <w:rFonts w:eastAsia="Calibri"/>
                <w:sz w:val="18"/>
                <w:szCs w:val="18"/>
                <w:lang w:val="es-ES"/>
              </w:rPr>
              <w:t xml:space="preserve">, Sector </w:t>
            </w:r>
            <w:r w:rsidR="00973C52" w:rsidRPr="00804BF4">
              <w:rPr>
                <w:rFonts w:eastAsia="Calibri"/>
                <w:sz w:val="18"/>
                <w:szCs w:val="18"/>
                <w:lang w:val="es-ES"/>
              </w:rPr>
              <w:t xml:space="preserve">de Administración y Gestión </w:t>
            </w:r>
          </w:p>
        </w:tc>
        <w:tc>
          <w:tcPr>
            <w:tcW w:w="1287" w:type="dxa"/>
            <w:tcMar>
              <w:top w:w="113" w:type="dxa"/>
            </w:tcMar>
          </w:tcPr>
          <w:p w:rsidR="00625389" w:rsidRPr="00804BF4" w:rsidRDefault="00DB4BB6" w:rsidP="00DB4BB6">
            <w:pPr>
              <w:pStyle w:val="ONUME"/>
              <w:numPr>
                <w:ilvl w:val="0"/>
                <w:numId w:val="0"/>
              </w:numPr>
              <w:rPr>
                <w:sz w:val="18"/>
                <w:szCs w:val="18"/>
                <w:lang w:val="es-ES"/>
              </w:rPr>
            </w:pPr>
            <w:r w:rsidRPr="00804BF4">
              <w:rPr>
                <w:sz w:val="18"/>
                <w:szCs w:val="18"/>
                <w:lang w:val="es-ES"/>
              </w:rPr>
              <w:t>Aceptada</w:t>
            </w:r>
          </w:p>
        </w:tc>
        <w:tc>
          <w:tcPr>
            <w:tcW w:w="1548" w:type="dxa"/>
            <w:tcMar>
              <w:top w:w="113" w:type="dxa"/>
            </w:tcMar>
          </w:tcPr>
          <w:p w:rsidR="00625389" w:rsidRPr="00804BF4" w:rsidRDefault="00DB4BB6" w:rsidP="00DB4BB6">
            <w:pPr>
              <w:pStyle w:val="ONUME"/>
              <w:numPr>
                <w:ilvl w:val="0"/>
                <w:numId w:val="0"/>
              </w:numPr>
              <w:rPr>
                <w:sz w:val="18"/>
                <w:szCs w:val="18"/>
                <w:lang w:val="es-ES"/>
              </w:rPr>
            </w:pPr>
            <w:r w:rsidRPr="00804BF4">
              <w:rPr>
                <w:sz w:val="18"/>
                <w:szCs w:val="18"/>
                <w:lang w:val="es-ES"/>
              </w:rPr>
              <w:t>Aplicada</w:t>
            </w:r>
          </w:p>
        </w:tc>
        <w:tc>
          <w:tcPr>
            <w:tcW w:w="3084" w:type="dxa"/>
            <w:tcMar>
              <w:top w:w="113" w:type="dxa"/>
              <w:bottom w:w="142" w:type="dxa"/>
            </w:tcMar>
          </w:tcPr>
          <w:p w:rsidR="009330C7" w:rsidRPr="00804BF4" w:rsidRDefault="00973C52" w:rsidP="001B7865">
            <w:pPr>
              <w:rPr>
                <w:b/>
                <w:bCs/>
                <w:i/>
                <w:sz w:val="18"/>
                <w:szCs w:val="18"/>
                <w:lang w:val="es-ES"/>
              </w:rPr>
            </w:pPr>
            <w:r w:rsidRPr="00804BF4">
              <w:rPr>
                <w:bCs/>
                <w:sz w:val="18"/>
                <w:szCs w:val="18"/>
                <w:lang w:val="es-ES"/>
              </w:rPr>
              <w:t xml:space="preserve">La </w:t>
            </w:r>
            <w:r w:rsidR="001B7865" w:rsidRPr="00804BF4">
              <w:rPr>
                <w:bCs/>
                <w:sz w:val="18"/>
                <w:szCs w:val="18"/>
                <w:lang w:val="es-ES"/>
              </w:rPr>
              <w:t>Estrategia</w:t>
            </w:r>
            <w:r w:rsidRPr="00804BF4">
              <w:rPr>
                <w:bCs/>
                <w:sz w:val="18"/>
                <w:szCs w:val="18"/>
                <w:lang w:val="es-ES"/>
              </w:rPr>
              <w:t xml:space="preserve"> de</w:t>
            </w:r>
            <w:r w:rsidR="006678F1" w:rsidRPr="00804BF4">
              <w:rPr>
                <w:bCs/>
                <w:sz w:val="18"/>
                <w:szCs w:val="18"/>
                <w:lang w:val="es-ES"/>
              </w:rPr>
              <w:t xml:space="preserve"> </w:t>
            </w:r>
            <w:r w:rsidRPr="00804BF4">
              <w:rPr>
                <w:bCs/>
                <w:sz w:val="18"/>
                <w:szCs w:val="18"/>
                <w:lang w:val="es-ES"/>
              </w:rPr>
              <w:t>gestión de los conocimientos</w:t>
            </w:r>
            <w:r w:rsidR="006678F1" w:rsidRPr="00804BF4">
              <w:rPr>
                <w:bCs/>
                <w:sz w:val="18"/>
                <w:szCs w:val="18"/>
                <w:lang w:val="es-ES"/>
              </w:rPr>
              <w:t xml:space="preserve"> </w:t>
            </w:r>
            <w:r w:rsidRPr="00804BF4">
              <w:rPr>
                <w:bCs/>
                <w:sz w:val="18"/>
                <w:szCs w:val="18"/>
                <w:lang w:val="es-ES"/>
              </w:rPr>
              <w:t xml:space="preserve">se ha puesto a disposición de los </w:t>
            </w:r>
            <w:r w:rsidR="001B7865" w:rsidRPr="00804BF4">
              <w:rPr>
                <w:bCs/>
                <w:sz w:val="18"/>
                <w:szCs w:val="18"/>
                <w:lang w:val="es-ES"/>
              </w:rPr>
              <w:t>Estados</w:t>
            </w:r>
            <w:r w:rsidRPr="00804BF4">
              <w:rPr>
                <w:bCs/>
                <w:sz w:val="18"/>
                <w:szCs w:val="18"/>
                <w:lang w:val="es-ES"/>
              </w:rPr>
              <w:t xml:space="preserve"> miembros como parte de la </w:t>
            </w:r>
            <w:r w:rsidR="001B7865" w:rsidRPr="00804BF4">
              <w:rPr>
                <w:bCs/>
                <w:sz w:val="18"/>
                <w:szCs w:val="18"/>
                <w:lang w:val="es-ES"/>
              </w:rPr>
              <w:t>documentación</w:t>
            </w:r>
            <w:r w:rsidR="006678F1" w:rsidRPr="00804BF4">
              <w:rPr>
                <w:bCs/>
                <w:sz w:val="18"/>
                <w:szCs w:val="18"/>
                <w:lang w:val="es-ES"/>
              </w:rPr>
              <w:t xml:space="preserve"> </w:t>
            </w:r>
            <w:r w:rsidR="001B7865" w:rsidRPr="00804BF4">
              <w:rPr>
                <w:bCs/>
                <w:sz w:val="18"/>
                <w:szCs w:val="18"/>
                <w:lang w:val="es-ES"/>
              </w:rPr>
              <w:t>correspondiente</w:t>
            </w:r>
            <w:r w:rsidRPr="00804BF4">
              <w:rPr>
                <w:bCs/>
                <w:sz w:val="18"/>
                <w:szCs w:val="18"/>
                <w:lang w:val="es-ES"/>
              </w:rPr>
              <w:t xml:space="preserve"> a la 55</w:t>
            </w:r>
            <w:r w:rsidRPr="00804BF4">
              <w:rPr>
                <w:bCs/>
                <w:sz w:val="18"/>
                <w:szCs w:val="18"/>
                <w:vertAlign w:val="superscript"/>
                <w:lang w:val="es-ES"/>
              </w:rPr>
              <w:t>ª</w:t>
            </w:r>
            <w:r w:rsidRPr="00804BF4">
              <w:rPr>
                <w:bCs/>
                <w:sz w:val="18"/>
                <w:szCs w:val="18"/>
                <w:lang w:val="es-ES"/>
              </w:rPr>
              <w:t xml:space="preserve">serie de reuniones de las </w:t>
            </w:r>
            <w:r w:rsidR="001B7865" w:rsidRPr="00804BF4">
              <w:rPr>
                <w:bCs/>
                <w:sz w:val="18"/>
                <w:szCs w:val="18"/>
                <w:lang w:val="es-ES"/>
              </w:rPr>
              <w:t>Asamblea</w:t>
            </w:r>
            <w:r w:rsidR="006678F1" w:rsidRPr="00804BF4">
              <w:rPr>
                <w:bCs/>
                <w:sz w:val="18"/>
                <w:szCs w:val="18"/>
                <w:lang w:val="es-ES"/>
              </w:rPr>
              <w:t>s</w:t>
            </w:r>
            <w:r w:rsidRPr="00804BF4">
              <w:rPr>
                <w:bCs/>
                <w:sz w:val="18"/>
                <w:szCs w:val="18"/>
                <w:lang w:val="es-ES"/>
              </w:rPr>
              <w:t xml:space="preserve"> de los Estados miembros de la OMPI</w:t>
            </w:r>
            <w:r w:rsidR="006678F1" w:rsidRPr="00804BF4">
              <w:rPr>
                <w:bCs/>
                <w:sz w:val="18"/>
                <w:szCs w:val="18"/>
                <w:lang w:val="es-ES"/>
              </w:rPr>
              <w:t>. </w:t>
            </w:r>
          </w:p>
        </w:tc>
      </w:tr>
    </w:tbl>
    <w:p w:rsidR="00DB4BB6" w:rsidRPr="00804BF4" w:rsidRDefault="00DB4BB6" w:rsidP="002F4C82">
      <w:pPr>
        <w:pStyle w:val="ONUME"/>
        <w:numPr>
          <w:ilvl w:val="0"/>
          <w:numId w:val="0"/>
        </w:numPr>
        <w:rPr>
          <w:lang w:val="es-ES"/>
        </w:rPr>
      </w:pPr>
    </w:p>
    <w:p w:rsidR="00DB4BB6" w:rsidRPr="00804BF4" w:rsidRDefault="00DB4BB6" w:rsidP="00DB4BB6">
      <w:pPr>
        <w:pStyle w:val="ONUME"/>
        <w:rPr>
          <w:lang w:val="es-ES"/>
        </w:rPr>
      </w:pPr>
      <w:r w:rsidRPr="00804BF4">
        <w:rPr>
          <w:lang w:val="es-ES"/>
        </w:rPr>
        <w:t>Se propone el siguiente párrafo de decisión.</w:t>
      </w:r>
    </w:p>
    <w:p w:rsidR="00DB4BB6" w:rsidRPr="00804BF4" w:rsidRDefault="00DB4BB6" w:rsidP="00DB4BB6">
      <w:pPr>
        <w:pStyle w:val="ONUME"/>
        <w:tabs>
          <w:tab w:val="left" w:pos="6096"/>
        </w:tabs>
        <w:ind w:left="5533"/>
        <w:rPr>
          <w:i/>
          <w:lang w:val="es-ES"/>
        </w:rPr>
      </w:pPr>
      <w:r w:rsidRPr="00804BF4">
        <w:rPr>
          <w:i/>
          <w:lang w:val="es-ES"/>
        </w:rPr>
        <w:t>El Comité del Programa y Presupuesto:</w:t>
      </w:r>
    </w:p>
    <w:p w:rsidR="002927A0" w:rsidRDefault="002927A0" w:rsidP="002927A0">
      <w:pPr>
        <w:pStyle w:val="ONUME"/>
        <w:numPr>
          <w:ilvl w:val="0"/>
          <w:numId w:val="0"/>
        </w:numPr>
        <w:tabs>
          <w:tab w:val="left" w:pos="6379"/>
        </w:tabs>
        <w:ind w:left="5529" w:firstLine="501"/>
        <w:rPr>
          <w:i/>
          <w:lang w:val="es-ES"/>
        </w:rPr>
      </w:pPr>
      <w:r>
        <w:rPr>
          <w:i/>
          <w:lang w:val="es-ES"/>
        </w:rPr>
        <w:t>i)</w:t>
      </w:r>
      <w:r>
        <w:rPr>
          <w:i/>
          <w:lang w:val="es-ES"/>
        </w:rPr>
        <w:tab/>
      </w:r>
      <w:r w:rsidR="009330C7" w:rsidRPr="00804BF4">
        <w:rPr>
          <w:i/>
          <w:lang w:val="es-ES"/>
        </w:rPr>
        <w:t>to</w:t>
      </w:r>
      <w:r w:rsidR="00973C52" w:rsidRPr="00804BF4">
        <w:rPr>
          <w:i/>
          <w:lang w:val="es-ES"/>
        </w:rPr>
        <w:t xml:space="preserve">mó nota de los comentarios actualizados de la </w:t>
      </w:r>
      <w:r w:rsidR="001B7865" w:rsidRPr="00804BF4">
        <w:rPr>
          <w:i/>
          <w:lang w:val="es-ES"/>
        </w:rPr>
        <w:t>Secretaría</w:t>
      </w:r>
      <w:r w:rsidR="009330C7" w:rsidRPr="00804BF4">
        <w:rPr>
          <w:i/>
          <w:lang w:val="es-ES"/>
        </w:rPr>
        <w:t xml:space="preserve"> </w:t>
      </w:r>
      <w:r w:rsidR="00973C52" w:rsidRPr="00804BF4">
        <w:rPr>
          <w:i/>
          <w:lang w:val="es-ES"/>
        </w:rPr>
        <w:t>sobre el Informe de la Dependencia Común de Inspección “Examen de la gestión y la administración de la Organización Mundial de la Propiedad Intelectual (OMPI)” (JIU/REP/2014/2)</w:t>
      </w:r>
      <w:r w:rsidR="00F85A5D" w:rsidRPr="00804BF4">
        <w:rPr>
          <w:i/>
          <w:lang w:val="es-ES"/>
        </w:rPr>
        <w:t>,</w:t>
      </w:r>
      <w:r w:rsidR="009330C7" w:rsidRPr="00804BF4">
        <w:rPr>
          <w:i/>
          <w:lang w:val="es-ES"/>
        </w:rPr>
        <w:t xml:space="preserve"> </w:t>
      </w:r>
      <w:r w:rsidR="00973C52" w:rsidRPr="00804BF4">
        <w:rPr>
          <w:i/>
          <w:lang w:val="es-ES"/>
        </w:rPr>
        <w:t>expuesto en el</w:t>
      </w:r>
      <w:r w:rsidR="009330C7" w:rsidRPr="00804BF4">
        <w:rPr>
          <w:i/>
          <w:lang w:val="es-ES"/>
        </w:rPr>
        <w:t xml:space="preserve"> </w:t>
      </w:r>
      <w:r w:rsidR="001B7865" w:rsidRPr="00804BF4">
        <w:rPr>
          <w:i/>
          <w:lang w:val="es-ES"/>
        </w:rPr>
        <w:t>documento</w:t>
      </w:r>
      <w:r w:rsidR="00811E7B" w:rsidRPr="00804BF4">
        <w:rPr>
          <w:i/>
          <w:lang w:val="es-ES"/>
        </w:rPr>
        <w:t xml:space="preserve"> WO/PBC/23/4</w:t>
      </w:r>
      <w:r w:rsidR="009330C7" w:rsidRPr="00804BF4">
        <w:rPr>
          <w:i/>
          <w:lang w:val="es-ES"/>
        </w:rPr>
        <w:t xml:space="preserve">, </w:t>
      </w:r>
      <w:r w:rsidR="00973C52" w:rsidRPr="00804BF4">
        <w:rPr>
          <w:i/>
          <w:lang w:val="es-ES"/>
        </w:rPr>
        <w:t xml:space="preserve">y señaló que las </w:t>
      </w:r>
      <w:r w:rsidR="001B7865" w:rsidRPr="00804BF4">
        <w:rPr>
          <w:i/>
          <w:lang w:val="es-ES"/>
        </w:rPr>
        <w:t>recomendaciones</w:t>
      </w:r>
      <w:r w:rsidR="009330C7" w:rsidRPr="00804BF4">
        <w:rPr>
          <w:i/>
          <w:lang w:val="es-ES"/>
        </w:rPr>
        <w:t xml:space="preserve"> 2, 3, 4, 5, 8, </w:t>
      </w:r>
      <w:r w:rsidR="000A5901" w:rsidRPr="00804BF4">
        <w:rPr>
          <w:i/>
          <w:lang w:val="es-ES"/>
        </w:rPr>
        <w:t xml:space="preserve">9 </w:t>
      </w:r>
      <w:r w:rsidR="00973C52" w:rsidRPr="00804BF4">
        <w:rPr>
          <w:i/>
          <w:lang w:val="es-ES"/>
        </w:rPr>
        <w:t xml:space="preserve">y </w:t>
      </w:r>
      <w:r w:rsidR="000A5901" w:rsidRPr="00804BF4">
        <w:rPr>
          <w:i/>
          <w:lang w:val="es-ES"/>
        </w:rPr>
        <w:t>10</w:t>
      </w:r>
      <w:r w:rsidR="009330C7" w:rsidRPr="00804BF4">
        <w:rPr>
          <w:i/>
          <w:lang w:val="es-ES"/>
        </w:rPr>
        <w:t xml:space="preserve">, </w:t>
      </w:r>
      <w:r w:rsidR="00973C52" w:rsidRPr="00804BF4">
        <w:rPr>
          <w:i/>
          <w:lang w:val="es-ES"/>
        </w:rPr>
        <w:t>dirigidas al</w:t>
      </w:r>
      <w:r w:rsidR="009330C7" w:rsidRPr="00804BF4">
        <w:rPr>
          <w:i/>
          <w:lang w:val="es-ES"/>
        </w:rPr>
        <w:t xml:space="preserve"> Director General</w:t>
      </w:r>
      <w:r w:rsidR="00973C52" w:rsidRPr="00804BF4">
        <w:rPr>
          <w:i/>
          <w:lang w:val="es-ES"/>
        </w:rPr>
        <w:t>, han sido aplicadas en su totalidad</w:t>
      </w:r>
      <w:r w:rsidR="009330C7" w:rsidRPr="00804BF4">
        <w:rPr>
          <w:i/>
          <w:lang w:val="es-ES"/>
        </w:rPr>
        <w:t xml:space="preserve">; </w:t>
      </w:r>
      <w:r w:rsidR="00973C52" w:rsidRPr="00804BF4">
        <w:rPr>
          <w:i/>
          <w:lang w:val="es-ES"/>
        </w:rPr>
        <w:t xml:space="preserve"> y</w:t>
      </w:r>
    </w:p>
    <w:p w:rsidR="002927A0" w:rsidRDefault="002927A0">
      <w:pPr>
        <w:rPr>
          <w:i/>
          <w:lang w:val="es-ES"/>
        </w:rPr>
      </w:pPr>
      <w:r>
        <w:rPr>
          <w:i/>
          <w:lang w:val="es-ES"/>
        </w:rPr>
        <w:br w:type="page"/>
      </w:r>
    </w:p>
    <w:p w:rsidR="00DB4BB6" w:rsidRPr="00804BF4" w:rsidRDefault="00DB4BB6" w:rsidP="002927A0">
      <w:pPr>
        <w:pStyle w:val="ONUME"/>
        <w:numPr>
          <w:ilvl w:val="0"/>
          <w:numId w:val="0"/>
        </w:numPr>
        <w:tabs>
          <w:tab w:val="left" w:pos="6379"/>
        </w:tabs>
        <w:ind w:left="5529" w:firstLine="501"/>
        <w:rPr>
          <w:i/>
          <w:lang w:val="es-ES"/>
        </w:rPr>
      </w:pPr>
    </w:p>
    <w:p w:rsidR="00DB4BB6" w:rsidRPr="00804BF4" w:rsidRDefault="002927A0" w:rsidP="002927A0">
      <w:pPr>
        <w:pStyle w:val="ONUME"/>
        <w:numPr>
          <w:ilvl w:val="0"/>
          <w:numId w:val="0"/>
        </w:numPr>
        <w:tabs>
          <w:tab w:val="left" w:pos="6379"/>
        </w:tabs>
        <w:ind w:left="5529" w:firstLine="501"/>
        <w:rPr>
          <w:i/>
          <w:lang w:val="es-ES"/>
        </w:rPr>
      </w:pPr>
      <w:r>
        <w:rPr>
          <w:i/>
          <w:lang w:val="es-ES"/>
        </w:rPr>
        <w:t>ii)</w:t>
      </w:r>
      <w:r>
        <w:rPr>
          <w:i/>
          <w:lang w:val="es-ES"/>
        </w:rPr>
        <w:tab/>
      </w:r>
      <w:r w:rsidR="00973C52" w:rsidRPr="00804BF4">
        <w:rPr>
          <w:i/>
          <w:lang w:val="es-ES"/>
        </w:rPr>
        <w:t xml:space="preserve">solicitó a la </w:t>
      </w:r>
      <w:r w:rsidR="001B7865" w:rsidRPr="00804BF4">
        <w:rPr>
          <w:i/>
          <w:lang w:val="es-ES"/>
        </w:rPr>
        <w:t>Secretaría</w:t>
      </w:r>
      <w:r w:rsidR="002C463D" w:rsidRPr="00804BF4">
        <w:rPr>
          <w:i/>
          <w:lang w:val="es-ES"/>
        </w:rPr>
        <w:t xml:space="preserve"> </w:t>
      </w:r>
      <w:r w:rsidR="001B7865" w:rsidRPr="00804BF4">
        <w:rPr>
          <w:i/>
          <w:lang w:val="es-ES"/>
        </w:rPr>
        <w:t xml:space="preserve">que siga informando acerca de cualquier recomendación pendiente en el futuro, en el marco de los informes periódicos </w:t>
      </w:r>
      <w:r w:rsidR="002C463D" w:rsidRPr="00804BF4">
        <w:rPr>
          <w:i/>
          <w:lang w:val="es-ES"/>
        </w:rPr>
        <w:t>pr</w:t>
      </w:r>
      <w:r w:rsidR="001B7865" w:rsidRPr="00804BF4">
        <w:rPr>
          <w:i/>
          <w:lang w:val="es-ES"/>
        </w:rPr>
        <w:t>esentados a los Estados miembros sobre la marcha de la aplicación de las recomendaciones de la DCI</w:t>
      </w:r>
      <w:r w:rsidR="00205BEA" w:rsidRPr="00804BF4">
        <w:rPr>
          <w:i/>
          <w:lang w:val="es-ES"/>
        </w:rPr>
        <w:t>.</w:t>
      </w:r>
    </w:p>
    <w:p w:rsidR="00DB4BB6" w:rsidRPr="00804BF4" w:rsidRDefault="00DB4BB6" w:rsidP="00B3708A">
      <w:pPr>
        <w:pStyle w:val="Endofdocument-Annex"/>
        <w:rPr>
          <w:lang w:val="es-ES"/>
        </w:rPr>
      </w:pPr>
    </w:p>
    <w:p w:rsidR="00DB4BB6" w:rsidRPr="00804BF4" w:rsidRDefault="00DB4BB6" w:rsidP="00B3708A">
      <w:pPr>
        <w:pStyle w:val="Endofdocument-Annex"/>
        <w:rPr>
          <w:lang w:val="es-ES"/>
        </w:rPr>
      </w:pPr>
    </w:p>
    <w:p w:rsidR="00DB4BB6" w:rsidRPr="00804BF4" w:rsidRDefault="00DB4BB6" w:rsidP="00DB4BB6">
      <w:pPr>
        <w:pStyle w:val="Endofdocument-Annex"/>
        <w:rPr>
          <w:lang w:val="es-ES"/>
        </w:rPr>
      </w:pPr>
      <w:r w:rsidRPr="00804BF4">
        <w:rPr>
          <w:lang w:val="es-ES"/>
        </w:rPr>
        <w:t>[Fin del documento]</w:t>
      </w:r>
    </w:p>
    <w:p w:rsidR="002928D3" w:rsidRPr="00804BF4" w:rsidRDefault="002928D3" w:rsidP="00C324D7">
      <w:pPr>
        <w:pStyle w:val="Endofdocument-Annex"/>
        <w:rPr>
          <w:lang w:val="es-ES"/>
        </w:rPr>
      </w:pPr>
    </w:p>
    <w:sectPr w:rsidR="002928D3" w:rsidRPr="00804BF4" w:rsidSect="00C324D7">
      <w:headerReference w:type="default" r:id="rId10"/>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025" w:rsidRDefault="00BB6025">
      <w:r>
        <w:separator/>
      </w:r>
    </w:p>
  </w:endnote>
  <w:endnote w:type="continuationSeparator" w:id="0">
    <w:p w:rsidR="00BB6025" w:rsidRDefault="00BB6025" w:rsidP="003B38C1">
      <w:r>
        <w:separator/>
      </w:r>
    </w:p>
    <w:p w:rsidR="00BB6025" w:rsidRPr="003B38C1" w:rsidRDefault="00BB6025" w:rsidP="003B38C1">
      <w:pPr>
        <w:spacing w:after="60"/>
        <w:rPr>
          <w:sz w:val="17"/>
        </w:rPr>
      </w:pPr>
      <w:r>
        <w:rPr>
          <w:sz w:val="17"/>
        </w:rPr>
        <w:t>[Endnote continued from previous page]</w:t>
      </w:r>
    </w:p>
  </w:endnote>
  <w:endnote w:type="continuationNotice" w:id="1">
    <w:p w:rsidR="00BB6025" w:rsidRPr="003B38C1" w:rsidRDefault="00BB60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025" w:rsidRDefault="00BB6025">
      <w:r>
        <w:separator/>
      </w:r>
    </w:p>
  </w:footnote>
  <w:footnote w:type="continuationSeparator" w:id="0">
    <w:p w:rsidR="00BB6025" w:rsidRDefault="00BB6025" w:rsidP="008B60B2">
      <w:r>
        <w:separator/>
      </w:r>
    </w:p>
    <w:p w:rsidR="00BB6025" w:rsidRPr="00ED77FB" w:rsidRDefault="00BB6025" w:rsidP="008B60B2">
      <w:pPr>
        <w:spacing w:after="60"/>
        <w:rPr>
          <w:sz w:val="17"/>
          <w:szCs w:val="17"/>
        </w:rPr>
      </w:pPr>
      <w:r w:rsidRPr="00ED77FB">
        <w:rPr>
          <w:sz w:val="17"/>
          <w:szCs w:val="17"/>
        </w:rPr>
        <w:t>[Footnote continued from previous page]</w:t>
      </w:r>
    </w:p>
  </w:footnote>
  <w:footnote w:type="continuationNotice" w:id="1">
    <w:p w:rsidR="00BB6025" w:rsidRPr="00ED77FB" w:rsidRDefault="00BB602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1B7865" w:rsidRDefault="00DB4BB6" w:rsidP="00DB4BB6">
    <w:pPr>
      <w:jc w:val="right"/>
    </w:pPr>
    <w:r w:rsidRPr="001B7865">
      <w:rPr>
        <w:lang w:val="es-ES_tradnl"/>
      </w:rPr>
      <w:t>WO/PBC/23/4</w:t>
    </w:r>
  </w:p>
  <w:p w:rsidR="00EC4E49" w:rsidRDefault="001B7865" w:rsidP="001B7865">
    <w:pPr>
      <w:ind w:left="567"/>
      <w:jc w:val="right"/>
    </w:pPr>
    <w:r w:rsidRPr="001B7865">
      <w:rPr>
        <w:lang w:val="es-ES_tradnl"/>
      </w:rPr>
      <w:t>página</w:t>
    </w:r>
    <w:r>
      <w:t xml:space="preserve"> </w:t>
    </w:r>
    <w:r w:rsidR="00EC4E49">
      <w:fldChar w:fldCharType="begin"/>
    </w:r>
    <w:r w:rsidR="00EC4E49">
      <w:instrText xml:space="preserve"> PAGE  \* MERGEFORMAT </w:instrText>
    </w:r>
    <w:r w:rsidR="00EC4E49">
      <w:fldChar w:fldCharType="separate"/>
    </w:r>
    <w:r w:rsidR="000047BD">
      <w:rPr>
        <w:noProof/>
      </w:rPr>
      <w:t>6</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BB289C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6597"/>
        </w:tabs>
        <w:ind w:left="6030"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604E4F"/>
    <w:multiLevelType w:val="hybridMultilevel"/>
    <w:tmpl w:val="D3A4B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WorkspaceSTS\EN-ES\Budget and Finance\Publications|WorkspaceSTS\EN-ES\Budget and Finance\Política de inversiones|WorkspaceSTS\EN-ES\Administrative\Publications|Budget and Finance\Meetings"/>
    <w:docVar w:name="TextBaseURL" w:val="empty"/>
    <w:docVar w:name="UILng" w:val="en"/>
  </w:docVars>
  <w:rsids>
    <w:rsidRoot w:val="00BB6025"/>
    <w:rsid w:val="000011AC"/>
    <w:rsid w:val="000047BD"/>
    <w:rsid w:val="00043CAA"/>
    <w:rsid w:val="00060917"/>
    <w:rsid w:val="00075432"/>
    <w:rsid w:val="00095860"/>
    <w:rsid w:val="000968ED"/>
    <w:rsid w:val="000A5901"/>
    <w:rsid w:val="000F5E56"/>
    <w:rsid w:val="0010450F"/>
    <w:rsid w:val="00106614"/>
    <w:rsid w:val="001136B1"/>
    <w:rsid w:val="001362EE"/>
    <w:rsid w:val="001832A6"/>
    <w:rsid w:val="001B6599"/>
    <w:rsid w:val="001B7865"/>
    <w:rsid w:val="001F0D37"/>
    <w:rsid w:val="00205BEA"/>
    <w:rsid w:val="002217C6"/>
    <w:rsid w:val="002634C4"/>
    <w:rsid w:val="002927A0"/>
    <w:rsid w:val="002928D3"/>
    <w:rsid w:val="002C463D"/>
    <w:rsid w:val="002F1FE6"/>
    <w:rsid w:val="002F3759"/>
    <w:rsid w:val="002F4C82"/>
    <w:rsid w:val="002F4E68"/>
    <w:rsid w:val="00301613"/>
    <w:rsid w:val="00312F7F"/>
    <w:rsid w:val="00361450"/>
    <w:rsid w:val="003673CF"/>
    <w:rsid w:val="003845C1"/>
    <w:rsid w:val="00397D6E"/>
    <w:rsid w:val="003A6F89"/>
    <w:rsid w:val="003B38C1"/>
    <w:rsid w:val="003F5A4E"/>
    <w:rsid w:val="00423E3E"/>
    <w:rsid w:val="00427AF4"/>
    <w:rsid w:val="00441B21"/>
    <w:rsid w:val="004647DA"/>
    <w:rsid w:val="00474062"/>
    <w:rsid w:val="00477D6B"/>
    <w:rsid w:val="004943DF"/>
    <w:rsid w:val="005019FF"/>
    <w:rsid w:val="00515E4B"/>
    <w:rsid w:val="0053057A"/>
    <w:rsid w:val="0053155A"/>
    <w:rsid w:val="0055349E"/>
    <w:rsid w:val="00560A29"/>
    <w:rsid w:val="005C6649"/>
    <w:rsid w:val="00605827"/>
    <w:rsid w:val="00616A69"/>
    <w:rsid w:val="00625389"/>
    <w:rsid w:val="00641841"/>
    <w:rsid w:val="00646050"/>
    <w:rsid w:val="006678F1"/>
    <w:rsid w:val="006713CA"/>
    <w:rsid w:val="00676C5C"/>
    <w:rsid w:val="006B7BE1"/>
    <w:rsid w:val="006C6549"/>
    <w:rsid w:val="006D3C6C"/>
    <w:rsid w:val="006D76E9"/>
    <w:rsid w:val="00730FAD"/>
    <w:rsid w:val="0077449B"/>
    <w:rsid w:val="007971B1"/>
    <w:rsid w:val="007D1613"/>
    <w:rsid w:val="007E7164"/>
    <w:rsid w:val="00804BF4"/>
    <w:rsid w:val="00811E7B"/>
    <w:rsid w:val="00822AB0"/>
    <w:rsid w:val="00846812"/>
    <w:rsid w:val="008579C3"/>
    <w:rsid w:val="00860405"/>
    <w:rsid w:val="00882072"/>
    <w:rsid w:val="008B2CC1"/>
    <w:rsid w:val="008B60B2"/>
    <w:rsid w:val="0090731E"/>
    <w:rsid w:val="00916EE2"/>
    <w:rsid w:val="009330C7"/>
    <w:rsid w:val="00933841"/>
    <w:rsid w:val="0096149D"/>
    <w:rsid w:val="00966A22"/>
    <w:rsid w:val="0096722F"/>
    <w:rsid w:val="00973C52"/>
    <w:rsid w:val="00980843"/>
    <w:rsid w:val="009868DF"/>
    <w:rsid w:val="009B2D83"/>
    <w:rsid w:val="009C699E"/>
    <w:rsid w:val="009E2791"/>
    <w:rsid w:val="009E3F6F"/>
    <w:rsid w:val="009F499F"/>
    <w:rsid w:val="00A00F9A"/>
    <w:rsid w:val="00A05199"/>
    <w:rsid w:val="00A42DAF"/>
    <w:rsid w:val="00A45BD8"/>
    <w:rsid w:val="00A869B7"/>
    <w:rsid w:val="00AC205C"/>
    <w:rsid w:val="00AD6D5F"/>
    <w:rsid w:val="00AF0A6B"/>
    <w:rsid w:val="00B05A69"/>
    <w:rsid w:val="00B3708A"/>
    <w:rsid w:val="00B9734B"/>
    <w:rsid w:val="00BB6025"/>
    <w:rsid w:val="00BF4EB2"/>
    <w:rsid w:val="00C11BFE"/>
    <w:rsid w:val="00C324D7"/>
    <w:rsid w:val="00C518C3"/>
    <w:rsid w:val="00C647AB"/>
    <w:rsid w:val="00C90379"/>
    <w:rsid w:val="00CA6D78"/>
    <w:rsid w:val="00CF4E91"/>
    <w:rsid w:val="00D166D7"/>
    <w:rsid w:val="00D220D4"/>
    <w:rsid w:val="00D45252"/>
    <w:rsid w:val="00D51C8D"/>
    <w:rsid w:val="00D71B4D"/>
    <w:rsid w:val="00D93D55"/>
    <w:rsid w:val="00DA211F"/>
    <w:rsid w:val="00DB18F6"/>
    <w:rsid w:val="00DB4BB6"/>
    <w:rsid w:val="00E335FE"/>
    <w:rsid w:val="00E628DA"/>
    <w:rsid w:val="00E9276B"/>
    <w:rsid w:val="00EC4E49"/>
    <w:rsid w:val="00EC6D92"/>
    <w:rsid w:val="00ED77FB"/>
    <w:rsid w:val="00EE45FA"/>
    <w:rsid w:val="00F0308D"/>
    <w:rsid w:val="00F66152"/>
    <w:rsid w:val="00F85A5D"/>
    <w:rsid w:val="00FB2A80"/>
    <w:rsid w:val="00FC341F"/>
    <w:rsid w:val="00FF61F0"/>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05BEA"/>
    <w:rPr>
      <w:rFonts w:ascii="Arial" w:eastAsia="SimSun" w:hAnsi="Arial" w:cs="Arial"/>
      <w:sz w:val="18"/>
      <w:lang w:eastAsia="zh-CN"/>
    </w:rPr>
  </w:style>
  <w:style w:type="character" w:styleId="FootnoteReference">
    <w:name w:val="footnote reference"/>
    <w:basedOn w:val="DefaultParagraphFont"/>
    <w:rsid w:val="00205BEA"/>
    <w:rPr>
      <w:vertAlign w:val="superscript"/>
    </w:rPr>
  </w:style>
  <w:style w:type="paragraph" w:styleId="ListParagraph">
    <w:name w:val="List Paragraph"/>
    <w:basedOn w:val="Normal"/>
    <w:uiPriority w:val="34"/>
    <w:qFormat/>
    <w:rsid w:val="00205BEA"/>
    <w:pPr>
      <w:ind w:left="720"/>
      <w:contextualSpacing/>
    </w:pPr>
  </w:style>
  <w:style w:type="table" w:styleId="TableGrid">
    <w:name w:val="Table Grid"/>
    <w:basedOn w:val="TableNormal"/>
    <w:rsid w:val="00D51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rsid w:val="00F0308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05BEA"/>
    <w:rPr>
      <w:rFonts w:ascii="Arial" w:eastAsia="SimSun" w:hAnsi="Arial" w:cs="Arial"/>
      <w:sz w:val="18"/>
      <w:lang w:eastAsia="zh-CN"/>
    </w:rPr>
  </w:style>
  <w:style w:type="character" w:styleId="FootnoteReference">
    <w:name w:val="footnote reference"/>
    <w:basedOn w:val="DefaultParagraphFont"/>
    <w:rsid w:val="00205BEA"/>
    <w:rPr>
      <w:vertAlign w:val="superscript"/>
    </w:rPr>
  </w:style>
  <w:style w:type="paragraph" w:styleId="ListParagraph">
    <w:name w:val="List Paragraph"/>
    <w:basedOn w:val="Normal"/>
    <w:uiPriority w:val="34"/>
    <w:qFormat/>
    <w:rsid w:val="00205BEA"/>
    <w:pPr>
      <w:ind w:left="720"/>
      <w:contextualSpacing/>
    </w:pPr>
  </w:style>
  <w:style w:type="table" w:styleId="TableGrid">
    <w:name w:val="Table Grid"/>
    <w:basedOn w:val="TableNormal"/>
    <w:rsid w:val="00D51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rsid w:val="00F0308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3D397-42C2-465E-AEBD-A6FA3CE53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Template>
  <TotalTime>0</TotalTime>
  <Pages>6</Pages>
  <Words>1843</Words>
  <Characters>9488</Characters>
  <Application>Microsoft Office Word</Application>
  <DocSecurity>4</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WO/PBC/23/</vt:lpstr>
      <vt:lpstr>WO/PBC/23/</vt:lpstr>
    </vt:vector>
  </TitlesOfParts>
  <Company>WIPO</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DOYON Geneviève</dc:creator>
  <cp:lastModifiedBy>DOYON Geneviève</cp:lastModifiedBy>
  <cp:revision>2</cp:revision>
  <cp:lastPrinted>2015-05-06T09:51:00Z</cp:lastPrinted>
  <dcterms:created xsi:type="dcterms:W3CDTF">2015-05-13T05:51:00Z</dcterms:created>
  <dcterms:modified xsi:type="dcterms:W3CDTF">2015-05-13T05:51:00Z</dcterms:modified>
</cp:coreProperties>
</file>