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9.xml" ContentType="application/vnd.openxmlformats-officedocument.wordprocessingml.header+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7.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88395E">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8B2CC1" w:rsidRDefault="00C12F15" w:rsidP="00AB613D">
            <w:r>
              <w:rPr>
                <w:noProof/>
                <w:lang w:val="en-US" w:eastAsia="en-US"/>
              </w:rPr>
              <w:drawing>
                <wp:inline distT="0" distB="0" distL="0" distR="0">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szCs w:val="40"/>
              </w:rPr>
              <w:t>S</w:t>
            </w:r>
          </w:p>
        </w:tc>
      </w:tr>
      <w:tr w:rsidR="008B2CC1" w:rsidRPr="001832A6"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743840" w:rsidP="00AB613D">
            <w:pPr>
              <w:jc w:val="right"/>
              <w:rPr>
                <w:rFonts w:ascii="Arial Black" w:hAnsi="Arial Black"/>
                <w:caps/>
                <w:sz w:val="15"/>
              </w:rPr>
            </w:pPr>
            <w:r>
              <w:rPr>
                <w:rFonts w:ascii="Arial Black" w:hAnsi="Arial Black"/>
                <w:caps/>
                <w:sz w:val="15"/>
              </w:rPr>
              <w:t>wo/pbc/23/</w:t>
            </w:r>
            <w:bookmarkStart w:id="0" w:name="Code"/>
            <w:bookmarkEnd w:id="0"/>
            <w:r w:rsidR="002E3E28">
              <w:rPr>
                <w:rFonts w:ascii="Arial Black" w:hAnsi="Arial Black"/>
                <w:caps/>
                <w:sz w:val="15"/>
              </w:rPr>
              <w:t>3</w:t>
            </w:r>
          </w:p>
        </w:tc>
      </w:tr>
      <w:tr w:rsidR="008B2CC1" w:rsidRPr="001832A6" w:rsidTr="00AB613D">
        <w:trPr>
          <w:trHeight w:hRule="exact" w:val="170"/>
        </w:trPr>
        <w:tc>
          <w:tcPr>
            <w:tcW w:w="9356" w:type="dxa"/>
            <w:gridSpan w:val="3"/>
            <w:noWrap/>
            <w:tcMar>
              <w:left w:w="0" w:type="dxa"/>
              <w:right w:w="0" w:type="dxa"/>
            </w:tcMar>
            <w:vAlign w:val="bottom"/>
          </w:tcPr>
          <w:p w:rsidR="008B2CC1" w:rsidRPr="0090731E" w:rsidRDefault="008B2CC1" w:rsidP="00AB613D">
            <w:pPr>
              <w:jc w:val="right"/>
              <w:rPr>
                <w:rFonts w:ascii="Arial Black" w:hAnsi="Arial Black"/>
                <w:caps/>
                <w:sz w:val="15"/>
              </w:rPr>
            </w:pPr>
            <w:r w:rsidRPr="0090731E">
              <w:rPr>
                <w:rFonts w:ascii="Arial Black" w:hAnsi="Arial Black"/>
                <w:caps/>
                <w:sz w:val="15"/>
              </w:rPr>
              <w:t>ORIGINAL:</w:t>
            </w:r>
            <w:r w:rsidR="00F84474">
              <w:rPr>
                <w:rFonts w:ascii="Arial Black" w:hAnsi="Arial Black"/>
                <w:caps/>
                <w:sz w:val="15"/>
              </w:rPr>
              <w:t xml:space="preserve"> </w:t>
            </w:r>
            <w:r w:rsidRPr="0090731E">
              <w:rPr>
                <w:rFonts w:ascii="Arial Black" w:hAnsi="Arial Black"/>
                <w:caps/>
                <w:sz w:val="15"/>
              </w:rPr>
              <w:t xml:space="preserve"> </w:t>
            </w:r>
            <w:bookmarkStart w:id="1" w:name="Original"/>
            <w:bookmarkEnd w:id="1"/>
            <w:r w:rsidR="002E3E28">
              <w:rPr>
                <w:rFonts w:ascii="Arial Black" w:hAnsi="Arial Black"/>
                <w:caps/>
                <w:sz w:val="15"/>
              </w:rPr>
              <w:t>INGLÉS</w:t>
            </w:r>
          </w:p>
        </w:tc>
      </w:tr>
      <w:tr w:rsidR="008B2CC1" w:rsidRPr="001832A6" w:rsidTr="00AB613D">
        <w:trPr>
          <w:trHeight w:hRule="exact" w:val="198"/>
        </w:trPr>
        <w:tc>
          <w:tcPr>
            <w:tcW w:w="9356" w:type="dxa"/>
            <w:gridSpan w:val="3"/>
            <w:tcMar>
              <w:left w:w="0" w:type="dxa"/>
              <w:right w:w="0" w:type="dxa"/>
            </w:tcMar>
            <w:vAlign w:val="bottom"/>
          </w:tcPr>
          <w:p w:rsidR="008B2CC1" w:rsidRPr="0090731E" w:rsidRDefault="00675021" w:rsidP="00BE7B0B">
            <w:pPr>
              <w:jc w:val="right"/>
              <w:rPr>
                <w:rFonts w:ascii="Arial Black" w:hAnsi="Arial Black"/>
                <w:caps/>
                <w:sz w:val="15"/>
              </w:rPr>
            </w:pPr>
            <w:r>
              <w:rPr>
                <w:rFonts w:ascii="Arial Black" w:hAnsi="Arial Black"/>
                <w:caps/>
                <w:sz w:val="15"/>
              </w:rPr>
              <w:t>fecha</w:t>
            </w:r>
            <w:r w:rsidR="008B2CC1" w:rsidRPr="0090731E">
              <w:rPr>
                <w:rFonts w:ascii="Arial Black" w:hAnsi="Arial Black"/>
                <w:caps/>
                <w:sz w:val="15"/>
              </w:rPr>
              <w:t>:</w:t>
            </w:r>
            <w:r w:rsidR="00F84474">
              <w:rPr>
                <w:rFonts w:ascii="Arial Black" w:hAnsi="Arial Black"/>
                <w:caps/>
                <w:sz w:val="15"/>
              </w:rPr>
              <w:t xml:space="preserve"> </w:t>
            </w:r>
            <w:r w:rsidR="008B2CC1" w:rsidRPr="0090731E">
              <w:rPr>
                <w:rFonts w:ascii="Arial Black" w:hAnsi="Arial Black"/>
                <w:caps/>
                <w:sz w:val="15"/>
              </w:rPr>
              <w:t xml:space="preserve"> </w:t>
            </w:r>
            <w:bookmarkStart w:id="2" w:name="Date"/>
            <w:bookmarkEnd w:id="2"/>
            <w:r w:rsidR="00BE7B0B">
              <w:rPr>
                <w:rFonts w:ascii="Arial Black" w:hAnsi="Arial Black"/>
                <w:caps/>
                <w:sz w:val="15"/>
              </w:rPr>
              <w:t>4</w:t>
            </w:r>
            <w:r w:rsidR="002E3E28">
              <w:rPr>
                <w:rFonts w:ascii="Arial Black" w:hAnsi="Arial Black"/>
                <w:caps/>
                <w:sz w:val="15"/>
              </w:rPr>
              <w:t xml:space="preserve"> DE </w:t>
            </w:r>
            <w:r w:rsidR="00BE7B0B">
              <w:rPr>
                <w:rFonts w:ascii="Arial Black" w:hAnsi="Arial Black"/>
                <w:caps/>
                <w:sz w:val="15"/>
              </w:rPr>
              <w:t>JUNIO</w:t>
            </w:r>
            <w:r w:rsidR="002E3E28">
              <w:rPr>
                <w:rFonts w:ascii="Arial Black" w:hAnsi="Arial Black"/>
                <w:caps/>
                <w:sz w:val="15"/>
              </w:rPr>
              <w:t xml:space="preserve"> DE 2015</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C12F15" w:rsidRPr="00C12F15" w:rsidRDefault="00C12F15" w:rsidP="00C12F15">
      <w:pPr>
        <w:rPr>
          <w:b/>
          <w:sz w:val="28"/>
          <w:szCs w:val="28"/>
        </w:rPr>
      </w:pPr>
      <w:r w:rsidRPr="00C12F15">
        <w:rPr>
          <w:b/>
          <w:sz w:val="28"/>
          <w:szCs w:val="28"/>
        </w:rPr>
        <w:t>Comité del Programa y Presupuesto</w:t>
      </w:r>
    </w:p>
    <w:p w:rsidR="003845C1" w:rsidRDefault="003845C1" w:rsidP="003845C1"/>
    <w:p w:rsidR="003845C1" w:rsidRDefault="003845C1" w:rsidP="003845C1"/>
    <w:p w:rsidR="00C12F15" w:rsidRPr="00C12F15" w:rsidRDefault="00C12F15" w:rsidP="00C12F15">
      <w:pPr>
        <w:rPr>
          <w:b/>
          <w:sz w:val="24"/>
          <w:szCs w:val="24"/>
        </w:rPr>
      </w:pPr>
      <w:r w:rsidRPr="00C12F15">
        <w:rPr>
          <w:b/>
          <w:sz w:val="24"/>
          <w:szCs w:val="24"/>
        </w:rPr>
        <w:t>Vigesimotercera sesión</w:t>
      </w:r>
    </w:p>
    <w:p w:rsidR="00C12F15" w:rsidRPr="00C12F15" w:rsidRDefault="00C12F15" w:rsidP="00C12F15">
      <w:pPr>
        <w:rPr>
          <w:b/>
          <w:sz w:val="24"/>
          <w:szCs w:val="24"/>
        </w:rPr>
      </w:pPr>
      <w:r w:rsidRPr="00C12F15">
        <w:rPr>
          <w:b/>
          <w:sz w:val="24"/>
          <w:szCs w:val="24"/>
        </w:rPr>
        <w:t>Ginebra, 13 a 17 de julio de 2015</w:t>
      </w:r>
    </w:p>
    <w:p w:rsidR="008B2CC1" w:rsidRPr="008B2CC1" w:rsidRDefault="008B2CC1" w:rsidP="008B2CC1"/>
    <w:p w:rsidR="008B2CC1" w:rsidRPr="008B2CC1" w:rsidRDefault="008B2CC1" w:rsidP="008B2CC1"/>
    <w:p w:rsidR="008B2CC1" w:rsidRPr="008B2CC1" w:rsidRDefault="008B2CC1" w:rsidP="008B2CC1"/>
    <w:p w:rsidR="008B2CC1" w:rsidRPr="002E3E28" w:rsidRDefault="002E3E28" w:rsidP="008B2CC1">
      <w:pPr>
        <w:rPr>
          <w:caps/>
          <w:sz w:val="24"/>
          <w:szCs w:val="24"/>
        </w:rPr>
      </w:pPr>
      <w:bookmarkStart w:id="3" w:name="TitleOfDoc"/>
      <w:bookmarkEnd w:id="3"/>
      <w:r w:rsidRPr="002E3E28">
        <w:rPr>
          <w:sz w:val="24"/>
          <w:szCs w:val="24"/>
          <w:highlight w:val="white"/>
        </w:rPr>
        <w:t>PROYECTO DE PROPUESTA DE PRESUPUESTO POR PROGRAMAS PARA</w:t>
      </w:r>
      <w:r>
        <w:rPr>
          <w:sz w:val="24"/>
          <w:szCs w:val="24"/>
        </w:rPr>
        <w:t> </w:t>
      </w:r>
      <w:r w:rsidR="002E2F34">
        <w:rPr>
          <w:sz w:val="24"/>
          <w:szCs w:val="24"/>
        </w:rPr>
        <w:t xml:space="preserve">EL BIENIO </w:t>
      </w:r>
      <w:r w:rsidRPr="002E3E28">
        <w:rPr>
          <w:sz w:val="24"/>
          <w:szCs w:val="24"/>
        </w:rPr>
        <w:t>2016/17</w:t>
      </w:r>
    </w:p>
    <w:p w:rsidR="008B2CC1" w:rsidRPr="008B2CC1" w:rsidRDefault="008B2CC1" w:rsidP="008B2CC1"/>
    <w:p w:rsidR="008B2CC1" w:rsidRPr="002E3E28" w:rsidRDefault="00640B5E" w:rsidP="008B2CC1">
      <w:pPr>
        <w:rPr>
          <w:i/>
        </w:rPr>
      </w:pPr>
      <w:bookmarkStart w:id="4" w:name="Prepared"/>
      <w:bookmarkEnd w:id="4"/>
      <w:r>
        <w:rPr>
          <w:i/>
        </w:rPr>
        <w:t xml:space="preserve">Documento </w:t>
      </w:r>
      <w:r w:rsidR="002E3E28">
        <w:rPr>
          <w:i/>
        </w:rPr>
        <w:t>p</w:t>
      </w:r>
      <w:r w:rsidR="002E3E28" w:rsidRPr="002E3E28">
        <w:rPr>
          <w:i/>
        </w:rPr>
        <w:t xml:space="preserve">reparado por la </w:t>
      </w:r>
      <w:r w:rsidR="002E3E28" w:rsidRPr="002E3E28">
        <w:rPr>
          <w:i/>
          <w:szCs w:val="22"/>
        </w:rPr>
        <w:t>Secretaría</w:t>
      </w:r>
    </w:p>
    <w:p w:rsidR="008B2CC1" w:rsidRDefault="008B2CC1" w:rsidP="003845C1"/>
    <w:p w:rsidR="000F5E56" w:rsidRDefault="000F5E56"/>
    <w:p w:rsidR="00F84474" w:rsidRDefault="00F84474"/>
    <w:p w:rsidR="00F84474" w:rsidRDefault="00F84474"/>
    <w:p w:rsidR="002E3E28" w:rsidRPr="00404978" w:rsidRDefault="002E3E28" w:rsidP="002E3E28"/>
    <w:p w:rsidR="002E3E28" w:rsidRPr="00404978" w:rsidRDefault="00640B5E" w:rsidP="002E3E28">
      <w:pPr>
        <w:pStyle w:val="ONUME"/>
        <w:numPr>
          <w:ilvl w:val="0"/>
          <w:numId w:val="7"/>
        </w:numPr>
        <w:rPr>
          <w:szCs w:val="22"/>
          <w:lang w:val="es-ES_tradnl"/>
        </w:rPr>
      </w:pPr>
      <w:r w:rsidRPr="00404978">
        <w:rPr>
          <w:szCs w:val="22"/>
        </w:rPr>
        <w:t>El proyecto adjunto de propuesta de presupuesto por programas para el bienio 2016/17 se somete a la presente sesión del Comité del Programa y Presupuesto (PBC) de conformidad con el artículo 2.6 del Reglamento Financiero para que el PBC lo “examine y formule comentarios y recomendaciones, incluidas posibles modificaciones” y con arreglo al mecanismo para incrementar la participación de los Estados miembros en la preparación y el seguimiento del presupuesto por programas de la Organización (véanse los documentos WO/PBC/13/7 y A/46/12).</w:t>
      </w:r>
    </w:p>
    <w:p w:rsidR="002E3E28" w:rsidRPr="00404978" w:rsidRDefault="00640B5E" w:rsidP="002E3E28">
      <w:pPr>
        <w:pStyle w:val="ONUME"/>
        <w:numPr>
          <w:ilvl w:val="0"/>
          <w:numId w:val="7"/>
        </w:numPr>
        <w:rPr>
          <w:szCs w:val="22"/>
          <w:lang w:val="es-ES_tradnl"/>
        </w:rPr>
      </w:pPr>
      <w:r w:rsidRPr="00404978">
        <w:rPr>
          <w:szCs w:val="22"/>
        </w:rPr>
        <w:t xml:space="preserve">El presente proyecto se ha preparado teniendo debidamente en cuenta las aportaciones, los comentarios y las observaciones que se han recibido de los Estados miembros en sus respuestas al </w:t>
      </w:r>
      <w:r w:rsidR="00D609BF">
        <w:rPr>
          <w:szCs w:val="22"/>
        </w:rPr>
        <w:t>c</w:t>
      </w:r>
      <w:r w:rsidRPr="00404978">
        <w:rPr>
          <w:szCs w:val="22"/>
        </w:rPr>
        <w:t>uestionario sobre el proyecto de presupuesto por programas para el bienio 2016/17.</w:t>
      </w:r>
    </w:p>
    <w:p w:rsidR="003D53A9" w:rsidRPr="00404978" w:rsidRDefault="003D53A9" w:rsidP="003D53A9">
      <w:pPr>
        <w:pStyle w:val="ONUME"/>
        <w:numPr>
          <w:ilvl w:val="0"/>
          <w:numId w:val="7"/>
        </w:numPr>
        <w:rPr>
          <w:szCs w:val="22"/>
          <w:lang w:val="es-ES_tradnl"/>
        </w:rPr>
      </w:pPr>
      <w:r>
        <w:rPr>
          <w:szCs w:val="22"/>
        </w:rPr>
        <w:t>Con arreglo a</w:t>
      </w:r>
      <w:r w:rsidRPr="00404978">
        <w:rPr>
          <w:szCs w:val="22"/>
        </w:rPr>
        <w:t>l mecanismo, tras la presente revisión, se convocará una sesión del PBC para septiembre de</w:t>
      </w:r>
      <w:r>
        <w:rPr>
          <w:szCs w:val="22"/>
        </w:rPr>
        <w:t xml:space="preserve"> </w:t>
      </w:r>
      <w:r w:rsidRPr="00404978">
        <w:rPr>
          <w:szCs w:val="22"/>
        </w:rPr>
        <w:t>2015, en la que el PBC efectuará un examen y remitirá su recomendación a la quincuagésima quinta serie de</w:t>
      </w:r>
      <w:r>
        <w:rPr>
          <w:szCs w:val="22"/>
        </w:rPr>
        <w:t xml:space="preserve"> reuniones de las Asambleas (5 </w:t>
      </w:r>
      <w:r w:rsidRPr="00404978">
        <w:rPr>
          <w:szCs w:val="22"/>
        </w:rPr>
        <w:t>a</w:t>
      </w:r>
      <w:r>
        <w:rPr>
          <w:szCs w:val="22"/>
        </w:rPr>
        <w:t xml:space="preserve"> </w:t>
      </w:r>
      <w:r w:rsidRPr="00404978">
        <w:rPr>
          <w:szCs w:val="22"/>
        </w:rPr>
        <w:t>14</w:t>
      </w:r>
      <w:r>
        <w:rPr>
          <w:szCs w:val="22"/>
        </w:rPr>
        <w:t xml:space="preserve"> </w:t>
      </w:r>
      <w:r w:rsidRPr="00404978">
        <w:rPr>
          <w:szCs w:val="22"/>
        </w:rPr>
        <w:t>de</w:t>
      </w:r>
      <w:r>
        <w:rPr>
          <w:szCs w:val="22"/>
        </w:rPr>
        <w:t xml:space="preserve"> </w:t>
      </w:r>
      <w:r w:rsidRPr="00404978">
        <w:rPr>
          <w:szCs w:val="22"/>
        </w:rPr>
        <w:t>octubre de</w:t>
      </w:r>
      <w:r>
        <w:rPr>
          <w:szCs w:val="22"/>
        </w:rPr>
        <w:t xml:space="preserve"> </w:t>
      </w:r>
      <w:r w:rsidRPr="00404978">
        <w:rPr>
          <w:szCs w:val="22"/>
        </w:rPr>
        <w:t>2015).</w:t>
      </w:r>
    </w:p>
    <w:p w:rsidR="002E3E28" w:rsidRPr="00404978" w:rsidRDefault="002E3E28" w:rsidP="002E3E28">
      <w:pPr>
        <w:rPr>
          <w:lang w:val="es-ES_tradnl"/>
        </w:rPr>
      </w:pPr>
    </w:p>
    <w:p w:rsidR="002E3E28" w:rsidRPr="00404978" w:rsidRDefault="002E3E28" w:rsidP="002E3E28">
      <w:pPr>
        <w:rPr>
          <w:lang w:val="es-ES_tradnl"/>
        </w:rPr>
      </w:pPr>
    </w:p>
    <w:p w:rsidR="002E3E28" w:rsidRPr="00404978" w:rsidRDefault="002E3E28" w:rsidP="002E3E28">
      <w:pPr>
        <w:pStyle w:val="Endofdocument-Annex"/>
        <w:rPr>
          <w:szCs w:val="22"/>
          <w:lang w:val="es-ES_tradnl"/>
        </w:rPr>
      </w:pPr>
      <w:r w:rsidRPr="00404978">
        <w:rPr>
          <w:szCs w:val="22"/>
          <w:lang w:val="es-ES_tradnl"/>
        </w:rPr>
        <w:t>[Sigue el proyecto de propuesta de presupuesto por programas para</w:t>
      </w:r>
      <w:r w:rsidR="002E2F34">
        <w:rPr>
          <w:szCs w:val="22"/>
          <w:lang w:val="es-ES_tradnl"/>
        </w:rPr>
        <w:t xml:space="preserve"> el bienio</w:t>
      </w:r>
      <w:r w:rsidRPr="00404978">
        <w:rPr>
          <w:szCs w:val="22"/>
          <w:lang w:val="es-ES_tradnl"/>
        </w:rPr>
        <w:t> 2016/17]</w:t>
      </w:r>
    </w:p>
    <w:p w:rsidR="009B7558" w:rsidRPr="00404978" w:rsidRDefault="009B7558">
      <w:pPr>
        <w:rPr>
          <w:szCs w:val="22"/>
          <w:lang w:val="es-ES_tradnl"/>
        </w:rPr>
      </w:pPr>
    </w:p>
    <w:p w:rsidR="009B7558" w:rsidRPr="002E3E28" w:rsidRDefault="009B7558" w:rsidP="002E3E28">
      <w:pPr>
        <w:pStyle w:val="Endofdocument-Annex"/>
        <w:rPr>
          <w:szCs w:val="22"/>
          <w:lang w:val="es-ES_tradnl"/>
        </w:rPr>
      </w:pPr>
    </w:p>
    <w:p w:rsidR="002E3E28" w:rsidRPr="002E3E28" w:rsidRDefault="002E3E28" w:rsidP="002E3E28">
      <w:pPr>
        <w:rPr>
          <w:lang w:val="es-ES_tradnl"/>
        </w:rPr>
      </w:pPr>
    </w:p>
    <w:p w:rsidR="002E3E28" w:rsidRPr="002E3E28" w:rsidRDefault="002E3E28">
      <w:pPr>
        <w:rPr>
          <w:lang w:val="es-ES_tradnl"/>
        </w:rPr>
        <w:sectPr w:rsidR="002E3E28" w:rsidRPr="002E3E28" w:rsidSect="002E3E28">
          <w:headerReference w:type="even" r:id="rId10"/>
          <w:headerReference w:type="default" r:id="rId11"/>
          <w:footerReference w:type="even" r:id="rId12"/>
          <w:footerReference w:type="default" r:id="rId13"/>
          <w:footerReference w:type="first" r:id="rId14"/>
          <w:pgSz w:w="11907" w:h="16840" w:code="9"/>
          <w:pgMar w:top="567" w:right="1134" w:bottom="1418" w:left="1418" w:header="510" w:footer="1021" w:gutter="0"/>
          <w:cols w:space="720"/>
          <w:titlePg/>
          <w:docGrid w:linePitch="299"/>
        </w:sectPr>
      </w:pPr>
    </w:p>
    <w:p w:rsidR="00152CEA" w:rsidRPr="002E3E28" w:rsidRDefault="00152CEA">
      <w:pP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2E3E28" w:rsidRDefault="002E3E28" w:rsidP="002E3E28">
      <w:pPr>
        <w:jc w:val="center"/>
        <w:rPr>
          <w:b/>
          <w:lang w:val="es-ES_tradnl"/>
        </w:rPr>
      </w:pPr>
    </w:p>
    <w:p w:rsidR="002E3E28" w:rsidRPr="00372D5D" w:rsidRDefault="002E3E28" w:rsidP="002E3E28">
      <w:pPr>
        <w:jc w:val="center"/>
        <w:rPr>
          <w:b/>
          <w:sz w:val="24"/>
          <w:szCs w:val="24"/>
          <w:lang w:val="es-ES_tradnl"/>
        </w:rPr>
      </w:pPr>
      <w:r w:rsidRPr="00372D5D">
        <w:rPr>
          <w:b/>
          <w:sz w:val="24"/>
          <w:szCs w:val="24"/>
          <w:lang w:val="es-ES_tradnl"/>
        </w:rPr>
        <w:t>ORGANIZACIÓN MUNDIAL DE LA PROPIEDAD INTELECTUAL</w:t>
      </w:r>
    </w:p>
    <w:p w:rsidR="002E3E28" w:rsidRPr="00372D5D" w:rsidRDefault="002E3E28" w:rsidP="002E3E28">
      <w:pPr>
        <w:jc w:val="center"/>
        <w:rPr>
          <w:b/>
          <w:sz w:val="24"/>
          <w:szCs w:val="24"/>
          <w:lang w:val="es-ES_tradnl"/>
        </w:rPr>
      </w:pPr>
    </w:p>
    <w:p w:rsidR="002E3E28" w:rsidRPr="00372D5D" w:rsidRDefault="002E3E28" w:rsidP="002E3E28">
      <w:pPr>
        <w:jc w:val="center"/>
        <w:rPr>
          <w:b/>
          <w:sz w:val="24"/>
          <w:szCs w:val="24"/>
          <w:lang w:val="es-ES_tradnl"/>
        </w:rPr>
      </w:pPr>
    </w:p>
    <w:p w:rsidR="002E3E28" w:rsidRPr="00372D5D" w:rsidRDefault="002E3E28" w:rsidP="002E3E28">
      <w:pPr>
        <w:jc w:val="center"/>
        <w:rPr>
          <w:b/>
          <w:sz w:val="24"/>
          <w:szCs w:val="24"/>
          <w:lang w:val="es-ES_tradnl"/>
        </w:rPr>
      </w:pPr>
    </w:p>
    <w:p w:rsidR="002E3E28" w:rsidRPr="00372D5D" w:rsidRDefault="002E3E28" w:rsidP="002E3E28">
      <w:pPr>
        <w:jc w:val="center"/>
        <w:rPr>
          <w:b/>
          <w:sz w:val="24"/>
          <w:szCs w:val="24"/>
          <w:lang w:val="es-ES_tradnl"/>
        </w:rPr>
      </w:pPr>
    </w:p>
    <w:p w:rsidR="002E3E28" w:rsidRPr="00372D5D" w:rsidRDefault="002E3E28" w:rsidP="002E3E28">
      <w:pPr>
        <w:jc w:val="center"/>
        <w:rPr>
          <w:b/>
          <w:sz w:val="24"/>
          <w:szCs w:val="24"/>
          <w:lang w:val="es-ES_tradnl"/>
        </w:rPr>
      </w:pPr>
    </w:p>
    <w:p w:rsidR="002E3E28" w:rsidRPr="00810B44" w:rsidRDefault="002E3E28" w:rsidP="002E3E28">
      <w:pPr>
        <w:jc w:val="center"/>
        <w:rPr>
          <w:b/>
          <w:sz w:val="24"/>
          <w:szCs w:val="24"/>
        </w:rPr>
      </w:pPr>
      <w:r w:rsidRPr="00372D5D">
        <w:rPr>
          <w:b/>
          <w:sz w:val="24"/>
          <w:szCs w:val="24"/>
        </w:rPr>
        <w:t xml:space="preserve">PROYECTO DE PROPUESTA DE PRESUPUESTO POR PROGRAMAS </w:t>
      </w:r>
      <w:r w:rsidR="002E2F34">
        <w:rPr>
          <w:b/>
          <w:sz w:val="24"/>
          <w:szCs w:val="24"/>
        </w:rPr>
        <w:br/>
      </w:r>
      <w:r w:rsidRPr="00372D5D">
        <w:rPr>
          <w:b/>
          <w:sz w:val="24"/>
          <w:szCs w:val="24"/>
        </w:rPr>
        <w:t>PARA </w:t>
      </w:r>
      <w:r w:rsidR="002E2F34">
        <w:rPr>
          <w:b/>
          <w:sz w:val="24"/>
          <w:szCs w:val="24"/>
        </w:rPr>
        <w:t xml:space="preserve">EL BIENIO </w:t>
      </w:r>
      <w:r w:rsidRPr="00372D5D">
        <w:rPr>
          <w:b/>
          <w:sz w:val="24"/>
          <w:szCs w:val="24"/>
        </w:rPr>
        <w:t>2016/17</w:t>
      </w:r>
    </w:p>
    <w:p w:rsidR="002E3E28" w:rsidRDefault="002E3E28" w:rsidP="002E3E28">
      <w:pPr>
        <w:jc w:val="center"/>
        <w:rPr>
          <w:sz w:val="24"/>
          <w:szCs w:val="24"/>
        </w:rPr>
      </w:pPr>
    </w:p>
    <w:p w:rsidR="002E3E28" w:rsidRDefault="002E3E28" w:rsidP="002E3E28">
      <w:pPr>
        <w:rPr>
          <w:sz w:val="24"/>
          <w:szCs w:val="24"/>
        </w:rPr>
      </w:pPr>
    </w:p>
    <w:p w:rsidR="002E3E28" w:rsidRDefault="002E3E28">
      <w:pPr>
        <w:rPr>
          <w:sz w:val="24"/>
          <w:szCs w:val="24"/>
        </w:rPr>
      </w:pPr>
      <w:r>
        <w:rPr>
          <w:sz w:val="24"/>
          <w:szCs w:val="24"/>
        </w:rPr>
        <w:br w:type="page"/>
      </w:r>
    </w:p>
    <w:p w:rsidR="002E3E28" w:rsidRDefault="002E3E28" w:rsidP="002E3E28">
      <w:pPr>
        <w:rPr>
          <w:lang w:val="es-ES_tradnl"/>
        </w:rPr>
      </w:pPr>
    </w:p>
    <w:p w:rsidR="002E3E28" w:rsidRDefault="002E3E28" w:rsidP="002E3E28">
      <w:pPr>
        <w:rPr>
          <w:lang w:val="es-ES_tradnl"/>
        </w:rPr>
        <w:sectPr w:rsidR="002E3E28" w:rsidSect="009B7558">
          <w:headerReference w:type="even" r:id="rId15"/>
          <w:headerReference w:type="default" r:id="rId16"/>
          <w:headerReference w:type="first" r:id="rId17"/>
          <w:footerReference w:type="first" r:id="rId18"/>
          <w:pgSz w:w="11907" w:h="16840" w:code="9"/>
          <w:pgMar w:top="567" w:right="1134" w:bottom="1134" w:left="1418" w:header="510" w:footer="1021" w:gutter="0"/>
          <w:pgNumType w:start="1"/>
          <w:cols w:space="720"/>
          <w:titlePg/>
          <w:docGrid w:linePitch="299"/>
        </w:sectPr>
      </w:pPr>
    </w:p>
    <w:p w:rsidR="002E3E28" w:rsidRPr="00A94E7D" w:rsidRDefault="002E3E28" w:rsidP="002E3E28"/>
    <w:sdt>
      <w:sdtPr>
        <w:id w:val="-1770391927"/>
        <w:docPartObj>
          <w:docPartGallery w:val="Table of Contents"/>
          <w:docPartUnique/>
        </w:docPartObj>
      </w:sdtPr>
      <w:sdtEndPr>
        <w:rPr>
          <w:b/>
          <w:bCs/>
          <w:noProof/>
        </w:rPr>
      </w:sdtEndPr>
      <w:sdtContent>
        <w:p w:rsidR="00984EFC" w:rsidRPr="00A94E7D" w:rsidRDefault="00984EFC" w:rsidP="00984EFC">
          <w:pPr>
            <w:jc w:val="center"/>
            <w:rPr>
              <w:b/>
            </w:rPr>
          </w:pPr>
          <w:r w:rsidRPr="00A94E7D">
            <w:rPr>
              <w:b/>
            </w:rPr>
            <w:t>ÍNDICE</w:t>
          </w:r>
        </w:p>
        <w:p w:rsidR="00984EFC" w:rsidRPr="00984EFC" w:rsidRDefault="00984EFC" w:rsidP="003D53A9">
          <w:pPr>
            <w:pStyle w:val="TOCHeading"/>
            <w:spacing w:before="240"/>
            <w:rPr>
              <w:rFonts w:ascii="Arial" w:hAnsi="Arial" w:cs="Arial"/>
              <w:b w:val="0"/>
              <w:color w:val="auto"/>
              <w:sz w:val="22"/>
              <w:szCs w:val="22"/>
            </w:rPr>
          </w:pPr>
        </w:p>
        <w:p w:rsidR="00984EFC" w:rsidRPr="00984EFC" w:rsidRDefault="00984EFC" w:rsidP="00984EFC">
          <w:pPr>
            <w:pStyle w:val="TOC1"/>
            <w:rPr>
              <w:rFonts w:eastAsiaTheme="minorEastAsia"/>
              <w:lang w:val="en-US" w:eastAsia="en-US"/>
            </w:rPr>
          </w:pPr>
          <w:r w:rsidRPr="00984EFC">
            <w:fldChar w:fldCharType="begin"/>
          </w:r>
          <w:r w:rsidRPr="00984EFC">
            <w:instrText xml:space="preserve"> TOC \o "1-3" \h \z \u </w:instrText>
          </w:r>
          <w:r w:rsidRPr="00984EFC">
            <w:fldChar w:fldCharType="separate"/>
          </w:r>
          <w:hyperlink w:anchor="_Toc420681123" w:history="1">
            <w:r w:rsidRPr="007B4F5B">
              <w:rPr>
                <w:rStyle w:val="Hyperlink"/>
              </w:rPr>
              <w:t>PRÓLOGO DEL DIRECTOR GENERAL</w:t>
            </w:r>
            <w:r w:rsidRPr="00984EFC">
              <w:rPr>
                <w:webHidden/>
              </w:rPr>
              <w:tab/>
            </w:r>
            <w:r w:rsidRPr="00984EFC">
              <w:rPr>
                <w:webHidden/>
              </w:rPr>
              <w:fldChar w:fldCharType="begin"/>
            </w:r>
            <w:r w:rsidRPr="00984EFC">
              <w:rPr>
                <w:webHidden/>
              </w:rPr>
              <w:instrText xml:space="preserve"> PAGEREF _Toc420681123 \h </w:instrText>
            </w:r>
            <w:r w:rsidRPr="00984EFC">
              <w:rPr>
                <w:webHidden/>
              </w:rPr>
            </w:r>
            <w:r w:rsidRPr="00984EFC">
              <w:rPr>
                <w:webHidden/>
              </w:rPr>
              <w:fldChar w:fldCharType="separate"/>
            </w:r>
            <w:r w:rsidR="009A0CA2">
              <w:rPr>
                <w:webHidden/>
              </w:rPr>
              <w:t>7</w:t>
            </w:r>
            <w:r w:rsidRPr="00984EFC">
              <w:rPr>
                <w:webHidden/>
              </w:rPr>
              <w:fldChar w:fldCharType="end"/>
            </w:r>
          </w:hyperlink>
        </w:p>
        <w:p w:rsidR="00984EFC" w:rsidRPr="00984EFC" w:rsidRDefault="009A0CA2" w:rsidP="00984EFC">
          <w:pPr>
            <w:pStyle w:val="TOC1"/>
            <w:rPr>
              <w:rFonts w:eastAsiaTheme="minorEastAsia"/>
              <w:lang w:val="en-US" w:eastAsia="en-US"/>
            </w:rPr>
          </w:pPr>
          <w:hyperlink w:anchor="_Toc420681124" w:history="1">
            <w:r w:rsidR="00984EFC" w:rsidRPr="007B4F5B">
              <w:rPr>
                <w:rStyle w:val="Hyperlink"/>
              </w:rPr>
              <w:t>I.</w:t>
            </w:r>
            <w:r w:rsidR="00984EFC" w:rsidRPr="007B4F5B">
              <w:rPr>
                <w:rStyle w:val="Hyperlink"/>
              </w:rPr>
              <w:tab/>
              <w:t>PANORAMA FINANCIERO Y DE RESULTADOS</w:t>
            </w:r>
            <w:r w:rsidR="00984EFC" w:rsidRPr="00984EFC">
              <w:rPr>
                <w:webHidden/>
              </w:rPr>
              <w:tab/>
            </w:r>
            <w:r w:rsidR="00984EFC" w:rsidRPr="00984EFC">
              <w:rPr>
                <w:webHidden/>
              </w:rPr>
              <w:fldChar w:fldCharType="begin"/>
            </w:r>
            <w:r w:rsidR="00984EFC" w:rsidRPr="00984EFC">
              <w:rPr>
                <w:webHidden/>
              </w:rPr>
              <w:instrText xml:space="preserve"> PAGEREF _Toc420681124 \h </w:instrText>
            </w:r>
            <w:r w:rsidR="00984EFC" w:rsidRPr="00984EFC">
              <w:rPr>
                <w:webHidden/>
              </w:rPr>
            </w:r>
            <w:r w:rsidR="00984EFC" w:rsidRPr="00984EFC">
              <w:rPr>
                <w:webHidden/>
              </w:rPr>
              <w:fldChar w:fldCharType="separate"/>
            </w:r>
            <w:r>
              <w:rPr>
                <w:webHidden/>
              </w:rPr>
              <w:t>9</w:t>
            </w:r>
            <w:r w:rsidR="00984EFC" w:rsidRPr="00984EFC">
              <w:rPr>
                <w:webHidden/>
              </w:rPr>
              <w:fldChar w:fldCharType="end"/>
            </w:r>
          </w:hyperlink>
        </w:p>
        <w:p w:rsidR="00984EFC" w:rsidRPr="00984EFC" w:rsidRDefault="009A0CA2" w:rsidP="007B4F5B">
          <w:pPr>
            <w:pStyle w:val="TOC3"/>
            <w:rPr>
              <w:rFonts w:eastAsiaTheme="minorEastAsia"/>
              <w:noProof/>
            </w:rPr>
          </w:pPr>
          <w:hyperlink w:anchor="_Toc420681125" w:history="1">
            <w:r w:rsidR="00984EFC" w:rsidRPr="00984EFC">
              <w:rPr>
                <w:rStyle w:val="Hyperlink"/>
                <w:rFonts w:ascii="Arial" w:hAnsi="Arial" w:cs="Arial"/>
                <w:noProof/>
                <w:sz w:val="20"/>
                <w:szCs w:val="20"/>
                <w:lang w:val="es-ES"/>
              </w:rPr>
              <w:t>INGRESOS</w:t>
            </w:r>
            <w:r w:rsidR="00984EFC" w:rsidRPr="00984EFC">
              <w:rPr>
                <w:noProof/>
                <w:webHidden/>
              </w:rPr>
              <w:tab/>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_Toc420681125 \h </w:instrText>
            </w:r>
            <w:r w:rsidR="00984EFC" w:rsidRPr="00984EFC">
              <w:rPr>
                <w:noProof/>
                <w:webHidden/>
              </w:rPr>
            </w:r>
            <w:r w:rsidR="00984EFC" w:rsidRPr="00984EFC">
              <w:rPr>
                <w:noProof/>
                <w:webHidden/>
              </w:rPr>
              <w:fldChar w:fldCharType="separate"/>
            </w:r>
            <w:r>
              <w:rPr>
                <w:noProof/>
                <w:webHidden/>
              </w:rPr>
              <w:t>9</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26" w:history="1">
            <w:r w:rsidR="00984EFC" w:rsidRPr="00984EFC">
              <w:rPr>
                <w:rStyle w:val="Hyperlink"/>
                <w:rFonts w:ascii="Arial" w:hAnsi="Arial" w:cs="Arial"/>
                <w:noProof/>
                <w:sz w:val="20"/>
                <w:szCs w:val="20"/>
                <w:lang w:val="es-ES"/>
              </w:rPr>
              <w:t>RESULTADOS Y RECURSOS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_Toc420681126 \h </w:instrText>
            </w:r>
            <w:r w:rsidR="00984EFC" w:rsidRPr="00984EFC">
              <w:rPr>
                <w:noProof/>
                <w:webHidden/>
              </w:rPr>
            </w:r>
            <w:r w:rsidR="00984EFC" w:rsidRPr="00984EFC">
              <w:rPr>
                <w:noProof/>
                <w:webHidden/>
              </w:rPr>
              <w:fldChar w:fldCharType="separate"/>
            </w:r>
            <w:r>
              <w:rPr>
                <w:noProof/>
                <w:webHidden/>
              </w:rPr>
              <w:t>15</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27" w:history="1">
            <w:r w:rsidR="00984EFC" w:rsidRPr="00984EFC">
              <w:rPr>
                <w:rStyle w:val="Hyperlink"/>
                <w:rFonts w:ascii="Arial" w:hAnsi="Arial" w:cs="Arial"/>
                <w:noProof/>
                <w:sz w:val="20"/>
                <w:szCs w:val="20"/>
                <w:lang w:val="es-ES"/>
              </w:rPr>
              <w:t>RECURSOS NO RELATIVOS A PERSONAL</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_Toc420681127 \h </w:instrText>
            </w:r>
            <w:r w:rsidR="00984EFC" w:rsidRPr="00984EFC">
              <w:rPr>
                <w:noProof/>
                <w:webHidden/>
              </w:rPr>
            </w:r>
            <w:r w:rsidR="00984EFC" w:rsidRPr="00984EFC">
              <w:rPr>
                <w:noProof/>
                <w:webHidden/>
              </w:rPr>
              <w:fldChar w:fldCharType="separate"/>
            </w:r>
            <w:r>
              <w:rPr>
                <w:noProof/>
                <w:webHidden/>
              </w:rPr>
              <w:t>23</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28" w:history="1">
            <w:r w:rsidR="00984EFC" w:rsidRPr="00984EFC">
              <w:rPr>
                <w:rStyle w:val="Hyperlink"/>
                <w:rFonts w:ascii="Arial" w:hAnsi="Arial" w:cs="Arial"/>
                <w:noProof/>
                <w:sz w:val="20"/>
                <w:szCs w:val="20"/>
                <w:lang w:val="es-ES"/>
              </w:rPr>
              <w:t>GASTOS DE PERSONAL</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_Toc420681128 \h </w:instrText>
            </w:r>
            <w:r w:rsidR="00984EFC" w:rsidRPr="00984EFC">
              <w:rPr>
                <w:noProof/>
                <w:webHidden/>
              </w:rPr>
            </w:r>
            <w:r w:rsidR="00984EFC" w:rsidRPr="00984EFC">
              <w:rPr>
                <w:noProof/>
                <w:webHidden/>
              </w:rPr>
              <w:fldChar w:fldCharType="separate"/>
            </w:r>
            <w:r>
              <w:rPr>
                <w:noProof/>
                <w:webHidden/>
              </w:rPr>
              <w:t>25</w:t>
            </w:r>
            <w:r w:rsidR="00984EFC" w:rsidRPr="00984EFC">
              <w:rPr>
                <w:noProof/>
                <w:webHidden/>
              </w:rPr>
              <w:fldChar w:fldCharType="end"/>
            </w:r>
          </w:hyperlink>
        </w:p>
        <w:p w:rsidR="00984EFC" w:rsidRPr="00984EFC" w:rsidRDefault="009A0CA2" w:rsidP="00984EFC">
          <w:pPr>
            <w:pStyle w:val="TOC1"/>
            <w:rPr>
              <w:rFonts w:eastAsiaTheme="minorEastAsia"/>
              <w:lang w:val="en-US" w:eastAsia="en-US"/>
            </w:rPr>
          </w:pPr>
          <w:hyperlink w:anchor="_Toc420681129" w:history="1">
            <w:r w:rsidR="00984EFC" w:rsidRPr="00984EFC">
              <w:rPr>
                <w:rStyle w:val="Hyperlink"/>
                <w:lang w:val="es-ES_tradnl"/>
              </w:rPr>
              <w:t>II.</w:t>
            </w:r>
            <w:r w:rsidR="00984EFC" w:rsidRPr="00984EFC">
              <w:rPr>
                <w:rFonts w:eastAsiaTheme="minorEastAsia"/>
                <w:lang w:val="en-US" w:eastAsia="en-US"/>
              </w:rPr>
              <w:tab/>
            </w:r>
            <w:r w:rsidR="00984EFC" w:rsidRPr="00984EFC">
              <w:rPr>
                <w:rStyle w:val="Hyperlink"/>
              </w:rPr>
              <w:t>DESCRIPCIÓN DE LOS PROGRAMAS, POR META ESTRATÉGICA</w:t>
            </w:r>
            <w:r w:rsidR="00984EFC" w:rsidRPr="00984EFC">
              <w:rPr>
                <w:webHidden/>
              </w:rPr>
              <w:tab/>
            </w:r>
            <w:r w:rsidR="00984EFC" w:rsidRPr="00984EFC">
              <w:rPr>
                <w:webHidden/>
              </w:rPr>
              <w:fldChar w:fldCharType="begin"/>
            </w:r>
            <w:r w:rsidR="00984EFC" w:rsidRPr="00984EFC">
              <w:rPr>
                <w:webHidden/>
              </w:rPr>
              <w:instrText xml:space="preserve"> PAGEREF _Toc420681129 \h </w:instrText>
            </w:r>
            <w:r w:rsidR="00984EFC" w:rsidRPr="00984EFC">
              <w:rPr>
                <w:webHidden/>
              </w:rPr>
            </w:r>
            <w:r w:rsidR="00984EFC" w:rsidRPr="00984EFC">
              <w:rPr>
                <w:webHidden/>
              </w:rPr>
              <w:fldChar w:fldCharType="separate"/>
            </w:r>
            <w:r>
              <w:rPr>
                <w:webHidden/>
              </w:rPr>
              <w:t>29</w:t>
            </w:r>
            <w:r w:rsidR="00984EFC" w:rsidRPr="00984EFC">
              <w:rPr>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30" w:history="1">
            <w:r w:rsidR="00984EFC" w:rsidRPr="007B4F5B">
              <w:rPr>
                <w:rStyle w:val="Hyperlink"/>
                <w:rFonts w:ascii="Arial" w:eastAsia="SimSun" w:hAnsi="Arial" w:cs="Arial"/>
                <w:b/>
                <w:noProof/>
                <w:sz w:val="20"/>
                <w:szCs w:val="20"/>
                <w:lang w:val="es-ES_tradnl"/>
              </w:rPr>
              <w:t>META ESTRATÉGICA 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EVOLUCIÓN EQUILIBRADA DEL MARCO NORMATIVO INTERNACIONAL DE 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_Toc420681130 \h </w:instrText>
            </w:r>
            <w:r w:rsidR="00984EFC" w:rsidRPr="00984EFC">
              <w:rPr>
                <w:noProof/>
                <w:webHidden/>
              </w:rPr>
            </w:r>
            <w:r w:rsidR="00984EFC" w:rsidRPr="00984EFC">
              <w:rPr>
                <w:noProof/>
                <w:webHidden/>
              </w:rPr>
              <w:fldChar w:fldCharType="separate"/>
            </w:r>
            <w:r>
              <w:rPr>
                <w:noProof/>
                <w:webHidden/>
              </w:rPr>
              <w:t>29</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1" w:history="1">
            <w:r w:rsidR="00984EFC" w:rsidRPr="00984EFC">
              <w:rPr>
                <w:rStyle w:val="Hyperlink"/>
                <w:rFonts w:ascii="Arial" w:hAnsi="Arial" w:cs="Arial"/>
                <w:noProof/>
                <w:sz w:val="20"/>
                <w:szCs w:val="20"/>
              </w:rPr>
              <w:t>PROGRAMA 1</w:t>
            </w:r>
            <w:r w:rsidR="00984EFC" w:rsidRPr="00984EFC">
              <w:rPr>
                <w:rFonts w:eastAsiaTheme="minorEastAsia"/>
                <w:noProof/>
              </w:rPr>
              <w:tab/>
            </w:r>
            <w:r w:rsidR="00984EFC" w:rsidRPr="00984EFC">
              <w:rPr>
                <w:rStyle w:val="Hyperlink"/>
                <w:rFonts w:ascii="Arial" w:hAnsi="Arial" w:cs="Arial"/>
                <w:noProof/>
                <w:sz w:val="20"/>
                <w:szCs w:val="20"/>
              </w:rPr>
              <w:t>DERECHO DE PATENTES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_Toc420681131 \h </w:instrText>
            </w:r>
            <w:r w:rsidR="00984EFC" w:rsidRPr="00984EFC">
              <w:rPr>
                <w:noProof/>
                <w:webHidden/>
              </w:rPr>
            </w:r>
            <w:r w:rsidR="00984EFC" w:rsidRPr="00984EFC">
              <w:rPr>
                <w:noProof/>
                <w:webHidden/>
              </w:rPr>
              <w:fldChar w:fldCharType="separate"/>
            </w:r>
            <w:r>
              <w:rPr>
                <w:noProof/>
                <w:webHidden/>
              </w:rPr>
              <w:t>31</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2" w:history="1">
            <w:r w:rsidR="00984EFC" w:rsidRPr="00984EFC">
              <w:rPr>
                <w:rStyle w:val="Hyperlink"/>
                <w:rFonts w:ascii="Arial" w:hAnsi="Arial" w:cs="Arial"/>
                <w:noProof/>
                <w:sz w:val="20"/>
                <w:szCs w:val="20"/>
                <w:lang w:val="es-ES"/>
              </w:rPr>
              <w:t>PROGRAMA 2</w:t>
            </w:r>
            <w:r w:rsidR="00984EFC" w:rsidRPr="00984EFC">
              <w:rPr>
                <w:rFonts w:eastAsiaTheme="minorEastAsia"/>
                <w:noProof/>
              </w:rPr>
              <w:tab/>
            </w:r>
            <w:r w:rsidR="00984EFC" w:rsidRPr="00984EFC">
              <w:rPr>
                <w:rStyle w:val="Hyperlink"/>
                <w:rFonts w:ascii="Arial" w:hAnsi="Arial" w:cs="Arial"/>
                <w:noProof/>
                <w:sz w:val="20"/>
                <w:szCs w:val="20"/>
                <w:lang w:val="es-ES"/>
              </w:rPr>
              <w:t>MARCAS, DISEÑOS INDUSTRIALES E INDICACIONES GEOGRÁFICAS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_Toc420681132 \h </w:instrText>
            </w:r>
            <w:r w:rsidR="00984EFC" w:rsidRPr="00984EFC">
              <w:rPr>
                <w:noProof/>
                <w:webHidden/>
              </w:rPr>
            </w:r>
            <w:r w:rsidR="00984EFC" w:rsidRPr="00984EFC">
              <w:rPr>
                <w:noProof/>
                <w:webHidden/>
              </w:rPr>
              <w:fldChar w:fldCharType="separate"/>
            </w:r>
            <w:r>
              <w:rPr>
                <w:noProof/>
                <w:webHidden/>
              </w:rPr>
              <w:t>36</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3" w:history="1">
            <w:r w:rsidR="00984EFC" w:rsidRPr="00984EFC">
              <w:rPr>
                <w:rStyle w:val="Hyperlink"/>
                <w:rFonts w:ascii="Arial" w:eastAsia="SimSun" w:hAnsi="Arial" w:cs="Arial"/>
                <w:noProof/>
                <w:sz w:val="20"/>
                <w:szCs w:val="20"/>
                <w:lang w:val="es-ES"/>
              </w:rPr>
              <w:t>PROGRAMA 3</w:t>
            </w:r>
            <w:r w:rsidR="00984EFC" w:rsidRPr="00984EFC">
              <w:rPr>
                <w:rFonts w:eastAsiaTheme="minorEastAsia"/>
                <w:noProof/>
              </w:rPr>
              <w:tab/>
            </w:r>
            <w:r w:rsidR="00984EFC" w:rsidRPr="00984EFC">
              <w:rPr>
                <w:rStyle w:val="Hyperlink"/>
                <w:rFonts w:ascii="Arial" w:eastAsia="SimSun" w:hAnsi="Arial" w:cs="Arial"/>
                <w:noProof/>
                <w:sz w:val="20"/>
                <w:szCs w:val="20"/>
                <w:lang w:val="es-ES"/>
              </w:rPr>
              <w:t>DERECHO DE AUTOR Y DERECHOS CONEXOS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_Toc420681133 \h </w:instrText>
            </w:r>
            <w:r w:rsidR="00984EFC" w:rsidRPr="00984EFC">
              <w:rPr>
                <w:noProof/>
                <w:webHidden/>
              </w:rPr>
            </w:r>
            <w:r w:rsidR="00984EFC" w:rsidRPr="00984EFC">
              <w:rPr>
                <w:noProof/>
                <w:webHidden/>
              </w:rPr>
              <w:fldChar w:fldCharType="separate"/>
            </w:r>
            <w:r>
              <w:rPr>
                <w:noProof/>
                <w:webHidden/>
              </w:rPr>
              <w:t>40</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4" w:history="1">
            <w:r w:rsidR="00984EFC" w:rsidRPr="00984EFC">
              <w:rPr>
                <w:rStyle w:val="Hyperlink"/>
                <w:rFonts w:ascii="Arial" w:hAnsi="Arial" w:cs="Arial"/>
                <w:noProof/>
                <w:sz w:val="20"/>
                <w:szCs w:val="20"/>
                <w:lang w:val="es-ES_tradnl"/>
              </w:rPr>
              <w:t>PROGRAMA 4</w:t>
            </w:r>
            <w:r w:rsidR="00984EFC" w:rsidRPr="00984EFC">
              <w:rPr>
                <w:rFonts w:eastAsiaTheme="minorEastAsia"/>
                <w:noProof/>
              </w:rPr>
              <w:tab/>
            </w:r>
            <w:r w:rsidR="00984EFC" w:rsidRPr="00984EFC">
              <w:rPr>
                <w:rStyle w:val="Hyperlink"/>
                <w:rFonts w:ascii="Arial" w:hAnsi="Arial" w:cs="Arial"/>
                <w:noProof/>
                <w:sz w:val="20"/>
                <w:szCs w:val="20"/>
                <w:lang w:val="es-ES_tradnl"/>
              </w:rPr>
              <w:t>CONOCIMIENTOS TRADICIONALES, EXPRESIONES CULTURALES TRADICIONALES Y RECURSOS GENÉTICOS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_Toc420681134 \h </w:instrText>
            </w:r>
            <w:r w:rsidR="00984EFC" w:rsidRPr="00984EFC">
              <w:rPr>
                <w:noProof/>
                <w:webHidden/>
              </w:rPr>
            </w:r>
            <w:r w:rsidR="00984EFC" w:rsidRPr="00984EFC">
              <w:rPr>
                <w:noProof/>
                <w:webHidden/>
              </w:rPr>
              <w:fldChar w:fldCharType="separate"/>
            </w:r>
            <w:r>
              <w:rPr>
                <w:noProof/>
                <w:webHidden/>
              </w:rPr>
              <w:t>47</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35" w:history="1">
            <w:r w:rsidR="00984EFC" w:rsidRPr="007B4F5B">
              <w:rPr>
                <w:rStyle w:val="Hyperlink"/>
                <w:rFonts w:ascii="Arial" w:eastAsia="SimSun" w:hAnsi="Arial" w:cs="Arial"/>
                <w:b/>
                <w:noProof/>
                <w:sz w:val="20"/>
                <w:szCs w:val="20"/>
                <w:lang w:val="es-ES_tradnl"/>
              </w:rPr>
              <w:t>META ESTRATÉGICA II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PRESTACIÓN DE SERVICIOS MUNDIALES DE P.I. DE CALIDAD</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_Toc420681135 \h </w:instrText>
            </w:r>
            <w:r w:rsidR="00984EFC" w:rsidRPr="00984EFC">
              <w:rPr>
                <w:noProof/>
                <w:webHidden/>
              </w:rPr>
            </w:r>
            <w:r w:rsidR="00984EFC" w:rsidRPr="00984EFC">
              <w:rPr>
                <w:noProof/>
                <w:webHidden/>
              </w:rPr>
              <w:fldChar w:fldCharType="separate"/>
            </w:r>
            <w:r>
              <w:rPr>
                <w:noProof/>
                <w:webHidden/>
              </w:rPr>
              <w:t>52</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6" w:history="1">
            <w:r w:rsidR="00984EFC" w:rsidRPr="00984EFC">
              <w:rPr>
                <w:rStyle w:val="Hyperlink"/>
                <w:rFonts w:ascii="Arial" w:hAnsi="Arial" w:cs="Arial"/>
                <w:noProof/>
                <w:sz w:val="20"/>
                <w:szCs w:val="20"/>
              </w:rPr>
              <w:t>PROGRAMA 5</w:t>
            </w:r>
            <w:r w:rsidR="00984EFC" w:rsidRPr="00984EFC">
              <w:rPr>
                <w:rFonts w:eastAsiaTheme="minorEastAsia"/>
                <w:noProof/>
              </w:rPr>
              <w:tab/>
            </w:r>
            <w:r w:rsidR="00984EFC" w:rsidRPr="00984EFC">
              <w:rPr>
                <w:rStyle w:val="Hyperlink"/>
                <w:rFonts w:ascii="Arial" w:hAnsi="Arial" w:cs="Arial"/>
                <w:noProof/>
                <w:sz w:val="20"/>
                <w:szCs w:val="20"/>
              </w:rPr>
              <w:t>SISTEMA DEL PCT</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_Toc420681136 \h </w:instrText>
            </w:r>
            <w:r w:rsidR="00984EFC" w:rsidRPr="00984EFC">
              <w:rPr>
                <w:noProof/>
                <w:webHidden/>
              </w:rPr>
            </w:r>
            <w:r w:rsidR="00984EFC" w:rsidRPr="00984EFC">
              <w:rPr>
                <w:noProof/>
                <w:webHidden/>
              </w:rPr>
              <w:fldChar w:fldCharType="separate"/>
            </w:r>
            <w:r>
              <w:rPr>
                <w:noProof/>
                <w:webHidden/>
              </w:rPr>
              <w:t>56</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7" w:history="1">
            <w:r w:rsidR="00984EFC" w:rsidRPr="00984EFC">
              <w:rPr>
                <w:rStyle w:val="Hyperlink"/>
                <w:rFonts w:ascii="Arial" w:hAnsi="Arial" w:cs="Arial"/>
                <w:noProof/>
                <w:sz w:val="20"/>
                <w:szCs w:val="20"/>
                <w:lang w:val="es-ES"/>
              </w:rPr>
              <w:t>PROGRAMA 6</w:t>
            </w:r>
            <w:r w:rsidR="00984EFC" w:rsidRPr="00984EFC">
              <w:rPr>
                <w:rFonts w:eastAsiaTheme="minorEastAsia"/>
                <w:noProof/>
              </w:rPr>
              <w:tab/>
            </w:r>
            <w:r w:rsidR="00984EFC" w:rsidRPr="00984EFC">
              <w:rPr>
                <w:rStyle w:val="Hyperlink"/>
                <w:rFonts w:ascii="Arial" w:hAnsi="Arial" w:cs="Arial"/>
                <w:noProof/>
                <w:sz w:val="20"/>
                <w:szCs w:val="20"/>
                <w:lang w:val="es-ES"/>
              </w:rPr>
              <w:t>SISTEMAS DE MADRID Y DE LISBOA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_Toc420681137 \h </w:instrText>
            </w:r>
            <w:r w:rsidR="00984EFC" w:rsidRPr="00984EFC">
              <w:rPr>
                <w:noProof/>
                <w:webHidden/>
              </w:rPr>
            </w:r>
            <w:r w:rsidR="00984EFC" w:rsidRPr="00984EFC">
              <w:rPr>
                <w:noProof/>
                <w:webHidden/>
              </w:rPr>
              <w:fldChar w:fldCharType="separate"/>
            </w:r>
            <w:r>
              <w:rPr>
                <w:noProof/>
                <w:webHidden/>
              </w:rPr>
              <w:t>61</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8" w:history="1">
            <w:r w:rsidR="00984EFC" w:rsidRPr="00984EFC">
              <w:rPr>
                <w:rStyle w:val="Hyperlink"/>
                <w:rFonts w:ascii="Arial" w:hAnsi="Arial" w:cs="Arial"/>
                <w:noProof/>
                <w:sz w:val="20"/>
                <w:szCs w:val="20"/>
                <w:lang w:val="es-ES"/>
              </w:rPr>
              <w:t>PROGRAMA 31</w:t>
            </w:r>
            <w:r w:rsidR="00984EFC" w:rsidRPr="00984EFC">
              <w:rPr>
                <w:rFonts w:eastAsiaTheme="minorEastAsia"/>
                <w:noProof/>
              </w:rPr>
              <w:tab/>
            </w:r>
            <w:r w:rsidR="00984EFC" w:rsidRPr="00984EFC">
              <w:rPr>
                <w:rStyle w:val="Hyperlink"/>
                <w:rFonts w:ascii="Arial" w:hAnsi="Arial" w:cs="Arial"/>
                <w:noProof/>
                <w:sz w:val="20"/>
                <w:szCs w:val="20"/>
                <w:lang w:val="es-ES"/>
              </w:rPr>
              <w:t>SISTEMA DE LA HAYA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_Toc420681138 \h </w:instrText>
            </w:r>
            <w:r w:rsidR="00984EFC" w:rsidRPr="00984EFC">
              <w:rPr>
                <w:noProof/>
                <w:webHidden/>
              </w:rPr>
            </w:r>
            <w:r w:rsidR="00984EFC" w:rsidRPr="00984EFC">
              <w:rPr>
                <w:noProof/>
                <w:webHidden/>
              </w:rPr>
              <w:fldChar w:fldCharType="separate"/>
            </w:r>
            <w:r>
              <w:rPr>
                <w:noProof/>
                <w:webHidden/>
              </w:rPr>
              <w:t>67</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39" w:history="1">
            <w:r w:rsidR="00984EFC" w:rsidRPr="00984EFC">
              <w:rPr>
                <w:rStyle w:val="Hyperlink"/>
                <w:rFonts w:ascii="Arial" w:hAnsi="Arial" w:cs="Arial"/>
                <w:noProof/>
                <w:sz w:val="20"/>
                <w:szCs w:val="20"/>
                <w:lang w:val="es-ES"/>
              </w:rPr>
              <w:t>PROGRAMA 7</w:t>
            </w:r>
            <w:r w:rsidR="00984EFC" w:rsidRPr="00984EFC">
              <w:rPr>
                <w:rFonts w:eastAsiaTheme="minorEastAsia"/>
                <w:noProof/>
              </w:rPr>
              <w:tab/>
            </w:r>
            <w:r w:rsidR="00984EFC" w:rsidRPr="00984EFC">
              <w:rPr>
                <w:rStyle w:val="Hyperlink"/>
                <w:rFonts w:ascii="Arial" w:hAnsi="Arial" w:cs="Arial"/>
                <w:noProof/>
                <w:sz w:val="20"/>
                <w:szCs w:val="20"/>
                <w:lang w:val="es-ES"/>
              </w:rPr>
              <w:t>CENTRO DE ARBITRAJE Y MEDIACIÓN DE LA OMPI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_Toc420681139 \h </w:instrText>
            </w:r>
            <w:r w:rsidR="00984EFC" w:rsidRPr="00984EFC">
              <w:rPr>
                <w:noProof/>
                <w:webHidden/>
              </w:rPr>
            </w:r>
            <w:r w:rsidR="00984EFC" w:rsidRPr="00984EFC">
              <w:rPr>
                <w:noProof/>
                <w:webHidden/>
              </w:rPr>
              <w:fldChar w:fldCharType="separate"/>
            </w:r>
            <w:r>
              <w:rPr>
                <w:noProof/>
                <w:webHidden/>
              </w:rPr>
              <w:t>72</w:t>
            </w:r>
            <w:r w:rsidR="00984EFC" w:rsidRPr="00984EFC">
              <w:rPr>
                <w:noProof/>
                <w:webHidden/>
              </w:rPr>
              <w:fldChar w:fldCharType="end"/>
            </w:r>
          </w:hyperlink>
        </w:p>
        <w:p w:rsidR="00984EFC" w:rsidRPr="007B4F5B" w:rsidRDefault="009A0CA2" w:rsidP="007B4F5B">
          <w:pPr>
            <w:pStyle w:val="TOC3"/>
            <w:tabs>
              <w:tab w:val="clear" w:pos="1843"/>
              <w:tab w:val="left" w:pos="3119"/>
            </w:tabs>
            <w:ind w:left="3119" w:hanging="2552"/>
            <w:rPr>
              <w:rFonts w:eastAsiaTheme="minorEastAsia"/>
              <w:noProof/>
            </w:rPr>
          </w:pPr>
          <w:hyperlink w:anchor="_Toc420681140" w:history="1">
            <w:r w:rsidR="00984EFC" w:rsidRPr="007B4F5B">
              <w:rPr>
                <w:rStyle w:val="Hyperlink"/>
                <w:rFonts w:ascii="Arial" w:eastAsia="SimSun" w:hAnsi="Arial" w:cs="Arial"/>
                <w:b/>
                <w:noProof/>
                <w:sz w:val="20"/>
                <w:szCs w:val="20"/>
                <w:lang w:val="es-ES_tradnl"/>
              </w:rPr>
              <w:t>META ESTRATÉGICA III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FACILITAR EL USO DE LA P.I. EN ARAS DEL DESARROLLO</w:t>
            </w:r>
            <w:r w:rsidR="00984EFC" w:rsidRPr="007B4F5B">
              <w:rPr>
                <w:noProof/>
                <w:webHidden/>
              </w:rPr>
              <w:tab/>
            </w:r>
            <w:r w:rsidR="00984EFC" w:rsidRPr="007B4F5B">
              <w:rPr>
                <w:noProof/>
                <w:webHidden/>
              </w:rPr>
              <w:fldChar w:fldCharType="begin"/>
            </w:r>
            <w:r w:rsidR="00984EFC" w:rsidRPr="007B4F5B">
              <w:rPr>
                <w:noProof/>
                <w:webHidden/>
              </w:rPr>
              <w:instrText xml:space="preserve"> PAGEREF _Toc420681140 \h </w:instrText>
            </w:r>
            <w:r w:rsidR="00984EFC" w:rsidRPr="007B4F5B">
              <w:rPr>
                <w:noProof/>
                <w:webHidden/>
              </w:rPr>
            </w:r>
            <w:r w:rsidR="00984EFC" w:rsidRPr="007B4F5B">
              <w:rPr>
                <w:noProof/>
                <w:webHidden/>
              </w:rPr>
              <w:fldChar w:fldCharType="separate"/>
            </w:r>
            <w:r>
              <w:rPr>
                <w:noProof/>
                <w:webHidden/>
              </w:rPr>
              <w:t>77</w:t>
            </w:r>
            <w:r w:rsidR="00984EFC" w:rsidRPr="007B4F5B">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1" w:history="1">
            <w:r w:rsidR="00984EFC" w:rsidRPr="00984EFC">
              <w:rPr>
                <w:rStyle w:val="Hyperlink"/>
                <w:rFonts w:ascii="Arial" w:hAnsi="Arial" w:cs="Arial"/>
                <w:noProof/>
                <w:sz w:val="20"/>
                <w:szCs w:val="20"/>
                <w:lang w:val="es-ES"/>
              </w:rPr>
              <w:t>PROGRAMA 8</w:t>
            </w:r>
            <w:r w:rsidR="00984EFC" w:rsidRPr="00984EFC">
              <w:rPr>
                <w:rFonts w:eastAsiaTheme="minorEastAsia"/>
                <w:noProof/>
              </w:rPr>
              <w:tab/>
            </w:r>
            <w:r w:rsidR="00984EFC" w:rsidRPr="00984EFC">
              <w:rPr>
                <w:rStyle w:val="Hyperlink"/>
                <w:rFonts w:ascii="Arial" w:hAnsi="Arial" w:cs="Arial"/>
                <w:noProof/>
                <w:sz w:val="20"/>
                <w:szCs w:val="20"/>
                <w:lang w:val="es-ES"/>
              </w:rPr>
              <w:t>COORDINACIÓN DE LA AGENDA PARA EL DESARROLLO</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_Toc420681141 \h </w:instrText>
            </w:r>
            <w:r w:rsidR="00984EFC" w:rsidRPr="00984EFC">
              <w:rPr>
                <w:noProof/>
                <w:webHidden/>
              </w:rPr>
            </w:r>
            <w:r w:rsidR="00984EFC" w:rsidRPr="00984EFC">
              <w:rPr>
                <w:noProof/>
                <w:webHidden/>
              </w:rPr>
              <w:fldChar w:fldCharType="separate"/>
            </w:r>
            <w:r>
              <w:rPr>
                <w:noProof/>
                <w:webHidden/>
              </w:rPr>
              <w:t>80</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2" w:history="1">
            <w:r w:rsidR="00984EFC" w:rsidRPr="00984EFC">
              <w:rPr>
                <w:rStyle w:val="Hyperlink"/>
                <w:rFonts w:ascii="Arial" w:hAnsi="Arial" w:cs="Arial"/>
                <w:noProof/>
                <w:sz w:val="20"/>
                <w:szCs w:val="20"/>
                <w:lang w:val="es-ES"/>
              </w:rPr>
              <w:t>PROGRAMA 9</w:t>
            </w:r>
            <w:r w:rsidR="00984EFC" w:rsidRPr="00984EFC">
              <w:rPr>
                <w:rFonts w:eastAsiaTheme="minorEastAsia"/>
                <w:noProof/>
              </w:rPr>
              <w:tab/>
            </w:r>
            <w:r w:rsidR="00984EFC" w:rsidRPr="00984EFC">
              <w:rPr>
                <w:rStyle w:val="Hyperlink"/>
                <w:rFonts w:ascii="Arial" w:hAnsi="Arial" w:cs="Arial"/>
                <w:noProof/>
                <w:sz w:val="20"/>
                <w:szCs w:val="20"/>
                <w:lang w:val="es-ES"/>
              </w:rPr>
              <w:t>PAÍSES AFRICANOS, ÁRABES, DE AMÉRICA LATINA Y EL CARIBE, DE ASIA Y EL PACÍFICO, Y PAÍSES MENOS ADELANTADOS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_Toc420681142 \h </w:instrText>
            </w:r>
            <w:r w:rsidR="00984EFC" w:rsidRPr="00984EFC">
              <w:rPr>
                <w:noProof/>
                <w:webHidden/>
              </w:rPr>
            </w:r>
            <w:r w:rsidR="00984EFC" w:rsidRPr="00984EFC">
              <w:rPr>
                <w:noProof/>
                <w:webHidden/>
              </w:rPr>
              <w:fldChar w:fldCharType="separate"/>
            </w:r>
            <w:r>
              <w:rPr>
                <w:noProof/>
                <w:webHidden/>
              </w:rPr>
              <w:t>83</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3" w:history="1">
            <w:r w:rsidR="00984EFC" w:rsidRPr="00984EFC">
              <w:rPr>
                <w:rStyle w:val="Hyperlink"/>
                <w:rFonts w:ascii="Arial" w:hAnsi="Arial" w:cs="Arial"/>
                <w:noProof/>
                <w:sz w:val="20"/>
                <w:szCs w:val="20"/>
                <w:lang w:val="es-ES"/>
              </w:rPr>
              <w:t>PROGRAMA 10</w:t>
            </w:r>
            <w:r w:rsidR="00984EFC" w:rsidRPr="00984EFC">
              <w:rPr>
                <w:rFonts w:eastAsiaTheme="minorEastAsia"/>
                <w:noProof/>
              </w:rPr>
              <w:tab/>
            </w:r>
            <w:r w:rsidR="00984EFC" w:rsidRPr="00984EFC">
              <w:rPr>
                <w:rStyle w:val="Hyperlink"/>
                <w:rFonts w:ascii="Arial" w:hAnsi="Arial" w:cs="Arial"/>
                <w:noProof/>
                <w:sz w:val="20"/>
                <w:szCs w:val="20"/>
                <w:lang w:val="es-ES"/>
              </w:rPr>
              <w:t xml:space="preserve">PAÍSES CON ECONOMÍAS EN TRANSICIÓN Y PAÍSES </w:t>
            </w:r>
            <w:r w:rsidR="007B4F5B">
              <w:rPr>
                <w:rStyle w:val="Hyperlink"/>
                <w:rFonts w:ascii="Arial" w:hAnsi="Arial" w:cs="Arial"/>
                <w:noProof/>
                <w:sz w:val="20"/>
                <w:szCs w:val="20"/>
                <w:lang w:val="es-ES"/>
              </w:rPr>
              <w:br/>
            </w:r>
            <w:r w:rsidR="00984EFC" w:rsidRPr="00984EFC">
              <w:rPr>
                <w:rStyle w:val="Hyperlink"/>
                <w:rFonts w:ascii="Arial" w:hAnsi="Arial" w:cs="Arial"/>
                <w:noProof/>
                <w:sz w:val="20"/>
                <w:szCs w:val="20"/>
                <w:lang w:val="es-ES"/>
              </w:rPr>
              <w:t>DESARROLLADOS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_Toc420681143 \h </w:instrText>
            </w:r>
            <w:r w:rsidR="00984EFC" w:rsidRPr="00984EFC">
              <w:rPr>
                <w:noProof/>
                <w:webHidden/>
              </w:rPr>
            </w:r>
            <w:r w:rsidR="00984EFC" w:rsidRPr="00984EFC">
              <w:rPr>
                <w:noProof/>
                <w:webHidden/>
              </w:rPr>
              <w:fldChar w:fldCharType="separate"/>
            </w:r>
            <w:r>
              <w:rPr>
                <w:noProof/>
                <w:webHidden/>
              </w:rPr>
              <w:t>91</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4" w:history="1">
            <w:r w:rsidR="00984EFC" w:rsidRPr="00984EFC">
              <w:rPr>
                <w:rStyle w:val="Hyperlink"/>
                <w:rFonts w:ascii="Arial" w:hAnsi="Arial" w:cs="Arial"/>
                <w:noProof/>
                <w:sz w:val="20"/>
                <w:szCs w:val="20"/>
                <w:lang w:val="es-ES"/>
              </w:rPr>
              <w:t>PROGRAMA 11</w:t>
            </w:r>
            <w:r w:rsidR="00984EFC" w:rsidRPr="00984EFC">
              <w:rPr>
                <w:rFonts w:eastAsiaTheme="minorEastAsia"/>
                <w:noProof/>
              </w:rPr>
              <w:tab/>
            </w:r>
            <w:r w:rsidR="00984EFC" w:rsidRPr="00984EFC">
              <w:rPr>
                <w:rStyle w:val="Hyperlink"/>
                <w:rFonts w:ascii="Arial" w:hAnsi="Arial" w:cs="Arial"/>
                <w:noProof/>
                <w:sz w:val="20"/>
                <w:szCs w:val="20"/>
                <w:lang w:val="es-ES"/>
              </w:rPr>
              <w:t>ACADEMIA DE LA OMPI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_Toc420681144 \h </w:instrText>
            </w:r>
            <w:r w:rsidR="00984EFC" w:rsidRPr="00984EFC">
              <w:rPr>
                <w:noProof/>
                <w:webHidden/>
              </w:rPr>
            </w:r>
            <w:r w:rsidR="00984EFC" w:rsidRPr="00984EFC">
              <w:rPr>
                <w:noProof/>
                <w:webHidden/>
              </w:rPr>
              <w:fldChar w:fldCharType="separate"/>
            </w:r>
            <w:r>
              <w:rPr>
                <w:noProof/>
                <w:webHidden/>
              </w:rPr>
              <w:t>97</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5" w:history="1">
            <w:r w:rsidR="00984EFC" w:rsidRPr="00984EFC">
              <w:rPr>
                <w:rStyle w:val="Hyperlink"/>
                <w:rFonts w:ascii="Arial" w:eastAsia="Arial" w:hAnsi="Arial" w:cs="Arial"/>
                <w:noProof/>
                <w:sz w:val="20"/>
                <w:szCs w:val="20"/>
                <w:lang w:val="es-ES"/>
              </w:rPr>
              <w:t>PROGRAMA 30</w:t>
            </w:r>
            <w:r w:rsidR="00984EFC" w:rsidRPr="00984EFC">
              <w:rPr>
                <w:rFonts w:eastAsiaTheme="minorEastAsia"/>
                <w:noProof/>
              </w:rPr>
              <w:tab/>
            </w:r>
            <w:r w:rsidR="00984EFC" w:rsidRPr="00984EFC">
              <w:rPr>
                <w:rStyle w:val="Hyperlink"/>
                <w:rFonts w:ascii="Arial" w:eastAsia="Arial" w:hAnsi="Arial" w:cs="Arial"/>
                <w:noProof/>
                <w:sz w:val="20"/>
                <w:szCs w:val="20"/>
                <w:lang w:val="es-ES"/>
              </w:rPr>
              <w:t>APOYO A LAS PEQUEÑAS Y MEDIANAS EMPRESAS (PYMES) Y A LA CAPACIDAD EMPRESARIAL</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_Toc420681145 \h </w:instrText>
            </w:r>
            <w:r w:rsidR="00984EFC" w:rsidRPr="00984EFC">
              <w:rPr>
                <w:noProof/>
                <w:webHidden/>
              </w:rPr>
            </w:r>
            <w:r w:rsidR="00984EFC" w:rsidRPr="00984EFC">
              <w:rPr>
                <w:noProof/>
                <w:webHidden/>
              </w:rPr>
              <w:fldChar w:fldCharType="separate"/>
            </w:r>
            <w:r>
              <w:rPr>
                <w:noProof/>
                <w:webHidden/>
              </w:rPr>
              <w:t>103</w:t>
            </w:r>
            <w:r w:rsidR="00984EFC" w:rsidRPr="00984EFC">
              <w:rPr>
                <w:noProof/>
                <w:webHidden/>
              </w:rPr>
              <w:fldChar w:fldCharType="end"/>
            </w:r>
          </w:hyperlink>
        </w:p>
        <w:p w:rsidR="00984EFC" w:rsidRPr="007B4F5B" w:rsidRDefault="009A0CA2" w:rsidP="007B4F5B">
          <w:pPr>
            <w:pStyle w:val="TOC3"/>
            <w:tabs>
              <w:tab w:val="clear" w:pos="1843"/>
              <w:tab w:val="left" w:pos="3119"/>
            </w:tabs>
            <w:ind w:left="3119" w:hanging="2552"/>
            <w:rPr>
              <w:rFonts w:eastAsiaTheme="minorEastAsia"/>
              <w:noProof/>
            </w:rPr>
          </w:pPr>
          <w:hyperlink w:anchor="_Toc420681146" w:history="1">
            <w:r w:rsidR="00984EFC" w:rsidRPr="007B4F5B">
              <w:rPr>
                <w:rStyle w:val="Hyperlink"/>
                <w:rFonts w:ascii="Arial" w:eastAsia="SimSun" w:hAnsi="Arial" w:cs="Arial"/>
                <w:b/>
                <w:noProof/>
                <w:sz w:val="20"/>
                <w:szCs w:val="20"/>
                <w:lang w:val="es-ES_tradnl"/>
              </w:rPr>
              <w:t>META ESTRATÉGICA IV</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COORDINACIÓN Y DESARROLLO DE LA INFRAESTRUCTURA MUNDIAL DE LA P.I.</w:t>
            </w:r>
            <w:r w:rsidR="00984EFC" w:rsidRPr="007B4F5B">
              <w:rPr>
                <w:noProof/>
                <w:webHidden/>
              </w:rPr>
              <w:tab/>
            </w:r>
            <w:r w:rsidR="00984EFC" w:rsidRPr="007B4F5B">
              <w:rPr>
                <w:noProof/>
                <w:webHidden/>
              </w:rPr>
              <w:fldChar w:fldCharType="begin"/>
            </w:r>
            <w:r w:rsidR="00984EFC" w:rsidRPr="007B4F5B">
              <w:rPr>
                <w:noProof/>
                <w:webHidden/>
              </w:rPr>
              <w:instrText xml:space="preserve"> PAGEREF _Toc420681146 \h </w:instrText>
            </w:r>
            <w:r w:rsidR="00984EFC" w:rsidRPr="007B4F5B">
              <w:rPr>
                <w:noProof/>
                <w:webHidden/>
              </w:rPr>
            </w:r>
            <w:r w:rsidR="00984EFC" w:rsidRPr="007B4F5B">
              <w:rPr>
                <w:noProof/>
                <w:webHidden/>
              </w:rPr>
              <w:fldChar w:fldCharType="separate"/>
            </w:r>
            <w:r>
              <w:rPr>
                <w:noProof/>
                <w:webHidden/>
              </w:rPr>
              <w:t>108</w:t>
            </w:r>
            <w:r w:rsidR="00984EFC" w:rsidRPr="007B4F5B">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7" w:history="1">
            <w:r w:rsidR="00984EFC" w:rsidRPr="00984EFC">
              <w:rPr>
                <w:rStyle w:val="Hyperlink"/>
                <w:rFonts w:ascii="Arial" w:hAnsi="Arial" w:cs="Arial"/>
                <w:noProof/>
                <w:sz w:val="20"/>
                <w:szCs w:val="20"/>
                <w:lang w:val="es-ES"/>
              </w:rPr>
              <w:t>PROGRAMA 12</w:t>
            </w:r>
            <w:r w:rsidR="00984EFC" w:rsidRPr="00984EFC">
              <w:rPr>
                <w:rFonts w:eastAsiaTheme="minorEastAsia"/>
                <w:noProof/>
              </w:rPr>
              <w:tab/>
            </w:r>
            <w:r w:rsidR="00984EFC" w:rsidRPr="00984EFC">
              <w:rPr>
                <w:rStyle w:val="Hyperlink"/>
                <w:rFonts w:ascii="Arial" w:hAnsi="Arial" w:cs="Arial"/>
                <w:noProof/>
                <w:sz w:val="20"/>
                <w:szCs w:val="20"/>
                <w:lang w:val="es-ES"/>
              </w:rPr>
              <w:t>CLASIFICACIONES INTERNACIONALES Y NORMAS TÉCNICAS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_Toc420681147 \h </w:instrText>
            </w:r>
            <w:r w:rsidR="00984EFC" w:rsidRPr="00984EFC">
              <w:rPr>
                <w:noProof/>
                <w:webHidden/>
              </w:rPr>
            </w:r>
            <w:r w:rsidR="00984EFC" w:rsidRPr="00984EFC">
              <w:rPr>
                <w:noProof/>
                <w:webHidden/>
              </w:rPr>
              <w:fldChar w:fldCharType="separate"/>
            </w:r>
            <w:r>
              <w:rPr>
                <w:noProof/>
                <w:webHidden/>
              </w:rPr>
              <w:t>111</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8" w:history="1">
            <w:r w:rsidR="00984EFC" w:rsidRPr="00984EFC">
              <w:rPr>
                <w:rStyle w:val="Hyperlink"/>
                <w:rFonts w:ascii="Arial" w:hAnsi="Arial" w:cs="Arial"/>
                <w:noProof/>
                <w:sz w:val="20"/>
                <w:szCs w:val="20"/>
                <w:lang w:val="es-ES"/>
              </w:rPr>
              <w:t>PROGRAMA 13</w:t>
            </w:r>
            <w:r w:rsidR="00984EFC" w:rsidRPr="00984EFC">
              <w:rPr>
                <w:rFonts w:eastAsiaTheme="minorEastAsia"/>
                <w:noProof/>
              </w:rPr>
              <w:tab/>
            </w:r>
            <w:r w:rsidR="00984EFC" w:rsidRPr="00984EFC">
              <w:rPr>
                <w:rStyle w:val="Hyperlink"/>
                <w:rFonts w:ascii="Arial" w:hAnsi="Arial" w:cs="Arial"/>
                <w:noProof/>
                <w:sz w:val="20"/>
                <w:szCs w:val="20"/>
                <w:lang w:val="es-ES"/>
              </w:rPr>
              <w:t>SERVICIO DE BASES MUNDIALES DE DATOS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_Toc420681148 \h </w:instrText>
            </w:r>
            <w:r w:rsidR="00984EFC" w:rsidRPr="00984EFC">
              <w:rPr>
                <w:noProof/>
                <w:webHidden/>
              </w:rPr>
            </w:r>
            <w:r w:rsidR="00984EFC" w:rsidRPr="00984EFC">
              <w:rPr>
                <w:noProof/>
                <w:webHidden/>
              </w:rPr>
              <w:fldChar w:fldCharType="separate"/>
            </w:r>
            <w:r>
              <w:rPr>
                <w:noProof/>
                <w:webHidden/>
              </w:rPr>
              <w:t>115</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49" w:history="1">
            <w:r w:rsidR="00984EFC" w:rsidRPr="00984EFC">
              <w:rPr>
                <w:rStyle w:val="Hyperlink"/>
                <w:rFonts w:ascii="Arial" w:hAnsi="Arial" w:cs="Arial"/>
                <w:noProof/>
                <w:sz w:val="20"/>
                <w:szCs w:val="20"/>
                <w:lang w:val="es-ES"/>
              </w:rPr>
              <w:t>PROGRAMA 14</w:t>
            </w:r>
            <w:r w:rsidR="00984EFC" w:rsidRPr="00984EFC">
              <w:rPr>
                <w:rFonts w:eastAsiaTheme="minorEastAsia"/>
                <w:noProof/>
              </w:rPr>
              <w:tab/>
            </w:r>
            <w:r w:rsidR="00984EFC" w:rsidRPr="00984EFC">
              <w:rPr>
                <w:rStyle w:val="Hyperlink"/>
                <w:rFonts w:ascii="Arial" w:hAnsi="Arial" w:cs="Arial"/>
                <w:noProof/>
                <w:sz w:val="20"/>
                <w:szCs w:val="20"/>
                <w:lang w:val="es-ES"/>
              </w:rPr>
              <w:t xml:space="preserve">SERVICIOS DE ACCESO A LA INFORMACIÓN Y A LOS </w:t>
            </w:r>
            <w:r w:rsidR="007B4F5B">
              <w:rPr>
                <w:rStyle w:val="Hyperlink"/>
                <w:rFonts w:ascii="Arial" w:hAnsi="Arial" w:cs="Arial"/>
                <w:noProof/>
                <w:sz w:val="20"/>
                <w:szCs w:val="20"/>
                <w:lang w:val="es-ES"/>
              </w:rPr>
              <w:br/>
            </w:r>
            <w:r w:rsidR="00984EFC" w:rsidRPr="00984EFC">
              <w:rPr>
                <w:rStyle w:val="Hyperlink"/>
                <w:rFonts w:ascii="Arial" w:hAnsi="Arial" w:cs="Arial"/>
                <w:noProof/>
                <w:sz w:val="20"/>
                <w:szCs w:val="20"/>
                <w:lang w:val="es-ES"/>
              </w:rPr>
              <w:t>CONOCIMIENTOS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_Toc420681149 \h </w:instrText>
            </w:r>
            <w:r w:rsidR="00984EFC" w:rsidRPr="00984EFC">
              <w:rPr>
                <w:noProof/>
                <w:webHidden/>
              </w:rPr>
            </w:r>
            <w:r w:rsidR="00984EFC" w:rsidRPr="00984EFC">
              <w:rPr>
                <w:noProof/>
                <w:webHidden/>
              </w:rPr>
              <w:fldChar w:fldCharType="separate"/>
            </w:r>
            <w:r>
              <w:rPr>
                <w:noProof/>
                <w:webHidden/>
              </w:rPr>
              <w:t>119</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0" w:history="1">
            <w:r w:rsidR="00984EFC" w:rsidRPr="00984EFC">
              <w:rPr>
                <w:rStyle w:val="Hyperlink"/>
                <w:rFonts w:ascii="Arial" w:hAnsi="Arial" w:cs="Arial"/>
                <w:noProof/>
                <w:sz w:val="20"/>
                <w:szCs w:val="20"/>
                <w:lang w:val="es-ES"/>
              </w:rPr>
              <w:t>PROGRAMA 15</w:t>
            </w:r>
            <w:r w:rsidR="00984EFC" w:rsidRPr="00984EFC">
              <w:rPr>
                <w:rFonts w:eastAsiaTheme="minorEastAsia"/>
                <w:noProof/>
              </w:rPr>
              <w:tab/>
            </w:r>
            <w:r w:rsidR="00984EFC" w:rsidRPr="00984EFC">
              <w:rPr>
                <w:rStyle w:val="Hyperlink"/>
                <w:rFonts w:ascii="Arial" w:hAnsi="Arial" w:cs="Arial"/>
                <w:noProof/>
                <w:sz w:val="20"/>
                <w:szCs w:val="20"/>
                <w:lang w:val="es-ES"/>
              </w:rPr>
              <w:t>SOLUCIONES OPERATIVAS PARA LAS OFICINAS DE 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_Toc420681150 \h </w:instrText>
            </w:r>
            <w:r w:rsidR="00984EFC" w:rsidRPr="00984EFC">
              <w:rPr>
                <w:noProof/>
                <w:webHidden/>
              </w:rPr>
            </w:r>
            <w:r w:rsidR="00984EFC" w:rsidRPr="00984EFC">
              <w:rPr>
                <w:noProof/>
                <w:webHidden/>
              </w:rPr>
              <w:fldChar w:fldCharType="separate"/>
            </w:r>
            <w:r>
              <w:rPr>
                <w:noProof/>
                <w:webHidden/>
              </w:rPr>
              <w:t>123</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51" w:history="1">
            <w:r w:rsidR="00984EFC" w:rsidRPr="007B4F5B">
              <w:rPr>
                <w:rStyle w:val="Hyperlink"/>
                <w:rFonts w:ascii="Arial" w:eastAsia="SimSun" w:hAnsi="Arial" w:cs="Arial"/>
                <w:b/>
                <w:noProof/>
                <w:sz w:val="20"/>
                <w:szCs w:val="20"/>
                <w:lang w:val="es-ES_tradnl"/>
              </w:rPr>
              <w:t>META ESTRATÉGICA V</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FUENTE DE REFERENCIA EN EL MUNDO DE INFORMACIÓN Y ANÁLISIS EN MATERIA DE 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_Toc420681151 \h </w:instrText>
            </w:r>
            <w:r w:rsidR="00984EFC" w:rsidRPr="00984EFC">
              <w:rPr>
                <w:noProof/>
                <w:webHidden/>
              </w:rPr>
            </w:r>
            <w:r w:rsidR="00984EFC" w:rsidRPr="00984EFC">
              <w:rPr>
                <w:noProof/>
                <w:webHidden/>
              </w:rPr>
              <w:fldChar w:fldCharType="separate"/>
            </w:r>
            <w:r>
              <w:rPr>
                <w:noProof/>
                <w:webHidden/>
              </w:rPr>
              <w:t>127</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2" w:history="1">
            <w:r w:rsidR="00984EFC" w:rsidRPr="00984EFC">
              <w:rPr>
                <w:rStyle w:val="Hyperlink"/>
                <w:rFonts w:ascii="Arial" w:hAnsi="Arial" w:cs="Arial"/>
                <w:noProof/>
                <w:sz w:val="20"/>
                <w:szCs w:val="20"/>
              </w:rPr>
              <w:t>PROGRAMA 16</w:t>
            </w:r>
            <w:r w:rsidR="00984EFC" w:rsidRPr="00984EFC">
              <w:rPr>
                <w:rFonts w:eastAsiaTheme="minorEastAsia"/>
                <w:noProof/>
              </w:rPr>
              <w:tab/>
            </w:r>
            <w:r w:rsidR="00984EFC" w:rsidRPr="00984EFC">
              <w:rPr>
                <w:rStyle w:val="Hyperlink"/>
                <w:rFonts w:ascii="Arial" w:hAnsi="Arial" w:cs="Arial"/>
                <w:noProof/>
                <w:sz w:val="20"/>
                <w:szCs w:val="20"/>
              </w:rPr>
              <w:t>ECONOMÍA Y ESTADÍSTICA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_Toc420681152 \h </w:instrText>
            </w:r>
            <w:r w:rsidR="00984EFC" w:rsidRPr="00984EFC">
              <w:rPr>
                <w:noProof/>
                <w:webHidden/>
              </w:rPr>
            </w:r>
            <w:r w:rsidR="00984EFC" w:rsidRPr="00984EFC">
              <w:rPr>
                <w:noProof/>
                <w:webHidden/>
              </w:rPr>
              <w:fldChar w:fldCharType="separate"/>
            </w:r>
            <w:r>
              <w:rPr>
                <w:noProof/>
                <w:webHidden/>
              </w:rPr>
              <w:t>128</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53" w:history="1">
            <w:r w:rsidR="00984EFC" w:rsidRPr="007B4F5B">
              <w:rPr>
                <w:rStyle w:val="Hyperlink"/>
                <w:rFonts w:ascii="Arial" w:eastAsia="SimSun" w:hAnsi="Arial" w:cs="Arial"/>
                <w:b/>
                <w:noProof/>
                <w:sz w:val="20"/>
                <w:szCs w:val="20"/>
                <w:lang w:val="es-ES_tradnl"/>
              </w:rPr>
              <w:t>META ESTRATÉGICA VI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COOPERACIÓN INTERNACIONAL PARA FOMENTAR EL RESPETO POR LA 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_Toc420681153 \h </w:instrText>
            </w:r>
            <w:r w:rsidR="00984EFC" w:rsidRPr="00984EFC">
              <w:rPr>
                <w:noProof/>
                <w:webHidden/>
              </w:rPr>
            </w:r>
            <w:r w:rsidR="00984EFC" w:rsidRPr="00984EFC">
              <w:rPr>
                <w:noProof/>
                <w:webHidden/>
              </w:rPr>
              <w:fldChar w:fldCharType="separate"/>
            </w:r>
            <w:r>
              <w:rPr>
                <w:noProof/>
                <w:webHidden/>
              </w:rPr>
              <w:t>132</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4" w:history="1">
            <w:r w:rsidR="00984EFC" w:rsidRPr="00984EFC">
              <w:rPr>
                <w:rStyle w:val="Hyperlink"/>
                <w:rFonts w:ascii="Arial" w:hAnsi="Arial" w:cs="Arial"/>
                <w:noProof/>
                <w:sz w:val="20"/>
                <w:szCs w:val="20"/>
                <w:lang w:val="es-ES"/>
              </w:rPr>
              <w:t>PROGRAMA 17</w:t>
            </w:r>
            <w:r w:rsidR="00984EFC" w:rsidRPr="00984EFC">
              <w:rPr>
                <w:rFonts w:eastAsiaTheme="minorEastAsia"/>
                <w:noProof/>
              </w:rPr>
              <w:tab/>
            </w:r>
            <w:r w:rsidR="00984EFC" w:rsidRPr="00984EFC">
              <w:rPr>
                <w:rStyle w:val="Hyperlink"/>
                <w:rFonts w:ascii="Arial" w:hAnsi="Arial" w:cs="Arial"/>
                <w:noProof/>
                <w:sz w:val="20"/>
                <w:szCs w:val="20"/>
                <w:lang w:val="es-ES"/>
              </w:rPr>
              <w:t>FOMENTAR EL RESPETO POR LA 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_Toc420681154 \h </w:instrText>
            </w:r>
            <w:r w:rsidR="00984EFC" w:rsidRPr="00984EFC">
              <w:rPr>
                <w:noProof/>
                <w:webHidden/>
              </w:rPr>
            </w:r>
            <w:r w:rsidR="00984EFC" w:rsidRPr="00984EFC">
              <w:rPr>
                <w:noProof/>
                <w:webHidden/>
              </w:rPr>
              <w:fldChar w:fldCharType="separate"/>
            </w:r>
            <w:r>
              <w:rPr>
                <w:noProof/>
                <w:webHidden/>
              </w:rPr>
              <w:t>133</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55" w:history="1">
            <w:r w:rsidR="00984EFC" w:rsidRPr="007B4F5B">
              <w:rPr>
                <w:rStyle w:val="Hyperlink"/>
                <w:rFonts w:ascii="Arial" w:eastAsia="SimSun" w:hAnsi="Arial" w:cs="Arial"/>
                <w:b/>
                <w:noProof/>
                <w:sz w:val="20"/>
                <w:szCs w:val="20"/>
                <w:lang w:val="es-ES_tradnl"/>
              </w:rPr>
              <w:t>META ESTRATÉGICA VII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VÍNCULOS ENTRE LA P.I. Y LOS PROBLEMAS MUNDIALES DE POLÍTICA PÚBLICA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_Toc420681155 \h </w:instrText>
            </w:r>
            <w:r w:rsidR="00984EFC" w:rsidRPr="00984EFC">
              <w:rPr>
                <w:noProof/>
                <w:webHidden/>
              </w:rPr>
            </w:r>
            <w:r w:rsidR="00984EFC" w:rsidRPr="00984EFC">
              <w:rPr>
                <w:noProof/>
                <w:webHidden/>
              </w:rPr>
              <w:fldChar w:fldCharType="separate"/>
            </w:r>
            <w:r>
              <w:rPr>
                <w:noProof/>
                <w:webHidden/>
              </w:rPr>
              <w:t>138</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6" w:history="1">
            <w:r w:rsidR="00984EFC" w:rsidRPr="00984EFC">
              <w:rPr>
                <w:rStyle w:val="Hyperlink"/>
                <w:rFonts w:ascii="Arial" w:hAnsi="Arial" w:cs="Arial"/>
                <w:noProof/>
                <w:sz w:val="20"/>
                <w:szCs w:val="20"/>
                <w:lang w:val="es-ES_tradnl"/>
              </w:rPr>
              <w:t>PROGRAMA 18</w:t>
            </w:r>
            <w:r w:rsidR="00984EFC" w:rsidRPr="00984EFC">
              <w:rPr>
                <w:rFonts w:eastAsiaTheme="minorEastAsia"/>
                <w:noProof/>
              </w:rPr>
              <w:tab/>
            </w:r>
            <w:r w:rsidR="00984EFC" w:rsidRPr="00984EFC">
              <w:rPr>
                <w:rStyle w:val="Hyperlink"/>
                <w:rFonts w:ascii="Arial" w:hAnsi="Arial" w:cs="Arial"/>
                <w:noProof/>
                <w:sz w:val="20"/>
                <w:szCs w:val="20"/>
                <w:lang w:val="es-ES_tradnl"/>
              </w:rPr>
              <w:t>LA P.I. Y LOS DESAFÍOS MUNDIALES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_Toc420681156 \h </w:instrText>
            </w:r>
            <w:r w:rsidR="00984EFC" w:rsidRPr="00984EFC">
              <w:rPr>
                <w:noProof/>
                <w:webHidden/>
              </w:rPr>
            </w:r>
            <w:r w:rsidR="00984EFC" w:rsidRPr="00984EFC">
              <w:rPr>
                <w:noProof/>
                <w:webHidden/>
              </w:rPr>
              <w:fldChar w:fldCharType="separate"/>
            </w:r>
            <w:r>
              <w:rPr>
                <w:noProof/>
                <w:webHidden/>
              </w:rPr>
              <w:t>139</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57" w:history="1">
            <w:r w:rsidR="00984EFC" w:rsidRPr="007B4F5B">
              <w:rPr>
                <w:rStyle w:val="Hyperlink"/>
                <w:rFonts w:ascii="Arial" w:eastAsia="SimSun" w:hAnsi="Arial" w:cs="Arial"/>
                <w:b/>
                <w:noProof/>
                <w:sz w:val="20"/>
                <w:szCs w:val="20"/>
                <w:lang w:val="es-ES_tradnl"/>
              </w:rPr>
              <w:t>META ESTRATÉGICA VIII</w:t>
            </w:r>
            <w:r w:rsidR="00984EFC" w:rsidRPr="007B4F5B">
              <w:rPr>
                <w:rFonts w:eastAsiaTheme="minorEastAsia"/>
                <w:noProof/>
              </w:rPr>
              <w:tab/>
            </w:r>
            <w:r w:rsidR="00984EFC" w:rsidRPr="007B4F5B">
              <w:rPr>
                <w:rStyle w:val="Hyperlink"/>
                <w:rFonts w:ascii="Arial" w:eastAsia="SimSun" w:hAnsi="Arial" w:cs="Arial"/>
                <w:b/>
                <w:noProof/>
                <w:sz w:val="20"/>
                <w:szCs w:val="20"/>
                <w:lang w:val="es-ES_tradnl"/>
              </w:rPr>
              <w:t>COMUNICACIÓN EFICAZ ENTRE LA OMPI, SUS ESTADOS MIEMBROS Y TODAS LAS PARTES INTERESADAS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_Toc420681157 \h </w:instrText>
            </w:r>
            <w:r w:rsidR="00984EFC" w:rsidRPr="00984EFC">
              <w:rPr>
                <w:noProof/>
                <w:webHidden/>
              </w:rPr>
            </w:r>
            <w:r w:rsidR="00984EFC" w:rsidRPr="00984EFC">
              <w:rPr>
                <w:noProof/>
                <w:webHidden/>
              </w:rPr>
              <w:fldChar w:fldCharType="separate"/>
            </w:r>
            <w:r>
              <w:rPr>
                <w:noProof/>
                <w:webHidden/>
              </w:rPr>
              <w:t>145</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8" w:history="1">
            <w:r w:rsidR="00984EFC" w:rsidRPr="00984EFC">
              <w:rPr>
                <w:rStyle w:val="Hyperlink"/>
                <w:rFonts w:ascii="Arial" w:hAnsi="Arial" w:cs="Arial"/>
                <w:noProof/>
                <w:sz w:val="20"/>
                <w:szCs w:val="20"/>
                <w:lang w:val="es-ES"/>
              </w:rPr>
              <w:t>PROGRAMA 19</w:t>
            </w:r>
            <w:r w:rsidR="00984EFC" w:rsidRPr="00984EFC">
              <w:rPr>
                <w:rFonts w:eastAsiaTheme="minorEastAsia"/>
                <w:noProof/>
              </w:rPr>
              <w:tab/>
            </w:r>
            <w:r w:rsidR="00984EFC" w:rsidRPr="00984EFC">
              <w:rPr>
                <w:rStyle w:val="Hyperlink"/>
                <w:rFonts w:ascii="Arial" w:hAnsi="Arial" w:cs="Arial"/>
                <w:noProof/>
                <w:sz w:val="20"/>
                <w:szCs w:val="20"/>
                <w:lang w:val="es-ES"/>
              </w:rPr>
              <w:t>COMUNICACIONES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_Toc420681158 \h </w:instrText>
            </w:r>
            <w:r w:rsidR="00984EFC" w:rsidRPr="00984EFC">
              <w:rPr>
                <w:noProof/>
                <w:webHidden/>
              </w:rPr>
            </w:r>
            <w:r w:rsidR="00984EFC" w:rsidRPr="00984EFC">
              <w:rPr>
                <w:noProof/>
                <w:webHidden/>
              </w:rPr>
              <w:fldChar w:fldCharType="separate"/>
            </w:r>
            <w:r>
              <w:rPr>
                <w:noProof/>
                <w:webHidden/>
              </w:rPr>
              <w:t>147</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59" w:history="1">
            <w:r w:rsidR="00984EFC" w:rsidRPr="00984EFC">
              <w:rPr>
                <w:rStyle w:val="Hyperlink"/>
                <w:rFonts w:ascii="Arial" w:hAnsi="Arial" w:cs="Arial"/>
                <w:noProof/>
                <w:sz w:val="20"/>
                <w:szCs w:val="20"/>
                <w:lang w:val="es-ES"/>
              </w:rPr>
              <w:t>PROGRAMA 20</w:t>
            </w:r>
            <w:r w:rsidR="00984EFC" w:rsidRPr="00984EFC">
              <w:rPr>
                <w:rFonts w:eastAsiaTheme="minorEastAsia"/>
                <w:noProof/>
              </w:rPr>
              <w:tab/>
            </w:r>
            <w:r w:rsidR="00984EFC" w:rsidRPr="00984EFC">
              <w:rPr>
                <w:rStyle w:val="Hyperlink"/>
                <w:rFonts w:ascii="Arial" w:hAnsi="Arial" w:cs="Arial"/>
                <w:noProof/>
                <w:sz w:val="20"/>
                <w:szCs w:val="20"/>
                <w:lang w:val="es-ES"/>
              </w:rPr>
              <w:t>RELACIONES EXTERIORES, ALIANZAS Y OFICINAS EN EL EXTERIOR</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_Toc420681159 \h </w:instrText>
            </w:r>
            <w:r w:rsidR="00984EFC" w:rsidRPr="00984EFC">
              <w:rPr>
                <w:noProof/>
                <w:webHidden/>
              </w:rPr>
            </w:r>
            <w:r w:rsidR="00984EFC" w:rsidRPr="00984EFC">
              <w:rPr>
                <w:noProof/>
                <w:webHidden/>
              </w:rPr>
              <w:fldChar w:fldCharType="separate"/>
            </w:r>
            <w:r>
              <w:rPr>
                <w:noProof/>
                <w:webHidden/>
              </w:rPr>
              <w:t>153</w:t>
            </w:r>
            <w:r w:rsidR="00984EFC" w:rsidRPr="00984EFC">
              <w:rPr>
                <w:noProof/>
                <w:webHidden/>
              </w:rPr>
              <w:fldChar w:fldCharType="end"/>
            </w:r>
          </w:hyperlink>
        </w:p>
        <w:p w:rsidR="00984EFC" w:rsidRPr="00984EFC" w:rsidRDefault="009A0CA2" w:rsidP="007B4F5B">
          <w:pPr>
            <w:pStyle w:val="TOC3"/>
            <w:tabs>
              <w:tab w:val="clear" w:pos="1843"/>
              <w:tab w:val="left" w:pos="3119"/>
            </w:tabs>
            <w:ind w:left="3119" w:hanging="2552"/>
            <w:rPr>
              <w:rFonts w:eastAsiaTheme="minorEastAsia"/>
              <w:noProof/>
            </w:rPr>
          </w:pPr>
          <w:hyperlink w:anchor="_Toc420681160" w:history="1">
            <w:r w:rsidR="00984EFC" w:rsidRPr="007B4F5B">
              <w:rPr>
                <w:rStyle w:val="Hyperlink"/>
                <w:rFonts w:ascii="Arial" w:eastAsia="SimSun" w:hAnsi="Arial" w:cs="Arial"/>
                <w:b/>
                <w:noProof/>
                <w:sz w:val="20"/>
                <w:szCs w:val="20"/>
                <w:lang w:val="es-ES_tradnl"/>
              </w:rPr>
              <w:t>META ESTRATÉGICA IX</w:t>
            </w:r>
            <w:r w:rsidR="00984EFC" w:rsidRPr="007B4F5B">
              <w:rPr>
                <w:rFonts w:eastAsiaTheme="minorEastAsia"/>
                <w:b/>
                <w:noProof/>
              </w:rPr>
              <w:tab/>
            </w:r>
            <w:r w:rsidR="00984EFC" w:rsidRPr="007B4F5B">
              <w:rPr>
                <w:rStyle w:val="Hyperlink"/>
                <w:rFonts w:ascii="Arial" w:eastAsia="SimSun" w:hAnsi="Arial" w:cs="Arial"/>
                <w:b/>
                <w:noProof/>
                <w:sz w:val="20"/>
                <w:szCs w:val="20"/>
                <w:lang w:val="es-ES_tradnl"/>
              </w:rPr>
              <w:t>APOYO ADMINISTRATIVO Y FINANCIERO EFICIENTE</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_Toc420681160 \h </w:instrText>
            </w:r>
            <w:r w:rsidR="00984EFC" w:rsidRPr="00984EFC">
              <w:rPr>
                <w:noProof/>
                <w:webHidden/>
              </w:rPr>
            </w:r>
            <w:r w:rsidR="00984EFC" w:rsidRPr="00984EFC">
              <w:rPr>
                <w:noProof/>
                <w:webHidden/>
              </w:rPr>
              <w:fldChar w:fldCharType="separate"/>
            </w:r>
            <w:r>
              <w:rPr>
                <w:noProof/>
                <w:webHidden/>
              </w:rPr>
              <w:t>163</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1" w:history="1">
            <w:r w:rsidR="00984EFC" w:rsidRPr="00984EFC">
              <w:rPr>
                <w:rStyle w:val="Hyperlink"/>
                <w:rFonts w:ascii="Arial" w:hAnsi="Arial" w:cs="Arial"/>
                <w:noProof/>
                <w:sz w:val="20"/>
                <w:szCs w:val="20"/>
                <w:lang w:val="es-ES"/>
              </w:rPr>
              <w:t>PROGRAMA 21</w:t>
            </w:r>
            <w:r w:rsidR="00984EFC" w:rsidRPr="00984EFC">
              <w:rPr>
                <w:rFonts w:eastAsiaTheme="minorEastAsia"/>
                <w:noProof/>
              </w:rPr>
              <w:tab/>
            </w:r>
            <w:r w:rsidR="00984EFC" w:rsidRPr="00984EFC">
              <w:rPr>
                <w:rStyle w:val="Hyperlink"/>
                <w:rFonts w:ascii="Arial" w:hAnsi="Arial" w:cs="Arial"/>
                <w:noProof/>
                <w:sz w:val="20"/>
                <w:szCs w:val="20"/>
                <w:lang w:val="es-ES"/>
              </w:rPr>
              <w:t>GESTIÓN EJECUTIVA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_Toc420681161 \h </w:instrText>
            </w:r>
            <w:r w:rsidR="00984EFC" w:rsidRPr="00984EFC">
              <w:rPr>
                <w:noProof/>
                <w:webHidden/>
              </w:rPr>
            </w:r>
            <w:r w:rsidR="00984EFC" w:rsidRPr="00984EFC">
              <w:rPr>
                <w:noProof/>
                <w:webHidden/>
              </w:rPr>
              <w:fldChar w:fldCharType="separate"/>
            </w:r>
            <w:r>
              <w:rPr>
                <w:noProof/>
                <w:webHidden/>
              </w:rPr>
              <w:t>168</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2" w:history="1">
            <w:r w:rsidR="00984EFC" w:rsidRPr="00984EFC">
              <w:rPr>
                <w:rStyle w:val="Hyperlink"/>
                <w:rFonts w:ascii="Arial" w:hAnsi="Arial" w:cs="Arial"/>
                <w:noProof/>
                <w:sz w:val="20"/>
                <w:szCs w:val="20"/>
                <w:lang w:val="es-ES"/>
              </w:rPr>
              <w:t>PROGRAMA 22</w:t>
            </w:r>
            <w:r w:rsidR="00984EFC" w:rsidRPr="00984EFC">
              <w:rPr>
                <w:rFonts w:eastAsiaTheme="minorEastAsia"/>
                <w:noProof/>
              </w:rPr>
              <w:tab/>
            </w:r>
            <w:r w:rsidR="00984EFC" w:rsidRPr="00984EFC">
              <w:rPr>
                <w:rStyle w:val="Hyperlink"/>
                <w:rFonts w:ascii="Arial" w:hAnsi="Arial" w:cs="Arial"/>
                <w:noProof/>
                <w:sz w:val="20"/>
                <w:szCs w:val="20"/>
                <w:lang w:val="es-ES"/>
              </w:rPr>
              <w:t>GESTIÓN DE PROGRAMAS Y RECURSOS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_Toc420681162 \h </w:instrText>
            </w:r>
            <w:r w:rsidR="00984EFC" w:rsidRPr="00984EFC">
              <w:rPr>
                <w:noProof/>
                <w:webHidden/>
              </w:rPr>
            </w:r>
            <w:r w:rsidR="00984EFC" w:rsidRPr="00984EFC">
              <w:rPr>
                <w:noProof/>
                <w:webHidden/>
              </w:rPr>
              <w:fldChar w:fldCharType="separate"/>
            </w:r>
            <w:r>
              <w:rPr>
                <w:noProof/>
                <w:webHidden/>
              </w:rPr>
              <w:t>173</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3" w:history="1">
            <w:r w:rsidR="00984EFC" w:rsidRPr="00984EFC">
              <w:rPr>
                <w:rStyle w:val="Hyperlink"/>
                <w:rFonts w:ascii="Arial" w:hAnsi="Arial" w:cs="Arial"/>
                <w:noProof/>
                <w:sz w:val="20"/>
                <w:szCs w:val="20"/>
                <w:lang w:val="es-ES"/>
              </w:rPr>
              <w:t>PROGRAMA 23</w:t>
            </w:r>
            <w:r w:rsidR="00984EFC" w:rsidRPr="00984EFC">
              <w:rPr>
                <w:rFonts w:eastAsiaTheme="minorEastAsia"/>
                <w:noProof/>
              </w:rPr>
              <w:tab/>
            </w:r>
            <w:r w:rsidR="00984EFC" w:rsidRPr="00984EFC">
              <w:rPr>
                <w:rStyle w:val="Hyperlink"/>
                <w:rFonts w:ascii="Arial" w:hAnsi="Arial" w:cs="Arial"/>
                <w:noProof/>
                <w:sz w:val="20"/>
                <w:szCs w:val="20"/>
                <w:lang w:val="es-ES"/>
              </w:rPr>
              <w:t>GESTIÓN Y DESARROLLO DE LOS RECURSOS HUMANOS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_Toc420681163 \h </w:instrText>
            </w:r>
            <w:r w:rsidR="00984EFC" w:rsidRPr="00984EFC">
              <w:rPr>
                <w:noProof/>
                <w:webHidden/>
              </w:rPr>
            </w:r>
            <w:r w:rsidR="00984EFC" w:rsidRPr="00984EFC">
              <w:rPr>
                <w:noProof/>
                <w:webHidden/>
              </w:rPr>
              <w:fldChar w:fldCharType="separate"/>
            </w:r>
            <w:r>
              <w:rPr>
                <w:noProof/>
                <w:webHidden/>
              </w:rPr>
              <w:t>178</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4" w:history="1">
            <w:r w:rsidR="00984EFC" w:rsidRPr="00984EFC">
              <w:rPr>
                <w:rStyle w:val="Hyperlink"/>
                <w:rFonts w:ascii="Arial" w:hAnsi="Arial" w:cs="Arial"/>
                <w:noProof/>
                <w:sz w:val="20"/>
                <w:szCs w:val="20"/>
                <w:lang w:val="es-ES"/>
              </w:rPr>
              <w:t>PROGRAMA 24</w:t>
            </w:r>
            <w:r w:rsidR="00984EFC" w:rsidRPr="00984EFC">
              <w:rPr>
                <w:rFonts w:eastAsiaTheme="minorEastAsia"/>
                <w:noProof/>
              </w:rPr>
              <w:tab/>
            </w:r>
            <w:r w:rsidR="00984EFC" w:rsidRPr="00984EFC">
              <w:rPr>
                <w:rStyle w:val="Hyperlink"/>
                <w:rFonts w:ascii="Arial" w:hAnsi="Arial" w:cs="Arial"/>
                <w:noProof/>
                <w:sz w:val="20"/>
                <w:szCs w:val="20"/>
                <w:lang w:val="es-ES"/>
              </w:rPr>
              <w:t>SERVICIOS GENERALES DE APOYO</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_Toc420681164 \h </w:instrText>
            </w:r>
            <w:r w:rsidR="00984EFC" w:rsidRPr="00984EFC">
              <w:rPr>
                <w:noProof/>
                <w:webHidden/>
              </w:rPr>
            </w:r>
            <w:r w:rsidR="00984EFC" w:rsidRPr="00984EFC">
              <w:rPr>
                <w:noProof/>
                <w:webHidden/>
              </w:rPr>
              <w:fldChar w:fldCharType="separate"/>
            </w:r>
            <w:r>
              <w:rPr>
                <w:noProof/>
                <w:webHidden/>
              </w:rPr>
              <w:t>182</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5" w:history="1">
            <w:r w:rsidR="00984EFC" w:rsidRPr="00984EFC">
              <w:rPr>
                <w:rStyle w:val="Hyperlink"/>
                <w:rFonts w:ascii="Arial" w:hAnsi="Arial" w:cs="Arial"/>
                <w:noProof/>
                <w:sz w:val="20"/>
                <w:szCs w:val="20"/>
                <w:lang w:val="es-ES"/>
              </w:rPr>
              <w:t>PROGRAMA 25</w:t>
            </w:r>
            <w:r w:rsidR="00984EFC" w:rsidRPr="00984EFC">
              <w:rPr>
                <w:rFonts w:eastAsiaTheme="minorEastAsia"/>
                <w:noProof/>
              </w:rPr>
              <w:tab/>
            </w:r>
            <w:r w:rsidR="00984EFC" w:rsidRPr="00984EFC">
              <w:rPr>
                <w:rStyle w:val="Hyperlink"/>
                <w:rFonts w:ascii="Arial" w:hAnsi="Arial" w:cs="Arial"/>
                <w:noProof/>
                <w:sz w:val="20"/>
                <w:szCs w:val="20"/>
                <w:lang w:val="es-ES"/>
              </w:rPr>
              <w:t>TECNOLOGÍAS DE LA INFORMACIÓN Y LAS COMUNICACIONES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_Toc420681165 \h </w:instrText>
            </w:r>
            <w:r w:rsidR="00984EFC" w:rsidRPr="00984EFC">
              <w:rPr>
                <w:noProof/>
                <w:webHidden/>
              </w:rPr>
            </w:r>
            <w:r w:rsidR="00984EFC" w:rsidRPr="00984EFC">
              <w:rPr>
                <w:noProof/>
                <w:webHidden/>
              </w:rPr>
              <w:fldChar w:fldCharType="separate"/>
            </w:r>
            <w:r>
              <w:rPr>
                <w:noProof/>
                <w:webHidden/>
              </w:rPr>
              <w:t>187</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6" w:history="1">
            <w:r w:rsidR="00984EFC" w:rsidRPr="00984EFC">
              <w:rPr>
                <w:rStyle w:val="Hyperlink"/>
                <w:rFonts w:ascii="Arial" w:hAnsi="Arial" w:cs="Arial"/>
                <w:noProof/>
                <w:sz w:val="20"/>
                <w:szCs w:val="20"/>
                <w:lang w:val="es-ES"/>
              </w:rPr>
              <w:t>PROGRAMA 26</w:t>
            </w:r>
            <w:r w:rsidR="00984EFC" w:rsidRPr="00984EFC">
              <w:rPr>
                <w:rFonts w:eastAsiaTheme="minorEastAsia"/>
                <w:noProof/>
              </w:rPr>
              <w:tab/>
            </w:r>
            <w:r w:rsidR="00984EFC" w:rsidRPr="00984EFC">
              <w:rPr>
                <w:rStyle w:val="Hyperlink"/>
                <w:rFonts w:ascii="Arial" w:hAnsi="Arial" w:cs="Arial"/>
                <w:noProof/>
                <w:sz w:val="20"/>
                <w:szCs w:val="20"/>
                <w:lang w:val="es-ES"/>
              </w:rPr>
              <w:t>SUPERVISIÓN INTERNA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_Toc420681166 \h </w:instrText>
            </w:r>
            <w:r w:rsidR="00984EFC" w:rsidRPr="00984EFC">
              <w:rPr>
                <w:noProof/>
                <w:webHidden/>
              </w:rPr>
            </w:r>
            <w:r w:rsidR="00984EFC" w:rsidRPr="00984EFC">
              <w:rPr>
                <w:noProof/>
                <w:webHidden/>
              </w:rPr>
              <w:fldChar w:fldCharType="separate"/>
            </w:r>
            <w:r>
              <w:rPr>
                <w:noProof/>
                <w:webHidden/>
              </w:rPr>
              <w:t>191</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7" w:history="1">
            <w:r w:rsidR="00984EFC" w:rsidRPr="00984EFC">
              <w:rPr>
                <w:rStyle w:val="Hyperlink"/>
                <w:rFonts w:ascii="Arial" w:hAnsi="Arial" w:cs="Arial"/>
                <w:noProof/>
                <w:sz w:val="20"/>
                <w:szCs w:val="20"/>
                <w:lang w:val="es-ES"/>
              </w:rPr>
              <w:t>PROGRAMA 27</w:t>
            </w:r>
            <w:r w:rsidR="00984EFC" w:rsidRPr="00984EFC">
              <w:rPr>
                <w:rFonts w:eastAsiaTheme="minorEastAsia"/>
                <w:noProof/>
              </w:rPr>
              <w:tab/>
            </w:r>
            <w:r w:rsidR="00984EFC" w:rsidRPr="00984EFC">
              <w:rPr>
                <w:rStyle w:val="Hyperlink"/>
                <w:rFonts w:ascii="Arial" w:hAnsi="Arial" w:cs="Arial"/>
                <w:noProof/>
                <w:sz w:val="20"/>
                <w:szCs w:val="20"/>
                <w:lang w:val="es-ES"/>
              </w:rPr>
              <w:t>SERVICIOS DE CONFERENCIAS Y LINGÜÍSTICOS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_Toc420681167 \h </w:instrText>
            </w:r>
            <w:r w:rsidR="00984EFC" w:rsidRPr="00984EFC">
              <w:rPr>
                <w:noProof/>
                <w:webHidden/>
              </w:rPr>
            </w:r>
            <w:r w:rsidR="00984EFC" w:rsidRPr="00984EFC">
              <w:rPr>
                <w:noProof/>
                <w:webHidden/>
              </w:rPr>
              <w:fldChar w:fldCharType="separate"/>
            </w:r>
            <w:r>
              <w:rPr>
                <w:noProof/>
                <w:webHidden/>
              </w:rPr>
              <w:t>195</w:t>
            </w:r>
            <w:r w:rsidR="00984EFC" w:rsidRPr="00984EFC">
              <w:rPr>
                <w:noProof/>
                <w:webHidden/>
              </w:rPr>
              <w:fldChar w:fldCharType="end"/>
            </w:r>
          </w:hyperlink>
        </w:p>
        <w:p w:rsidR="00984EFC" w:rsidRPr="00984EFC" w:rsidRDefault="009A0CA2" w:rsidP="007B4F5B">
          <w:pPr>
            <w:pStyle w:val="TOC3"/>
            <w:tabs>
              <w:tab w:val="clear" w:pos="1843"/>
              <w:tab w:val="left" w:pos="2268"/>
            </w:tabs>
            <w:ind w:left="2268" w:hanging="1701"/>
            <w:rPr>
              <w:rFonts w:eastAsiaTheme="minorEastAsia"/>
              <w:noProof/>
            </w:rPr>
          </w:pPr>
          <w:hyperlink w:anchor="_Toc420681168" w:history="1">
            <w:r w:rsidR="00984EFC" w:rsidRPr="00984EFC">
              <w:rPr>
                <w:rStyle w:val="Hyperlink"/>
                <w:rFonts w:ascii="Arial" w:hAnsi="Arial" w:cs="Arial"/>
                <w:noProof/>
                <w:sz w:val="20"/>
                <w:szCs w:val="20"/>
                <w:lang w:val="es-ES"/>
              </w:rPr>
              <w:t>PROGRAMA 28</w:t>
            </w:r>
            <w:r w:rsidR="00984EFC" w:rsidRPr="00984EFC">
              <w:rPr>
                <w:rFonts w:eastAsiaTheme="minorEastAsia"/>
                <w:noProof/>
              </w:rPr>
              <w:tab/>
            </w:r>
            <w:r w:rsidR="00984EFC" w:rsidRPr="00984EFC">
              <w:rPr>
                <w:rStyle w:val="Hyperlink"/>
                <w:rFonts w:ascii="Arial" w:hAnsi="Arial" w:cs="Arial"/>
                <w:noProof/>
                <w:sz w:val="20"/>
                <w:szCs w:val="20"/>
                <w:lang w:val="es-ES"/>
              </w:rPr>
              <w:t>ASEGURAMIENTO DE LA INFORMACIÓN, SEGURIDAD Y VIGILANCIA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_Toc420681168 \h </w:instrText>
            </w:r>
            <w:r w:rsidR="00984EFC" w:rsidRPr="00984EFC">
              <w:rPr>
                <w:noProof/>
                <w:webHidden/>
              </w:rPr>
            </w:r>
            <w:r w:rsidR="00984EFC" w:rsidRPr="00984EFC">
              <w:rPr>
                <w:noProof/>
                <w:webHidden/>
              </w:rPr>
              <w:fldChar w:fldCharType="separate"/>
            </w:r>
            <w:r>
              <w:rPr>
                <w:noProof/>
                <w:webHidden/>
              </w:rPr>
              <w:t>198</w:t>
            </w:r>
            <w:r w:rsidR="00984EFC" w:rsidRPr="00984EFC">
              <w:rPr>
                <w:noProof/>
                <w:webHidden/>
              </w:rPr>
              <w:fldChar w:fldCharType="end"/>
            </w:r>
          </w:hyperlink>
        </w:p>
        <w:p w:rsidR="00984EFC" w:rsidRPr="00984EFC" w:rsidRDefault="009A0CA2" w:rsidP="00984EFC">
          <w:pPr>
            <w:pStyle w:val="TOC1"/>
            <w:rPr>
              <w:rFonts w:eastAsiaTheme="minorEastAsia"/>
              <w:lang w:val="en-US" w:eastAsia="en-US"/>
            </w:rPr>
          </w:pPr>
          <w:hyperlink w:anchor="_Toc420681169" w:history="1">
            <w:r w:rsidR="00984EFC" w:rsidRPr="00984EFC">
              <w:rPr>
                <w:rStyle w:val="Hyperlink"/>
                <w:sz w:val="20"/>
                <w:szCs w:val="20"/>
              </w:rPr>
              <w:t>III.</w:t>
            </w:r>
            <w:r w:rsidR="00984EFC" w:rsidRPr="00984EFC">
              <w:rPr>
                <w:rFonts w:eastAsiaTheme="minorEastAsia"/>
                <w:lang w:val="en-US" w:eastAsia="en-US"/>
              </w:rPr>
              <w:tab/>
            </w:r>
            <w:r w:rsidR="00984EFC" w:rsidRPr="00984EFC">
              <w:rPr>
                <w:rStyle w:val="Hyperlink"/>
                <w:sz w:val="20"/>
                <w:szCs w:val="20"/>
              </w:rPr>
              <w:t>ANEXOS</w:t>
            </w:r>
            <w:r w:rsidR="00984EFC" w:rsidRPr="00984EFC">
              <w:rPr>
                <w:webHidden/>
              </w:rPr>
              <w:tab/>
            </w:r>
            <w:r w:rsidR="00984EFC" w:rsidRPr="00984EFC">
              <w:rPr>
                <w:webHidden/>
              </w:rPr>
              <w:fldChar w:fldCharType="begin"/>
            </w:r>
            <w:r w:rsidR="00984EFC" w:rsidRPr="00984EFC">
              <w:rPr>
                <w:webHidden/>
              </w:rPr>
              <w:instrText xml:space="preserve"> PAGEREF _Toc420681169 \h </w:instrText>
            </w:r>
            <w:r w:rsidR="00984EFC" w:rsidRPr="00984EFC">
              <w:rPr>
                <w:webHidden/>
              </w:rPr>
            </w:r>
            <w:r w:rsidR="00984EFC" w:rsidRPr="00984EFC">
              <w:rPr>
                <w:webHidden/>
              </w:rPr>
              <w:fldChar w:fldCharType="separate"/>
            </w:r>
            <w:r>
              <w:rPr>
                <w:webHidden/>
              </w:rPr>
              <w:t>203</w:t>
            </w:r>
            <w:r w:rsidR="00984EFC" w:rsidRPr="00984EFC">
              <w:rPr>
                <w:webHidden/>
              </w:rPr>
              <w:fldChar w:fldCharType="end"/>
            </w:r>
          </w:hyperlink>
        </w:p>
        <w:p w:rsidR="00984EFC" w:rsidRPr="00984EFC" w:rsidRDefault="009A0CA2" w:rsidP="007B4F5B">
          <w:pPr>
            <w:pStyle w:val="TOC3"/>
            <w:rPr>
              <w:rFonts w:eastAsiaTheme="minorEastAsia"/>
              <w:noProof/>
            </w:rPr>
          </w:pPr>
          <w:hyperlink w:anchor="_Toc420681170" w:history="1">
            <w:r w:rsidR="00984EFC" w:rsidRPr="00984EFC">
              <w:rPr>
                <w:rStyle w:val="Hyperlink"/>
                <w:rFonts w:ascii="Arial" w:hAnsi="Arial" w:cs="Arial"/>
                <w:noProof/>
                <w:sz w:val="20"/>
                <w:szCs w:val="20"/>
                <w:lang w:val="es-ES"/>
              </w:rPr>
              <w:t>ANEXO I</w:t>
            </w:r>
            <w:r w:rsidR="00984EFC" w:rsidRPr="00984EFC">
              <w:rPr>
                <w:rFonts w:eastAsiaTheme="minorEastAsia"/>
                <w:noProof/>
              </w:rPr>
              <w:tab/>
            </w:r>
            <w:r w:rsidR="00984EFC" w:rsidRPr="00984EFC">
              <w:rPr>
                <w:rStyle w:val="Hyperlink"/>
                <w:rFonts w:ascii="Arial" w:hAnsi="Arial" w:cs="Arial"/>
                <w:noProof/>
                <w:sz w:val="20"/>
                <w:szCs w:val="20"/>
                <w:lang w:val="es-ES"/>
              </w:rPr>
              <w:t>PRESUPUESTO 2014/15 TRAS LAS TRANSFERENCIAS, POR PROGRAMA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_Toc420681170 \h </w:instrText>
            </w:r>
            <w:r w:rsidR="00984EFC" w:rsidRPr="00984EFC">
              <w:rPr>
                <w:noProof/>
                <w:webHidden/>
              </w:rPr>
            </w:r>
            <w:r w:rsidR="00984EFC" w:rsidRPr="00984EFC">
              <w:rPr>
                <w:noProof/>
                <w:webHidden/>
              </w:rPr>
              <w:fldChar w:fldCharType="separate"/>
            </w:r>
            <w:r>
              <w:rPr>
                <w:noProof/>
                <w:webHidden/>
              </w:rPr>
              <w:t>203</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1" w:history="1">
            <w:r w:rsidR="00984EFC" w:rsidRPr="00984EFC">
              <w:rPr>
                <w:rStyle w:val="Hyperlink"/>
                <w:rFonts w:ascii="Arial" w:hAnsi="Arial" w:cs="Arial"/>
                <w:noProof/>
                <w:sz w:val="20"/>
                <w:szCs w:val="20"/>
                <w:lang w:val="es-ES"/>
              </w:rPr>
              <w:t>ANEXO II</w:t>
            </w:r>
            <w:r w:rsidR="00984EFC" w:rsidRPr="00984EFC">
              <w:rPr>
                <w:rFonts w:eastAsiaTheme="minorEastAsia"/>
                <w:noProof/>
              </w:rPr>
              <w:tab/>
            </w:r>
            <w:r w:rsidR="00984EFC" w:rsidRPr="00984EFC">
              <w:rPr>
                <w:rStyle w:val="Hyperlink"/>
                <w:rFonts w:ascii="Arial" w:hAnsi="Arial" w:cs="Arial"/>
                <w:noProof/>
                <w:sz w:val="20"/>
                <w:szCs w:val="20"/>
                <w:lang w:val="es-ES"/>
              </w:rPr>
              <w:t>RECURSOS PROPUESTOS PARA 2016/17, POR PROGRAMA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_Toc420681171 \h </w:instrText>
            </w:r>
            <w:r w:rsidR="00984EFC" w:rsidRPr="00984EFC">
              <w:rPr>
                <w:noProof/>
                <w:webHidden/>
              </w:rPr>
            </w:r>
            <w:r w:rsidR="00984EFC" w:rsidRPr="00984EFC">
              <w:rPr>
                <w:noProof/>
                <w:webHidden/>
              </w:rPr>
              <w:fldChar w:fldCharType="separate"/>
            </w:r>
            <w:r>
              <w:rPr>
                <w:noProof/>
                <w:webHidden/>
              </w:rPr>
              <w:t>204</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2" w:history="1">
            <w:r w:rsidR="00984EFC" w:rsidRPr="00984EFC">
              <w:rPr>
                <w:rStyle w:val="Hyperlink"/>
                <w:rFonts w:ascii="Arial" w:hAnsi="Arial" w:cs="Arial"/>
                <w:noProof/>
                <w:sz w:val="20"/>
                <w:szCs w:val="20"/>
                <w:lang w:val="es-ES"/>
              </w:rPr>
              <w:t>ANEXO III</w:t>
            </w:r>
            <w:r w:rsidR="00984EFC" w:rsidRPr="00984EFC">
              <w:rPr>
                <w:rFonts w:eastAsiaTheme="minorEastAsia"/>
                <w:noProof/>
              </w:rPr>
              <w:tab/>
            </w:r>
            <w:r w:rsidR="00984EFC" w:rsidRPr="00984EFC">
              <w:rPr>
                <w:rStyle w:val="Hyperlink"/>
                <w:rFonts w:ascii="Arial" w:hAnsi="Arial" w:cs="Arial"/>
                <w:noProof/>
                <w:sz w:val="20"/>
                <w:szCs w:val="20"/>
                <w:lang w:val="es-ES"/>
              </w:rPr>
              <w:t>ASIGNACIÓN DE LOS INGRESOS PREVISTOS Y DE LOS GASTOS PRESUPUESTADOS, POR UNIÓN</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_Toc420681172 \h </w:instrText>
            </w:r>
            <w:r w:rsidR="00984EFC" w:rsidRPr="00984EFC">
              <w:rPr>
                <w:noProof/>
                <w:webHidden/>
              </w:rPr>
            </w:r>
            <w:r w:rsidR="00984EFC" w:rsidRPr="00984EFC">
              <w:rPr>
                <w:noProof/>
                <w:webHidden/>
              </w:rPr>
              <w:fldChar w:fldCharType="separate"/>
            </w:r>
            <w:r>
              <w:rPr>
                <w:noProof/>
                <w:webHidden/>
              </w:rPr>
              <w:t>206</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3" w:history="1">
            <w:r w:rsidR="00984EFC" w:rsidRPr="00984EFC">
              <w:rPr>
                <w:rStyle w:val="Hyperlink"/>
                <w:rFonts w:ascii="Arial" w:hAnsi="Arial" w:cs="Arial"/>
                <w:noProof/>
                <w:sz w:val="20"/>
                <w:szCs w:val="20"/>
                <w:lang w:val="es-ES"/>
              </w:rPr>
              <w:t>ANEXO IV</w:t>
            </w:r>
            <w:r w:rsidR="00984EFC" w:rsidRPr="00984EFC">
              <w:rPr>
                <w:rFonts w:eastAsiaTheme="minorEastAsia"/>
                <w:noProof/>
              </w:rPr>
              <w:tab/>
            </w:r>
            <w:r w:rsidR="00984EFC" w:rsidRPr="00984EFC">
              <w:rPr>
                <w:rStyle w:val="Hyperlink"/>
                <w:rFonts w:ascii="Arial" w:hAnsi="Arial" w:cs="Arial"/>
                <w:noProof/>
                <w:sz w:val="20"/>
                <w:szCs w:val="20"/>
                <w:lang w:val="es-ES"/>
              </w:rPr>
              <w:t>EVOLUCIÓN DE LA DEMANDA DE LOS SERVICIOS DE LOS SISTEMAS DEL PCT, DE MADRID Y DE LA HAYA A MEDIANO PLAZO</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_Toc420681173 \h </w:instrText>
            </w:r>
            <w:r w:rsidR="00984EFC" w:rsidRPr="00984EFC">
              <w:rPr>
                <w:noProof/>
                <w:webHidden/>
              </w:rPr>
            </w:r>
            <w:r w:rsidR="00984EFC" w:rsidRPr="00984EFC">
              <w:rPr>
                <w:noProof/>
                <w:webHidden/>
              </w:rPr>
              <w:fldChar w:fldCharType="separate"/>
            </w:r>
            <w:r>
              <w:rPr>
                <w:noProof/>
                <w:webHidden/>
              </w:rPr>
              <w:t>210</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4" w:history="1">
            <w:r w:rsidR="00984EFC" w:rsidRPr="00984EFC">
              <w:rPr>
                <w:rStyle w:val="Hyperlink"/>
                <w:rFonts w:ascii="Arial" w:hAnsi="Arial" w:cs="Arial"/>
                <w:noProof/>
                <w:sz w:val="20"/>
                <w:szCs w:val="20"/>
                <w:lang w:val="es-ES"/>
              </w:rPr>
              <w:t>ANEXO V</w:t>
            </w:r>
            <w:r w:rsidR="00984EFC" w:rsidRPr="00984EFC">
              <w:rPr>
                <w:rFonts w:eastAsiaTheme="minorEastAsia"/>
                <w:noProof/>
              </w:rPr>
              <w:tab/>
            </w:r>
            <w:r w:rsidR="00984EFC" w:rsidRPr="00984EFC">
              <w:rPr>
                <w:rStyle w:val="Hyperlink"/>
                <w:rFonts w:ascii="Arial" w:hAnsi="Arial" w:cs="Arial"/>
                <w:noProof/>
                <w:sz w:val="20"/>
                <w:szCs w:val="20"/>
                <w:lang w:val="es-ES"/>
              </w:rPr>
              <w:t>INDICADORES DE LAS OPERACIONES DEL PCT</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_Toc420681174 \h </w:instrText>
            </w:r>
            <w:r w:rsidR="00984EFC" w:rsidRPr="00984EFC">
              <w:rPr>
                <w:noProof/>
                <w:webHidden/>
              </w:rPr>
            </w:r>
            <w:r w:rsidR="00984EFC" w:rsidRPr="00984EFC">
              <w:rPr>
                <w:noProof/>
                <w:webHidden/>
              </w:rPr>
              <w:fldChar w:fldCharType="separate"/>
            </w:r>
            <w:r>
              <w:rPr>
                <w:noProof/>
                <w:webHidden/>
              </w:rPr>
              <w:t>227</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5" w:history="1">
            <w:r w:rsidR="00984EFC" w:rsidRPr="00984EFC">
              <w:rPr>
                <w:rStyle w:val="Hyperlink"/>
                <w:rFonts w:ascii="Arial" w:hAnsi="Arial" w:cs="Arial"/>
                <w:noProof/>
                <w:sz w:val="20"/>
                <w:szCs w:val="20"/>
                <w:lang w:val="es-ES"/>
              </w:rPr>
              <w:t>ANEXO VI</w:t>
            </w:r>
            <w:r w:rsidR="00984EFC" w:rsidRPr="00984EFC">
              <w:rPr>
                <w:rFonts w:eastAsiaTheme="minorEastAsia"/>
                <w:noProof/>
              </w:rPr>
              <w:tab/>
            </w:r>
            <w:r w:rsidR="00984EFC" w:rsidRPr="00984EFC">
              <w:rPr>
                <w:rStyle w:val="Hyperlink"/>
                <w:rFonts w:ascii="Arial" w:hAnsi="Arial" w:cs="Arial"/>
                <w:noProof/>
                <w:sz w:val="20"/>
                <w:szCs w:val="20"/>
                <w:lang w:val="es-ES"/>
              </w:rPr>
              <w:t>INDICADORES DE LAS OPERACIONES DEL SISTEMA DE MADRID</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_Toc420681175 \h </w:instrText>
            </w:r>
            <w:r w:rsidR="00984EFC" w:rsidRPr="00984EFC">
              <w:rPr>
                <w:noProof/>
                <w:webHidden/>
              </w:rPr>
            </w:r>
            <w:r w:rsidR="00984EFC" w:rsidRPr="00984EFC">
              <w:rPr>
                <w:noProof/>
                <w:webHidden/>
              </w:rPr>
              <w:fldChar w:fldCharType="separate"/>
            </w:r>
            <w:r>
              <w:rPr>
                <w:noProof/>
                <w:webHidden/>
              </w:rPr>
              <w:t>239</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6" w:history="1">
            <w:r w:rsidR="00984EFC" w:rsidRPr="00984EFC">
              <w:rPr>
                <w:rStyle w:val="Hyperlink"/>
                <w:rFonts w:ascii="Arial" w:hAnsi="Arial" w:cs="Arial"/>
                <w:noProof/>
                <w:sz w:val="20"/>
                <w:szCs w:val="20"/>
                <w:lang w:val="es-ES"/>
              </w:rPr>
              <w:t>ANEXO VII</w:t>
            </w:r>
            <w:r w:rsidR="00984EFC" w:rsidRPr="00984EFC">
              <w:rPr>
                <w:rFonts w:eastAsiaTheme="minorEastAsia"/>
                <w:noProof/>
              </w:rPr>
              <w:tab/>
            </w:r>
            <w:r w:rsidR="00984EFC" w:rsidRPr="00984EFC">
              <w:rPr>
                <w:rStyle w:val="Hyperlink"/>
                <w:rFonts w:ascii="Arial" w:hAnsi="Arial" w:cs="Arial"/>
                <w:noProof/>
                <w:sz w:val="20"/>
                <w:szCs w:val="20"/>
                <w:lang w:val="es-ES"/>
              </w:rPr>
              <w:t>INDICADORES DE LAS OPERACIONES DEL SISTEMA DE LA HAYA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_Toc420681176 \h </w:instrText>
            </w:r>
            <w:r w:rsidR="00984EFC" w:rsidRPr="00984EFC">
              <w:rPr>
                <w:noProof/>
                <w:webHidden/>
              </w:rPr>
            </w:r>
            <w:r w:rsidR="00984EFC" w:rsidRPr="00984EFC">
              <w:rPr>
                <w:noProof/>
                <w:webHidden/>
              </w:rPr>
              <w:fldChar w:fldCharType="separate"/>
            </w:r>
            <w:r>
              <w:rPr>
                <w:noProof/>
                <w:webHidden/>
              </w:rPr>
              <w:t>251</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7" w:history="1">
            <w:r w:rsidR="00984EFC" w:rsidRPr="00984EFC">
              <w:rPr>
                <w:rStyle w:val="Hyperlink"/>
                <w:rFonts w:ascii="Arial" w:hAnsi="Arial" w:cs="Arial"/>
                <w:noProof/>
                <w:sz w:val="20"/>
                <w:szCs w:val="20"/>
                <w:lang w:val="es-ES_tradnl"/>
              </w:rPr>
              <w:t>ANEXO VIII</w:t>
            </w:r>
            <w:r w:rsidR="00984EFC" w:rsidRPr="00984EFC">
              <w:rPr>
                <w:rFonts w:eastAsiaTheme="minorEastAsia"/>
                <w:noProof/>
              </w:rPr>
              <w:tab/>
            </w:r>
            <w:r w:rsidR="00984EFC" w:rsidRPr="00984EFC">
              <w:rPr>
                <w:rStyle w:val="Hyperlink"/>
                <w:rFonts w:ascii="Arial" w:hAnsi="Arial" w:cs="Arial"/>
                <w:noProof/>
                <w:sz w:val="20"/>
                <w:szCs w:val="20"/>
                <w:lang w:val="es-ES_tradnl"/>
              </w:rPr>
              <w:t>RECURSOS DE FONDOS FIDUCIARIOS DISPONIBLES POTENCIALMENTE PARA SU UTILIZACIÓN</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_Toc420681177 \h </w:instrText>
            </w:r>
            <w:r w:rsidR="00984EFC" w:rsidRPr="00984EFC">
              <w:rPr>
                <w:noProof/>
                <w:webHidden/>
              </w:rPr>
            </w:r>
            <w:r w:rsidR="00984EFC" w:rsidRPr="00984EFC">
              <w:rPr>
                <w:noProof/>
                <w:webHidden/>
              </w:rPr>
              <w:fldChar w:fldCharType="separate"/>
            </w:r>
            <w:r>
              <w:rPr>
                <w:noProof/>
                <w:webHidden/>
              </w:rPr>
              <w:t>259</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8" w:history="1">
            <w:r w:rsidR="00984EFC" w:rsidRPr="00984EFC">
              <w:rPr>
                <w:rStyle w:val="Hyperlink"/>
                <w:rFonts w:ascii="Arial" w:hAnsi="Arial" w:cs="Arial"/>
                <w:noProof/>
                <w:sz w:val="20"/>
                <w:szCs w:val="20"/>
                <w:lang w:val="es-ES_tradnl"/>
              </w:rPr>
              <w:t>ANEXO IX</w:t>
            </w:r>
            <w:r w:rsidR="00984EFC" w:rsidRPr="00984EFC">
              <w:rPr>
                <w:rFonts w:eastAsiaTheme="minorEastAsia"/>
                <w:noProof/>
              </w:rPr>
              <w:tab/>
            </w:r>
            <w:r w:rsidR="00984EFC" w:rsidRPr="00984EFC">
              <w:rPr>
                <w:rStyle w:val="Hyperlink"/>
                <w:rFonts w:ascii="Arial" w:hAnsi="Arial" w:cs="Arial"/>
                <w:noProof/>
                <w:sz w:val="20"/>
                <w:szCs w:val="20"/>
                <w:lang w:val="es-ES_tradnl"/>
              </w:rPr>
              <w:t>CUADROS DEL PRESUPUESTO ANUAL PARA LA PRESENTACIÓN DE INFORMES CONFORME A LAS IPSAS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_Toc420681178 \h </w:instrText>
            </w:r>
            <w:r w:rsidR="00984EFC" w:rsidRPr="00984EFC">
              <w:rPr>
                <w:noProof/>
                <w:webHidden/>
              </w:rPr>
            </w:r>
            <w:r w:rsidR="00984EFC" w:rsidRPr="00984EFC">
              <w:rPr>
                <w:noProof/>
                <w:webHidden/>
              </w:rPr>
              <w:fldChar w:fldCharType="separate"/>
            </w:r>
            <w:r>
              <w:rPr>
                <w:noProof/>
                <w:webHidden/>
              </w:rPr>
              <w:t>260</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79" w:history="1">
            <w:r w:rsidR="00984EFC" w:rsidRPr="00984EFC">
              <w:rPr>
                <w:rStyle w:val="Hyperlink"/>
                <w:rFonts w:ascii="Arial" w:hAnsi="Arial" w:cs="Arial"/>
                <w:noProof/>
                <w:sz w:val="20"/>
                <w:szCs w:val="20"/>
                <w:lang w:val="es-ES"/>
              </w:rPr>
              <w:t>ANEXO X</w:t>
            </w:r>
            <w:r w:rsidR="00984EFC" w:rsidRPr="00984EFC">
              <w:rPr>
                <w:rFonts w:eastAsiaTheme="minorEastAsia"/>
                <w:noProof/>
              </w:rPr>
              <w:tab/>
            </w:r>
            <w:r w:rsidR="00984EFC" w:rsidRPr="00984EFC">
              <w:rPr>
                <w:rStyle w:val="Hyperlink"/>
                <w:rFonts w:ascii="Arial" w:hAnsi="Arial" w:cs="Arial"/>
                <w:noProof/>
                <w:sz w:val="20"/>
                <w:szCs w:val="20"/>
                <w:lang w:val="es-ES"/>
              </w:rPr>
              <w:t>PRESUPUESTO DE 2016/17, POR RESULTADO PREVISTO Y PROGRAMA</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_Toc420681179 \h </w:instrText>
            </w:r>
            <w:r w:rsidR="00984EFC" w:rsidRPr="00984EFC">
              <w:rPr>
                <w:noProof/>
                <w:webHidden/>
              </w:rPr>
            </w:r>
            <w:r w:rsidR="00984EFC" w:rsidRPr="00984EFC">
              <w:rPr>
                <w:noProof/>
                <w:webHidden/>
              </w:rPr>
              <w:fldChar w:fldCharType="separate"/>
            </w:r>
            <w:r>
              <w:rPr>
                <w:noProof/>
                <w:webHidden/>
              </w:rPr>
              <w:t>262</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0" w:history="1">
            <w:r w:rsidR="00984EFC" w:rsidRPr="00984EFC">
              <w:rPr>
                <w:rStyle w:val="Hyperlink"/>
                <w:rFonts w:ascii="Arial" w:hAnsi="Arial" w:cs="Arial"/>
                <w:noProof/>
                <w:sz w:val="20"/>
                <w:szCs w:val="20"/>
                <w:lang w:val="es-ES"/>
              </w:rPr>
              <w:t>ANEXO XI</w:t>
            </w:r>
            <w:r w:rsidR="00984EFC" w:rsidRPr="00984EFC">
              <w:rPr>
                <w:rFonts w:eastAsiaTheme="minorEastAsia"/>
                <w:noProof/>
              </w:rPr>
              <w:tab/>
            </w:r>
            <w:r w:rsidR="00984EFC" w:rsidRPr="00984EFC">
              <w:rPr>
                <w:rStyle w:val="Hyperlink"/>
                <w:rFonts w:ascii="Arial" w:hAnsi="Arial" w:cs="Arial"/>
                <w:noProof/>
                <w:sz w:val="20"/>
                <w:szCs w:val="20"/>
                <w:lang w:val="es-ES"/>
              </w:rPr>
              <w:t>PRESUPUESTO DE 2016/17, POR RESULTADO PREVISTO</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_Toc420681180 \h </w:instrText>
            </w:r>
            <w:r w:rsidR="00984EFC" w:rsidRPr="00984EFC">
              <w:rPr>
                <w:noProof/>
                <w:webHidden/>
              </w:rPr>
            </w:r>
            <w:r w:rsidR="00984EFC" w:rsidRPr="00984EFC">
              <w:rPr>
                <w:noProof/>
                <w:webHidden/>
              </w:rPr>
              <w:fldChar w:fldCharType="separate"/>
            </w:r>
            <w:r>
              <w:rPr>
                <w:noProof/>
                <w:webHidden/>
              </w:rPr>
              <w:t>264</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1" w:history="1">
            <w:r w:rsidR="00984EFC" w:rsidRPr="00984EFC">
              <w:rPr>
                <w:rStyle w:val="Hyperlink"/>
                <w:rFonts w:ascii="Arial" w:hAnsi="Arial" w:cs="Arial"/>
                <w:noProof/>
                <w:sz w:val="20"/>
                <w:szCs w:val="20"/>
                <w:lang w:val="es-ES"/>
              </w:rPr>
              <w:t>ANEXO XII</w:t>
            </w:r>
            <w:r w:rsidR="00984EFC" w:rsidRPr="00984EFC">
              <w:rPr>
                <w:rFonts w:eastAsiaTheme="minorEastAsia"/>
                <w:noProof/>
              </w:rPr>
              <w:tab/>
            </w:r>
            <w:r w:rsidR="00984EFC" w:rsidRPr="00984EFC">
              <w:rPr>
                <w:rStyle w:val="Hyperlink"/>
                <w:rFonts w:ascii="Arial" w:hAnsi="Arial" w:cs="Arial"/>
                <w:noProof/>
                <w:sz w:val="20"/>
                <w:szCs w:val="20"/>
                <w:lang w:val="es-ES"/>
              </w:rPr>
              <w:t>ORGANIGRAMA DE LA OMPI</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_Toc420681181 \h </w:instrText>
            </w:r>
            <w:r w:rsidR="00984EFC" w:rsidRPr="00984EFC">
              <w:rPr>
                <w:noProof/>
                <w:webHidden/>
              </w:rPr>
            </w:r>
            <w:r w:rsidR="00984EFC" w:rsidRPr="00984EFC">
              <w:rPr>
                <w:noProof/>
                <w:webHidden/>
              </w:rPr>
              <w:fldChar w:fldCharType="separate"/>
            </w:r>
            <w:r>
              <w:rPr>
                <w:noProof/>
                <w:webHidden/>
              </w:rPr>
              <w:t>267</w:t>
            </w:r>
            <w:r w:rsidR="00984EFC" w:rsidRPr="00984EFC">
              <w:rPr>
                <w:noProof/>
                <w:webHidden/>
              </w:rPr>
              <w:fldChar w:fldCharType="end"/>
            </w:r>
          </w:hyperlink>
        </w:p>
        <w:p w:rsidR="00984EFC" w:rsidRPr="00984EFC" w:rsidRDefault="009A0CA2" w:rsidP="00984EFC">
          <w:pPr>
            <w:pStyle w:val="TOC1"/>
            <w:rPr>
              <w:rFonts w:eastAsiaTheme="minorEastAsia"/>
              <w:lang w:val="en-US" w:eastAsia="en-US"/>
            </w:rPr>
          </w:pPr>
          <w:hyperlink w:anchor="_Toc420681182" w:history="1">
            <w:r w:rsidR="00984EFC" w:rsidRPr="00984EFC">
              <w:rPr>
                <w:rStyle w:val="Hyperlink"/>
                <w:sz w:val="20"/>
                <w:szCs w:val="20"/>
              </w:rPr>
              <w:t>IV.</w:t>
            </w:r>
            <w:r w:rsidR="00984EFC" w:rsidRPr="00984EFC">
              <w:rPr>
                <w:rFonts w:eastAsiaTheme="minorEastAsia"/>
                <w:lang w:val="en-US" w:eastAsia="en-US"/>
              </w:rPr>
              <w:tab/>
            </w:r>
            <w:r w:rsidR="00984EFC" w:rsidRPr="00984EFC">
              <w:rPr>
                <w:rStyle w:val="Hyperlink"/>
                <w:sz w:val="20"/>
                <w:szCs w:val="20"/>
              </w:rPr>
              <w:t>APÉNDICES</w:t>
            </w:r>
            <w:r w:rsidR="00984EFC" w:rsidRPr="00984EFC">
              <w:rPr>
                <w:webHidden/>
              </w:rPr>
              <w:tab/>
            </w:r>
            <w:r w:rsidR="00984EFC" w:rsidRPr="00984EFC">
              <w:rPr>
                <w:webHidden/>
              </w:rPr>
              <w:fldChar w:fldCharType="begin"/>
            </w:r>
            <w:r w:rsidR="00984EFC" w:rsidRPr="00984EFC">
              <w:rPr>
                <w:webHidden/>
              </w:rPr>
              <w:instrText xml:space="preserve"> PAGEREF _Toc420681182 \h </w:instrText>
            </w:r>
            <w:r w:rsidR="00984EFC" w:rsidRPr="00984EFC">
              <w:rPr>
                <w:webHidden/>
              </w:rPr>
            </w:r>
            <w:r w:rsidR="00984EFC" w:rsidRPr="00984EFC">
              <w:rPr>
                <w:webHidden/>
              </w:rPr>
              <w:fldChar w:fldCharType="separate"/>
            </w:r>
            <w:r>
              <w:rPr>
                <w:webHidden/>
              </w:rPr>
              <w:t>268</w:t>
            </w:r>
            <w:r w:rsidR="00984EFC" w:rsidRPr="00984EFC">
              <w:rPr>
                <w:webHidden/>
              </w:rPr>
              <w:fldChar w:fldCharType="end"/>
            </w:r>
          </w:hyperlink>
        </w:p>
        <w:p w:rsidR="00984EFC" w:rsidRPr="00984EFC" w:rsidRDefault="009A0CA2" w:rsidP="007B4F5B">
          <w:pPr>
            <w:pStyle w:val="TOC3"/>
            <w:rPr>
              <w:rFonts w:eastAsiaTheme="minorEastAsia"/>
              <w:noProof/>
            </w:rPr>
          </w:pPr>
          <w:hyperlink w:anchor="_Toc420681183" w:history="1">
            <w:r w:rsidR="00984EFC" w:rsidRPr="00984EFC">
              <w:rPr>
                <w:rStyle w:val="Hyperlink"/>
                <w:rFonts w:ascii="Arial" w:hAnsi="Arial" w:cs="Arial"/>
                <w:noProof/>
                <w:sz w:val="20"/>
                <w:szCs w:val="20"/>
                <w:lang w:val="es-ES"/>
              </w:rPr>
              <w:t>APÉNDICE A</w:t>
            </w:r>
            <w:r w:rsidR="00974FCC">
              <w:rPr>
                <w:rStyle w:val="Hyperlink"/>
                <w:rFonts w:ascii="Arial" w:hAnsi="Arial" w:cs="Arial"/>
                <w:noProof/>
                <w:sz w:val="20"/>
                <w:szCs w:val="20"/>
                <w:lang w:val="es-ES"/>
              </w:rPr>
              <w:t xml:space="preserve"> </w:t>
            </w:r>
            <w:r w:rsidR="00984EFC" w:rsidRPr="00984EFC">
              <w:rPr>
                <w:rStyle w:val="Hyperlink"/>
                <w:rFonts w:ascii="Arial" w:hAnsi="Arial" w:cs="Arial"/>
                <w:noProof/>
                <w:sz w:val="20"/>
                <w:szCs w:val="20"/>
                <w:lang w:val="es-ES"/>
              </w:rPr>
              <w:t xml:space="preserve"> CONTRIBUCIONES DE LOS ESTADOS MIEMBROS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_Toc420681183 \h </w:instrText>
            </w:r>
            <w:r w:rsidR="00984EFC" w:rsidRPr="00984EFC">
              <w:rPr>
                <w:noProof/>
                <w:webHidden/>
              </w:rPr>
            </w:r>
            <w:r w:rsidR="00984EFC" w:rsidRPr="00984EFC">
              <w:rPr>
                <w:noProof/>
                <w:webHidden/>
              </w:rPr>
              <w:fldChar w:fldCharType="separate"/>
            </w:r>
            <w:r>
              <w:rPr>
                <w:noProof/>
                <w:webHidden/>
              </w:rPr>
              <w:t>268</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4" w:history="1">
            <w:r w:rsidR="00984EFC" w:rsidRPr="00984EFC">
              <w:rPr>
                <w:rStyle w:val="Hyperlink"/>
                <w:rFonts w:ascii="Arial" w:hAnsi="Arial" w:cs="Arial"/>
                <w:noProof/>
                <w:sz w:val="20"/>
                <w:szCs w:val="20"/>
                <w:lang w:val="es-ES"/>
              </w:rPr>
              <w:t>APÉNDICE B</w:t>
            </w:r>
            <w:r w:rsidR="00974FCC">
              <w:rPr>
                <w:rStyle w:val="Hyperlink"/>
                <w:rFonts w:ascii="Arial" w:hAnsi="Arial" w:cs="Arial"/>
                <w:noProof/>
                <w:sz w:val="20"/>
                <w:szCs w:val="20"/>
                <w:lang w:val="es-ES"/>
              </w:rPr>
              <w:t xml:space="preserve"> </w:t>
            </w:r>
            <w:r w:rsidR="007B4F5B">
              <w:rPr>
                <w:rStyle w:val="Hyperlink"/>
                <w:rFonts w:ascii="Arial" w:hAnsi="Arial" w:cs="Arial"/>
                <w:noProof/>
                <w:sz w:val="20"/>
                <w:szCs w:val="20"/>
                <w:lang w:val="es-ES"/>
              </w:rPr>
              <w:t xml:space="preserve"> </w:t>
            </w:r>
          </w:hyperlink>
          <w:hyperlink w:anchor="_Toc420681185" w:history="1">
            <w:r w:rsidR="00984EFC" w:rsidRPr="00984EFC">
              <w:rPr>
                <w:rStyle w:val="Hyperlink"/>
                <w:rFonts w:ascii="Arial" w:hAnsi="Arial" w:cs="Arial"/>
                <w:noProof/>
                <w:sz w:val="20"/>
                <w:szCs w:val="20"/>
                <w:lang w:val="es-ES"/>
              </w:rPr>
              <w:t>DEFINICIÓN DE LAS CATEGORÍAS DE COSTOS</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_Toc420681185 \h </w:instrText>
            </w:r>
            <w:r w:rsidR="00984EFC" w:rsidRPr="00984EFC">
              <w:rPr>
                <w:noProof/>
                <w:webHidden/>
              </w:rPr>
            </w:r>
            <w:r w:rsidR="00984EFC" w:rsidRPr="00984EFC">
              <w:rPr>
                <w:noProof/>
                <w:webHidden/>
              </w:rPr>
              <w:fldChar w:fldCharType="separate"/>
            </w:r>
            <w:r>
              <w:rPr>
                <w:noProof/>
                <w:webHidden/>
              </w:rPr>
              <w:t>272</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6" w:history="1">
            <w:r w:rsidR="00984EFC" w:rsidRPr="00984EFC">
              <w:rPr>
                <w:rStyle w:val="Hyperlink"/>
                <w:rFonts w:ascii="Arial" w:hAnsi="Arial" w:cs="Arial"/>
                <w:noProof/>
                <w:sz w:val="20"/>
                <w:szCs w:val="20"/>
                <w:lang w:val="es-ES"/>
              </w:rPr>
              <w:t xml:space="preserve">APÉNDICE C </w:t>
            </w:r>
            <w:r w:rsidR="00974FCC">
              <w:rPr>
                <w:rStyle w:val="Hyperlink"/>
                <w:rFonts w:ascii="Arial" w:hAnsi="Arial" w:cs="Arial"/>
                <w:noProof/>
                <w:sz w:val="20"/>
                <w:szCs w:val="20"/>
                <w:lang w:val="es-ES"/>
              </w:rPr>
              <w:t xml:space="preserve"> </w:t>
            </w:r>
            <w:r w:rsidR="00984EFC" w:rsidRPr="00984EFC">
              <w:rPr>
                <w:rStyle w:val="Hyperlink"/>
                <w:rFonts w:ascii="Arial" w:hAnsi="Arial" w:cs="Arial"/>
                <w:noProof/>
                <w:sz w:val="20"/>
                <w:szCs w:val="20"/>
                <w:lang w:val="es-ES"/>
              </w:rPr>
              <w:t>CÁLCULO DEL COSTO DE PERSONAL</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_Toc420681186 \h </w:instrText>
            </w:r>
            <w:r w:rsidR="00984EFC" w:rsidRPr="00984EFC">
              <w:rPr>
                <w:noProof/>
                <w:webHidden/>
              </w:rPr>
            </w:r>
            <w:r w:rsidR="00984EFC" w:rsidRPr="00984EFC">
              <w:rPr>
                <w:noProof/>
                <w:webHidden/>
              </w:rPr>
              <w:fldChar w:fldCharType="separate"/>
            </w:r>
            <w:r>
              <w:rPr>
                <w:noProof/>
                <w:webHidden/>
              </w:rPr>
              <w:t>274</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7" w:history="1">
            <w:r w:rsidR="00984EFC" w:rsidRPr="00984EFC">
              <w:rPr>
                <w:rStyle w:val="Hyperlink"/>
                <w:rFonts w:ascii="Arial" w:hAnsi="Arial" w:cs="Arial"/>
                <w:noProof/>
                <w:sz w:val="20"/>
                <w:szCs w:val="20"/>
                <w:lang w:val="es-ES"/>
              </w:rPr>
              <w:t xml:space="preserve">APÉNDICE D </w:t>
            </w:r>
            <w:r w:rsidR="00974FCC">
              <w:rPr>
                <w:rStyle w:val="Hyperlink"/>
                <w:rFonts w:ascii="Arial" w:hAnsi="Arial" w:cs="Arial"/>
                <w:noProof/>
                <w:sz w:val="20"/>
                <w:szCs w:val="20"/>
                <w:lang w:val="es-ES"/>
              </w:rPr>
              <w:t xml:space="preserve"> </w:t>
            </w:r>
            <w:r w:rsidR="00984EFC" w:rsidRPr="00984EFC">
              <w:rPr>
                <w:rStyle w:val="Hyperlink"/>
                <w:rFonts w:ascii="Arial" w:hAnsi="Arial" w:cs="Arial"/>
                <w:noProof/>
                <w:sz w:val="20"/>
                <w:szCs w:val="20"/>
                <w:lang w:val="es-ES"/>
              </w:rPr>
              <w:t>FÓRMULAS DE FLEXIBILIDAD</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_Toc420681187 \h </w:instrText>
            </w:r>
            <w:r w:rsidR="00984EFC" w:rsidRPr="00984EFC">
              <w:rPr>
                <w:noProof/>
                <w:webHidden/>
              </w:rPr>
            </w:r>
            <w:r w:rsidR="00984EFC" w:rsidRPr="00984EFC">
              <w:rPr>
                <w:noProof/>
                <w:webHidden/>
              </w:rPr>
              <w:fldChar w:fldCharType="separate"/>
            </w:r>
            <w:r>
              <w:rPr>
                <w:noProof/>
                <w:webHidden/>
              </w:rPr>
              <w:t>275</w:t>
            </w:r>
            <w:r w:rsidR="00984EFC" w:rsidRPr="00984EFC">
              <w:rPr>
                <w:noProof/>
                <w:webHidden/>
              </w:rPr>
              <w:fldChar w:fldCharType="end"/>
            </w:r>
          </w:hyperlink>
        </w:p>
        <w:p w:rsidR="00984EFC" w:rsidRPr="00984EFC" w:rsidRDefault="009A0CA2" w:rsidP="007B4F5B">
          <w:pPr>
            <w:pStyle w:val="TOC3"/>
            <w:rPr>
              <w:rFonts w:eastAsiaTheme="minorEastAsia"/>
              <w:noProof/>
            </w:rPr>
          </w:pPr>
          <w:hyperlink w:anchor="_Toc420681188" w:history="1">
            <w:r w:rsidR="00984EFC" w:rsidRPr="00984EFC">
              <w:rPr>
                <w:rStyle w:val="Hyperlink"/>
                <w:rFonts w:ascii="Arial" w:hAnsi="Arial" w:cs="Arial"/>
                <w:bCs/>
                <w:noProof/>
                <w:sz w:val="20"/>
                <w:szCs w:val="20"/>
                <w:lang w:val="es-ES"/>
              </w:rPr>
              <w:t>APÉNDICE E</w:t>
            </w:r>
            <w:r w:rsidR="00974FCC">
              <w:rPr>
                <w:rStyle w:val="Hyperlink"/>
                <w:rFonts w:ascii="Arial" w:hAnsi="Arial" w:cs="Arial"/>
                <w:bCs/>
                <w:noProof/>
                <w:sz w:val="20"/>
                <w:szCs w:val="20"/>
                <w:lang w:val="es-ES"/>
              </w:rPr>
              <w:t xml:space="preserve"> </w:t>
            </w:r>
            <w:r w:rsidR="007B4F5B">
              <w:rPr>
                <w:rStyle w:val="Hyperlink"/>
                <w:rFonts w:ascii="Arial" w:hAnsi="Arial" w:cs="Arial"/>
                <w:bCs/>
                <w:noProof/>
                <w:sz w:val="20"/>
                <w:szCs w:val="20"/>
                <w:lang w:val="es-ES"/>
              </w:rPr>
              <w:t xml:space="preserve"> </w:t>
            </w:r>
          </w:hyperlink>
          <w:hyperlink w:anchor="_Toc420681189" w:history="1">
            <w:r w:rsidR="00984EFC" w:rsidRPr="00984EFC">
              <w:rPr>
                <w:rStyle w:val="Hyperlink"/>
                <w:rFonts w:ascii="Arial" w:hAnsi="Arial" w:cs="Arial"/>
                <w:bCs/>
                <w:noProof/>
                <w:sz w:val="20"/>
                <w:szCs w:val="20"/>
                <w:lang w:val="es-ES"/>
              </w:rPr>
              <w:t>SIGLAS Y ABREVIATURAS EMPLEADAS EN EL PRESENTE DOCUMENTO</w:t>
            </w:r>
            <w:r w:rsidR="00984EFC" w:rsidRPr="00984EFC">
              <w:rPr>
                <w:noProof/>
                <w:webHidden/>
              </w:rPr>
              <w:tab/>
            </w:r>
            <w:r w:rsidR="00984EFC" w:rsidRPr="00984EFC">
              <w:rPr>
                <w:noProof/>
                <w:webHidden/>
              </w:rPr>
              <w:fldChar w:fldCharType="begin"/>
            </w:r>
            <w:r w:rsidR="00984EFC" w:rsidRPr="00984EFC">
              <w:rPr>
                <w:noProof/>
                <w:webHidden/>
              </w:rPr>
              <w:instrText xml:space="preserve"> PAGEREF _Toc420681189 \h </w:instrText>
            </w:r>
            <w:r w:rsidR="00984EFC" w:rsidRPr="00984EFC">
              <w:rPr>
                <w:noProof/>
                <w:webHidden/>
              </w:rPr>
            </w:r>
            <w:r w:rsidR="00984EFC" w:rsidRPr="00984EFC">
              <w:rPr>
                <w:noProof/>
                <w:webHidden/>
              </w:rPr>
              <w:fldChar w:fldCharType="separate"/>
            </w:r>
            <w:r>
              <w:rPr>
                <w:noProof/>
                <w:webHidden/>
              </w:rPr>
              <w:t>276</w:t>
            </w:r>
            <w:r w:rsidR="00984EFC" w:rsidRPr="00984EFC">
              <w:rPr>
                <w:noProof/>
                <w:webHidden/>
              </w:rPr>
              <w:fldChar w:fldCharType="end"/>
            </w:r>
          </w:hyperlink>
        </w:p>
        <w:p w:rsidR="00984EFC" w:rsidRDefault="00984EFC">
          <w:r w:rsidRPr="00984EFC">
            <w:rPr>
              <w:b/>
              <w:bCs/>
              <w:noProof/>
              <w:sz w:val="20"/>
            </w:rPr>
            <w:fldChar w:fldCharType="end"/>
          </w:r>
        </w:p>
      </w:sdtContent>
    </w:sdt>
    <w:p w:rsidR="002E3E28" w:rsidRPr="00A94E7D" w:rsidRDefault="002E3E28" w:rsidP="002E3E28"/>
    <w:p w:rsidR="002E3E28" w:rsidRPr="00A94E7D" w:rsidRDefault="002E3E28" w:rsidP="002E3E28"/>
    <w:p w:rsidR="002E3E28" w:rsidRPr="00A94E7D" w:rsidRDefault="002E3E28" w:rsidP="002E3E28"/>
    <w:p w:rsidR="002E3E28" w:rsidRPr="00A94E7D" w:rsidRDefault="002E3E28" w:rsidP="002E3E28"/>
    <w:p w:rsidR="002E3E28" w:rsidRPr="00A94E7D" w:rsidRDefault="002E3E28" w:rsidP="002E3E28"/>
    <w:p w:rsidR="00B91526" w:rsidRDefault="00B91526">
      <w:r>
        <w:br w:type="page"/>
      </w:r>
    </w:p>
    <w:p w:rsidR="00D332C7" w:rsidRPr="00A94E7D" w:rsidRDefault="00D332C7">
      <w:r w:rsidRPr="00A94E7D">
        <w:lastRenderedPageBreak/>
        <w:br w:type="page"/>
      </w:r>
    </w:p>
    <w:p w:rsidR="002E3E28" w:rsidRPr="00A94E7D" w:rsidRDefault="00810B44" w:rsidP="003A5E3D">
      <w:pPr>
        <w:pStyle w:val="Heading1"/>
        <w:keepNext w:val="0"/>
        <w:rPr>
          <w:szCs w:val="20"/>
          <w:lang w:eastAsia="en-US"/>
        </w:rPr>
      </w:pPr>
      <w:bookmarkStart w:id="6" w:name="_Toc420681123"/>
      <w:r w:rsidRPr="00A94E7D">
        <w:rPr>
          <w:szCs w:val="20"/>
          <w:lang w:eastAsia="en-US"/>
        </w:rPr>
        <w:lastRenderedPageBreak/>
        <w:t>PRÓLOGO DEL DIRECTOR GENERAL</w:t>
      </w:r>
      <w:bookmarkEnd w:id="6"/>
    </w:p>
    <w:p w:rsidR="00D332C7" w:rsidRPr="00A94E7D" w:rsidRDefault="00D332C7" w:rsidP="002E3E28">
      <w:pPr>
        <w:rPr>
          <w:highlight w:val="lightGray"/>
        </w:rPr>
      </w:pPr>
    </w:p>
    <w:p w:rsidR="00D332C7" w:rsidRPr="00A94E7D" w:rsidRDefault="00D332C7" w:rsidP="002E3E28">
      <w:pPr>
        <w:rPr>
          <w:highlight w:val="lightGray"/>
        </w:rPr>
      </w:pPr>
    </w:p>
    <w:p w:rsidR="003A5E3D" w:rsidRPr="003C72B7" w:rsidRDefault="003A5E3D" w:rsidP="003A5E3D">
      <w:pPr>
        <w:widowControl w:val="0"/>
        <w:jc w:val="both"/>
        <w:rPr>
          <w:sz w:val="20"/>
        </w:rPr>
      </w:pPr>
      <w:r w:rsidRPr="003C72B7">
        <w:rPr>
          <w:sz w:val="20"/>
        </w:rPr>
        <w:t xml:space="preserve">La elaboración del presupuesto por programas </w:t>
      </w:r>
      <w:r>
        <w:rPr>
          <w:sz w:val="20"/>
        </w:rPr>
        <w:t xml:space="preserve">es </w:t>
      </w:r>
      <w:r w:rsidRPr="003C72B7">
        <w:rPr>
          <w:sz w:val="20"/>
        </w:rPr>
        <w:t>una oportunidad para que los Estados miembros fijen los resultados que desean que la Organización logre en el siguiente bie</w:t>
      </w:r>
      <w:r w:rsidR="00D72D2B">
        <w:rPr>
          <w:sz w:val="20"/>
        </w:rPr>
        <w:t>nio y para que la Organización diseñe</w:t>
      </w:r>
      <w:r w:rsidRPr="003C72B7">
        <w:rPr>
          <w:sz w:val="20"/>
        </w:rPr>
        <w:t xml:space="preserve"> los programas </w:t>
      </w:r>
      <w:r>
        <w:rPr>
          <w:sz w:val="20"/>
        </w:rPr>
        <w:t>necesarios</w:t>
      </w:r>
      <w:r w:rsidRPr="003C72B7">
        <w:rPr>
          <w:sz w:val="20"/>
        </w:rPr>
        <w:t xml:space="preserve"> para obtener dichos resultados.</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 xml:space="preserve">La Organización tiene la suerte de </w:t>
      </w:r>
      <w:r>
        <w:rPr>
          <w:sz w:val="20"/>
        </w:rPr>
        <w:t xml:space="preserve">contar con </w:t>
      </w:r>
      <w:r w:rsidRPr="003C72B7">
        <w:rPr>
          <w:sz w:val="20"/>
        </w:rPr>
        <w:t>sólidos cimientos financieros en los que puede apoyarse para planificar y poner en práctica e</w:t>
      </w:r>
      <w:r>
        <w:rPr>
          <w:sz w:val="20"/>
        </w:rPr>
        <w:t>se</w:t>
      </w:r>
      <w:r w:rsidRPr="003C72B7">
        <w:rPr>
          <w:sz w:val="20"/>
        </w:rPr>
        <w:t xml:space="preserve"> proceso </w:t>
      </w:r>
      <w:r>
        <w:rPr>
          <w:sz w:val="20"/>
        </w:rPr>
        <w:t>que permite</w:t>
      </w:r>
      <w:r w:rsidRPr="003C72B7">
        <w:rPr>
          <w:sz w:val="20"/>
        </w:rPr>
        <w:t xml:space="preserve"> definir resultados y concebir programas encaminados al logro de dichos resultados.  Confiamos en finalizar el bienio en curso (2014-2015) con un superávit moderado.  Se prevé que en el próximo bienio (2016-2017), los ingresos aumenten en un 6% para situarse en 756,3 millones de francos suizos, resultado de un aumento de la demanda en los sistemas mundiales de P.I. (principalmente, en lo que respecta al Tratado de Cooperación en materia de Patentes (PCT), el Sistema de Madrid para </w:t>
      </w:r>
      <w:r>
        <w:rPr>
          <w:sz w:val="20"/>
        </w:rPr>
        <w:t>las m</w:t>
      </w:r>
      <w:r w:rsidRPr="003C72B7">
        <w:rPr>
          <w:sz w:val="20"/>
        </w:rPr>
        <w:t>arcas</w:t>
      </w:r>
      <w:r>
        <w:rPr>
          <w:sz w:val="20"/>
        </w:rPr>
        <w:t>,</w:t>
      </w:r>
      <w:r w:rsidRPr="003C72B7">
        <w:rPr>
          <w:sz w:val="20"/>
        </w:rPr>
        <w:t xml:space="preserve"> y el Sistema de La Haya para </w:t>
      </w:r>
      <w:r>
        <w:rPr>
          <w:sz w:val="20"/>
        </w:rPr>
        <w:t>los dibujos y m</w:t>
      </w:r>
      <w:r w:rsidRPr="003C72B7">
        <w:rPr>
          <w:sz w:val="20"/>
        </w:rPr>
        <w:t>odelos</w:t>
      </w:r>
      <w:r>
        <w:rPr>
          <w:sz w:val="20"/>
        </w:rPr>
        <w:t xml:space="preserve"> industriales)</w:t>
      </w:r>
      <w:r w:rsidRPr="003C72B7">
        <w:rPr>
          <w:sz w:val="20"/>
        </w:rPr>
        <w:t xml:space="preserve">.  </w:t>
      </w:r>
      <w:r>
        <w:rPr>
          <w:sz w:val="20"/>
        </w:rPr>
        <w:t xml:space="preserve">Proponemos que </w:t>
      </w:r>
      <w:r w:rsidRPr="003C72B7">
        <w:rPr>
          <w:sz w:val="20"/>
        </w:rPr>
        <w:t xml:space="preserve">los gastos </w:t>
      </w:r>
      <w:r>
        <w:rPr>
          <w:sz w:val="20"/>
        </w:rPr>
        <w:t xml:space="preserve">aumenten </w:t>
      </w:r>
      <w:r w:rsidRPr="003C72B7">
        <w:rPr>
          <w:sz w:val="20"/>
        </w:rPr>
        <w:t>en un 4,9% para situarse en 707 millones de francos suizos, lo que se traducir</w:t>
      </w:r>
      <w:r>
        <w:rPr>
          <w:sz w:val="20"/>
        </w:rPr>
        <w:t>ía</w:t>
      </w:r>
      <w:r w:rsidRPr="003C72B7">
        <w:rPr>
          <w:sz w:val="20"/>
        </w:rPr>
        <w:t xml:space="preserve"> en un superávit de 20,8 millones de francos suizos tras los ajustes estimados en relación con las Normas Internacionales de Contabilidad del Sector Público (IPSAS), importe que se propone emplear principalmente </w:t>
      </w:r>
      <w:r>
        <w:rPr>
          <w:sz w:val="20"/>
        </w:rPr>
        <w:t>para</w:t>
      </w:r>
      <w:r w:rsidRPr="003C72B7">
        <w:rPr>
          <w:sz w:val="20"/>
        </w:rPr>
        <w:t xml:space="preserve"> crear un nivel de reservas que ofrezca mayor seguridad.</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Pero la saludable situación financiera de la Organización</w:t>
      </w:r>
      <w:r>
        <w:rPr>
          <w:sz w:val="20"/>
        </w:rPr>
        <w:t xml:space="preserve"> no debe </w:t>
      </w:r>
      <w:r w:rsidR="00D72D2B">
        <w:rPr>
          <w:sz w:val="20"/>
        </w:rPr>
        <w:t>verse como cosa natural</w:t>
      </w:r>
      <w:r w:rsidRPr="003C72B7">
        <w:rPr>
          <w:sz w:val="20"/>
        </w:rPr>
        <w:t xml:space="preserve">.  Se ha sustentado en la expansión de los sistemas mundiales de P.I.  Aunque estamos convencidos de que ambos, Sistema de Madrid y Sistema de La Haya, serán objeto de una rápida expansión en los próximos años, la principal fuente de ingresos sigue siendo el PCT (cerca del 76% del total de ingresos).  En el aumento de la demanda relativa al PCT influyen varios factores y varios de ellos apuntan a que puede que el crecimiento de la demanda que se ha acusado en los últimos años no continúe al mismo </w:t>
      </w:r>
      <w:r>
        <w:rPr>
          <w:sz w:val="20"/>
        </w:rPr>
        <w:t xml:space="preserve">ritmo </w:t>
      </w:r>
      <w:r w:rsidRPr="003C72B7">
        <w:rPr>
          <w:sz w:val="20"/>
        </w:rPr>
        <w:t>a medi</w:t>
      </w:r>
      <w:r>
        <w:rPr>
          <w:sz w:val="20"/>
        </w:rPr>
        <w:t>ano</w:t>
      </w:r>
      <w:r w:rsidRPr="003C72B7">
        <w:rPr>
          <w:sz w:val="20"/>
        </w:rPr>
        <w:t xml:space="preserve"> plazo.</w:t>
      </w:r>
    </w:p>
    <w:p w:rsidR="003A5E3D" w:rsidRPr="003C72B7" w:rsidRDefault="003A5E3D" w:rsidP="003A5E3D">
      <w:pPr>
        <w:widowControl w:val="0"/>
        <w:jc w:val="both"/>
        <w:rPr>
          <w:sz w:val="20"/>
        </w:rPr>
      </w:pPr>
    </w:p>
    <w:p w:rsidR="003A5E3D" w:rsidRPr="003C72B7" w:rsidRDefault="00D72D2B" w:rsidP="003A5E3D">
      <w:pPr>
        <w:widowControl w:val="0"/>
        <w:jc w:val="both"/>
        <w:rPr>
          <w:sz w:val="20"/>
        </w:rPr>
      </w:pPr>
      <w:r>
        <w:rPr>
          <w:sz w:val="20"/>
        </w:rPr>
        <w:t>Al mismo tiempo</w:t>
      </w:r>
      <w:r w:rsidR="003A5E3D" w:rsidRPr="003C72B7">
        <w:rPr>
          <w:sz w:val="20"/>
        </w:rPr>
        <w:t xml:space="preserve">, la Organización debe responder a varios requisitos de inversión importantes.  </w:t>
      </w:r>
      <w:r w:rsidR="003A5E3D">
        <w:rPr>
          <w:sz w:val="20"/>
        </w:rPr>
        <w:t>Para obtener ingresos, l</w:t>
      </w:r>
      <w:r w:rsidR="003A5E3D" w:rsidRPr="003C72B7">
        <w:rPr>
          <w:sz w:val="20"/>
        </w:rPr>
        <w:t xml:space="preserve">os sistemas mundiales de P.I. </w:t>
      </w:r>
      <w:r w:rsidR="003A5E3D">
        <w:rPr>
          <w:sz w:val="20"/>
        </w:rPr>
        <w:t>deben</w:t>
      </w:r>
      <w:r w:rsidR="003A5E3D" w:rsidRPr="003C72B7">
        <w:rPr>
          <w:sz w:val="20"/>
        </w:rPr>
        <w:t xml:space="preserve"> prestar servicios de alta calidad y eficaces en función de los costos</w:t>
      </w:r>
      <w:r w:rsidR="003A5E3D">
        <w:rPr>
          <w:sz w:val="20"/>
        </w:rPr>
        <w:t>, recurriendo</w:t>
      </w:r>
      <w:r w:rsidR="003A5E3D" w:rsidRPr="003C72B7">
        <w:rPr>
          <w:sz w:val="20"/>
        </w:rPr>
        <w:t xml:space="preserve"> cada vez más </w:t>
      </w:r>
      <w:r w:rsidR="003A5E3D">
        <w:rPr>
          <w:sz w:val="20"/>
        </w:rPr>
        <w:t>para ello a</w:t>
      </w:r>
      <w:r w:rsidR="003A5E3D" w:rsidRPr="003C72B7">
        <w:rPr>
          <w:sz w:val="20"/>
        </w:rPr>
        <w:t xml:space="preserve"> </w:t>
      </w:r>
      <w:r w:rsidR="003A5E3D">
        <w:rPr>
          <w:sz w:val="20"/>
        </w:rPr>
        <w:t xml:space="preserve">sofisticadas </w:t>
      </w:r>
      <w:r w:rsidR="003A5E3D" w:rsidRPr="003C72B7">
        <w:rPr>
          <w:sz w:val="20"/>
        </w:rPr>
        <w:t xml:space="preserve">plataformas informáticas.  Dichas plataformas han permitido obtener considerables mejoras de la productividad así como reducir costos de personal pero exigen </w:t>
      </w:r>
      <w:r w:rsidR="003A5E3D">
        <w:rPr>
          <w:sz w:val="20"/>
        </w:rPr>
        <w:t xml:space="preserve">un desarrollo y </w:t>
      </w:r>
      <w:r w:rsidR="003A5E3D" w:rsidRPr="003C72B7">
        <w:rPr>
          <w:sz w:val="20"/>
        </w:rPr>
        <w:t xml:space="preserve">un perfeccionamiento constantes.  A ello viene a añadirse, como es el caso para todas las demás organizaciones y empresas de nuestro mundo contemporáneo interconectado, el hecho de que la Organización está expuesta a la vulnerabilidad </w:t>
      </w:r>
      <w:r w:rsidR="003A5E3D">
        <w:rPr>
          <w:sz w:val="20"/>
        </w:rPr>
        <w:t xml:space="preserve">del </w:t>
      </w:r>
      <w:r w:rsidR="003A5E3D" w:rsidRPr="003C72B7">
        <w:rPr>
          <w:sz w:val="20"/>
        </w:rPr>
        <w:t>entorno</w:t>
      </w:r>
      <w:r w:rsidR="003A5E3D">
        <w:rPr>
          <w:sz w:val="20"/>
        </w:rPr>
        <w:t xml:space="preserve"> </w:t>
      </w:r>
      <w:r w:rsidR="003A5E3D" w:rsidRPr="003C72B7">
        <w:rPr>
          <w:sz w:val="20"/>
        </w:rPr>
        <w:t>en línea.  Y para mitigar esa vulnerabilidad hay que realizar grandes inversiones en seguridad informática</w:t>
      </w:r>
      <w:r w:rsidR="003A5E3D">
        <w:rPr>
          <w:sz w:val="20"/>
        </w:rPr>
        <w:t xml:space="preserve"> así como </w:t>
      </w:r>
      <w:r w:rsidR="003A5E3D" w:rsidRPr="003C72B7">
        <w:rPr>
          <w:sz w:val="20"/>
        </w:rPr>
        <w:t>en mecanismos para garantizar la continuidad de las actividades y capacidad de reacción de la Organización.</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 xml:space="preserve">Nos hemos propuesto </w:t>
      </w:r>
      <w:r>
        <w:rPr>
          <w:sz w:val="20"/>
        </w:rPr>
        <w:t xml:space="preserve">que </w:t>
      </w:r>
      <w:r w:rsidRPr="003C72B7">
        <w:rPr>
          <w:sz w:val="20"/>
        </w:rPr>
        <w:t xml:space="preserve">esas grandes inversiones adicionales en el próximo bienio </w:t>
      </w:r>
      <w:r>
        <w:rPr>
          <w:sz w:val="20"/>
        </w:rPr>
        <w:t xml:space="preserve">se realicen </w:t>
      </w:r>
      <w:r w:rsidRPr="003C72B7">
        <w:rPr>
          <w:sz w:val="20"/>
        </w:rPr>
        <w:t xml:space="preserve">sin aumentar tasa alguna en los sistemas mundiales de P.I.  Proseguirá así el extraordinario récord </w:t>
      </w:r>
      <w:r>
        <w:rPr>
          <w:sz w:val="20"/>
        </w:rPr>
        <w:t>de</w:t>
      </w:r>
      <w:r w:rsidRPr="003C72B7">
        <w:rPr>
          <w:sz w:val="20"/>
        </w:rPr>
        <w:t xml:space="preserve"> los últimos siete años</w:t>
      </w:r>
      <w:r>
        <w:rPr>
          <w:sz w:val="20"/>
        </w:rPr>
        <w:t>, en el sentido de que</w:t>
      </w:r>
      <w:r w:rsidRPr="003C72B7">
        <w:rPr>
          <w:sz w:val="20"/>
        </w:rPr>
        <w:t xml:space="preserve"> no </w:t>
      </w:r>
      <w:r>
        <w:rPr>
          <w:sz w:val="20"/>
        </w:rPr>
        <w:t xml:space="preserve">se han </w:t>
      </w:r>
      <w:r w:rsidRPr="003C72B7">
        <w:rPr>
          <w:sz w:val="20"/>
        </w:rPr>
        <w:t>aumenta</w:t>
      </w:r>
      <w:r>
        <w:rPr>
          <w:sz w:val="20"/>
        </w:rPr>
        <w:t>do</w:t>
      </w:r>
      <w:r w:rsidRPr="003C72B7">
        <w:rPr>
          <w:sz w:val="20"/>
        </w:rPr>
        <w:t xml:space="preserve"> las tasas.  Se trata de un </w:t>
      </w:r>
      <w:r>
        <w:rPr>
          <w:sz w:val="20"/>
        </w:rPr>
        <w:t xml:space="preserve">hecho </w:t>
      </w:r>
      <w:r w:rsidRPr="003C72B7">
        <w:rPr>
          <w:sz w:val="20"/>
        </w:rPr>
        <w:t>sin precedentes si se compara con los aumentos de tasas que se han llevado a cabo en las oficinas nacionales y regionales de P.I.</w:t>
      </w:r>
      <w:r>
        <w:rPr>
          <w:sz w:val="20"/>
        </w:rPr>
        <w:t>,</w:t>
      </w:r>
      <w:r w:rsidRPr="003C72B7">
        <w:rPr>
          <w:sz w:val="20"/>
        </w:rPr>
        <w:t xml:space="preserve"> por lo que, </w:t>
      </w:r>
      <w:r>
        <w:rPr>
          <w:sz w:val="20"/>
        </w:rPr>
        <w:t xml:space="preserve">como </w:t>
      </w:r>
      <w:r w:rsidRPr="003C72B7">
        <w:rPr>
          <w:sz w:val="20"/>
        </w:rPr>
        <w:t>es lógico, un día habrá que proceder a aumentos razonables en las tasas.</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El inestable conte</w:t>
      </w:r>
      <w:r>
        <w:rPr>
          <w:sz w:val="20"/>
        </w:rPr>
        <w:t>x</w:t>
      </w:r>
      <w:r w:rsidRPr="003C72B7">
        <w:rPr>
          <w:sz w:val="20"/>
        </w:rPr>
        <w:t>to económico mundial y, en particular, los tipos de interés negativos constituyen un desafío financiero adicional.  Los tipos de interés negativo</w:t>
      </w:r>
      <w:r>
        <w:rPr>
          <w:sz w:val="20"/>
        </w:rPr>
        <w:t>s llegan en un</w:t>
      </w:r>
      <w:r w:rsidRPr="003C72B7">
        <w:rPr>
          <w:sz w:val="20"/>
        </w:rPr>
        <w:t xml:space="preserve"> momento en </w:t>
      </w:r>
      <w:r>
        <w:rPr>
          <w:sz w:val="20"/>
        </w:rPr>
        <w:t xml:space="preserve">el </w:t>
      </w:r>
      <w:r w:rsidRPr="003C72B7">
        <w:rPr>
          <w:sz w:val="20"/>
        </w:rPr>
        <w:t xml:space="preserve">que la Organización </w:t>
      </w:r>
      <w:r>
        <w:rPr>
          <w:sz w:val="20"/>
        </w:rPr>
        <w:t>se ve obligada a dejar</w:t>
      </w:r>
      <w:r w:rsidRPr="003C72B7">
        <w:rPr>
          <w:sz w:val="20"/>
        </w:rPr>
        <w:t xml:space="preserve"> </w:t>
      </w:r>
      <w:r>
        <w:rPr>
          <w:sz w:val="20"/>
        </w:rPr>
        <w:t xml:space="preserve">el </w:t>
      </w:r>
      <w:r w:rsidRPr="003C72B7">
        <w:rPr>
          <w:sz w:val="20"/>
        </w:rPr>
        <w:t xml:space="preserve">tradicional recurso seguro de inversión que ofrece el Departamento Federal de Finanzas de la Confederación Suiza.  Esos factores requieren la adopción de una política de inversiones prudente y responsable que permita que la Organización conserve su capital, y la adopción de una política </w:t>
      </w:r>
      <w:r>
        <w:rPr>
          <w:sz w:val="20"/>
        </w:rPr>
        <w:t xml:space="preserve">sensata </w:t>
      </w:r>
      <w:r w:rsidRPr="003C72B7">
        <w:rPr>
          <w:sz w:val="20"/>
        </w:rPr>
        <w:t xml:space="preserve">de cobertura de </w:t>
      </w:r>
      <w:r>
        <w:rPr>
          <w:sz w:val="20"/>
        </w:rPr>
        <w:t xml:space="preserve">los </w:t>
      </w:r>
      <w:r w:rsidRPr="003C72B7">
        <w:rPr>
          <w:sz w:val="20"/>
        </w:rPr>
        <w:t>riesgos</w:t>
      </w:r>
      <w:r>
        <w:rPr>
          <w:sz w:val="20"/>
        </w:rPr>
        <w:t xml:space="preserve"> que entraña</w:t>
      </w:r>
      <w:r w:rsidRPr="003C72B7">
        <w:rPr>
          <w:sz w:val="20"/>
        </w:rPr>
        <w:t xml:space="preserve"> la exposici</w:t>
      </w:r>
      <w:r>
        <w:rPr>
          <w:sz w:val="20"/>
        </w:rPr>
        <w:t>ón</w:t>
      </w:r>
      <w:r w:rsidRPr="003C72B7">
        <w:rPr>
          <w:sz w:val="20"/>
        </w:rPr>
        <w:t xml:space="preserve"> en distintas monedas</w:t>
      </w:r>
      <w:r>
        <w:rPr>
          <w:sz w:val="20"/>
        </w:rPr>
        <w:t xml:space="preserve"> para</w:t>
      </w:r>
      <w:r w:rsidRPr="003C72B7">
        <w:rPr>
          <w:sz w:val="20"/>
        </w:rPr>
        <w:t xml:space="preserve"> </w:t>
      </w:r>
      <w:r>
        <w:rPr>
          <w:sz w:val="20"/>
        </w:rPr>
        <w:t xml:space="preserve">el </w:t>
      </w:r>
      <w:r w:rsidRPr="003C72B7">
        <w:rPr>
          <w:sz w:val="20"/>
        </w:rPr>
        <w:t>pago de las tasas PCT.</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En los párrafos 17 a 39 se exponen las principales prioridades programáticas propuestas para el próximo bienio.  Permítanme formular observaciones en cuatro ámbitos</w:t>
      </w:r>
      <w:r>
        <w:rPr>
          <w:sz w:val="20"/>
        </w:rPr>
        <w:t xml:space="preserve"> en particular y con</w:t>
      </w:r>
      <w:r w:rsidRPr="003C72B7">
        <w:rPr>
          <w:sz w:val="20"/>
        </w:rPr>
        <w:t xml:space="preserve"> una perspectiva que va más allá del próximo bienio.</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En primer lugar</w:t>
      </w:r>
      <w:r>
        <w:rPr>
          <w:sz w:val="20"/>
        </w:rPr>
        <w:t>,</w:t>
      </w:r>
      <w:r w:rsidRPr="003C72B7">
        <w:rPr>
          <w:sz w:val="20"/>
        </w:rPr>
        <w:t xml:space="preserve"> deseo referirme a la agenda normativa (meta estratégica I) de la Organización.  En los últimos cuatro años, los Estados miembros han adoptado tres acuerdos internacionales, a saber, el Tratado de Beijing sobre Interpretaciones y Ejecuciones Audiovisuales, el </w:t>
      </w:r>
      <w:r w:rsidRPr="003C72B7">
        <w:rPr>
          <w:kern w:val="36"/>
          <w:sz w:val="20"/>
          <w:lang w:eastAsia="es-ES" w:bidi="lo-LA"/>
        </w:rPr>
        <w:t xml:space="preserve">Tratado de Marrakech para facilitar el acceso a las obras publicadas a las personas ciegas, con discapacidad visual o con otras </w:t>
      </w:r>
      <w:r w:rsidRPr="003C72B7">
        <w:rPr>
          <w:kern w:val="36"/>
          <w:sz w:val="20"/>
          <w:lang w:eastAsia="es-ES" w:bidi="lo-LA"/>
        </w:rPr>
        <w:lastRenderedPageBreak/>
        <w:t>dificultades para acceder al texto impreso</w:t>
      </w:r>
      <w:r>
        <w:rPr>
          <w:kern w:val="36"/>
          <w:sz w:val="20"/>
          <w:lang w:eastAsia="es-ES" w:bidi="lo-LA"/>
        </w:rPr>
        <w:t>,</w:t>
      </w:r>
      <w:r w:rsidRPr="003C72B7">
        <w:rPr>
          <w:sz w:val="20"/>
        </w:rPr>
        <w:t xml:space="preserve"> y el Acta de Ginebra del Arreglo de Lisboa relativo a las Denominaciones de Origen y las Indicaciones Geográficas.  El efecto y la legitimidad de dichos acuerdos dependerán de que sean objeto de una ratificación rápida y generalizada entre los Estados miembros.  En la agenda normativa de la Organización sigue habiendo importantes temas por resolver, algunos de ellos desde hace mucho tiempo.  A ello cabe añadir que, en un mundo globalizado y complejo, caracterizado por rapidísimos y fundamentales cambios tecnológicos, y en el </w:t>
      </w:r>
      <w:r>
        <w:rPr>
          <w:sz w:val="20"/>
        </w:rPr>
        <w:t xml:space="preserve">que </w:t>
      </w:r>
      <w:r w:rsidRPr="003C72B7">
        <w:rPr>
          <w:sz w:val="20"/>
        </w:rPr>
        <w:t xml:space="preserve">la propiedad intelectual desempeña una función cada vez más importante, ha llegado el momento de iniciar un diálogo sobre la futura agenda normativa de la Organización como foro multilateral de elaboración de la política internacional de propiedad intelectual.  Esas cuestiones y los interrogantes que plantean incumben a los Estados miembros.  </w:t>
      </w:r>
      <w:r>
        <w:rPr>
          <w:sz w:val="20"/>
        </w:rPr>
        <w:t>Y e</w:t>
      </w:r>
      <w:r w:rsidRPr="003C72B7">
        <w:rPr>
          <w:sz w:val="20"/>
        </w:rPr>
        <w:t>xigen compromiso con el multilateralismo, determinación y voluntad adecuada por parte de dichos Estados.  A falta de ello, nuestro marco multilateral permanecerá estancado y sin progreso</w:t>
      </w:r>
      <w:r>
        <w:rPr>
          <w:sz w:val="20"/>
        </w:rPr>
        <w:t>s</w:t>
      </w:r>
      <w:r w:rsidRPr="003C72B7">
        <w:rPr>
          <w:sz w:val="20"/>
        </w:rPr>
        <w:t>.</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 xml:space="preserve">El segundo ámbito al que deseo referirme es el de los sistemas mundiales de P.I. (meta estratégica II).  Esos sistemas constituyen la base de los ingresos de la Organización y representan cerca del 95% de sus ingresos totales.  La composición de dichos sistemas, en particular, </w:t>
      </w:r>
      <w:r>
        <w:rPr>
          <w:sz w:val="20"/>
        </w:rPr>
        <w:t xml:space="preserve">la </w:t>
      </w:r>
      <w:r w:rsidRPr="003C72B7">
        <w:rPr>
          <w:sz w:val="20"/>
        </w:rPr>
        <w:t>de los sistemas de Madrid y de La Haya, es hoy objeto de una rápida expansión geográfica que parte de una base relativamente limitada (</w:t>
      </w:r>
      <w:r>
        <w:rPr>
          <w:sz w:val="20"/>
        </w:rPr>
        <w:t xml:space="preserve">hay </w:t>
      </w:r>
      <w:r w:rsidRPr="003C72B7">
        <w:rPr>
          <w:sz w:val="20"/>
        </w:rPr>
        <w:t>en la actualidad, 95 Partes Contratantes del Sistema de Madrid y 49 Partes Contratantes de la última Acta del Sistema de La Haya).  En aras de la legitimidad y la sostenibilidad de dichos sistemas, es importante que sigan ampliándose y dando cabida a una participación geográfica cada vez mayor.  También conviene que sigan modernizándose, labor de la que se ocupan varios grupos de trabajo de los Estados miembros constituidos en virtud de los respectivos tratados.</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En tercer lugar, deseo destacar la vasta gama de plataformas de tecnologías de la información</w:t>
      </w:r>
      <w:r>
        <w:rPr>
          <w:sz w:val="20"/>
        </w:rPr>
        <w:t xml:space="preserve"> (T.I.)</w:t>
      </w:r>
      <w:r w:rsidRPr="003C72B7">
        <w:rPr>
          <w:sz w:val="20"/>
        </w:rPr>
        <w:t xml:space="preserve"> que gestiona la Organización (meta estratégica IV) y que sustentan el funcionamiento del sistema mundial de propiedad intelectual.  Enormes son los progresos que se han realizado en este ámbito en los últimos años.  </w:t>
      </w:r>
      <w:r>
        <w:rPr>
          <w:sz w:val="20"/>
        </w:rPr>
        <w:t>L</w:t>
      </w:r>
      <w:r w:rsidRPr="003C72B7">
        <w:rPr>
          <w:sz w:val="20"/>
        </w:rPr>
        <w:t xml:space="preserve">as plataformas de T.I. del PCT, el Sistema de Madrid y el Sistema de La Haya, a las que vienen a añadirse las bases de datos mundiales sobre P.I. (PATENTSCOPE, Base Mundial de Datos sobre Marcas y Base Mundial de Datos sobre Diseños) además de plataformas como el Servicio de Acceso Digital (DAS), WIPO CASE (Acceso Centralizado a la Búsqueda y el Examen) e IPAS (Sistema de Automatización de la Propiedad Industrial), utilizado en más de 80 países, aportan muchos de los elementos que hacen posible una verdadera infraestructura mundial de P.I.  Todas esas plataformas son objeto de una utilización generalizada en el mundo desarrollado y el mundo en desarrollo y en ellas participan comunidades muy diversas, a saber, oficinas de P.I., industria, ONG y el público en general.  Confiamos en </w:t>
      </w:r>
      <w:r>
        <w:rPr>
          <w:sz w:val="20"/>
        </w:rPr>
        <w:t xml:space="preserve">seguir avanzando </w:t>
      </w:r>
      <w:r w:rsidRPr="003C72B7">
        <w:rPr>
          <w:sz w:val="20"/>
        </w:rPr>
        <w:t>de modo que dichas plataformas formen parte de una plataf</w:t>
      </w:r>
      <w:r w:rsidR="00E71A7C">
        <w:rPr>
          <w:sz w:val="20"/>
        </w:rPr>
        <w:t>orma mundial integrada de P.I.</w:t>
      </w:r>
    </w:p>
    <w:p w:rsidR="003A5E3D" w:rsidRPr="003C72B7" w:rsidRDefault="003A5E3D" w:rsidP="003A5E3D">
      <w:pPr>
        <w:widowControl w:val="0"/>
        <w:jc w:val="both"/>
        <w:rPr>
          <w:sz w:val="20"/>
        </w:rPr>
      </w:pPr>
    </w:p>
    <w:p w:rsidR="003A5E3D" w:rsidRPr="003C72B7" w:rsidRDefault="003A5E3D" w:rsidP="003A5E3D">
      <w:pPr>
        <w:widowControl w:val="0"/>
        <w:jc w:val="both"/>
        <w:rPr>
          <w:sz w:val="20"/>
        </w:rPr>
      </w:pPr>
      <w:r w:rsidRPr="003C72B7">
        <w:rPr>
          <w:sz w:val="20"/>
        </w:rPr>
        <w:t xml:space="preserve">Por último, cabe </w:t>
      </w:r>
      <w:r>
        <w:rPr>
          <w:sz w:val="20"/>
        </w:rPr>
        <w:t xml:space="preserve">mencionar </w:t>
      </w:r>
      <w:r w:rsidRPr="003C72B7">
        <w:rPr>
          <w:sz w:val="20"/>
        </w:rPr>
        <w:t xml:space="preserve">los </w:t>
      </w:r>
      <w:r>
        <w:rPr>
          <w:sz w:val="20"/>
        </w:rPr>
        <w:t xml:space="preserve">vastos </w:t>
      </w:r>
      <w:r w:rsidRPr="003C72B7">
        <w:rPr>
          <w:sz w:val="20"/>
        </w:rPr>
        <w:t>programas que dedica la Organización al desarrollo.  A instancias de los Estados miembros, el desarrollo ha pasado a incorporarse en todas las metas estratégicas sustantivas de la Organización.  Los programas que se dedican exclusivamente al desarrollo, concretamente, las oficinas regionales</w:t>
      </w:r>
      <w:r>
        <w:rPr>
          <w:sz w:val="20"/>
        </w:rPr>
        <w:t xml:space="preserve"> en la sede</w:t>
      </w:r>
      <w:r w:rsidRPr="003C72B7">
        <w:rPr>
          <w:sz w:val="20"/>
        </w:rPr>
        <w:t xml:space="preserve">, la Academia y la coordinación de la </w:t>
      </w:r>
      <w:r w:rsidRPr="003C72B7">
        <w:rPr>
          <w:sz w:val="20"/>
          <w:szCs w:val="24"/>
        </w:rPr>
        <w:t>Agenda para el Desarrollo</w:t>
      </w:r>
      <w:r w:rsidRPr="003C72B7">
        <w:rPr>
          <w:sz w:val="20"/>
        </w:rPr>
        <w:t>, tienen hoy que responder a desafíos cada vez mayores para responder al aumento de la demanda de servicios, consecuencia natural de la mayor importancia que ha adquirido la propiedad intelectual en la economía.  Parte de la respuesta a ese desafío</w:t>
      </w:r>
      <w:r>
        <w:rPr>
          <w:sz w:val="20"/>
        </w:rPr>
        <w:t xml:space="preserve">, en lo que seguimos esforzándonos, </w:t>
      </w:r>
      <w:r w:rsidRPr="003C72B7">
        <w:rPr>
          <w:sz w:val="20"/>
        </w:rPr>
        <w:t>es ser más coherente</w:t>
      </w:r>
      <w:r>
        <w:rPr>
          <w:sz w:val="20"/>
        </w:rPr>
        <w:t>s</w:t>
      </w:r>
      <w:r w:rsidRPr="003C72B7">
        <w:rPr>
          <w:sz w:val="20"/>
        </w:rPr>
        <w:t xml:space="preserve"> en la atribución de responsabilidades</w:t>
      </w:r>
      <w:r>
        <w:rPr>
          <w:sz w:val="20"/>
        </w:rPr>
        <w:t xml:space="preserve"> para la creación de capacidad</w:t>
      </w:r>
      <w:r w:rsidRPr="003C72B7">
        <w:rPr>
          <w:sz w:val="20"/>
        </w:rPr>
        <w:t>, cuestión que hoy impregna todo el programa de la Organización.</w:t>
      </w:r>
    </w:p>
    <w:p w:rsidR="003A5E3D" w:rsidRPr="003C72B7" w:rsidRDefault="003A5E3D" w:rsidP="003A5E3D">
      <w:pPr>
        <w:widowControl w:val="0"/>
        <w:jc w:val="both"/>
        <w:rPr>
          <w:sz w:val="20"/>
        </w:rPr>
      </w:pPr>
    </w:p>
    <w:p w:rsidR="003A5E3D" w:rsidRDefault="003A5E3D" w:rsidP="003A5E3D">
      <w:pPr>
        <w:widowControl w:val="0"/>
        <w:jc w:val="both"/>
        <w:rPr>
          <w:sz w:val="20"/>
        </w:rPr>
      </w:pPr>
    </w:p>
    <w:p w:rsidR="003A5E3D" w:rsidRDefault="003A5E3D" w:rsidP="003A5E3D">
      <w:pPr>
        <w:widowControl w:val="0"/>
        <w:jc w:val="both"/>
        <w:rPr>
          <w:sz w:val="20"/>
        </w:rPr>
      </w:pPr>
    </w:p>
    <w:p w:rsidR="00B91526" w:rsidRPr="003C72B7" w:rsidRDefault="00B91526" w:rsidP="003A5E3D">
      <w:pPr>
        <w:widowControl w:val="0"/>
        <w:jc w:val="both"/>
        <w:rPr>
          <w:sz w:val="20"/>
        </w:rPr>
      </w:pPr>
    </w:p>
    <w:p w:rsidR="003A5E3D" w:rsidRPr="003C72B7" w:rsidRDefault="003A5E3D" w:rsidP="003A5E3D">
      <w:pPr>
        <w:widowControl w:val="0"/>
        <w:ind w:left="6237"/>
        <w:jc w:val="both"/>
        <w:rPr>
          <w:sz w:val="20"/>
        </w:rPr>
      </w:pPr>
      <w:r w:rsidRPr="003C72B7">
        <w:rPr>
          <w:sz w:val="20"/>
        </w:rPr>
        <w:t>Francis Gurry</w:t>
      </w:r>
    </w:p>
    <w:p w:rsidR="003A5E3D" w:rsidRPr="003C72B7" w:rsidRDefault="003A5E3D" w:rsidP="003A5E3D">
      <w:pPr>
        <w:widowControl w:val="0"/>
        <w:ind w:left="6237"/>
        <w:jc w:val="both"/>
        <w:rPr>
          <w:sz w:val="20"/>
        </w:rPr>
      </w:pPr>
      <w:r w:rsidRPr="003C72B7">
        <w:rPr>
          <w:sz w:val="20"/>
        </w:rPr>
        <w:t>Director General</w:t>
      </w:r>
    </w:p>
    <w:p w:rsidR="00272D37" w:rsidRPr="00A94E7D" w:rsidRDefault="00272D37">
      <w:pPr>
        <w:rPr>
          <w:highlight w:val="lightGray"/>
        </w:rPr>
      </w:pPr>
      <w:r w:rsidRPr="00A94E7D">
        <w:rPr>
          <w:highlight w:val="lightGray"/>
        </w:rPr>
        <w:br w:type="page"/>
      </w:r>
    </w:p>
    <w:p w:rsidR="00272D37" w:rsidRPr="00A94E7D" w:rsidRDefault="00272D37" w:rsidP="00272D37">
      <w:pPr>
        <w:pStyle w:val="Heading1"/>
        <w:keepLines/>
        <w:rPr>
          <w:szCs w:val="20"/>
        </w:rPr>
      </w:pPr>
      <w:bookmarkStart w:id="7" w:name="_Toc367350562"/>
      <w:bookmarkStart w:id="8" w:name="_Toc419283233"/>
      <w:bookmarkStart w:id="9" w:name="_Toc420681124"/>
      <w:r w:rsidRPr="00A94E7D">
        <w:rPr>
          <w:szCs w:val="20"/>
        </w:rPr>
        <w:lastRenderedPageBreak/>
        <w:t>I.</w:t>
      </w:r>
      <w:r w:rsidRPr="00A94E7D">
        <w:rPr>
          <w:szCs w:val="20"/>
        </w:rPr>
        <w:tab/>
      </w:r>
      <w:bookmarkEnd w:id="7"/>
      <w:bookmarkEnd w:id="8"/>
      <w:r w:rsidR="00A94E7D" w:rsidRPr="00A94E7D">
        <w:rPr>
          <w:szCs w:val="20"/>
        </w:rPr>
        <w:t>PANORAMA FINANCIERO Y DE RESULTADOS</w:t>
      </w:r>
      <w:bookmarkEnd w:id="9"/>
    </w:p>
    <w:p w:rsidR="00A94E7D" w:rsidRPr="00362498" w:rsidRDefault="00A94E7D" w:rsidP="00A94E7D">
      <w:pPr>
        <w:widowControl w:val="0"/>
        <w:jc w:val="both"/>
        <w:rPr>
          <w:sz w:val="20"/>
        </w:rPr>
      </w:pPr>
    </w:p>
    <w:p w:rsidR="00A94E7D" w:rsidRPr="00362498" w:rsidRDefault="00A94E7D" w:rsidP="00A94E7D">
      <w:pPr>
        <w:widowControl w:val="0"/>
        <w:jc w:val="both"/>
        <w:rPr>
          <w:sz w:val="20"/>
        </w:rPr>
      </w:pPr>
    </w:p>
    <w:p w:rsidR="00A94E7D" w:rsidRPr="00362498"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362498">
        <w:rPr>
          <w:rFonts w:ascii="Arial" w:hAnsi="Arial"/>
          <w:sz w:val="20"/>
          <w:lang w:val="es-ES"/>
        </w:rPr>
        <w:t xml:space="preserve">En el presente presupuesto por programas se ofrece la planificación para el bienio 2016/17 orientada por las aportaciones recibidas de los Estados miembros.  En el cuadro 1 que figura a continuación se expone un panorama general de los principales parámetros de planificación financiera para </w:t>
      </w:r>
      <w:r w:rsidRPr="00362498">
        <w:rPr>
          <w:rFonts w:ascii="Arial" w:hAnsi="Arial" w:cs="Arial"/>
          <w:sz w:val="20"/>
          <w:lang w:val="es-ES"/>
        </w:rPr>
        <w:t xml:space="preserve">2016/17. </w:t>
      </w:r>
    </w:p>
    <w:p w:rsidR="00A94E7D" w:rsidRPr="00362498" w:rsidRDefault="00A94E7D" w:rsidP="00A94E7D">
      <w:pPr>
        <w:widowControl w:val="0"/>
        <w:jc w:val="both"/>
        <w:rPr>
          <w:bCs/>
          <w:sz w:val="20"/>
        </w:rPr>
      </w:pPr>
    </w:p>
    <w:p w:rsidR="00A94E7D" w:rsidRPr="00316A51"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316A51">
        <w:rPr>
          <w:rFonts w:ascii="Arial" w:hAnsi="Arial" w:cs="Arial"/>
          <w:sz w:val="20"/>
          <w:lang w:val="es-ES"/>
        </w:rPr>
        <w:t xml:space="preserve">Se calcula que los ingresos del bienio 2016/17 </w:t>
      </w:r>
      <w:r>
        <w:rPr>
          <w:rFonts w:ascii="Arial" w:hAnsi="Arial" w:cs="Arial"/>
          <w:sz w:val="20"/>
          <w:lang w:val="es-ES"/>
        </w:rPr>
        <w:t>ascenderán a</w:t>
      </w:r>
      <w:r w:rsidRPr="00316A51">
        <w:rPr>
          <w:rFonts w:ascii="Arial" w:hAnsi="Arial" w:cs="Arial"/>
          <w:sz w:val="20"/>
          <w:lang w:val="es-ES"/>
        </w:rPr>
        <w:t xml:space="preserve"> 756,3 millones de francos suizos y la propuesta de gast</w:t>
      </w:r>
      <w:r>
        <w:rPr>
          <w:rFonts w:ascii="Arial" w:hAnsi="Arial" w:cs="Arial"/>
          <w:sz w:val="20"/>
          <w:lang w:val="es-ES"/>
        </w:rPr>
        <w:t>o presupuestado para el bienio a</w:t>
      </w:r>
      <w:r w:rsidRPr="00316A51">
        <w:rPr>
          <w:rFonts w:ascii="Arial" w:hAnsi="Arial" w:cs="Arial"/>
          <w:sz w:val="20"/>
          <w:lang w:val="es-ES"/>
        </w:rPr>
        <w:t xml:space="preserve"> </w:t>
      </w:r>
      <w:r w:rsidRPr="00316A51">
        <w:rPr>
          <w:rFonts w:ascii="Arial" w:hAnsi="Arial" w:cs="Arial"/>
          <w:bCs/>
          <w:sz w:val="20"/>
          <w:lang w:val="es-ES"/>
        </w:rPr>
        <w:t>707,0 millones de francos suizos.  Tras el cálculo de los ajustes efectuados en los ingresos y los gastos con arreglo a las Normas Internacionales de Contabilidad del Sector Público (IPSAS), se prevé un superávit de aproximadamente 20,8 millones de francos suizos al final del bienio.</w:t>
      </w:r>
      <w:r>
        <w:rPr>
          <w:rFonts w:ascii="Arial" w:hAnsi="Arial" w:cs="Arial"/>
          <w:bCs/>
          <w:sz w:val="20"/>
          <w:lang w:val="es-ES"/>
        </w:rPr>
        <w:t xml:space="preserve"> </w:t>
      </w:r>
    </w:p>
    <w:p w:rsidR="00A94E7D" w:rsidRPr="00A94E7D" w:rsidRDefault="00A94E7D" w:rsidP="00A94E7D">
      <w:pPr>
        <w:pStyle w:val="Body1"/>
        <w:jc w:val="center"/>
        <w:rPr>
          <w:rFonts w:ascii="Arial" w:hAnsi="Arial" w:cs="Arial"/>
          <w:color w:val="auto"/>
          <w:sz w:val="20"/>
          <w:lang w:val="es-ES"/>
        </w:rPr>
      </w:pPr>
    </w:p>
    <w:p w:rsidR="00A94E7D" w:rsidRPr="00A94E7D" w:rsidRDefault="00A94E7D" w:rsidP="00A94E7D">
      <w:pPr>
        <w:pStyle w:val="Body1"/>
        <w:jc w:val="center"/>
        <w:rPr>
          <w:rFonts w:ascii="Arial" w:hAnsi="Arial" w:cs="Arial"/>
          <w:b/>
          <w:color w:val="auto"/>
          <w:sz w:val="20"/>
          <w:lang w:val="es-ES"/>
        </w:rPr>
      </w:pPr>
      <w:r w:rsidRPr="00A94E7D">
        <w:rPr>
          <w:rFonts w:ascii="Arial" w:hAnsi="Arial" w:cs="Arial"/>
          <w:b/>
          <w:color w:val="auto"/>
          <w:sz w:val="20"/>
          <w:lang w:val="es-ES"/>
        </w:rPr>
        <w:t>Cuadro 1.  Propuesta de presupuesto para 2016/17 y principales parámetros de planificación</w:t>
      </w:r>
    </w:p>
    <w:p w:rsidR="00A94E7D" w:rsidRPr="00A94E7D" w:rsidRDefault="00A94E7D" w:rsidP="00A94E7D">
      <w:pPr>
        <w:pStyle w:val="Body1"/>
        <w:jc w:val="center"/>
        <w:rPr>
          <w:rFonts w:ascii="Arial" w:hAnsi="Arial" w:cs="Arial"/>
          <w:i/>
          <w:color w:val="auto"/>
          <w:sz w:val="20"/>
          <w:lang w:val="es-ES"/>
        </w:rPr>
      </w:pPr>
      <w:r w:rsidRPr="00A94E7D">
        <w:rPr>
          <w:rFonts w:ascii="Arial" w:hAnsi="Arial" w:cs="Arial"/>
          <w:i/>
          <w:color w:val="auto"/>
          <w:sz w:val="20"/>
          <w:lang w:val="es-ES"/>
        </w:rPr>
        <w:t>(</w:t>
      </w:r>
      <w:proofErr w:type="gramStart"/>
      <w:r w:rsidRPr="00A94E7D">
        <w:rPr>
          <w:rFonts w:ascii="Arial" w:hAnsi="Arial" w:cs="Arial"/>
          <w:i/>
          <w:color w:val="auto"/>
          <w:sz w:val="20"/>
          <w:lang w:val="es-ES"/>
        </w:rPr>
        <w:t>en</w:t>
      </w:r>
      <w:proofErr w:type="gramEnd"/>
      <w:r w:rsidRPr="00A94E7D">
        <w:rPr>
          <w:rFonts w:ascii="Arial" w:hAnsi="Arial" w:cs="Arial"/>
          <w:i/>
          <w:color w:val="auto"/>
          <w:sz w:val="20"/>
          <w:lang w:val="es-ES"/>
        </w:rPr>
        <w:t xml:space="preserve"> millones de francos suizos)</w:t>
      </w:r>
    </w:p>
    <w:p w:rsidR="00A94E7D" w:rsidRPr="00A94E7D" w:rsidRDefault="00A94E7D" w:rsidP="00A94E7D">
      <w:pPr>
        <w:pStyle w:val="Body1"/>
        <w:jc w:val="center"/>
        <w:rPr>
          <w:rFonts w:ascii="Arial" w:hAnsi="Arial" w:cs="Arial"/>
          <w:color w:val="auto"/>
          <w:sz w:val="20"/>
          <w:lang w:val="es-ES"/>
        </w:rPr>
      </w:pPr>
    </w:p>
    <w:p w:rsidR="00A94E7D" w:rsidRPr="00A94E7D" w:rsidRDefault="00DA0EB0" w:rsidP="00A94E7D">
      <w:pPr>
        <w:pStyle w:val="Body1"/>
        <w:jc w:val="center"/>
        <w:rPr>
          <w:color w:val="auto"/>
          <w:lang w:val="es-ES"/>
        </w:rPr>
      </w:pPr>
      <w:r w:rsidRPr="00DA0EB0">
        <w:rPr>
          <w:noProof/>
        </w:rPr>
        <w:drawing>
          <wp:inline distT="0" distB="0" distL="0" distR="0">
            <wp:extent cx="4230370" cy="244094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30370" cy="2440940"/>
                    </a:xfrm>
                    <a:prstGeom prst="rect">
                      <a:avLst/>
                    </a:prstGeom>
                    <a:noFill/>
                    <a:ln>
                      <a:noFill/>
                    </a:ln>
                  </pic:spPr>
                </pic:pic>
              </a:graphicData>
            </a:graphic>
          </wp:inline>
        </w:drawing>
      </w:r>
    </w:p>
    <w:p w:rsidR="00A94E7D" w:rsidRPr="00A94E7D" w:rsidRDefault="00A94E7D" w:rsidP="00A94E7D">
      <w:pPr>
        <w:pStyle w:val="Body1"/>
        <w:jc w:val="center"/>
        <w:rPr>
          <w:rFonts w:ascii="Arial" w:hAnsi="Arial" w:cs="Arial"/>
          <w:color w:val="auto"/>
          <w:sz w:val="20"/>
          <w:lang w:val="es-ES"/>
        </w:rPr>
      </w:pPr>
    </w:p>
    <w:p w:rsidR="00A94E7D" w:rsidRPr="00A94E7D" w:rsidRDefault="00A94E7D" w:rsidP="00A94E7D">
      <w:pPr>
        <w:pStyle w:val="Body1"/>
        <w:jc w:val="center"/>
        <w:rPr>
          <w:rFonts w:ascii="Arial" w:hAnsi="Arial" w:cs="Arial"/>
          <w:color w:val="auto"/>
          <w:sz w:val="20"/>
          <w:lang w:val="es-ES"/>
        </w:rPr>
      </w:pPr>
    </w:p>
    <w:p w:rsidR="00A94E7D" w:rsidRPr="00A94E7D" w:rsidRDefault="00A94E7D" w:rsidP="00A94E7D">
      <w:pPr>
        <w:pStyle w:val="StyleHeading3ComplexItalic"/>
        <w:tabs>
          <w:tab w:val="clear" w:pos="1985"/>
          <w:tab w:val="left" w:pos="1843"/>
        </w:tabs>
        <w:ind w:left="1843" w:hanging="1843"/>
        <w:rPr>
          <w:sz w:val="20"/>
          <w:lang w:val="es-ES"/>
        </w:rPr>
      </w:pPr>
      <w:bookmarkStart w:id="10" w:name="_Toc419540398"/>
      <w:bookmarkStart w:id="11" w:name="_Toc420681125"/>
      <w:r w:rsidRPr="00A94E7D">
        <w:rPr>
          <w:sz w:val="20"/>
          <w:lang w:val="es-ES"/>
        </w:rPr>
        <w:t>INGRESOS</w:t>
      </w:r>
      <w:bookmarkEnd w:id="10"/>
      <w:bookmarkEnd w:id="11"/>
    </w:p>
    <w:p w:rsidR="00A94E7D" w:rsidRPr="00362498" w:rsidRDefault="00A94E7D" w:rsidP="00A94E7D">
      <w:pPr>
        <w:pStyle w:val="ListParagraph"/>
        <w:widowControl w:val="0"/>
        <w:ind w:left="0"/>
        <w:rPr>
          <w:rFonts w:ascii="Arial" w:hAnsi="Arial" w:cs="Arial"/>
          <w:sz w:val="20"/>
          <w:lang w:val="es-ES"/>
        </w:rPr>
      </w:pPr>
    </w:p>
    <w:p w:rsidR="00A94E7D" w:rsidRPr="00316A51"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316A51">
        <w:rPr>
          <w:rFonts w:ascii="Arial" w:hAnsi="Arial" w:cs="Arial"/>
          <w:bCs/>
          <w:sz w:val="20"/>
          <w:lang w:val="es-ES"/>
        </w:rPr>
        <w:t>Está previsto que siga aumentando la demanda de servicios de registro internacional de la Organización.  Los parámetros de planificación del volumen de registros para el presupuesto 2016/17 </w:t>
      </w:r>
      <w:r>
        <w:rPr>
          <w:rFonts w:ascii="Arial" w:hAnsi="Arial" w:cs="Arial"/>
          <w:bCs/>
          <w:sz w:val="20"/>
          <w:lang w:val="es-ES"/>
        </w:rPr>
        <w:t>se resumen en el c</w:t>
      </w:r>
      <w:r w:rsidRPr="00316A51">
        <w:rPr>
          <w:rFonts w:ascii="Arial" w:hAnsi="Arial" w:cs="Arial"/>
          <w:bCs/>
          <w:sz w:val="20"/>
          <w:lang w:val="es-ES"/>
        </w:rPr>
        <w:t>uadro 2</w:t>
      </w:r>
      <w:r w:rsidRPr="00316A51">
        <w:rPr>
          <w:rFonts w:ascii="Arial" w:hAnsi="Arial"/>
          <w:sz w:val="20"/>
          <w:lang w:val="es-ES"/>
        </w:rPr>
        <w:t xml:space="preserve">.  </w:t>
      </w:r>
    </w:p>
    <w:p w:rsidR="00A94E7D" w:rsidRPr="00362498" w:rsidRDefault="00A94E7D" w:rsidP="00A94E7D">
      <w:pPr>
        <w:tabs>
          <w:tab w:val="left" w:pos="567"/>
        </w:tabs>
        <w:jc w:val="both"/>
        <w:rPr>
          <w:bCs/>
          <w:sz w:val="20"/>
        </w:rPr>
      </w:pPr>
    </w:p>
    <w:p w:rsidR="00A94E7D" w:rsidRPr="00433F95"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433F95">
        <w:rPr>
          <w:rFonts w:ascii="Arial" w:hAnsi="Arial"/>
          <w:sz w:val="20"/>
          <w:lang w:val="es-ES"/>
        </w:rPr>
        <w:t>Las previsiones para 2016/17 se establecen, al igual que en los bienios precedentes, teniendo en cuenta las previsiones del Economista Jefe</w:t>
      </w:r>
      <w:r w:rsidRPr="00362498">
        <w:rPr>
          <w:rStyle w:val="FootnoteReference"/>
          <w:rFonts w:ascii="Arial" w:hAnsi="Arial"/>
          <w:lang w:val="es-ES"/>
        </w:rPr>
        <w:footnoteReference w:id="2"/>
      </w:r>
      <w:r w:rsidRPr="00433F95">
        <w:rPr>
          <w:rFonts w:ascii="Arial" w:hAnsi="Arial"/>
          <w:sz w:val="20"/>
          <w:lang w:val="es-ES"/>
        </w:rPr>
        <w:t>.  Las cifras de registros de la estimación de base del Economista Jefe sirven de parámetros de planificación para los siste</w:t>
      </w:r>
      <w:r w:rsidR="00A065F4">
        <w:rPr>
          <w:rFonts w:ascii="Arial" w:hAnsi="Arial"/>
          <w:sz w:val="20"/>
          <w:lang w:val="es-ES"/>
        </w:rPr>
        <w:t xml:space="preserve">mas de registro del PCT y de </w:t>
      </w:r>
      <w:r w:rsidR="003B0DF0">
        <w:rPr>
          <w:rFonts w:ascii="Arial" w:hAnsi="Arial"/>
          <w:sz w:val="20"/>
          <w:lang w:val="es-ES"/>
        </w:rPr>
        <w:t>La Haya</w:t>
      </w:r>
      <w:r w:rsidRPr="00433F95">
        <w:rPr>
          <w:rFonts w:ascii="Arial" w:hAnsi="Arial"/>
          <w:sz w:val="20"/>
          <w:lang w:val="es-ES"/>
        </w:rPr>
        <w:t xml:space="preserve"> en 2016/17.  Las hipótesis de planificación del sistema de registro de Madrid se establecen ligeramente por debajo de la estimación de base prevista por los modelos.  En este cálculo se tienen en cuenta varios factores, entre ellos, las incertidumbres relativas a los volúmenes de solicitudes presentadas </w:t>
      </w:r>
      <w:r>
        <w:rPr>
          <w:rFonts w:ascii="Arial" w:hAnsi="Arial"/>
          <w:sz w:val="20"/>
          <w:lang w:val="es-ES"/>
        </w:rPr>
        <w:t xml:space="preserve">por </w:t>
      </w:r>
      <w:r w:rsidRPr="00433F95">
        <w:rPr>
          <w:rFonts w:ascii="Arial" w:hAnsi="Arial"/>
          <w:sz w:val="20"/>
          <w:lang w:val="es-ES"/>
        </w:rPr>
        <w:t>los nuevos miembros de esos sistemas</w:t>
      </w:r>
      <w:r w:rsidRPr="00433F95">
        <w:rPr>
          <w:rFonts w:ascii="Arial" w:hAnsi="Arial" w:cs="Arial"/>
          <w:bCs/>
          <w:sz w:val="20"/>
          <w:lang w:val="es-ES"/>
        </w:rPr>
        <w:t xml:space="preserve">. </w:t>
      </w:r>
    </w:p>
    <w:p w:rsidR="00A94E7D" w:rsidRPr="00362498" w:rsidRDefault="00A94E7D" w:rsidP="00A94E7D">
      <w:pPr>
        <w:tabs>
          <w:tab w:val="left" w:pos="567"/>
        </w:tabs>
        <w:jc w:val="center"/>
        <w:rPr>
          <w:b/>
          <w:sz w:val="18"/>
          <w:szCs w:val="18"/>
        </w:rPr>
      </w:pPr>
    </w:p>
    <w:p w:rsidR="00A94E7D" w:rsidRPr="00362498" w:rsidRDefault="00A94E7D" w:rsidP="00A94E7D">
      <w:pPr>
        <w:rPr>
          <w:rFonts w:eastAsia="Times New Roman"/>
          <w:b/>
          <w:sz w:val="20"/>
          <w:lang w:eastAsia="en-US"/>
        </w:rPr>
      </w:pPr>
      <w:r w:rsidRPr="00362498">
        <w:rPr>
          <w:b/>
          <w:sz w:val="20"/>
        </w:rPr>
        <w:br w:type="page"/>
      </w:r>
    </w:p>
    <w:p w:rsidR="00A94E7D" w:rsidRPr="00A94E7D" w:rsidRDefault="00A94E7D" w:rsidP="00A94E7D">
      <w:pPr>
        <w:pStyle w:val="BodyText"/>
        <w:jc w:val="center"/>
        <w:rPr>
          <w:b/>
          <w:sz w:val="20"/>
        </w:rPr>
      </w:pPr>
      <w:r w:rsidRPr="00A94E7D">
        <w:rPr>
          <w:b/>
          <w:sz w:val="20"/>
        </w:rPr>
        <w:lastRenderedPageBreak/>
        <w:t xml:space="preserve">Cuadro 2.  Estimación de la demanda de servicios (volumen de trabajo) en el marco de los </w:t>
      </w:r>
      <w:r w:rsidR="001914A4" w:rsidRPr="00A94E7D">
        <w:rPr>
          <w:b/>
          <w:sz w:val="20"/>
        </w:rPr>
        <w:t xml:space="preserve">Sistemas </w:t>
      </w:r>
      <w:r w:rsidRPr="00A94E7D">
        <w:rPr>
          <w:b/>
          <w:sz w:val="20"/>
        </w:rPr>
        <w:t>del PCT, Madrid y La Haya</w:t>
      </w:r>
    </w:p>
    <w:p w:rsidR="00A94E7D" w:rsidRPr="00362498" w:rsidRDefault="003B754B" w:rsidP="00A94E7D">
      <w:pPr>
        <w:pStyle w:val="BodyText"/>
        <w:rPr>
          <w:caps/>
        </w:rPr>
      </w:pPr>
      <w:bookmarkStart w:id="12" w:name="_Toc310950754"/>
      <w:bookmarkStart w:id="13" w:name="_Toc367350564"/>
      <w:r>
        <w:rPr>
          <w:noProof/>
          <w:lang w:val="en-US" w:eastAsia="en-US"/>
        </w:rPr>
        <w:drawing>
          <wp:inline distT="0" distB="0" distL="0" distR="0" wp14:anchorId="2472D7C3" wp14:editId="64CC18FF">
            <wp:extent cx="5940425" cy="2322858"/>
            <wp:effectExtent l="0" t="0" r="3175" b="127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2322858"/>
                    </a:xfrm>
                    <a:prstGeom prst="rect">
                      <a:avLst/>
                    </a:prstGeom>
                    <a:noFill/>
                    <a:ln>
                      <a:noFill/>
                    </a:ln>
                  </pic:spPr>
                </pic:pic>
              </a:graphicData>
            </a:graphic>
          </wp:inline>
        </w:drawing>
      </w:r>
    </w:p>
    <w:bookmarkEnd w:id="12"/>
    <w:bookmarkEnd w:id="13"/>
    <w:p w:rsidR="00A94E7D" w:rsidRPr="00362498" w:rsidRDefault="00A94E7D" w:rsidP="00A94E7D">
      <w:pPr>
        <w:jc w:val="both"/>
        <w:rPr>
          <w:sz w:val="20"/>
        </w:rPr>
      </w:pPr>
    </w:p>
    <w:p w:rsidR="00A94E7D" w:rsidRPr="00362498" w:rsidRDefault="00A94E7D" w:rsidP="00A94E7D">
      <w:pPr>
        <w:pStyle w:val="ListParagraph"/>
        <w:widowControl w:val="0"/>
        <w:numPr>
          <w:ilvl w:val="0"/>
          <w:numId w:val="8"/>
        </w:numPr>
        <w:tabs>
          <w:tab w:val="left" w:pos="567"/>
        </w:tabs>
        <w:ind w:left="0" w:firstLine="0"/>
        <w:jc w:val="both"/>
        <w:rPr>
          <w:rFonts w:ascii="Arial" w:hAnsi="Arial" w:cs="Arial"/>
          <w:sz w:val="20"/>
          <w:lang w:val="es-ES"/>
        </w:rPr>
      </w:pPr>
      <w:r>
        <w:rPr>
          <w:rFonts w:ascii="Arial" w:hAnsi="Arial" w:cs="Arial"/>
          <w:sz w:val="20"/>
          <w:lang w:val="es-ES"/>
        </w:rPr>
        <w:t xml:space="preserve">Los ingresos globales en </w:t>
      </w:r>
      <w:r w:rsidRPr="00362498">
        <w:rPr>
          <w:rFonts w:ascii="Arial" w:hAnsi="Arial" w:cs="Arial"/>
          <w:sz w:val="20"/>
          <w:lang w:val="es-ES"/>
        </w:rPr>
        <w:t xml:space="preserve">2016/17, </w:t>
      </w:r>
      <w:r>
        <w:rPr>
          <w:rFonts w:ascii="Arial" w:hAnsi="Arial" w:cs="Arial"/>
          <w:sz w:val="20"/>
          <w:lang w:val="es-ES"/>
        </w:rPr>
        <w:t>previstos a un nivel de 756,</w:t>
      </w:r>
      <w:r w:rsidRPr="00362498">
        <w:rPr>
          <w:rFonts w:ascii="Arial" w:hAnsi="Arial" w:cs="Arial"/>
          <w:sz w:val="20"/>
          <w:lang w:val="es-ES"/>
        </w:rPr>
        <w:t>3</w:t>
      </w:r>
      <w:r>
        <w:rPr>
          <w:rFonts w:ascii="Arial" w:hAnsi="Arial" w:cs="Arial"/>
          <w:sz w:val="20"/>
          <w:lang w:val="es-ES"/>
        </w:rPr>
        <w:t xml:space="preserve"> millones de francos suizos</w:t>
      </w:r>
      <w:r w:rsidRPr="00362498">
        <w:rPr>
          <w:rFonts w:ascii="Arial" w:hAnsi="Arial" w:cs="Arial"/>
          <w:sz w:val="20"/>
          <w:lang w:val="es-ES"/>
        </w:rPr>
        <w:t xml:space="preserve">, </w:t>
      </w:r>
      <w:r>
        <w:rPr>
          <w:rFonts w:ascii="Arial" w:hAnsi="Arial" w:cs="Arial"/>
          <w:sz w:val="20"/>
          <w:lang w:val="es-ES"/>
        </w:rPr>
        <w:t>representan un aumento del</w:t>
      </w:r>
      <w:r w:rsidRPr="00362498">
        <w:rPr>
          <w:rFonts w:ascii="Arial" w:hAnsi="Arial" w:cs="Arial"/>
          <w:sz w:val="20"/>
          <w:lang w:val="es-ES"/>
        </w:rPr>
        <w:t xml:space="preserve"> 6</w:t>
      </w:r>
      <w:r>
        <w:rPr>
          <w:rFonts w:ascii="Arial" w:hAnsi="Arial" w:cs="Arial"/>
          <w:sz w:val="20"/>
          <w:lang w:val="es-ES"/>
        </w:rPr>
        <w:t xml:space="preserve">,0% en relación con los ingresos presupuestados en </w:t>
      </w:r>
      <w:r w:rsidRPr="00362498">
        <w:rPr>
          <w:rFonts w:ascii="Arial" w:hAnsi="Arial" w:cs="Arial"/>
          <w:sz w:val="20"/>
          <w:lang w:val="es-ES"/>
        </w:rPr>
        <w:t xml:space="preserve">2014/15. </w:t>
      </w:r>
      <w:r>
        <w:rPr>
          <w:rFonts w:ascii="Arial" w:hAnsi="Arial" w:cs="Arial"/>
          <w:sz w:val="20"/>
          <w:lang w:val="es-ES"/>
        </w:rPr>
        <w:t xml:space="preserve"> En comparación con las previsiones de ingresos actualizadas de </w:t>
      </w:r>
      <w:r w:rsidRPr="00362498">
        <w:rPr>
          <w:rFonts w:ascii="Arial" w:hAnsi="Arial" w:cs="Arial"/>
          <w:sz w:val="20"/>
          <w:lang w:val="es-ES"/>
        </w:rPr>
        <w:t>2014/15 (</w:t>
      </w:r>
      <w:r>
        <w:rPr>
          <w:rFonts w:ascii="Arial" w:hAnsi="Arial" w:cs="Arial"/>
          <w:sz w:val="20"/>
          <w:lang w:val="es-ES"/>
        </w:rPr>
        <w:t xml:space="preserve">en abril de 2015) esto representa un aumento del </w:t>
      </w:r>
      <w:r w:rsidRPr="00362498">
        <w:rPr>
          <w:rFonts w:ascii="Arial" w:hAnsi="Arial" w:cs="Arial"/>
          <w:sz w:val="20"/>
          <w:lang w:val="es-ES"/>
        </w:rPr>
        <w:t>2</w:t>
      </w:r>
      <w:r>
        <w:rPr>
          <w:rFonts w:ascii="Arial" w:hAnsi="Arial" w:cs="Arial"/>
          <w:sz w:val="20"/>
          <w:lang w:val="es-ES"/>
        </w:rPr>
        <w:t>,</w:t>
      </w:r>
      <w:r w:rsidRPr="00362498">
        <w:rPr>
          <w:rFonts w:ascii="Arial" w:hAnsi="Arial" w:cs="Arial"/>
          <w:sz w:val="20"/>
          <w:lang w:val="es-ES"/>
        </w:rPr>
        <w:t>1</w:t>
      </w:r>
      <w:r>
        <w:rPr>
          <w:rFonts w:ascii="Arial" w:hAnsi="Arial" w:cs="Arial"/>
          <w:sz w:val="20"/>
          <w:lang w:val="es-ES"/>
        </w:rPr>
        <w:t>%</w:t>
      </w:r>
      <w:r w:rsidRPr="00362498">
        <w:rPr>
          <w:rFonts w:ascii="Arial" w:hAnsi="Arial" w:cs="Arial"/>
          <w:sz w:val="20"/>
          <w:lang w:val="es-ES"/>
        </w:rPr>
        <w:t>.</w:t>
      </w:r>
    </w:p>
    <w:p w:rsidR="00A94E7D" w:rsidRPr="00362498" w:rsidRDefault="00A94E7D" w:rsidP="00A94E7D">
      <w:pPr>
        <w:jc w:val="both"/>
        <w:rPr>
          <w:sz w:val="20"/>
        </w:rPr>
      </w:pPr>
    </w:p>
    <w:p w:rsidR="00A94E7D" w:rsidRPr="00362498" w:rsidRDefault="00A94E7D" w:rsidP="00A94E7D">
      <w:pPr>
        <w:jc w:val="both"/>
        <w:rPr>
          <w:sz w:val="20"/>
        </w:rPr>
      </w:pPr>
    </w:p>
    <w:p w:rsidR="00A94E7D" w:rsidRPr="00362498" w:rsidRDefault="00A94E7D" w:rsidP="00A94E7D">
      <w:pPr>
        <w:keepNext/>
        <w:keepLines/>
        <w:jc w:val="center"/>
        <w:rPr>
          <w:b/>
          <w:sz w:val="20"/>
        </w:rPr>
      </w:pPr>
      <w:r>
        <w:rPr>
          <w:b/>
          <w:sz w:val="20"/>
        </w:rPr>
        <w:t>Cuadro</w:t>
      </w:r>
      <w:r w:rsidRPr="00362498">
        <w:rPr>
          <w:b/>
          <w:sz w:val="20"/>
        </w:rPr>
        <w:t xml:space="preserve"> 3. </w:t>
      </w:r>
      <w:r w:rsidR="00F1696F">
        <w:rPr>
          <w:b/>
          <w:sz w:val="20"/>
        </w:rPr>
        <w:t xml:space="preserve"> </w:t>
      </w:r>
      <w:r>
        <w:rPr>
          <w:b/>
          <w:sz w:val="20"/>
        </w:rPr>
        <w:t xml:space="preserve">Evolución de los ingresos de la Organización de </w:t>
      </w:r>
      <w:r w:rsidRPr="00362498">
        <w:rPr>
          <w:b/>
          <w:sz w:val="20"/>
        </w:rPr>
        <w:t xml:space="preserve">2006/07 </w:t>
      </w:r>
      <w:r>
        <w:rPr>
          <w:b/>
          <w:sz w:val="20"/>
        </w:rPr>
        <w:t xml:space="preserve">a </w:t>
      </w:r>
      <w:r w:rsidRPr="00362498">
        <w:rPr>
          <w:b/>
          <w:sz w:val="20"/>
        </w:rPr>
        <w:t>2016/17</w:t>
      </w:r>
    </w:p>
    <w:p w:rsidR="00A94E7D" w:rsidRPr="00362498" w:rsidRDefault="00A94E7D" w:rsidP="00A94E7D">
      <w:pPr>
        <w:keepNext/>
        <w:keepLines/>
        <w:jc w:val="center"/>
        <w:rPr>
          <w:i/>
          <w:sz w:val="20"/>
        </w:rPr>
      </w:pPr>
      <w:r w:rsidRPr="00362498">
        <w:rPr>
          <w:i/>
          <w:sz w:val="20"/>
        </w:rPr>
        <w:t>(</w:t>
      </w:r>
      <w:proofErr w:type="gramStart"/>
      <w:r w:rsidRPr="00362498">
        <w:rPr>
          <w:i/>
          <w:sz w:val="20"/>
        </w:rPr>
        <w:t>en</w:t>
      </w:r>
      <w:proofErr w:type="gramEnd"/>
      <w:r w:rsidRPr="00362498">
        <w:rPr>
          <w:i/>
          <w:sz w:val="20"/>
        </w:rPr>
        <w:t xml:space="preserve"> millones de francos suizos)</w:t>
      </w:r>
    </w:p>
    <w:p w:rsidR="00A94E7D" w:rsidRPr="00362498" w:rsidRDefault="00A94E7D" w:rsidP="00A94E7D">
      <w:pPr>
        <w:keepNext/>
        <w:keepLines/>
        <w:jc w:val="center"/>
        <w:rPr>
          <w:i/>
          <w:sz w:val="18"/>
          <w:szCs w:val="18"/>
        </w:rPr>
      </w:pPr>
    </w:p>
    <w:p w:rsidR="00A94E7D" w:rsidRPr="00362498" w:rsidRDefault="003B754B" w:rsidP="00A94E7D">
      <w:pPr>
        <w:jc w:val="center"/>
        <w:rPr>
          <w:sz w:val="20"/>
        </w:rPr>
      </w:pPr>
      <w:r>
        <w:rPr>
          <w:noProof/>
          <w:lang w:val="en-US" w:eastAsia="en-US"/>
        </w:rPr>
        <w:drawing>
          <wp:inline distT="0" distB="0" distL="0" distR="0" wp14:anchorId="04E7E195" wp14:editId="4EC5B6AB">
            <wp:extent cx="5940425" cy="2518334"/>
            <wp:effectExtent l="0" t="0" r="3175"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2518334"/>
                    </a:xfrm>
                    <a:prstGeom prst="rect">
                      <a:avLst/>
                    </a:prstGeom>
                    <a:noFill/>
                    <a:ln>
                      <a:noFill/>
                    </a:ln>
                  </pic:spPr>
                </pic:pic>
              </a:graphicData>
            </a:graphic>
          </wp:inline>
        </w:drawing>
      </w:r>
    </w:p>
    <w:p w:rsidR="00A94E7D" w:rsidRPr="00362498" w:rsidRDefault="00A94E7D" w:rsidP="00A94E7D">
      <w:pPr>
        <w:widowControl w:val="0"/>
        <w:shd w:val="clear" w:color="auto" w:fill="FFFFFF"/>
        <w:jc w:val="both"/>
        <w:rPr>
          <w:i/>
          <w:sz w:val="16"/>
          <w:szCs w:val="16"/>
        </w:rPr>
      </w:pPr>
      <w:r w:rsidRPr="00362498">
        <w:rPr>
          <w:i/>
          <w:sz w:val="16"/>
          <w:szCs w:val="16"/>
        </w:rPr>
        <w:t>*Not</w:t>
      </w:r>
      <w:r>
        <w:rPr>
          <w:i/>
          <w:sz w:val="16"/>
          <w:szCs w:val="16"/>
        </w:rPr>
        <w:t>a</w:t>
      </w:r>
      <w:proofErr w:type="gramStart"/>
      <w:r w:rsidRPr="00362498">
        <w:rPr>
          <w:i/>
          <w:sz w:val="16"/>
          <w:szCs w:val="16"/>
        </w:rPr>
        <w:t xml:space="preserve">: </w:t>
      </w:r>
      <w:r>
        <w:rPr>
          <w:i/>
          <w:sz w:val="16"/>
          <w:szCs w:val="16"/>
        </w:rPr>
        <w:t xml:space="preserve"> </w:t>
      </w:r>
      <w:r w:rsidR="00B0119F">
        <w:rPr>
          <w:i/>
          <w:sz w:val="16"/>
          <w:szCs w:val="16"/>
        </w:rPr>
        <w:t>I</w:t>
      </w:r>
      <w:r>
        <w:rPr>
          <w:i/>
          <w:sz w:val="16"/>
          <w:szCs w:val="16"/>
        </w:rPr>
        <w:t>ngresos</w:t>
      </w:r>
      <w:proofErr w:type="gramEnd"/>
      <w:r>
        <w:rPr>
          <w:i/>
          <w:sz w:val="16"/>
          <w:szCs w:val="16"/>
        </w:rPr>
        <w:t xml:space="preserve"> en concepto de tasas del Sistema de Lisboa </w:t>
      </w:r>
      <w:r w:rsidRPr="00362498">
        <w:rPr>
          <w:i/>
          <w:sz w:val="16"/>
          <w:szCs w:val="16"/>
        </w:rPr>
        <w:t>(</w:t>
      </w:r>
      <w:r>
        <w:rPr>
          <w:i/>
          <w:sz w:val="16"/>
          <w:szCs w:val="16"/>
        </w:rPr>
        <w:t>estimación presupuestaria de 2014/15</w:t>
      </w:r>
      <w:r w:rsidRPr="00362498">
        <w:rPr>
          <w:i/>
          <w:sz w:val="16"/>
          <w:szCs w:val="16"/>
        </w:rPr>
        <w:t>: 8</w:t>
      </w:r>
      <w:r>
        <w:rPr>
          <w:i/>
          <w:sz w:val="16"/>
          <w:szCs w:val="16"/>
        </w:rPr>
        <w:t>.</w:t>
      </w:r>
      <w:r w:rsidRPr="00362498">
        <w:rPr>
          <w:i/>
          <w:sz w:val="16"/>
          <w:szCs w:val="16"/>
        </w:rPr>
        <w:t xml:space="preserve">000 </w:t>
      </w:r>
      <w:r>
        <w:rPr>
          <w:i/>
          <w:sz w:val="16"/>
          <w:szCs w:val="16"/>
        </w:rPr>
        <w:t>francos suizos</w:t>
      </w:r>
      <w:r w:rsidRPr="00362498">
        <w:rPr>
          <w:i/>
          <w:sz w:val="16"/>
          <w:szCs w:val="16"/>
        </w:rPr>
        <w:t xml:space="preserve">; </w:t>
      </w:r>
      <w:r w:rsidR="00540A38">
        <w:rPr>
          <w:i/>
          <w:sz w:val="16"/>
          <w:szCs w:val="16"/>
        </w:rPr>
        <w:t xml:space="preserve"> </w:t>
      </w:r>
      <w:r w:rsidRPr="00362498">
        <w:rPr>
          <w:i/>
          <w:sz w:val="16"/>
          <w:szCs w:val="16"/>
        </w:rPr>
        <w:t xml:space="preserve">2016/17: </w:t>
      </w:r>
      <w:r w:rsidR="007C679A">
        <w:rPr>
          <w:i/>
          <w:sz w:val="16"/>
          <w:szCs w:val="16"/>
        </w:rPr>
        <w:t xml:space="preserve"> </w:t>
      </w:r>
      <w:r w:rsidRPr="00362498">
        <w:rPr>
          <w:i/>
          <w:sz w:val="16"/>
          <w:szCs w:val="16"/>
        </w:rPr>
        <w:t>30</w:t>
      </w:r>
      <w:r>
        <w:rPr>
          <w:i/>
          <w:sz w:val="16"/>
          <w:szCs w:val="16"/>
        </w:rPr>
        <w:t>.</w:t>
      </w:r>
      <w:r w:rsidRPr="00362498">
        <w:rPr>
          <w:i/>
          <w:sz w:val="16"/>
          <w:szCs w:val="16"/>
        </w:rPr>
        <w:t xml:space="preserve">000 </w:t>
      </w:r>
      <w:r>
        <w:rPr>
          <w:i/>
          <w:sz w:val="16"/>
          <w:szCs w:val="16"/>
        </w:rPr>
        <w:t>francos suizos</w:t>
      </w:r>
      <w:r w:rsidRPr="00362498">
        <w:rPr>
          <w:i/>
          <w:sz w:val="16"/>
          <w:szCs w:val="16"/>
        </w:rPr>
        <w:t>)</w:t>
      </w:r>
      <w:r w:rsidR="00B0119F">
        <w:rPr>
          <w:i/>
          <w:sz w:val="16"/>
          <w:szCs w:val="16"/>
        </w:rPr>
        <w:t>.</w:t>
      </w:r>
    </w:p>
    <w:p w:rsidR="00A94E7D" w:rsidRPr="00362498" w:rsidRDefault="00A94E7D" w:rsidP="00A94E7D">
      <w:pPr>
        <w:widowControl w:val="0"/>
        <w:shd w:val="clear" w:color="auto" w:fill="FFFFFF"/>
        <w:jc w:val="both"/>
        <w:rPr>
          <w:sz w:val="20"/>
        </w:rPr>
      </w:pPr>
    </w:p>
    <w:p w:rsidR="00A94E7D" w:rsidRPr="003B001E" w:rsidRDefault="00A94E7D" w:rsidP="00A94E7D">
      <w:pPr>
        <w:pStyle w:val="ListParagraph"/>
        <w:widowControl w:val="0"/>
        <w:numPr>
          <w:ilvl w:val="0"/>
          <w:numId w:val="8"/>
        </w:numPr>
        <w:tabs>
          <w:tab w:val="left" w:pos="567"/>
        </w:tabs>
        <w:ind w:left="0" w:firstLine="0"/>
        <w:jc w:val="both"/>
        <w:rPr>
          <w:rFonts w:ascii="Arial" w:hAnsi="Arial" w:cs="Arial"/>
          <w:sz w:val="20"/>
          <w:lang w:val="es-ES"/>
        </w:rPr>
      </w:pPr>
      <w:r w:rsidRPr="003B001E">
        <w:rPr>
          <w:rFonts w:ascii="Arial" w:hAnsi="Arial" w:cs="Arial"/>
          <w:sz w:val="20"/>
          <w:lang w:val="es-ES"/>
        </w:rPr>
        <w:t>Está previsto que aumenten los ingresos en 2016/17 en todos los sistemas de registro, y que aumente</w:t>
      </w:r>
      <w:r>
        <w:rPr>
          <w:rFonts w:ascii="Arial" w:hAnsi="Arial" w:cs="Arial"/>
          <w:sz w:val="20"/>
          <w:lang w:val="es-ES"/>
        </w:rPr>
        <w:t>n el</w:t>
      </w:r>
      <w:r w:rsidRPr="003B001E">
        <w:rPr>
          <w:rFonts w:ascii="Arial" w:hAnsi="Arial" w:cs="Arial"/>
          <w:sz w:val="20"/>
          <w:lang w:val="es-ES"/>
        </w:rPr>
        <w:t xml:space="preserve"> 5,5%, </w:t>
      </w:r>
      <w:r>
        <w:rPr>
          <w:rFonts w:ascii="Arial" w:hAnsi="Arial" w:cs="Arial"/>
          <w:sz w:val="20"/>
          <w:lang w:val="es-ES"/>
        </w:rPr>
        <w:t xml:space="preserve">el </w:t>
      </w:r>
      <w:r w:rsidRPr="003B001E">
        <w:rPr>
          <w:rFonts w:ascii="Arial" w:hAnsi="Arial" w:cs="Arial"/>
          <w:sz w:val="20"/>
          <w:lang w:val="es-ES"/>
        </w:rPr>
        <w:t xml:space="preserve">12,3% y el 20,3%, respectivamente, en los sistemas del PCT, </w:t>
      </w:r>
      <w:r>
        <w:rPr>
          <w:rFonts w:ascii="Arial" w:hAnsi="Arial" w:cs="Arial"/>
          <w:sz w:val="20"/>
          <w:lang w:val="es-ES"/>
        </w:rPr>
        <w:t xml:space="preserve">de </w:t>
      </w:r>
      <w:r w:rsidRPr="003B001E">
        <w:rPr>
          <w:rFonts w:ascii="Arial" w:hAnsi="Arial" w:cs="Arial"/>
          <w:sz w:val="20"/>
          <w:lang w:val="es-ES"/>
        </w:rPr>
        <w:t xml:space="preserve">Madrid y </w:t>
      </w:r>
      <w:r>
        <w:rPr>
          <w:rFonts w:ascii="Arial" w:hAnsi="Arial" w:cs="Arial"/>
          <w:sz w:val="20"/>
          <w:lang w:val="es-ES"/>
        </w:rPr>
        <w:t xml:space="preserve">de </w:t>
      </w:r>
      <w:r w:rsidR="00AD1FD7">
        <w:rPr>
          <w:rFonts w:ascii="Arial" w:hAnsi="Arial" w:cs="Arial"/>
          <w:sz w:val="20"/>
          <w:lang w:val="es-ES"/>
        </w:rPr>
        <w:t>La </w:t>
      </w:r>
      <w:r w:rsidRPr="003B001E">
        <w:rPr>
          <w:rFonts w:ascii="Arial" w:hAnsi="Arial" w:cs="Arial"/>
          <w:sz w:val="20"/>
          <w:lang w:val="es-ES"/>
        </w:rPr>
        <w:t>Haya, en comparación con el presupuesto de 2014/15</w:t>
      </w:r>
      <w:r>
        <w:rPr>
          <w:rFonts w:ascii="Arial" w:hAnsi="Arial" w:cs="Arial"/>
          <w:sz w:val="20"/>
          <w:lang w:val="es-ES"/>
        </w:rPr>
        <w:t>.</w:t>
      </w:r>
      <w:r w:rsidRPr="00362498">
        <w:rPr>
          <w:rStyle w:val="FootnoteReference"/>
          <w:rFonts w:ascii="Arial" w:hAnsi="Arial" w:cs="Arial"/>
          <w:sz w:val="20"/>
          <w:szCs w:val="20"/>
          <w:lang w:val="es-ES"/>
        </w:rPr>
        <w:footnoteReference w:id="3"/>
      </w:r>
    </w:p>
    <w:p w:rsidR="00A94E7D" w:rsidRPr="00362498" w:rsidRDefault="00A94E7D" w:rsidP="00A94E7D">
      <w:pPr>
        <w:widowControl w:val="0"/>
        <w:shd w:val="clear" w:color="auto" w:fill="FFFFFF"/>
        <w:jc w:val="both"/>
        <w:rPr>
          <w:sz w:val="20"/>
        </w:rPr>
      </w:pPr>
    </w:p>
    <w:p w:rsidR="00A94E7D"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3B001E">
        <w:rPr>
          <w:rFonts w:ascii="Arial" w:hAnsi="Arial" w:cs="Arial"/>
          <w:bCs/>
          <w:sz w:val="20"/>
          <w:lang w:val="es-ES"/>
        </w:rPr>
        <w:t>Los ingresos procedentes de contribuciones de los Estados miembros ascienden a 34,7 millones de francos suizos para el bienio 2016/17, un ligero descenso en comparación con 2014/15.</w:t>
      </w:r>
      <w:r>
        <w:rPr>
          <w:rFonts w:ascii="Arial" w:hAnsi="Arial" w:cs="Arial"/>
          <w:bCs/>
          <w:sz w:val="20"/>
          <w:lang w:val="es-ES"/>
        </w:rPr>
        <w:t xml:space="preserve">  Sigue sin modificarse el valor de una unidad de contribución de los Estados miembros para 2016 y 2017</w:t>
      </w:r>
      <w:r w:rsidRPr="00362498">
        <w:rPr>
          <w:rStyle w:val="FootnoteReference"/>
          <w:rFonts w:ascii="Arial" w:hAnsi="Arial" w:cs="Arial"/>
          <w:bCs/>
          <w:sz w:val="20"/>
          <w:lang w:val="es-ES"/>
        </w:rPr>
        <w:footnoteReference w:id="4"/>
      </w:r>
      <w:r w:rsidRPr="003B001E">
        <w:rPr>
          <w:rFonts w:ascii="Arial" w:hAnsi="Arial" w:cs="Arial"/>
          <w:bCs/>
          <w:sz w:val="20"/>
          <w:lang w:val="es-ES"/>
        </w:rPr>
        <w:t xml:space="preserve"> </w:t>
      </w:r>
      <w:r>
        <w:rPr>
          <w:rFonts w:ascii="Arial" w:hAnsi="Arial" w:cs="Arial"/>
          <w:bCs/>
          <w:sz w:val="20"/>
          <w:lang w:val="es-ES"/>
        </w:rPr>
        <w:t>en comparación con 2014 y 2015.</w:t>
      </w:r>
    </w:p>
    <w:p w:rsidR="00A94E7D" w:rsidRPr="00362498" w:rsidRDefault="00A94E7D" w:rsidP="00A94E7D">
      <w:pPr>
        <w:widowControl w:val="0"/>
        <w:shd w:val="clear" w:color="auto" w:fill="FFFFFF"/>
        <w:jc w:val="both"/>
        <w:rPr>
          <w:sz w:val="20"/>
        </w:rPr>
      </w:pPr>
    </w:p>
    <w:p w:rsidR="00A94E7D" w:rsidRPr="0047315D" w:rsidRDefault="00A94E7D" w:rsidP="00A94E7D">
      <w:pPr>
        <w:pStyle w:val="ListParagraph"/>
        <w:widowControl w:val="0"/>
        <w:numPr>
          <w:ilvl w:val="0"/>
          <w:numId w:val="8"/>
        </w:numPr>
        <w:tabs>
          <w:tab w:val="left" w:pos="567"/>
        </w:tabs>
        <w:ind w:left="0" w:firstLine="0"/>
        <w:jc w:val="both"/>
        <w:rPr>
          <w:rFonts w:ascii="Arial" w:hAnsi="Arial" w:cs="Arial"/>
          <w:sz w:val="20"/>
          <w:lang w:val="es-ES"/>
        </w:rPr>
      </w:pPr>
      <w:r w:rsidRPr="0047315D">
        <w:rPr>
          <w:rFonts w:ascii="Arial" w:hAnsi="Arial" w:cs="Arial"/>
          <w:sz w:val="20"/>
          <w:lang w:val="es-ES"/>
        </w:rPr>
        <w:lastRenderedPageBreak/>
        <w:t>Se prevé que los ingres</w:t>
      </w:r>
      <w:r>
        <w:rPr>
          <w:rFonts w:ascii="Arial" w:hAnsi="Arial" w:cs="Arial"/>
          <w:sz w:val="20"/>
          <w:lang w:val="es-ES"/>
        </w:rPr>
        <w:t>os procedentes de otras fuentes</w:t>
      </w:r>
      <w:r w:rsidRPr="00362498">
        <w:rPr>
          <w:rStyle w:val="FootnoteReference"/>
          <w:rFonts w:ascii="Arial" w:hAnsi="Arial" w:cs="Arial"/>
          <w:sz w:val="20"/>
          <w:lang w:val="es-ES"/>
        </w:rPr>
        <w:footnoteReference w:id="5"/>
      </w:r>
      <w:r w:rsidRPr="0047315D">
        <w:rPr>
          <w:rFonts w:ascii="Arial" w:hAnsi="Arial" w:cs="Arial"/>
          <w:sz w:val="20"/>
          <w:lang w:val="es-ES"/>
        </w:rPr>
        <w:t xml:space="preserve"> </w:t>
      </w:r>
      <w:r>
        <w:rPr>
          <w:rFonts w:ascii="Arial" w:hAnsi="Arial" w:cs="Arial"/>
          <w:sz w:val="20"/>
          <w:lang w:val="es-ES"/>
        </w:rPr>
        <w:t xml:space="preserve">(los </w:t>
      </w:r>
      <w:r w:rsidRPr="0047315D">
        <w:rPr>
          <w:rFonts w:ascii="Arial" w:hAnsi="Arial" w:cs="Arial"/>
          <w:bCs/>
          <w:sz w:val="20"/>
          <w:lang w:val="es-ES"/>
        </w:rPr>
        <w:t>servicios proporcionados por el Centro de Arbitraje y Mediación, las publicaciones y los ingresos correspondientes a intereses</w:t>
      </w:r>
      <w:r>
        <w:rPr>
          <w:rFonts w:ascii="Arial" w:hAnsi="Arial" w:cs="Arial"/>
          <w:bCs/>
          <w:sz w:val="20"/>
          <w:lang w:val="es-ES"/>
        </w:rPr>
        <w:t>)</w:t>
      </w:r>
      <w:r w:rsidRPr="0047315D">
        <w:rPr>
          <w:rFonts w:ascii="Arial" w:hAnsi="Arial" w:cs="Arial"/>
          <w:bCs/>
          <w:sz w:val="20"/>
          <w:lang w:val="es-ES"/>
        </w:rPr>
        <w:t xml:space="preserve">, </w:t>
      </w:r>
      <w:r>
        <w:rPr>
          <w:rFonts w:ascii="Arial" w:hAnsi="Arial" w:cs="Arial"/>
          <w:bCs/>
          <w:sz w:val="20"/>
          <w:lang w:val="es-ES"/>
        </w:rPr>
        <w:t>desciendan</w:t>
      </w:r>
      <w:r w:rsidRPr="0047315D">
        <w:rPr>
          <w:rFonts w:ascii="Arial" w:hAnsi="Arial" w:cs="Arial"/>
          <w:bCs/>
          <w:sz w:val="20"/>
          <w:lang w:val="es-ES"/>
        </w:rPr>
        <w:t xml:space="preserve"> en un </w:t>
      </w:r>
      <w:r w:rsidRPr="0047315D">
        <w:rPr>
          <w:rFonts w:ascii="Arial" w:hAnsi="Arial" w:cs="Arial"/>
          <w:sz w:val="20"/>
          <w:lang w:val="es-ES"/>
        </w:rPr>
        <w:t>10</w:t>
      </w:r>
      <w:r>
        <w:rPr>
          <w:rFonts w:ascii="Arial" w:hAnsi="Arial" w:cs="Arial"/>
          <w:sz w:val="20"/>
          <w:lang w:val="es-ES"/>
        </w:rPr>
        <w:t>,</w:t>
      </w:r>
      <w:r w:rsidRPr="0047315D">
        <w:rPr>
          <w:rFonts w:ascii="Arial" w:hAnsi="Arial" w:cs="Arial"/>
          <w:sz w:val="20"/>
          <w:lang w:val="es-ES"/>
        </w:rPr>
        <w:t>7</w:t>
      </w:r>
      <w:r>
        <w:rPr>
          <w:rFonts w:ascii="Arial" w:hAnsi="Arial" w:cs="Arial"/>
          <w:sz w:val="20"/>
          <w:lang w:val="es-ES"/>
        </w:rPr>
        <w:t>%</w:t>
      </w:r>
      <w:r w:rsidRPr="0047315D">
        <w:rPr>
          <w:rFonts w:ascii="Arial" w:hAnsi="Arial" w:cs="Arial"/>
          <w:sz w:val="20"/>
          <w:lang w:val="es-ES"/>
        </w:rPr>
        <w:t xml:space="preserve">, </w:t>
      </w:r>
      <w:r>
        <w:rPr>
          <w:rFonts w:ascii="Arial" w:hAnsi="Arial" w:cs="Arial"/>
          <w:sz w:val="20"/>
          <w:lang w:val="es-ES"/>
        </w:rPr>
        <w:t xml:space="preserve">un </w:t>
      </w:r>
      <w:r w:rsidRPr="0047315D">
        <w:rPr>
          <w:rFonts w:ascii="Arial" w:hAnsi="Arial" w:cs="Arial"/>
          <w:sz w:val="20"/>
          <w:lang w:val="es-ES"/>
        </w:rPr>
        <w:t>74</w:t>
      </w:r>
      <w:r>
        <w:rPr>
          <w:rFonts w:ascii="Arial" w:hAnsi="Arial" w:cs="Arial"/>
          <w:sz w:val="20"/>
          <w:lang w:val="es-ES"/>
        </w:rPr>
        <w:t>,</w:t>
      </w:r>
      <w:r w:rsidRPr="0047315D">
        <w:rPr>
          <w:rFonts w:ascii="Arial" w:hAnsi="Arial" w:cs="Arial"/>
          <w:sz w:val="20"/>
          <w:lang w:val="es-ES"/>
        </w:rPr>
        <w:t>2</w:t>
      </w:r>
      <w:r>
        <w:rPr>
          <w:rFonts w:ascii="Arial" w:hAnsi="Arial" w:cs="Arial"/>
          <w:sz w:val="20"/>
          <w:lang w:val="es-ES"/>
        </w:rPr>
        <w:t>%</w:t>
      </w:r>
      <w:r w:rsidRPr="0047315D">
        <w:rPr>
          <w:rFonts w:ascii="Arial" w:hAnsi="Arial" w:cs="Arial"/>
          <w:sz w:val="20"/>
          <w:lang w:val="es-ES"/>
        </w:rPr>
        <w:t xml:space="preserve"> </w:t>
      </w:r>
      <w:r>
        <w:rPr>
          <w:rFonts w:ascii="Arial" w:hAnsi="Arial" w:cs="Arial"/>
          <w:sz w:val="20"/>
          <w:lang w:val="es-ES"/>
        </w:rPr>
        <w:t xml:space="preserve">y un </w:t>
      </w:r>
      <w:r w:rsidRPr="0047315D">
        <w:rPr>
          <w:rFonts w:ascii="Arial" w:hAnsi="Arial" w:cs="Arial"/>
          <w:sz w:val="20"/>
          <w:lang w:val="es-ES"/>
        </w:rPr>
        <w:t>100</w:t>
      </w:r>
      <w:r>
        <w:rPr>
          <w:rFonts w:ascii="Arial" w:hAnsi="Arial" w:cs="Arial"/>
          <w:sz w:val="20"/>
          <w:lang w:val="es-ES"/>
        </w:rPr>
        <w:t xml:space="preserve">%, respectivamente, en comparación con el presupuesto </w:t>
      </w:r>
      <w:r w:rsidR="0088087D">
        <w:rPr>
          <w:rFonts w:ascii="Arial" w:hAnsi="Arial" w:cs="Arial"/>
          <w:sz w:val="20"/>
          <w:lang w:val="es-ES"/>
        </w:rPr>
        <w:t>de </w:t>
      </w:r>
      <w:r w:rsidRPr="0047315D">
        <w:rPr>
          <w:rFonts w:ascii="Arial" w:hAnsi="Arial" w:cs="Arial"/>
          <w:sz w:val="20"/>
          <w:lang w:val="es-ES"/>
        </w:rPr>
        <w:t xml:space="preserve">2014/15. </w:t>
      </w:r>
      <w:r>
        <w:rPr>
          <w:rFonts w:ascii="Arial" w:hAnsi="Arial" w:cs="Arial"/>
          <w:sz w:val="20"/>
          <w:lang w:val="es-ES"/>
        </w:rPr>
        <w:t xml:space="preserve"> Se prevé que se mantengan estables los ingresos correspondientes a otras fuentes. </w:t>
      </w:r>
    </w:p>
    <w:p w:rsidR="00A94E7D" w:rsidRPr="00362498" w:rsidRDefault="00A94E7D" w:rsidP="00A94E7D">
      <w:pPr>
        <w:widowControl w:val="0"/>
        <w:shd w:val="clear" w:color="auto" w:fill="FFFFFF"/>
        <w:jc w:val="both"/>
        <w:rPr>
          <w:sz w:val="20"/>
        </w:rPr>
      </w:pPr>
    </w:p>
    <w:p w:rsidR="00A94E7D" w:rsidRPr="00DC0D05"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DC0D05">
        <w:rPr>
          <w:rFonts w:ascii="Arial" w:hAnsi="Arial" w:cs="Arial"/>
          <w:bCs/>
          <w:sz w:val="20"/>
          <w:lang w:val="es-ES"/>
        </w:rPr>
        <w:t>El descenso en las previsiones de ingresos del Centro de Arbitraje y Mediación tiene que ver fundamentalmente con la repercusión negativa que podría tener el aumento de la competencia en el mercado en el número de demandas tramitadas con arreglo a la Política Uniforme de solución de controversias.  Se prevé que disminuyan los ingresos correspondientes a la venta de publicaciones  a raíz de la nueva política de difusión de datos mediante la que las publicaciones de la OMPI estarán disponibles al público en general a costo reducido o gratuitamente.  Se prevé que la OMPI obtenga ingresos nulos en concepto de intereses debido a los tipos de interés negativos de</w:t>
      </w:r>
      <w:r>
        <w:rPr>
          <w:rFonts w:ascii="Arial" w:hAnsi="Arial" w:cs="Arial"/>
          <w:bCs/>
          <w:sz w:val="20"/>
          <w:lang w:val="es-ES"/>
        </w:rPr>
        <w:t xml:space="preserve"> </w:t>
      </w:r>
      <w:r w:rsidRPr="00DC0D05">
        <w:rPr>
          <w:rFonts w:ascii="Arial" w:hAnsi="Arial" w:cs="Arial"/>
          <w:bCs/>
          <w:sz w:val="20"/>
          <w:lang w:val="es-ES"/>
        </w:rPr>
        <w:t>l</w:t>
      </w:r>
      <w:r>
        <w:rPr>
          <w:rFonts w:ascii="Arial" w:hAnsi="Arial" w:cs="Arial"/>
          <w:bCs/>
          <w:sz w:val="20"/>
          <w:lang w:val="es-ES"/>
        </w:rPr>
        <w:t>os depósitos en</w:t>
      </w:r>
      <w:r w:rsidRPr="00DC0D05">
        <w:rPr>
          <w:rFonts w:ascii="Arial" w:hAnsi="Arial" w:cs="Arial"/>
          <w:bCs/>
          <w:sz w:val="20"/>
          <w:lang w:val="es-ES"/>
        </w:rPr>
        <w:t xml:space="preserve"> franco</w:t>
      </w:r>
      <w:r>
        <w:rPr>
          <w:rFonts w:ascii="Arial" w:hAnsi="Arial" w:cs="Arial"/>
          <w:bCs/>
          <w:sz w:val="20"/>
          <w:lang w:val="es-ES"/>
        </w:rPr>
        <w:t>s</w:t>
      </w:r>
      <w:r w:rsidRPr="00DC0D05">
        <w:rPr>
          <w:rFonts w:ascii="Arial" w:hAnsi="Arial" w:cs="Arial"/>
          <w:bCs/>
          <w:sz w:val="20"/>
          <w:lang w:val="es-ES"/>
        </w:rPr>
        <w:t xml:space="preserve"> suizo</w:t>
      </w:r>
      <w:r>
        <w:rPr>
          <w:rFonts w:ascii="Arial" w:hAnsi="Arial" w:cs="Arial"/>
          <w:bCs/>
          <w:sz w:val="20"/>
          <w:lang w:val="es-ES"/>
        </w:rPr>
        <w:t>s</w:t>
      </w:r>
      <w:r w:rsidRPr="00DC0D05">
        <w:rPr>
          <w:rFonts w:ascii="Arial" w:hAnsi="Arial" w:cs="Arial"/>
          <w:bCs/>
          <w:sz w:val="20"/>
          <w:lang w:val="es-ES"/>
        </w:rPr>
        <w:t>.  Los ingresos correspondientes a otras fuentes están presupuestados en el bienio siguiente al mismo nivel que en el presupuesto aprobado de 2014/15.</w:t>
      </w:r>
    </w:p>
    <w:p w:rsidR="00A94E7D" w:rsidRPr="00362498" w:rsidRDefault="00A94E7D" w:rsidP="00A94E7D">
      <w:pPr>
        <w:jc w:val="both"/>
        <w:rPr>
          <w:bCs/>
          <w:sz w:val="20"/>
        </w:rPr>
      </w:pPr>
    </w:p>
    <w:p w:rsidR="00A94E7D" w:rsidRPr="00362498"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sidRPr="00F363FE">
        <w:rPr>
          <w:rFonts w:ascii="Arial" w:hAnsi="Arial" w:cs="Arial"/>
          <w:bCs/>
          <w:sz w:val="20"/>
          <w:lang w:val="es-ES"/>
        </w:rPr>
        <w:t xml:space="preserve">El nivel global de ingresos ha seguido aumentando de forma sostenida en el decenio pasado, según ilustra el </w:t>
      </w:r>
      <w:r>
        <w:rPr>
          <w:rFonts w:ascii="Arial" w:hAnsi="Arial" w:cs="Arial"/>
          <w:bCs/>
          <w:sz w:val="20"/>
          <w:lang w:val="es-ES"/>
        </w:rPr>
        <w:t>gráfico 1 que figura a continuación</w:t>
      </w:r>
      <w:r w:rsidRPr="00362498">
        <w:rPr>
          <w:rFonts w:ascii="Arial" w:hAnsi="Arial" w:cs="Arial"/>
          <w:bCs/>
          <w:sz w:val="20"/>
          <w:lang w:val="es-ES"/>
        </w:rPr>
        <w:t>.</w:t>
      </w:r>
    </w:p>
    <w:p w:rsidR="00A94E7D" w:rsidRPr="00540685" w:rsidRDefault="00A94E7D" w:rsidP="00A94E7D">
      <w:pPr>
        <w:jc w:val="both"/>
        <w:rPr>
          <w:bCs/>
          <w:sz w:val="20"/>
        </w:rPr>
      </w:pPr>
    </w:p>
    <w:p w:rsidR="00A94E7D" w:rsidRPr="00540685" w:rsidRDefault="00A94E7D" w:rsidP="00A94E7D">
      <w:pPr>
        <w:jc w:val="center"/>
        <w:rPr>
          <w:sz w:val="20"/>
        </w:rPr>
      </w:pPr>
    </w:p>
    <w:p w:rsidR="00A94E7D" w:rsidRPr="00540685" w:rsidRDefault="00A94E7D" w:rsidP="00A94E7D">
      <w:pPr>
        <w:keepNext/>
        <w:keepLines/>
        <w:jc w:val="center"/>
        <w:rPr>
          <w:b/>
          <w:sz w:val="20"/>
          <w:szCs w:val="16"/>
        </w:rPr>
      </w:pPr>
      <w:r w:rsidRPr="00540685">
        <w:rPr>
          <w:b/>
          <w:sz w:val="20"/>
          <w:szCs w:val="16"/>
        </w:rPr>
        <w:t>Gráfico 1.  Evolución de los ingresos entre 1990/91 y 2016/17*</w:t>
      </w:r>
    </w:p>
    <w:p w:rsidR="00A94E7D" w:rsidRPr="00362498" w:rsidRDefault="00A94E7D" w:rsidP="00A94E7D">
      <w:pPr>
        <w:keepNext/>
        <w:keepLines/>
        <w:jc w:val="center"/>
        <w:rPr>
          <w:sz w:val="18"/>
          <w:szCs w:val="18"/>
        </w:rPr>
      </w:pPr>
    </w:p>
    <w:p w:rsidR="00A94E7D" w:rsidRPr="00362498" w:rsidRDefault="006F6B72" w:rsidP="00A94E7D">
      <w:pPr>
        <w:keepNext/>
        <w:keepLines/>
        <w:rPr>
          <w:bCs/>
          <w:sz w:val="20"/>
        </w:rPr>
      </w:pPr>
      <w:r w:rsidRPr="006F6B72">
        <w:rPr>
          <w:noProof/>
          <w:lang w:val="en-US" w:eastAsia="en-US"/>
        </w:rPr>
        <w:drawing>
          <wp:inline distT="0" distB="0" distL="0" distR="0" wp14:anchorId="11FD980A" wp14:editId="48BE69E9">
            <wp:extent cx="5940425" cy="3923950"/>
            <wp:effectExtent l="0" t="0" r="3175" b="635"/>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0425" cy="3923950"/>
                    </a:xfrm>
                    <a:prstGeom prst="rect">
                      <a:avLst/>
                    </a:prstGeom>
                    <a:noFill/>
                    <a:ln>
                      <a:noFill/>
                    </a:ln>
                  </pic:spPr>
                </pic:pic>
              </a:graphicData>
            </a:graphic>
          </wp:inline>
        </w:drawing>
      </w:r>
    </w:p>
    <w:p w:rsidR="00A94E7D" w:rsidRPr="00362498" w:rsidRDefault="00A94E7D" w:rsidP="00A94E7D">
      <w:pPr>
        <w:keepNext/>
        <w:keepLines/>
        <w:widowControl w:val="0"/>
        <w:rPr>
          <w:i/>
          <w:sz w:val="16"/>
          <w:szCs w:val="16"/>
        </w:rPr>
      </w:pPr>
    </w:p>
    <w:p w:rsidR="00A94E7D" w:rsidRPr="00362498" w:rsidRDefault="00A94E7D" w:rsidP="00A94E7D">
      <w:pPr>
        <w:keepNext/>
        <w:keepLines/>
        <w:widowControl w:val="0"/>
        <w:rPr>
          <w:i/>
          <w:sz w:val="16"/>
          <w:szCs w:val="16"/>
        </w:rPr>
      </w:pPr>
      <w:r w:rsidRPr="00362498">
        <w:rPr>
          <w:i/>
          <w:sz w:val="16"/>
          <w:szCs w:val="16"/>
        </w:rPr>
        <w:tab/>
        <w:t>*</w:t>
      </w:r>
      <w:r>
        <w:rPr>
          <w:i/>
          <w:sz w:val="16"/>
          <w:szCs w:val="16"/>
        </w:rPr>
        <w:t>Las cifras de</w:t>
      </w:r>
      <w:r w:rsidRPr="00362498">
        <w:rPr>
          <w:i/>
          <w:sz w:val="16"/>
          <w:szCs w:val="16"/>
        </w:rPr>
        <w:t xml:space="preserve"> 2014/15 </w:t>
      </w:r>
      <w:r>
        <w:rPr>
          <w:i/>
          <w:sz w:val="16"/>
          <w:szCs w:val="16"/>
        </w:rPr>
        <w:t xml:space="preserve">y </w:t>
      </w:r>
      <w:r w:rsidRPr="00362498">
        <w:rPr>
          <w:i/>
          <w:sz w:val="16"/>
          <w:szCs w:val="16"/>
        </w:rPr>
        <w:t xml:space="preserve">2016/17 </w:t>
      </w:r>
      <w:r>
        <w:rPr>
          <w:i/>
          <w:sz w:val="16"/>
          <w:szCs w:val="16"/>
        </w:rPr>
        <w:t>son estimaciones presupuesta</w:t>
      </w:r>
      <w:r w:rsidR="001914A4">
        <w:rPr>
          <w:i/>
          <w:sz w:val="16"/>
          <w:szCs w:val="16"/>
        </w:rPr>
        <w:t>das de ingresos.</w:t>
      </w:r>
    </w:p>
    <w:p w:rsidR="00A94E7D" w:rsidRPr="00362498" w:rsidRDefault="00A94E7D" w:rsidP="00A94E7D">
      <w:pPr>
        <w:widowControl w:val="0"/>
      </w:pPr>
    </w:p>
    <w:p w:rsidR="00A94E7D" w:rsidRPr="00362498" w:rsidRDefault="00A94E7D" w:rsidP="00A94E7D">
      <w:pPr>
        <w:pStyle w:val="ListParagraph"/>
        <w:widowControl w:val="0"/>
        <w:numPr>
          <w:ilvl w:val="0"/>
          <w:numId w:val="8"/>
        </w:numPr>
        <w:tabs>
          <w:tab w:val="left" w:pos="567"/>
        </w:tabs>
        <w:ind w:left="0" w:firstLine="0"/>
        <w:jc w:val="both"/>
        <w:rPr>
          <w:rFonts w:ascii="Arial" w:hAnsi="Arial" w:cs="Arial"/>
          <w:bCs/>
          <w:sz w:val="20"/>
          <w:lang w:val="es-ES"/>
        </w:rPr>
      </w:pPr>
      <w:r>
        <w:rPr>
          <w:rFonts w:ascii="Arial" w:hAnsi="Arial" w:cs="Arial"/>
          <w:bCs/>
          <w:sz w:val="20"/>
          <w:lang w:val="es-ES"/>
        </w:rPr>
        <w:t>La principal fuente de ingresos de la Organización sigue siendo los ingresos procedentes de las tasas de sus servicios de registro internacional.  Ha seguido creciendo el porcentaje de ingresos en concepto de tasas del total de ingresos de la Organización y se calcula en un 94,5% en 2016/17, según ilustra el gráfico que figura a continuación.</w:t>
      </w:r>
    </w:p>
    <w:p w:rsidR="00A94E7D" w:rsidRPr="00362498" w:rsidRDefault="00A94E7D" w:rsidP="00A94E7D">
      <w:pPr>
        <w:jc w:val="both"/>
        <w:rPr>
          <w:sz w:val="20"/>
        </w:rPr>
      </w:pPr>
    </w:p>
    <w:p w:rsidR="00A94E7D" w:rsidRPr="00362498" w:rsidRDefault="00A94E7D" w:rsidP="00A94E7D">
      <w:pPr>
        <w:keepNext/>
        <w:keepLines/>
        <w:jc w:val="center"/>
        <w:rPr>
          <w:b/>
          <w:sz w:val="20"/>
          <w:szCs w:val="16"/>
        </w:rPr>
      </w:pPr>
      <w:r>
        <w:rPr>
          <w:b/>
          <w:sz w:val="20"/>
          <w:szCs w:val="16"/>
        </w:rPr>
        <w:lastRenderedPageBreak/>
        <w:t>Gráfico</w:t>
      </w:r>
      <w:r w:rsidRPr="00362498">
        <w:rPr>
          <w:b/>
          <w:sz w:val="20"/>
          <w:szCs w:val="16"/>
        </w:rPr>
        <w:t xml:space="preserve"> 2.  </w:t>
      </w:r>
      <w:r>
        <w:rPr>
          <w:b/>
          <w:sz w:val="20"/>
          <w:szCs w:val="16"/>
        </w:rPr>
        <w:t xml:space="preserve">Porcentaje de ingresos en concepto de tasas </w:t>
      </w:r>
      <w:r w:rsidRPr="00362498">
        <w:rPr>
          <w:b/>
          <w:sz w:val="20"/>
          <w:szCs w:val="16"/>
        </w:rPr>
        <w:t xml:space="preserve">/ Total </w:t>
      </w:r>
      <w:r>
        <w:rPr>
          <w:b/>
          <w:sz w:val="20"/>
          <w:szCs w:val="16"/>
        </w:rPr>
        <w:t xml:space="preserve">de ingresos de </w:t>
      </w:r>
      <w:r w:rsidRPr="00362498">
        <w:rPr>
          <w:b/>
          <w:sz w:val="20"/>
          <w:szCs w:val="16"/>
        </w:rPr>
        <w:t xml:space="preserve">2004/05 </w:t>
      </w:r>
      <w:r>
        <w:rPr>
          <w:b/>
          <w:sz w:val="20"/>
          <w:szCs w:val="16"/>
        </w:rPr>
        <w:t xml:space="preserve">a </w:t>
      </w:r>
      <w:r w:rsidRPr="00362498">
        <w:rPr>
          <w:b/>
          <w:sz w:val="20"/>
          <w:szCs w:val="16"/>
        </w:rPr>
        <w:t>2016/17</w:t>
      </w:r>
    </w:p>
    <w:p w:rsidR="00A94E7D" w:rsidRPr="00362498" w:rsidRDefault="00A94E7D" w:rsidP="00A94E7D">
      <w:pPr>
        <w:keepNext/>
        <w:keepLines/>
        <w:jc w:val="both"/>
        <w:rPr>
          <w:sz w:val="20"/>
        </w:rPr>
      </w:pPr>
    </w:p>
    <w:p w:rsidR="00A94E7D" w:rsidRPr="00362498" w:rsidRDefault="006F6B72" w:rsidP="00A94E7D">
      <w:pPr>
        <w:keepNext/>
        <w:keepLines/>
        <w:jc w:val="both"/>
        <w:rPr>
          <w:sz w:val="20"/>
        </w:rPr>
      </w:pPr>
      <w:r w:rsidRPr="006F6B72">
        <w:rPr>
          <w:noProof/>
          <w:lang w:val="en-US" w:eastAsia="en-US"/>
        </w:rPr>
        <w:drawing>
          <wp:inline distT="0" distB="0" distL="0" distR="0" wp14:anchorId="4BF1E4EA" wp14:editId="19E7B39C">
            <wp:extent cx="5940425" cy="3426552"/>
            <wp:effectExtent l="0" t="0" r="3175" b="254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0425" cy="3426552"/>
                    </a:xfrm>
                    <a:prstGeom prst="rect">
                      <a:avLst/>
                    </a:prstGeom>
                    <a:noFill/>
                    <a:ln>
                      <a:noFill/>
                    </a:ln>
                  </pic:spPr>
                </pic:pic>
              </a:graphicData>
            </a:graphic>
          </wp:inline>
        </w:drawing>
      </w:r>
    </w:p>
    <w:p w:rsidR="00A94E7D" w:rsidRPr="00540685" w:rsidRDefault="00A94E7D" w:rsidP="00A94E7D">
      <w:pPr>
        <w:keepNext/>
        <w:keepLines/>
        <w:jc w:val="both"/>
        <w:rPr>
          <w:sz w:val="20"/>
        </w:rPr>
      </w:pPr>
    </w:p>
    <w:p w:rsidR="00A94E7D" w:rsidRPr="00540685" w:rsidRDefault="00A94E7D" w:rsidP="00A94E7D">
      <w:pPr>
        <w:pStyle w:val="ListParagraph"/>
        <w:widowControl w:val="0"/>
        <w:numPr>
          <w:ilvl w:val="0"/>
          <w:numId w:val="8"/>
        </w:numPr>
        <w:tabs>
          <w:tab w:val="left" w:pos="567"/>
        </w:tabs>
        <w:ind w:left="0" w:firstLine="0"/>
        <w:jc w:val="both"/>
        <w:rPr>
          <w:rFonts w:ascii="Arial" w:hAnsi="Arial" w:cs="Arial"/>
          <w:sz w:val="18"/>
          <w:szCs w:val="18"/>
          <w:lang w:val="es-ES"/>
        </w:rPr>
      </w:pPr>
      <w:r w:rsidRPr="00540685">
        <w:rPr>
          <w:rFonts w:ascii="Arial" w:hAnsi="Arial"/>
          <w:sz w:val="20"/>
          <w:lang w:val="es-ES"/>
        </w:rPr>
        <w:t>La Organización sigue obteniendo aproximadamente el 76% de sus ingresos (en 2016/17) de las tasas del PCT, lo que constituye un alto grado de dependencia de una única fuente de ingresos.  En respuesta a este riesgo estratégico, la Organización seguirá estudiando las posibilidades de mejorar la sostenibilidad financiera por medio de la ampliación de otras fuentes de ingresos, sin olvidarse de las oportunidades de recuperación de costos.</w:t>
      </w:r>
    </w:p>
    <w:p w:rsidR="00A94E7D" w:rsidRPr="00540685" w:rsidRDefault="00A94E7D" w:rsidP="00A94E7D">
      <w:pPr>
        <w:widowControl w:val="0"/>
      </w:pPr>
    </w:p>
    <w:p w:rsidR="00A94E7D" w:rsidRPr="00362498" w:rsidRDefault="00A94E7D" w:rsidP="00A94E7D">
      <w:pPr>
        <w:keepNext/>
        <w:keepLines/>
        <w:jc w:val="center"/>
        <w:rPr>
          <w:b/>
          <w:sz w:val="20"/>
          <w:szCs w:val="16"/>
        </w:rPr>
      </w:pPr>
      <w:r>
        <w:rPr>
          <w:b/>
          <w:sz w:val="20"/>
          <w:szCs w:val="16"/>
        </w:rPr>
        <w:t>Gráfico</w:t>
      </w:r>
      <w:r w:rsidRPr="00362498">
        <w:rPr>
          <w:b/>
          <w:sz w:val="20"/>
          <w:szCs w:val="16"/>
        </w:rPr>
        <w:t xml:space="preserve"> 3.  </w:t>
      </w:r>
      <w:r>
        <w:rPr>
          <w:b/>
          <w:sz w:val="20"/>
          <w:szCs w:val="16"/>
        </w:rPr>
        <w:t xml:space="preserve">Porcentaje de ingresos en concepto de tasas del </w:t>
      </w:r>
      <w:r w:rsidRPr="00362498">
        <w:rPr>
          <w:b/>
          <w:sz w:val="20"/>
          <w:szCs w:val="16"/>
        </w:rPr>
        <w:t xml:space="preserve">PCT / Total </w:t>
      </w:r>
      <w:r>
        <w:rPr>
          <w:b/>
          <w:sz w:val="20"/>
          <w:szCs w:val="16"/>
        </w:rPr>
        <w:t>de ingresos</w:t>
      </w:r>
      <w:r w:rsidR="00540685">
        <w:rPr>
          <w:b/>
          <w:sz w:val="20"/>
          <w:szCs w:val="16"/>
        </w:rPr>
        <w:br/>
      </w:r>
      <w:r>
        <w:rPr>
          <w:b/>
          <w:sz w:val="20"/>
          <w:szCs w:val="16"/>
        </w:rPr>
        <w:t xml:space="preserve">de </w:t>
      </w:r>
      <w:r w:rsidRPr="00362498">
        <w:rPr>
          <w:b/>
          <w:sz w:val="20"/>
          <w:szCs w:val="16"/>
        </w:rPr>
        <w:t xml:space="preserve">2004/05 </w:t>
      </w:r>
      <w:r>
        <w:rPr>
          <w:b/>
          <w:sz w:val="20"/>
          <w:szCs w:val="16"/>
        </w:rPr>
        <w:t xml:space="preserve">a </w:t>
      </w:r>
      <w:r w:rsidRPr="00362498">
        <w:rPr>
          <w:b/>
          <w:sz w:val="20"/>
          <w:szCs w:val="16"/>
        </w:rPr>
        <w:t>2016/17</w:t>
      </w:r>
    </w:p>
    <w:p w:rsidR="00A94E7D" w:rsidRPr="00362498" w:rsidRDefault="00A94E7D" w:rsidP="00A94E7D">
      <w:pPr>
        <w:keepNext/>
        <w:keepLines/>
        <w:widowControl w:val="0"/>
        <w:rPr>
          <w:sz w:val="20"/>
        </w:rPr>
      </w:pPr>
    </w:p>
    <w:p w:rsidR="00A94E7D" w:rsidRPr="00362498" w:rsidRDefault="006F6B72" w:rsidP="00A94E7D">
      <w:pPr>
        <w:keepNext/>
        <w:keepLines/>
        <w:widowControl w:val="0"/>
        <w:rPr>
          <w:sz w:val="18"/>
        </w:rPr>
      </w:pPr>
      <w:r w:rsidRPr="006F6B72">
        <w:rPr>
          <w:noProof/>
          <w:lang w:val="en-US" w:eastAsia="en-US"/>
        </w:rPr>
        <w:drawing>
          <wp:inline distT="0" distB="0" distL="0" distR="0" wp14:anchorId="68E22FE7" wp14:editId="48548EA7">
            <wp:extent cx="5940425" cy="3426552"/>
            <wp:effectExtent l="0" t="0" r="3175" b="2540"/>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0425" cy="3426552"/>
                    </a:xfrm>
                    <a:prstGeom prst="rect">
                      <a:avLst/>
                    </a:prstGeom>
                    <a:noFill/>
                    <a:ln>
                      <a:noFill/>
                    </a:ln>
                  </pic:spPr>
                </pic:pic>
              </a:graphicData>
            </a:graphic>
          </wp:inline>
        </w:drawing>
      </w:r>
    </w:p>
    <w:p w:rsidR="00A94E7D" w:rsidRPr="00362498" w:rsidRDefault="00A94E7D" w:rsidP="00A94E7D">
      <w:pPr>
        <w:keepNext/>
        <w:keepLines/>
        <w:widowControl w:val="0"/>
      </w:pPr>
    </w:p>
    <w:p w:rsidR="00272D37" w:rsidRPr="00A94E7D" w:rsidRDefault="00A94E7D" w:rsidP="00A94E7D">
      <w:pPr>
        <w:widowControl w:val="0"/>
        <w:tabs>
          <w:tab w:val="num" w:pos="690"/>
        </w:tabs>
        <w:rPr>
          <w:caps/>
          <w:sz w:val="20"/>
          <w:highlight w:val="lightGray"/>
        </w:rPr>
      </w:pPr>
      <w:r>
        <w:rPr>
          <w:sz w:val="20"/>
        </w:rPr>
        <w:t>En el Anexo III figuran las estimaciones de ingresos por Unión</w:t>
      </w:r>
      <w:r w:rsidRPr="00362498">
        <w:rPr>
          <w:caps/>
          <w:sz w:val="20"/>
        </w:rPr>
        <w:t>.</w:t>
      </w:r>
    </w:p>
    <w:p w:rsidR="00272D37" w:rsidRPr="00A94E7D" w:rsidRDefault="00272D37" w:rsidP="002E3E28">
      <w:pPr>
        <w:rPr>
          <w:szCs w:val="22"/>
          <w:highlight w:val="lightGray"/>
        </w:rPr>
        <w:sectPr w:rsidR="00272D37" w:rsidRPr="00A94E7D" w:rsidSect="009B7558">
          <w:headerReference w:type="even" r:id="rId25"/>
          <w:headerReference w:type="default" r:id="rId26"/>
          <w:footerReference w:type="even" r:id="rId27"/>
          <w:headerReference w:type="first" r:id="rId28"/>
          <w:footerReference w:type="first" r:id="rId29"/>
          <w:pgSz w:w="11907" w:h="16840" w:code="9"/>
          <w:pgMar w:top="567" w:right="1134" w:bottom="1134" w:left="1418" w:header="510" w:footer="1021" w:gutter="0"/>
          <w:pgNumType w:start="3"/>
          <w:cols w:space="720"/>
          <w:titlePg/>
          <w:docGrid w:linePitch="299"/>
        </w:sectPr>
      </w:pPr>
    </w:p>
    <w:p w:rsidR="00D332C7" w:rsidRPr="00BE7B0B" w:rsidRDefault="00F922F0" w:rsidP="00272D37">
      <w:pPr>
        <w:jc w:val="center"/>
        <w:rPr>
          <w:sz w:val="16"/>
          <w:szCs w:val="16"/>
          <w:highlight w:val="lightGray"/>
        </w:rPr>
      </w:pPr>
      <w:r w:rsidRPr="00BE7B0B">
        <w:rPr>
          <w:b/>
          <w:sz w:val="20"/>
        </w:rPr>
        <w:lastRenderedPageBreak/>
        <w:t xml:space="preserve">MARCO DE RESULTADOS Y PRESUPUESTO POR PROGRAMAS </w:t>
      </w:r>
      <w:r w:rsidR="0041743A" w:rsidRPr="00BE7B0B">
        <w:rPr>
          <w:b/>
          <w:sz w:val="20"/>
        </w:rPr>
        <w:t>DE</w:t>
      </w:r>
      <w:r w:rsidRPr="00BE7B0B">
        <w:rPr>
          <w:b/>
          <w:sz w:val="20"/>
        </w:rPr>
        <w:t xml:space="preserve"> 2016/17, INCLUIDA LA CUOTA </w:t>
      </w:r>
      <w:r w:rsidR="0041743A" w:rsidRPr="00BE7B0B">
        <w:rPr>
          <w:b/>
          <w:sz w:val="20"/>
        </w:rPr>
        <w:t>PARA E</w:t>
      </w:r>
      <w:r w:rsidRPr="00BE7B0B">
        <w:rPr>
          <w:b/>
          <w:sz w:val="20"/>
        </w:rPr>
        <w:t>L DESARROLLO, POR RESULTADO</w:t>
      </w:r>
      <w:r w:rsidRPr="00BE7B0B">
        <w:rPr>
          <w:b/>
          <w:sz w:val="20"/>
        </w:rPr>
        <w:br/>
      </w:r>
      <w:r w:rsidRPr="00BE7B0B">
        <w:rPr>
          <w:b/>
          <w:sz w:val="18"/>
        </w:rPr>
        <w:t xml:space="preserve"> (en miles de francos suizos)</w:t>
      </w:r>
      <w:r w:rsidR="00D20CE0" w:rsidRPr="00BE7B0B">
        <w:rPr>
          <w:b/>
          <w:sz w:val="18"/>
        </w:rPr>
        <w:br/>
      </w: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3041"/>
        <w:gridCol w:w="3046"/>
      </w:tblGrid>
      <w:tr w:rsidR="00F922F0" w:rsidRPr="00F922F0" w:rsidTr="00D609BF">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F922F0" w:rsidRPr="00F922F0" w:rsidRDefault="00F922F0" w:rsidP="00F922F0">
            <w:pPr>
              <w:tabs>
                <w:tab w:val="right" w:pos="2835"/>
              </w:tabs>
              <w:jc w:val="center"/>
              <w:rPr>
                <w:b/>
                <w:bCs/>
                <w:sz w:val="16"/>
                <w:szCs w:val="16"/>
              </w:rPr>
            </w:pPr>
            <w:r w:rsidRPr="00F922F0">
              <w:rPr>
                <w:b/>
                <w:bCs/>
                <w:sz w:val="16"/>
                <w:szCs w:val="16"/>
              </w:rPr>
              <w:t>Integración de la meta estratégica III - Facilitar el uso de la P.I. en aras del desarrollo y Agenda para el Desarrollo</w:t>
            </w:r>
          </w:p>
        </w:tc>
        <w:tc>
          <w:tcPr>
            <w:tcW w:w="21292" w:type="dxa"/>
            <w:gridSpan w:val="7"/>
            <w:tcBorders>
              <w:top w:val="single" w:sz="4" w:space="0" w:color="auto"/>
              <w:left w:val="single" w:sz="4" w:space="0" w:color="auto"/>
              <w:bottom w:val="single" w:sz="4" w:space="0" w:color="auto"/>
              <w:right w:val="single" w:sz="4" w:space="0" w:color="000000"/>
            </w:tcBorders>
            <w:shd w:val="clear" w:color="auto" w:fill="C6D9F1"/>
            <w:vAlign w:val="center"/>
          </w:tcPr>
          <w:p w:rsidR="00F922F0" w:rsidRPr="00F922F0" w:rsidRDefault="00F922F0" w:rsidP="00FB4929">
            <w:pPr>
              <w:tabs>
                <w:tab w:val="right" w:pos="2835"/>
              </w:tabs>
              <w:jc w:val="center"/>
              <w:rPr>
                <w:b/>
                <w:bCs/>
                <w:sz w:val="16"/>
                <w:szCs w:val="16"/>
              </w:rPr>
            </w:pPr>
            <w:r w:rsidRPr="00F922F0">
              <w:rPr>
                <w:b/>
                <w:bCs/>
                <w:sz w:val="16"/>
                <w:szCs w:val="16"/>
              </w:rPr>
              <w:t>Meta estratégica VIII</w:t>
            </w:r>
            <w:r w:rsidR="00FB4929">
              <w:rPr>
                <w:b/>
                <w:bCs/>
                <w:sz w:val="16"/>
                <w:szCs w:val="16"/>
              </w:rPr>
              <w:t xml:space="preserve">:  </w:t>
            </w:r>
            <w:r w:rsidRPr="00F922F0">
              <w:rPr>
                <w:b/>
                <w:bCs/>
                <w:sz w:val="16"/>
                <w:szCs w:val="16"/>
              </w:rPr>
              <w:t>Comunicación eficaz entre la OMPI, sus Estados miembros y todas las partes interesadas</w:t>
            </w:r>
          </w:p>
        </w:tc>
      </w:tr>
      <w:tr w:rsidR="00F922F0" w:rsidRPr="00F922F0" w:rsidTr="00BE7B0B">
        <w:trPr>
          <w:trHeight w:val="145"/>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3040" w:type="dxa"/>
            <w:tcBorders>
              <w:top w:val="nil"/>
              <w:left w:val="single" w:sz="4" w:space="0" w:color="auto"/>
              <w:bottom w:val="nil"/>
              <w:right w:val="nil"/>
            </w:tcBorders>
            <w:shd w:val="clear" w:color="auto" w:fill="auto"/>
            <w:vAlign w:val="center"/>
          </w:tcPr>
          <w:p w:rsidR="00F922F0" w:rsidRPr="00F922F0" w:rsidRDefault="00F922F0" w:rsidP="00F922F0">
            <w:pPr>
              <w:tabs>
                <w:tab w:val="right" w:pos="2835"/>
              </w:tabs>
              <w:jc w:val="center"/>
              <w:rPr>
                <w:sz w:val="15"/>
                <w:szCs w:val="15"/>
              </w:rPr>
            </w:pPr>
            <w:r w:rsidRPr="00F922F0">
              <w:rPr>
                <w:sz w:val="15"/>
                <w:szCs w:val="15"/>
              </w:rPr>
              <w:t> </w:t>
            </w:r>
          </w:p>
        </w:tc>
        <w:tc>
          <w:tcPr>
            <w:tcW w:w="3041" w:type="dxa"/>
            <w:tcBorders>
              <w:top w:val="nil"/>
              <w:left w:val="nil"/>
              <w:bottom w:val="nil"/>
              <w:right w:val="nil"/>
            </w:tcBorders>
            <w:shd w:val="clear" w:color="auto" w:fill="auto"/>
            <w:vAlign w:val="center"/>
          </w:tcPr>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VIII.1</w:t>
            </w:r>
            <w:r w:rsidR="008C3520">
              <w:rPr>
                <w:sz w:val="14"/>
                <w:szCs w:val="14"/>
              </w:rPr>
              <w:t xml:space="preserve">  </w:t>
            </w:r>
            <w:r w:rsidR="008C3520" w:rsidRPr="008C3520">
              <w:rPr>
                <w:sz w:val="14"/>
                <w:szCs w:val="14"/>
              </w:rPr>
              <w:t>Comunicación más eficaz con el público en general acerca de la P.I. y la función de la OMPI</w:t>
            </w:r>
          </w:p>
          <w:p w:rsidR="00F922F0" w:rsidRPr="00F922F0" w:rsidRDefault="00F922F0" w:rsidP="00F922F0">
            <w:pPr>
              <w:tabs>
                <w:tab w:val="left" w:pos="335"/>
                <w:tab w:val="right" w:pos="2173"/>
              </w:tabs>
              <w:rPr>
                <w:i/>
                <w:iCs/>
                <w:sz w:val="14"/>
                <w:szCs w:val="14"/>
              </w:rPr>
            </w:pPr>
            <w:r w:rsidRPr="00F922F0">
              <w:rPr>
                <w:i/>
                <w:iCs/>
                <w:sz w:val="14"/>
                <w:szCs w:val="14"/>
              </w:rPr>
              <w:tab/>
              <w:t>Presupuesto propuesto 16/17:</w:t>
            </w:r>
            <w:r w:rsidRPr="00F922F0">
              <w:rPr>
                <w:iCs/>
                <w:sz w:val="14"/>
                <w:szCs w:val="14"/>
              </w:rPr>
              <w:t xml:space="preserve"> </w:t>
            </w:r>
            <w:r w:rsidRPr="00F922F0">
              <w:rPr>
                <w:i/>
                <w:iCs/>
                <w:sz w:val="14"/>
                <w:szCs w:val="14"/>
              </w:rPr>
              <w:t>12.033</w:t>
            </w:r>
          </w:p>
          <w:p w:rsidR="00F922F0" w:rsidRPr="00F922F0" w:rsidRDefault="00F922F0" w:rsidP="00F922F0">
            <w:pPr>
              <w:tabs>
                <w:tab w:val="left" w:pos="348"/>
                <w:tab w:val="right" w:pos="2173"/>
              </w:tabs>
              <w:rPr>
                <w:i/>
                <w:iCs/>
                <w:sz w:val="14"/>
                <w:szCs w:val="14"/>
              </w:rPr>
            </w:pPr>
            <w:r w:rsidRPr="00F922F0">
              <w:rPr>
                <w:i/>
                <w:iCs/>
                <w:sz w:val="14"/>
                <w:szCs w:val="14"/>
              </w:rPr>
              <w:tab/>
            </w:r>
            <w:r w:rsidRPr="00F922F0">
              <w:rPr>
                <w:i/>
                <w:iCs/>
                <w:color w:val="0000FF"/>
                <w:sz w:val="14"/>
                <w:szCs w:val="14"/>
              </w:rPr>
              <w:t xml:space="preserve">Cuota </w:t>
            </w:r>
            <w:r w:rsidR="0041743A">
              <w:rPr>
                <w:i/>
                <w:iCs/>
                <w:color w:val="0000FF"/>
                <w:sz w:val="14"/>
                <w:szCs w:val="14"/>
              </w:rPr>
              <w:t>para el</w:t>
            </w:r>
            <w:r w:rsidRPr="00F922F0">
              <w:rPr>
                <w:i/>
                <w:iCs/>
                <w:color w:val="0000FF"/>
                <w:sz w:val="14"/>
                <w:szCs w:val="14"/>
              </w:rPr>
              <w:t xml:space="preserve"> desarrollo:</w:t>
            </w:r>
            <w:r>
              <w:rPr>
                <w:i/>
                <w:iCs/>
                <w:color w:val="0000FF"/>
                <w:sz w:val="14"/>
                <w:szCs w:val="14"/>
              </w:rPr>
              <w:tab/>
            </w:r>
            <w:r w:rsidR="009B12B3">
              <w:rPr>
                <w:i/>
                <w:iCs/>
                <w:color w:val="0000FF"/>
                <w:sz w:val="14"/>
                <w:szCs w:val="14"/>
              </w:rPr>
              <w:tab/>
            </w:r>
            <w:r w:rsidRPr="00F922F0">
              <w:rPr>
                <w:i/>
                <w:iCs/>
                <w:color w:val="0000FF"/>
                <w:sz w:val="14"/>
                <w:szCs w:val="14"/>
              </w:rPr>
              <w:t>4.268</w:t>
            </w:r>
          </w:p>
          <w:p w:rsidR="00F922F0" w:rsidRPr="00F922F0" w:rsidRDefault="00F922F0" w:rsidP="00F922F0">
            <w:pPr>
              <w:tabs>
                <w:tab w:val="right" w:pos="2835"/>
              </w:tabs>
              <w:rPr>
                <w:sz w:val="14"/>
                <w:szCs w:val="14"/>
              </w:rPr>
            </w:pPr>
          </w:p>
        </w:tc>
        <w:tc>
          <w:tcPr>
            <w:tcW w:w="3043" w:type="dxa"/>
            <w:tcBorders>
              <w:top w:val="nil"/>
              <w:left w:val="nil"/>
              <w:bottom w:val="nil"/>
              <w:right w:val="nil"/>
            </w:tcBorders>
            <w:shd w:val="clear" w:color="auto" w:fill="auto"/>
          </w:tcPr>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VIII.2</w:t>
            </w:r>
            <w:r w:rsidR="008C3520">
              <w:rPr>
                <w:sz w:val="14"/>
                <w:szCs w:val="14"/>
              </w:rPr>
              <w:t xml:space="preserve">  </w:t>
            </w:r>
            <w:r w:rsidR="008C3520" w:rsidRPr="008C3520">
              <w:rPr>
                <w:sz w:val="14"/>
                <w:szCs w:val="14"/>
              </w:rPr>
              <w:t>Mejora en la prestación de servicios y la atención de consultas</w:t>
            </w:r>
          </w:p>
          <w:p w:rsidR="00F922F0" w:rsidRPr="00F922F0" w:rsidRDefault="00F922F0" w:rsidP="00F922F0">
            <w:pPr>
              <w:tabs>
                <w:tab w:val="left" w:pos="325"/>
                <w:tab w:val="right" w:pos="2040"/>
              </w:tabs>
              <w:rPr>
                <w:i/>
                <w:iCs/>
                <w:sz w:val="14"/>
                <w:szCs w:val="14"/>
              </w:rPr>
            </w:pPr>
            <w:r w:rsidRPr="00F922F0">
              <w:rPr>
                <w:i/>
                <w:iCs/>
                <w:sz w:val="14"/>
                <w:szCs w:val="14"/>
              </w:rPr>
              <w:tab/>
            </w:r>
          </w:p>
          <w:p w:rsidR="00F922F0" w:rsidRPr="00F922F0" w:rsidRDefault="00F922F0" w:rsidP="001C77E2">
            <w:pPr>
              <w:tabs>
                <w:tab w:val="left" w:pos="325"/>
                <w:tab w:val="right" w:pos="2189"/>
              </w:tabs>
              <w:rPr>
                <w:sz w:val="14"/>
                <w:szCs w:val="14"/>
              </w:rPr>
            </w:pPr>
            <w:r w:rsidRPr="00F922F0">
              <w:rPr>
                <w:i/>
                <w:iCs/>
                <w:sz w:val="14"/>
                <w:szCs w:val="14"/>
              </w:rPr>
              <w:tab/>
              <w:t>Presupuesto propuesto 16/17:  6.219</w:t>
            </w: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Pr="001C77E2">
              <w:rPr>
                <w:i/>
                <w:iCs/>
                <w:color w:val="0000FF"/>
                <w:sz w:val="14"/>
                <w:szCs w:val="14"/>
              </w:rPr>
              <w:tab/>
            </w:r>
            <w:r w:rsidR="001C77E2" w:rsidRPr="001C77E2">
              <w:rPr>
                <w:i/>
                <w:iCs/>
                <w:color w:val="0000FF"/>
                <w:sz w:val="14"/>
                <w:szCs w:val="14"/>
              </w:rPr>
              <w:tab/>
            </w:r>
            <w:r w:rsidRPr="001C77E2">
              <w:rPr>
                <w:i/>
                <w:iCs/>
                <w:color w:val="0000FF"/>
                <w:sz w:val="14"/>
                <w:szCs w:val="14"/>
              </w:rPr>
              <w:t>2.779</w:t>
            </w:r>
          </w:p>
        </w:tc>
        <w:tc>
          <w:tcPr>
            <w:tcW w:w="3041" w:type="dxa"/>
            <w:tcBorders>
              <w:top w:val="nil"/>
              <w:left w:val="nil"/>
              <w:bottom w:val="nil"/>
              <w:right w:val="nil"/>
            </w:tcBorders>
            <w:shd w:val="clear" w:color="auto" w:fill="auto"/>
          </w:tcPr>
          <w:p w:rsidR="00F922F0" w:rsidRPr="00F922F0" w:rsidRDefault="00F922F0" w:rsidP="00F922F0">
            <w:pPr>
              <w:tabs>
                <w:tab w:val="right" w:pos="2835"/>
              </w:tabs>
              <w:rPr>
                <w:sz w:val="14"/>
                <w:szCs w:val="14"/>
              </w:rPr>
            </w:pPr>
          </w:p>
          <w:p w:rsidR="00F922F0" w:rsidRPr="00F922F0" w:rsidRDefault="008C3520" w:rsidP="00F922F0">
            <w:pPr>
              <w:tabs>
                <w:tab w:val="right" w:pos="2835"/>
              </w:tabs>
              <w:rPr>
                <w:sz w:val="14"/>
                <w:szCs w:val="14"/>
              </w:rPr>
            </w:pPr>
            <w:r>
              <w:rPr>
                <w:sz w:val="14"/>
                <w:szCs w:val="14"/>
              </w:rPr>
              <w:t xml:space="preserve">VIII.3 </w:t>
            </w:r>
            <w:r w:rsidR="00F922F0" w:rsidRPr="00F922F0">
              <w:rPr>
                <w:sz w:val="14"/>
                <w:szCs w:val="14"/>
              </w:rPr>
              <w:t xml:space="preserve"> </w:t>
            </w:r>
            <w:r w:rsidRPr="008C3520">
              <w:rPr>
                <w:sz w:val="14"/>
                <w:szCs w:val="14"/>
              </w:rPr>
              <w:t>Atención eficaz a los Estados miembros</w:t>
            </w:r>
          </w:p>
          <w:p w:rsidR="00F922F0" w:rsidRPr="00F922F0" w:rsidRDefault="00F922F0" w:rsidP="00F922F0">
            <w:pPr>
              <w:tabs>
                <w:tab w:val="left" w:pos="378"/>
                <w:tab w:val="right" w:pos="2040"/>
              </w:tabs>
              <w:rPr>
                <w:i/>
                <w:iCs/>
                <w:sz w:val="14"/>
                <w:szCs w:val="14"/>
              </w:rPr>
            </w:pPr>
            <w:r w:rsidRPr="00F922F0">
              <w:rPr>
                <w:i/>
                <w:iCs/>
                <w:sz w:val="14"/>
                <w:szCs w:val="14"/>
              </w:rPr>
              <w:tab/>
            </w:r>
          </w:p>
          <w:p w:rsidR="00F922F0" w:rsidRPr="00F922F0" w:rsidRDefault="00F922F0" w:rsidP="00F922F0">
            <w:pPr>
              <w:tabs>
                <w:tab w:val="left" w:pos="378"/>
                <w:tab w:val="right" w:pos="2040"/>
              </w:tabs>
              <w:rPr>
                <w:i/>
                <w:iCs/>
                <w:sz w:val="14"/>
                <w:szCs w:val="14"/>
              </w:rPr>
            </w:pPr>
            <w:r w:rsidRPr="00F922F0">
              <w:rPr>
                <w:i/>
                <w:iCs/>
                <w:sz w:val="14"/>
                <w:szCs w:val="14"/>
              </w:rPr>
              <w:tab/>
            </w:r>
          </w:p>
          <w:p w:rsidR="00F922F0" w:rsidRPr="00F922F0" w:rsidRDefault="00F922F0" w:rsidP="00F922F0">
            <w:pPr>
              <w:tabs>
                <w:tab w:val="left" w:pos="378"/>
                <w:tab w:val="right" w:pos="2205"/>
              </w:tabs>
              <w:rPr>
                <w:i/>
                <w:iCs/>
                <w:sz w:val="14"/>
                <w:szCs w:val="14"/>
              </w:rPr>
            </w:pPr>
            <w:r w:rsidRPr="00F922F0">
              <w:rPr>
                <w:i/>
                <w:iCs/>
                <w:sz w:val="14"/>
                <w:szCs w:val="14"/>
              </w:rPr>
              <w:tab/>
              <w:t>Presupuesto propuesto 16/17:</w:t>
            </w:r>
            <w:r w:rsidRPr="00F922F0">
              <w:rPr>
                <w:iCs/>
                <w:sz w:val="14"/>
                <w:szCs w:val="14"/>
              </w:rPr>
              <w:t xml:space="preserve"> </w:t>
            </w:r>
            <w:r w:rsidR="00AC50B8">
              <w:rPr>
                <w:iCs/>
                <w:sz w:val="14"/>
                <w:szCs w:val="14"/>
              </w:rPr>
              <w:t xml:space="preserve">      </w:t>
            </w:r>
            <w:r w:rsidRPr="00F922F0">
              <w:rPr>
                <w:i/>
                <w:iCs/>
                <w:sz w:val="14"/>
                <w:szCs w:val="14"/>
              </w:rPr>
              <w:t>7.099</w:t>
            </w:r>
          </w:p>
          <w:p w:rsidR="00F922F0" w:rsidRPr="00F922F0" w:rsidRDefault="00F922F0" w:rsidP="00F922F0">
            <w:pPr>
              <w:tabs>
                <w:tab w:val="left" w:pos="353"/>
                <w:tab w:val="right" w:pos="1938"/>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w:t>
            </w:r>
            <w:r w:rsidR="00AC50B8">
              <w:rPr>
                <w:i/>
                <w:iCs/>
                <w:color w:val="0000FF"/>
                <w:sz w:val="14"/>
                <w:szCs w:val="14"/>
              </w:rPr>
              <w:tab/>
            </w:r>
            <w:r w:rsidR="00AC50B8">
              <w:rPr>
                <w:i/>
                <w:iCs/>
                <w:color w:val="0000FF"/>
                <w:sz w:val="14"/>
                <w:szCs w:val="14"/>
              </w:rPr>
              <w:tab/>
            </w:r>
            <w:r w:rsidR="00AC50B8" w:rsidRPr="00AC50B8">
              <w:rPr>
                <w:i/>
                <w:iCs/>
                <w:color w:val="0000FF"/>
                <w:sz w:val="14"/>
                <w:szCs w:val="14"/>
              </w:rPr>
              <w:tab/>
            </w:r>
            <w:r w:rsidRPr="00AC50B8">
              <w:rPr>
                <w:i/>
                <w:iCs/>
                <w:color w:val="0000FF"/>
                <w:sz w:val="14"/>
                <w:szCs w:val="14"/>
              </w:rPr>
              <w:t>-</w:t>
            </w:r>
            <w:r w:rsidRPr="00F922F0">
              <w:rPr>
                <w:i/>
                <w:iCs/>
                <w:sz w:val="14"/>
                <w:szCs w:val="14"/>
              </w:rPr>
              <w:t xml:space="preserve">               </w:t>
            </w:r>
          </w:p>
        </w:tc>
        <w:tc>
          <w:tcPr>
            <w:tcW w:w="3040" w:type="dxa"/>
            <w:tcBorders>
              <w:top w:val="nil"/>
              <w:left w:val="nil"/>
              <w:bottom w:val="nil"/>
              <w:right w:val="nil"/>
            </w:tcBorders>
            <w:shd w:val="clear" w:color="auto" w:fill="auto"/>
          </w:tcPr>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r w:rsidRPr="00F922F0">
              <w:rPr>
                <w:sz w:val="14"/>
                <w:szCs w:val="14"/>
              </w:rPr>
              <w:t>VIII.4</w:t>
            </w:r>
            <w:r w:rsidR="008C3520">
              <w:rPr>
                <w:sz w:val="14"/>
                <w:szCs w:val="14"/>
              </w:rPr>
              <w:t xml:space="preserve">  </w:t>
            </w:r>
            <w:r w:rsidR="008C3520" w:rsidRPr="008C3520">
              <w:rPr>
                <w:sz w:val="14"/>
                <w:szCs w:val="14"/>
              </w:rPr>
              <w:t>Intercambios abiertos, transparentes y dinámicos con las partes interesadas no gubernamentales</w:t>
            </w:r>
          </w:p>
          <w:p w:rsidR="00F922F0" w:rsidRPr="00F922F0" w:rsidRDefault="00F922F0" w:rsidP="00F922F0">
            <w:pPr>
              <w:tabs>
                <w:tab w:val="left" w:pos="368"/>
                <w:tab w:val="right" w:pos="2040"/>
              </w:tabs>
              <w:rPr>
                <w:i/>
                <w:iCs/>
                <w:sz w:val="14"/>
                <w:szCs w:val="14"/>
              </w:rPr>
            </w:pPr>
            <w:r w:rsidRPr="00F922F0">
              <w:rPr>
                <w:i/>
                <w:iCs/>
                <w:sz w:val="14"/>
                <w:szCs w:val="14"/>
              </w:rPr>
              <w:tab/>
            </w:r>
          </w:p>
          <w:p w:rsidR="00F922F0" w:rsidRPr="00F922F0" w:rsidRDefault="00F922F0" w:rsidP="005843E3">
            <w:pPr>
              <w:tabs>
                <w:tab w:val="left" w:pos="368"/>
                <w:tab w:val="right" w:pos="2221"/>
                <w:tab w:val="right" w:pos="2673"/>
              </w:tabs>
              <w:rPr>
                <w:i/>
                <w:iCs/>
                <w:sz w:val="14"/>
                <w:szCs w:val="14"/>
              </w:rPr>
            </w:pPr>
            <w:r w:rsidRPr="00F922F0">
              <w:rPr>
                <w:i/>
                <w:iCs/>
                <w:sz w:val="14"/>
                <w:szCs w:val="14"/>
              </w:rPr>
              <w:tab/>
              <w:t>Presupuesto propuesto 16/17:</w:t>
            </w:r>
            <w:r w:rsidRPr="00F922F0">
              <w:rPr>
                <w:iCs/>
                <w:sz w:val="14"/>
                <w:szCs w:val="14"/>
              </w:rPr>
              <w:t xml:space="preserve"> </w:t>
            </w:r>
            <w:r w:rsidR="005843E3">
              <w:rPr>
                <w:iCs/>
                <w:sz w:val="14"/>
                <w:szCs w:val="14"/>
              </w:rPr>
              <w:tab/>
            </w:r>
            <w:r w:rsidRPr="00F922F0">
              <w:rPr>
                <w:i/>
                <w:iCs/>
                <w:sz w:val="14"/>
                <w:szCs w:val="14"/>
              </w:rPr>
              <w:t>1.128</w:t>
            </w:r>
          </w:p>
          <w:p w:rsidR="00F922F0" w:rsidRPr="00F922F0" w:rsidRDefault="00F922F0" w:rsidP="005843E3">
            <w:pPr>
              <w:tabs>
                <w:tab w:val="left" w:pos="368"/>
                <w:tab w:val="right" w:pos="1955"/>
                <w:tab w:val="right" w:pos="2643"/>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6717D">
              <w:rPr>
                <w:i/>
                <w:iCs/>
                <w:color w:val="0000FF"/>
                <w:sz w:val="14"/>
                <w:szCs w:val="14"/>
              </w:rPr>
              <w:t>:</w:t>
            </w:r>
            <w:r w:rsidR="005843E3" w:rsidRPr="00F6717D">
              <w:rPr>
                <w:i/>
                <w:iCs/>
                <w:color w:val="0000FF"/>
                <w:sz w:val="14"/>
                <w:szCs w:val="14"/>
              </w:rPr>
              <w:tab/>
            </w:r>
            <w:r w:rsidR="005843E3" w:rsidRPr="00F6717D">
              <w:rPr>
                <w:i/>
                <w:iCs/>
                <w:color w:val="0000FF"/>
                <w:sz w:val="14"/>
                <w:szCs w:val="14"/>
              </w:rPr>
              <w:tab/>
            </w:r>
            <w:r w:rsidRPr="00F6717D">
              <w:rPr>
                <w:i/>
                <w:iCs/>
                <w:color w:val="0000FF"/>
                <w:sz w:val="14"/>
                <w:szCs w:val="14"/>
              </w:rPr>
              <w:t>-</w:t>
            </w:r>
          </w:p>
        </w:tc>
        <w:tc>
          <w:tcPr>
            <w:tcW w:w="3041" w:type="dxa"/>
            <w:tcBorders>
              <w:top w:val="nil"/>
              <w:left w:val="nil"/>
              <w:bottom w:val="nil"/>
              <w:right w:val="nil"/>
            </w:tcBorders>
            <w:shd w:val="clear" w:color="auto" w:fill="auto"/>
          </w:tcPr>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VIII.5</w:t>
            </w:r>
            <w:r w:rsidR="008C3520">
              <w:rPr>
                <w:sz w:val="14"/>
                <w:szCs w:val="14"/>
              </w:rPr>
              <w:t xml:space="preserve"> </w:t>
            </w:r>
            <w:r w:rsidRPr="00F922F0">
              <w:rPr>
                <w:sz w:val="14"/>
                <w:szCs w:val="14"/>
              </w:rPr>
              <w:t xml:space="preserve"> </w:t>
            </w:r>
            <w:r w:rsidR="008C3520" w:rsidRPr="008C3520">
              <w:rPr>
                <w:sz w:val="14"/>
                <w:szCs w:val="14"/>
              </w:rPr>
              <w:t>La OMPI participa y colabora eficazmente en los procesos y negociaciones de las NN.UU. y otras OIG</w:t>
            </w:r>
          </w:p>
          <w:p w:rsidR="00F922F0" w:rsidRPr="00F922F0" w:rsidRDefault="00F922F0" w:rsidP="00F6717D">
            <w:pPr>
              <w:tabs>
                <w:tab w:val="left" w:pos="397"/>
                <w:tab w:val="right" w:pos="2694"/>
              </w:tabs>
              <w:rPr>
                <w:i/>
                <w:iCs/>
                <w:sz w:val="14"/>
                <w:szCs w:val="14"/>
              </w:rPr>
            </w:pPr>
            <w:r w:rsidRPr="00F922F0">
              <w:rPr>
                <w:i/>
                <w:iCs/>
                <w:sz w:val="14"/>
                <w:szCs w:val="14"/>
              </w:rPr>
              <w:tab/>
              <w:t>Presupuesto propuesto 16/17:</w:t>
            </w:r>
            <w:r w:rsidRPr="00F922F0">
              <w:rPr>
                <w:iCs/>
                <w:sz w:val="14"/>
                <w:szCs w:val="14"/>
              </w:rPr>
              <w:t xml:space="preserve"> </w:t>
            </w:r>
            <w:r w:rsidR="00F6717D">
              <w:rPr>
                <w:iCs/>
                <w:sz w:val="14"/>
                <w:szCs w:val="14"/>
              </w:rPr>
              <w:tab/>
            </w:r>
            <w:r w:rsidRPr="00F922F0">
              <w:rPr>
                <w:i/>
                <w:iCs/>
                <w:sz w:val="14"/>
                <w:szCs w:val="14"/>
              </w:rPr>
              <w:t>6.196</w:t>
            </w:r>
          </w:p>
          <w:p w:rsidR="00F922F0" w:rsidRPr="00F922F0" w:rsidRDefault="00F922F0" w:rsidP="00F6717D">
            <w:pPr>
              <w:tabs>
                <w:tab w:val="left" w:pos="409"/>
                <w:tab w:val="right" w:pos="2694"/>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6717D">
              <w:rPr>
                <w:i/>
                <w:iCs/>
                <w:color w:val="0000FF"/>
                <w:sz w:val="14"/>
                <w:szCs w:val="14"/>
              </w:rPr>
              <w:t xml:space="preserve">: </w:t>
            </w:r>
            <w:r w:rsidR="00F6717D" w:rsidRPr="00F6717D">
              <w:rPr>
                <w:i/>
                <w:iCs/>
                <w:color w:val="0000FF"/>
                <w:sz w:val="14"/>
                <w:szCs w:val="14"/>
              </w:rPr>
              <w:tab/>
            </w:r>
            <w:r w:rsidRPr="00F6717D">
              <w:rPr>
                <w:i/>
                <w:iCs/>
                <w:color w:val="0000FF"/>
                <w:sz w:val="14"/>
                <w:szCs w:val="14"/>
              </w:rPr>
              <w:t>3.784</w:t>
            </w:r>
          </w:p>
        </w:tc>
        <w:tc>
          <w:tcPr>
            <w:tcW w:w="3046" w:type="dxa"/>
            <w:tcBorders>
              <w:top w:val="nil"/>
              <w:left w:val="nil"/>
              <w:bottom w:val="nil"/>
              <w:right w:val="single" w:sz="4" w:space="0" w:color="auto"/>
            </w:tcBorders>
            <w:shd w:val="clear" w:color="auto" w:fill="auto"/>
            <w:vAlign w:val="bottom"/>
          </w:tcPr>
          <w:p w:rsidR="00F922F0" w:rsidRPr="00F922F0" w:rsidRDefault="00F922F0" w:rsidP="00F922F0">
            <w:pPr>
              <w:tabs>
                <w:tab w:val="right" w:pos="2253"/>
              </w:tabs>
              <w:rPr>
                <w:i/>
                <w:iCs/>
                <w:sz w:val="14"/>
                <w:szCs w:val="14"/>
              </w:rPr>
            </w:pPr>
            <w:r w:rsidRPr="00F922F0">
              <w:rPr>
                <w:i/>
                <w:iCs/>
                <w:sz w:val="14"/>
                <w:szCs w:val="14"/>
              </w:rPr>
              <w:t>Total del presupuesto propuesto, meta VIII:</w:t>
            </w:r>
            <w:r w:rsidR="00740337">
              <w:rPr>
                <w:i/>
                <w:iCs/>
                <w:sz w:val="14"/>
                <w:szCs w:val="14"/>
              </w:rPr>
              <w:tab/>
              <w:t>32.675</w:t>
            </w:r>
          </w:p>
          <w:p w:rsidR="00F922F0" w:rsidRPr="00740337" w:rsidRDefault="00F922F0" w:rsidP="00F922F0">
            <w:pPr>
              <w:tabs>
                <w:tab w:val="right" w:pos="2350"/>
              </w:tabs>
              <w:rPr>
                <w:i/>
                <w:iCs/>
                <w:color w:val="0000FF"/>
                <w:sz w:val="14"/>
                <w:szCs w:val="14"/>
              </w:rPr>
            </w:pPr>
            <w:r w:rsidRPr="00740337">
              <w:rPr>
                <w:i/>
                <w:iCs/>
                <w:color w:val="0000FF"/>
                <w:sz w:val="14"/>
                <w:szCs w:val="14"/>
              </w:rPr>
              <w:t>Tota</w:t>
            </w:r>
            <w:r w:rsidR="0041743A">
              <w:rPr>
                <w:i/>
                <w:iCs/>
                <w:color w:val="0000FF"/>
                <w:sz w:val="14"/>
                <w:szCs w:val="14"/>
              </w:rPr>
              <w:t>l</w:t>
            </w:r>
            <w:r w:rsidRPr="00740337">
              <w:rPr>
                <w:i/>
                <w:iCs/>
                <w:color w:val="0000FF"/>
                <w:sz w:val="14"/>
                <w:szCs w:val="14"/>
              </w:rPr>
              <w:t xml:space="preserve"> cuota</w:t>
            </w:r>
            <w:r w:rsidR="0041743A">
              <w:rPr>
                <w:i/>
                <w:iCs/>
                <w:color w:val="0000FF"/>
                <w:sz w:val="14"/>
                <w:szCs w:val="14"/>
              </w:rPr>
              <w:t xml:space="preserve"> p/desarrollo</w:t>
            </w:r>
            <w:r w:rsidRPr="00740337">
              <w:rPr>
                <w:i/>
                <w:iCs/>
                <w:color w:val="0000FF"/>
                <w:sz w:val="14"/>
                <w:szCs w:val="14"/>
              </w:rPr>
              <w:t xml:space="preserve">, meta VIII: </w:t>
            </w:r>
            <w:r w:rsidR="00740337">
              <w:rPr>
                <w:i/>
                <w:iCs/>
                <w:color w:val="0000FF"/>
                <w:sz w:val="14"/>
                <w:szCs w:val="14"/>
              </w:rPr>
              <w:tab/>
            </w:r>
            <w:r w:rsidRPr="00740337">
              <w:rPr>
                <w:i/>
                <w:iCs/>
                <w:color w:val="0000FF"/>
                <w:sz w:val="14"/>
                <w:szCs w:val="14"/>
              </w:rPr>
              <w:t>10.831</w:t>
            </w:r>
          </w:p>
          <w:p w:rsidR="00F922F0" w:rsidRPr="00F922F0" w:rsidRDefault="00F922F0" w:rsidP="00F922F0">
            <w:pPr>
              <w:tabs>
                <w:tab w:val="right" w:pos="2350"/>
              </w:tabs>
              <w:rPr>
                <w:i/>
                <w:iCs/>
                <w:sz w:val="14"/>
                <w:szCs w:val="14"/>
              </w:rPr>
            </w:pPr>
          </w:p>
        </w:tc>
      </w:tr>
      <w:tr w:rsidR="00F922F0" w:rsidRPr="00F922F0" w:rsidTr="00BE7B0B">
        <w:trPr>
          <w:trHeight w:val="883"/>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3040" w:type="dxa"/>
            <w:tcBorders>
              <w:top w:val="single" w:sz="4" w:space="0" w:color="auto"/>
              <w:left w:val="single" w:sz="4" w:space="0" w:color="auto"/>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I:</w:t>
            </w:r>
          </w:p>
          <w:p w:rsidR="00F922F0" w:rsidRPr="00F922F0" w:rsidRDefault="00F922F0" w:rsidP="00F922F0">
            <w:pPr>
              <w:tabs>
                <w:tab w:val="right" w:pos="2835"/>
              </w:tabs>
              <w:jc w:val="center"/>
              <w:rPr>
                <w:b/>
                <w:bCs/>
                <w:sz w:val="16"/>
                <w:szCs w:val="16"/>
              </w:rPr>
            </w:pPr>
            <w:r w:rsidRPr="00F922F0">
              <w:rPr>
                <w:b/>
                <w:bCs/>
                <w:sz w:val="16"/>
                <w:szCs w:val="16"/>
              </w:rPr>
              <w:t>Evolución equilibrada del marco normativo internacional de P.I.</w:t>
            </w:r>
          </w:p>
          <w:p w:rsidR="00F922F0" w:rsidRPr="00F922F0" w:rsidRDefault="00F922F0" w:rsidP="00F922F0">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II:</w:t>
            </w:r>
          </w:p>
          <w:p w:rsidR="00F922F0" w:rsidRPr="00F922F0" w:rsidRDefault="00F922F0" w:rsidP="00F922F0">
            <w:pPr>
              <w:tabs>
                <w:tab w:val="right" w:pos="2835"/>
              </w:tabs>
              <w:jc w:val="center"/>
              <w:rPr>
                <w:b/>
                <w:bCs/>
                <w:sz w:val="16"/>
                <w:szCs w:val="16"/>
              </w:rPr>
            </w:pPr>
            <w:r w:rsidRPr="00F922F0">
              <w:rPr>
                <w:b/>
                <w:bCs/>
                <w:sz w:val="16"/>
                <w:szCs w:val="16"/>
              </w:rPr>
              <w:t>Prestación de servicios mundiales de P.I. de calidad</w:t>
            </w:r>
          </w:p>
          <w:p w:rsidR="00F922F0" w:rsidRPr="00F922F0" w:rsidRDefault="00F922F0" w:rsidP="00F922F0">
            <w:pPr>
              <w:tabs>
                <w:tab w:val="right" w:pos="2835"/>
              </w:tabs>
              <w:jc w:val="center"/>
              <w:rPr>
                <w:b/>
                <w:bCs/>
                <w:sz w:val="16"/>
                <w:szCs w:val="16"/>
              </w:rPr>
            </w:pPr>
          </w:p>
        </w:tc>
        <w:tc>
          <w:tcPr>
            <w:tcW w:w="3043"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III:</w:t>
            </w:r>
          </w:p>
          <w:p w:rsidR="00F922F0" w:rsidRPr="00F922F0" w:rsidRDefault="00F922F0" w:rsidP="00F922F0">
            <w:pPr>
              <w:tabs>
                <w:tab w:val="right" w:pos="2835"/>
              </w:tabs>
              <w:jc w:val="center"/>
              <w:rPr>
                <w:b/>
                <w:bCs/>
                <w:sz w:val="16"/>
                <w:szCs w:val="16"/>
              </w:rPr>
            </w:pPr>
            <w:r w:rsidRPr="00F922F0">
              <w:rPr>
                <w:b/>
                <w:bCs/>
                <w:sz w:val="16"/>
                <w:szCs w:val="16"/>
              </w:rPr>
              <w:t xml:space="preserve">Facilitar el uso de la P.I. en aras del desarrollo </w:t>
            </w:r>
          </w:p>
          <w:p w:rsidR="00F922F0" w:rsidRPr="00F922F0" w:rsidRDefault="00F922F0" w:rsidP="00F922F0">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IV:</w:t>
            </w:r>
          </w:p>
          <w:p w:rsidR="00F922F0" w:rsidRPr="00F922F0" w:rsidRDefault="00F922F0" w:rsidP="00F922F0">
            <w:pPr>
              <w:tabs>
                <w:tab w:val="right" w:pos="2835"/>
              </w:tabs>
              <w:jc w:val="center"/>
              <w:rPr>
                <w:b/>
                <w:bCs/>
                <w:sz w:val="16"/>
                <w:szCs w:val="16"/>
              </w:rPr>
            </w:pPr>
            <w:r w:rsidRPr="00F922F0">
              <w:rPr>
                <w:b/>
                <w:bCs/>
                <w:sz w:val="16"/>
                <w:szCs w:val="16"/>
              </w:rPr>
              <w:t>Coordinación y desarrollo de la infraestructura mundial de P.I.</w:t>
            </w:r>
          </w:p>
          <w:p w:rsidR="00F922F0" w:rsidRPr="00F922F0" w:rsidRDefault="00F922F0" w:rsidP="00F922F0">
            <w:pPr>
              <w:tabs>
                <w:tab w:val="right" w:pos="2835"/>
              </w:tabs>
              <w:jc w:val="center"/>
              <w:rPr>
                <w:b/>
                <w:bCs/>
                <w:sz w:val="16"/>
                <w:szCs w:val="16"/>
              </w:rPr>
            </w:pPr>
          </w:p>
        </w:tc>
        <w:tc>
          <w:tcPr>
            <w:tcW w:w="3040"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p>
          <w:p w:rsidR="00F922F0" w:rsidRPr="00F922F0" w:rsidRDefault="00F922F0" w:rsidP="00F922F0">
            <w:pPr>
              <w:tabs>
                <w:tab w:val="right" w:pos="2835"/>
              </w:tabs>
              <w:jc w:val="center"/>
              <w:rPr>
                <w:b/>
                <w:bCs/>
                <w:sz w:val="16"/>
                <w:szCs w:val="16"/>
              </w:rPr>
            </w:pPr>
            <w:r w:rsidRPr="00F922F0">
              <w:rPr>
                <w:b/>
                <w:bCs/>
                <w:sz w:val="16"/>
                <w:szCs w:val="16"/>
              </w:rPr>
              <w:t>Meta estratégica V:</w:t>
            </w:r>
          </w:p>
          <w:p w:rsidR="00F922F0" w:rsidRPr="00F922F0" w:rsidRDefault="00F922F0" w:rsidP="00F922F0">
            <w:pPr>
              <w:tabs>
                <w:tab w:val="right" w:pos="2835"/>
              </w:tabs>
              <w:jc w:val="center"/>
              <w:rPr>
                <w:b/>
                <w:bCs/>
                <w:sz w:val="16"/>
                <w:szCs w:val="16"/>
              </w:rPr>
            </w:pPr>
            <w:r w:rsidRPr="00F922F0">
              <w:rPr>
                <w:b/>
                <w:bCs/>
                <w:sz w:val="16"/>
                <w:szCs w:val="16"/>
              </w:rPr>
              <w:t xml:space="preserve">Fuente de referencia en el mundo de información y análisis en materia de P.I. </w:t>
            </w:r>
          </w:p>
          <w:p w:rsidR="00F922F0" w:rsidRPr="00F922F0" w:rsidRDefault="00F922F0" w:rsidP="00F922F0">
            <w:pPr>
              <w:tabs>
                <w:tab w:val="right" w:pos="2835"/>
              </w:tabs>
              <w:jc w:val="center"/>
              <w:rPr>
                <w:b/>
                <w:bCs/>
                <w:sz w:val="16"/>
                <w:szCs w:val="16"/>
              </w:rPr>
            </w:pPr>
          </w:p>
        </w:tc>
        <w:tc>
          <w:tcPr>
            <w:tcW w:w="3041"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VI:</w:t>
            </w:r>
          </w:p>
          <w:p w:rsidR="00F922F0" w:rsidRPr="00F922F0" w:rsidRDefault="00F922F0" w:rsidP="00F922F0">
            <w:pPr>
              <w:tabs>
                <w:tab w:val="right" w:pos="2835"/>
              </w:tabs>
              <w:jc w:val="center"/>
              <w:rPr>
                <w:b/>
                <w:bCs/>
                <w:sz w:val="16"/>
                <w:szCs w:val="16"/>
              </w:rPr>
            </w:pPr>
            <w:r w:rsidRPr="00F922F0">
              <w:rPr>
                <w:b/>
                <w:bCs/>
                <w:sz w:val="16"/>
                <w:szCs w:val="16"/>
              </w:rPr>
              <w:t>Cooperación internacional para cultivar el respeto por la P.I.</w:t>
            </w:r>
          </w:p>
          <w:p w:rsidR="00F922F0" w:rsidRPr="00F922F0" w:rsidRDefault="00F922F0" w:rsidP="00F922F0">
            <w:pPr>
              <w:tabs>
                <w:tab w:val="right" w:pos="2835"/>
              </w:tabs>
              <w:jc w:val="center"/>
              <w:rPr>
                <w:b/>
                <w:bCs/>
                <w:sz w:val="16"/>
                <w:szCs w:val="16"/>
              </w:rPr>
            </w:pPr>
          </w:p>
        </w:tc>
        <w:tc>
          <w:tcPr>
            <w:tcW w:w="3046" w:type="dxa"/>
            <w:tcBorders>
              <w:top w:val="single" w:sz="4" w:space="0" w:color="auto"/>
              <w:left w:val="nil"/>
              <w:bottom w:val="single" w:sz="4" w:space="0" w:color="auto"/>
              <w:right w:val="single" w:sz="4" w:space="0" w:color="auto"/>
            </w:tcBorders>
            <w:shd w:val="clear" w:color="auto" w:fill="C6D9F1"/>
            <w:vAlign w:val="center"/>
          </w:tcPr>
          <w:p w:rsidR="00F922F0" w:rsidRPr="00F922F0" w:rsidRDefault="00F922F0" w:rsidP="00F922F0">
            <w:pPr>
              <w:tabs>
                <w:tab w:val="right" w:pos="2835"/>
              </w:tabs>
              <w:jc w:val="center"/>
              <w:rPr>
                <w:b/>
                <w:bCs/>
                <w:sz w:val="16"/>
                <w:szCs w:val="16"/>
              </w:rPr>
            </w:pPr>
            <w:r w:rsidRPr="00F922F0">
              <w:rPr>
                <w:b/>
                <w:bCs/>
                <w:sz w:val="16"/>
                <w:szCs w:val="16"/>
              </w:rPr>
              <w:t>Meta estratégica VII:</w:t>
            </w:r>
          </w:p>
          <w:p w:rsidR="00F922F0" w:rsidRPr="00F922F0" w:rsidRDefault="00F922F0" w:rsidP="00F922F0">
            <w:pPr>
              <w:tabs>
                <w:tab w:val="right" w:pos="2835"/>
              </w:tabs>
              <w:jc w:val="center"/>
              <w:rPr>
                <w:b/>
                <w:bCs/>
                <w:sz w:val="16"/>
                <w:szCs w:val="16"/>
              </w:rPr>
            </w:pPr>
            <w:r w:rsidRPr="00F922F0">
              <w:rPr>
                <w:b/>
                <w:bCs/>
                <w:sz w:val="16"/>
                <w:szCs w:val="16"/>
              </w:rPr>
              <w:t>Vínculos entre la P.I. y los problemas mundiales de política pública</w:t>
            </w:r>
          </w:p>
          <w:p w:rsidR="00F922F0" w:rsidRPr="00F922F0" w:rsidRDefault="00F922F0" w:rsidP="00F922F0">
            <w:pPr>
              <w:tabs>
                <w:tab w:val="right" w:pos="2835"/>
              </w:tabs>
              <w:jc w:val="center"/>
              <w:rPr>
                <w:b/>
                <w:bCs/>
                <w:sz w:val="16"/>
                <w:szCs w:val="16"/>
              </w:rPr>
            </w:pPr>
          </w:p>
        </w:tc>
      </w:tr>
      <w:tr w:rsidR="00F922F0" w:rsidRPr="00F922F0" w:rsidTr="00BE7B0B">
        <w:trPr>
          <w:trHeight w:val="145"/>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3040" w:type="dxa"/>
            <w:tcBorders>
              <w:top w:val="nil"/>
              <w:left w:val="single" w:sz="4" w:space="0" w:color="auto"/>
              <w:right w:val="nil"/>
            </w:tcBorders>
            <w:shd w:val="clear" w:color="auto" w:fill="auto"/>
          </w:tcPr>
          <w:p w:rsidR="00F922F0" w:rsidRPr="00F922F0" w:rsidRDefault="00BF4D0F" w:rsidP="00F922F0">
            <w:pPr>
              <w:tabs>
                <w:tab w:val="left" w:pos="307"/>
                <w:tab w:val="left" w:pos="2157"/>
                <w:tab w:val="right" w:pos="2835"/>
              </w:tabs>
              <w:rPr>
                <w:sz w:val="14"/>
                <w:szCs w:val="14"/>
              </w:rPr>
            </w:pPr>
            <w:r>
              <w:rPr>
                <w:sz w:val="14"/>
                <w:szCs w:val="14"/>
              </w:rPr>
              <w:t xml:space="preserve">I.1 </w:t>
            </w:r>
            <w:r w:rsidR="00F922F0" w:rsidRPr="00F922F0">
              <w:rPr>
                <w:sz w:val="14"/>
                <w:szCs w:val="14"/>
              </w:rPr>
              <w:t xml:space="preserve"> </w:t>
            </w:r>
            <w:r w:rsidRPr="00BF4D0F">
              <w:rPr>
                <w:sz w:val="14"/>
                <w:szCs w:val="14"/>
              </w:rPr>
              <w:t>Mayor cooperación entre los Estados miembros en la elaboración de marcos normativos internacionales de P.I. equilibrados</w:t>
            </w:r>
          </w:p>
          <w:p w:rsidR="00F922F0" w:rsidRPr="00F922F0" w:rsidRDefault="00F922F0" w:rsidP="00F922F0">
            <w:pPr>
              <w:tabs>
                <w:tab w:val="left" w:pos="307"/>
                <w:tab w:val="left" w:pos="2157"/>
                <w:tab w:val="right" w:pos="2835"/>
              </w:tabs>
              <w:rPr>
                <w:sz w:val="14"/>
                <w:szCs w:val="14"/>
              </w:rPr>
            </w:pPr>
          </w:p>
          <w:p w:rsidR="00F922F0" w:rsidRPr="00F922F0" w:rsidRDefault="00F922F0" w:rsidP="00F922F0">
            <w:pPr>
              <w:tabs>
                <w:tab w:val="left" w:pos="307"/>
                <w:tab w:val="left" w:pos="2157"/>
                <w:tab w:val="right" w:pos="2835"/>
              </w:tabs>
              <w:rPr>
                <w:i/>
                <w:iCs/>
                <w:sz w:val="14"/>
                <w:szCs w:val="14"/>
              </w:rPr>
            </w:pPr>
            <w:r w:rsidRPr="00F922F0">
              <w:rPr>
                <w:i/>
                <w:iCs/>
                <w:sz w:val="14"/>
                <w:szCs w:val="14"/>
              </w:rPr>
              <w:tab/>
              <w:t>Presupuesto propuesto 16/17:</w:t>
            </w:r>
            <w:r w:rsidR="009B12B3">
              <w:rPr>
                <w:iCs/>
                <w:sz w:val="14"/>
                <w:szCs w:val="14"/>
              </w:rPr>
              <w:tab/>
            </w:r>
            <w:r w:rsidRPr="00F922F0">
              <w:rPr>
                <w:i/>
                <w:iCs/>
                <w:sz w:val="14"/>
                <w:szCs w:val="14"/>
              </w:rPr>
              <w:t>13.976</w:t>
            </w:r>
          </w:p>
          <w:p w:rsidR="00F922F0" w:rsidRPr="00F922F0" w:rsidRDefault="00F922F0" w:rsidP="00F922F0">
            <w:pPr>
              <w:tabs>
                <w:tab w:val="left" w:pos="319"/>
                <w:tab w:val="left" w:pos="2157"/>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 xml:space="preserve">: </w:t>
            </w:r>
            <w:r w:rsidR="009B12B3">
              <w:rPr>
                <w:i/>
                <w:iCs/>
                <w:color w:val="0000FF"/>
                <w:sz w:val="14"/>
                <w:szCs w:val="14"/>
              </w:rPr>
              <w:tab/>
            </w:r>
            <w:r w:rsidR="009B12B3">
              <w:rPr>
                <w:i/>
                <w:iCs/>
                <w:color w:val="0000FF"/>
                <w:sz w:val="14"/>
                <w:szCs w:val="14"/>
              </w:rPr>
              <w:tab/>
            </w:r>
            <w:r w:rsidRPr="00F922F0">
              <w:rPr>
                <w:i/>
                <w:iCs/>
                <w:color w:val="0000FF"/>
                <w:sz w:val="14"/>
                <w:szCs w:val="14"/>
              </w:rPr>
              <w:t>8.712</w:t>
            </w:r>
            <w:r w:rsidRPr="00F922F0">
              <w:rPr>
                <w:i/>
                <w:iCs/>
                <w:color w:val="0000FF"/>
                <w:sz w:val="14"/>
                <w:szCs w:val="14"/>
              </w:rPr>
              <w:tab/>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 xml:space="preserve">I.2. </w:t>
            </w:r>
            <w:r w:rsidR="00BF4D0F" w:rsidRPr="00BF4D0F">
              <w:rPr>
                <w:sz w:val="14"/>
                <w:szCs w:val="14"/>
              </w:rPr>
              <w:t>Marcos de P.I. adaptados y equilibrados en el ámbito legislativo, regulador y de política</w:t>
            </w:r>
          </w:p>
          <w:p w:rsidR="00F922F0" w:rsidRPr="00F922F0" w:rsidRDefault="00F922F0" w:rsidP="00F922F0">
            <w:pPr>
              <w:tabs>
                <w:tab w:val="left" w:pos="307"/>
                <w:tab w:val="left" w:pos="2157"/>
                <w:tab w:val="right" w:pos="2835"/>
              </w:tabs>
              <w:rPr>
                <w:i/>
                <w:iCs/>
                <w:sz w:val="14"/>
                <w:szCs w:val="14"/>
              </w:rPr>
            </w:pPr>
            <w:r w:rsidRPr="00F922F0">
              <w:rPr>
                <w:i/>
                <w:iCs/>
                <w:sz w:val="14"/>
                <w:szCs w:val="14"/>
              </w:rPr>
              <w:tab/>
              <w:t>Presupuesto propuesto 16/17:</w:t>
            </w:r>
            <w:r w:rsidRPr="00F922F0">
              <w:rPr>
                <w:iCs/>
                <w:sz w:val="14"/>
                <w:szCs w:val="14"/>
              </w:rPr>
              <w:t xml:space="preserve"> </w:t>
            </w:r>
            <w:r>
              <w:rPr>
                <w:iCs/>
                <w:sz w:val="14"/>
                <w:szCs w:val="14"/>
              </w:rPr>
              <w:t xml:space="preserve"> </w:t>
            </w:r>
            <w:r w:rsidR="009B12B3">
              <w:rPr>
                <w:iCs/>
                <w:sz w:val="14"/>
                <w:szCs w:val="14"/>
              </w:rPr>
              <w:tab/>
            </w:r>
            <w:r w:rsidRPr="00F922F0">
              <w:rPr>
                <w:i/>
                <w:iCs/>
                <w:sz w:val="14"/>
                <w:szCs w:val="14"/>
              </w:rPr>
              <w:t>9.748</w:t>
            </w:r>
          </w:p>
          <w:p w:rsidR="00F922F0" w:rsidRPr="00F922F0" w:rsidRDefault="00F922F0" w:rsidP="00F922F0">
            <w:pPr>
              <w:tabs>
                <w:tab w:val="left" w:pos="307"/>
                <w:tab w:val="left" w:pos="2157"/>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 xml:space="preserve">:  </w:t>
            </w:r>
            <w:r w:rsidR="009B12B3">
              <w:rPr>
                <w:i/>
                <w:iCs/>
                <w:color w:val="0000FF"/>
                <w:sz w:val="14"/>
                <w:szCs w:val="14"/>
              </w:rPr>
              <w:tab/>
            </w:r>
            <w:r w:rsidR="009B12B3">
              <w:rPr>
                <w:i/>
                <w:iCs/>
                <w:color w:val="0000FF"/>
                <w:sz w:val="14"/>
                <w:szCs w:val="14"/>
              </w:rPr>
              <w:tab/>
            </w:r>
            <w:r w:rsidRPr="00F922F0">
              <w:rPr>
                <w:i/>
                <w:iCs/>
                <w:color w:val="0000FF"/>
                <w:sz w:val="14"/>
                <w:szCs w:val="14"/>
              </w:rPr>
              <w:t>8.292</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BF4D0F" w:rsidP="00F922F0">
            <w:pPr>
              <w:tabs>
                <w:tab w:val="right" w:pos="2835"/>
              </w:tabs>
              <w:spacing w:after="60"/>
              <w:rPr>
                <w:sz w:val="14"/>
                <w:szCs w:val="14"/>
              </w:rPr>
            </w:pPr>
            <w:r>
              <w:rPr>
                <w:sz w:val="14"/>
                <w:szCs w:val="14"/>
              </w:rPr>
              <w:t xml:space="preserve">I.3  </w:t>
            </w:r>
            <w:r w:rsidRPr="00BF4D0F">
              <w:rPr>
                <w:sz w:val="14"/>
                <w:szCs w:val="14"/>
              </w:rPr>
              <w:t>Aumento de la protección de los emblemas de Estado y de los nombres y emblemas de organizaciones intergubernamentales internacionales</w:t>
            </w:r>
          </w:p>
          <w:p w:rsidR="00F922F0" w:rsidRPr="00F922F0" w:rsidRDefault="00F922F0" w:rsidP="00F922F0">
            <w:pPr>
              <w:tabs>
                <w:tab w:val="left" w:pos="307"/>
                <w:tab w:val="left" w:pos="2157"/>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544</w:t>
            </w:r>
            <w:r w:rsidRPr="00F922F0">
              <w:rPr>
                <w:i/>
                <w:iCs/>
                <w:sz w:val="14"/>
                <w:szCs w:val="14"/>
              </w:rPr>
              <w:tab/>
            </w:r>
          </w:p>
          <w:p w:rsidR="00F922F0" w:rsidRPr="001C77E2" w:rsidRDefault="00F922F0" w:rsidP="00F922F0">
            <w:pPr>
              <w:tabs>
                <w:tab w:val="left" w:pos="307"/>
                <w:tab w:val="left" w:pos="2157"/>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ab/>
            </w:r>
            <w:r w:rsidRPr="001C77E2">
              <w:rPr>
                <w:i/>
                <w:iCs/>
                <w:color w:val="0000FF"/>
                <w:sz w:val="14"/>
                <w:szCs w:val="14"/>
              </w:rPr>
              <w:tab/>
              <w:t>-</w:t>
            </w:r>
          </w:p>
          <w:p w:rsidR="00F922F0" w:rsidRPr="00F922F0" w:rsidRDefault="00F922F0" w:rsidP="00F922F0">
            <w:pPr>
              <w:tabs>
                <w:tab w:val="right" w:pos="2835"/>
              </w:tabs>
              <w:rPr>
                <w:sz w:val="14"/>
                <w:szCs w:val="14"/>
              </w:rPr>
            </w:pPr>
            <w:r w:rsidRPr="00F922F0">
              <w:rPr>
                <w:sz w:val="14"/>
                <w:szCs w:val="14"/>
              </w:rPr>
              <w:t> </w:t>
            </w:r>
          </w:p>
          <w:p w:rsidR="00F922F0" w:rsidRPr="00F922F0" w:rsidRDefault="00BF4D0F" w:rsidP="00F922F0">
            <w:pPr>
              <w:tabs>
                <w:tab w:val="left" w:pos="307"/>
                <w:tab w:val="left" w:pos="2157"/>
                <w:tab w:val="right" w:pos="2835"/>
              </w:tabs>
              <w:rPr>
                <w:sz w:val="14"/>
                <w:szCs w:val="14"/>
              </w:rPr>
            </w:pPr>
            <w:r>
              <w:rPr>
                <w:sz w:val="14"/>
                <w:szCs w:val="14"/>
              </w:rPr>
              <w:t xml:space="preserve">I.4  </w:t>
            </w:r>
            <w:r w:rsidRPr="00BF4D0F">
              <w:rPr>
                <w:sz w:val="14"/>
                <w:szCs w:val="14"/>
              </w:rPr>
              <w:t>Interés creciente en que la OMPI sea un foro de análisis de cuestiones relacionadas con la protección internacional de la información confidencial</w:t>
            </w:r>
          </w:p>
          <w:p w:rsidR="00F922F0" w:rsidRPr="00F922F0" w:rsidRDefault="00F922F0" w:rsidP="00F922F0">
            <w:pPr>
              <w:tabs>
                <w:tab w:val="left" w:pos="307"/>
                <w:tab w:val="left" w:pos="2157"/>
                <w:tab w:val="right" w:pos="2835"/>
              </w:tabs>
              <w:rPr>
                <w:sz w:val="14"/>
                <w:szCs w:val="14"/>
              </w:rPr>
            </w:pPr>
          </w:p>
          <w:p w:rsidR="00F922F0" w:rsidRPr="00F922F0" w:rsidRDefault="00F922F0" w:rsidP="00F922F0">
            <w:pPr>
              <w:tabs>
                <w:tab w:val="left" w:pos="307"/>
                <w:tab w:val="left" w:pos="2157"/>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494</w:t>
            </w:r>
            <w:r w:rsidRPr="00F922F0">
              <w:rPr>
                <w:i/>
                <w:iCs/>
                <w:sz w:val="14"/>
                <w:szCs w:val="14"/>
              </w:rPr>
              <w:tab/>
            </w:r>
          </w:p>
          <w:p w:rsidR="00F922F0" w:rsidRPr="00F922F0" w:rsidRDefault="00F922F0" w:rsidP="00F922F0">
            <w:pPr>
              <w:tabs>
                <w:tab w:val="left" w:pos="2157"/>
              </w:tabs>
              <w:rPr>
                <w:sz w:val="14"/>
                <w:szCs w:val="14"/>
              </w:rPr>
            </w:pPr>
            <w:r w:rsidRPr="00F922F0">
              <w:rPr>
                <w:i/>
                <w:iCs/>
                <w:sz w:val="14"/>
                <w:szCs w:val="14"/>
              </w:rPr>
              <w:t xml:space="preserve">       </w:t>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ab/>
              <w:t>-</w:t>
            </w:r>
          </w:p>
        </w:tc>
        <w:tc>
          <w:tcPr>
            <w:tcW w:w="3041" w:type="dxa"/>
            <w:tcBorders>
              <w:top w:val="nil"/>
              <w:left w:val="nil"/>
              <w:right w:val="nil"/>
            </w:tcBorders>
            <w:shd w:val="clear" w:color="auto" w:fill="auto"/>
          </w:tcPr>
          <w:p w:rsidR="00F922F0" w:rsidRPr="00F922F0" w:rsidRDefault="00F922F0" w:rsidP="00F922F0">
            <w:pPr>
              <w:tabs>
                <w:tab w:val="left" w:pos="348"/>
                <w:tab w:val="left" w:pos="2173"/>
                <w:tab w:val="right" w:pos="2835"/>
              </w:tabs>
              <w:rPr>
                <w:sz w:val="14"/>
                <w:szCs w:val="14"/>
              </w:rPr>
            </w:pPr>
            <w:r w:rsidRPr="00F922F0">
              <w:rPr>
                <w:sz w:val="14"/>
                <w:szCs w:val="14"/>
              </w:rPr>
              <w:t xml:space="preserve">II.1 </w:t>
            </w:r>
            <w:r w:rsidR="00BF4D0F">
              <w:rPr>
                <w:sz w:val="14"/>
                <w:szCs w:val="14"/>
              </w:rPr>
              <w:t xml:space="preserve"> </w:t>
            </w:r>
            <w:r w:rsidR="00BF4D0F" w:rsidRPr="00BF4D0F">
              <w:rPr>
                <w:sz w:val="14"/>
                <w:szCs w:val="14"/>
              </w:rPr>
              <w:t>Mayor y más eficaz utilización del Sistema del PCT para presentar solicitudes internacionales de patentes</w:t>
            </w:r>
          </w:p>
          <w:p w:rsidR="00F922F0" w:rsidRPr="00F922F0" w:rsidRDefault="00F922F0" w:rsidP="00F922F0">
            <w:pPr>
              <w:tabs>
                <w:tab w:val="left" w:pos="348"/>
                <w:tab w:val="left" w:pos="2173"/>
                <w:tab w:val="right" w:pos="2835"/>
              </w:tabs>
              <w:rPr>
                <w:sz w:val="14"/>
                <w:szCs w:val="14"/>
              </w:rPr>
            </w:pPr>
          </w:p>
          <w:p w:rsidR="00F922F0" w:rsidRPr="00F922F0" w:rsidRDefault="00F922F0" w:rsidP="00F922F0">
            <w:pPr>
              <w:tabs>
                <w:tab w:val="left" w:pos="348"/>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29.156</w:t>
            </w:r>
          </w:p>
          <w:p w:rsidR="00F922F0" w:rsidRPr="00F922F0" w:rsidRDefault="00F922F0" w:rsidP="00F922F0">
            <w:pPr>
              <w:tabs>
                <w:tab w:val="left" w:pos="348"/>
                <w:tab w:val="left" w:pos="2173"/>
                <w:tab w:val="right" w:pos="2835"/>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t>7.002</w:t>
            </w:r>
          </w:p>
          <w:p w:rsidR="00F922F0" w:rsidRPr="00F922F0" w:rsidRDefault="00F922F0" w:rsidP="00F922F0">
            <w:pPr>
              <w:tabs>
                <w:tab w:val="right" w:pos="2835"/>
              </w:tabs>
              <w:rPr>
                <w:sz w:val="14"/>
                <w:szCs w:val="14"/>
              </w:rPr>
            </w:pPr>
          </w:p>
          <w:p w:rsidR="00F922F0" w:rsidRPr="00F922F0" w:rsidRDefault="00BF4D0F" w:rsidP="00F922F0">
            <w:pPr>
              <w:autoSpaceDE w:val="0"/>
              <w:autoSpaceDN w:val="0"/>
              <w:adjustRightInd w:val="0"/>
              <w:rPr>
                <w:sz w:val="14"/>
                <w:szCs w:val="14"/>
                <w:lang w:bidi="th-TH"/>
              </w:rPr>
            </w:pPr>
            <w:r>
              <w:rPr>
                <w:sz w:val="14"/>
                <w:szCs w:val="14"/>
                <w:lang w:bidi="th-TH"/>
              </w:rPr>
              <w:t xml:space="preserve">II.3  </w:t>
            </w:r>
            <w:r w:rsidRPr="00BF4D0F">
              <w:rPr>
                <w:sz w:val="14"/>
                <w:szCs w:val="14"/>
                <w:lang w:bidi="th-TH"/>
              </w:rPr>
              <w:t>Mejora de la productividad y de la calidad de los servicios en las operaciones del PCT</w:t>
            </w:r>
          </w:p>
          <w:p w:rsidR="00F922F0" w:rsidRPr="00F922F0" w:rsidRDefault="00F922F0" w:rsidP="00F922F0">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181.080</w:t>
            </w:r>
            <w:r w:rsidRPr="00F922F0">
              <w:rPr>
                <w:i/>
                <w:iCs/>
                <w:sz w:val="14"/>
                <w:szCs w:val="14"/>
              </w:rPr>
              <w:tab/>
            </w:r>
          </w:p>
          <w:p w:rsidR="00F922F0" w:rsidRPr="001C77E2" w:rsidRDefault="00F922F0" w:rsidP="00F922F0">
            <w:pPr>
              <w:tabs>
                <w:tab w:val="left" w:pos="335"/>
                <w:tab w:val="left" w:pos="2315"/>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w:t>
            </w:r>
            <w:r w:rsidR="001C77E2">
              <w:rPr>
                <w:i/>
                <w:iCs/>
                <w:color w:val="0000FF"/>
                <w:sz w:val="14"/>
                <w:szCs w:val="14"/>
              </w:rPr>
              <w:tab/>
            </w:r>
            <w:r w:rsidR="001C77E2">
              <w:rPr>
                <w:i/>
                <w:iCs/>
                <w:color w:val="0000FF"/>
                <w:sz w:val="14"/>
                <w:szCs w:val="14"/>
              </w:rPr>
              <w:tab/>
            </w:r>
            <w:r w:rsidR="001C77E2" w:rsidRPr="001C77E2">
              <w:rPr>
                <w:i/>
                <w:iCs/>
                <w:color w:val="0000FF"/>
                <w:sz w:val="14"/>
                <w:szCs w:val="14"/>
              </w:rPr>
              <w:t>-</w:t>
            </w: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II.4</w:t>
            </w:r>
            <w:r w:rsidR="00BF4D0F">
              <w:rPr>
                <w:sz w:val="14"/>
                <w:szCs w:val="14"/>
              </w:rPr>
              <w:t xml:space="preserve">  </w:t>
            </w:r>
            <w:r w:rsidR="00BF4D0F" w:rsidRPr="00BF4D0F">
              <w:rPr>
                <w:sz w:val="14"/>
                <w:szCs w:val="14"/>
              </w:rPr>
              <w:t>Mayor y más eficaz utilización del Sistema de La Haya, entre otros, por los países en desarrollo y los PMA</w:t>
            </w:r>
          </w:p>
          <w:p w:rsidR="00F922F0" w:rsidRPr="00F922F0" w:rsidRDefault="00F922F0" w:rsidP="00F922F0">
            <w:pPr>
              <w:tabs>
                <w:tab w:val="left" w:pos="323"/>
                <w:tab w:val="left" w:pos="2173"/>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6.617</w:t>
            </w:r>
            <w:r w:rsidRPr="00F922F0">
              <w:rPr>
                <w:i/>
                <w:iCs/>
                <w:sz w:val="14"/>
                <w:szCs w:val="14"/>
              </w:rPr>
              <w:tab/>
            </w:r>
          </w:p>
          <w:p w:rsidR="00F922F0" w:rsidRPr="00F922F0" w:rsidRDefault="00F922F0" w:rsidP="00F922F0">
            <w:pPr>
              <w:tabs>
                <w:tab w:val="left" w:pos="323"/>
                <w:tab w:val="left" w:pos="2315"/>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ab/>
            </w:r>
            <w:r w:rsidR="001C77E2" w:rsidRPr="001C77E2">
              <w:rPr>
                <w:i/>
                <w:iCs/>
                <w:color w:val="0000FF"/>
                <w:sz w:val="14"/>
                <w:szCs w:val="14"/>
              </w:rPr>
              <w:tab/>
              <w:t>1.085</w:t>
            </w:r>
          </w:p>
          <w:p w:rsidR="00F922F0" w:rsidRPr="00F922F0" w:rsidRDefault="00F922F0" w:rsidP="00F922F0">
            <w:pPr>
              <w:tabs>
                <w:tab w:val="left" w:pos="1525"/>
                <w:tab w:val="right" w:pos="2835"/>
              </w:tabs>
              <w:rPr>
                <w:sz w:val="14"/>
                <w:szCs w:val="14"/>
              </w:rPr>
            </w:pPr>
          </w:p>
          <w:p w:rsidR="00F922F0" w:rsidRPr="00F922F0" w:rsidRDefault="00BF4D0F" w:rsidP="00F922F0">
            <w:pPr>
              <w:tabs>
                <w:tab w:val="right" w:pos="2835"/>
              </w:tabs>
              <w:spacing w:after="60"/>
              <w:rPr>
                <w:sz w:val="14"/>
                <w:szCs w:val="14"/>
              </w:rPr>
            </w:pPr>
            <w:r>
              <w:rPr>
                <w:sz w:val="14"/>
                <w:szCs w:val="14"/>
              </w:rPr>
              <w:t xml:space="preserve">II.5 </w:t>
            </w:r>
            <w:r w:rsidR="00F922F0" w:rsidRPr="00F922F0">
              <w:rPr>
                <w:sz w:val="14"/>
                <w:szCs w:val="14"/>
              </w:rPr>
              <w:t xml:space="preserve"> </w:t>
            </w:r>
            <w:r w:rsidRPr="00BF4D0F">
              <w:rPr>
                <w:sz w:val="14"/>
                <w:szCs w:val="14"/>
              </w:rPr>
              <w:t>Mejora de la productividad y de la calidad de los servicios en las operaciones del Sistema de La Haya</w:t>
            </w:r>
          </w:p>
          <w:p w:rsidR="00F922F0" w:rsidRPr="00F922F0" w:rsidRDefault="00F922F0" w:rsidP="00F922F0">
            <w:pPr>
              <w:tabs>
                <w:tab w:val="left" w:pos="360"/>
                <w:tab w:val="left" w:pos="2173"/>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2.234</w:t>
            </w:r>
            <w:r w:rsidRPr="00F922F0">
              <w:rPr>
                <w:i/>
                <w:iCs/>
                <w:sz w:val="14"/>
                <w:szCs w:val="14"/>
              </w:rPr>
              <w:tab/>
            </w:r>
          </w:p>
          <w:p w:rsidR="00F922F0" w:rsidRPr="001C77E2" w:rsidRDefault="00F922F0" w:rsidP="00F922F0">
            <w:pPr>
              <w:tabs>
                <w:tab w:val="left" w:pos="360"/>
                <w:tab w:val="left" w:pos="2315"/>
                <w:tab w:val="right" w:pos="2835"/>
              </w:tabs>
              <w:rPr>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 xml:space="preserve">- </w:t>
            </w:r>
          </w:p>
          <w:p w:rsidR="00F922F0" w:rsidRPr="00F922F0" w:rsidRDefault="00F922F0" w:rsidP="00F922F0">
            <w:pPr>
              <w:tabs>
                <w:tab w:val="left" w:pos="1525"/>
                <w:tab w:val="right" w:pos="2835"/>
              </w:tabs>
              <w:rPr>
                <w:sz w:val="14"/>
                <w:szCs w:val="14"/>
              </w:rPr>
            </w:pPr>
          </w:p>
          <w:p w:rsidR="00F922F0" w:rsidRPr="00F922F0" w:rsidRDefault="00BE77EA" w:rsidP="00F922F0">
            <w:pPr>
              <w:tabs>
                <w:tab w:val="left" w:pos="1525"/>
                <w:tab w:val="right" w:pos="2835"/>
              </w:tabs>
              <w:spacing w:after="60"/>
              <w:rPr>
                <w:sz w:val="14"/>
                <w:szCs w:val="14"/>
              </w:rPr>
            </w:pPr>
            <w:r>
              <w:rPr>
                <w:sz w:val="14"/>
                <w:szCs w:val="14"/>
              </w:rPr>
              <w:t>II.</w:t>
            </w:r>
            <w:r w:rsidR="00F922F0" w:rsidRPr="00F922F0">
              <w:rPr>
                <w:sz w:val="14"/>
                <w:szCs w:val="14"/>
              </w:rPr>
              <w:t>6</w:t>
            </w:r>
            <w:r w:rsidR="00BF4D0F">
              <w:rPr>
                <w:sz w:val="14"/>
                <w:szCs w:val="14"/>
              </w:rPr>
              <w:t xml:space="preserve">  </w:t>
            </w:r>
            <w:r w:rsidR="00BF4D0F" w:rsidRPr="00BF4D0F">
              <w:rPr>
                <w:sz w:val="14"/>
                <w:szCs w:val="14"/>
              </w:rPr>
              <w:t>Mayor y más eficaz utilización de los Sistemas de Madrid y de Lisboa, entre otros, por los países en desarrollo y los PMA</w:t>
            </w:r>
          </w:p>
          <w:p w:rsidR="00F922F0" w:rsidRPr="00F922F0" w:rsidRDefault="00F922F0" w:rsidP="00F922F0">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12.661</w:t>
            </w:r>
          </w:p>
          <w:p w:rsidR="00F922F0" w:rsidRPr="001C77E2" w:rsidRDefault="00F922F0" w:rsidP="00F922F0">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t>3.364</w:t>
            </w:r>
          </w:p>
          <w:p w:rsidR="00F922F0" w:rsidRPr="00F922F0" w:rsidRDefault="00F922F0" w:rsidP="00F922F0">
            <w:pPr>
              <w:tabs>
                <w:tab w:val="left" w:pos="1525"/>
                <w:tab w:val="right" w:pos="2835"/>
              </w:tabs>
              <w:rPr>
                <w:sz w:val="14"/>
                <w:szCs w:val="14"/>
              </w:rPr>
            </w:pPr>
          </w:p>
          <w:p w:rsidR="00F922F0" w:rsidRPr="00F922F0" w:rsidRDefault="00BF4D0F" w:rsidP="00F922F0">
            <w:pPr>
              <w:tabs>
                <w:tab w:val="left" w:pos="1525"/>
                <w:tab w:val="right" w:pos="2835"/>
              </w:tabs>
              <w:spacing w:after="60"/>
              <w:rPr>
                <w:sz w:val="14"/>
                <w:szCs w:val="14"/>
              </w:rPr>
            </w:pPr>
            <w:r>
              <w:rPr>
                <w:sz w:val="14"/>
                <w:szCs w:val="14"/>
              </w:rPr>
              <w:t xml:space="preserve">II.7  </w:t>
            </w:r>
            <w:r w:rsidRPr="00BF4D0F">
              <w:rPr>
                <w:sz w:val="14"/>
                <w:szCs w:val="14"/>
              </w:rPr>
              <w:t>Mejora de la productividad y de la calidad de los servicios en las operaciones los Sistemas de Madrid y de Lisboa</w:t>
            </w:r>
          </w:p>
          <w:p w:rsidR="00F922F0" w:rsidRPr="00F922F0" w:rsidRDefault="00F922F0" w:rsidP="00F922F0">
            <w:pPr>
              <w:tabs>
                <w:tab w:val="left" w:pos="331"/>
                <w:tab w:val="left" w:pos="2173"/>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48.206</w:t>
            </w:r>
          </w:p>
          <w:p w:rsidR="00F922F0" w:rsidRPr="00F922F0" w:rsidRDefault="00F922F0" w:rsidP="00F922F0">
            <w:pPr>
              <w:tabs>
                <w:tab w:val="left" w:pos="331"/>
                <w:tab w:val="left" w:pos="2173"/>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ab/>
            </w:r>
            <w:r w:rsidR="001C77E2" w:rsidRPr="001C77E2">
              <w:rPr>
                <w:i/>
                <w:iCs/>
                <w:color w:val="0000FF"/>
                <w:sz w:val="14"/>
                <w:szCs w:val="14"/>
              </w:rPr>
              <w:tab/>
              <w:t>11.146</w:t>
            </w:r>
          </w:p>
          <w:p w:rsidR="00F922F0" w:rsidRPr="00F922F0" w:rsidRDefault="00F922F0" w:rsidP="00F922F0">
            <w:pPr>
              <w:tabs>
                <w:tab w:val="left" w:pos="1525"/>
                <w:tab w:val="right" w:pos="2835"/>
              </w:tabs>
              <w:rPr>
                <w:i/>
                <w:iCs/>
                <w:sz w:val="14"/>
                <w:szCs w:val="14"/>
              </w:rPr>
            </w:pPr>
          </w:p>
          <w:p w:rsidR="00F922F0" w:rsidRPr="00F922F0" w:rsidRDefault="00BF4D0F" w:rsidP="00F922F0">
            <w:pPr>
              <w:tabs>
                <w:tab w:val="left" w:pos="1525"/>
                <w:tab w:val="right" w:pos="2835"/>
              </w:tabs>
              <w:spacing w:after="60"/>
              <w:rPr>
                <w:sz w:val="14"/>
                <w:szCs w:val="14"/>
              </w:rPr>
            </w:pPr>
            <w:r>
              <w:rPr>
                <w:sz w:val="14"/>
                <w:szCs w:val="14"/>
              </w:rPr>
              <w:t xml:space="preserve">II.8 </w:t>
            </w:r>
            <w:r w:rsidR="00F922F0" w:rsidRPr="00F922F0">
              <w:rPr>
                <w:sz w:val="14"/>
                <w:szCs w:val="14"/>
              </w:rPr>
              <w:t xml:space="preserve"> </w:t>
            </w:r>
            <w:r w:rsidRPr="00BF4D0F">
              <w:rPr>
                <w:sz w:val="14"/>
                <w:szCs w:val="14"/>
              </w:rPr>
              <w:t>Las controversias nacionales e internacionales en materia de P.I. se evitan o resuelven cada vez con más frecuencia mediante procedimientos de mediación, arbitraje y demás métodos de solución extrajudicial de controversias</w:t>
            </w:r>
          </w:p>
          <w:p w:rsidR="00F922F0" w:rsidRPr="00F922F0" w:rsidRDefault="00F922F0" w:rsidP="00F922F0">
            <w:pPr>
              <w:tabs>
                <w:tab w:val="left" w:pos="348"/>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001C77E2">
              <w:rPr>
                <w:i/>
                <w:iCs/>
                <w:sz w:val="14"/>
                <w:szCs w:val="14"/>
              </w:rPr>
              <w:t>4.802</w:t>
            </w:r>
          </w:p>
          <w:p w:rsidR="00F922F0" w:rsidRPr="001C77E2" w:rsidRDefault="00F922F0" w:rsidP="00F922F0">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t>661</w:t>
            </w:r>
          </w:p>
          <w:p w:rsidR="00F922F0" w:rsidRPr="00F922F0" w:rsidRDefault="00F922F0" w:rsidP="00F922F0">
            <w:pPr>
              <w:tabs>
                <w:tab w:val="left" w:pos="1525"/>
                <w:tab w:val="right" w:pos="2835"/>
              </w:tabs>
              <w:rPr>
                <w:i/>
                <w:iCs/>
                <w:sz w:val="14"/>
                <w:szCs w:val="14"/>
              </w:rPr>
            </w:pPr>
          </w:p>
          <w:p w:rsidR="00F922F0" w:rsidRPr="00F922F0" w:rsidRDefault="008C3520" w:rsidP="00F922F0">
            <w:pPr>
              <w:tabs>
                <w:tab w:val="left" w:pos="1525"/>
                <w:tab w:val="right" w:pos="2835"/>
              </w:tabs>
              <w:spacing w:after="60"/>
              <w:rPr>
                <w:sz w:val="14"/>
                <w:szCs w:val="14"/>
              </w:rPr>
            </w:pPr>
            <w:r>
              <w:rPr>
                <w:sz w:val="14"/>
                <w:szCs w:val="14"/>
              </w:rPr>
              <w:t xml:space="preserve">II.9  </w:t>
            </w:r>
            <w:r w:rsidRPr="008C3520">
              <w:rPr>
                <w:sz w:val="14"/>
                <w:szCs w:val="14"/>
              </w:rPr>
              <w:t xml:space="preserve">Protección eficaz de la propiedad intelectual en los </w:t>
            </w:r>
            <w:proofErr w:type="spellStart"/>
            <w:r w:rsidRPr="008C3520">
              <w:rPr>
                <w:sz w:val="14"/>
                <w:szCs w:val="14"/>
              </w:rPr>
              <w:t>gTLD</w:t>
            </w:r>
            <w:proofErr w:type="spellEnd"/>
            <w:r w:rsidRPr="008C3520">
              <w:rPr>
                <w:sz w:val="14"/>
                <w:szCs w:val="14"/>
              </w:rPr>
              <w:t xml:space="preserve"> y los </w:t>
            </w:r>
            <w:proofErr w:type="spellStart"/>
            <w:r w:rsidRPr="008C3520">
              <w:rPr>
                <w:sz w:val="14"/>
                <w:szCs w:val="14"/>
              </w:rPr>
              <w:t>ccTLD</w:t>
            </w:r>
            <w:proofErr w:type="spellEnd"/>
          </w:p>
          <w:p w:rsidR="00F922F0" w:rsidRPr="00F922F0" w:rsidRDefault="00F922F0" w:rsidP="00F922F0">
            <w:pPr>
              <w:tabs>
                <w:tab w:val="left" w:pos="335"/>
                <w:tab w:val="left" w:pos="2173"/>
                <w:tab w:val="right" w:pos="2835"/>
              </w:tabs>
              <w:rPr>
                <w:i/>
                <w:iCs/>
                <w:sz w:val="14"/>
                <w:szCs w:val="14"/>
              </w:rPr>
            </w:pPr>
            <w:r w:rsidRPr="00F922F0">
              <w:rPr>
                <w:i/>
                <w:iCs/>
                <w:sz w:val="14"/>
                <w:szCs w:val="14"/>
              </w:rPr>
              <w:tab/>
              <w:t>Presupuesto propuesto 16/17:</w:t>
            </w:r>
            <w:r w:rsidR="001C77E2">
              <w:rPr>
                <w:iCs/>
                <w:sz w:val="14"/>
                <w:szCs w:val="14"/>
              </w:rPr>
              <w:tab/>
            </w:r>
            <w:r w:rsidRPr="00F922F0">
              <w:rPr>
                <w:i/>
                <w:iCs/>
                <w:sz w:val="14"/>
                <w:szCs w:val="14"/>
              </w:rPr>
              <w:t>6.899</w:t>
            </w:r>
          </w:p>
          <w:p w:rsidR="00F922F0" w:rsidRPr="001C77E2" w:rsidRDefault="00F922F0" w:rsidP="00F922F0">
            <w:pPr>
              <w:tabs>
                <w:tab w:val="left" w:pos="335"/>
                <w:tab w:val="left" w:pos="2173"/>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w:t>
            </w:r>
            <w:r w:rsidR="001C77E2"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t>101</w:t>
            </w:r>
          </w:p>
          <w:p w:rsidR="00F922F0" w:rsidRPr="00F922F0" w:rsidRDefault="00F922F0" w:rsidP="00F922F0">
            <w:pPr>
              <w:tabs>
                <w:tab w:val="left" w:pos="1525"/>
                <w:tab w:val="right" w:pos="2835"/>
              </w:tabs>
              <w:rPr>
                <w:i/>
                <w:iCs/>
                <w:sz w:val="14"/>
                <w:szCs w:val="14"/>
              </w:rPr>
            </w:pPr>
          </w:p>
        </w:tc>
        <w:tc>
          <w:tcPr>
            <w:tcW w:w="3043" w:type="dxa"/>
            <w:tcBorders>
              <w:top w:val="nil"/>
              <w:left w:val="nil"/>
              <w:right w:val="nil"/>
            </w:tcBorders>
            <w:shd w:val="clear" w:color="auto" w:fill="auto"/>
          </w:tcPr>
          <w:p w:rsidR="00F922F0" w:rsidRPr="00F922F0" w:rsidRDefault="008C3520" w:rsidP="00F922F0">
            <w:pPr>
              <w:tabs>
                <w:tab w:val="right" w:pos="2835"/>
              </w:tabs>
              <w:spacing w:after="60"/>
              <w:rPr>
                <w:sz w:val="14"/>
                <w:szCs w:val="14"/>
              </w:rPr>
            </w:pPr>
            <w:r>
              <w:rPr>
                <w:sz w:val="14"/>
                <w:szCs w:val="14"/>
              </w:rPr>
              <w:t xml:space="preserve">III.1  </w:t>
            </w:r>
            <w:r w:rsidRPr="008C3520">
              <w:rPr>
                <w:sz w:val="14"/>
                <w:szCs w:val="14"/>
              </w:rPr>
              <w:t>Estrategias y planes nacionales de innovación y de P.I. que estén en sintonía con los objetivos nacionales</w:t>
            </w:r>
            <w:r w:rsidR="0041743A">
              <w:rPr>
                <w:sz w:val="14"/>
                <w:szCs w:val="14"/>
              </w:rPr>
              <w:t xml:space="preserve"> de desarrollo</w:t>
            </w:r>
          </w:p>
          <w:p w:rsidR="00F922F0" w:rsidRPr="00F922F0" w:rsidRDefault="00F922F0" w:rsidP="00F922F0">
            <w:pPr>
              <w:tabs>
                <w:tab w:val="left" w:pos="346"/>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10.957</w:t>
            </w:r>
          </w:p>
          <w:p w:rsidR="00F922F0" w:rsidRPr="001C77E2" w:rsidRDefault="00F922F0" w:rsidP="00F922F0">
            <w:pPr>
              <w:tabs>
                <w:tab w:val="left" w:pos="350"/>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t>10.957</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III.2</w:t>
            </w:r>
            <w:r w:rsidR="008C3520">
              <w:rPr>
                <w:sz w:val="14"/>
                <w:szCs w:val="14"/>
              </w:rPr>
              <w:t xml:space="preserve">  </w:t>
            </w:r>
            <w:r w:rsidR="008C3520" w:rsidRPr="008C3520">
              <w:rPr>
                <w:sz w:val="14"/>
                <w:szCs w:val="14"/>
              </w:rPr>
              <w:t>Aumento de las capacidades en recursos humanos para hacer frente a la gran diversidad de exigencias que supone la utilización eficaz de la P.I. para fomentar el desarrollo en los países en desarrollo, PMA y países con economías en transición</w:t>
            </w:r>
          </w:p>
          <w:p w:rsidR="00F922F0" w:rsidRPr="00F922F0" w:rsidRDefault="00F922F0" w:rsidP="00F922F0">
            <w:pPr>
              <w:tabs>
                <w:tab w:val="left" w:pos="325"/>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39.734</w:t>
            </w:r>
          </w:p>
          <w:p w:rsidR="00F922F0" w:rsidRPr="00F922F0" w:rsidRDefault="00F922F0" w:rsidP="00F922F0">
            <w:pPr>
              <w:tabs>
                <w:tab w:val="left" w:pos="350"/>
                <w:tab w:val="left" w:pos="2189"/>
                <w:tab w:val="right" w:pos="2835"/>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39.32</w:t>
            </w:r>
            <w:r w:rsidR="001C77E2" w:rsidRPr="001C77E2">
              <w:rPr>
                <w:i/>
                <w:iCs/>
                <w:color w:val="0000FF"/>
                <w:sz w:val="14"/>
                <w:szCs w:val="14"/>
              </w:rPr>
              <w:t>2</w:t>
            </w: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 xml:space="preserve">III.3  </w:t>
            </w:r>
            <w:r w:rsidR="008C3520" w:rsidRPr="008C3520">
              <w:rPr>
                <w:sz w:val="14"/>
                <w:szCs w:val="14"/>
              </w:rPr>
              <w:t>Incorporación de las recomendaciones de la Agenda para el Desarrollo en la labor de la OMPI</w:t>
            </w:r>
          </w:p>
          <w:p w:rsidR="00F922F0" w:rsidRPr="00F922F0" w:rsidRDefault="00F922F0" w:rsidP="00F922F0">
            <w:pPr>
              <w:tabs>
                <w:tab w:val="left" w:pos="325"/>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2.492</w:t>
            </w:r>
          </w:p>
          <w:p w:rsidR="00F922F0" w:rsidRPr="001C77E2" w:rsidRDefault="00F922F0" w:rsidP="001C77E2">
            <w:pPr>
              <w:tabs>
                <w:tab w:val="left" w:pos="325"/>
                <w:tab w:val="left" w:pos="2189"/>
                <w:tab w:val="right" w:pos="2817"/>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2.492</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8C3520" w:rsidP="00F922F0">
            <w:pPr>
              <w:tabs>
                <w:tab w:val="right" w:pos="2835"/>
              </w:tabs>
              <w:spacing w:after="60"/>
              <w:rPr>
                <w:sz w:val="14"/>
                <w:szCs w:val="14"/>
              </w:rPr>
            </w:pPr>
            <w:r>
              <w:rPr>
                <w:sz w:val="14"/>
                <w:szCs w:val="14"/>
              </w:rPr>
              <w:t xml:space="preserve">III.4  </w:t>
            </w:r>
            <w:r w:rsidRPr="008C3520">
              <w:rPr>
                <w:sz w:val="14"/>
                <w:szCs w:val="14"/>
              </w:rPr>
              <w:t>Fortalecimiento de los mecanismos y de los programas de cooperación conforme a las necesidades de los países en desarrollo y los PMA</w:t>
            </w:r>
          </w:p>
          <w:p w:rsidR="00F922F0" w:rsidRPr="00F922F0" w:rsidRDefault="00F922F0" w:rsidP="00F922F0">
            <w:pPr>
              <w:tabs>
                <w:tab w:val="left" w:pos="338"/>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Pr="00F922F0">
              <w:rPr>
                <w:i/>
                <w:iCs/>
                <w:sz w:val="14"/>
                <w:szCs w:val="14"/>
              </w:rPr>
              <w:t>6.273</w:t>
            </w:r>
          </w:p>
          <w:p w:rsidR="00F922F0" w:rsidRPr="001C77E2" w:rsidRDefault="00F922F0" w:rsidP="00F922F0">
            <w:pPr>
              <w:tabs>
                <w:tab w:val="left" w:pos="338"/>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5.853</w:t>
            </w:r>
          </w:p>
          <w:p w:rsidR="00F922F0" w:rsidRPr="00F922F0" w:rsidRDefault="00F922F0" w:rsidP="00F922F0">
            <w:pPr>
              <w:tabs>
                <w:tab w:val="left" w:pos="1525"/>
                <w:tab w:val="right" w:pos="2835"/>
              </w:tabs>
              <w:rPr>
                <w:sz w:val="14"/>
                <w:szCs w:val="14"/>
              </w:rPr>
            </w:pPr>
          </w:p>
          <w:p w:rsidR="00F922F0" w:rsidRPr="00F922F0" w:rsidRDefault="00F922F0" w:rsidP="00F922F0">
            <w:pPr>
              <w:tabs>
                <w:tab w:val="left" w:pos="1525"/>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III.5</w:t>
            </w:r>
            <w:r w:rsidR="008C3520">
              <w:rPr>
                <w:sz w:val="14"/>
                <w:szCs w:val="14"/>
              </w:rPr>
              <w:t xml:space="preserve"> </w:t>
            </w:r>
            <w:r w:rsidRPr="00F922F0">
              <w:rPr>
                <w:sz w:val="14"/>
                <w:szCs w:val="14"/>
              </w:rPr>
              <w:t xml:space="preserve"> </w:t>
            </w:r>
            <w:r w:rsidR="008C3520" w:rsidRPr="008C3520">
              <w:rPr>
                <w:sz w:val="14"/>
                <w:szCs w:val="14"/>
              </w:rPr>
              <w:t>Mejor comprensión de la Agenda para el Desarrollo por los Estados miembros, las OIG, la sociedad civil y demás partes interesadas</w:t>
            </w:r>
          </w:p>
          <w:p w:rsidR="00F922F0" w:rsidRPr="00F922F0" w:rsidRDefault="00F922F0" w:rsidP="00F922F0">
            <w:pPr>
              <w:tabs>
                <w:tab w:val="left" w:pos="338"/>
                <w:tab w:val="left" w:pos="2189"/>
                <w:tab w:val="right" w:pos="2835"/>
              </w:tabs>
              <w:rPr>
                <w:i/>
                <w:iCs/>
                <w:sz w:val="14"/>
                <w:szCs w:val="14"/>
              </w:rPr>
            </w:pPr>
            <w:r w:rsidRPr="00F922F0">
              <w:rPr>
                <w:i/>
                <w:iCs/>
                <w:sz w:val="14"/>
                <w:szCs w:val="14"/>
              </w:rPr>
              <w:tab/>
              <w:t>Presupuesto propuesto 16/17:</w:t>
            </w:r>
            <w:r w:rsidRPr="00F922F0">
              <w:rPr>
                <w:iCs/>
                <w:sz w:val="14"/>
                <w:szCs w:val="14"/>
              </w:rPr>
              <w:t xml:space="preserve"> </w:t>
            </w:r>
            <w:r w:rsidR="001C77E2">
              <w:rPr>
                <w:iCs/>
                <w:sz w:val="14"/>
                <w:szCs w:val="14"/>
              </w:rPr>
              <w:tab/>
            </w:r>
            <w:r w:rsidR="001C77E2">
              <w:rPr>
                <w:i/>
                <w:iCs/>
                <w:sz w:val="14"/>
                <w:szCs w:val="14"/>
              </w:rPr>
              <w:t>1.393</w:t>
            </w:r>
          </w:p>
          <w:p w:rsidR="00F922F0" w:rsidRPr="001C77E2" w:rsidRDefault="00F922F0" w:rsidP="00F922F0">
            <w:pPr>
              <w:tabs>
                <w:tab w:val="left" w:pos="338"/>
                <w:tab w:val="left" w:pos="2189"/>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1C77E2">
              <w:rPr>
                <w:i/>
                <w:iCs/>
                <w:color w:val="0000FF"/>
                <w:sz w:val="14"/>
                <w:szCs w:val="14"/>
              </w:rPr>
              <w:t xml:space="preserve">: </w:t>
            </w:r>
            <w:r w:rsidR="001C77E2" w:rsidRPr="001C77E2">
              <w:rPr>
                <w:i/>
                <w:iCs/>
                <w:color w:val="0000FF"/>
                <w:sz w:val="14"/>
                <w:szCs w:val="14"/>
              </w:rPr>
              <w:tab/>
            </w:r>
            <w:r w:rsidR="001C77E2" w:rsidRPr="001C77E2">
              <w:rPr>
                <w:i/>
                <w:iCs/>
                <w:color w:val="0000FF"/>
                <w:sz w:val="14"/>
                <w:szCs w:val="14"/>
              </w:rPr>
              <w:tab/>
            </w:r>
            <w:r w:rsidRPr="001C77E2">
              <w:rPr>
                <w:i/>
                <w:iCs/>
                <w:color w:val="0000FF"/>
                <w:sz w:val="14"/>
                <w:szCs w:val="14"/>
              </w:rPr>
              <w:t>1.393</w:t>
            </w:r>
          </w:p>
          <w:p w:rsidR="00F922F0" w:rsidRPr="00F922F0" w:rsidRDefault="00F922F0" w:rsidP="00F922F0">
            <w:pPr>
              <w:tabs>
                <w:tab w:val="right" w:pos="2835"/>
              </w:tabs>
              <w:spacing w:after="60"/>
              <w:rPr>
                <w:sz w:val="14"/>
                <w:szCs w:val="14"/>
              </w:rPr>
            </w:pPr>
          </w:p>
          <w:p w:rsidR="00F922F0" w:rsidRPr="00F922F0" w:rsidRDefault="00F922F0" w:rsidP="00F922F0">
            <w:pPr>
              <w:tabs>
                <w:tab w:val="right" w:pos="2835"/>
              </w:tabs>
              <w:spacing w:after="60"/>
              <w:rPr>
                <w:sz w:val="14"/>
                <w:szCs w:val="14"/>
              </w:rPr>
            </w:pPr>
            <w:r w:rsidRPr="00F922F0">
              <w:rPr>
                <w:sz w:val="14"/>
                <w:szCs w:val="14"/>
              </w:rPr>
              <w:t xml:space="preserve">III.6 </w:t>
            </w:r>
            <w:r w:rsidR="008C3520">
              <w:rPr>
                <w:sz w:val="14"/>
                <w:szCs w:val="14"/>
              </w:rPr>
              <w:t xml:space="preserve"> </w:t>
            </w:r>
            <w:r w:rsidR="008C3520" w:rsidRPr="008C3520">
              <w:rPr>
                <w:sz w:val="14"/>
                <w:szCs w:val="14"/>
              </w:rPr>
              <w:t>Mayor capacidad de las pymes para utilizar con éxito la P.I. con el fin de apoyar la innovación</w:t>
            </w:r>
          </w:p>
          <w:p w:rsidR="00F922F0" w:rsidRPr="00EF23F5" w:rsidRDefault="00F922F0" w:rsidP="00F922F0">
            <w:pPr>
              <w:tabs>
                <w:tab w:val="left" w:pos="338"/>
                <w:tab w:val="left" w:pos="2189"/>
                <w:tab w:val="right" w:pos="2835"/>
              </w:tabs>
              <w:rPr>
                <w:i/>
                <w:iCs/>
                <w:color w:val="0000FF"/>
                <w:sz w:val="14"/>
                <w:szCs w:val="14"/>
              </w:rPr>
            </w:pPr>
            <w:r w:rsidRPr="00F922F0">
              <w:rPr>
                <w:i/>
                <w:iCs/>
                <w:sz w:val="14"/>
                <w:szCs w:val="14"/>
              </w:rPr>
              <w:tab/>
              <w:t>Presup</w:t>
            </w:r>
            <w:r w:rsidR="00EF23F5">
              <w:rPr>
                <w:i/>
                <w:iCs/>
                <w:sz w:val="14"/>
                <w:szCs w:val="14"/>
              </w:rPr>
              <w:t xml:space="preserve">uesto propuesto 16/17: </w:t>
            </w:r>
            <w:r w:rsidR="00EF23F5">
              <w:rPr>
                <w:i/>
                <w:iCs/>
                <w:sz w:val="14"/>
                <w:szCs w:val="14"/>
              </w:rPr>
              <w:tab/>
            </w:r>
            <w:r w:rsidRPr="00F922F0">
              <w:rPr>
                <w:i/>
                <w:iCs/>
                <w:sz w:val="14"/>
                <w:szCs w:val="14"/>
              </w:rPr>
              <w:t>3.125</w:t>
            </w: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EF23F5">
              <w:rPr>
                <w:i/>
                <w:iCs/>
                <w:color w:val="0000FF"/>
                <w:sz w:val="14"/>
                <w:szCs w:val="14"/>
              </w:rPr>
              <w:t>:</w:t>
            </w:r>
            <w:r w:rsidRPr="00EF23F5">
              <w:rPr>
                <w:i/>
                <w:iCs/>
                <w:color w:val="0000FF"/>
                <w:sz w:val="14"/>
                <w:szCs w:val="14"/>
              </w:rPr>
              <w:tab/>
            </w:r>
            <w:r w:rsidR="001C77E2" w:rsidRPr="00EF23F5">
              <w:rPr>
                <w:i/>
                <w:iCs/>
                <w:color w:val="0000FF"/>
                <w:sz w:val="14"/>
                <w:szCs w:val="14"/>
              </w:rPr>
              <w:tab/>
            </w:r>
            <w:r w:rsidRPr="00EF23F5">
              <w:rPr>
                <w:i/>
                <w:iCs/>
                <w:color w:val="0000FF"/>
                <w:sz w:val="14"/>
                <w:szCs w:val="14"/>
              </w:rPr>
              <w:t>3.125</w:t>
            </w:r>
          </w:p>
          <w:p w:rsidR="00F922F0" w:rsidRPr="00F922F0" w:rsidRDefault="00F922F0" w:rsidP="00F922F0">
            <w:pPr>
              <w:tabs>
                <w:tab w:val="left" w:pos="346"/>
                <w:tab w:val="left" w:pos="1525"/>
                <w:tab w:val="right" w:pos="2835"/>
              </w:tabs>
              <w:rPr>
                <w:sz w:val="14"/>
                <w:szCs w:val="14"/>
              </w:rPr>
            </w:pPr>
          </w:p>
        </w:tc>
        <w:tc>
          <w:tcPr>
            <w:tcW w:w="3041" w:type="dxa"/>
            <w:tcBorders>
              <w:top w:val="nil"/>
              <w:left w:val="nil"/>
              <w:right w:val="nil"/>
            </w:tcBorders>
            <w:shd w:val="clear" w:color="auto" w:fill="auto"/>
          </w:tcPr>
          <w:p w:rsidR="00F922F0" w:rsidRPr="00F922F0" w:rsidRDefault="00F922F0" w:rsidP="00F922F0">
            <w:pPr>
              <w:tabs>
                <w:tab w:val="right" w:pos="2835"/>
              </w:tabs>
              <w:spacing w:after="60"/>
              <w:rPr>
                <w:sz w:val="14"/>
                <w:szCs w:val="14"/>
              </w:rPr>
            </w:pPr>
            <w:r w:rsidRPr="00F922F0">
              <w:rPr>
                <w:sz w:val="14"/>
                <w:szCs w:val="14"/>
              </w:rPr>
              <w:t>IV.1</w:t>
            </w:r>
            <w:r w:rsidR="008C3520">
              <w:rPr>
                <w:sz w:val="14"/>
                <w:szCs w:val="14"/>
              </w:rPr>
              <w:t xml:space="preserve">  </w:t>
            </w:r>
            <w:r w:rsidR="008C3520" w:rsidRPr="008C3520">
              <w:rPr>
                <w:sz w:val="14"/>
                <w:szCs w:val="14"/>
              </w:rPr>
              <w:t>Sistema actualizado y aceptado mundialmente de clasificaciones internacionales y normas técnicas de la OMPI para facilitar el acceso, el uso y la difusión de información de P.I. entre las partes interesadas de todo el mundo</w:t>
            </w:r>
          </w:p>
          <w:p w:rsidR="00F922F0" w:rsidRPr="00F922F0" w:rsidRDefault="00F922F0" w:rsidP="00F922F0">
            <w:pPr>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sidR="00AC50B8">
              <w:rPr>
                <w:iCs/>
                <w:sz w:val="14"/>
                <w:szCs w:val="14"/>
              </w:rPr>
              <w:tab/>
            </w:r>
            <w:r w:rsidRPr="00F922F0">
              <w:rPr>
                <w:i/>
                <w:iCs/>
                <w:sz w:val="14"/>
                <w:szCs w:val="14"/>
              </w:rPr>
              <w:t>7.070</w:t>
            </w:r>
          </w:p>
          <w:p w:rsidR="00F922F0" w:rsidRPr="00F922F0" w:rsidRDefault="00F922F0" w:rsidP="00F922F0">
            <w:pPr>
              <w:tabs>
                <w:tab w:val="left" w:pos="378"/>
                <w:tab w:val="left" w:pos="2205"/>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AC50B8">
              <w:rPr>
                <w:i/>
                <w:iCs/>
                <w:color w:val="0000FF"/>
                <w:sz w:val="14"/>
                <w:szCs w:val="14"/>
              </w:rPr>
              <w:t xml:space="preserve">: </w:t>
            </w:r>
            <w:r w:rsidR="00AC50B8" w:rsidRPr="00AC50B8">
              <w:rPr>
                <w:i/>
                <w:iCs/>
                <w:color w:val="0000FF"/>
                <w:sz w:val="14"/>
                <w:szCs w:val="14"/>
              </w:rPr>
              <w:tab/>
            </w:r>
            <w:r w:rsidR="00AC50B8" w:rsidRPr="00AC50B8">
              <w:rPr>
                <w:i/>
                <w:iCs/>
                <w:color w:val="0000FF"/>
                <w:sz w:val="14"/>
                <w:szCs w:val="14"/>
              </w:rPr>
              <w:tab/>
            </w:r>
            <w:r w:rsidRPr="00AC50B8">
              <w:rPr>
                <w:i/>
                <w:iCs/>
                <w:color w:val="0000FF"/>
                <w:sz w:val="14"/>
                <w:szCs w:val="14"/>
              </w:rPr>
              <w:t>1.078</w:t>
            </w:r>
          </w:p>
          <w:p w:rsidR="00F922F0" w:rsidRPr="00F922F0" w:rsidRDefault="00F922F0" w:rsidP="00F922F0">
            <w:pPr>
              <w:tabs>
                <w:tab w:val="right" w:pos="2835"/>
              </w:tabs>
              <w:rPr>
                <w:sz w:val="14"/>
                <w:szCs w:val="14"/>
              </w:rPr>
            </w:pPr>
            <w:r w:rsidRPr="00F922F0">
              <w:rPr>
                <w:noProof/>
                <w:lang w:val="en-US" w:eastAsia="en-US"/>
              </w:rPr>
              <mc:AlternateContent>
                <mc:Choice Requires="wps">
                  <w:drawing>
                    <wp:anchor distT="4294967295" distB="4294967295" distL="114299" distR="114299" simplePos="0" relativeHeight="251667456" behindDoc="0" locked="0" layoutInCell="0" allowOverlap="1" wp14:anchorId="4CF97E83" wp14:editId="1A773C56">
                      <wp:simplePos x="0" y="0"/>
                      <wp:positionH relativeFrom="column">
                        <wp:posOffset>8083549</wp:posOffset>
                      </wp:positionH>
                      <wp:positionV relativeFrom="paragraph">
                        <wp:posOffset>668654</wp:posOffset>
                      </wp:positionV>
                      <wp:extent cx="0" cy="0"/>
                      <wp:effectExtent l="0" t="0" r="0" b="0"/>
                      <wp:wrapNone/>
                      <wp:docPr id="810" name="Straight Connector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10" o:spid="_x0000_s1026" style="position:absolute;z-index:251667456;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Fml7LMuAgAAVgQAAA4AAAAAAAAAAAAAAAAALgIAAGRy&#10;cy9lMm9Eb2MueG1sUEsBAi0AFAAGAAgAAAAhACvCgN/dAAAADQEAAA8AAAAAAAAAAAAAAAAAiAQA&#10;AGRycy9kb3ducmV2LnhtbFBLBQYAAAAABAAEAPMAAACSBQAAAAA=&#10;" o:allowincell="f">
                      <v:stroke endarrow="block"/>
                    </v:line>
                  </w:pict>
                </mc:Fallback>
              </mc:AlternateContent>
            </w:r>
          </w:p>
          <w:p w:rsidR="00F922F0" w:rsidRPr="00F922F0" w:rsidRDefault="008C3520" w:rsidP="00F922F0">
            <w:pPr>
              <w:tabs>
                <w:tab w:val="right" w:pos="2835"/>
              </w:tabs>
              <w:spacing w:after="60"/>
              <w:rPr>
                <w:sz w:val="14"/>
                <w:szCs w:val="14"/>
              </w:rPr>
            </w:pPr>
            <w:r>
              <w:rPr>
                <w:sz w:val="14"/>
                <w:szCs w:val="14"/>
              </w:rPr>
              <w:t xml:space="preserve">IV.2 </w:t>
            </w:r>
            <w:r w:rsidR="00F922F0" w:rsidRPr="00F922F0">
              <w:rPr>
                <w:sz w:val="14"/>
                <w:szCs w:val="14"/>
              </w:rPr>
              <w:t xml:space="preserve"> </w:t>
            </w:r>
            <w:r w:rsidRPr="008C3520">
              <w:rPr>
                <w:sz w:val="14"/>
                <w:szCs w:val="14"/>
              </w:rPr>
              <w:t>Mejora del acceso y uso de información de P.I. por parte de instituciones de P.I. y el público para fomentar la innovación y la creatividad</w:t>
            </w:r>
          </w:p>
          <w:p w:rsidR="00F922F0" w:rsidRPr="00F922F0" w:rsidRDefault="00F922F0" w:rsidP="00F922F0">
            <w:pPr>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sidR="00AC50B8">
              <w:rPr>
                <w:iCs/>
                <w:sz w:val="14"/>
                <w:szCs w:val="14"/>
              </w:rPr>
              <w:tab/>
            </w:r>
            <w:r w:rsidRPr="00F922F0">
              <w:rPr>
                <w:i/>
                <w:iCs/>
                <w:sz w:val="14"/>
                <w:szCs w:val="14"/>
              </w:rPr>
              <w:t>22.539</w:t>
            </w:r>
          </w:p>
          <w:p w:rsidR="00F922F0" w:rsidRPr="00F922F0" w:rsidRDefault="00F922F0" w:rsidP="00F922F0">
            <w:pPr>
              <w:tabs>
                <w:tab w:val="left" w:pos="366"/>
                <w:tab w:val="left" w:pos="2205"/>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AC50B8">
              <w:rPr>
                <w:i/>
                <w:iCs/>
                <w:color w:val="0000FF"/>
                <w:sz w:val="14"/>
                <w:szCs w:val="14"/>
              </w:rPr>
              <w:t xml:space="preserve">: </w:t>
            </w:r>
            <w:r w:rsidR="00AC50B8" w:rsidRPr="00AC50B8">
              <w:rPr>
                <w:i/>
                <w:iCs/>
                <w:color w:val="0000FF"/>
                <w:sz w:val="14"/>
                <w:szCs w:val="14"/>
              </w:rPr>
              <w:tab/>
            </w:r>
            <w:r w:rsidR="00AC50B8" w:rsidRPr="00AC50B8">
              <w:rPr>
                <w:i/>
                <w:iCs/>
                <w:color w:val="0000FF"/>
                <w:sz w:val="14"/>
                <w:szCs w:val="14"/>
              </w:rPr>
              <w:tab/>
            </w:r>
            <w:r w:rsidRPr="00AC50B8">
              <w:rPr>
                <w:i/>
                <w:iCs/>
                <w:color w:val="0000FF"/>
                <w:sz w:val="14"/>
                <w:szCs w:val="14"/>
              </w:rPr>
              <w:t>16.937</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8C3520" w:rsidP="00F922F0">
            <w:pPr>
              <w:tabs>
                <w:tab w:val="right" w:pos="2835"/>
              </w:tabs>
              <w:spacing w:after="60"/>
              <w:rPr>
                <w:sz w:val="14"/>
                <w:szCs w:val="14"/>
              </w:rPr>
            </w:pPr>
            <w:r>
              <w:rPr>
                <w:sz w:val="14"/>
                <w:szCs w:val="14"/>
              </w:rPr>
              <w:t xml:space="preserve">IV.3 </w:t>
            </w:r>
            <w:r w:rsidR="00F922F0" w:rsidRPr="00F922F0">
              <w:rPr>
                <w:sz w:val="14"/>
                <w:szCs w:val="14"/>
              </w:rPr>
              <w:t xml:space="preserve"> </w:t>
            </w:r>
            <w:r w:rsidRPr="008C3520">
              <w:rPr>
                <w:sz w:val="14"/>
                <w:szCs w:val="14"/>
              </w:rPr>
              <w:t>Amplia cobertura geográfica en cuanto al contenido y al uso de las bases de datos mundiales de la OMPI en materia de P.I.</w:t>
            </w:r>
          </w:p>
          <w:p w:rsidR="00F922F0" w:rsidRPr="00F922F0" w:rsidRDefault="00F922F0" w:rsidP="00F922F0">
            <w:pPr>
              <w:tabs>
                <w:tab w:val="left" w:pos="366"/>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sidR="00A040DB">
              <w:rPr>
                <w:iCs/>
                <w:sz w:val="14"/>
                <w:szCs w:val="14"/>
              </w:rPr>
              <w:tab/>
            </w:r>
            <w:r w:rsidR="00A040DB">
              <w:rPr>
                <w:i/>
                <w:iCs/>
                <w:sz w:val="14"/>
                <w:szCs w:val="14"/>
              </w:rPr>
              <w:t>1.956</w:t>
            </w:r>
          </w:p>
          <w:p w:rsidR="00F922F0" w:rsidRPr="00A040DB" w:rsidRDefault="00F922F0" w:rsidP="00F922F0">
            <w:pPr>
              <w:tabs>
                <w:tab w:val="left" w:pos="378"/>
                <w:tab w:val="left" w:pos="2347"/>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A040DB">
              <w:rPr>
                <w:i/>
                <w:iCs/>
                <w:color w:val="0000FF"/>
                <w:sz w:val="14"/>
                <w:szCs w:val="14"/>
              </w:rPr>
              <w:t xml:space="preserve">: </w:t>
            </w:r>
            <w:r w:rsidR="00A040DB" w:rsidRPr="00A040DB">
              <w:rPr>
                <w:i/>
                <w:iCs/>
                <w:color w:val="0000FF"/>
                <w:sz w:val="14"/>
                <w:szCs w:val="14"/>
              </w:rPr>
              <w:tab/>
            </w:r>
            <w:r w:rsidR="00A040DB" w:rsidRPr="00A040DB">
              <w:rPr>
                <w:i/>
                <w:iCs/>
                <w:color w:val="0000FF"/>
                <w:sz w:val="14"/>
                <w:szCs w:val="14"/>
              </w:rPr>
              <w:tab/>
            </w:r>
            <w:r w:rsidRPr="00A040DB">
              <w:rPr>
                <w:i/>
                <w:iCs/>
                <w:color w:val="0000FF"/>
                <w:sz w:val="14"/>
                <w:szCs w:val="14"/>
              </w:rPr>
              <w:t>489</w:t>
            </w:r>
          </w:p>
          <w:p w:rsidR="00F922F0" w:rsidRPr="00F922F0" w:rsidRDefault="00F922F0" w:rsidP="00F922F0">
            <w:pPr>
              <w:tabs>
                <w:tab w:val="right" w:pos="2835"/>
              </w:tabs>
              <w:rPr>
                <w:sz w:val="14"/>
                <w:szCs w:val="14"/>
              </w:rPr>
            </w:pPr>
          </w:p>
          <w:p w:rsidR="00F922F0" w:rsidRPr="00F922F0" w:rsidRDefault="00F922F0" w:rsidP="00F922F0">
            <w:pPr>
              <w:tabs>
                <w:tab w:val="left" w:pos="353"/>
                <w:tab w:val="left" w:pos="2205"/>
                <w:tab w:val="right" w:pos="2835"/>
              </w:tabs>
              <w:rPr>
                <w:sz w:val="14"/>
                <w:szCs w:val="14"/>
              </w:rPr>
            </w:pPr>
            <w:r w:rsidRPr="00F922F0">
              <w:rPr>
                <w:sz w:val="14"/>
                <w:szCs w:val="14"/>
              </w:rPr>
              <w:t xml:space="preserve">IV.4 </w:t>
            </w:r>
            <w:r w:rsidR="008C3520">
              <w:rPr>
                <w:sz w:val="14"/>
                <w:szCs w:val="14"/>
              </w:rPr>
              <w:t xml:space="preserve"> </w:t>
            </w:r>
            <w:r w:rsidR="008C3520" w:rsidRPr="008C3520">
              <w:rPr>
                <w:sz w:val="14"/>
                <w:szCs w:val="14"/>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p w:rsidR="00F922F0" w:rsidRPr="00F922F0" w:rsidRDefault="00F922F0" w:rsidP="00F922F0">
            <w:pPr>
              <w:tabs>
                <w:tab w:val="left" w:pos="353"/>
                <w:tab w:val="left" w:pos="2205"/>
                <w:tab w:val="right" w:pos="2835"/>
              </w:tabs>
              <w:rPr>
                <w:sz w:val="14"/>
                <w:szCs w:val="14"/>
              </w:rPr>
            </w:pPr>
          </w:p>
          <w:p w:rsidR="00F922F0" w:rsidRPr="00F922F0" w:rsidRDefault="00F922F0" w:rsidP="00F922F0">
            <w:pPr>
              <w:tabs>
                <w:tab w:val="left" w:pos="353"/>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sidR="00A040DB">
              <w:rPr>
                <w:iCs/>
                <w:sz w:val="14"/>
                <w:szCs w:val="14"/>
              </w:rPr>
              <w:tab/>
            </w:r>
            <w:r w:rsidRPr="00F922F0">
              <w:rPr>
                <w:i/>
                <w:iCs/>
                <w:sz w:val="14"/>
                <w:szCs w:val="14"/>
              </w:rPr>
              <w:t>15.409</w:t>
            </w:r>
          </w:p>
          <w:p w:rsidR="00F922F0" w:rsidRPr="00F922F0" w:rsidRDefault="00F922F0" w:rsidP="00F922F0">
            <w:pPr>
              <w:tabs>
                <w:tab w:val="left" w:pos="366"/>
                <w:tab w:val="left" w:pos="2205"/>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A040DB">
              <w:rPr>
                <w:i/>
                <w:iCs/>
                <w:color w:val="0000FF"/>
                <w:sz w:val="14"/>
                <w:szCs w:val="14"/>
              </w:rPr>
              <w:t xml:space="preserve">: </w:t>
            </w:r>
            <w:r w:rsidR="00A040DB" w:rsidRPr="00A040DB">
              <w:rPr>
                <w:i/>
                <w:iCs/>
                <w:color w:val="0000FF"/>
                <w:sz w:val="14"/>
                <w:szCs w:val="14"/>
              </w:rPr>
              <w:tab/>
            </w:r>
            <w:r w:rsidR="00A040DB" w:rsidRPr="00A040DB">
              <w:rPr>
                <w:i/>
                <w:iCs/>
                <w:color w:val="0000FF"/>
                <w:sz w:val="14"/>
                <w:szCs w:val="14"/>
              </w:rPr>
              <w:tab/>
            </w:r>
            <w:r w:rsidRPr="00A040DB">
              <w:rPr>
                <w:i/>
                <w:iCs/>
                <w:color w:val="0000FF"/>
                <w:sz w:val="14"/>
                <w:szCs w:val="14"/>
              </w:rPr>
              <w:t>13.499</w:t>
            </w:r>
          </w:p>
        </w:tc>
        <w:tc>
          <w:tcPr>
            <w:tcW w:w="3040" w:type="dxa"/>
            <w:tcBorders>
              <w:top w:val="nil"/>
              <w:left w:val="nil"/>
              <w:right w:val="nil"/>
            </w:tcBorders>
            <w:shd w:val="clear" w:color="auto" w:fill="auto"/>
          </w:tcPr>
          <w:p w:rsidR="00F922F0" w:rsidRPr="00F922F0" w:rsidRDefault="00F922F0" w:rsidP="00F922F0">
            <w:pPr>
              <w:tabs>
                <w:tab w:val="right" w:pos="2835"/>
              </w:tabs>
              <w:spacing w:after="60"/>
              <w:rPr>
                <w:sz w:val="14"/>
                <w:szCs w:val="14"/>
              </w:rPr>
            </w:pPr>
            <w:r w:rsidRPr="00F922F0">
              <w:rPr>
                <w:sz w:val="14"/>
                <w:szCs w:val="14"/>
              </w:rPr>
              <w:t>V.1</w:t>
            </w:r>
            <w:r w:rsidR="008C3520">
              <w:rPr>
                <w:sz w:val="14"/>
                <w:szCs w:val="14"/>
              </w:rPr>
              <w:t xml:space="preserve">  </w:t>
            </w:r>
            <w:r w:rsidR="008C3520" w:rsidRPr="008C3520">
              <w:rPr>
                <w:sz w:val="14"/>
                <w:szCs w:val="14"/>
              </w:rPr>
              <w:t>Mayor y mejor utilización de la información estadística de la OMPI en materia de P.I.</w:t>
            </w:r>
          </w:p>
          <w:p w:rsidR="00F922F0" w:rsidRPr="00F922F0" w:rsidRDefault="00F922F0" w:rsidP="00F922F0">
            <w:pPr>
              <w:tabs>
                <w:tab w:val="left" w:pos="381"/>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sidR="005843E3">
              <w:rPr>
                <w:iCs/>
                <w:sz w:val="14"/>
                <w:szCs w:val="14"/>
              </w:rPr>
              <w:tab/>
            </w:r>
            <w:r w:rsidRPr="00F922F0">
              <w:rPr>
                <w:i/>
                <w:iCs/>
                <w:sz w:val="14"/>
                <w:szCs w:val="14"/>
              </w:rPr>
              <w:t>2.677</w:t>
            </w:r>
          </w:p>
          <w:p w:rsidR="00F922F0" w:rsidRPr="005843E3" w:rsidRDefault="00F922F0" w:rsidP="00F922F0">
            <w:pPr>
              <w:tabs>
                <w:tab w:val="left" w:pos="368"/>
                <w:tab w:val="left" w:pos="2221"/>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5843E3">
              <w:rPr>
                <w:i/>
                <w:iCs/>
                <w:color w:val="0000FF"/>
                <w:sz w:val="14"/>
                <w:szCs w:val="14"/>
              </w:rPr>
              <w:t>:</w:t>
            </w:r>
            <w:r w:rsidR="005843E3" w:rsidRPr="005843E3">
              <w:rPr>
                <w:i/>
                <w:iCs/>
                <w:color w:val="0000FF"/>
                <w:sz w:val="14"/>
                <w:szCs w:val="14"/>
              </w:rPr>
              <w:tab/>
            </w:r>
            <w:r w:rsidR="005843E3" w:rsidRPr="005843E3">
              <w:rPr>
                <w:i/>
                <w:iCs/>
                <w:color w:val="0000FF"/>
                <w:sz w:val="14"/>
                <w:szCs w:val="14"/>
              </w:rPr>
              <w:tab/>
            </w:r>
            <w:r w:rsidRPr="005843E3">
              <w:rPr>
                <w:i/>
                <w:iCs/>
                <w:color w:val="0000FF"/>
                <w:sz w:val="14"/>
                <w:szCs w:val="14"/>
              </w:rPr>
              <w:t>-</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V.2</w:t>
            </w:r>
            <w:r w:rsidR="008C3520">
              <w:rPr>
                <w:sz w:val="14"/>
                <w:szCs w:val="14"/>
              </w:rPr>
              <w:t xml:space="preserve">  </w:t>
            </w:r>
            <w:r w:rsidR="008C3520" w:rsidRPr="008C3520">
              <w:rPr>
                <w:sz w:val="14"/>
                <w:szCs w:val="14"/>
              </w:rPr>
              <w:t>Uso más amplio y mejor de los análisis económicos de la OMPI en la formulación de políticas</w:t>
            </w:r>
          </w:p>
          <w:p w:rsidR="00F922F0" w:rsidRPr="00F922F0" w:rsidRDefault="00F922F0" w:rsidP="00F922F0">
            <w:pPr>
              <w:tabs>
                <w:tab w:val="left" w:pos="381"/>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sidR="005843E3">
              <w:rPr>
                <w:iCs/>
                <w:sz w:val="14"/>
                <w:szCs w:val="14"/>
              </w:rPr>
              <w:tab/>
            </w:r>
            <w:r w:rsidRPr="00F922F0">
              <w:rPr>
                <w:i/>
                <w:iCs/>
                <w:sz w:val="14"/>
                <w:szCs w:val="14"/>
              </w:rPr>
              <w:t>3.395</w:t>
            </w:r>
          </w:p>
          <w:p w:rsidR="00F922F0" w:rsidRPr="00F922F0" w:rsidRDefault="00F922F0" w:rsidP="00F922F0">
            <w:pPr>
              <w:tabs>
                <w:tab w:val="left" w:pos="381"/>
                <w:tab w:val="left" w:pos="2221"/>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5843E3">
              <w:rPr>
                <w:i/>
                <w:iCs/>
                <w:color w:val="0000FF"/>
                <w:sz w:val="14"/>
                <w:szCs w:val="14"/>
              </w:rPr>
              <w:t xml:space="preserve">: </w:t>
            </w:r>
            <w:r w:rsidR="005843E3" w:rsidRPr="005843E3">
              <w:rPr>
                <w:i/>
                <w:iCs/>
                <w:color w:val="0000FF"/>
                <w:sz w:val="14"/>
                <w:szCs w:val="14"/>
              </w:rPr>
              <w:tab/>
            </w:r>
            <w:r w:rsidR="005843E3" w:rsidRPr="005843E3">
              <w:rPr>
                <w:i/>
                <w:iCs/>
                <w:color w:val="0000FF"/>
                <w:sz w:val="14"/>
                <w:szCs w:val="14"/>
              </w:rPr>
              <w:tab/>
            </w:r>
            <w:r w:rsidRPr="005843E3">
              <w:rPr>
                <w:i/>
                <w:iCs/>
                <w:color w:val="0000FF"/>
                <w:sz w:val="14"/>
                <w:szCs w:val="14"/>
              </w:rPr>
              <w:t>1.525</w:t>
            </w:r>
          </w:p>
          <w:p w:rsidR="00F922F0" w:rsidRPr="00F922F0" w:rsidRDefault="00F922F0" w:rsidP="00F922F0">
            <w:pPr>
              <w:tabs>
                <w:tab w:val="right" w:pos="2835"/>
              </w:tabs>
              <w:rPr>
                <w:sz w:val="14"/>
                <w:szCs w:val="14"/>
              </w:rPr>
            </w:pPr>
          </w:p>
          <w:p w:rsidR="00F922F0" w:rsidRPr="00F922F0" w:rsidRDefault="00F922F0" w:rsidP="00F922F0">
            <w:pPr>
              <w:tabs>
                <w:tab w:val="left" w:pos="1525"/>
                <w:tab w:val="right" w:pos="2835"/>
              </w:tabs>
              <w:rPr>
                <w:sz w:val="14"/>
                <w:szCs w:val="14"/>
              </w:rPr>
            </w:pPr>
          </w:p>
        </w:tc>
        <w:tc>
          <w:tcPr>
            <w:tcW w:w="3041" w:type="dxa"/>
            <w:tcBorders>
              <w:top w:val="nil"/>
              <w:left w:val="nil"/>
              <w:right w:val="nil"/>
            </w:tcBorders>
            <w:shd w:val="clear" w:color="auto" w:fill="auto"/>
          </w:tcPr>
          <w:p w:rsidR="00F922F0" w:rsidRPr="00F922F0" w:rsidRDefault="00F922F0" w:rsidP="00F922F0">
            <w:pPr>
              <w:tabs>
                <w:tab w:val="left" w:pos="395"/>
                <w:tab w:val="right" w:pos="2835"/>
              </w:tabs>
              <w:spacing w:after="60"/>
              <w:rPr>
                <w:sz w:val="14"/>
                <w:szCs w:val="14"/>
              </w:rPr>
            </w:pPr>
            <w:r w:rsidRPr="00F922F0">
              <w:rPr>
                <w:sz w:val="14"/>
                <w:szCs w:val="14"/>
              </w:rPr>
              <w:t>VI.1</w:t>
            </w:r>
            <w:r w:rsidR="008C3520">
              <w:rPr>
                <w:sz w:val="14"/>
                <w:szCs w:val="14"/>
              </w:rPr>
              <w:t xml:space="preserve">  </w:t>
            </w:r>
            <w:r w:rsidR="008C3520" w:rsidRPr="008C3520">
              <w:rPr>
                <w:sz w:val="14"/>
                <w:szCs w:val="14"/>
              </w:rPr>
              <w:t>Avances en el diálogo internacional sobre políticas entre los Estados miembros de la OMPI para fomentar el respeto por la P.I. sobre la base de la recomendación 45 de la Agenda de la OMPI para el Desarrollo</w:t>
            </w:r>
          </w:p>
          <w:p w:rsidR="00F922F0" w:rsidRPr="00F922F0" w:rsidRDefault="00F922F0" w:rsidP="00F922F0">
            <w:pPr>
              <w:tabs>
                <w:tab w:val="left" w:pos="384"/>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sidR="00F6717D">
              <w:rPr>
                <w:iCs/>
                <w:sz w:val="14"/>
                <w:szCs w:val="14"/>
              </w:rPr>
              <w:tab/>
            </w:r>
            <w:r w:rsidRPr="00F922F0">
              <w:rPr>
                <w:i/>
                <w:iCs/>
                <w:sz w:val="14"/>
                <w:szCs w:val="14"/>
              </w:rPr>
              <w:t>756</w:t>
            </w:r>
          </w:p>
          <w:p w:rsidR="00F922F0" w:rsidRPr="00F6717D" w:rsidRDefault="00F922F0" w:rsidP="00F922F0">
            <w:pPr>
              <w:tabs>
                <w:tab w:val="left" w:pos="395"/>
                <w:tab w:val="left" w:pos="2237"/>
                <w:tab w:val="right" w:pos="2835"/>
              </w:tabs>
              <w:rPr>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6717D">
              <w:rPr>
                <w:i/>
                <w:iCs/>
                <w:color w:val="0000FF"/>
                <w:sz w:val="14"/>
                <w:szCs w:val="14"/>
              </w:rPr>
              <w:t xml:space="preserve">: </w:t>
            </w:r>
            <w:r w:rsidR="00F6717D" w:rsidRPr="00F6717D">
              <w:rPr>
                <w:i/>
                <w:iCs/>
                <w:color w:val="0000FF"/>
                <w:sz w:val="14"/>
                <w:szCs w:val="14"/>
              </w:rPr>
              <w:tab/>
            </w:r>
            <w:r w:rsidR="00F6717D" w:rsidRPr="00F6717D">
              <w:rPr>
                <w:i/>
                <w:iCs/>
                <w:color w:val="0000FF"/>
                <w:sz w:val="14"/>
                <w:szCs w:val="14"/>
              </w:rPr>
              <w:tab/>
            </w:r>
            <w:r w:rsidRPr="00F6717D">
              <w:rPr>
                <w:i/>
                <w:iCs/>
                <w:color w:val="0000FF"/>
                <w:sz w:val="14"/>
                <w:szCs w:val="14"/>
              </w:rPr>
              <w:t>507</w:t>
            </w:r>
          </w:p>
          <w:p w:rsidR="00F922F0" w:rsidRPr="00F922F0" w:rsidRDefault="00F922F0" w:rsidP="00F922F0">
            <w:pPr>
              <w:tabs>
                <w:tab w:val="right" w:pos="2835"/>
              </w:tabs>
              <w:rPr>
                <w:sz w:val="14"/>
                <w:szCs w:val="14"/>
              </w:rPr>
            </w:pPr>
          </w:p>
          <w:p w:rsidR="00F922F0" w:rsidRPr="00F922F0" w:rsidRDefault="00F922F0" w:rsidP="00F922F0">
            <w:pPr>
              <w:tabs>
                <w:tab w:val="right" w:pos="2835"/>
              </w:tabs>
              <w:spacing w:after="60"/>
              <w:rPr>
                <w:sz w:val="14"/>
                <w:szCs w:val="14"/>
              </w:rPr>
            </w:pPr>
            <w:r w:rsidRPr="00F922F0">
              <w:rPr>
                <w:sz w:val="14"/>
                <w:szCs w:val="14"/>
              </w:rPr>
              <w:t>VI.2</w:t>
            </w:r>
            <w:r w:rsidR="008C3520">
              <w:rPr>
                <w:sz w:val="14"/>
                <w:szCs w:val="14"/>
              </w:rPr>
              <w:t xml:space="preserve">  </w:t>
            </w:r>
            <w:r w:rsidR="008C3520" w:rsidRPr="008C3520">
              <w:rPr>
                <w:sz w:val="14"/>
                <w:szCs w:val="14"/>
              </w:rPr>
              <w:t>Cooperación y coordinación sistemáticas, eficaces y transparentes entre la OMPI y otras organizaciones internacionales en el fomento del respeto por la P.I.</w:t>
            </w:r>
          </w:p>
          <w:p w:rsidR="00F922F0" w:rsidRPr="00F922F0" w:rsidRDefault="00F922F0" w:rsidP="00F922F0">
            <w:pPr>
              <w:tabs>
                <w:tab w:val="left" w:pos="397"/>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sidR="00F6717D">
              <w:rPr>
                <w:iCs/>
                <w:sz w:val="14"/>
                <w:szCs w:val="14"/>
              </w:rPr>
              <w:tab/>
            </w:r>
            <w:r w:rsidRPr="00F922F0">
              <w:rPr>
                <w:i/>
                <w:iCs/>
                <w:sz w:val="14"/>
                <w:szCs w:val="14"/>
              </w:rPr>
              <w:t>1.308</w:t>
            </w:r>
          </w:p>
          <w:p w:rsidR="00F922F0" w:rsidRPr="00F922F0" w:rsidRDefault="00F922F0" w:rsidP="00F6717D">
            <w:pPr>
              <w:tabs>
                <w:tab w:val="left" w:pos="384"/>
                <w:tab w:val="left" w:pos="2237"/>
                <w:tab w:val="right" w:pos="2835"/>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6717D">
              <w:rPr>
                <w:i/>
                <w:iCs/>
                <w:color w:val="0000FF"/>
                <w:sz w:val="14"/>
                <w:szCs w:val="14"/>
              </w:rPr>
              <w:t xml:space="preserve">: </w:t>
            </w:r>
            <w:r w:rsidR="00F6717D" w:rsidRPr="00F6717D">
              <w:rPr>
                <w:i/>
                <w:iCs/>
                <w:color w:val="0000FF"/>
                <w:sz w:val="14"/>
                <w:szCs w:val="14"/>
              </w:rPr>
              <w:tab/>
            </w:r>
            <w:r w:rsidR="00F6717D" w:rsidRPr="00F6717D">
              <w:rPr>
                <w:i/>
                <w:iCs/>
                <w:color w:val="0000FF"/>
                <w:sz w:val="14"/>
                <w:szCs w:val="14"/>
              </w:rPr>
              <w:tab/>
            </w:r>
            <w:r w:rsidRPr="00F6717D">
              <w:rPr>
                <w:i/>
                <w:iCs/>
                <w:color w:val="0000FF"/>
                <w:sz w:val="14"/>
                <w:szCs w:val="14"/>
              </w:rPr>
              <w:t>981</w:t>
            </w:r>
          </w:p>
        </w:tc>
        <w:tc>
          <w:tcPr>
            <w:tcW w:w="3046" w:type="dxa"/>
            <w:tcBorders>
              <w:top w:val="nil"/>
              <w:left w:val="nil"/>
              <w:right w:val="single" w:sz="4" w:space="0" w:color="auto"/>
            </w:tcBorders>
            <w:shd w:val="clear" w:color="auto" w:fill="auto"/>
          </w:tcPr>
          <w:p w:rsidR="00F922F0" w:rsidRPr="00F922F0" w:rsidRDefault="00F922F0" w:rsidP="00F922F0">
            <w:pPr>
              <w:tabs>
                <w:tab w:val="right" w:pos="2835"/>
              </w:tabs>
              <w:rPr>
                <w:sz w:val="14"/>
                <w:szCs w:val="14"/>
              </w:rPr>
            </w:pPr>
            <w:r w:rsidRPr="00F922F0">
              <w:rPr>
                <w:sz w:val="14"/>
                <w:szCs w:val="14"/>
              </w:rPr>
              <w:t xml:space="preserve">VII.2 </w:t>
            </w:r>
            <w:r w:rsidR="008C3520">
              <w:rPr>
                <w:sz w:val="14"/>
                <w:szCs w:val="14"/>
              </w:rPr>
              <w:t xml:space="preserve"> </w:t>
            </w:r>
            <w:r w:rsidR="008C3520" w:rsidRPr="008C3520">
              <w:rPr>
                <w:sz w:val="14"/>
                <w:szCs w:val="14"/>
              </w:rPr>
              <w:t>Plataformas y herramientas de P.I. utilizadas para la transferencia de conocimiento y la adaptación y difusión de tecnología de los países desarrollados a los países en desarrollo, en particular, a los menos adelantados, con el fin de atender los desafíos mundiales</w:t>
            </w:r>
          </w:p>
          <w:p w:rsidR="00F922F0" w:rsidRPr="00F922F0" w:rsidRDefault="00F922F0" w:rsidP="00F922F0">
            <w:pPr>
              <w:tabs>
                <w:tab w:val="right" w:pos="2835"/>
              </w:tabs>
              <w:rPr>
                <w:sz w:val="14"/>
                <w:szCs w:val="14"/>
              </w:rPr>
            </w:pPr>
          </w:p>
          <w:p w:rsidR="00F922F0" w:rsidRPr="00F922F0" w:rsidRDefault="00F922F0" w:rsidP="00F922F0">
            <w:pPr>
              <w:tabs>
                <w:tab w:val="left" w:pos="424"/>
                <w:tab w:val="left" w:pos="2253"/>
                <w:tab w:val="right" w:pos="2835"/>
              </w:tabs>
              <w:rPr>
                <w:i/>
                <w:iCs/>
                <w:sz w:val="14"/>
                <w:szCs w:val="14"/>
              </w:rPr>
            </w:pPr>
            <w:r w:rsidRPr="00F922F0">
              <w:rPr>
                <w:i/>
                <w:iCs/>
                <w:sz w:val="14"/>
                <w:szCs w:val="14"/>
              </w:rPr>
              <w:tab/>
              <w:t>Presupuesto propuesto 16/17:</w:t>
            </w:r>
            <w:r w:rsidRPr="00F922F0">
              <w:rPr>
                <w:iCs/>
                <w:sz w:val="14"/>
                <w:szCs w:val="14"/>
              </w:rPr>
              <w:t xml:space="preserve"> </w:t>
            </w:r>
            <w:r w:rsidR="00740337">
              <w:rPr>
                <w:iCs/>
                <w:sz w:val="14"/>
                <w:szCs w:val="14"/>
              </w:rPr>
              <w:tab/>
            </w:r>
            <w:r w:rsidRPr="00F922F0">
              <w:rPr>
                <w:i/>
                <w:iCs/>
                <w:sz w:val="14"/>
                <w:szCs w:val="14"/>
              </w:rPr>
              <w:t>3.950</w:t>
            </w:r>
          </w:p>
          <w:p w:rsidR="00F922F0" w:rsidRPr="00740337" w:rsidRDefault="00F922F0" w:rsidP="00F922F0">
            <w:pPr>
              <w:tabs>
                <w:tab w:val="left" w:pos="399"/>
                <w:tab w:val="left" w:pos="2253"/>
                <w:tab w:val="right" w:pos="2835"/>
              </w:tabs>
              <w:rPr>
                <w:i/>
                <w:iCs/>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740337">
              <w:rPr>
                <w:i/>
                <w:iCs/>
                <w:color w:val="0000FF"/>
                <w:sz w:val="14"/>
                <w:szCs w:val="14"/>
              </w:rPr>
              <w:t xml:space="preserve">: </w:t>
            </w:r>
            <w:r w:rsidR="00740337" w:rsidRPr="00740337">
              <w:rPr>
                <w:i/>
                <w:iCs/>
                <w:color w:val="0000FF"/>
                <w:sz w:val="14"/>
                <w:szCs w:val="14"/>
              </w:rPr>
              <w:tab/>
            </w:r>
            <w:r w:rsidR="00740337" w:rsidRPr="00740337">
              <w:rPr>
                <w:i/>
                <w:iCs/>
                <w:color w:val="0000FF"/>
                <w:sz w:val="14"/>
                <w:szCs w:val="14"/>
              </w:rPr>
              <w:tab/>
            </w:r>
            <w:r w:rsidRPr="00740337">
              <w:rPr>
                <w:i/>
                <w:iCs/>
                <w:color w:val="0000FF"/>
                <w:sz w:val="14"/>
                <w:szCs w:val="14"/>
              </w:rPr>
              <w:t>3.016</w:t>
            </w:r>
          </w:p>
          <w:p w:rsidR="00F922F0" w:rsidRPr="00F922F0" w:rsidRDefault="00F922F0" w:rsidP="00F922F0">
            <w:pPr>
              <w:tabs>
                <w:tab w:val="right" w:pos="2835"/>
              </w:tabs>
              <w:rPr>
                <w:sz w:val="14"/>
                <w:szCs w:val="14"/>
              </w:rPr>
            </w:pPr>
          </w:p>
          <w:p w:rsidR="00F922F0" w:rsidRPr="00F922F0" w:rsidRDefault="00F922F0" w:rsidP="00F922F0">
            <w:pPr>
              <w:tabs>
                <w:tab w:val="right" w:pos="2835"/>
              </w:tabs>
              <w:rPr>
                <w:sz w:val="14"/>
                <w:szCs w:val="14"/>
              </w:rPr>
            </w:pPr>
          </w:p>
          <w:p w:rsidR="00F922F0" w:rsidRPr="00F922F0" w:rsidRDefault="00F922F0" w:rsidP="00F922F0">
            <w:pPr>
              <w:tabs>
                <w:tab w:val="left" w:pos="424"/>
                <w:tab w:val="left" w:pos="2253"/>
                <w:tab w:val="right" w:pos="2835"/>
              </w:tabs>
              <w:rPr>
                <w:sz w:val="14"/>
                <w:szCs w:val="14"/>
              </w:rPr>
            </w:pPr>
            <w:r w:rsidRPr="00F922F0">
              <w:rPr>
                <w:i/>
                <w:iCs/>
                <w:sz w:val="14"/>
                <w:szCs w:val="14"/>
              </w:rPr>
              <w:tab/>
            </w:r>
            <w:r w:rsidRPr="00F922F0">
              <w:rPr>
                <w:i/>
                <w:iCs/>
                <w:sz w:val="14"/>
                <w:szCs w:val="14"/>
              </w:rPr>
              <w:tab/>
            </w:r>
          </w:p>
        </w:tc>
      </w:tr>
      <w:tr w:rsidR="00F922F0" w:rsidRPr="00F922F0" w:rsidTr="00BE7B0B">
        <w:trPr>
          <w:trHeight w:val="145"/>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3040" w:type="dxa"/>
            <w:tcBorders>
              <w:top w:val="nil"/>
              <w:left w:val="single" w:sz="4" w:space="0" w:color="auto"/>
              <w:bottom w:val="nil"/>
              <w:right w:val="nil"/>
            </w:tcBorders>
            <w:shd w:val="clear" w:color="auto" w:fill="auto"/>
          </w:tcPr>
          <w:p w:rsidR="00F922F0" w:rsidRPr="00F922F0" w:rsidRDefault="00F922F0" w:rsidP="00F922F0">
            <w:pPr>
              <w:tabs>
                <w:tab w:val="left" w:pos="2157"/>
                <w:tab w:val="right" w:pos="2835"/>
              </w:tabs>
              <w:rPr>
                <w:i/>
                <w:iCs/>
                <w:sz w:val="14"/>
                <w:szCs w:val="14"/>
              </w:rPr>
            </w:pPr>
            <w:r w:rsidRPr="00F922F0">
              <w:rPr>
                <w:i/>
                <w:iCs/>
                <w:sz w:val="14"/>
                <w:szCs w:val="14"/>
              </w:rPr>
              <w:t>Total presupuesto propuesto, meta I:</w:t>
            </w:r>
            <w:r w:rsidRPr="00F922F0">
              <w:rPr>
                <w:iCs/>
                <w:sz w:val="14"/>
                <w:szCs w:val="14"/>
              </w:rPr>
              <w:t xml:space="preserve"> </w:t>
            </w:r>
            <w:r w:rsidRPr="00F922F0">
              <w:rPr>
                <w:i/>
                <w:iCs/>
                <w:sz w:val="14"/>
                <w:szCs w:val="14"/>
              </w:rPr>
              <w:t>24.762</w:t>
            </w:r>
          </w:p>
          <w:p w:rsidR="00F922F0" w:rsidRPr="00F922F0" w:rsidRDefault="00F922F0" w:rsidP="0041743A">
            <w:pPr>
              <w:tabs>
                <w:tab w:val="left" w:pos="2157"/>
                <w:tab w:val="right" w:pos="2835"/>
              </w:tabs>
              <w:rPr>
                <w:i/>
                <w:iCs/>
                <w:sz w:val="14"/>
                <w:szCs w:val="14"/>
              </w:rPr>
            </w:pPr>
            <w:r w:rsidRPr="00F922F0">
              <w:rPr>
                <w:i/>
                <w:iCs/>
                <w:color w:val="0000FF"/>
                <w:sz w:val="14"/>
                <w:szCs w:val="14"/>
              </w:rPr>
              <w:t>Total cuota</w:t>
            </w:r>
            <w:r w:rsidR="0041743A">
              <w:rPr>
                <w:i/>
                <w:iCs/>
                <w:color w:val="0000FF"/>
                <w:sz w:val="14"/>
                <w:szCs w:val="14"/>
              </w:rPr>
              <w:t xml:space="preserve"> para el desarrollo</w:t>
            </w:r>
            <w:r w:rsidRPr="00F922F0">
              <w:rPr>
                <w:i/>
                <w:iCs/>
                <w:color w:val="0000FF"/>
                <w:sz w:val="14"/>
                <w:szCs w:val="14"/>
              </w:rPr>
              <w:t>, meta I:</w:t>
            </w:r>
            <w:r w:rsidRPr="00F922F0">
              <w:rPr>
                <w:iCs/>
                <w:color w:val="0000FF"/>
                <w:sz w:val="14"/>
                <w:szCs w:val="14"/>
              </w:rPr>
              <w:t xml:space="preserve"> </w:t>
            </w:r>
            <w:r w:rsidRPr="00F922F0">
              <w:rPr>
                <w:i/>
                <w:iCs/>
                <w:color w:val="0000FF"/>
                <w:sz w:val="14"/>
                <w:szCs w:val="14"/>
              </w:rPr>
              <w:t>17.005</w:t>
            </w:r>
          </w:p>
        </w:tc>
        <w:tc>
          <w:tcPr>
            <w:tcW w:w="3041" w:type="dxa"/>
            <w:tcBorders>
              <w:top w:val="nil"/>
              <w:left w:val="nil"/>
              <w:bottom w:val="nil"/>
              <w:right w:val="nil"/>
            </w:tcBorders>
            <w:shd w:val="clear" w:color="auto" w:fill="auto"/>
          </w:tcPr>
          <w:p w:rsidR="00F922F0" w:rsidRPr="00F922F0" w:rsidRDefault="00F922F0" w:rsidP="00F922F0">
            <w:pPr>
              <w:tabs>
                <w:tab w:val="left" w:pos="2173"/>
                <w:tab w:val="right" w:pos="2835"/>
              </w:tabs>
              <w:rPr>
                <w:i/>
                <w:iCs/>
                <w:sz w:val="14"/>
                <w:szCs w:val="14"/>
              </w:rPr>
            </w:pPr>
            <w:r w:rsidRPr="00F922F0">
              <w:rPr>
                <w:i/>
                <w:iCs/>
                <w:sz w:val="14"/>
                <w:szCs w:val="14"/>
              </w:rPr>
              <w:t xml:space="preserve">Total presupuesto propuesto, meta II: </w:t>
            </w:r>
            <w:r w:rsidR="00147560">
              <w:rPr>
                <w:i/>
                <w:iCs/>
                <w:sz w:val="14"/>
                <w:szCs w:val="14"/>
              </w:rPr>
              <w:tab/>
            </w:r>
            <w:r w:rsidRPr="00F922F0">
              <w:rPr>
                <w:i/>
                <w:iCs/>
                <w:sz w:val="14"/>
                <w:szCs w:val="14"/>
              </w:rPr>
              <w:t>291.655</w:t>
            </w:r>
          </w:p>
          <w:p w:rsidR="00F922F0" w:rsidRPr="00F922F0" w:rsidRDefault="00F922F0" w:rsidP="0041743A">
            <w:pPr>
              <w:tabs>
                <w:tab w:val="left" w:pos="2173"/>
                <w:tab w:val="right" w:pos="2835"/>
              </w:tabs>
              <w:rPr>
                <w:i/>
                <w:iCs/>
                <w:sz w:val="14"/>
                <w:szCs w:val="14"/>
              </w:rPr>
            </w:pPr>
            <w:r w:rsidRPr="001C77E2">
              <w:rPr>
                <w:i/>
                <w:iCs/>
                <w:color w:val="0000FF"/>
                <w:sz w:val="14"/>
                <w:szCs w:val="14"/>
              </w:rPr>
              <w:t>Total cuota</w:t>
            </w:r>
            <w:r w:rsidR="0041743A">
              <w:rPr>
                <w:i/>
                <w:iCs/>
                <w:color w:val="0000FF"/>
                <w:sz w:val="14"/>
                <w:szCs w:val="14"/>
              </w:rPr>
              <w:t xml:space="preserve"> para el desarrollo</w:t>
            </w:r>
            <w:r w:rsidRPr="001C77E2">
              <w:rPr>
                <w:i/>
                <w:iCs/>
                <w:color w:val="0000FF"/>
                <w:sz w:val="14"/>
                <w:szCs w:val="14"/>
              </w:rPr>
              <w:t xml:space="preserve">, meta II: 23.360  </w:t>
            </w:r>
            <w:r w:rsidRPr="00F922F0">
              <w:rPr>
                <w:i/>
                <w:iCs/>
                <w:sz w:val="14"/>
                <w:szCs w:val="14"/>
              </w:rPr>
              <w:tab/>
              <w:t xml:space="preserve"> </w:t>
            </w:r>
          </w:p>
        </w:tc>
        <w:tc>
          <w:tcPr>
            <w:tcW w:w="3043" w:type="dxa"/>
            <w:tcBorders>
              <w:top w:val="nil"/>
              <w:left w:val="nil"/>
              <w:bottom w:val="nil"/>
              <w:right w:val="nil"/>
            </w:tcBorders>
            <w:shd w:val="clear" w:color="auto" w:fill="auto"/>
          </w:tcPr>
          <w:p w:rsidR="00F922F0" w:rsidRPr="00F922F0" w:rsidRDefault="00F922F0" w:rsidP="00F922F0">
            <w:pPr>
              <w:tabs>
                <w:tab w:val="left" w:pos="2189"/>
                <w:tab w:val="right" w:pos="2835"/>
              </w:tabs>
              <w:rPr>
                <w:i/>
                <w:iCs/>
                <w:sz w:val="14"/>
                <w:szCs w:val="14"/>
              </w:rPr>
            </w:pPr>
            <w:r w:rsidRPr="00F922F0">
              <w:rPr>
                <w:i/>
                <w:iCs/>
                <w:sz w:val="14"/>
                <w:szCs w:val="14"/>
              </w:rPr>
              <w:t>Total presupuesto propuesto, meta III:</w:t>
            </w:r>
            <w:r w:rsidRPr="00F922F0">
              <w:rPr>
                <w:iCs/>
                <w:sz w:val="14"/>
                <w:szCs w:val="14"/>
              </w:rPr>
              <w:t xml:space="preserve"> </w:t>
            </w:r>
            <w:r w:rsidR="00147560">
              <w:rPr>
                <w:iCs/>
                <w:sz w:val="14"/>
                <w:szCs w:val="14"/>
              </w:rPr>
              <w:tab/>
            </w:r>
            <w:r w:rsidRPr="00F922F0">
              <w:rPr>
                <w:i/>
                <w:iCs/>
                <w:sz w:val="14"/>
                <w:szCs w:val="14"/>
              </w:rPr>
              <w:t>63.974</w:t>
            </w:r>
          </w:p>
          <w:p w:rsidR="00F922F0" w:rsidRPr="00F922F0" w:rsidRDefault="00F922F0" w:rsidP="0041743A">
            <w:pPr>
              <w:tabs>
                <w:tab w:val="left" w:pos="2189"/>
                <w:tab w:val="right" w:pos="2835"/>
              </w:tabs>
              <w:rPr>
                <w:i/>
                <w:iCs/>
                <w:sz w:val="14"/>
                <w:szCs w:val="14"/>
              </w:rPr>
            </w:pPr>
            <w:r w:rsidRPr="00AC50B8">
              <w:rPr>
                <w:i/>
                <w:iCs/>
                <w:color w:val="0000FF"/>
                <w:sz w:val="14"/>
                <w:szCs w:val="14"/>
              </w:rPr>
              <w:t>Total cuota</w:t>
            </w:r>
            <w:r w:rsidR="0041743A">
              <w:rPr>
                <w:i/>
                <w:iCs/>
                <w:color w:val="0000FF"/>
                <w:sz w:val="14"/>
                <w:szCs w:val="14"/>
              </w:rPr>
              <w:t xml:space="preserve"> para el desarrollo</w:t>
            </w:r>
            <w:r w:rsidRPr="00AC50B8">
              <w:rPr>
                <w:i/>
                <w:iCs/>
                <w:color w:val="0000FF"/>
                <w:sz w:val="14"/>
                <w:szCs w:val="14"/>
              </w:rPr>
              <w:t>, meta III: 63.142</w:t>
            </w:r>
          </w:p>
        </w:tc>
        <w:tc>
          <w:tcPr>
            <w:tcW w:w="3041" w:type="dxa"/>
            <w:tcBorders>
              <w:top w:val="nil"/>
              <w:left w:val="nil"/>
              <w:bottom w:val="nil"/>
              <w:right w:val="nil"/>
            </w:tcBorders>
            <w:shd w:val="clear" w:color="auto" w:fill="auto"/>
          </w:tcPr>
          <w:p w:rsidR="00F922F0" w:rsidRPr="00F922F0" w:rsidRDefault="00F922F0" w:rsidP="00F922F0">
            <w:pPr>
              <w:tabs>
                <w:tab w:val="left" w:pos="2205"/>
                <w:tab w:val="right" w:pos="2835"/>
              </w:tabs>
              <w:rPr>
                <w:i/>
                <w:iCs/>
                <w:sz w:val="14"/>
                <w:szCs w:val="14"/>
              </w:rPr>
            </w:pPr>
            <w:r w:rsidRPr="00F922F0">
              <w:rPr>
                <w:i/>
                <w:iCs/>
                <w:sz w:val="14"/>
                <w:szCs w:val="14"/>
              </w:rPr>
              <w:t xml:space="preserve">Total presupuesto propuesto, meta IV: </w:t>
            </w:r>
            <w:r w:rsidR="00147560">
              <w:rPr>
                <w:i/>
                <w:iCs/>
                <w:sz w:val="14"/>
                <w:szCs w:val="14"/>
              </w:rPr>
              <w:tab/>
            </w:r>
            <w:r w:rsidR="0041743A">
              <w:rPr>
                <w:i/>
                <w:iCs/>
                <w:sz w:val="14"/>
                <w:szCs w:val="14"/>
              </w:rPr>
              <w:t xml:space="preserve"> </w:t>
            </w:r>
            <w:r w:rsidRPr="00F922F0">
              <w:rPr>
                <w:i/>
                <w:iCs/>
                <w:sz w:val="14"/>
                <w:szCs w:val="14"/>
              </w:rPr>
              <w:t>46.974</w:t>
            </w:r>
          </w:p>
          <w:p w:rsidR="00F922F0" w:rsidRPr="00F922F0" w:rsidRDefault="00F922F0" w:rsidP="0041743A">
            <w:pPr>
              <w:tabs>
                <w:tab w:val="left" w:pos="2205"/>
                <w:tab w:val="right" w:pos="2835"/>
              </w:tabs>
              <w:rPr>
                <w:i/>
                <w:iCs/>
                <w:sz w:val="14"/>
                <w:szCs w:val="14"/>
              </w:rPr>
            </w:pPr>
            <w:r w:rsidRPr="00A040DB">
              <w:rPr>
                <w:i/>
                <w:iCs/>
                <w:color w:val="0000FF"/>
                <w:sz w:val="14"/>
                <w:szCs w:val="14"/>
              </w:rPr>
              <w:t>Total cuota</w:t>
            </w:r>
            <w:r w:rsidR="0041743A">
              <w:rPr>
                <w:i/>
                <w:iCs/>
                <w:color w:val="0000FF"/>
                <w:sz w:val="14"/>
                <w:szCs w:val="14"/>
              </w:rPr>
              <w:t xml:space="preserve"> para el desarrollo</w:t>
            </w:r>
            <w:r w:rsidRPr="00A040DB">
              <w:rPr>
                <w:i/>
                <w:iCs/>
                <w:color w:val="0000FF"/>
                <w:sz w:val="14"/>
                <w:szCs w:val="14"/>
              </w:rPr>
              <w:t>, meta IV: 32.003</w:t>
            </w:r>
            <w:r w:rsidRPr="00F922F0">
              <w:rPr>
                <w:i/>
                <w:iCs/>
                <w:sz w:val="14"/>
                <w:szCs w:val="14"/>
              </w:rPr>
              <w:tab/>
            </w:r>
          </w:p>
        </w:tc>
        <w:tc>
          <w:tcPr>
            <w:tcW w:w="3040" w:type="dxa"/>
            <w:tcBorders>
              <w:top w:val="nil"/>
              <w:left w:val="nil"/>
              <w:bottom w:val="nil"/>
              <w:right w:val="nil"/>
            </w:tcBorders>
            <w:shd w:val="clear" w:color="auto" w:fill="auto"/>
          </w:tcPr>
          <w:p w:rsidR="00F922F0" w:rsidRPr="00F922F0" w:rsidRDefault="00F922F0" w:rsidP="00F922F0">
            <w:pPr>
              <w:tabs>
                <w:tab w:val="left" w:pos="2221"/>
                <w:tab w:val="right" w:pos="2835"/>
              </w:tabs>
              <w:rPr>
                <w:i/>
                <w:iCs/>
                <w:sz w:val="14"/>
                <w:szCs w:val="14"/>
              </w:rPr>
            </w:pPr>
            <w:r w:rsidRPr="00F922F0">
              <w:rPr>
                <w:i/>
                <w:iCs/>
                <w:sz w:val="14"/>
                <w:szCs w:val="14"/>
              </w:rPr>
              <w:t>Total presupuesto propuesto, meta V:</w:t>
            </w:r>
            <w:r w:rsidR="0041743A">
              <w:rPr>
                <w:i/>
                <w:iCs/>
                <w:sz w:val="14"/>
                <w:szCs w:val="14"/>
              </w:rPr>
              <w:t xml:space="preserve"> </w:t>
            </w:r>
            <w:r w:rsidRPr="00F922F0">
              <w:rPr>
                <w:i/>
                <w:iCs/>
                <w:sz w:val="14"/>
                <w:szCs w:val="14"/>
              </w:rPr>
              <w:t>6.072</w:t>
            </w:r>
          </w:p>
          <w:p w:rsidR="00F922F0" w:rsidRPr="00F922F0" w:rsidRDefault="00F922F0" w:rsidP="0041743A">
            <w:pPr>
              <w:tabs>
                <w:tab w:val="left" w:pos="2221"/>
                <w:tab w:val="right" w:pos="2835"/>
              </w:tabs>
              <w:rPr>
                <w:i/>
                <w:iCs/>
                <w:sz w:val="14"/>
                <w:szCs w:val="14"/>
              </w:rPr>
            </w:pPr>
            <w:r w:rsidRPr="00FF7586">
              <w:rPr>
                <w:i/>
                <w:iCs/>
                <w:color w:val="0000FF"/>
                <w:sz w:val="14"/>
                <w:szCs w:val="14"/>
              </w:rPr>
              <w:t>Total cuota</w:t>
            </w:r>
            <w:r w:rsidR="0041743A">
              <w:rPr>
                <w:i/>
                <w:iCs/>
                <w:color w:val="0000FF"/>
                <w:sz w:val="14"/>
                <w:szCs w:val="14"/>
              </w:rPr>
              <w:t xml:space="preserve"> para el desarrollo</w:t>
            </w:r>
            <w:r w:rsidRPr="00FF7586">
              <w:rPr>
                <w:i/>
                <w:iCs/>
                <w:color w:val="0000FF"/>
                <w:sz w:val="14"/>
                <w:szCs w:val="14"/>
              </w:rPr>
              <w:t>, meta V:</w:t>
            </w:r>
            <w:r w:rsidR="00FF7586" w:rsidRPr="00FF7586">
              <w:rPr>
                <w:i/>
                <w:iCs/>
                <w:color w:val="0000FF"/>
                <w:sz w:val="14"/>
                <w:szCs w:val="14"/>
              </w:rPr>
              <w:t xml:space="preserve"> </w:t>
            </w:r>
            <w:r w:rsidRPr="00FF7586">
              <w:rPr>
                <w:i/>
                <w:iCs/>
                <w:color w:val="0000FF"/>
                <w:sz w:val="14"/>
                <w:szCs w:val="14"/>
              </w:rPr>
              <w:t>1.525</w:t>
            </w:r>
            <w:r w:rsidRPr="00FF7586">
              <w:rPr>
                <w:i/>
                <w:iCs/>
                <w:color w:val="0000FF"/>
                <w:sz w:val="14"/>
                <w:szCs w:val="14"/>
              </w:rPr>
              <w:tab/>
            </w:r>
          </w:p>
        </w:tc>
        <w:tc>
          <w:tcPr>
            <w:tcW w:w="3041" w:type="dxa"/>
            <w:tcBorders>
              <w:top w:val="nil"/>
              <w:left w:val="nil"/>
              <w:bottom w:val="nil"/>
              <w:right w:val="nil"/>
            </w:tcBorders>
            <w:shd w:val="clear" w:color="auto" w:fill="auto"/>
          </w:tcPr>
          <w:p w:rsidR="00F922F0" w:rsidRPr="00F922F0" w:rsidRDefault="00F922F0" w:rsidP="00F922F0">
            <w:pPr>
              <w:tabs>
                <w:tab w:val="left" w:pos="2237"/>
                <w:tab w:val="right" w:pos="2835"/>
              </w:tabs>
              <w:rPr>
                <w:i/>
                <w:iCs/>
                <w:sz w:val="14"/>
                <w:szCs w:val="14"/>
              </w:rPr>
            </w:pPr>
            <w:r w:rsidRPr="00F922F0">
              <w:rPr>
                <w:i/>
                <w:iCs/>
                <w:sz w:val="14"/>
                <w:szCs w:val="14"/>
              </w:rPr>
              <w:t>Total presupuesto propuesto, meta VI:</w:t>
            </w:r>
            <w:r w:rsidR="0041743A">
              <w:rPr>
                <w:i/>
                <w:iCs/>
                <w:sz w:val="14"/>
                <w:szCs w:val="14"/>
              </w:rPr>
              <w:t xml:space="preserve"> </w:t>
            </w:r>
            <w:r w:rsidRPr="00F922F0">
              <w:rPr>
                <w:i/>
                <w:iCs/>
                <w:sz w:val="14"/>
                <w:szCs w:val="14"/>
              </w:rPr>
              <w:t>2.064</w:t>
            </w:r>
          </w:p>
          <w:p w:rsidR="00F922F0" w:rsidRPr="00F922F0" w:rsidRDefault="00F922F0" w:rsidP="0041743A">
            <w:pPr>
              <w:tabs>
                <w:tab w:val="left" w:pos="2237"/>
                <w:tab w:val="right" w:pos="2835"/>
              </w:tabs>
              <w:rPr>
                <w:i/>
                <w:iCs/>
                <w:sz w:val="14"/>
                <w:szCs w:val="14"/>
              </w:rPr>
            </w:pPr>
            <w:r w:rsidRPr="00F6717D">
              <w:rPr>
                <w:i/>
                <w:iCs/>
                <w:color w:val="0000FF"/>
                <w:sz w:val="14"/>
                <w:szCs w:val="14"/>
              </w:rPr>
              <w:t>Total cuota</w:t>
            </w:r>
            <w:r w:rsidR="0041743A">
              <w:rPr>
                <w:i/>
                <w:iCs/>
                <w:color w:val="0000FF"/>
                <w:sz w:val="14"/>
                <w:szCs w:val="14"/>
              </w:rPr>
              <w:t xml:space="preserve"> para el desarrollo</w:t>
            </w:r>
            <w:r w:rsidRPr="00F6717D">
              <w:rPr>
                <w:i/>
                <w:iCs/>
                <w:color w:val="0000FF"/>
                <w:sz w:val="14"/>
                <w:szCs w:val="14"/>
              </w:rPr>
              <w:t>, meta VI:</w:t>
            </w:r>
            <w:r w:rsidR="00F6717D" w:rsidRPr="00F6717D">
              <w:rPr>
                <w:i/>
                <w:iCs/>
                <w:color w:val="0000FF"/>
                <w:sz w:val="14"/>
                <w:szCs w:val="14"/>
              </w:rPr>
              <w:t xml:space="preserve"> </w:t>
            </w:r>
            <w:r w:rsidRPr="00F6717D">
              <w:rPr>
                <w:i/>
                <w:iCs/>
                <w:color w:val="0000FF"/>
                <w:sz w:val="14"/>
                <w:szCs w:val="14"/>
              </w:rPr>
              <w:t>1.488</w:t>
            </w:r>
            <w:r w:rsidRPr="00F922F0">
              <w:rPr>
                <w:i/>
                <w:iCs/>
                <w:sz w:val="14"/>
                <w:szCs w:val="14"/>
              </w:rPr>
              <w:tab/>
              <w:t xml:space="preserve">   </w:t>
            </w:r>
          </w:p>
        </w:tc>
        <w:tc>
          <w:tcPr>
            <w:tcW w:w="3046" w:type="dxa"/>
            <w:tcBorders>
              <w:top w:val="nil"/>
              <w:left w:val="nil"/>
              <w:bottom w:val="nil"/>
              <w:right w:val="single" w:sz="4" w:space="0" w:color="auto"/>
            </w:tcBorders>
            <w:shd w:val="clear" w:color="auto" w:fill="auto"/>
          </w:tcPr>
          <w:p w:rsidR="00F922F0" w:rsidRPr="00F922F0" w:rsidRDefault="00F922F0" w:rsidP="00F922F0">
            <w:pPr>
              <w:tabs>
                <w:tab w:val="left" w:pos="2253"/>
                <w:tab w:val="right" w:pos="2835"/>
              </w:tabs>
              <w:rPr>
                <w:i/>
                <w:iCs/>
                <w:sz w:val="14"/>
                <w:szCs w:val="14"/>
              </w:rPr>
            </w:pPr>
            <w:r w:rsidRPr="00F922F0">
              <w:rPr>
                <w:i/>
                <w:iCs/>
                <w:sz w:val="14"/>
                <w:szCs w:val="14"/>
              </w:rPr>
              <w:t xml:space="preserve">Total presupuesto propuesto, meta VII: </w:t>
            </w:r>
            <w:r w:rsidR="00147560">
              <w:rPr>
                <w:i/>
                <w:iCs/>
                <w:sz w:val="14"/>
                <w:szCs w:val="14"/>
              </w:rPr>
              <w:tab/>
            </w:r>
            <w:r w:rsidRPr="00F922F0">
              <w:rPr>
                <w:i/>
                <w:iCs/>
                <w:sz w:val="14"/>
                <w:szCs w:val="14"/>
              </w:rPr>
              <w:t>3.950</w:t>
            </w:r>
          </w:p>
          <w:p w:rsidR="00F922F0" w:rsidRPr="00F922F0" w:rsidRDefault="00F922F0" w:rsidP="00027288">
            <w:pPr>
              <w:tabs>
                <w:tab w:val="left" w:pos="2253"/>
                <w:tab w:val="right" w:pos="2835"/>
              </w:tabs>
              <w:rPr>
                <w:i/>
                <w:iCs/>
                <w:sz w:val="14"/>
                <w:szCs w:val="14"/>
              </w:rPr>
            </w:pPr>
            <w:r w:rsidRPr="00147560">
              <w:rPr>
                <w:i/>
                <w:iCs/>
                <w:color w:val="0000FF"/>
                <w:sz w:val="14"/>
                <w:szCs w:val="14"/>
              </w:rPr>
              <w:t>Total cuota</w:t>
            </w:r>
            <w:r w:rsidR="0041743A">
              <w:rPr>
                <w:i/>
                <w:iCs/>
                <w:color w:val="0000FF"/>
                <w:sz w:val="14"/>
                <w:szCs w:val="14"/>
              </w:rPr>
              <w:t xml:space="preserve"> para el desarrollo</w:t>
            </w:r>
            <w:r w:rsidRPr="00147560">
              <w:rPr>
                <w:i/>
                <w:iCs/>
                <w:color w:val="0000FF"/>
                <w:sz w:val="14"/>
                <w:szCs w:val="14"/>
              </w:rPr>
              <w:t>, meta VII:</w:t>
            </w:r>
            <w:r w:rsidR="00147560" w:rsidRPr="00147560">
              <w:rPr>
                <w:i/>
                <w:iCs/>
                <w:color w:val="0000FF"/>
                <w:sz w:val="14"/>
                <w:szCs w:val="14"/>
              </w:rPr>
              <w:tab/>
            </w:r>
            <w:r w:rsidRPr="00147560">
              <w:rPr>
                <w:i/>
                <w:iCs/>
                <w:color w:val="0000FF"/>
                <w:sz w:val="14"/>
                <w:szCs w:val="14"/>
              </w:rPr>
              <w:t>3.016</w:t>
            </w:r>
            <w:r w:rsidRPr="00147560">
              <w:rPr>
                <w:i/>
                <w:iCs/>
                <w:color w:val="0000FF"/>
                <w:sz w:val="14"/>
                <w:szCs w:val="14"/>
              </w:rPr>
              <w:tab/>
            </w:r>
          </w:p>
        </w:tc>
      </w:tr>
      <w:tr w:rsidR="00F922F0" w:rsidRPr="00F922F0" w:rsidTr="00D609BF">
        <w:trPr>
          <w:trHeight w:val="294"/>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21292" w:type="dxa"/>
            <w:gridSpan w:val="7"/>
            <w:tcBorders>
              <w:top w:val="single" w:sz="4" w:space="0" w:color="auto"/>
              <w:left w:val="single" w:sz="4" w:space="0" w:color="auto"/>
              <w:bottom w:val="single" w:sz="4" w:space="0" w:color="auto"/>
              <w:right w:val="single" w:sz="4" w:space="0" w:color="000000"/>
            </w:tcBorders>
            <w:shd w:val="clear" w:color="auto" w:fill="C6D9F1"/>
            <w:vAlign w:val="center"/>
          </w:tcPr>
          <w:p w:rsidR="00F922F0" w:rsidRPr="00F922F0" w:rsidRDefault="00F922F0" w:rsidP="00FB4929">
            <w:pPr>
              <w:tabs>
                <w:tab w:val="right" w:pos="2835"/>
              </w:tabs>
              <w:jc w:val="center"/>
              <w:rPr>
                <w:b/>
                <w:bCs/>
                <w:sz w:val="16"/>
                <w:szCs w:val="16"/>
              </w:rPr>
            </w:pPr>
            <w:r w:rsidRPr="00F922F0">
              <w:rPr>
                <w:b/>
                <w:bCs/>
                <w:sz w:val="16"/>
                <w:szCs w:val="16"/>
              </w:rPr>
              <w:t>Meta estratégica IX</w:t>
            </w:r>
            <w:r w:rsidR="00FB4929">
              <w:rPr>
                <w:b/>
                <w:bCs/>
                <w:sz w:val="16"/>
                <w:szCs w:val="16"/>
              </w:rPr>
              <w:t xml:space="preserve">:  </w:t>
            </w:r>
            <w:r w:rsidRPr="00F922F0">
              <w:rPr>
                <w:b/>
                <w:bCs/>
                <w:sz w:val="16"/>
                <w:szCs w:val="16"/>
              </w:rPr>
              <w:t>Apoyo administrativo y financiero eficiente</w:t>
            </w:r>
          </w:p>
        </w:tc>
      </w:tr>
      <w:tr w:rsidR="00F922F0" w:rsidRPr="00F922F0" w:rsidTr="00BE7B0B">
        <w:trPr>
          <w:trHeight w:val="1552"/>
        </w:trPr>
        <w:tc>
          <w:tcPr>
            <w:tcW w:w="387" w:type="dxa"/>
            <w:vMerge/>
            <w:tcBorders>
              <w:top w:val="single" w:sz="8" w:space="0" w:color="auto"/>
              <w:left w:val="single" w:sz="8" w:space="0" w:color="auto"/>
              <w:bottom w:val="single" w:sz="4" w:space="0" w:color="000000"/>
              <w:right w:val="nil"/>
            </w:tcBorders>
            <w:vAlign w:val="center"/>
          </w:tcPr>
          <w:p w:rsidR="00F922F0" w:rsidRPr="00F922F0" w:rsidRDefault="00F922F0" w:rsidP="00F922F0">
            <w:pPr>
              <w:tabs>
                <w:tab w:val="right" w:pos="2835"/>
              </w:tabs>
              <w:rPr>
                <w:b/>
                <w:bCs/>
                <w:sz w:val="16"/>
                <w:szCs w:val="16"/>
              </w:rPr>
            </w:pPr>
          </w:p>
        </w:tc>
        <w:tc>
          <w:tcPr>
            <w:tcW w:w="3040" w:type="dxa"/>
            <w:tcBorders>
              <w:top w:val="nil"/>
              <w:left w:val="single" w:sz="4" w:space="0" w:color="auto"/>
              <w:bottom w:val="single" w:sz="4" w:space="0" w:color="auto"/>
              <w:right w:val="nil"/>
            </w:tcBorders>
            <w:shd w:val="clear" w:color="auto" w:fill="auto"/>
          </w:tcPr>
          <w:p w:rsidR="00F922F0" w:rsidRPr="00F922F0" w:rsidRDefault="00F922F0" w:rsidP="00F922F0">
            <w:pPr>
              <w:tabs>
                <w:tab w:val="left" w:pos="1525"/>
                <w:tab w:val="right" w:pos="2835"/>
              </w:tabs>
              <w:rPr>
                <w:sz w:val="15"/>
                <w:szCs w:val="15"/>
              </w:rPr>
            </w:pPr>
            <w:r w:rsidRPr="00F922F0">
              <w:rPr>
                <w:sz w:val="15"/>
                <w:szCs w:val="15"/>
              </w:rPr>
              <w:br/>
            </w:r>
          </w:p>
        </w:tc>
        <w:tc>
          <w:tcPr>
            <w:tcW w:w="3041" w:type="dxa"/>
            <w:tcBorders>
              <w:top w:val="nil"/>
              <w:left w:val="nil"/>
              <w:bottom w:val="single" w:sz="4" w:space="0" w:color="auto"/>
              <w:right w:val="nil"/>
            </w:tcBorders>
            <w:shd w:val="clear" w:color="auto" w:fill="auto"/>
          </w:tcPr>
          <w:p w:rsidR="00F922F0" w:rsidRPr="00F922F0" w:rsidRDefault="00F922F0" w:rsidP="00F922F0">
            <w:pPr>
              <w:tabs>
                <w:tab w:val="right" w:pos="2835"/>
              </w:tabs>
              <w:spacing w:after="60"/>
              <w:rPr>
                <w:sz w:val="14"/>
                <w:szCs w:val="14"/>
              </w:rPr>
            </w:pPr>
            <w:r w:rsidRPr="00F922F0">
              <w:rPr>
                <w:sz w:val="14"/>
                <w:szCs w:val="14"/>
              </w:rPr>
              <w:t xml:space="preserve">IX.1  </w:t>
            </w:r>
            <w:r w:rsidR="008C3520" w:rsidRPr="008C3520">
              <w:rPr>
                <w:sz w:val="14"/>
                <w:szCs w:val="14"/>
              </w:rPr>
              <w:t>Servicios de apoyo eficaces, eficientes, de calidad y orientados al cliente, tanto a los usuarios internos como a las partes interesadas externas</w:t>
            </w:r>
          </w:p>
          <w:p w:rsidR="00F922F0" w:rsidRPr="00F922F0" w:rsidRDefault="00F922F0" w:rsidP="00F922F0">
            <w:pPr>
              <w:tabs>
                <w:tab w:val="left" w:pos="335"/>
                <w:tab w:val="left" w:pos="2173"/>
                <w:tab w:val="right" w:pos="2835"/>
              </w:tabs>
              <w:rPr>
                <w:i/>
                <w:iCs/>
                <w:sz w:val="14"/>
                <w:szCs w:val="14"/>
              </w:rPr>
            </w:pPr>
            <w:r w:rsidRPr="00F922F0">
              <w:rPr>
                <w:i/>
                <w:iCs/>
                <w:sz w:val="14"/>
                <w:szCs w:val="14"/>
              </w:rPr>
              <w:tab/>
            </w:r>
          </w:p>
          <w:p w:rsidR="00F922F0" w:rsidRPr="00F922F0" w:rsidRDefault="00F922F0" w:rsidP="00F922F0">
            <w:pPr>
              <w:tabs>
                <w:tab w:val="left" w:pos="335"/>
                <w:tab w:val="left" w:pos="2173"/>
                <w:tab w:val="right" w:pos="2835"/>
              </w:tabs>
              <w:rPr>
                <w:i/>
                <w:iCs/>
                <w:sz w:val="14"/>
                <w:szCs w:val="14"/>
              </w:rPr>
            </w:pPr>
            <w:r w:rsidRPr="00F922F0">
              <w:rPr>
                <w:i/>
                <w:iCs/>
                <w:sz w:val="14"/>
                <w:szCs w:val="14"/>
              </w:rPr>
              <w:tab/>
            </w:r>
          </w:p>
          <w:p w:rsidR="00F922F0" w:rsidRPr="00F922F0" w:rsidRDefault="00F922F0" w:rsidP="00F922F0">
            <w:pPr>
              <w:tabs>
                <w:tab w:val="left" w:pos="335"/>
                <w:tab w:val="left" w:pos="2173"/>
                <w:tab w:val="right" w:pos="2835"/>
              </w:tabs>
              <w:rPr>
                <w:i/>
                <w:iCs/>
                <w:sz w:val="14"/>
                <w:szCs w:val="14"/>
              </w:rPr>
            </w:pPr>
            <w:r w:rsidRPr="00F922F0">
              <w:rPr>
                <w:i/>
                <w:iCs/>
                <w:sz w:val="14"/>
                <w:szCs w:val="14"/>
              </w:rPr>
              <w:tab/>
              <w:t>Presupuesto propuesto 16/17:</w:t>
            </w:r>
            <w:r w:rsidRPr="00F922F0">
              <w:rPr>
                <w:iCs/>
                <w:sz w:val="14"/>
                <w:szCs w:val="14"/>
              </w:rPr>
              <w:t xml:space="preserve"> </w:t>
            </w:r>
            <w:r w:rsidRPr="00F922F0">
              <w:rPr>
                <w:i/>
                <w:iCs/>
                <w:sz w:val="14"/>
                <w:szCs w:val="14"/>
              </w:rPr>
              <w:t>165.356</w:t>
            </w:r>
          </w:p>
          <w:p w:rsidR="00F922F0" w:rsidRPr="00F922F0" w:rsidRDefault="00F922F0" w:rsidP="00027288">
            <w:pPr>
              <w:tabs>
                <w:tab w:val="left" w:pos="335"/>
                <w:tab w:val="left" w:pos="1525"/>
                <w:tab w:val="right" w:pos="2669"/>
              </w:tabs>
              <w:rPr>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922F0">
              <w:rPr>
                <w:i/>
                <w:iCs/>
                <w:color w:val="0000FF"/>
                <w:sz w:val="14"/>
                <w:szCs w:val="14"/>
              </w:rPr>
              <w:t>:</w:t>
            </w:r>
            <w:r w:rsidRPr="00F922F0">
              <w:rPr>
                <w:i/>
                <w:iCs/>
                <w:color w:val="0000FF"/>
                <w:sz w:val="14"/>
                <w:szCs w:val="14"/>
              </w:rPr>
              <w:tab/>
              <w:t xml:space="preserve">-  </w:t>
            </w:r>
          </w:p>
        </w:tc>
        <w:tc>
          <w:tcPr>
            <w:tcW w:w="3043" w:type="dxa"/>
            <w:tcBorders>
              <w:top w:val="nil"/>
              <w:left w:val="nil"/>
              <w:bottom w:val="single" w:sz="4" w:space="0" w:color="auto"/>
              <w:right w:val="nil"/>
            </w:tcBorders>
            <w:shd w:val="clear" w:color="auto" w:fill="auto"/>
          </w:tcPr>
          <w:p w:rsidR="00F922F0" w:rsidRPr="00F922F0" w:rsidRDefault="008C3520" w:rsidP="00F922F0">
            <w:pPr>
              <w:tabs>
                <w:tab w:val="right" w:pos="2835"/>
              </w:tabs>
              <w:spacing w:after="60"/>
              <w:rPr>
                <w:sz w:val="14"/>
                <w:szCs w:val="14"/>
              </w:rPr>
            </w:pPr>
            <w:r>
              <w:rPr>
                <w:sz w:val="14"/>
                <w:szCs w:val="14"/>
              </w:rPr>
              <w:t xml:space="preserve">IX.2  </w:t>
            </w:r>
            <w:r w:rsidRPr="008C3520">
              <w:rPr>
                <w:sz w:val="14"/>
                <w:szCs w:val="14"/>
              </w:rPr>
              <w:t>Funcionamiento sin contratiempos de la Secretaría, provista de un personal bien dirigido, dotado de las competencias adecuadas, y capaz de conseguir resultados</w:t>
            </w:r>
          </w:p>
          <w:p w:rsidR="00F922F0" w:rsidRDefault="00F922F0" w:rsidP="00F922F0">
            <w:pPr>
              <w:tabs>
                <w:tab w:val="left" w:pos="325"/>
                <w:tab w:val="left" w:pos="2189"/>
                <w:tab w:val="right" w:pos="2835"/>
              </w:tabs>
              <w:rPr>
                <w:i/>
                <w:iCs/>
                <w:sz w:val="14"/>
                <w:szCs w:val="14"/>
              </w:rPr>
            </w:pPr>
          </w:p>
          <w:p w:rsidR="00027288" w:rsidRPr="00F922F0" w:rsidRDefault="00027288" w:rsidP="00F922F0">
            <w:pPr>
              <w:tabs>
                <w:tab w:val="left" w:pos="325"/>
                <w:tab w:val="left" w:pos="2189"/>
                <w:tab w:val="right" w:pos="2835"/>
              </w:tabs>
              <w:rPr>
                <w:i/>
                <w:iCs/>
                <w:sz w:val="14"/>
                <w:szCs w:val="14"/>
              </w:rPr>
            </w:pPr>
          </w:p>
          <w:p w:rsidR="00F922F0" w:rsidRPr="00F922F0" w:rsidRDefault="00027288" w:rsidP="00027288">
            <w:pPr>
              <w:tabs>
                <w:tab w:val="left" w:pos="338"/>
                <w:tab w:val="left" w:pos="1525"/>
                <w:tab w:val="right" w:pos="2604"/>
              </w:tabs>
              <w:rPr>
                <w:sz w:val="14"/>
                <w:szCs w:val="14"/>
              </w:rPr>
            </w:pPr>
            <w:r>
              <w:rPr>
                <w:i/>
                <w:iCs/>
                <w:sz w:val="14"/>
                <w:szCs w:val="14"/>
              </w:rPr>
              <w:tab/>
              <w:t xml:space="preserve">Presupuesto propuesto 16/17:  </w:t>
            </w:r>
            <w:r w:rsidR="00F922F0" w:rsidRPr="00F922F0">
              <w:rPr>
                <w:i/>
                <w:iCs/>
                <w:sz w:val="14"/>
                <w:szCs w:val="14"/>
              </w:rPr>
              <w:t>35.257</w:t>
            </w:r>
            <w:r w:rsidR="00F922F0" w:rsidRPr="00F922F0">
              <w:rPr>
                <w:i/>
                <w:iCs/>
                <w:sz w:val="14"/>
                <w:szCs w:val="14"/>
              </w:rPr>
              <w:tab/>
            </w:r>
            <w:r w:rsidR="00F922F0" w:rsidRPr="00F922F0">
              <w:rPr>
                <w:i/>
                <w:iCs/>
                <w:color w:val="0000FF"/>
                <w:sz w:val="14"/>
                <w:szCs w:val="14"/>
              </w:rPr>
              <w:t>Cuota</w:t>
            </w:r>
            <w:r w:rsidR="0041743A">
              <w:rPr>
                <w:i/>
                <w:iCs/>
                <w:color w:val="0000FF"/>
                <w:sz w:val="14"/>
                <w:szCs w:val="14"/>
              </w:rPr>
              <w:t xml:space="preserve"> para el desarrollo</w:t>
            </w:r>
            <w:r w:rsidR="00F922F0" w:rsidRPr="00A040DB">
              <w:rPr>
                <w:i/>
                <w:iCs/>
                <w:color w:val="0000FF"/>
                <w:sz w:val="14"/>
                <w:szCs w:val="14"/>
              </w:rPr>
              <w:t>:</w:t>
            </w:r>
            <w:r w:rsidR="00F922F0" w:rsidRPr="00A040DB">
              <w:rPr>
                <w:i/>
                <w:iCs/>
                <w:color w:val="0000FF"/>
                <w:sz w:val="14"/>
                <w:szCs w:val="14"/>
              </w:rPr>
              <w:tab/>
              <w:t xml:space="preserve">- </w:t>
            </w:r>
          </w:p>
        </w:tc>
        <w:tc>
          <w:tcPr>
            <w:tcW w:w="3041" w:type="dxa"/>
            <w:tcBorders>
              <w:top w:val="nil"/>
              <w:left w:val="nil"/>
              <w:bottom w:val="single" w:sz="4" w:space="0" w:color="auto"/>
              <w:right w:val="nil"/>
            </w:tcBorders>
            <w:shd w:val="clear" w:color="auto" w:fill="auto"/>
          </w:tcPr>
          <w:p w:rsidR="00F922F0" w:rsidRPr="00F922F0" w:rsidRDefault="008C3520" w:rsidP="00F922F0">
            <w:pPr>
              <w:tabs>
                <w:tab w:val="left" w:pos="1525"/>
                <w:tab w:val="right" w:pos="2835"/>
              </w:tabs>
              <w:spacing w:after="60"/>
              <w:rPr>
                <w:sz w:val="14"/>
                <w:szCs w:val="14"/>
              </w:rPr>
            </w:pPr>
            <w:r>
              <w:rPr>
                <w:sz w:val="14"/>
                <w:szCs w:val="14"/>
              </w:rPr>
              <w:t xml:space="preserve">IX.3 </w:t>
            </w:r>
            <w:r w:rsidR="00F922F0" w:rsidRPr="00F922F0">
              <w:rPr>
                <w:sz w:val="14"/>
                <w:szCs w:val="14"/>
              </w:rPr>
              <w:t xml:space="preserve"> </w:t>
            </w:r>
            <w:r w:rsidRPr="008C3520">
              <w:rPr>
                <w:sz w:val="14"/>
                <w:szCs w:val="14"/>
              </w:rPr>
              <w:t>Entorno de trabajo propicio basado en un marco reglamentario eficaz y medios adecuados para atender los temas de interés del personal</w:t>
            </w:r>
          </w:p>
          <w:p w:rsidR="00F922F0" w:rsidRDefault="00F922F0" w:rsidP="00F922F0">
            <w:pPr>
              <w:tabs>
                <w:tab w:val="left" w:pos="378"/>
                <w:tab w:val="left" w:pos="2205"/>
                <w:tab w:val="right" w:pos="2835"/>
              </w:tabs>
              <w:rPr>
                <w:i/>
                <w:iCs/>
                <w:sz w:val="14"/>
                <w:szCs w:val="14"/>
              </w:rPr>
            </w:pPr>
          </w:p>
          <w:p w:rsidR="00027288" w:rsidRPr="00F922F0" w:rsidRDefault="00027288" w:rsidP="00F922F0">
            <w:pPr>
              <w:tabs>
                <w:tab w:val="left" w:pos="378"/>
                <w:tab w:val="left" w:pos="2205"/>
                <w:tab w:val="right" w:pos="2835"/>
              </w:tabs>
              <w:rPr>
                <w:i/>
                <w:iCs/>
                <w:sz w:val="14"/>
                <w:szCs w:val="14"/>
              </w:rPr>
            </w:pPr>
          </w:p>
          <w:p w:rsidR="00F922F0" w:rsidRPr="00F922F0" w:rsidRDefault="00F922F0" w:rsidP="00F922F0">
            <w:pPr>
              <w:tabs>
                <w:tab w:val="left" w:pos="378"/>
                <w:tab w:val="left" w:pos="2205"/>
                <w:tab w:val="right" w:pos="2835"/>
              </w:tabs>
              <w:rPr>
                <w:i/>
                <w:iCs/>
                <w:sz w:val="14"/>
                <w:szCs w:val="14"/>
              </w:rPr>
            </w:pPr>
            <w:r w:rsidRPr="00F922F0">
              <w:rPr>
                <w:i/>
                <w:iCs/>
                <w:sz w:val="14"/>
                <w:szCs w:val="14"/>
              </w:rPr>
              <w:tab/>
              <w:t>Presupuesto propuesto 16/17:</w:t>
            </w:r>
            <w:r w:rsidRPr="00F922F0">
              <w:rPr>
                <w:iCs/>
                <w:sz w:val="14"/>
                <w:szCs w:val="14"/>
              </w:rPr>
              <w:t xml:space="preserve"> </w:t>
            </w:r>
            <w:r w:rsidR="00A040DB">
              <w:rPr>
                <w:iCs/>
                <w:sz w:val="14"/>
                <w:szCs w:val="14"/>
              </w:rPr>
              <w:tab/>
            </w:r>
            <w:r w:rsidRPr="00F922F0">
              <w:rPr>
                <w:i/>
                <w:iCs/>
                <w:sz w:val="14"/>
                <w:szCs w:val="14"/>
              </w:rPr>
              <w:t>2.540</w:t>
            </w:r>
          </w:p>
          <w:p w:rsidR="00F922F0" w:rsidRPr="00F922F0" w:rsidRDefault="00F922F0" w:rsidP="00F922F0">
            <w:pPr>
              <w:tabs>
                <w:tab w:val="left" w:pos="366"/>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A040DB">
              <w:rPr>
                <w:i/>
                <w:iCs/>
                <w:color w:val="0000FF"/>
                <w:sz w:val="14"/>
                <w:szCs w:val="14"/>
              </w:rPr>
              <w:t>:</w:t>
            </w:r>
            <w:r w:rsidR="00A040DB" w:rsidRPr="00A040DB">
              <w:rPr>
                <w:i/>
                <w:iCs/>
                <w:color w:val="0000FF"/>
                <w:sz w:val="14"/>
                <w:szCs w:val="14"/>
              </w:rPr>
              <w:tab/>
            </w:r>
            <w:r w:rsidRPr="00A040DB">
              <w:rPr>
                <w:i/>
                <w:iCs/>
                <w:color w:val="0000FF"/>
                <w:sz w:val="14"/>
                <w:szCs w:val="14"/>
              </w:rPr>
              <w:t>-</w:t>
            </w:r>
          </w:p>
          <w:p w:rsidR="00F922F0" w:rsidRPr="00F922F0" w:rsidRDefault="00F922F0" w:rsidP="00F922F0">
            <w:pPr>
              <w:tabs>
                <w:tab w:val="left" w:pos="1525"/>
                <w:tab w:val="right" w:pos="2835"/>
              </w:tabs>
              <w:rPr>
                <w:i/>
                <w:iCs/>
                <w:sz w:val="14"/>
                <w:szCs w:val="14"/>
              </w:rPr>
            </w:pPr>
          </w:p>
        </w:tc>
        <w:tc>
          <w:tcPr>
            <w:tcW w:w="3040" w:type="dxa"/>
            <w:tcBorders>
              <w:top w:val="nil"/>
              <w:left w:val="nil"/>
              <w:bottom w:val="single" w:sz="4" w:space="0" w:color="auto"/>
              <w:right w:val="nil"/>
            </w:tcBorders>
            <w:shd w:val="clear" w:color="auto" w:fill="auto"/>
          </w:tcPr>
          <w:p w:rsidR="00F922F0" w:rsidRPr="00F922F0" w:rsidRDefault="00F922F0" w:rsidP="00F922F0">
            <w:pPr>
              <w:tabs>
                <w:tab w:val="right" w:pos="2835"/>
              </w:tabs>
              <w:spacing w:after="60"/>
              <w:rPr>
                <w:sz w:val="14"/>
                <w:szCs w:val="14"/>
              </w:rPr>
            </w:pPr>
            <w:r w:rsidRPr="00F922F0">
              <w:rPr>
                <w:sz w:val="14"/>
                <w:szCs w:val="14"/>
              </w:rPr>
              <w:t>IX.4</w:t>
            </w:r>
            <w:r w:rsidR="008C3520">
              <w:rPr>
                <w:sz w:val="14"/>
                <w:szCs w:val="14"/>
              </w:rPr>
              <w:t xml:space="preserve"> </w:t>
            </w:r>
            <w:r w:rsidRPr="00F922F0">
              <w:rPr>
                <w:sz w:val="14"/>
                <w:szCs w:val="14"/>
              </w:rPr>
              <w:t xml:space="preserve"> </w:t>
            </w:r>
            <w:r w:rsidR="008C3520" w:rsidRPr="008C3520">
              <w:rPr>
                <w:sz w:val="14"/>
                <w:szCs w:val="14"/>
              </w:rPr>
              <w:t>Una Organización responsable con el medio ambiente y la sociedad en la que se garantiza la seguridad del personal de la OMPI, los delegados, los visitantes, la información y los activos físicos</w:t>
            </w:r>
          </w:p>
          <w:p w:rsidR="00F922F0" w:rsidRPr="00F922F0" w:rsidRDefault="00F922F0" w:rsidP="00F922F0">
            <w:pPr>
              <w:tabs>
                <w:tab w:val="left" w:pos="368"/>
                <w:tab w:val="left" w:pos="2221"/>
                <w:tab w:val="right" w:pos="2835"/>
              </w:tabs>
              <w:rPr>
                <w:i/>
                <w:iCs/>
                <w:sz w:val="14"/>
                <w:szCs w:val="14"/>
              </w:rPr>
            </w:pPr>
            <w:r w:rsidRPr="00F922F0">
              <w:rPr>
                <w:i/>
                <w:iCs/>
                <w:sz w:val="14"/>
                <w:szCs w:val="14"/>
              </w:rPr>
              <w:tab/>
            </w:r>
          </w:p>
          <w:p w:rsidR="00F922F0" w:rsidRPr="00F922F0" w:rsidRDefault="00F922F0" w:rsidP="00F922F0">
            <w:pPr>
              <w:tabs>
                <w:tab w:val="left" w:pos="368"/>
                <w:tab w:val="left" w:pos="2221"/>
                <w:tab w:val="right" w:pos="2835"/>
              </w:tabs>
              <w:rPr>
                <w:i/>
                <w:iCs/>
                <w:sz w:val="14"/>
                <w:szCs w:val="14"/>
              </w:rPr>
            </w:pPr>
            <w:r w:rsidRPr="00F922F0">
              <w:rPr>
                <w:i/>
                <w:iCs/>
                <w:sz w:val="14"/>
                <w:szCs w:val="14"/>
              </w:rPr>
              <w:tab/>
              <w:t>Presupuesto propuesto 16/17:</w:t>
            </w:r>
            <w:r w:rsidRPr="00F922F0">
              <w:rPr>
                <w:iCs/>
                <w:sz w:val="14"/>
                <w:szCs w:val="14"/>
              </w:rPr>
              <w:t xml:space="preserve"> </w:t>
            </w:r>
            <w:r w:rsidR="00FF7586">
              <w:rPr>
                <w:iCs/>
                <w:sz w:val="14"/>
                <w:szCs w:val="14"/>
              </w:rPr>
              <w:tab/>
            </w:r>
            <w:r w:rsidRPr="00F922F0">
              <w:rPr>
                <w:i/>
                <w:iCs/>
                <w:sz w:val="14"/>
                <w:szCs w:val="14"/>
              </w:rPr>
              <w:t>18.403</w:t>
            </w:r>
          </w:p>
          <w:p w:rsidR="00F922F0" w:rsidRPr="00D20CE0" w:rsidRDefault="00F922F0" w:rsidP="00D20CE0">
            <w:pPr>
              <w:tabs>
                <w:tab w:val="left" w:pos="356"/>
                <w:tab w:val="left" w:pos="1525"/>
                <w:tab w:val="right" w:pos="2835"/>
              </w:tabs>
              <w:rPr>
                <w:color w:val="0000FF"/>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F7586">
              <w:rPr>
                <w:iCs/>
                <w:color w:val="0000FF"/>
                <w:sz w:val="14"/>
                <w:szCs w:val="14"/>
              </w:rPr>
              <w:t>:</w:t>
            </w:r>
            <w:r w:rsidR="00FF7586" w:rsidRPr="00FF7586">
              <w:rPr>
                <w:iCs/>
                <w:color w:val="0000FF"/>
                <w:sz w:val="14"/>
                <w:szCs w:val="14"/>
              </w:rPr>
              <w:tab/>
            </w:r>
            <w:r w:rsidR="00FF7586" w:rsidRPr="00FF7586">
              <w:rPr>
                <w:iCs/>
                <w:color w:val="0000FF"/>
                <w:sz w:val="14"/>
                <w:szCs w:val="14"/>
              </w:rPr>
              <w:tab/>
            </w:r>
            <w:r w:rsidRPr="00FF7586">
              <w:rPr>
                <w:iCs/>
                <w:color w:val="0000FF"/>
                <w:sz w:val="14"/>
                <w:szCs w:val="14"/>
              </w:rPr>
              <w:t>-</w:t>
            </w:r>
          </w:p>
        </w:tc>
        <w:tc>
          <w:tcPr>
            <w:tcW w:w="3041" w:type="dxa"/>
            <w:tcBorders>
              <w:top w:val="nil"/>
              <w:left w:val="nil"/>
              <w:bottom w:val="single" w:sz="4" w:space="0" w:color="auto"/>
              <w:right w:val="nil"/>
            </w:tcBorders>
            <w:shd w:val="clear" w:color="auto" w:fill="auto"/>
          </w:tcPr>
          <w:p w:rsidR="00F922F0" w:rsidRDefault="008C3520" w:rsidP="00F922F0">
            <w:pPr>
              <w:spacing w:after="60"/>
              <w:rPr>
                <w:sz w:val="14"/>
                <w:szCs w:val="14"/>
                <w:lang w:bidi="th-TH"/>
              </w:rPr>
            </w:pPr>
            <w:r>
              <w:rPr>
                <w:sz w:val="14"/>
                <w:szCs w:val="14"/>
                <w:lang w:bidi="th-TH"/>
              </w:rPr>
              <w:t xml:space="preserve">IX.8  </w:t>
            </w:r>
            <w:r w:rsidRPr="008C3520">
              <w:rPr>
                <w:sz w:val="14"/>
                <w:szCs w:val="14"/>
                <w:lang w:bidi="th-TH"/>
              </w:rPr>
              <w:t>Mejor rendición de cuentas, aprendizaje institucional, uso óptimo de los recursos, administración, control interno y buen gobierno gracias a la asistencia que proporciona una supervisión eficaz e independiente</w:t>
            </w:r>
          </w:p>
          <w:p w:rsidR="00027288" w:rsidRPr="00F922F0" w:rsidRDefault="00027288" w:rsidP="00027288">
            <w:pPr>
              <w:tabs>
                <w:tab w:val="left" w:pos="378"/>
                <w:tab w:val="left" w:pos="2205"/>
                <w:tab w:val="right" w:pos="2835"/>
              </w:tabs>
              <w:rPr>
                <w:sz w:val="14"/>
                <w:szCs w:val="14"/>
                <w:lang w:bidi="th-TH"/>
              </w:rPr>
            </w:pPr>
          </w:p>
          <w:p w:rsidR="00F922F0" w:rsidRPr="00F922F0" w:rsidRDefault="00F922F0" w:rsidP="00F922F0">
            <w:pPr>
              <w:tabs>
                <w:tab w:val="left" w:pos="412"/>
                <w:tab w:val="left" w:pos="2237"/>
                <w:tab w:val="right" w:pos="2835"/>
              </w:tabs>
              <w:rPr>
                <w:i/>
                <w:iCs/>
                <w:sz w:val="14"/>
                <w:szCs w:val="14"/>
              </w:rPr>
            </w:pPr>
            <w:r w:rsidRPr="00F922F0">
              <w:rPr>
                <w:i/>
                <w:iCs/>
                <w:sz w:val="14"/>
                <w:szCs w:val="14"/>
              </w:rPr>
              <w:tab/>
              <w:t>Presupuesto propuesto 16/17:</w:t>
            </w:r>
            <w:r w:rsidRPr="00F922F0">
              <w:rPr>
                <w:iCs/>
                <w:sz w:val="14"/>
                <w:szCs w:val="14"/>
              </w:rPr>
              <w:t xml:space="preserve"> </w:t>
            </w:r>
            <w:r w:rsidR="00F6717D">
              <w:rPr>
                <w:iCs/>
                <w:sz w:val="14"/>
                <w:szCs w:val="14"/>
              </w:rPr>
              <w:t xml:space="preserve"> </w:t>
            </w:r>
            <w:r w:rsidR="00F6717D">
              <w:rPr>
                <w:iCs/>
                <w:sz w:val="14"/>
                <w:szCs w:val="14"/>
              </w:rPr>
              <w:tab/>
            </w:r>
            <w:r w:rsidRPr="00F922F0">
              <w:rPr>
                <w:i/>
                <w:iCs/>
                <w:sz w:val="14"/>
                <w:szCs w:val="14"/>
              </w:rPr>
              <w:t>7.035</w:t>
            </w:r>
          </w:p>
          <w:p w:rsidR="00F922F0" w:rsidRPr="00F922F0" w:rsidRDefault="00F922F0" w:rsidP="00F922F0">
            <w:pPr>
              <w:tabs>
                <w:tab w:val="left" w:pos="424"/>
                <w:tab w:val="left" w:pos="2237"/>
                <w:tab w:val="right" w:pos="2835"/>
              </w:tabs>
              <w:rPr>
                <w:i/>
                <w:iCs/>
                <w:sz w:val="14"/>
                <w:szCs w:val="14"/>
              </w:rPr>
            </w:pPr>
            <w:r w:rsidRPr="00F922F0">
              <w:rPr>
                <w:i/>
                <w:iCs/>
                <w:sz w:val="14"/>
                <w:szCs w:val="14"/>
              </w:rPr>
              <w:tab/>
            </w:r>
            <w:r w:rsidRPr="00F922F0">
              <w:rPr>
                <w:i/>
                <w:iCs/>
                <w:color w:val="0000FF"/>
                <w:sz w:val="14"/>
                <w:szCs w:val="14"/>
              </w:rPr>
              <w:t>Cuota</w:t>
            </w:r>
            <w:r w:rsidR="0041743A">
              <w:rPr>
                <w:i/>
                <w:iCs/>
                <w:color w:val="0000FF"/>
                <w:sz w:val="14"/>
                <w:szCs w:val="14"/>
              </w:rPr>
              <w:t xml:space="preserve"> para el desarrollo</w:t>
            </w:r>
            <w:r w:rsidRPr="00F6717D">
              <w:rPr>
                <w:i/>
                <w:iCs/>
                <w:color w:val="0000FF"/>
                <w:sz w:val="14"/>
                <w:szCs w:val="14"/>
              </w:rPr>
              <w:t>:</w:t>
            </w:r>
            <w:r w:rsidR="00F6717D" w:rsidRPr="00F6717D">
              <w:rPr>
                <w:i/>
                <w:iCs/>
                <w:color w:val="0000FF"/>
                <w:sz w:val="14"/>
                <w:szCs w:val="14"/>
              </w:rPr>
              <w:tab/>
            </w:r>
            <w:r w:rsidR="00F6717D" w:rsidRPr="00F6717D">
              <w:rPr>
                <w:i/>
                <w:iCs/>
                <w:color w:val="0000FF"/>
                <w:sz w:val="14"/>
                <w:szCs w:val="14"/>
              </w:rPr>
              <w:tab/>
            </w:r>
            <w:r w:rsidRPr="00F6717D">
              <w:rPr>
                <w:i/>
                <w:iCs/>
                <w:color w:val="0000FF"/>
                <w:sz w:val="14"/>
                <w:szCs w:val="14"/>
              </w:rPr>
              <w:t>963</w:t>
            </w:r>
          </w:p>
          <w:p w:rsidR="00F922F0" w:rsidRPr="00F922F0" w:rsidRDefault="00F922F0" w:rsidP="00F922F0">
            <w:pPr>
              <w:tabs>
                <w:tab w:val="left" w:pos="397"/>
                <w:tab w:val="right" w:pos="2835"/>
              </w:tabs>
              <w:rPr>
                <w:sz w:val="14"/>
                <w:szCs w:val="14"/>
              </w:rPr>
            </w:pPr>
          </w:p>
        </w:tc>
        <w:tc>
          <w:tcPr>
            <w:tcW w:w="3046" w:type="dxa"/>
            <w:tcBorders>
              <w:top w:val="nil"/>
              <w:left w:val="nil"/>
              <w:bottom w:val="single" w:sz="4" w:space="0" w:color="auto"/>
              <w:right w:val="single" w:sz="4" w:space="0" w:color="auto"/>
            </w:tcBorders>
            <w:shd w:val="clear" w:color="auto" w:fill="auto"/>
          </w:tcPr>
          <w:p w:rsidR="00F922F0" w:rsidRPr="00F922F0" w:rsidRDefault="00F922F0" w:rsidP="00F922F0">
            <w:pPr>
              <w:tabs>
                <w:tab w:val="right" w:pos="2835"/>
              </w:tabs>
              <w:rPr>
                <w:i/>
                <w:iCs/>
                <w:sz w:val="14"/>
                <w:szCs w:val="14"/>
              </w:rPr>
            </w:pPr>
            <w:r w:rsidRPr="00F922F0">
              <w:rPr>
                <w:sz w:val="14"/>
                <w:szCs w:val="14"/>
              </w:rPr>
              <w:br/>
            </w:r>
          </w:p>
          <w:p w:rsidR="00F922F0" w:rsidRPr="00F922F0" w:rsidRDefault="00F922F0" w:rsidP="00F922F0">
            <w:pPr>
              <w:tabs>
                <w:tab w:val="left" w:pos="2040"/>
                <w:tab w:val="right" w:pos="2835"/>
              </w:tabs>
              <w:rPr>
                <w:i/>
                <w:iCs/>
                <w:sz w:val="14"/>
                <w:szCs w:val="14"/>
              </w:rPr>
            </w:pPr>
          </w:p>
          <w:p w:rsidR="00F922F0" w:rsidRPr="00F922F0" w:rsidRDefault="00F922F0" w:rsidP="00F922F0">
            <w:pPr>
              <w:tabs>
                <w:tab w:val="left" w:pos="2040"/>
                <w:tab w:val="right" w:pos="2835"/>
              </w:tabs>
              <w:rPr>
                <w:i/>
                <w:iCs/>
                <w:sz w:val="14"/>
                <w:szCs w:val="14"/>
              </w:rPr>
            </w:pPr>
          </w:p>
          <w:p w:rsidR="00F922F0" w:rsidRPr="00F922F0" w:rsidRDefault="00F922F0" w:rsidP="00F922F0">
            <w:pPr>
              <w:tabs>
                <w:tab w:val="left" w:pos="2253"/>
                <w:tab w:val="right" w:pos="2835"/>
              </w:tabs>
              <w:rPr>
                <w:i/>
                <w:iCs/>
                <w:sz w:val="14"/>
                <w:szCs w:val="14"/>
              </w:rPr>
            </w:pPr>
            <w:r w:rsidRPr="00F922F0">
              <w:rPr>
                <w:i/>
                <w:iCs/>
                <w:sz w:val="14"/>
                <w:szCs w:val="14"/>
              </w:rPr>
              <w:t xml:space="preserve">Total presupuesto propuesto, meta IX: </w:t>
            </w:r>
            <w:r w:rsidR="00147560">
              <w:rPr>
                <w:i/>
                <w:iCs/>
                <w:sz w:val="14"/>
                <w:szCs w:val="14"/>
              </w:rPr>
              <w:tab/>
            </w:r>
            <w:r w:rsidRPr="00F922F0">
              <w:rPr>
                <w:i/>
                <w:iCs/>
                <w:sz w:val="14"/>
                <w:szCs w:val="14"/>
              </w:rPr>
              <w:t>228.591</w:t>
            </w:r>
          </w:p>
          <w:p w:rsidR="00F922F0" w:rsidRPr="00F922F0" w:rsidRDefault="00F922F0" w:rsidP="00027288">
            <w:pPr>
              <w:tabs>
                <w:tab w:val="left" w:pos="2488"/>
                <w:tab w:val="right" w:pos="2835"/>
              </w:tabs>
              <w:rPr>
                <w:sz w:val="14"/>
                <w:szCs w:val="14"/>
              </w:rPr>
            </w:pPr>
            <w:r w:rsidRPr="00147560">
              <w:rPr>
                <w:i/>
                <w:color w:val="0000FF"/>
                <w:sz w:val="14"/>
                <w:szCs w:val="14"/>
              </w:rPr>
              <w:t>Total cuota</w:t>
            </w:r>
            <w:r w:rsidR="0041743A">
              <w:rPr>
                <w:i/>
                <w:color w:val="0000FF"/>
                <w:sz w:val="14"/>
                <w:szCs w:val="14"/>
              </w:rPr>
              <w:t xml:space="preserve"> para el desarrollo</w:t>
            </w:r>
            <w:r w:rsidRPr="00147560">
              <w:rPr>
                <w:i/>
                <w:color w:val="0000FF"/>
                <w:sz w:val="14"/>
                <w:szCs w:val="14"/>
              </w:rPr>
              <w:t>, meta IX:</w:t>
            </w:r>
            <w:r w:rsidR="00027288">
              <w:rPr>
                <w:i/>
                <w:color w:val="0000FF"/>
                <w:sz w:val="14"/>
                <w:szCs w:val="14"/>
              </w:rPr>
              <w:t xml:space="preserve">      </w:t>
            </w:r>
            <w:r w:rsidRPr="00147560">
              <w:rPr>
                <w:i/>
                <w:color w:val="0000FF"/>
                <w:sz w:val="14"/>
                <w:szCs w:val="14"/>
              </w:rPr>
              <w:t>963</w:t>
            </w:r>
          </w:p>
        </w:tc>
      </w:tr>
      <w:tr w:rsidR="00BE7B0B" w:rsidRPr="00F922F0" w:rsidTr="00BE7B0B">
        <w:trPr>
          <w:trHeight w:val="684"/>
        </w:trPr>
        <w:tc>
          <w:tcPr>
            <w:tcW w:w="387" w:type="dxa"/>
            <w:tcBorders>
              <w:top w:val="nil"/>
              <w:left w:val="nil"/>
              <w:bottom w:val="nil"/>
              <w:right w:val="nil"/>
            </w:tcBorders>
            <w:shd w:val="clear" w:color="auto" w:fill="auto"/>
            <w:noWrap/>
            <w:vAlign w:val="bottom"/>
          </w:tcPr>
          <w:p w:rsidR="00BE7B0B" w:rsidRPr="00F922F0" w:rsidRDefault="00BE7B0B" w:rsidP="00F922F0">
            <w:pPr>
              <w:tabs>
                <w:tab w:val="right" w:pos="2835"/>
              </w:tabs>
              <w:rPr>
                <w:i/>
                <w:sz w:val="16"/>
                <w:szCs w:val="16"/>
              </w:rPr>
            </w:pPr>
          </w:p>
        </w:tc>
        <w:tc>
          <w:tcPr>
            <w:tcW w:w="12165" w:type="dxa"/>
            <w:gridSpan w:val="4"/>
            <w:tcBorders>
              <w:top w:val="single" w:sz="4" w:space="0" w:color="auto"/>
              <w:left w:val="nil"/>
              <w:bottom w:val="nil"/>
              <w:right w:val="nil"/>
            </w:tcBorders>
            <w:shd w:val="clear" w:color="auto" w:fill="auto"/>
            <w:vAlign w:val="center"/>
          </w:tcPr>
          <w:p w:rsidR="00BE7B0B" w:rsidRPr="00F922F0" w:rsidRDefault="00BE7B0B" w:rsidP="00F922F0">
            <w:pPr>
              <w:tabs>
                <w:tab w:val="right" w:pos="2835"/>
              </w:tabs>
              <w:rPr>
                <w:i/>
                <w:iCs/>
                <w:sz w:val="12"/>
                <w:szCs w:val="12"/>
              </w:rPr>
            </w:pPr>
            <w:r>
              <w:rPr>
                <w:i/>
                <w:iCs/>
                <w:sz w:val="12"/>
                <w:szCs w:val="12"/>
              </w:rPr>
              <w:br/>
            </w:r>
            <w:r w:rsidRPr="00F922F0">
              <w:rPr>
                <w:i/>
                <w:iCs/>
                <w:sz w:val="12"/>
                <w:szCs w:val="12"/>
              </w:rPr>
              <w:t xml:space="preserve">1 En la propuesta de presupuesto por resultados no aparece el importe de 6.319 millones de francos suizos, correspondiente a fondos no asignados. </w:t>
            </w:r>
          </w:p>
          <w:p w:rsidR="00BE7B0B" w:rsidRPr="00F922F0" w:rsidRDefault="00BE7B0B" w:rsidP="00F922F0">
            <w:pPr>
              <w:tabs>
                <w:tab w:val="right" w:pos="2835"/>
              </w:tabs>
              <w:rPr>
                <w:i/>
                <w:iCs/>
                <w:sz w:val="12"/>
                <w:szCs w:val="12"/>
              </w:rPr>
            </w:pPr>
            <w:r w:rsidRPr="00F922F0">
              <w:rPr>
                <w:i/>
                <w:iCs/>
                <w:sz w:val="12"/>
                <w:szCs w:val="12"/>
              </w:rPr>
              <w:t>2 Cuota</w:t>
            </w:r>
            <w:r>
              <w:rPr>
                <w:i/>
                <w:iCs/>
                <w:sz w:val="12"/>
                <w:szCs w:val="12"/>
              </w:rPr>
              <w:t xml:space="preserve"> para el desarrollo</w:t>
            </w:r>
            <w:proofErr w:type="gramStart"/>
            <w:r w:rsidRPr="00F922F0">
              <w:rPr>
                <w:i/>
                <w:iCs/>
                <w:sz w:val="12"/>
                <w:szCs w:val="12"/>
              </w:rPr>
              <w:t>:  Los</w:t>
            </w:r>
            <w:proofErr w:type="gramEnd"/>
            <w:r w:rsidRPr="00F922F0">
              <w:rPr>
                <w:i/>
                <w:iCs/>
                <w:sz w:val="12"/>
                <w:szCs w:val="12"/>
              </w:rPr>
              <w:t xml:space="preserve"> gastos se definen en tanto que gastos destinados a desarrollo exclusivamente en la medida en que el beneficiario sea un país en desarrollo y que no se haya previsto un gasto equivalente para los países desarrollados (conforme a lo que se viene haciendo hasta la fecha, a los fines del presupuesto por programas se incluye a los países con economías en transición).</w:t>
            </w:r>
          </w:p>
          <w:p w:rsidR="00BE7B0B" w:rsidRPr="00F922F0" w:rsidRDefault="00BE7B0B" w:rsidP="00F922F0">
            <w:pPr>
              <w:tabs>
                <w:tab w:val="right" w:pos="2835"/>
              </w:tabs>
              <w:rPr>
                <w:i/>
                <w:iCs/>
                <w:sz w:val="12"/>
                <w:szCs w:val="12"/>
              </w:rPr>
            </w:pPr>
            <w:r w:rsidRPr="00F922F0">
              <w:rPr>
                <w:i/>
                <w:iCs/>
                <w:sz w:val="12"/>
                <w:szCs w:val="12"/>
              </w:rPr>
              <w:t>3 En los importes correspondientes a la cuota</w:t>
            </w:r>
            <w:r>
              <w:rPr>
                <w:i/>
                <w:iCs/>
                <w:sz w:val="12"/>
                <w:szCs w:val="12"/>
              </w:rPr>
              <w:t xml:space="preserve"> para el desarrollo</w:t>
            </w:r>
            <w:r w:rsidRPr="00F922F0">
              <w:rPr>
                <w:i/>
                <w:iCs/>
                <w:sz w:val="12"/>
                <w:szCs w:val="12"/>
              </w:rPr>
              <w:t xml:space="preserve"> están incluidos los recursos para proyectos de la Agenda para el Desarrollo.</w:t>
            </w:r>
          </w:p>
          <w:p w:rsidR="00BE7B0B" w:rsidRPr="00F922F0" w:rsidRDefault="00BE7B0B" w:rsidP="00F922F0">
            <w:pPr>
              <w:tabs>
                <w:tab w:val="right" w:pos="2835"/>
              </w:tabs>
              <w:rPr>
                <w:sz w:val="16"/>
                <w:szCs w:val="16"/>
              </w:rPr>
            </w:pPr>
            <w:r w:rsidRPr="00F922F0">
              <w:rPr>
                <w:i/>
                <w:iCs/>
                <w:sz w:val="12"/>
                <w:szCs w:val="12"/>
              </w:rPr>
              <w:t>4 En caso de que las cifras no correspondan al presupuesto total se deberá al redondeo de los importes.</w:t>
            </w:r>
          </w:p>
        </w:tc>
        <w:tc>
          <w:tcPr>
            <w:tcW w:w="3040" w:type="dxa"/>
            <w:tcBorders>
              <w:top w:val="nil"/>
              <w:left w:val="nil"/>
              <w:bottom w:val="nil"/>
              <w:right w:val="nil"/>
            </w:tcBorders>
            <w:shd w:val="clear" w:color="auto" w:fill="auto"/>
            <w:noWrap/>
            <w:vAlign w:val="bottom"/>
          </w:tcPr>
          <w:p w:rsidR="00BE7B0B" w:rsidRPr="00F922F0" w:rsidRDefault="00BE7B0B" w:rsidP="00F922F0">
            <w:pPr>
              <w:tabs>
                <w:tab w:val="right" w:pos="2835"/>
              </w:tabs>
              <w:rPr>
                <w:sz w:val="16"/>
                <w:szCs w:val="16"/>
              </w:rPr>
            </w:pPr>
          </w:p>
        </w:tc>
        <w:tc>
          <w:tcPr>
            <w:tcW w:w="6087" w:type="dxa"/>
            <w:gridSpan w:val="2"/>
            <w:tcBorders>
              <w:top w:val="nil"/>
              <w:left w:val="nil"/>
              <w:bottom w:val="nil"/>
              <w:right w:val="nil"/>
            </w:tcBorders>
            <w:shd w:val="clear" w:color="auto" w:fill="auto"/>
            <w:noWrap/>
          </w:tcPr>
          <w:p w:rsidR="00BE7B0B" w:rsidRPr="00F922F0" w:rsidRDefault="00BE7B0B" w:rsidP="00F922F0">
            <w:pPr>
              <w:tabs>
                <w:tab w:val="right" w:pos="2835"/>
              </w:tabs>
              <w:rPr>
                <w:b/>
                <w:bCs/>
                <w:i/>
                <w:iCs/>
                <w:sz w:val="16"/>
                <w:szCs w:val="16"/>
              </w:rPr>
            </w:pPr>
          </w:p>
          <w:p w:rsidR="00BE7B0B" w:rsidRPr="00F922F0" w:rsidRDefault="00BE7B0B" w:rsidP="00F922F0">
            <w:pPr>
              <w:tabs>
                <w:tab w:val="right" w:pos="2835"/>
              </w:tabs>
              <w:rPr>
                <w:b/>
                <w:bCs/>
                <w:i/>
                <w:iCs/>
                <w:sz w:val="16"/>
                <w:szCs w:val="16"/>
              </w:rPr>
            </w:pPr>
            <w:r w:rsidRPr="00F922F0">
              <w:rPr>
                <w:b/>
                <w:bCs/>
                <w:i/>
                <w:iCs/>
                <w:sz w:val="16"/>
                <w:szCs w:val="16"/>
              </w:rPr>
              <w:t xml:space="preserve">Total del presupuesto propuesto 2016/17:   </w:t>
            </w:r>
            <w:r w:rsidRPr="00F922F0">
              <w:rPr>
                <w:bCs/>
                <w:iCs/>
                <w:sz w:val="16"/>
                <w:szCs w:val="16"/>
              </w:rPr>
              <w:t xml:space="preserve"> </w:t>
            </w:r>
            <w:r w:rsidRPr="00F922F0">
              <w:rPr>
                <w:b/>
                <w:bCs/>
                <w:i/>
                <w:iCs/>
                <w:sz w:val="16"/>
                <w:szCs w:val="16"/>
              </w:rPr>
              <w:t xml:space="preserve">707.036 </w:t>
            </w:r>
          </w:p>
          <w:p w:rsidR="00BE7B0B" w:rsidRPr="00F922F0" w:rsidRDefault="00BE7B0B" w:rsidP="00027288">
            <w:pPr>
              <w:tabs>
                <w:tab w:val="right" w:pos="2663"/>
              </w:tabs>
              <w:rPr>
                <w:b/>
                <w:bCs/>
                <w:i/>
                <w:iCs/>
                <w:sz w:val="16"/>
                <w:szCs w:val="16"/>
              </w:rPr>
            </w:pPr>
            <w:r w:rsidRPr="00147560">
              <w:rPr>
                <w:b/>
                <w:bCs/>
                <w:i/>
                <w:iCs/>
                <w:color w:val="0000FF"/>
                <w:sz w:val="16"/>
                <w:szCs w:val="16"/>
              </w:rPr>
              <w:t>Total de la cuota</w:t>
            </w:r>
            <w:r>
              <w:rPr>
                <w:b/>
                <w:bCs/>
                <w:i/>
                <w:iCs/>
                <w:color w:val="0000FF"/>
                <w:sz w:val="16"/>
                <w:szCs w:val="16"/>
              </w:rPr>
              <w:t xml:space="preserve"> para el desarrollo</w:t>
            </w:r>
            <w:r w:rsidRPr="00147560">
              <w:rPr>
                <w:b/>
                <w:bCs/>
                <w:i/>
                <w:iCs/>
                <w:color w:val="0000FF"/>
                <w:sz w:val="16"/>
                <w:szCs w:val="16"/>
              </w:rPr>
              <w:t xml:space="preserve">: </w:t>
            </w:r>
            <w:r>
              <w:rPr>
                <w:b/>
                <w:bCs/>
                <w:i/>
                <w:iCs/>
                <w:color w:val="0000FF"/>
                <w:sz w:val="16"/>
                <w:szCs w:val="16"/>
              </w:rPr>
              <w:t xml:space="preserve">   153.332</w:t>
            </w:r>
          </w:p>
        </w:tc>
      </w:tr>
    </w:tbl>
    <w:p w:rsidR="00272D37" w:rsidRDefault="00272D37" w:rsidP="002E3E28">
      <w:pPr>
        <w:rPr>
          <w:szCs w:val="22"/>
          <w:highlight w:val="lightGray"/>
        </w:rPr>
      </w:pPr>
    </w:p>
    <w:p w:rsidR="00BE7B0B" w:rsidRPr="00F922F0" w:rsidRDefault="00BE7B0B" w:rsidP="002E3E28">
      <w:pPr>
        <w:rPr>
          <w:szCs w:val="22"/>
          <w:highlight w:val="lightGray"/>
        </w:rPr>
      </w:pPr>
    </w:p>
    <w:p w:rsidR="00BE7B0B" w:rsidRDefault="00BE7B0B">
      <w:pPr>
        <w:rPr>
          <w:szCs w:val="22"/>
          <w:highlight w:val="lightGray"/>
        </w:rPr>
      </w:pPr>
      <w:r>
        <w:rPr>
          <w:szCs w:val="22"/>
          <w:highlight w:val="lightGray"/>
        </w:rPr>
        <w:br w:type="page"/>
      </w:r>
    </w:p>
    <w:p w:rsidR="00272D37" w:rsidRPr="00F922F0" w:rsidRDefault="00272D37" w:rsidP="002E3E28">
      <w:pPr>
        <w:rPr>
          <w:szCs w:val="22"/>
          <w:highlight w:val="lightGray"/>
        </w:rPr>
        <w:sectPr w:rsidR="00272D37" w:rsidRPr="00F922F0" w:rsidSect="00BE7B0B">
          <w:pgSz w:w="23814" w:h="16840" w:orient="landscape" w:code="8"/>
          <w:pgMar w:top="851" w:right="624" w:bottom="567" w:left="1134" w:header="510" w:footer="340" w:gutter="0"/>
          <w:cols w:space="720"/>
          <w:titlePg/>
          <w:docGrid w:linePitch="299"/>
        </w:sectPr>
      </w:pPr>
    </w:p>
    <w:p w:rsidR="002E12B3" w:rsidRPr="00250BC6" w:rsidRDefault="00855BC9" w:rsidP="002E12B3">
      <w:pPr>
        <w:pStyle w:val="StyleHeading3ComplexItalic"/>
        <w:tabs>
          <w:tab w:val="clear" w:pos="1985"/>
          <w:tab w:val="left" w:pos="1843"/>
        </w:tabs>
        <w:ind w:left="1843" w:hanging="1843"/>
        <w:rPr>
          <w:sz w:val="20"/>
          <w:highlight w:val="lightGray"/>
        </w:rPr>
      </w:pPr>
      <w:bookmarkStart w:id="14" w:name="_Toc419540399"/>
      <w:bookmarkStart w:id="15" w:name="_Toc420681126"/>
      <w:r w:rsidRPr="00250BC6">
        <w:rPr>
          <w:sz w:val="20"/>
          <w:lang w:val="es-ES"/>
        </w:rPr>
        <w:lastRenderedPageBreak/>
        <w:t>RESULTADOS Y RECURSOS</w:t>
      </w:r>
      <w:bookmarkEnd w:id="14"/>
      <w:bookmarkEnd w:id="15"/>
    </w:p>
    <w:p w:rsidR="002333C0" w:rsidRPr="00250BC6" w:rsidRDefault="002333C0" w:rsidP="002333C0">
      <w:pPr>
        <w:jc w:val="both"/>
        <w:rPr>
          <w:sz w:val="20"/>
        </w:rPr>
      </w:pPr>
    </w:p>
    <w:p w:rsidR="002333C0" w:rsidRPr="00250BC6" w:rsidRDefault="002333C0" w:rsidP="002333C0">
      <w:pPr>
        <w:jc w:val="both"/>
        <w:rPr>
          <w:sz w:val="20"/>
        </w:rPr>
      </w:pPr>
    </w:p>
    <w:p w:rsidR="002333C0" w:rsidRPr="00250BC6"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250BC6">
        <w:rPr>
          <w:rFonts w:ascii="Arial" w:hAnsi="Arial"/>
          <w:sz w:val="20"/>
          <w:lang w:val="es-ES"/>
        </w:rPr>
        <w:t>Por lo tanto, en la propuesta para el bienio 2016/17 se aspira a que los recursos de la Organización se sigan utilizando para obtener los resultados que mayor importancia revisten para los Estados miembros y demás partes interesadas.  El gasto total propuesto para el bienio 2016/17 asciende a 707,0 millones de francos suizos, lo que representa un aumento de 33 millones de francos suizos, es decir, el 4,9% con respecto al presupuesto aprobado de 2014/15, de 674 millones de francos suizos.</w:t>
      </w:r>
      <w:r w:rsidRPr="00250BC6">
        <w:rPr>
          <w:rFonts w:ascii="Arial" w:eastAsia="SimSun" w:hAnsi="Arial" w:cs="Arial"/>
          <w:sz w:val="20"/>
          <w:lang w:val="es-ES" w:eastAsia="zh-CN"/>
        </w:rPr>
        <w:t xml:space="preserve">  Estas cifras deben situarse en el contexto de un aumento previsto de ingresos del 6,0%  en comparación con el presupuesto aprobado de 2014/15.  Esto pone de manifiesto los esfuerzos de la Secretaría por contener los costos a pesar de que aumenta la demanda de sus servicios.</w:t>
      </w:r>
    </w:p>
    <w:p w:rsidR="002333C0" w:rsidRPr="00250BC6" w:rsidRDefault="002333C0" w:rsidP="002333C0">
      <w:pPr>
        <w:jc w:val="both"/>
        <w:rPr>
          <w:sz w:val="20"/>
        </w:rPr>
      </w:pPr>
    </w:p>
    <w:p w:rsidR="002333C0" w:rsidRPr="00250BC6"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250BC6">
        <w:rPr>
          <w:rFonts w:ascii="Arial" w:hAnsi="Arial"/>
          <w:sz w:val="20"/>
          <w:lang w:val="es-ES"/>
        </w:rPr>
        <w:t>En la sinopsis del marco de resultados se exponen los 37 resultados previstos a nivel de la Organización para el bienio 2016/17 en los que se proporciona el mandato de los programas que contribuyen a la consecución de esos resultados.  La sinopsis del marco de resultados aporta también una perspectiva del presupuesto para el bienio 2016/17 basada en los resultados, así como información sobre el porcentaje de los recursos asignados a actividades para el desarrollo, por resultado.  Además, en cada uno de los programas y en el Anexo VIII figura un desglose de los recursos extrapresupuestarios de que se podría disponer en cada programa.</w:t>
      </w:r>
    </w:p>
    <w:p w:rsidR="002333C0" w:rsidRPr="00250BC6" w:rsidRDefault="002333C0" w:rsidP="002333C0">
      <w:pPr>
        <w:jc w:val="both"/>
        <w:rPr>
          <w:sz w:val="20"/>
        </w:rPr>
      </w:pPr>
    </w:p>
    <w:p w:rsidR="002333C0" w:rsidRPr="00250BC6"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250BC6">
        <w:rPr>
          <w:rFonts w:ascii="Arial" w:eastAsia="SimSun" w:hAnsi="Arial" w:cs="Arial"/>
          <w:sz w:val="20"/>
          <w:lang w:val="es-ES" w:eastAsia="zh-CN"/>
        </w:rPr>
        <w:t>En los cuadros 4 y 5 que figuran a continuación se resume el</w:t>
      </w:r>
      <w:r w:rsidR="00250BC6">
        <w:rPr>
          <w:rFonts w:ascii="Arial" w:eastAsia="SimSun" w:hAnsi="Arial" w:cs="Arial"/>
          <w:sz w:val="20"/>
          <w:lang w:val="es-ES" w:eastAsia="zh-CN"/>
        </w:rPr>
        <w:t xml:space="preserve"> presupuesto por programas para </w:t>
      </w:r>
      <w:r w:rsidRPr="00250BC6">
        <w:rPr>
          <w:rFonts w:ascii="Arial" w:eastAsia="SimSun" w:hAnsi="Arial" w:cs="Arial"/>
          <w:sz w:val="20"/>
          <w:lang w:val="es-ES" w:eastAsia="zh-CN"/>
        </w:rPr>
        <w:t xml:space="preserve">2016/17 por categoría de costos.  La estructura de los programas sigue siendo la misma que en el bienio 2014/15, a excepción del i) programa 29 (Nueva sala de conferencias) que, tras la finalización de la construcción, no es necesario que figure en el bienio 2016/17 y del ii) programa 28 que comprende actualmente el aseguramiento de la información (que se ha trasladado del programa 25 (Tecnologías de la información y de las comunicaciones)) así como la seguridad y vigilancia.  En el Anexo I se ofrece una comparación del presupuesto por programas </w:t>
      </w:r>
      <w:r w:rsidR="00B51FDD">
        <w:rPr>
          <w:rFonts w:ascii="Arial" w:eastAsia="SimSun" w:hAnsi="Arial" w:cs="Arial"/>
          <w:sz w:val="20"/>
          <w:lang w:val="es-ES" w:eastAsia="zh-CN"/>
        </w:rPr>
        <w:t>de</w:t>
      </w:r>
      <w:r w:rsidRPr="00250BC6">
        <w:rPr>
          <w:rFonts w:ascii="Arial" w:eastAsia="SimSun" w:hAnsi="Arial" w:cs="Arial"/>
          <w:sz w:val="20"/>
          <w:lang w:val="es-ES" w:eastAsia="zh-CN"/>
        </w:rPr>
        <w:t xml:space="preserve"> 2016/17 </w:t>
      </w:r>
      <w:r w:rsidR="00C8341F">
        <w:rPr>
          <w:rFonts w:ascii="Arial" w:eastAsia="SimSun" w:hAnsi="Arial" w:cs="Arial"/>
          <w:sz w:val="20"/>
          <w:lang w:val="es-ES" w:eastAsia="zh-CN"/>
        </w:rPr>
        <w:t>con</w:t>
      </w:r>
      <w:r w:rsidRPr="00250BC6">
        <w:rPr>
          <w:rFonts w:ascii="Arial" w:eastAsia="SimSun" w:hAnsi="Arial" w:cs="Arial"/>
          <w:sz w:val="20"/>
          <w:lang w:val="es-ES" w:eastAsia="zh-CN"/>
        </w:rPr>
        <w:t xml:space="preserve"> el presupuesto aprobado</w:t>
      </w:r>
      <w:r w:rsidR="00C8341F">
        <w:rPr>
          <w:rFonts w:ascii="Arial" w:eastAsia="SimSun" w:hAnsi="Arial" w:cs="Arial"/>
          <w:sz w:val="20"/>
          <w:lang w:val="es-ES" w:eastAsia="zh-CN"/>
        </w:rPr>
        <w:t xml:space="preserve"> de 2014/15</w:t>
      </w:r>
      <w:r w:rsidRPr="00250BC6">
        <w:rPr>
          <w:rFonts w:ascii="Arial" w:eastAsia="SimSun" w:hAnsi="Arial" w:cs="Arial"/>
          <w:sz w:val="20"/>
          <w:lang w:val="es-ES" w:eastAsia="zh-CN"/>
        </w:rPr>
        <w:t xml:space="preserve"> y el presupuesto de</w:t>
      </w:r>
      <w:r w:rsidR="00C8341F">
        <w:rPr>
          <w:rFonts w:ascii="Arial" w:eastAsia="SimSun" w:hAnsi="Arial" w:cs="Arial"/>
          <w:sz w:val="20"/>
          <w:lang w:val="es-ES" w:eastAsia="zh-CN"/>
        </w:rPr>
        <w:t xml:space="preserve"> </w:t>
      </w:r>
      <w:r w:rsidR="00B51FDD">
        <w:rPr>
          <w:rFonts w:ascii="Arial" w:eastAsia="SimSun" w:hAnsi="Arial" w:cs="Arial"/>
          <w:sz w:val="20"/>
          <w:lang w:val="es-ES" w:eastAsia="zh-CN"/>
        </w:rPr>
        <w:t>2014/15 tras</w:t>
      </w:r>
      <w:r w:rsidRPr="00250BC6">
        <w:rPr>
          <w:rFonts w:ascii="Arial" w:eastAsia="SimSun" w:hAnsi="Arial" w:cs="Arial"/>
          <w:sz w:val="20"/>
          <w:lang w:val="es-ES" w:eastAsia="zh-CN"/>
        </w:rPr>
        <w:t xml:space="preserve"> las transferencias.  En el cuadro 13 del Anexo III figura el presupuesto por programas para </w:t>
      </w:r>
      <w:r w:rsidRPr="00250BC6">
        <w:rPr>
          <w:rFonts w:ascii="Arial" w:hAnsi="Arial" w:cs="Arial"/>
          <w:sz w:val="20"/>
          <w:lang w:val="es-ES"/>
        </w:rPr>
        <w:t xml:space="preserve">2016/17, por Unión. </w:t>
      </w:r>
    </w:p>
    <w:p w:rsidR="002333C0" w:rsidRPr="00250BC6" w:rsidRDefault="002333C0" w:rsidP="002333C0">
      <w:pPr>
        <w:widowControl w:val="0"/>
        <w:tabs>
          <w:tab w:val="num" w:pos="690"/>
        </w:tabs>
        <w:jc w:val="both"/>
        <w:rPr>
          <w:sz w:val="20"/>
        </w:rPr>
      </w:pPr>
    </w:p>
    <w:p w:rsidR="002333C0" w:rsidRPr="00250BC6"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250BC6">
        <w:rPr>
          <w:rFonts w:ascii="Arial" w:hAnsi="Arial" w:cs="Arial"/>
          <w:sz w:val="20"/>
          <w:lang w:val="es-ES"/>
        </w:rPr>
        <w:t>Conforme al Reglamento Financiero y la Reglamentación Financiera de la Organización, el presupuesto de la OMPI se prepara con arreglo al criterio de base contable de acumulación (o devengado) modificada</w:t>
      </w:r>
      <w:r w:rsidRPr="00250BC6">
        <w:rPr>
          <w:rStyle w:val="FootnoteReference"/>
          <w:rFonts w:ascii="Arial" w:hAnsi="Arial" w:cs="Arial"/>
          <w:sz w:val="20"/>
          <w:lang w:val="es-ES"/>
        </w:rPr>
        <w:footnoteReference w:id="6"/>
      </w:r>
      <w:r w:rsidRPr="00250BC6">
        <w:rPr>
          <w:rFonts w:ascii="Arial" w:hAnsi="Arial" w:cs="Arial"/>
          <w:sz w:val="20"/>
          <w:lang w:val="es-ES"/>
        </w:rPr>
        <w:t xml:space="preserve">.  El presupuesto de la OMPI sigue siendo sometido al examen y la aprobación de las Asambleas con frecuencia bienal.  El requisito de las IPSAS de presentación anual de informes sobre los estados financieros de la Organización también exige que la Organización presente su presupuesto con frecuencia anual.  Con ese fin, en el Anexo IX del presente documento se suministran cifras presupuestarias anuales, en relación tanto con los ingresos como con los gastos. </w:t>
      </w:r>
    </w:p>
    <w:p w:rsidR="002333C0" w:rsidRPr="00250BC6" w:rsidRDefault="002333C0" w:rsidP="002333C0">
      <w:pPr>
        <w:widowControl w:val="0"/>
        <w:tabs>
          <w:tab w:val="num" w:pos="690"/>
        </w:tabs>
        <w:jc w:val="both"/>
        <w:rPr>
          <w:sz w:val="20"/>
        </w:rPr>
      </w:pPr>
    </w:p>
    <w:p w:rsidR="002333C0" w:rsidRPr="00250BC6" w:rsidRDefault="002333C0" w:rsidP="002333C0">
      <w:pPr>
        <w:keepNext/>
        <w:keepLines/>
        <w:jc w:val="center"/>
        <w:rPr>
          <w:b/>
          <w:sz w:val="20"/>
        </w:rPr>
      </w:pPr>
      <w:r w:rsidRPr="00250BC6">
        <w:rPr>
          <w:b/>
          <w:sz w:val="20"/>
        </w:rPr>
        <w:lastRenderedPageBreak/>
        <w:t>Cuadro 4.  Presupuesto propuesto para 2016/17, por programa</w:t>
      </w:r>
    </w:p>
    <w:p w:rsidR="002333C0" w:rsidRPr="00D609BF" w:rsidRDefault="002333C0" w:rsidP="002333C0">
      <w:pPr>
        <w:keepNext/>
        <w:keepLines/>
        <w:jc w:val="center"/>
        <w:rPr>
          <w:sz w:val="20"/>
        </w:rPr>
      </w:pPr>
      <w:r w:rsidRPr="00250BC6">
        <w:rPr>
          <w:i/>
          <w:sz w:val="20"/>
        </w:rPr>
        <w:t>(</w:t>
      </w:r>
      <w:proofErr w:type="gramStart"/>
      <w:r w:rsidRPr="00250BC6">
        <w:rPr>
          <w:i/>
          <w:sz w:val="20"/>
        </w:rPr>
        <w:t>en</w:t>
      </w:r>
      <w:proofErr w:type="gramEnd"/>
      <w:r w:rsidRPr="00250BC6">
        <w:rPr>
          <w:i/>
          <w:sz w:val="20"/>
        </w:rPr>
        <w:t xml:space="preserve"> miles de francos suizos)</w:t>
      </w:r>
    </w:p>
    <w:p w:rsidR="002333C0" w:rsidRPr="00362498" w:rsidRDefault="002333C0" w:rsidP="002333C0">
      <w:pPr>
        <w:keepNext/>
        <w:keepLines/>
        <w:widowControl w:val="0"/>
        <w:tabs>
          <w:tab w:val="num" w:pos="690"/>
        </w:tabs>
        <w:jc w:val="both"/>
        <w:rPr>
          <w:sz w:val="20"/>
        </w:rPr>
      </w:pPr>
    </w:p>
    <w:p w:rsidR="002333C0" w:rsidRPr="00362498" w:rsidRDefault="00D609BF" w:rsidP="00D609BF">
      <w:pPr>
        <w:keepNext/>
        <w:keepLines/>
        <w:widowControl w:val="0"/>
        <w:tabs>
          <w:tab w:val="num" w:pos="690"/>
          <w:tab w:val="left" w:pos="7655"/>
        </w:tabs>
        <w:jc w:val="center"/>
      </w:pPr>
      <w:r w:rsidRPr="00D609BF">
        <w:rPr>
          <w:noProof/>
          <w:lang w:val="en-US" w:eastAsia="en-US"/>
        </w:rPr>
        <w:drawing>
          <wp:inline distT="0" distB="0" distL="0" distR="0" wp14:anchorId="67D98922" wp14:editId="1F6EDED4">
            <wp:extent cx="5940425" cy="6016157"/>
            <wp:effectExtent l="0" t="0" r="3175"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6016157"/>
                    </a:xfrm>
                    <a:prstGeom prst="rect">
                      <a:avLst/>
                    </a:prstGeom>
                    <a:noFill/>
                    <a:ln>
                      <a:noFill/>
                    </a:ln>
                  </pic:spPr>
                </pic:pic>
              </a:graphicData>
            </a:graphic>
          </wp:inline>
        </w:drawing>
      </w:r>
    </w:p>
    <w:p w:rsidR="002333C0" w:rsidRPr="00362498" w:rsidRDefault="002333C0" w:rsidP="002333C0">
      <w:pPr>
        <w:widowControl w:val="0"/>
        <w:tabs>
          <w:tab w:val="num" w:pos="690"/>
        </w:tabs>
        <w:jc w:val="both"/>
        <w:rPr>
          <w:b/>
          <w:color w:val="000000"/>
          <w:sz w:val="20"/>
        </w:rPr>
      </w:pPr>
    </w:p>
    <w:p w:rsidR="002333C0" w:rsidRPr="00362498" w:rsidRDefault="002333C0" w:rsidP="002333C0">
      <w:pPr>
        <w:widowControl w:val="0"/>
        <w:tabs>
          <w:tab w:val="num" w:pos="690"/>
        </w:tabs>
        <w:jc w:val="both"/>
        <w:rPr>
          <w:b/>
          <w:color w:val="000000"/>
          <w:sz w:val="20"/>
        </w:rPr>
      </w:pPr>
    </w:p>
    <w:p w:rsidR="002333C0" w:rsidRPr="00362498" w:rsidRDefault="002333C0" w:rsidP="002333C0">
      <w:pPr>
        <w:widowControl w:val="0"/>
        <w:tabs>
          <w:tab w:val="num" w:pos="690"/>
        </w:tabs>
        <w:jc w:val="both"/>
        <w:rPr>
          <w:b/>
          <w:color w:val="000000"/>
          <w:sz w:val="20"/>
        </w:rPr>
      </w:pPr>
      <w:r>
        <w:rPr>
          <w:b/>
          <w:color w:val="000000"/>
          <w:sz w:val="20"/>
        </w:rPr>
        <w:t>Principales prioridades en el bienio</w:t>
      </w:r>
    </w:p>
    <w:p w:rsidR="002333C0" w:rsidRPr="00362498" w:rsidRDefault="002333C0" w:rsidP="002333C0">
      <w:pPr>
        <w:widowControl w:val="0"/>
        <w:tabs>
          <w:tab w:val="num" w:pos="690"/>
        </w:tabs>
        <w:jc w:val="both"/>
        <w:rPr>
          <w:color w:val="000000"/>
          <w:sz w:val="20"/>
        </w:rPr>
      </w:pPr>
    </w:p>
    <w:p w:rsidR="002333C0" w:rsidRDefault="002333C0" w:rsidP="002333C0">
      <w:pPr>
        <w:pStyle w:val="ListParagraph"/>
        <w:widowControl w:val="0"/>
        <w:numPr>
          <w:ilvl w:val="0"/>
          <w:numId w:val="8"/>
        </w:numPr>
        <w:tabs>
          <w:tab w:val="left" w:pos="567"/>
        </w:tabs>
        <w:ind w:left="0" w:firstLine="0"/>
        <w:jc w:val="both"/>
        <w:rPr>
          <w:rFonts w:ascii="Arial" w:hAnsi="Arial"/>
          <w:sz w:val="20"/>
          <w:lang w:val="es-ES"/>
        </w:rPr>
      </w:pPr>
      <w:r>
        <w:rPr>
          <w:rFonts w:ascii="Arial" w:hAnsi="Arial"/>
          <w:sz w:val="20"/>
          <w:lang w:val="es-ES"/>
        </w:rPr>
        <w:t xml:space="preserve">Velar por que se utilicen de manera más generalizada y eficaz los servicios que prestan los sistemas mundiales de registro de la OMPI, sobre todo, los </w:t>
      </w:r>
      <w:r w:rsidR="001914A4">
        <w:rPr>
          <w:rFonts w:ascii="Arial" w:hAnsi="Arial"/>
          <w:sz w:val="20"/>
          <w:lang w:val="es-ES"/>
        </w:rPr>
        <w:t xml:space="preserve">Sistemas </w:t>
      </w:r>
      <w:r>
        <w:rPr>
          <w:rFonts w:ascii="Arial" w:hAnsi="Arial"/>
          <w:sz w:val="20"/>
          <w:lang w:val="es-ES"/>
        </w:rPr>
        <w:t xml:space="preserve">del PCT, de Madrid y de </w:t>
      </w:r>
      <w:r w:rsidR="003B0DF0">
        <w:rPr>
          <w:rFonts w:ascii="Arial" w:hAnsi="Arial"/>
          <w:sz w:val="20"/>
          <w:lang w:val="es-ES"/>
        </w:rPr>
        <w:t>La Haya</w:t>
      </w:r>
      <w:r w:rsidRPr="00B97C03">
        <w:rPr>
          <w:rFonts w:ascii="Arial" w:hAnsi="Arial"/>
          <w:sz w:val="20"/>
          <w:lang w:val="es-ES"/>
        </w:rPr>
        <w:t xml:space="preserve"> </w:t>
      </w:r>
      <w:r>
        <w:rPr>
          <w:rFonts w:ascii="Arial" w:hAnsi="Arial"/>
          <w:sz w:val="20"/>
          <w:lang w:val="es-ES"/>
        </w:rPr>
        <w:t xml:space="preserve">sigue siendo una prioridad fundamental de cara al bienio 2016/17.  Dotar de los recursos apropiados y suficientes a los programas que prestan los servicios de registro, que constituyen la base principal de la sostenibilidad financiera a largo plazo de la Organización, es esencial para garantizar que la OMPI cumpla las obligaciones previstas en los tratados y siga satisfaciendo las demandas de los solicitantes mediante unos servicios de alta calidad.  Para ello, será necesario afrontar los desafíos que plantean los cambios en la composición geográfica de los usuarios de dichos servicios, sin olvidarse de atender a las correspondientes competencias lingüísticas, y el rápido aumento del número de miembros participantes, especialmente en los </w:t>
      </w:r>
      <w:r w:rsidR="001914A4">
        <w:rPr>
          <w:rFonts w:ascii="Arial" w:hAnsi="Arial"/>
          <w:sz w:val="20"/>
          <w:lang w:val="es-ES"/>
        </w:rPr>
        <w:t xml:space="preserve">Sistemas </w:t>
      </w:r>
      <w:r>
        <w:rPr>
          <w:rFonts w:ascii="Arial" w:hAnsi="Arial"/>
          <w:sz w:val="20"/>
          <w:lang w:val="es-ES"/>
        </w:rPr>
        <w:t xml:space="preserve">de Madrid y de </w:t>
      </w:r>
      <w:r w:rsidR="003B0DF0">
        <w:rPr>
          <w:rFonts w:ascii="Arial" w:hAnsi="Arial"/>
          <w:sz w:val="20"/>
          <w:lang w:val="es-ES"/>
        </w:rPr>
        <w:t>La Haya</w:t>
      </w:r>
      <w:r>
        <w:rPr>
          <w:rFonts w:ascii="Arial" w:hAnsi="Arial"/>
          <w:sz w:val="20"/>
          <w:lang w:val="es-ES"/>
        </w:rPr>
        <w:t xml:space="preserve">.  Asimismo, seguirá siendo prioritario que los sistemas de registro funcionen eficazmente a medida que la OMPI sigue avanzando en el establecimiento de un entorno completamente electrónico para los </w:t>
      </w:r>
      <w:r w:rsidR="001914A4">
        <w:rPr>
          <w:rFonts w:ascii="Arial" w:hAnsi="Arial"/>
          <w:sz w:val="20"/>
          <w:lang w:val="es-ES"/>
        </w:rPr>
        <w:t>S</w:t>
      </w:r>
      <w:r>
        <w:rPr>
          <w:rFonts w:ascii="Arial" w:hAnsi="Arial"/>
          <w:sz w:val="20"/>
          <w:lang w:val="es-ES"/>
        </w:rPr>
        <w:t xml:space="preserve">istemas del PCT, de Madrid y de </w:t>
      </w:r>
      <w:r w:rsidR="00250BC6">
        <w:rPr>
          <w:rFonts w:ascii="Arial" w:hAnsi="Arial"/>
          <w:sz w:val="20"/>
          <w:lang w:val="es-ES"/>
        </w:rPr>
        <w:t>La </w:t>
      </w:r>
      <w:r>
        <w:rPr>
          <w:rFonts w:ascii="Arial" w:hAnsi="Arial"/>
          <w:sz w:val="20"/>
          <w:lang w:val="es-ES"/>
        </w:rPr>
        <w:t>Haya.</w:t>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Pr="00362498" w:rsidRDefault="002333C0" w:rsidP="0051271B">
      <w:pPr>
        <w:pStyle w:val="ListParagraph"/>
        <w:keepLines/>
        <w:numPr>
          <w:ilvl w:val="0"/>
          <w:numId w:val="10"/>
        </w:numPr>
        <w:tabs>
          <w:tab w:val="right" w:pos="1134"/>
        </w:tabs>
        <w:ind w:left="1134" w:hanging="567"/>
        <w:jc w:val="both"/>
        <w:rPr>
          <w:rFonts w:ascii="Arial" w:hAnsi="Arial"/>
          <w:i/>
          <w:sz w:val="20"/>
          <w:lang w:val="es-ES"/>
        </w:rPr>
      </w:pPr>
      <w:r>
        <w:rPr>
          <w:rFonts w:ascii="Arial" w:hAnsi="Arial"/>
          <w:i/>
          <w:sz w:val="20"/>
          <w:lang w:val="es-ES"/>
        </w:rPr>
        <w:lastRenderedPageBreak/>
        <w:t>L</w:t>
      </w:r>
      <w:r w:rsidR="00100C89">
        <w:rPr>
          <w:rFonts w:ascii="Arial" w:hAnsi="Arial"/>
          <w:i/>
          <w:sz w:val="20"/>
          <w:lang w:val="es-ES"/>
        </w:rPr>
        <w:t>a correspondiente dotación global de</w:t>
      </w:r>
      <w:r>
        <w:rPr>
          <w:rFonts w:ascii="Arial" w:hAnsi="Arial"/>
          <w:i/>
          <w:sz w:val="20"/>
          <w:lang w:val="es-ES"/>
        </w:rPr>
        <w:t xml:space="preserve"> recursos para el Sistema de La Haya queda reflejad</w:t>
      </w:r>
      <w:r w:rsidR="00100C89">
        <w:rPr>
          <w:rFonts w:ascii="Arial" w:hAnsi="Arial"/>
          <w:i/>
          <w:sz w:val="20"/>
          <w:lang w:val="es-ES"/>
        </w:rPr>
        <w:t>a</w:t>
      </w:r>
      <w:r>
        <w:rPr>
          <w:rFonts w:ascii="Arial" w:hAnsi="Arial"/>
          <w:i/>
          <w:sz w:val="20"/>
          <w:lang w:val="es-ES"/>
        </w:rPr>
        <w:t xml:space="preserve"> en el programa 31 (Sistema de La Haya) y los aumentos </w:t>
      </w:r>
      <w:r w:rsidR="00100C89">
        <w:rPr>
          <w:rFonts w:ascii="Arial" w:hAnsi="Arial"/>
          <w:i/>
          <w:sz w:val="20"/>
          <w:lang w:val="es-ES"/>
        </w:rPr>
        <w:t>correspondientes a</w:t>
      </w:r>
      <w:r>
        <w:rPr>
          <w:rFonts w:ascii="Arial" w:hAnsi="Arial"/>
          <w:i/>
          <w:sz w:val="20"/>
          <w:lang w:val="es-ES"/>
        </w:rPr>
        <w:t xml:space="preserve"> los </w:t>
      </w:r>
      <w:r w:rsidR="009A0E7D">
        <w:rPr>
          <w:rFonts w:ascii="Arial" w:hAnsi="Arial"/>
          <w:i/>
          <w:sz w:val="20"/>
          <w:lang w:val="es-ES"/>
        </w:rPr>
        <w:t xml:space="preserve">Sistemas </w:t>
      </w:r>
      <w:r>
        <w:rPr>
          <w:rFonts w:ascii="Arial" w:hAnsi="Arial"/>
          <w:i/>
          <w:sz w:val="20"/>
          <w:lang w:val="es-ES"/>
        </w:rPr>
        <w:t>del PCT y de Madrid quedan reflejados en el programa 5 (PCT) y el programa 6 (Sistemas de Madrid y de Lisboa)</w:t>
      </w:r>
      <w:r w:rsidRPr="00362498">
        <w:rPr>
          <w:rFonts w:ascii="Arial" w:hAnsi="Arial"/>
          <w:i/>
          <w:sz w:val="20"/>
          <w:lang w:val="es-ES"/>
        </w:rPr>
        <w:t xml:space="preserve">. </w:t>
      </w:r>
    </w:p>
    <w:p w:rsidR="002333C0" w:rsidRPr="00362498" w:rsidRDefault="002333C0" w:rsidP="002333C0">
      <w:pPr>
        <w:tabs>
          <w:tab w:val="left" w:pos="567"/>
        </w:tabs>
        <w:jc w:val="both"/>
        <w:rPr>
          <w:sz w:val="20"/>
        </w:rPr>
      </w:pPr>
    </w:p>
    <w:p w:rsidR="002333C0" w:rsidRPr="0068170E" w:rsidRDefault="00100C89" w:rsidP="002333C0">
      <w:pPr>
        <w:pStyle w:val="ListParagraph"/>
        <w:widowControl w:val="0"/>
        <w:numPr>
          <w:ilvl w:val="0"/>
          <w:numId w:val="8"/>
        </w:numPr>
        <w:tabs>
          <w:tab w:val="left" w:pos="567"/>
        </w:tabs>
        <w:ind w:left="0" w:firstLine="0"/>
        <w:jc w:val="both"/>
        <w:rPr>
          <w:rFonts w:ascii="Arial" w:hAnsi="Arial"/>
          <w:sz w:val="20"/>
          <w:lang w:val="es-ES"/>
        </w:rPr>
      </w:pPr>
      <w:r>
        <w:rPr>
          <w:rFonts w:ascii="Arial" w:hAnsi="Arial" w:cs="Arial"/>
          <w:bCs/>
          <w:sz w:val="20"/>
          <w:lang w:val="es-ES"/>
        </w:rPr>
        <w:t>Habida cuenta de</w:t>
      </w:r>
      <w:r w:rsidR="002333C0" w:rsidRPr="0068170E">
        <w:rPr>
          <w:rFonts w:ascii="Arial" w:hAnsi="Arial" w:cs="Arial"/>
          <w:bCs/>
          <w:sz w:val="20"/>
          <w:lang w:val="es-ES"/>
        </w:rPr>
        <w:t xml:space="preserve"> que </w:t>
      </w:r>
      <w:r>
        <w:rPr>
          <w:rFonts w:ascii="Arial" w:hAnsi="Arial" w:cs="Arial"/>
          <w:bCs/>
          <w:sz w:val="20"/>
          <w:lang w:val="es-ES"/>
        </w:rPr>
        <w:t xml:space="preserve">hay </w:t>
      </w:r>
      <w:r w:rsidR="002333C0" w:rsidRPr="0068170E">
        <w:rPr>
          <w:rFonts w:ascii="Arial" w:hAnsi="Arial" w:cs="Arial"/>
          <w:bCs/>
          <w:sz w:val="20"/>
          <w:lang w:val="es-ES"/>
        </w:rPr>
        <w:t>cada vez más amenazas a las operaciones de la OMPI procedentes del entorno externo, se fortalecerán las capacidades de planificación para casos de emergencia mediante la creación de un marco institucional de reacción</w:t>
      </w:r>
      <w:r>
        <w:rPr>
          <w:rFonts w:ascii="Arial" w:hAnsi="Arial" w:cs="Arial"/>
          <w:bCs/>
          <w:sz w:val="20"/>
          <w:lang w:val="es-ES"/>
        </w:rPr>
        <w:t xml:space="preserve"> y recuperación</w:t>
      </w:r>
      <w:r w:rsidR="002333C0" w:rsidRPr="0068170E">
        <w:rPr>
          <w:rFonts w:ascii="Arial" w:hAnsi="Arial" w:cs="Arial"/>
          <w:bCs/>
          <w:sz w:val="20"/>
          <w:lang w:val="es-ES"/>
        </w:rPr>
        <w:t xml:space="preserve"> con el fin de mitigar o minimizar, en la medida de lo posible, la repercusión de las interrupciones de las operaciones esenciales de la Organización.</w:t>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Pr="00B47DAB" w:rsidRDefault="002333C0" w:rsidP="002333C0">
      <w:pPr>
        <w:pStyle w:val="ListParagraph"/>
        <w:widowControl w:val="0"/>
        <w:numPr>
          <w:ilvl w:val="0"/>
          <w:numId w:val="10"/>
        </w:numPr>
        <w:tabs>
          <w:tab w:val="left" w:pos="567"/>
        </w:tabs>
        <w:ind w:left="1170" w:hanging="630"/>
        <w:jc w:val="both"/>
        <w:rPr>
          <w:rFonts w:ascii="Arial" w:hAnsi="Arial"/>
          <w:sz w:val="20"/>
          <w:lang w:val="es-ES"/>
        </w:rPr>
      </w:pPr>
      <w:r w:rsidRPr="00A25220">
        <w:rPr>
          <w:rFonts w:ascii="Arial" w:hAnsi="Arial"/>
          <w:i/>
          <w:sz w:val="20"/>
          <w:lang w:val="es-ES"/>
        </w:rPr>
        <w:t>L</w:t>
      </w:r>
      <w:r w:rsidR="00100C89">
        <w:rPr>
          <w:rFonts w:ascii="Arial" w:hAnsi="Arial"/>
          <w:i/>
          <w:sz w:val="20"/>
          <w:lang w:val="es-ES"/>
        </w:rPr>
        <w:t>a correspondiente dotación global de</w:t>
      </w:r>
      <w:r w:rsidRPr="00A25220">
        <w:rPr>
          <w:rFonts w:ascii="Arial" w:hAnsi="Arial"/>
          <w:i/>
          <w:sz w:val="20"/>
          <w:lang w:val="es-ES"/>
        </w:rPr>
        <w:t xml:space="preserve"> recursos queda reflejad</w:t>
      </w:r>
      <w:r w:rsidR="00100C89">
        <w:rPr>
          <w:rFonts w:ascii="Arial" w:hAnsi="Arial"/>
          <w:i/>
          <w:sz w:val="20"/>
          <w:lang w:val="es-ES"/>
        </w:rPr>
        <w:t>a</w:t>
      </w:r>
      <w:r>
        <w:rPr>
          <w:rFonts w:ascii="Arial" w:hAnsi="Arial"/>
          <w:i/>
          <w:sz w:val="20"/>
          <w:lang w:val="es-ES"/>
        </w:rPr>
        <w:t xml:space="preserve"> en el programa 21 (Gestión ejecutiva)</w:t>
      </w:r>
      <w:r w:rsidR="00100C89">
        <w:rPr>
          <w:rFonts w:ascii="Arial" w:hAnsi="Arial"/>
          <w:i/>
          <w:sz w:val="20"/>
          <w:lang w:val="es-ES"/>
        </w:rPr>
        <w:t>.</w:t>
      </w:r>
    </w:p>
    <w:p w:rsidR="002333C0" w:rsidRPr="0051271B" w:rsidRDefault="002333C0" w:rsidP="002333C0">
      <w:pPr>
        <w:pStyle w:val="ListParagraph"/>
        <w:widowControl w:val="0"/>
        <w:tabs>
          <w:tab w:val="left" w:pos="567"/>
        </w:tabs>
        <w:ind w:left="1170"/>
        <w:jc w:val="both"/>
        <w:rPr>
          <w:rFonts w:ascii="Arial" w:hAnsi="Arial"/>
          <w:sz w:val="20"/>
          <w:lang w:val="es-ES"/>
        </w:rPr>
      </w:pPr>
    </w:p>
    <w:p w:rsidR="002333C0" w:rsidRPr="0051271B"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51271B">
        <w:rPr>
          <w:rFonts w:ascii="Arial" w:hAnsi="Arial" w:cs="Arial"/>
          <w:bCs/>
          <w:sz w:val="20"/>
          <w:lang w:val="es-ES"/>
        </w:rPr>
        <w:t>La Organización depende más que nunca de una infraestructura y unos servicios de TIC fiables y eficaces.  Los usuarios mundiales esperan que los servicios de TIC de la OMPI respondan más adecuadamente a sus necesidades, y sean cada vez más fiables, accesibles y seguros ante los desastres naturales y los humanos, como los ciberataques.  Por lo tanto, la seguridad de la información y la continuidad de las operaciones cobran máxima prioridad y serán el centro de la atención a lo largo del siguiente bienio</w:t>
      </w:r>
      <w:r w:rsidRPr="0051271B">
        <w:rPr>
          <w:rFonts w:ascii="Arial" w:hAnsi="Arial"/>
          <w:sz w:val="20"/>
          <w:lang w:val="es-ES"/>
        </w:rPr>
        <w:t>.</w:t>
      </w:r>
    </w:p>
    <w:p w:rsidR="002333C0" w:rsidRPr="0051271B" w:rsidRDefault="002333C0" w:rsidP="002333C0">
      <w:pPr>
        <w:pStyle w:val="ListParagraph"/>
        <w:widowControl w:val="0"/>
        <w:tabs>
          <w:tab w:val="left" w:pos="567"/>
        </w:tabs>
        <w:ind w:left="0"/>
        <w:jc w:val="both"/>
        <w:rPr>
          <w:rFonts w:ascii="Arial" w:hAnsi="Arial"/>
          <w:sz w:val="20"/>
          <w:lang w:val="es-ES"/>
        </w:rPr>
      </w:pPr>
    </w:p>
    <w:p w:rsidR="002333C0" w:rsidRPr="0051271B" w:rsidRDefault="00100C89" w:rsidP="002333C0">
      <w:pPr>
        <w:pStyle w:val="ListParagraph"/>
        <w:numPr>
          <w:ilvl w:val="0"/>
          <w:numId w:val="10"/>
        </w:numPr>
        <w:tabs>
          <w:tab w:val="right" w:pos="1134"/>
        </w:tabs>
        <w:ind w:left="1134" w:hanging="567"/>
        <w:jc w:val="both"/>
        <w:rPr>
          <w:rFonts w:ascii="Arial" w:hAnsi="Arial"/>
          <w:i/>
          <w:sz w:val="20"/>
          <w:lang w:val="es-ES"/>
        </w:rPr>
      </w:pPr>
      <w:r>
        <w:rPr>
          <w:rFonts w:ascii="Arial" w:hAnsi="Arial"/>
          <w:i/>
          <w:sz w:val="20"/>
          <w:lang w:val="es-ES"/>
        </w:rPr>
        <w:t xml:space="preserve">El correspondiente aumento en la dotación global de </w:t>
      </w:r>
      <w:r w:rsidR="002333C0" w:rsidRPr="0051271B">
        <w:rPr>
          <w:rFonts w:ascii="Arial" w:hAnsi="Arial"/>
          <w:i/>
          <w:sz w:val="20"/>
          <w:lang w:val="es-ES"/>
        </w:rPr>
        <w:t xml:space="preserve">recursos queda reflejado en el programa 5 (PCT), el programa 25 (Tecnologías de la información y de las comunicaciones) y el programa 28 (Aseguramiento de la información, seguridad y vigilancia). </w:t>
      </w:r>
    </w:p>
    <w:p w:rsidR="002333C0" w:rsidRPr="0051271B" w:rsidRDefault="002333C0" w:rsidP="002333C0">
      <w:pPr>
        <w:tabs>
          <w:tab w:val="left" w:pos="567"/>
        </w:tabs>
        <w:jc w:val="both"/>
        <w:rPr>
          <w:i/>
          <w:sz w:val="20"/>
        </w:rPr>
      </w:pPr>
    </w:p>
    <w:p w:rsidR="002333C0" w:rsidRPr="0051271B"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51271B">
        <w:rPr>
          <w:rFonts w:ascii="Arial" w:hAnsi="Arial"/>
          <w:sz w:val="20"/>
          <w:lang w:val="es-ES"/>
        </w:rPr>
        <w:t>Se seguirá facilitando la cooperación y el acuerdo entre los Estados miembros a fin de seguir desarrollando un marco normativo equilibrado a nivel internacional para la P.I. en 2016/17, teniendo en cuenta las decisiones de los Estados miembros.  La hipótesis de planificación para 2016/17 comprende tres sesiones del Comité Permanente sobre el Derecho de Patentes (SCP) y el Comité Permanente sobre el Derecho de Marcas, Diseños Industriales e Indicaciones Geográficas (SCT) y hasta cuatro sesiones del Comité Permanente de Derecho de Autor y Derechos Conexos (SCCR) y el Comité Intergubernamental sobre Propiedad Intelectual y Recursos Genéticos, Conocimientos Tradicionales y Folclore (CIG), reflejadas en el programa 1 (Derecho de patentes), el programa 2 (Derecho de marcas</w:t>
      </w:r>
      <w:r w:rsidR="009A0E7D">
        <w:rPr>
          <w:rFonts w:ascii="Arial" w:hAnsi="Arial"/>
          <w:sz w:val="20"/>
          <w:lang w:val="es-ES"/>
        </w:rPr>
        <w:t>, diseños industriales e indicaciones geográficas</w:t>
      </w:r>
      <w:r w:rsidRPr="0051271B">
        <w:rPr>
          <w:rFonts w:ascii="Arial" w:hAnsi="Arial"/>
          <w:sz w:val="20"/>
          <w:lang w:val="es-ES"/>
        </w:rPr>
        <w:t>), el programa 3 (Derecho de autor y derechos conexos) y el programa 4 (Conocimientos tradicionales, expresiones culturales tradicionales y recursos genéticos).</w:t>
      </w:r>
    </w:p>
    <w:p w:rsidR="002333C0" w:rsidRPr="0051271B" w:rsidRDefault="002333C0" w:rsidP="002333C0">
      <w:pPr>
        <w:pStyle w:val="ListParagraph"/>
        <w:widowControl w:val="0"/>
        <w:tabs>
          <w:tab w:val="left" w:pos="567"/>
        </w:tabs>
        <w:ind w:left="0"/>
        <w:jc w:val="both"/>
        <w:rPr>
          <w:rFonts w:ascii="Arial" w:hAnsi="Arial"/>
          <w:sz w:val="20"/>
          <w:lang w:val="es-ES"/>
        </w:rPr>
      </w:pPr>
      <w:r w:rsidRPr="0051271B">
        <w:rPr>
          <w:rFonts w:ascii="Arial" w:hAnsi="Arial"/>
          <w:sz w:val="20"/>
          <w:lang w:val="es-ES"/>
        </w:rPr>
        <w:t xml:space="preserve"> </w:t>
      </w:r>
    </w:p>
    <w:p w:rsidR="002333C0" w:rsidRPr="0051271B" w:rsidRDefault="002333C0" w:rsidP="002333C0">
      <w:pPr>
        <w:pStyle w:val="ListParagraph"/>
        <w:numPr>
          <w:ilvl w:val="0"/>
          <w:numId w:val="10"/>
        </w:numPr>
        <w:tabs>
          <w:tab w:val="right" w:pos="1134"/>
        </w:tabs>
        <w:ind w:left="1134" w:hanging="567"/>
        <w:jc w:val="both"/>
        <w:rPr>
          <w:rFonts w:ascii="Arial" w:hAnsi="Arial"/>
          <w:i/>
          <w:sz w:val="20"/>
          <w:lang w:val="es-ES"/>
        </w:rPr>
      </w:pPr>
      <w:r w:rsidRPr="0051271B">
        <w:rPr>
          <w:rFonts w:ascii="Arial" w:hAnsi="Arial"/>
          <w:i/>
          <w:sz w:val="20"/>
          <w:lang w:val="es-ES"/>
        </w:rPr>
        <w:t>Se ha establecido una asignación de 1 millón de francos suizos en el presupuesto para poder celebrar una conferencia diplomática en caso de que los Estados miembros convoquen una en el bienio 2016/17.  La asignación queda reflejada en el rubro “Sin consignar”.</w:t>
      </w:r>
    </w:p>
    <w:p w:rsidR="002333C0" w:rsidRPr="0051271B" w:rsidRDefault="002333C0" w:rsidP="002333C0">
      <w:pPr>
        <w:tabs>
          <w:tab w:val="left" w:pos="567"/>
        </w:tabs>
        <w:jc w:val="both"/>
        <w:rPr>
          <w:sz w:val="20"/>
        </w:rPr>
      </w:pPr>
    </w:p>
    <w:p w:rsidR="002333C0" w:rsidRPr="0051271B"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51271B">
        <w:rPr>
          <w:rFonts w:ascii="Arial" w:hAnsi="Arial"/>
          <w:sz w:val="20"/>
          <w:lang w:val="es-ES"/>
        </w:rPr>
        <w:t>Proseguirá la labor destinada a fomentar la adhesión a los tratados de la OMPI y su aplicación, especialmente, el Tratado de Beijing, el Tratado de Marrakech, los Tratados Internet de la OMPI, el Tratado de Singapur y el Tratado sobre el Derecho de Patentes</w:t>
      </w:r>
      <w:r w:rsidRPr="0051271B">
        <w:rPr>
          <w:rFonts w:ascii="Arial" w:hAnsi="Arial" w:cs="Arial"/>
          <w:sz w:val="20"/>
          <w:lang w:val="es-ES"/>
        </w:rPr>
        <w:t>.</w:t>
      </w:r>
    </w:p>
    <w:p w:rsidR="002333C0" w:rsidRPr="0051271B" w:rsidRDefault="002333C0" w:rsidP="002333C0">
      <w:pPr>
        <w:pStyle w:val="ListParagraph"/>
        <w:widowControl w:val="0"/>
        <w:tabs>
          <w:tab w:val="left" w:pos="567"/>
        </w:tabs>
        <w:ind w:left="0"/>
        <w:jc w:val="both"/>
        <w:rPr>
          <w:rFonts w:ascii="Arial" w:hAnsi="Arial"/>
          <w:sz w:val="20"/>
          <w:lang w:val="es-ES"/>
        </w:rPr>
      </w:pPr>
    </w:p>
    <w:p w:rsidR="002333C0" w:rsidRPr="0051271B" w:rsidRDefault="002333C0" w:rsidP="002333C0">
      <w:pPr>
        <w:pStyle w:val="ListParagraph"/>
        <w:numPr>
          <w:ilvl w:val="0"/>
          <w:numId w:val="10"/>
        </w:numPr>
        <w:tabs>
          <w:tab w:val="right" w:pos="1134"/>
        </w:tabs>
        <w:ind w:left="1134" w:hanging="567"/>
        <w:jc w:val="both"/>
        <w:rPr>
          <w:rFonts w:ascii="Arial" w:hAnsi="Arial"/>
          <w:i/>
          <w:sz w:val="20"/>
          <w:lang w:val="es-ES"/>
        </w:rPr>
      </w:pPr>
      <w:r w:rsidRPr="0051271B">
        <w:rPr>
          <w:rFonts w:ascii="Arial" w:hAnsi="Arial"/>
          <w:i/>
          <w:sz w:val="20"/>
          <w:lang w:val="es-ES"/>
        </w:rPr>
        <w:t>L</w:t>
      </w:r>
      <w:r w:rsidR="002F7400">
        <w:rPr>
          <w:rFonts w:ascii="Arial" w:hAnsi="Arial"/>
          <w:i/>
          <w:sz w:val="20"/>
          <w:lang w:val="es-ES"/>
        </w:rPr>
        <w:t>a correspondiente dotación global de</w:t>
      </w:r>
      <w:r w:rsidRPr="0051271B">
        <w:rPr>
          <w:rFonts w:ascii="Arial" w:hAnsi="Arial"/>
          <w:i/>
          <w:sz w:val="20"/>
          <w:lang w:val="es-ES"/>
        </w:rPr>
        <w:t xml:space="preserve"> recursos queda reflejad</w:t>
      </w:r>
      <w:r w:rsidR="002F7400">
        <w:rPr>
          <w:rFonts w:ascii="Arial" w:hAnsi="Arial"/>
          <w:i/>
          <w:sz w:val="20"/>
          <w:lang w:val="es-ES"/>
        </w:rPr>
        <w:t>a</w:t>
      </w:r>
      <w:r w:rsidRPr="0051271B">
        <w:rPr>
          <w:rFonts w:ascii="Arial" w:hAnsi="Arial"/>
          <w:i/>
          <w:sz w:val="20"/>
          <w:lang w:val="es-ES"/>
        </w:rPr>
        <w:t xml:space="preserve"> en el programa 1 (Derecho de patentes), el programa 2 (Marcas, diseños industriales e indicaciones geográficas) y el programa 3 (Derecho de autor y derechos conexos). </w:t>
      </w:r>
    </w:p>
    <w:p w:rsidR="002333C0" w:rsidRPr="00BC4BF1" w:rsidRDefault="002333C0" w:rsidP="002333C0">
      <w:pPr>
        <w:tabs>
          <w:tab w:val="left" w:pos="567"/>
        </w:tabs>
        <w:ind w:left="1080"/>
        <w:jc w:val="both"/>
        <w:rPr>
          <w:i/>
          <w:sz w:val="20"/>
        </w:rPr>
      </w:pPr>
    </w:p>
    <w:p w:rsidR="002333C0" w:rsidRPr="009C1D2C"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BC4BF1">
        <w:rPr>
          <w:rFonts w:ascii="Arial" w:hAnsi="Arial" w:cs="Arial"/>
          <w:sz w:val="20"/>
          <w:lang w:val="es-ES"/>
        </w:rPr>
        <w:t xml:space="preserve">El Centro de Datos Estadísticos de P.I. continuará facilitando todas las estadísticas a usuarios de todo el mundo.  </w:t>
      </w:r>
      <w:r w:rsidRPr="00BC4BF1">
        <w:rPr>
          <w:rFonts w:ascii="Arial" w:hAnsi="Arial"/>
          <w:sz w:val="20"/>
          <w:lang w:val="es-ES"/>
        </w:rPr>
        <w:t xml:space="preserve">Se harán esfuerzos especiales para recopilar y dar a conocer nuevas estadísticas sobre actividades relacionadas con las indicaciones geográficas y el derecho de autor y para seguir facilitando el uso de las estadísticas de la OMPI.  </w:t>
      </w:r>
      <w:r w:rsidRPr="00BC4BF1">
        <w:rPr>
          <w:rFonts w:ascii="Arial" w:hAnsi="Arial" w:cs="Arial"/>
          <w:sz w:val="20"/>
          <w:lang w:val="es-ES"/>
        </w:rPr>
        <w:t xml:space="preserve">En el ámbito del análisis económico, la OMPI continuará siendo </w:t>
      </w:r>
      <w:proofErr w:type="spellStart"/>
      <w:r w:rsidRPr="00BC4BF1">
        <w:rPr>
          <w:rFonts w:ascii="Arial" w:hAnsi="Arial" w:cs="Arial"/>
          <w:sz w:val="20"/>
          <w:lang w:val="es-ES"/>
        </w:rPr>
        <w:t>co</w:t>
      </w:r>
      <w:proofErr w:type="spellEnd"/>
      <w:r w:rsidRPr="00BC4BF1">
        <w:rPr>
          <w:rFonts w:ascii="Arial" w:hAnsi="Arial" w:cs="Arial"/>
          <w:sz w:val="20"/>
          <w:lang w:val="es-ES"/>
        </w:rPr>
        <w:t xml:space="preserve">-editor del Índice mundial de innovación en el empeño de coadyuvar a la medición de la innovación y proporcionar a los responsables de la adopción de políticas una herramienta apropiada para la evaluación comparativa de los resultados de la innovación.  La OMPI continuará asimismo publicando la serie "Informe mundial sobre la propiedad intelectual" con la voluntad de examinar </w:t>
      </w:r>
      <w:r w:rsidR="00CD363C">
        <w:rPr>
          <w:rFonts w:ascii="Arial" w:hAnsi="Arial" w:cs="Arial"/>
          <w:sz w:val="20"/>
          <w:lang w:val="es-ES"/>
        </w:rPr>
        <w:t xml:space="preserve">nuevos temas y profundizar los </w:t>
      </w:r>
      <w:r w:rsidRPr="00BC4BF1">
        <w:rPr>
          <w:rFonts w:ascii="Arial" w:hAnsi="Arial" w:cs="Arial"/>
          <w:sz w:val="20"/>
          <w:lang w:val="es-ES"/>
        </w:rPr>
        <w:t xml:space="preserve">análisis realizados hasta la fecha en torno a la problemática mundial de P.I.  </w:t>
      </w:r>
      <w:r w:rsidR="00BC4BF1">
        <w:rPr>
          <w:rFonts w:ascii="Arial" w:hAnsi="Arial" w:cs="Arial"/>
          <w:sz w:val="20"/>
          <w:lang w:val="es-ES"/>
        </w:rPr>
        <w:t>Además, en </w:t>
      </w:r>
      <w:r w:rsidRPr="00BC4BF1">
        <w:rPr>
          <w:rFonts w:ascii="Arial" w:hAnsi="Arial" w:cs="Arial"/>
          <w:sz w:val="20"/>
          <w:lang w:val="es-ES"/>
        </w:rPr>
        <w:t xml:space="preserve">2016/17 se establecerá una nueva línea de investigación en materia de política y desempeño en las industrias relacionadas con el derecho </w:t>
      </w:r>
      <w:r>
        <w:rPr>
          <w:rFonts w:ascii="Arial" w:hAnsi="Arial" w:cs="Arial"/>
          <w:sz w:val="20"/>
          <w:lang w:val="es-ES"/>
        </w:rPr>
        <w:t>de autor.</w:t>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Pr="00362498" w:rsidRDefault="002F7400" w:rsidP="002333C0">
      <w:pPr>
        <w:pStyle w:val="ListParagraph"/>
        <w:numPr>
          <w:ilvl w:val="0"/>
          <w:numId w:val="10"/>
        </w:numPr>
        <w:tabs>
          <w:tab w:val="right" w:pos="1134"/>
        </w:tabs>
        <w:ind w:left="1134" w:hanging="567"/>
        <w:jc w:val="both"/>
        <w:rPr>
          <w:rFonts w:ascii="Arial" w:hAnsi="Arial"/>
          <w:i/>
          <w:sz w:val="20"/>
          <w:lang w:val="es-ES"/>
        </w:rPr>
      </w:pPr>
      <w:r>
        <w:rPr>
          <w:rFonts w:ascii="Arial" w:hAnsi="Arial"/>
          <w:i/>
          <w:sz w:val="20"/>
          <w:lang w:val="es-ES"/>
        </w:rPr>
        <w:lastRenderedPageBreak/>
        <w:t xml:space="preserve">El correspondiente aumento en la dotación global de </w:t>
      </w:r>
      <w:r w:rsidRPr="0051271B">
        <w:rPr>
          <w:rFonts w:ascii="Arial" w:hAnsi="Arial"/>
          <w:i/>
          <w:sz w:val="20"/>
          <w:lang w:val="es-ES"/>
        </w:rPr>
        <w:t xml:space="preserve">recursos queda reflejado </w:t>
      </w:r>
      <w:r w:rsidR="002333C0">
        <w:rPr>
          <w:rFonts w:ascii="Arial" w:hAnsi="Arial"/>
          <w:i/>
          <w:sz w:val="20"/>
          <w:lang w:val="es-ES"/>
        </w:rPr>
        <w:t>en el programa 16 (Economía y estadística).</w:t>
      </w:r>
    </w:p>
    <w:p w:rsidR="002333C0" w:rsidRPr="00362498" w:rsidRDefault="002333C0" w:rsidP="002333C0">
      <w:pPr>
        <w:tabs>
          <w:tab w:val="left" w:pos="567"/>
        </w:tabs>
        <w:ind w:left="1080"/>
        <w:jc w:val="both"/>
        <w:rPr>
          <w:i/>
          <w:sz w:val="20"/>
        </w:rPr>
      </w:pPr>
    </w:p>
    <w:p w:rsidR="002333C0" w:rsidRPr="00533DD3" w:rsidRDefault="002333C0" w:rsidP="002333C0">
      <w:pPr>
        <w:pStyle w:val="ListParagraph"/>
        <w:widowControl w:val="0"/>
        <w:numPr>
          <w:ilvl w:val="0"/>
          <w:numId w:val="8"/>
        </w:numPr>
        <w:tabs>
          <w:tab w:val="left" w:pos="567"/>
        </w:tabs>
        <w:ind w:left="0" w:firstLine="0"/>
        <w:jc w:val="both"/>
        <w:rPr>
          <w:rFonts w:ascii="Arial" w:hAnsi="Arial"/>
          <w:sz w:val="20"/>
          <w:lang w:val="es-ES"/>
        </w:rPr>
      </w:pPr>
      <w:r>
        <w:rPr>
          <w:rFonts w:ascii="Arial" w:hAnsi="Arial"/>
          <w:sz w:val="20"/>
          <w:lang w:val="es-ES"/>
        </w:rPr>
        <w:t xml:space="preserve">El desarrollo sigue siendo una prioridad en el bienio </w:t>
      </w:r>
      <w:r w:rsidRPr="00362498">
        <w:rPr>
          <w:rFonts w:ascii="Arial" w:hAnsi="Arial"/>
          <w:sz w:val="20"/>
          <w:lang w:val="es-ES"/>
        </w:rPr>
        <w:t xml:space="preserve">2016/17. </w:t>
      </w:r>
      <w:r>
        <w:rPr>
          <w:rFonts w:ascii="Arial" w:hAnsi="Arial"/>
          <w:sz w:val="20"/>
          <w:lang w:val="es-ES"/>
        </w:rPr>
        <w:t>Esta circunstancia ha dado lugar a que la cuota asignada al desarrollo siga manteniéndose en el 21,3% para el siguiente bienio.</w:t>
      </w:r>
      <w:r w:rsidRPr="00362498">
        <w:rPr>
          <w:rStyle w:val="FootnoteReference"/>
          <w:rFonts w:ascii="Arial" w:hAnsi="Arial"/>
          <w:sz w:val="20"/>
          <w:lang w:val="es-ES"/>
        </w:rPr>
        <w:footnoteReference w:id="7"/>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Pr="00362498" w:rsidRDefault="002333C0" w:rsidP="002333C0">
      <w:pPr>
        <w:pStyle w:val="ListParagraph"/>
        <w:numPr>
          <w:ilvl w:val="0"/>
          <w:numId w:val="10"/>
        </w:numPr>
        <w:tabs>
          <w:tab w:val="right" w:pos="1134"/>
        </w:tabs>
        <w:ind w:left="1134" w:hanging="567"/>
        <w:jc w:val="both"/>
        <w:rPr>
          <w:rFonts w:ascii="Arial" w:hAnsi="Arial"/>
          <w:i/>
          <w:sz w:val="20"/>
          <w:lang w:val="es-ES"/>
        </w:rPr>
      </w:pPr>
      <w:r>
        <w:rPr>
          <w:rFonts w:ascii="Arial" w:hAnsi="Arial"/>
          <w:i/>
          <w:sz w:val="20"/>
          <w:lang w:val="es-ES"/>
        </w:rPr>
        <w:t xml:space="preserve">Esto representa un aumento absoluto de las estimaciones de gastos destinados a desarrollo del 5,2% en comparación con el presupuesto aprobado de </w:t>
      </w:r>
      <w:r w:rsidRPr="00362498">
        <w:rPr>
          <w:rFonts w:ascii="Arial" w:hAnsi="Arial"/>
          <w:i/>
          <w:sz w:val="20"/>
          <w:lang w:val="es-ES"/>
        </w:rPr>
        <w:t>2014/15</w:t>
      </w:r>
      <w:r>
        <w:rPr>
          <w:rFonts w:ascii="Arial" w:hAnsi="Arial"/>
          <w:i/>
          <w:sz w:val="20"/>
          <w:lang w:val="es-ES"/>
        </w:rPr>
        <w:t>.</w:t>
      </w:r>
    </w:p>
    <w:p w:rsidR="002333C0" w:rsidRPr="00C47CC3" w:rsidRDefault="002333C0" w:rsidP="002333C0">
      <w:pPr>
        <w:jc w:val="both"/>
        <w:rPr>
          <w:sz w:val="20"/>
        </w:rPr>
      </w:pPr>
    </w:p>
    <w:p w:rsidR="002333C0" w:rsidRPr="00C47CC3" w:rsidRDefault="002333C0" w:rsidP="002333C0">
      <w:pPr>
        <w:pStyle w:val="ListParagraph"/>
        <w:widowControl w:val="0"/>
        <w:numPr>
          <w:ilvl w:val="0"/>
          <w:numId w:val="8"/>
        </w:numPr>
        <w:tabs>
          <w:tab w:val="left" w:pos="567"/>
        </w:tabs>
        <w:ind w:left="0" w:firstLine="0"/>
        <w:jc w:val="both"/>
        <w:rPr>
          <w:rFonts w:ascii="Arial" w:hAnsi="Arial" w:cs="Arial"/>
          <w:bCs/>
          <w:sz w:val="20"/>
          <w:lang w:val="es-ES"/>
        </w:rPr>
      </w:pPr>
      <w:r w:rsidRPr="00C47CC3">
        <w:rPr>
          <w:rFonts w:ascii="Arial" w:hAnsi="Arial"/>
          <w:sz w:val="20"/>
          <w:lang w:val="es-ES"/>
        </w:rPr>
        <w:t>Las recomendaciones de la A.D. siguen orientando las actividades de la OMPI en el ámbito del desarrollo.  Los vínculos existentes entre los programas y las recomendaciones de la A.D. se reflejan de forma detallada en la descripción de cada programa.  Se han incorporado los proyectos de la A.D. en lo que atañe al contenido y a los recursos de cada programa en concordancia con el proceso presupuestario aplicado a los proyectos propuestos por el Comité de Desarrollo y Propiedad Intelectual (CDIP) para dar aplicación a las recomendaciones de la A.D. aprobadas por l</w:t>
      </w:r>
      <w:r w:rsidR="00CD363C" w:rsidRPr="00C47CC3">
        <w:rPr>
          <w:rFonts w:ascii="Arial" w:hAnsi="Arial"/>
          <w:sz w:val="20"/>
          <w:lang w:val="es-ES"/>
        </w:rPr>
        <w:t>as Asambleas de la OMPI en 2010</w:t>
      </w:r>
      <w:r w:rsidRPr="00C47CC3">
        <w:rPr>
          <w:rStyle w:val="FootnoteReference"/>
          <w:rFonts w:ascii="Arial" w:hAnsi="Arial"/>
          <w:sz w:val="20"/>
          <w:lang w:val="es-ES"/>
        </w:rPr>
        <w:footnoteReference w:id="8"/>
      </w:r>
      <w:r w:rsidR="00CD363C" w:rsidRPr="00C47CC3">
        <w:rPr>
          <w:rFonts w:ascii="Arial" w:hAnsi="Arial"/>
          <w:sz w:val="20"/>
          <w:lang w:val="es-ES"/>
        </w:rPr>
        <w:t>.</w:t>
      </w:r>
    </w:p>
    <w:p w:rsidR="002333C0" w:rsidRPr="00C47CC3" w:rsidRDefault="002333C0" w:rsidP="002333C0">
      <w:pPr>
        <w:pStyle w:val="ListParagraph"/>
        <w:widowControl w:val="0"/>
        <w:tabs>
          <w:tab w:val="left" w:pos="567"/>
        </w:tabs>
        <w:ind w:left="0"/>
        <w:jc w:val="both"/>
        <w:rPr>
          <w:rFonts w:ascii="Arial" w:hAnsi="Arial" w:cs="Arial"/>
          <w:bCs/>
          <w:sz w:val="20"/>
          <w:lang w:val="es-ES"/>
        </w:rPr>
      </w:pPr>
    </w:p>
    <w:p w:rsidR="002333C0" w:rsidRPr="00E14348" w:rsidRDefault="002333C0" w:rsidP="002333C0">
      <w:pPr>
        <w:pStyle w:val="ListParagraph"/>
        <w:numPr>
          <w:ilvl w:val="0"/>
          <w:numId w:val="10"/>
        </w:numPr>
        <w:tabs>
          <w:tab w:val="right" w:pos="1134"/>
        </w:tabs>
        <w:ind w:left="1134" w:hanging="567"/>
        <w:jc w:val="both"/>
        <w:rPr>
          <w:rFonts w:ascii="Arial" w:hAnsi="Arial" w:cs="Arial"/>
          <w:bCs/>
          <w:i/>
          <w:color w:val="000000"/>
          <w:sz w:val="20"/>
          <w:lang w:val="es-ES"/>
        </w:rPr>
      </w:pPr>
      <w:r w:rsidRPr="00E14348">
        <w:rPr>
          <w:rFonts w:ascii="Arial" w:hAnsi="Arial"/>
          <w:i/>
          <w:sz w:val="20"/>
          <w:lang w:val="es-ES"/>
        </w:rPr>
        <w:t>Se propone un total de seis proyectos de la A.D. en el bienio 2016/17</w:t>
      </w:r>
      <w:r w:rsidRPr="00362498">
        <w:rPr>
          <w:rStyle w:val="FootnoteReference"/>
          <w:rFonts w:ascii="Arial" w:hAnsi="Arial"/>
          <w:i/>
          <w:sz w:val="20"/>
          <w:lang w:val="es-ES"/>
        </w:rPr>
        <w:footnoteReference w:id="9"/>
      </w:r>
      <w:r w:rsidRPr="00E14348">
        <w:rPr>
          <w:rFonts w:ascii="Arial" w:hAnsi="Arial"/>
          <w:i/>
          <w:sz w:val="20"/>
          <w:lang w:val="es-ES"/>
        </w:rPr>
        <w:t>, sujetos a la aprobación del CDIP, y una asignación total de recursos de 2,5</w:t>
      </w:r>
      <w:r>
        <w:rPr>
          <w:rFonts w:ascii="Arial" w:hAnsi="Arial"/>
          <w:i/>
          <w:sz w:val="20"/>
          <w:lang w:val="es-ES"/>
        </w:rPr>
        <w:t xml:space="preserve"> millones de francos suizos</w:t>
      </w:r>
      <w:r w:rsidRPr="00362498">
        <w:rPr>
          <w:rStyle w:val="FootnoteReference"/>
          <w:rFonts w:ascii="Arial" w:hAnsi="Arial"/>
          <w:i/>
          <w:sz w:val="20"/>
          <w:lang w:val="es-ES"/>
        </w:rPr>
        <w:footnoteReference w:id="10"/>
      </w:r>
      <w:r>
        <w:rPr>
          <w:rFonts w:ascii="Arial" w:hAnsi="Arial"/>
          <w:i/>
          <w:sz w:val="20"/>
          <w:lang w:val="es-ES"/>
        </w:rPr>
        <w:t xml:space="preserve">. </w:t>
      </w:r>
    </w:p>
    <w:p w:rsidR="002333C0" w:rsidRPr="00362498" w:rsidRDefault="002333C0" w:rsidP="002333C0">
      <w:pPr>
        <w:jc w:val="both"/>
        <w:rPr>
          <w:i/>
          <w:sz w:val="20"/>
        </w:rPr>
      </w:pPr>
    </w:p>
    <w:p w:rsidR="002333C0" w:rsidRPr="00EF52EA"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EF52EA">
        <w:rPr>
          <w:rFonts w:ascii="Arial" w:hAnsi="Arial"/>
          <w:sz w:val="20"/>
          <w:lang w:val="es-ES"/>
        </w:rPr>
        <w:t>Mediante la adopción prevista por los Estados miembros de las</w:t>
      </w:r>
      <w:r w:rsidR="00DB7566">
        <w:rPr>
          <w:rFonts w:ascii="Arial" w:hAnsi="Arial"/>
          <w:sz w:val="20"/>
          <w:lang w:val="es-ES"/>
        </w:rPr>
        <w:t xml:space="preserve"> Naciones Unidas (</w:t>
      </w:r>
      <w:r w:rsidRPr="00EF52EA">
        <w:rPr>
          <w:rFonts w:ascii="Arial" w:hAnsi="Arial"/>
          <w:sz w:val="20"/>
          <w:lang w:val="es-ES"/>
        </w:rPr>
        <w:t>NN.UU.</w:t>
      </w:r>
      <w:r w:rsidR="00DB7566">
        <w:rPr>
          <w:rFonts w:ascii="Arial" w:hAnsi="Arial"/>
          <w:sz w:val="20"/>
          <w:lang w:val="es-ES"/>
        </w:rPr>
        <w:t>)</w:t>
      </w:r>
      <w:r w:rsidRPr="00EF52EA">
        <w:rPr>
          <w:rFonts w:ascii="Arial" w:hAnsi="Arial"/>
          <w:sz w:val="20"/>
          <w:lang w:val="es-ES"/>
        </w:rPr>
        <w:t xml:space="preserve"> de la agenda para el desarrollo posterior a 2015 y de un nuevo acuerdo internacional sobre el cambio climático, las NN.UU. están dispuestas a pasar de la negociación a la acción.  La OMPI, en tanto que miembro firmemente comprometido de la familia de organizaci</w:t>
      </w:r>
      <w:r>
        <w:rPr>
          <w:rFonts w:ascii="Arial" w:hAnsi="Arial"/>
          <w:sz w:val="20"/>
          <w:lang w:val="es-ES"/>
        </w:rPr>
        <w:t>ones del sistema de las NN.UU.,</w:t>
      </w:r>
      <w:r w:rsidRPr="00EF52EA">
        <w:rPr>
          <w:rFonts w:ascii="Arial" w:hAnsi="Arial"/>
          <w:sz w:val="20"/>
          <w:lang w:val="es-ES"/>
        </w:rPr>
        <w:t xml:space="preserve"> al hacer suyo el espíritu y las recomendaciones de la Agenda de la OMPI para el Desarrollo, participará plenamente en la </w:t>
      </w:r>
      <w:r>
        <w:rPr>
          <w:rFonts w:ascii="Arial" w:hAnsi="Arial"/>
          <w:sz w:val="20"/>
          <w:lang w:val="es-ES"/>
        </w:rPr>
        <w:t>Alianza M</w:t>
      </w:r>
      <w:r w:rsidRPr="00EF52EA">
        <w:rPr>
          <w:rFonts w:ascii="Arial" w:hAnsi="Arial"/>
          <w:sz w:val="20"/>
          <w:lang w:val="es-ES"/>
        </w:rPr>
        <w:t xml:space="preserve">undial para el </w:t>
      </w:r>
      <w:r>
        <w:rPr>
          <w:rFonts w:ascii="Arial" w:hAnsi="Arial"/>
          <w:sz w:val="20"/>
          <w:lang w:val="es-ES"/>
        </w:rPr>
        <w:t>D</w:t>
      </w:r>
      <w:r w:rsidRPr="00EF52EA">
        <w:rPr>
          <w:rFonts w:ascii="Arial" w:hAnsi="Arial"/>
          <w:sz w:val="20"/>
          <w:lang w:val="es-ES"/>
        </w:rPr>
        <w:t xml:space="preserve">esarrollo con el fin de promover la aplicación de todos los elementos de la agenda para el desarrollo posterior a </w:t>
      </w:r>
      <w:r w:rsidRPr="00EF52EA">
        <w:rPr>
          <w:rFonts w:ascii="Arial" w:hAnsi="Arial" w:cs="Arial"/>
          <w:sz w:val="20"/>
          <w:lang w:val="es-ES"/>
        </w:rPr>
        <w:t>2015.</w:t>
      </w:r>
    </w:p>
    <w:p w:rsidR="002333C0" w:rsidRPr="00362498" w:rsidRDefault="002333C0" w:rsidP="002333C0">
      <w:pPr>
        <w:pStyle w:val="ListParagraph"/>
        <w:widowControl w:val="0"/>
        <w:tabs>
          <w:tab w:val="left" w:pos="567"/>
        </w:tabs>
        <w:ind w:left="0"/>
        <w:jc w:val="both"/>
        <w:rPr>
          <w:rFonts w:ascii="Arial" w:hAnsi="Arial" w:cs="Arial"/>
          <w:sz w:val="20"/>
          <w:lang w:val="es-ES"/>
        </w:rPr>
      </w:pPr>
    </w:p>
    <w:p w:rsidR="002333C0" w:rsidRDefault="002F7400" w:rsidP="002333C0">
      <w:pPr>
        <w:pStyle w:val="ListParagraph"/>
        <w:numPr>
          <w:ilvl w:val="0"/>
          <w:numId w:val="10"/>
        </w:numPr>
        <w:tabs>
          <w:tab w:val="left" w:pos="567"/>
          <w:tab w:val="right" w:pos="1134"/>
        </w:tabs>
        <w:ind w:left="1134" w:hanging="567"/>
        <w:jc w:val="both"/>
        <w:rPr>
          <w:rFonts w:ascii="Arial" w:hAnsi="Arial"/>
          <w:sz w:val="20"/>
          <w:lang w:val="es-ES"/>
        </w:rPr>
      </w:pPr>
      <w:r>
        <w:rPr>
          <w:rFonts w:ascii="Arial" w:hAnsi="Arial" w:cs="Arial"/>
          <w:sz w:val="20"/>
          <w:lang w:val="es-ES"/>
        </w:rPr>
        <w:t>La correspondiente dotación global de</w:t>
      </w:r>
      <w:r w:rsidR="002333C0" w:rsidRPr="00A25220">
        <w:rPr>
          <w:rFonts w:ascii="Arial" w:hAnsi="Arial" w:cs="Arial"/>
          <w:sz w:val="20"/>
          <w:lang w:val="es-ES"/>
        </w:rPr>
        <w:t xml:space="preserve"> recursos queda</w:t>
      </w:r>
      <w:r w:rsidR="002333C0" w:rsidRPr="00621B96">
        <w:rPr>
          <w:rFonts w:ascii="Arial" w:hAnsi="Arial" w:cs="Arial"/>
          <w:sz w:val="20"/>
          <w:lang w:val="es-ES"/>
        </w:rPr>
        <w:t xml:space="preserve"> reflejad</w:t>
      </w:r>
      <w:r>
        <w:rPr>
          <w:rFonts w:ascii="Arial" w:hAnsi="Arial" w:cs="Arial"/>
          <w:sz w:val="20"/>
          <w:lang w:val="es-ES"/>
        </w:rPr>
        <w:t>a</w:t>
      </w:r>
      <w:r w:rsidR="002333C0" w:rsidRPr="00621B96">
        <w:rPr>
          <w:rFonts w:ascii="Arial" w:hAnsi="Arial" w:cs="Arial"/>
          <w:sz w:val="20"/>
          <w:lang w:val="es-ES"/>
        </w:rPr>
        <w:t xml:space="preserve"> principalmente en los programas 9 (</w:t>
      </w:r>
      <w:r w:rsidR="002333C0">
        <w:rPr>
          <w:rFonts w:ascii="Arial" w:hAnsi="Arial"/>
          <w:sz w:val="20"/>
          <w:lang w:val="es-ES"/>
        </w:rPr>
        <w:t xml:space="preserve">Países </w:t>
      </w:r>
      <w:r w:rsidR="002333C0" w:rsidRPr="00621B96">
        <w:rPr>
          <w:rFonts w:ascii="Arial" w:hAnsi="Arial"/>
          <w:sz w:val="20"/>
          <w:lang w:val="es-ES"/>
        </w:rPr>
        <w:t xml:space="preserve">africanos, árabes, de </w:t>
      </w:r>
      <w:r w:rsidR="002333C0">
        <w:rPr>
          <w:rFonts w:ascii="Arial" w:hAnsi="Arial"/>
          <w:sz w:val="20"/>
          <w:lang w:val="es-ES"/>
        </w:rPr>
        <w:t>A</w:t>
      </w:r>
      <w:r w:rsidR="002333C0" w:rsidRPr="00621B96">
        <w:rPr>
          <w:rFonts w:ascii="Arial" w:hAnsi="Arial"/>
          <w:sz w:val="20"/>
          <w:lang w:val="es-ES"/>
        </w:rPr>
        <w:t xml:space="preserve">mérica </w:t>
      </w:r>
      <w:r w:rsidR="002333C0">
        <w:rPr>
          <w:rFonts w:ascii="Arial" w:hAnsi="Arial"/>
          <w:sz w:val="20"/>
          <w:lang w:val="es-ES"/>
        </w:rPr>
        <w:t>L</w:t>
      </w:r>
      <w:r w:rsidR="002333C0" w:rsidRPr="00621B96">
        <w:rPr>
          <w:rFonts w:ascii="Arial" w:hAnsi="Arial"/>
          <w:sz w:val="20"/>
          <w:lang w:val="es-ES"/>
        </w:rPr>
        <w:t xml:space="preserve">atina y el </w:t>
      </w:r>
      <w:r w:rsidR="002333C0">
        <w:rPr>
          <w:rFonts w:ascii="Arial" w:hAnsi="Arial"/>
          <w:sz w:val="20"/>
          <w:lang w:val="es-ES"/>
        </w:rPr>
        <w:t>C</w:t>
      </w:r>
      <w:r w:rsidR="002333C0" w:rsidRPr="00621B96">
        <w:rPr>
          <w:rFonts w:ascii="Arial" w:hAnsi="Arial"/>
          <w:sz w:val="20"/>
          <w:lang w:val="es-ES"/>
        </w:rPr>
        <w:t>aribe,</w:t>
      </w:r>
      <w:r w:rsidR="002333C0">
        <w:rPr>
          <w:rFonts w:ascii="Arial" w:hAnsi="Arial"/>
          <w:sz w:val="20"/>
          <w:lang w:val="es-ES"/>
        </w:rPr>
        <w:t xml:space="preserve"> </w:t>
      </w:r>
      <w:r w:rsidR="002333C0" w:rsidRPr="00621B96">
        <w:rPr>
          <w:rFonts w:ascii="Arial" w:hAnsi="Arial"/>
          <w:sz w:val="20"/>
          <w:lang w:val="es-ES"/>
        </w:rPr>
        <w:t xml:space="preserve">de </w:t>
      </w:r>
      <w:r w:rsidR="002333C0">
        <w:rPr>
          <w:rFonts w:ascii="Arial" w:hAnsi="Arial"/>
          <w:sz w:val="20"/>
          <w:lang w:val="es-ES"/>
        </w:rPr>
        <w:t>A</w:t>
      </w:r>
      <w:r w:rsidR="002333C0" w:rsidRPr="00621B96">
        <w:rPr>
          <w:rFonts w:ascii="Arial" w:hAnsi="Arial"/>
          <w:sz w:val="20"/>
          <w:lang w:val="es-ES"/>
        </w:rPr>
        <w:t xml:space="preserve">sia y el </w:t>
      </w:r>
      <w:r w:rsidR="002333C0">
        <w:rPr>
          <w:rFonts w:ascii="Arial" w:hAnsi="Arial"/>
          <w:sz w:val="20"/>
          <w:lang w:val="es-ES"/>
        </w:rPr>
        <w:t>P</w:t>
      </w:r>
      <w:r w:rsidR="002333C0" w:rsidRPr="00621B96">
        <w:rPr>
          <w:rFonts w:ascii="Arial" w:hAnsi="Arial"/>
          <w:sz w:val="20"/>
          <w:lang w:val="es-ES"/>
        </w:rPr>
        <w:t>acíf</w:t>
      </w:r>
      <w:r w:rsidR="002333C0">
        <w:rPr>
          <w:rFonts w:ascii="Arial" w:hAnsi="Arial"/>
          <w:sz w:val="20"/>
          <w:lang w:val="es-ES"/>
        </w:rPr>
        <w:t xml:space="preserve">ico, y países menos adelantados), 10 (Países </w:t>
      </w:r>
      <w:r w:rsidR="001914A4">
        <w:rPr>
          <w:rFonts w:ascii="Arial" w:hAnsi="Arial"/>
          <w:sz w:val="20"/>
          <w:lang w:val="es-ES"/>
        </w:rPr>
        <w:t xml:space="preserve">con economías </w:t>
      </w:r>
      <w:r w:rsidR="002333C0">
        <w:rPr>
          <w:rFonts w:ascii="Arial" w:hAnsi="Arial"/>
          <w:sz w:val="20"/>
          <w:lang w:val="es-ES"/>
        </w:rPr>
        <w:t xml:space="preserve">en transición y </w:t>
      </w:r>
      <w:r w:rsidR="001914A4">
        <w:rPr>
          <w:rFonts w:ascii="Arial" w:hAnsi="Arial"/>
          <w:sz w:val="20"/>
          <w:lang w:val="es-ES"/>
        </w:rPr>
        <w:t xml:space="preserve">países </w:t>
      </w:r>
      <w:r w:rsidR="002333C0">
        <w:rPr>
          <w:rFonts w:ascii="Arial" w:hAnsi="Arial"/>
          <w:sz w:val="20"/>
          <w:lang w:val="es-ES"/>
        </w:rPr>
        <w:t>desarrollados), 18 (La P.I. y los desafíos mundiales) y 20 (Relaciones exteriores, alianzas y oficinas en el exterior).</w:t>
      </w:r>
      <w:r w:rsidR="002333C0" w:rsidRPr="00621B96">
        <w:rPr>
          <w:rFonts w:ascii="Arial" w:hAnsi="Arial"/>
          <w:sz w:val="20"/>
          <w:lang w:val="es-ES"/>
        </w:rPr>
        <w:t xml:space="preserve"> </w:t>
      </w:r>
    </w:p>
    <w:p w:rsidR="002333C0" w:rsidRPr="00C47CC3" w:rsidRDefault="002333C0" w:rsidP="002333C0">
      <w:pPr>
        <w:tabs>
          <w:tab w:val="left" w:pos="567"/>
          <w:tab w:val="right" w:pos="1134"/>
        </w:tabs>
        <w:jc w:val="both"/>
        <w:rPr>
          <w:sz w:val="20"/>
        </w:rPr>
      </w:pPr>
    </w:p>
    <w:p w:rsidR="002333C0" w:rsidRPr="00C47CC3"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C47CC3">
        <w:rPr>
          <w:rFonts w:ascii="Arial" w:hAnsi="Arial"/>
          <w:sz w:val="20"/>
          <w:lang w:val="es-ES"/>
        </w:rPr>
        <w:t>Se seguirá mejorando el acceso a la información sobre P.I. y su utilización por las instituciones de P.I. y el público, para fomentar la innovación y la creatividad.  Se ampliará la cobertura geográfica de las colecciones nacionales de datos de las bases de datos mundiales, entre las que figura la Base Mundial de Datos sobre Dibujos y Modelos Industriales, creada en el bienio</w:t>
      </w:r>
      <w:r w:rsidRPr="00C47CC3">
        <w:rPr>
          <w:rFonts w:ascii="Arial" w:hAnsi="Arial" w:cs="Arial"/>
          <w:sz w:val="20"/>
          <w:lang w:val="es-ES"/>
        </w:rPr>
        <w:t xml:space="preserve"> 2014/15. </w:t>
      </w:r>
    </w:p>
    <w:p w:rsidR="002333C0" w:rsidRPr="00C47CC3" w:rsidRDefault="002333C0" w:rsidP="002333C0">
      <w:pPr>
        <w:pStyle w:val="ListParagraph"/>
        <w:widowControl w:val="0"/>
        <w:tabs>
          <w:tab w:val="left" w:pos="567"/>
        </w:tabs>
        <w:ind w:left="0"/>
        <w:jc w:val="both"/>
        <w:rPr>
          <w:rFonts w:ascii="Arial" w:hAnsi="Arial"/>
          <w:sz w:val="20"/>
          <w:lang w:val="es-ES"/>
        </w:rPr>
      </w:pPr>
    </w:p>
    <w:p w:rsidR="002333C0" w:rsidRPr="00362498" w:rsidRDefault="002333C0" w:rsidP="002333C0">
      <w:pPr>
        <w:pStyle w:val="ListParagraph"/>
        <w:numPr>
          <w:ilvl w:val="0"/>
          <w:numId w:val="10"/>
        </w:numPr>
        <w:tabs>
          <w:tab w:val="right" w:pos="1134"/>
        </w:tabs>
        <w:ind w:left="1134" w:hanging="567"/>
        <w:jc w:val="both"/>
        <w:rPr>
          <w:rFonts w:ascii="Arial" w:hAnsi="Arial"/>
          <w:sz w:val="20"/>
          <w:lang w:val="es-ES"/>
        </w:rPr>
      </w:pPr>
      <w:r>
        <w:rPr>
          <w:rFonts w:ascii="Arial" w:hAnsi="Arial"/>
          <w:i/>
          <w:sz w:val="20"/>
          <w:lang w:val="es-ES"/>
        </w:rPr>
        <w:t xml:space="preserve">El </w:t>
      </w:r>
      <w:r w:rsidR="002F7400">
        <w:rPr>
          <w:rFonts w:ascii="Arial" w:hAnsi="Arial"/>
          <w:i/>
          <w:sz w:val="20"/>
          <w:lang w:val="es-ES"/>
        </w:rPr>
        <w:t xml:space="preserve">correspondiente </w:t>
      </w:r>
      <w:r>
        <w:rPr>
          <w:rFonts w:ascii="Arial" w:hAnsi="Arial"/>
          <w:i/>
          <w:sz w:val="20"/>
          <w:lang w:val="es-ES"/>
        </w:rPr>
        <w:t>aumento en l</w:t>
      </w:r>
      <w:r w:rsidR="002F7400">
        <w:rPr>
          <w:rFonts w:ascii="Arial" w:hAnsi="Arial"/>
          <w:i/>
          <w:sz w:val="20"/>
          <w:lang w:val="es-ES"/>
        </w:rPr>
        <w:t>a dotación global de</w:t>
      </w:r>
      <w:r>
        <w:rPr>
          <w:rFonts w:ascii="Arial" w:hAnsi="Arial"/>
          <w:i/>
          <w:sz w:val="20"/>
          <w:lang w:val="es-ES"/>
        </w:rPr>
        <w:t xml:space="preserve"> recursos queda reflejado en el programa </w:t>
      </w:r>
      <w:r w:rsidRPr="00362498">
        <w:rPr>
          <w:rFonts w:ascii="Arial" w:hAnsi="Arial"/>
          <w:i/>
          <w:sz w:val="20"/>
          <w:lang w:val="es-ES"/>
        </w:rPr>
        <w:t>13 (</w:t>
      </w:r>
      <w:r>
        <w:rPr>
          <w:rFonts w:ascii="Arial" w:hAnsi="Arial"/>
          <w:i/>
          <w:sz w:val="20"/>
          <w:lang w:val="es-ES"/>
        </w:rPr>
        <w:t xml:space="preserve">Bases </w:t>
      </w:r>
      <w:r w:rsidR="002F7400">
        <w:rPr>
          <w:rFonts w:ascii="Arial" w:hAnsi="Arial"/>
          <w:i/>
          <w:sz w:val="20"/>
          <w:lang w:val="es-ES"/>
        </w:rPr>
        <w:t xml:space="preserve">mundiales </w:t>
      </w:r>
      <w:r>
        <w:rPr>
          <w:rFonts w:ascii="Arial" w:hAnsi="Arial"/>
          <w:i/>
          <w:sz w:val="20"/>
          <w:lang w:val="es-ES"/>
        </w:rPr>
        <w:t>de datos</w:t>
      </w:r>
      <w:r w:rsidRPr="00362498">
        <w:rPr>
          <w:rFonts w:ascii="Arial" w:hAnsi="Arial"/>
          <w:i/>
          <w:sz w:val="20"/>
          <w:lang w:val="es-ES"/>
        </w:rPr>
        <w:t>)</w:t>
      </w:r>
      <w:r w:rsidRPr="00362498">
        <w:rPr>
          <w:rFonts w:ascii="Arial" w:hAnsi="Arial"/>
          <w:sz w:val="20"/>
          <w:lang w:val="es-ES"/>
        </w:rPr>
        <w:t xml:space="preserve">. </w:t>
      </w:r>
    </w:p>
    <w:p w:rsidR="002333C0" w:rsidRPr="00362498" w:rsidRDefault="002333C0" w:rsidP="002333C0">
      <w:pPr>
        <w:tabs>
          <w:tab w:val="left" w:pos="567"/>
        </w:tabs>
        <w:jc w:val="both"/>
        <w:rPr>
          <w:sz w:val="20"/>
        </w:rPr>
      </w:pPr>
    </w:p>
    <w:p w:rsidR="002333C0" w:rsidRDefault="002333C0" w:rsidP="002333C0">
      <w:pPr>
        <w:pStyle w:val="ListParagraph"/>
        <w:widowControl w:val="0"/>
        <w:numPr>
          <w:ilvl w:val="0"/>
          <w:numId w:val="8"/>
        </w:numPr>
        <w:tabs>
          <w:tab w:val="left" w:pos="567"/>
        </w:tabs>
        <w:ind w:left="0" w:firstLine="0"/>
        <w:jc w:val="both"/>
        <w:rPr>
          <w:rFonts w:ascii="Arial" w:hAnsi="Arial"/>
          <w:sz w:val="20"/>
          <w:lang w:val="es-ES"/>
        </w:rPr>
      </w:pPr>
      <w:r>
        <w:rPr>
          <w:rFonts w:ascii="Arial" w:hAnsi="Arial"/>
          <w:sz w:val="20"/>
          <w:lang w:val="es-ES"/>
        </w:rPr>
        <w:t>Se seguirá facilitando el acceso a los conocimientos de P.I. mediante la creación o el fortalecimiento de redes duraderas de centros de apoyo a la tecnología y la innovación (CATI) y proyectos especiales que faciliten el acceso a las bases de datos comerciales.</w:t>
      </w:r>
    </w:p>
    <w:p w:rsidR="002333C0" w:rsidRDefault="002333C0" w:rsidP="002333C0">
      <w:pPr>
        <w:pStyle w:val="ListParagraph"/>
        <w:widowControl w:val="0"/>
        <w:tabs>
          <w:tab w:val="left" w:pos="567"/>
        </w:tabs>
        <w:ind w:left="0"/>
        <w:jc w:val="both"/>
        <w:rPr>
          <w:rFonts w:ascii="Arial" w:hAnsi="Arial"/>
          <w:sz w:val="20"/>
          <w:lang w:val="es-ES"/>
        </w:rPr>
      </w:pPr>
    </w:p>
    <w:p w:rsidR="002333C0" w:rsidRPr="00362498" w:rsidRDefault="002333C0" w:rsidP="002333C0">
      <w:pPr>
        <w:pStyle w:val="ListParagraph"/>
        <w:numPr>
          <w:ilvl w:val="0"/>
          <w:numId w:val="10"/>
        </w:numPr>
        <w:tabs>
          <w:tab w:val="right" w:pos="1134"/>
        </w:tabs>
        <w:ind w:left="1134" w:hanging="567"/>
        <w:jc w:val="both"/>
        <w:rPr>
          <w:rFonts w:ascii="Arial" w:hAnsi="Arial"/>
          <w:sz w:val="20"/>
          <w:lang w:val="es-ES"/>
        </w:rPr>
      </w:pPr>
      <w:r w:rsidRPr="00A25220">
        <w:rPr>
          <w:rFonts w:ascii="Arial" w:hAnsi="Arial"/>
          <w:i/>
          <w:sz w:val="20"/>
          <w:lang w:val="es-ES"/>
        </w:rPr>
        <w:t>L</w:t>
      </w:r>
      <w:r w:rsidR="002F7400">
        <w:rPr>
          <w:rFonts w:ascii="Arial" w:hAnsi="Arial"/>
          <w:i/>
          <w:sz w:val="20"/>
          <w:lang w:val="es-ES"/>
        </w:rPr>
        <w:t>a correspondiente dotación global de</w:t>
      </w:r>
      <w:r w:rsidRPr="00A25220">
        <w:rPr>
          <w:rFonts w:ascii="Arial" w:hAnsi="Arial"/>
          <w:i/>
          <w:sz w:val="20"/>
          <w:lang w:val="es-ES"/>
        </w:rPr>
        <w:t xml:space="preserve"> recursos queda</w:t>
      </w:r>
      <w:r>
        <w:rPr>
          <w:rFonts w:ascii="Arial" w:hAnsi="Arial"/>
          <w:i/>
          <w:sz w:val="20"/>
          <w:lang w:val="es-ES"/>
        </w:rPr>
        <w:t xml:space="preserve"> reflejad</w:t>
      </w:r>
      <w:r w:rsidR="002F7400">
        <w:rPr>
          <w:rFonts w:ascii="Arial" w:hAnsi="Arial"/>
          <w:i/>
          <w:sz w:val="20"/>
          <w:lang w:val="es-ES"/>
        </w:rPr>
        <w:t>a</w:t>
      </w:r>
      <w:r>
        <w:rPr>
          <w:rFonts w:ascii="Arial" w:hAnsi="Arial"/>
          <w:i/>
          <w:sz w:val="20"/>
          <w:lang w:val="es-ES"/>
        </w:rPr>
        <w:t xml:space="preserve"> en el programa </w:t>
      </w:r>
      <w:r w:rsidRPr="00362498">
        <w:rPr>
          <w:rFonts w:ascii="Arial" w:hAnsi="Arial"/>
          <w:i/>
          <w:sz w:val="20"/>
          <w:lang w:val="es-ES"/>
        </w:rPr>
        <w:t>14 (</w:t>
      </w:r>
      <w:r>
        <w:rPr>
          <w:rFonts w:ascii="Arial" w:hAnsi="Arial"/>
          <w:i/>
          <w:sz w:val="20"/>
          <w:lang w:val="es-ES"/>
        </w:rPr>
        <w:t>Servicios de acceso a la información y a los conocimientos</w:t>
      </w:r>
      <w:r w:rsidRPr="00362498">
        <w:rPr>
          <w:rFonts w:ascii="Arial" w:hAnsi="Arial"/>
          <w:i/>
          <w:sz w:val="20"/>
          <w:lang w:val="es-ES"/>
        </w:rPr>
        <w:t>)</w:t>
      </w:r>
      <w:r w:rsidRPr="00362498">
        <w:rPr>
          <w:rFonts w:ascii="Arial" w:hAnsi="Arial"/>
          <w:sz w:val="20"/>
          <w:lang w:val="es-ES"/>
        </w:rPr>
        <w:t xml:space="preserve">. </w:t>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Default="002333C0" w:rsidP="002333C0">
      <w:pPr>
        <w:pStyle w:val="ListParagraph"/>
        <w:widowControl w:val="0"/>
        <w:numPr>
          <w:ilvl w:val="0"/>
          <w:numId w:val="8"/>
        </w:numPr>
        <w:tabs>
          <w:tab w:val="left" w:pos="567"/>
        </w:tabs>
        <w:ind w:left="0" w:firstLine="0"/>
        <w:jc w:val="both"/>
        <w:rPr>
          <w:rFonts w:ascii="Arial" w:hAnsi="Arial"/>
          <w:sz w:val="20"/>
          <w:lang w:val="es-ES"/>
        </w:rPr>
      </w:pPr>
      <w:r>
        <w:rPr>
          <w:rFonts w:ascii="Arial" w:hAnsi="Arial"/>
          <w:sz w:val="20"/>
          <w:lang w:val="es-ES"/>
        </w:rPr>
        <w:t xml:space="preserve">En 2016/17 seguirá fortaleciéndose la infraestructura técnica de las oficinas de P.I. mediante la revisión del modelo de asistencia técnica, centrando la labor en obtener resultados duraderos en el plano nacional.  Además, se pondrá a disposición de un primer grupo de organizaciones de gestión colectiva de países en desarrollo o PMA la primera versión del </w:t>
      </w:r>
      <w:r w:rsidR="009A0E7D">
        <w:rPr>
          <w:rFonts w:ascii="Arial" w:hAnsi="Arial"/>
          <w:sz w:val="20"/>
          <w:lang w:val="es-ES"/>
        </w:rPr>
        <w:t xml:space="preserve">Sistema </w:t>
      </w:r>
      <w:r>
        <w:rPr>
          <w:rFonts w:ascii="Arial" w:hAnsi="Arial"/>
          <w:sz w:val="20"/>
          <w:lang w:val="es-ES"/>
        </w:rPr>
        <w:t>WCC (</w:t>
      </w:r>
      <w:r w:rsidR="009A0E7D">
        <w:rPr>
          <w:rFonts w:ascii="Arial" w:hAnsi="Arial"/>
          <w:sz w:val="20"/>
          <w:lang w:val="es-ES"/>
        </w:rPr>
        <w:t xml:space="preserve">siglas en inglés de </w:t>
      </w:r>
      <w:r w:rsidR="009A0E7D" w:rsidRPr="009A0E7D">
        <w:rPr>
          <w:rFonts w:ascii="Arial" w:hAnsi="Arial"/>
          <w:i/>
          <w:sz w:val="20"/>
          <w:lang w:val="es-ES"/>
        </w:rPr>
        <w:t xml:space="preserve">WIPO Copyright </w:t>
      </w:r>
      <w:proofErr w:type="spellStart"/>
      <w:r w:rsidR="009A0E7D" w:rsidRPr="009A0E7D">
        <w:rPr>
          <w:rFonts w:ascii="Arial" w:hAnsi="Arial"/>
          <w:i/>
          <w:sz w:val="20"/>
          <w:lang w:val="es-ES"/>
        </w:rPr>
        <w:t>Connection</w:t>
      </w:r>
      <w:proofErr w:type="spellEnd"/>
      <w:r w:rsidR="009A0E7D">
        <w:rPr>
          <w:rFonts w:ascii="Arial" w:hAnsi="Arial"/>
          <w:sz w:val="20"/>
          <w:lang w:val="es-ES"/>
        </w:rPr>
        <w:t xml:space="preserve">, plataforma informática </w:t>
      </w:r>
      <w:r w:rsidR="009A0E7D" w:rsidRPr="009A0E7D">
        <w:rPr>
          <w:rFonts w:ascii="Arial" w:hAnsi="Arial"/>
          <w:sz w:val="20"/>
          <w:lang w:val="es-ES"/>
        </w:rPr>
        <w:t>para la gestión de los derechos de autor</w:t>
      </w:r>
      <w:r>
        <w:rPr>
          <w:rFonts w:ascii="Arial" w:hAnsi="Arial"/>
          <w:sz w:val="20"/>
          <w:lang w:val="es-ES"/>
        </w:rPr>
        <w:t>).</w:t>
      </w:r>
    </w:p>
    <w:p w:rsidR="002333C0" w:rsidRPr="00362498" w:rsidRDefault="002333C0" w:rsidP="002333C0">
      <w:pPr>
        <w:pStyle w:val="ListParagraph"/>
        <w:widowControl w:val="0"/>
        <w:tabs>
          <w:tab w:val="left" w:pos="567"/>
        </w:tabs>
        <w:ind w:left="0"/>
        <w:jc w:val="both"/>
        <w:rPr>
          <w:rFonts w:ascii="Arial" w:hAnsi="Arial"/>
          <w:sz w:val="20"/>
          <w:lang w:val="es-ES"/>
        </w:rPr>
      </w:pPr>
    </w:p>
    <w:p w:rsidR="002333C0" w:rsidRPr="00B7417C" w:rsidRDefault="002F7400" w:rsidP="002333C0">
      <w:pPr>
        <w:pStyle w:val="ListParagraph"/>
        <w:numPr>
          <w:ilvl w:val="0"/>
          <w:numId w:val="10"/>
        </w:numPr>
        <w:tabs>
          <w:tab w:val="right" w:pos="1134"/>
        </w:tabs>
        <w:ind w:left="1134" w:hanging="567"/>
        <w:jc w:val="both"/>
        <w:rPr>
          <w:rFonts w:ascii="Arial" w:hAnsi="Arial"/>
          <w:i/>
          <w:sz w:val="20"/>
          <w:lang w:val="es-ES"/>
        </w:rPr>
      </w:pPr>
      <w:r>
        <w:rPr>
          <w:rFonts w:ascii="Arial" w:hAnsi="Arial"/>
          <w:i/>
          <w:sz w:val="20"/>
          <w:lang w:val="es-ES"/>
        </w:rPr>
        <w:lastRenderedPageBreak/>
        <w:t xml:space="preserve">El correspondiente aumento en la dotación global de recursos </w:t>
      </w:r>
      <w:r w:rsidR="002333C0" w:rsidRPr="00B7417C">
        <w:rPr>
          <w:rFonts w:ascii="Arial" w:hAnsi="Arial"/>
          <w:i/>
          <w:sz w:val="20"/>
          <w:lang w:val="es-ES"/>
        </w:rPr>
        <w:t>queda reflejado en el programa 15 (Soluciones operativas para las oficinas de P.I.).</w:t>
      </w:r>
      <w:r w:rsidR="002333C0" w:rsidRPr="00B7417C">
        <w:rPr>
          <w:rFonts w:ascii="Arial" w:hAnsi="Arial" w:cs="Arial"/>
          <w:i/>
          <w:color w:val="000000"/>
          <w:sz w:val="20"/>
          <w:szCs w:val="21"/>
          <w:lang w:val="es-ES"/>
        </w:rPr>
        <w:t xml:space="preserve"> </w:t>
      </w:r>
    </w:p>
    <w:p w:rsidR="002333C0" w:rsidRPr="00362498" w:rsidRDefault="002333C0" w:rsidP="002333C0">
      <w:pPr>
        <w:tabs>
          <w:tab w:val="left" w:pos="567"/>
        </w:tabs>
        <w:jc w:val="both"/>
        <w:rPr>
          <w:sz w:val="20"/>
        </w:rPr>
      </w:pPr>
    </w:p>
    <w:p w:rsidR="002333C0"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C43DCF">
        <w:rPr>
          <w:rFonts w:ascii="Arial" w:hAnsi="Arial" w:cs="Arial"/>
          <w:sz w:val="20"/>
          <w:lang w:val="es-ES"/>
        </w:rPr>
        <w:t xml:space="preserve">La labor en el ámbito de la infraestructura de derecho de autor y derechos conexos se centrará en establecer </w:t>
      </w:r>
      <w:r>
        <w:rPr>
          <w:rFonts w:ascii="Arial" w:hAnsi="Arial" w:cs="Arial"/>
          <w:sz w:val="20"/>
          <w:lang w:val="es-ES"/>
        </w:rPr>
        <w:t xml:space="preserve">una </w:t>
      </w:r>
      <w:r w:rsidRPr="00C43DCF">
        <w:rPr>
          <w:rFonts w:ascii="Arial" w:hAnsi="Arial" w:cs="Arial"/>
          <w:sz w:val="20"/>
          <w:lang w:val="es-ES"/>
        </w:rPr>
        <w:t xml:space="preserve">norma internacional de garantía de calidad denominada </w:t>
      </w:r>
      <w:r w:rsidRPr="00C43DCF">
        <w:rPr>
          <w:rFonts w:ascii="Arial" w:hAnsi="Arial" w:cs="Arial"/>
          <w:i/>
          <w:sz w:val="20"/>
          <w:lang w:val="es-ES"/>
        </w:rPr>
        <w:t xml:space="preserve">TAG of </w:t>
      </w:r>
      <w:proofErr w:type="spellStart"/>
      <w:r w:rsidRPr="00C43DCF">
        <w:rPr>
          <w:rFonts w:ascii="Arial" w:hAnsi="Arial" w:cs="Arial"/>
          <w:i/>
          <w:sz w:val="20"/>
          <w:lang w:val="es-ES"/>
        </w:rPr>
        <w:t>Excellence</w:t>
      </w:r>
      <w:proofErr w:type="spellEnd"/>
      <w:r w:rsidRPr="00C43DCF">
        <w:rPr>
          <w:rFonts w:ascii="Arial" w:hAnsi="Arial" w:cs="Arial"/>
          <w:i/>
          <w:sz w:val="20"/>
          <w:lang w:val="es-ES"/>
        </w:rPr>
        <w:t xml:space="preserve"> </w:t>
      </w:r>
      <w:r w:rsidRPr="00C43DCF">
        <w:rPr>
          <w:rFonts w:ascii="Arial" w:hAnsi="Arial" w:cs="Arial"/>
          <w:sz w:val="20"/>
          <w:lang w:val="es-ES"/>
        </w:rPr>
        <w:t>(</w:t>
      </w:r>
      <w:r>
        <w:rPr>
          <w:rFonts w:ascii="Arial" w:hAnsi="Arial" w:cs="Arial"/>
          <w:sz w:val="20"/>
          <w:lang w:val="es-ES"/>
        </w:rPr>
        <w:t xml:space="preserve">etiqueta de excelencia, </w:t>
      </w:r>
      <w:r w:rsidRPr="00C43DCF">
        <w:rPr>
          <w:rFonts w:ascii="Arial" w:hAnsi="Arial" w:cs="Arial"/>
          <w:sz w:val="20"/>
          <w:lang w:val="es-ES"/>
        </w:rPr>
        <w:t xml:space="preserve">es decir, excelencia en </w:t>
      </w:r>
      <w:r>
        <w:rPr>
          <w:rFonts w:ascii="Arial" w:hAnsi="Arial" w:cs="Arial"/>
          <w:sz w:val="20"/>
          <w:lang w:val="es-ES"/>
        </w:rPr>
        <w:t xml:space="preserve">la </w:t>
      </w:r>
      <w:r w:rsidRPr="00C43DCF">
        <w:rPr>
          <w:rFonts w:ascii="Arial" w:hAnsi="Arial" w:cs="Arial"/>
          <w:sz w:val="20"/>
          <w:lang w:val="es-ES"/>
        </w:rPr>
        <w:t>transparencia, rendición de cuentas y gobernanza)</w:t>
      </w:r>
      <w:r>
        <w:rPr>
          <w:rFonts w:ascii="Arial" w:hAnsi="Arial" w:cs="Arial"/>
          <w:i/>
          <w:sz w:val="20"/>
          <w:lang w:val="es-ES"/>
        </w:rPr>
        <w:t xml:space="preserve"> </w:t>
      </w:r>
      <w:r>
        <w:rPr>
          <w:rFonts w:ascii="Arial" w:hAnsi="Arial" w:cs="Arial"/>
          <w:sz w:val="20"/>
          <w:lang w:val="es-ES"/>
        </w:rPr>
        <w:t>para los organismos de gestión colectiva, así como un programa de formación sobre la transparencia, la rendición de cuentas y la gobernanza de los organismos de gestión colectiva.  A fin de complementar las actividades relativas a dicha norma, se diseñará y se pondrá en marcha un nuevo portal para ejecutar muchos de los proyectos de la OMPI de infraestructura de derecho de autor por medio de Internet y en colaboración con terceros.  Asimismo, proseguirá la labor encaminada a lograr que el Consorcio de Libros Accesibles (ABC) sea la principal entidad mundial en facilitar acceso a los libros para las personas con dificultad para acceder al texto impreso en todo el mundo.</w:t>
      </w:r>
    </w:p>
    <w:p w:rsidR="002333C0" w:rsidRPr="00C43DCF" w:rsidRDefault="002333C0" w:rsidP="002333C0">
      <w:pPr>
        <w:pStyle w:val="ListParagraph"/>
        <w:widowControl w:val="0"/>
        <w:tabs>
          <w:tab w:val="left" w:pos="567"/>
        </w:tabs>
        <w:ind w:left="0"/>
        <w:jc w:val="both"/>
        <w:rPr>
          <w:rFonts w:ascii="Arial" w:hAnsi="Arial" w:cs="Arial"/>
          <w:sz w:val="20"/>
          <w:lang w:val="es-ES"/>
        </w:rPr>
      </w:pPr>
    </w:p>
    <w:p w:rsidR="002333C0" w:rsidRPr="00B7417C" w:rsidRDefault="002333C0" w:rsidP="002333C0">
      <w:pPr>
        <w:pStyle w:val="ListParagraph"/>
        <w:numPr>
          <w:ilvl w:val="0"/>
          <w:numId w:val="10"/>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sidR="002F7400">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sidR="002F7400">
        <w:rPr>
          <w:rFonts w:ascii="Arial" w:hAnsi="Arial" w:cs="Arial"/>
          <w:i/>
          <w:sz w:val="20"/>
          <w:lang w:val="es-ES"/>
        </w:rPr>
        <w:t>a</w:t>
      </w:r>
      <w:r w:rsidRPr="00B7417C">
        <w:rPr>
          <w:rFonts w:ascii="Arial" w:hAnsi="Arial" w:cs="Arial"/>
          <w:i/>
          <w:sz w:val="20"/>
          <w:lang w:val="es-ES"/>
        </w:rPr>
        <w:t xml:space="preserve"> en el programa 3 (Derecho de autor y derechos conexos).</w:t>
      </w:r>
    </w:p>
    <w:p w:rsidR="002333C0" w:rsidRPr="00362498" w:rsidRDefault="002333C0" w:rsidP="002333C0">
      <w:pPr>
        <w:autoSpaceDE w:val="0"/>
        <w:autoSpaceDN w:val="0"/>
        <w:adjustRightInd w:val="0"/>
        <w:jc w:val="both"/>
        <w:rPr>
          <w:sz w:val="20"/>
        </w:rPr>
      </w:pPr>
    </w:p>
    <w:p w:rsidR="002333C0" w:rsidRDefault="002333C0" w:rsidP="002333C0">
      <w:pPr>
        <w:pStyle w:val="ListParagraph"/>
        <w:widowControl w:val="0"/>
        <w:numPr>
          <w:ilvl w:val="0"/>
          <w:numId w:val="8"/>
        </w:numPr>
        <w:tabs>
          <w:tab w:val="left" w:pos="567"/>
        </w:tabs>
        <w:ind w:left="0" w:firstLine="0"/>
        <w:jc w:val="both"/>
        <w:rPr>
          <w:rFonts w:ascii="Arial" w:hAnsi="Arial" w:cs="Arial"/>
          <w:color w:val="000000"/>
          <w:sz w:val="20"/>
          <w:szCs w:val="21"/>
          <w:lang w:val="es-ES"/>
        </w:rPr>
      </w:pPr>
      <w:r w:rsidRPr="004A1FE3">
        <w:rPr>
          <w:rFonts w:ascii="Arial" w:hAnsi="Arial"/>
          <w:sz w:val="20"/>
          <w:lang w:val="es-ES"/>
        </w:rPr>
        <w:t xml:space="preserve">Se prestará atención especial en 2016/17 a mejorar la prestación y coherencia de la cooperación técnica de la OMPI en los países en desarrollo, los países menos adelantados (PMA) y los países con economías en transición, consolidando los avances realizados en la elaboración de estrategias nacionales de P.I. en </w:t>
      </w:r>
      <w:r w:rsidRPr="004A1FE3">
        <w:rPr>
          <w:rFonts w:ascii="Arial" w:hAnsi="Arial" w:cs="Arial"/>
          <w:color w:val="000000"/>
          <w:sz w:val="20"/>
          <w:szCs w:val="21"/>
          <w:lang w:val="es-ES"/>
        </w:rPr>
        <w:t xml:space="preserve">2014/15.  </w:t>
      </w:r>
      <w:r>
        <w:rPr>
          <w:rFonts w:ascii="Arial" w:hAnsi="Arial" w:cs="Arial"/>
          <w:color w:val="000000"/>
          <w:sz w:val="20"/>
          <w:szCs w:val="21"/>
          <w:lang w:val="es-ES"/>
        </w:rPr>
        <w:t xml:space="preserve">Con tal fin, se institucionalizarán los planes nacionales, elaborados y mantenidos por las Oficinas </w:t>
      </w:r>
      <w:r w:rsidR="009A0E7D">
        <w:rPr>
          <w:rFonts w:ascii="Arial" w:hAnsi="Arial" w:cs="Arial"/>
          <w:color w:val="000000"/>
          <w:sz w:val="20"/>
          <w:szCs w:val="21"/>
          <w:lang w:val="es-ES"/>
        </w:rPr>
        <w:t>r</w:t>
      </w:r>
      <w:r>
        <w:rPr>
          <w:rFonts w:ascii="Arial" w:hAnsi="Arial" w:cs="Arial"/>
          <w:color w:val="000000"/>
          <w:sz w:val="20"/>
          <w:szCs w:val="21"/>
          <w:lang w:val="es-ES"/>
        </w:rPr>
        <w:t>egionales en la sede</w:t>
      </w:r>
      <w:r w:rsidR="009A0E7D">
        <w:rPr>
          <w:rFonts w:ascii="Arial" w:hAnsi="Arial" w:cs="Arial"/>
          <w:color w:val="000000"/>
          <w:sz w:val="20"/>
          <w:szCs w:val="21"/>
          <w:lang w:val="es-ES"/>
        </w:rPr>
        <w:t>,</w:t>
      </w:r>
      <w:r>
        <w:rPr>
          <w:rFonts w:ascii="Arial" w:hAnsi="Arial" w:cs="Arial"/>
          <w:color w:val="000000"/>
          <w:sz w:val="20"/>
          <w:szCs w:val="21"/>
          <w:lang w:val="es-ES"/>
        </w:rPr>
        <w:t xml:space="preserve"> teniendo en cuenta las necesidades y las realidades de los países beneficiarios, en los que figurarán todos los proyectos y actividades que tendrán lugar en cada país.  Asimismo, la cooperación técnica se prestará cada vez más por medio de enfoques basados en proyectos, aprovechando la experiencia adquirida en años recientes mediante la aplicación de la A.D. y otros proyectos especiales de desarrollo.  Igualmente, se procurará llevar a cabo de manera coherente la planificación y la presentación de informes de actividades Sur-Sur a nivel de la Organización y se cuidarán las relaciones con todos los sectores interesados tanto a nivel interno como externo.</w:t>
      </w:r>
    </w:p>
    <w:p w:rsidR="002333C0" w:rsidRPr="00362498" w:rsidRDefault="002333C0" w:rsidP="002333C0">
      <w:pPr>
        <w:pStyle w:val="ListParagraph"/>
        <w:widowControl w:val="0"/>
        <w:tabs>
          <w:tab w:val="left" w:pos="567"/>
        </w:tabs>
        <w:ind w:left="0"/>
        <w:jc w:val="both"/>
        <w:rPr>
          <w:rFonts w:ascii="Arial" w:hAnsi="Arial" w:cs="Arial"/>
          <w:color w:val="000000"/>
          <w:sz w:val="20"/>
          <w:szCs w:val="21"/>
          <w:lang w:val="es-ES"/>
        </w:rPr>
      </w:pPr>
    </w:p>
    <w:p w:rsidR="002333C0" w:rsidRDefault="002F7400" w:rsidP="002333C0">
      <w:pPr>
        <w:pStyle w:val="ListParagraph"/>
        <w:numPr>
          <w:ilvl w:val="0"/>
          <w:numId w:val="10"/>
        </w:numPr>
        <w:tabs>
          <w:tab w:val="right" w:pos="1134"/>
        </w:tabs>
        <w:ind w:left="1134" w:hanging="567"/>
        <w:jc w:val="both"/>
        <w:rPr>
          <w:rFonts w:ascii="Arial" w:hAnsi="Arial" w:cs="Arial"/>
          <w:color w:val="000000"/>
          <w:sz w:val="20"/>
          <w:szCs w:val="21"/>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 xml:space="preserve">a </w:t>
      </w:r>
      <w:r w:rsidR="002333C0">
        <w:rPr>
          <w:rFonts w:ascii="Arial" w:hAnsi="Arial" w:cs="Arial"/>
          <w:i/>
          <w:sz w:val="20"/>
          <w:lang w:val="es-ES"/>
        </w:rPr>
        <w:t>en el programa 9 (</w:t>
      </w:r>
      <w:r w:rsidR="002333C0" w:rsidRPr="00B7417C">
        <w:rPr>
          <w:rFonts w:ascii="Arial" w:hAnsi="Arial" w:cs="Arial"/>
          <w:i/>
          <w:sz w:val="20"/>
          <w:lang w:val="es-ES"/>
        </w:rPr>
        <w:t>Países africanos, árabes, de América Latina y el Caribe, de Asia y el Pacífico, y países menos adelantados</w:t>
      </w:r>
      <w:r w:rsidR="002333C0">
        <w:rPr>
          <w:rFonts w:ascii="Arial" w:hAnsi="Arial" w:cs="Arial"/>
          <w:i/>
          <w:sz w:val="20"/>
          <w:lang w:val="es-ES"/>
        </w:rPr>
        <w:t>) y el 10 (</w:t>
      </w:r>
      <w:r w:rsidR="002333C0" w:rsidRPr="00B7417C">
        <w:rPr>
          <w:rFonts w:ascii="Arial" w:hAnsi="Arial" w:cs="Arial"/>
          <w:i/>
          <w:sz w:val="20"/>
          <w:lang w:val="es-ES"/>
        </w:rPr>
        <w:t xml:space="preserve">Países </w:t>
      </w:r>
      <w:r w:rsidR="00483C77">
        <w:rPr>
          <w:rFonts w:ascii="Arial" w:hAnsi="Arial" w:cs="Arial"/>
          <w:i/>
          <w:sz w:val="20"/>
          <w:lang w:val="es-ES"/>
        </w:rPr>
        <w:t xml:space="preserve">con economías </w:t>
      </w:r>
      <w:r w:rsidR="002333C0" w:rsidRPr="00B7417C">
        <w:rPr>
          <w:rFonts w:ascii="Arial" w:hAnsi="Arial" w:cs="Arial"/>
          <w:i/>
          <w:sz w:val="20"/>
          <w:lang w:val="es-ES"/>
        </w:rPr>
        <w:t xml:space="preserve">en transición y </w:t>
      </w:r>
      <w:r w:rsidR="00483C77">
        <w:rPr>
          <w:rFonts w:ascii="Arial" w:hAnsi="Arial" w:cs="Arial"/>
          <w:i/>
          <w:sz w:val="20"/>
          <w:lang w:val="es-ES"/>
        </w:rPr>
        <w:t xml:space="preserve">países </w:t>
      </w:r>
      <w:r w:rsidR="002333C0" w:rsidRPr="00B7417C">
        <w:rPr>
          <w:rFonts w:ascii="Arial" w:hAnsi="Arial" w:cs="Arial"/>
          <w:i/>
          <w:sz w:val="20"/>
          <w:lang w:val="es-ES"/>
        </w:rPr>
        <w:t>desarrollados</w:t>
      </w:r>
      <w:r w:rsidR="002333C0">
        <w:rPr>
          <w:rFonts w:ascii="Arial" w:hAnsi="Arial" w:cs="Arial"/>
          <w:i/>
          <w:sz w:val="20"/>
          <w:lang w:val="es-ES"/>
        </w:rPr>
        <w:t>).</w:t>
      </w:r>
      <w:r w:rsidR="002333C0" w:rsidRPr="00362498">
        <w:rPr>
          <w:rFonts w:ascii="Arial" w:hAnsi="Arial" w:cs="Arial"/>
          <w:color w:val="000000"/>
          <w:sz w:val="20"/>
          <w:szCs w:val="21"/>
          <w:lang w:val="es-ES"/>
        </w:rPr>
        <w:t xml:space="preserve"> </w:t>
      </w:r>
    </w:p>
    <w:p w:rsidR="002333C0" w:rsidRPr="00362498" w:rsidRDefault="002333C0" w:rsidP="002333C0">
      <w:pPr>
        <w:pStyle w:val="ListParagraph"/>
        <w:tabs>
          <w:tab w:val="right" w:pos="1134"/>
        </w:tabs>
        <w:ind w:left="1134"/>
        <w:jc w:val="both"/>
        <w:rPr>
          <w:rFonts w:ascii="Arial" w:hAnsi="Arial" w:cs="Arial"/>
          <w:color w:val="000000"/>
          <w:sz w:val="20"/>
          <w:szCs w:val="21"/>
          <w:lang w:val="es-ES"/>
        </w:rPr>
      </w:pPr>
    </w:p>
    <w:p w:rsidR="002333C0" w:rsidRPr="00972DE5" w:rsidRDefault="002333C0" w:rsidP="002333C0">
      <w:pPr>
        <w:pStyle w:val="ListParagraph"/>
        <w:widowControl w:val="0"/>
        <w:numPr>
          <w:ilvl w:val="0"/>
          <w:numId w:val="8"/>
        </w:numPr>
        <w:tabs>
          <w:tab w:val="left" w:pos="567"/>
        </w:tabs>
        <w:ind w:left="0" w:firstLine="0"/>
        <w:jc w:val="both"/>
        <w:rPr>
          <w:rFonts w:ascii="Arial" w:hAnsi="Arial" w:cs="Arial"/>
          <w:color w:val="000000"/>
          <w:sz w:val="20"/>
          <w:szCs w:val="21"/>
          <w:lang w:val="es-ES"/>
        </w:rPr>
      </w:pPr>
      <w:r>
        <w:rPr>
          <w:rFonts w:ascii="Arial" w:hAnsi="Arial"/>
          <w:sz w:val="20"/>
          <w:lang w:val="es-ES"/>
        </w:rPr>
        <w:t xml:space="preserve">Se prestará mayor atención  a los PMA a fin de responder a las necesidades cada vez mayores de particulares y grupos.  Se hará hincapié especialmente en desarrollar las capacidades nacionales y tecnológicas de los PMA para prestarles asistencia en la consecución de sus objetivos principales, como la reducción de la pobreza y el crecimiento económico y otras políticas de desarrollo.  El proyecto de la A.D. </w:t>
      </w:r>
      <w:r w:rsidRPr="00F024F6">
        <w:rPr>
          <w:rFonts w:ascii="Arial" w:hAnsi="Arial"/>
          <w:sz w:val="20"/>
          <w:lang w:val="es-ES"/>
        </w:rPr>
        <w:t>sobre el fortalecimiento de capacidades en el uso de información técnica y científica relativa a tecnologías apropiadas para solucionar determinados problemas de desarrollo</w:t>
      </w:r>
      <w:r>
        <w:rPr>
          <w:rFonts w:ascii="Arial" w:hAnsi="Arial"/>
          <w:sz w:val="20"/>
          <w:lang w:val="es-ES"/>
        </w:rPr>
        <w:t xml:space="preserve"> es el vehículo principal de apoyo en esta esfera.  Además, la OMPI seguirá prestando apoyo en particular a las actividades que entran dentro de las esferas prioritarias señaladas en l</w:t>
      </w:r>
      <w:r w:rsidRPr="00F024F6">
        <w:rPr>
          <w:rFonts w:ascii="Arial" w:hAnsi="Arial"/>
          <w:sz w:val="20"/>
          <w:lang w:val="es-ES"/>
        </w:rPr>
        <w:t xml:space="preserve">as aportaciones concretas de la OMPI a los PMA, aprobadas en 2011 en el marco de la Cuarta Conferencia de las Naciones Unidas para los </w:t>
      </w:r>
      <w:r w:rsidR="00A45432">
        <w:rPr>
          <w:rFonts w:ascii="Arial" w:hAnsi="Arial"/>
          <w:sz w:val="20"/>
          <w:lang w:val="es-ES"/>
        </w:rPr>
        <w:t>PMA (PMA </w:t>
      </w:r>
      <w:r>
        <w:rPr>
          <w:rFonts w:ascii="Arial" w:hAnsi="Arial"/>
          <w:sz w:val="20"/>
          <w:lang w:val="es-ES"/>
        </w:rPr>
        <w:t xml:space="preserve">IV) y concebidas para contribuir a la puesta en práctica del </w:t>
      </w:r>
      <w:r w:rsidRPr="00972DE5">
        <w:rPr>
          <w:rFonts w:ascii="Arial" w:hAnsi="Arial"/>
          <w:sz w:val="20"/>
          <w:lang w:val="es-ES"/>
        </w:rPr>
        <w:t>Programa de Acción de Estambul</w:t>
      </w:r>
      <w:r>
        <w:rPr>
          <w:rFonts w:ascii="Arial" w:hAnsi="Arial"/>
          <w:sz w:val="20"/>
          <w:lang w:val="es-ES"/>
        </w:rPr>
        <w:t>.</w:t>
      </w:r>
    </w:p>
    <w:p w:rsidR="002333C0" w:rsidRPr="00362498" w:rsidRDefault="002333C0" w:rsidP="002333C0">
      <w:pPr>
        <w:pStyle w:val="ListParagraph"/>
        <w:widowControl w:val="0"/>
        <w:tabs>
          <w:tab w:val="left" w:pos="567"/>
        </w:tabs>
        <w:ind w:left="0"/>
        <w:jc w:val="both"/>
        <w:rPr>
          <w:rFonts w:ascii="Arial" w:hAnsi="Arial" w:cs="Arial"/>
          <w:color w:val="000000"/>
          <w:sz w:val="20"/>
          <w:szCs w:val="21"/>
          <w:lang w:val="es-ES"/>
        </w:rPr>
      </w:pPr>
    </w:p>
    <w:p w:rsidR="002333C0" w:rsidRPr="00B7417C" w:rsidRDefault="002F7400" w:rsidP="002333C0">
      <w:pPr>
        <w:pStyle w:val="ListParagraph"/>
        <w:numPr>
          <w:ilvl w:val="0"/>
          <w:numId w:val="10"/>
        </w:numPr>
        <w:tabs>
          <w:tab w:val="right" w:pos="1134"/>
        </w:tabs>
        <w:ind w:left="1134" w:hanging="567"/>
        <w:jc w:val="both"/>
        <w:rPr>
          <w:rFonts w:ascii="Arial" w:hAnsi="Arial" w:cs="Arial"/>
          <w:color w:val="000000"/>
          <w:sz w:val="20"/>
          <w:szCs w:val="21"/>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cs="Arial"/>
          <w:i/>
          <w:sz w:val="20"/>
          <w:lang w:val="es-ES"/>
        </w:rPr>
        <w:t xml:space="preserve"> </w:t>
      </w:r>
      <w:r w:rsidR="002333C0" w:rsidRPr="00B7417C">
        <w:rPr>
          <w:rFonts w:ascii="Arial" w:hAnsi="Arial" w:cs="Arial"/>
          <w:i/>
          <w:sz w:val="20"/>
          <w:lang w:val="es-ES"/>
        </w:rPr>
        <w:t>en el programa 9 (Países africanos, árabes, de América Latina y el Caribe, de Asia y el Pacífico, y países menos adelantados).</w:t>
      </w:r>
    </w:p>
    <w:p w:rsidR="002333C0" w:rsidRPr="00362498" w:rsidRDefault="002333C0" w:rsidP="002333C0">
      <w:pPr>
        <w:pStyle w:val="ListParagraph"/>
        <w:tabs>
          <w:tab w:val="left" w:pos="567"/>
          <w:tab w:val="left" w:pos="709"/>
        </w:tabs>
        <w:ind w:left="0"/>
        <w:jc w:val="both"/>
        <w:rPr>
          <w:rFonts w:ascii="Arial" w:hAnsi="Arial"/>
          <w:sz w:val="20"/>
          <w:lang w:val="es-ES"/>
        </w:rPr>
      </w:pPr>
    </w:p>
    <w:p w:rsidR="002333C0" w:rsidRPr="00BA1054"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BA1054">
        <w:rPr>
          <w:rFonts w:ascii="Arial" w:hAnsi="Arial"/>
          <w:sz w:val="20"/>
          <w:lang w:val="es-ES"/>
        </w:rPr>
        <w:t xml:space="preserve">A fin de lograr una planificación y ejecución más integrada de las actividades de la OMPI de formación y fortalecimiento de capacidades, y de fomentar la calidad y la eficacia en función de los costos, la Academia de la OMPI emprendió en </w:t>
      </w:r>
      <w:r w:rsidRPr="00BA1054">
        <w:rPr>
          <w:rFonts w:ascii="Arial" w:hAnsi="Arial" w:cs="Arial"/>
          <w:sz w:val="20"/>
          <w:szCs w:val="20"/>
          <w:lang w:val="es-ES"/>
        </w:rPr>
        <w:t>2014/15 un proceso de reforma gradual y consecuente para volver a situar a la Academia en posición de principal vehículo de la Organización para la formación y el fortalecimiento de las capacidades.  Este proceso continuará en 2016/17.</w:t>
      </w:r>
    </w:p>
    <w:p w:rsidR="002333C0" w:rsidRPr="00362498" w:rsidRDefault="002333C0" w:rsidP="002333C0">
      <w:pPr>
        <w:pStyle w:val="ListParagraph"/>
        <w:widowControl w:val="0"/>
        <w:tabs>
          <w:tab w:val="left" w:pos="567"/>
        </w:tabs>
        <w:ind w:left="0"/>
        <w:jc w:val="both"/>
        <w:rPr>
          <w:rFonts w:ascii="Arial" w:hAnsi="Arial" w:cs="Arial"/>
          <w:sz w:val="20"/>
          <w:lang w:val="es-ES"/>
        </w:rPr>
      </w:pPr>
    </w:p>
    <w:p w:rsidR="002333C0" w:rsidRPr="00B7417C" w:rsidRDefault="002F7400" w:rsidP="002333C0">
      <w:pPr>
        <w:pStyle w:val="ListParagraph"/>
        <w:numPr>
          <w:ilvl w:val="0"/>
          <w:numId w:val="10"/>
        </w:numPr>
        <w:tabs>
          <w:tab w:val="right" w:pos="1134"/>
        </w:tabs>
        <w:ind w:left="1134" w:hanging="567"/>
        <w:jc w:val="both"/>
        <w:rPr>
          <w:rFonts w:ascii="Arial" w:hAnsi="Arial" w:cs="Arial"/>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cs="Arial"/>
          <w:i/>
          <w:sz w:val="20"/>
          <w:lang w:val="es-ES"/>
        </w:rPr>
        <w:t xml:space="preserve"> </w:t>
      </w:r>
      <w:r w:rsidR="002333C0" w:rsidRPr="00B7417C">
        <w:rPr>
          <w:rFonts w:ascii="Arial" w:hAnsi="Arial" w:cs="Arial"/>
          <w:i/>
          <w:sz w:val="20"/>
          <w:lang w:val="es-ES"/>
        </w:rPr>
        <w:t>en el programa 11 (Academia de la OMPI</w:t>
      </w:r>
      <w:r w:rsidR="002333C0" w:rsidRPr="00B7417C">
        <w:rPr>
          <w:rFonts w:ascii="Arial" w:hAnsi="Arial"/>
          <w:i/>
          <w:sz w:val="20"/>
          <w:lang w:val="es-ES"/>
        </w:rPr>
        <w:t>).</w:t>
      </w:r>
    </w:p>
    <w:p w:rsidR="002333C0" w:rsidRPr="00362498" w:rsidRDefault="002333C0" w:rsidP="002333C0">
      <w:pPr>
        <w:pStyle w:val="ListParagraph"/>
        <w:tabs>
          <w:tab w:val="left" w:pos="567"/>
          <w:tab w:val="left" w:pos="709"/>
        </w:tabs>
        <w:ind w:left="0"/>
        <w:jc w:val="both"/>
        <w:rPr>
          <w:rFonts w:ascii="Arial" w:hAnsi="Arial" w:cs="Arial"/>
          <w:sz w:val="20"/>
          <w:szCs w:val="20"/>
          <w:lang w:val="es-ES"/>
        </w:rPr>
      </w:pPr>
    </w:p>
    <w:p w:rsidR="002333C0"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BA1054">
        <w:rPr>
          <w:rFonts w:ascii="Arial" w:hAnsi="Arial" w:cs="Arial"/>
          <w:sz w:val="20"/>
          <w:lang w:val="es-ES"/>
        </w:rPr>
        <w:t xml:space="preserve">Tomando como base las iniciativas emprendidas en 2014/15 para fomentar el valor añadido y seguir mejorando la productividad y la eficiencia de las oficinas de la OMPI en el exterior, en 2016/17 </w:t>
      </w:r>
      <w:r>
        <w:rPr>
          <w:rFonts w:ascii="Arial" w:hAnsi="Arial" w:cs="Arial"/>
          <w:sz w:val="20"/>
          <w:lang w:val="es-ES"/>
        </w:rPr>
        <w:t xml:space="preserve">proseguirán los esfuerzos para fomentar la integración eficiente de las oficinas existentes en todos los aspectos del funcionamiento de la Organización.  Esta labor contará con el apoyo de la puesta en funcionamiento de un sistema y una arquitectura de oficina mundial con carácter normalizado.  Se tratará </w:t>
      </w:r>
      <w:r>
        <w:rPr>
          <w:rFonts w:ascii="Arial" w:hAnsi="Arial" w:cs="Arial"/>
          <w:sz w:val="20"/>
          <w:lang w:val="es-ES"/>
        </w:rPr>
        <w:lastRenderedPageBreak/>
        <w:t>de una iniciativa esencial para garantizar que la OMPI siga evolucionando en calidad de organización de verdadero alcance mundial que atiende a las necesidades de sus Estados miembros y sectores interesados y es capaz de lograr sus ambiciosas metas consistentes en la prestación de servicios de manera más eficiente gracias a una cooperación más estrecha.</w:t>
      </w:r>
    </w:p>
    <w:p w:rsidR="002333C0" w:rsidRPr="00F816B2" w:rsidRDefault="002333C0" w:rsidP="002333C0">
      <w:pPr>
        <w:pStyle w:val="ListParagraph"/>
        <w:widowControl w:val="0"/>
        <w:tabs>
          <w:tab w:val="left" w:pos="567"/>
        </w:tabs>
        <w:ind w:left="0"/>
        <w:jc w:val="both"/>
        <w:rPr>
          <w:rFonts w:ascii="Arial" w:hAnsi="Arial" w:cs="Arial"/>
          <w:sz w:val="20"/>
          <w:lang w:val="es-ES"/>
        </w:rPr>
      </w:pPr>
    </w:p>
    <w:p w:rsidR="002333C0" w:rsidRDefault="002F7400" w:rsidP="002333C0">
      <w:pPr>
        <w:pStyle w:val="ListParagraph"/>
        <w:numPr>
          <w:ilvl w:val="0"/>
          <w:numId w:val="10"/>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w:t>
      </w:r>
      <w:r w:rsidR="002333C0" w:rsidRPr="00B7417C">
        <w:rPr>
          <w:rFonts w:ascii="Arial" w:hAnsi="Arial"/>
          <w:i/>
          <w:sz w:val="20"/>
          <w:lang w:val="es-ES"/>
        </w:rPr>
        <w:t>en el programa 20 (</w:t>
      </w:r>
      <w:r w:rsidR="002333C0">
        <w:rPr>
          <w:rFonts w:ascii="Arial" w:hAnsi="Arial"/>
          <w:i/>
          <w:sz w:val="20"/>
          <w:lang w:val="es-ES"/>
        </w:rPr>
        <w:t>Relaciones exteriores, alianzas y oficinas en el exterior</w:t>
      </w:r>
      <w:r w:rsidR="002333C0" w:rsidRPr="00B7417C">
        <w:rPr>
          <w:rFonts w:ascii="Arial" w:hAnsi="Arial"/>
          <w:i/>
          <w:sz w:val="20"/>
          <w:lang w:val="es-ES"/>
        </w:rPr>
        <w:t xml:space="preserve">). </w:t>
      </w:r>
      <w:r w:rsidR="002333C0">
        <w:rPr>
          <w:rFonts w:ascii="Arial" w:hAnsi="Arial"/>
          <w:i/>
          <w:sz w:val="20"/>
          <w:lang w:val="es-ES"/>
        </w:rPr>
        <w:t xml:space="preserve"> En caso de que los Estados miembros acuerden crear nuevas oficinas en el exterior en </w:t>
      </w:r>
      <w:r w:rsidR="002333C0" w:rsidRPr="00B7417C">
        <w:rPr>
          <w:rFonts w:ascii="Arial" w:hAnsi="Arial" w:cs="Arial"/>
          <w:i/>
          <w:sz w:val="20"/>
          <w:lang w:val="es-ES"/>
        </w:rPr>
        <w:t xml:space="preserve">2016/17, </w:t>
      </w:r>
      <w:r w:rsidR="002333C0">
        <w:rPr>
          <w:rFonts w:ascii="Arial" w:hAnsi="Arial" w:cs="Arial"/>
          <w:i/>
          <w:sz w:val="20"/>
          <w:lang w:val="es-ES"/>
        </w:rPr>
        <w:t>podrían financiarse a partir de la asignación de 1 millón de francos suizos que figura en los recursos no relativos a personal en el rubro “Sin consignar”.</w:t>
      </w:r>
    </w:p>
    <w:p w:rsidR="002333C0" w:rsidRPr="00362498" w:rsidRDefault="002333C0" w:rsidP="002333C0">
      <w:pPr>
        <w:pStyle w:val="ListParagraph"/>
        <w:tabs>
          <w:tab w:val="left" w:pos="567"/>
          <w:tab w:val="left" w:pos="709"/>
        </w:tabs>
        <w:ind w:left="0"/>
        <w:jc w:val="both"/>
        <w:rPr>
          <w:rFonts w:ascii="Arial" w:hAnsi="Arial" w:cs="Arial"/>
          <w:sz w:val="20"/>
          <w:lang w:val="es-ES"/>
        </w:rPr>
      </w:pPr>
    </w:p>
    <w:p w:rsidR="002333C0" w:rsidRPr="00572E2F"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sidRPr="00572E2F">
        <w:rPr>
          <w:rFonts w:ascii="Arial" w:hAnsi="Arial" w:cs="Arial"/>
          <w:sz w:val="20"/>
          <w:lang w:val="es-ES"/>
        </w:rPr>
        <w:t xml:space="preserve">En el marco de la meta estratégica IX proseguirán los esfuerzos destinados a lograr que la Secretaría funcione con agilidad y eficiencia, esté dotada de un conjunto de empleados </w:t>
      </w:r>
      <w:r w:rsidR="00DE0A62">
        <w:rPr>
          <w:rFonts w:ascii="Arial" w:hAnsi="Arial" w:cs="Arial"/>
          <w:sz w:val="20"/>
          <w:lang w:val="es-ES"/>
        </w:rPr>
        <w:t xml:space="preserve">bien </w:t>
      </w:r>
      <w:r w:rsidRPr="00572E2F">
        <w:rPr>
          <w:rFonts w:ascii="Arial" w:hAnsi="Arial" w:cs="Arial"/>
          <w:sz w:val="20"/>
          <w:lang w:val="es-ES"/>
        </w:rPr>
        <w:t xml:space="preserve">administrados y con las capacidades apropiadas y produzca resultados de manera eficaz.  En el bienio se prestará atención especial al equilibrio de género y a la diversidad geográfica.  Se seguirán haciendo esfuerzos para desarrollar las capacidades de gestión y liderazgo de las mujeres de la Organización, con el fin de habilitarlas para que ocupen cargos en niveles superiores, a la vez que se seguirá solicitando la presentación de candidaturas femeninas.  En cuanto a la diversidad geográfica, con el apoyo de los Estados miembros, se harán mayores esfuerzos por dirigirse previsoramente a posibles candidatos de países que no están representados </w:t>
      </w:r>
      <w:r>
        <w:rPr>
          <w:rFonts w:ascii="Arial" w:hAnsi="Arial" w:cs="Arial"/>
          <w:sz w:val="20"/>
          <w:lang w:val="es-ES"/>
        </w:rPr>
        <w:t>suficientemente</w:t>
      </w:r>
      <w:r w:rsidRPr="00572E2F">
        <w:rPr>
          <w:rFonts w:ascii="Arial" w:hAnsi="Arial" w:cs="Arial"/>
          <w:sz w:val="20"/>
          <w:lang w:val="es-ES"/>
        </w:rPr>
        <w:t xml:space="preserve"> entre el personal de las categorías profesional y superior.  Tras la</w:t>
      </w:r>
      <w:r w:rsidR="000A7734">
        <w:rPr>
          <w:rFonts w:ascii="Arial" w:hAnsi="Arial" w:cs="Arial"/>
          <w:sz w:val="20"/>
          <w:lang w:val="es-ES"/>
        </w:rPr>
        <w:t xml:space="preserve"> entrada en vigor</w:t>
      </w:r>
      <w:r w:rsidRPr="00572E2F">
        <w:rPr>
          <w:rFonts w:ascii="Arial" w:hAnsi="Arial" w:cs="Arial"/>
          <w:sz w:val="20"/>
          <w:lang w:val="es-ES"/>
        </w:rPr>
        <w:t xml:space="preserve"> del Estatuto y Reglamento del Personal revisado, aprobado por el Comité de Coordinación en </w:t>
      </w:r>
      <w:r w:rsidRPr="00572E2F">
        <w:rPr>
          <w:rFonts w:ascii="Arial" w:hAnsi="Arial"/>
          <w:sz w:val="20"/>
          <w:lang w:val="es-ES"/>
        </w:rPr>
        <w:t xml:space="preserve">2012 y 2013, de la que forma parte el fortalecimiento del sistema de justicia interna, una esfera importante de la labor en 2016/17 </w:t>
      </w:r>
      <w:r>
        <w:rPr>
          <w:rFonts w:ascii="Arial" w:hAnsi="Arial"/>
          <w:sz w:val="20"/>
          <w:lang w:val="es-ES"/>
        </w:rPr>
        <w:t xml:space="preserve">será la prevención y mitigación de conflictos y la gestión eficaz de las </w:t>
      </w:r>
      <w:r w:rsidR="00DE0A62">
        <w:rPr>
          <w:rFonts w:ascii="Arial" w:hAnsi="Arial"/>
          <w:sz w:val="20"/>
          <w:lang w:val="es-ES"/>
        </w:rPr>
        <w:t>caus</w:t>
      </w:r>
      <w:r>
        <w:rPr>
          <w:rFonts w:ascii="Arial" w:hAnsi="Arial"/>
          <w:sz w:val="20"/>
          <w:lang w:val="es-ES"/>
        </w:rPr>
        <w:t xml:space="preserve">as mediante el sistema de justicia interna.  Asimismo, </w:t>
      </w:r>
      <w:r w:rsidRPr="00572E2F">
        <w:rPr>
          <w:rFonts w:ascii="Arial" w:hAnsi="Arial"/>
          <w:sz w:val="20"/>
          <w:lang w:val="es-ES"/>
        </w:rPr>
        <w:t xml:space="preserve">la Organización seguirá </w:t>
      </w:r>
      <w:r>
        <w:rPr>
          <w:rFonts w:ascii="Arial" w:hAnsi="Arial"/>
          <w:sz w:val="20"/>
          <w:lang w:val="es-ES"/>
        </w:rPr>
        <w:t xml:space="preserve">participando en el examen del </w:t>
      </w:r>
      <w:r w:rsidRPr="00572E2F">
        <w:rPr>
          <w:rFonts w:ascii="Arial" w:hAnsi="Arial"/>
          <w:sz w:val="20"/>
          <w:lang w:val="es-ES"/>
        </w:rPr>
        <w:t>conjunto integral de la remuneración del régimen común</w:t>
      </w:r>
      <w:r>
        <w:rPr>
          <w:rFonts w:ascii="Arial" w:hAnsi="Arial"/>
          <w:sz w:val="20"/>
          <w:lang w:val="es-ES"/>
        </w:rPr>
        <w:t xml:space="preserve"> de NN.UU.</w:t>
      </w:r>
    </w:p>
    <w:p w:rsidR="002333C0" w:rsidRPr="00362498" w:rsidRDefault="002333C0" w:rsidP="002333C0">
      <w:pPr>
        <w:pStyle w:val="ListParagraph"/>
        <w:widowControl w:val="0"/>
        <w:tabs>
          <w:tab w:val="left" w:pos="567"/>
        </w:tabs>
        <w:ind w:left="0"/>
        <w:jc w:val="both"/>
        <w:rPr>
          <w:rFonts w:ascii="Arial" w:hAnsi="Arial" w:cs="Arial"/>
          <w:sz w:val="20"/>
          <w:lang w:val="es-ES"/>
        </w:rPr>
      </w:pPr>
    </w:p>
    <w:p w:rsidR="002333C0" w:rsidRPr="00362498" w:rsidRDefault="00DE0A62" w:rsidP="002333C0">
      <w:pPr>
        <w:pStyle w:val="ListParagraph"/>
        <w:numPr>
          <w:ilvl w:val="0"/>
          <w:numId w:val="10"/>
        </w:numPr>
        <w:tabs>
          <w:tab w:val="right" w:pos="1134"/>
        </w:tabs>
        <w:ind w:left="1134" w:hanging="567"/>
        <w:jc w:val="both"/>
        <w:rPr>
          <w:rFonts w:ascii="Arial" w:hAnsi="Arial" w:cs="Arial"/>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w:t>
      </w:r>
      <w:r w:rsidR="002333C0">
        <w:rPr>
          <w:rFonts w:ascii="Arial" w:hAnsi="Arial"/>
          <w:i/>
          <w:sz w:val="20"/>
          <w:lang w:val="es-ES"/>
        </w:rPr>
        <w:t>en el programa 23 (Gestión y desarrollo de los recursos humanos).</w:t>
      </w:r>
    </w:p>
    <w:p w:rsidR="002333C0" w:rsidRPr="00362498" w:rsidRDefault="002333C0" w:rsidP="002333C0">
      <w:pPr>
        <w:pStyle w:val="ListParagraph"/>
        <w:tabs>
          <w:tab w:val="left" w:pos="567"/>
          <w:tab w:val="left" w:pos="709"/>
        </w:tabs>
        <w:ind w:left="0"/>
        <w:jc w:val="both"/>
        <w:rPr>
          <w:rFonts w:ascii="Arial" w:hAnsi="Arial" w:cs="Arial"/>
          <w:sz w:val="20"/>
          <w:lang w:val="es-ES"/>
        </w:rPr>
      </w:pPr>
    </w:p>
    <w:p w:rsidR="002333C0" w:rsidRDefault="000A7734" w:rsidP="002333C0">
      <w:pPr>
        <w:pStyle w:val="ListParagraph"/>
        <w:widowControl w:val="0"/>
        <w:numPr>
          <w:ilvl w:val="0"/>
          <w:numId w:val="8"/>
        </w:numPr>
        <w:tabs>
          <w:tab w:val="left" w:pos="567"/>
        </w:tabs>
        <w:ind w:left="0" w:firstLine="0"/>
        <w:jc w:val="both"/>
        <w:rPr>
          <w:rFonts w:ascii="Arial" w:hAnsi="Arial" w:cs="Arial"/>
          <w:sz w:val="20"/>
          <w:lang w:val="es-ES"/>
        </w:rPr>
      </w:pPr>
      <w:r>
        <w:rPr>
          <w:rFonts w:ascii="Arial" w:hAnsi="Arial"/>
          <w:sz w:val="20"/>
          <w:lang w:val="es-ES"/>
        </w:rPr>
        <w:t>Con la adopción por</w:t>
      </w:r>
      <w:r w:rsidR="002333C0" w:rsidRPr="00CF7ECA">
        <w:rPr>
          <w:rFonts w:ascii="Arial" w:hAnsi="Arial"/>
          <w:sz w:val="20"/>
          <w:lang w:val="es-ES"/>
        </w:rPr>
        <w:t xml:space="preserve"> los Estados miembros </w:t>
      </w:r>
      <w:r>
        <w:rPr>
          <w:rFonts w:ascii="Arial" w:hAnsi="Arial"/>
          <w:sz w:val="20"/>
          <w:lang w:val="es-ES"/>
        </w:rPr>
        <w:t>de</w:t>
      </w:r>
      <w:r w:rsidR="002333C0" w:rsidRPr="00CF7ECA">
        <w:rPr>
          <w:rFonts w:ascii="Arial" w:hAnsi="Arial"/>
          <w:sz w:val="20"/>
          <w:lang w:val="es-ES"/>
        </w:rPr>
        <w:t xml:space="preserve"> la Política </w:t>
      </w:r>
      <w:r w:rsidRPr="00CF7ECA">
        <w:rPr>
          <w:rFonts w:ascii="Arial" w:hAnsi="Arial"/>
          <w:sz w:val="20"/>
          <w:lang w:val="es-ES"/>
        </w:rPr>
        <w:t xml:space="preserve">Lingüística </w:t>
      </w:r>
      <w:r w:rsidR="002333C0" w:rsidRPr="00CF7ECA">
        <w:rPr>
          <w:rFonts w:ascii="Arial" w:hAnsi="Arial"/>
          <w:sz w:val="20"/>
          <w:lang w:val="es-ES"/>
        </w:rPr>
        <w:t xml:space="preserve">en 2011 y </w:t>
      </w:r>
      <w:r>
        <w:rPr>
          <w:rFonts w:ascii="Arial" w:hAnsi="Arial"/>
          <w:sz w:val="20"/>
          <w:lang w:val="es-ES"/>
        </w:rPr>
        <w:t>la ampliación</w:t>
      </w:r>
      <w:r w:rsidR="002333C0" w:rsidRPr="00CF7ECA">
        <w:rPr>
          <w:rFonts w:ascii="Arial" w:hAnsi="Arial"/>
          <w:sz w:val="20"/>
          <w:lang w:val="es-ES"/>
        </w:rPr>
        <w:t xml:space="preserve"> en el bienio </w:t>
      </w:r>
      <w:r w:rsidR="002333C0" w:rsidRPr="00CF7ECA">
        <w:rPr>
          <w:rFonts w:ascii="Arial" w:hAnsi="Arial" w:cs="Arial"/>
          <w:sz w:val="20"/>
          <w:lang w:val="es-ES"/>
        </w:rPr>
        <w:t>2012/13</w:t>
      </w:r>
      <w:r w:rsidR="002333C0">
        <w:rPr>
          <w:rFonts w:ascii="Arial" w:hAnsi="Arial" w:cs="Arial"/>
          <w:sz w:val="20"/>
          <w:lang w:val="es-ES"/>
        </w:rPr>
        <w:t xml:space="preserve"> </w:t>
      </w:r>
      <w:r>
        <w:rPr>
          <w:rFonts w:ascii="Arial" w:hAnsi="Arial" w:cs="Arial"/>
          <w:sz w:val="20"/>
          <w:lang w:val="es-ES"/>
        </w:rPr>
        <w:t xml:space="preserve">de </w:t>
      </w:r>
      <w:r w:rsidR="002333C0" w:rsidRPr="00CF7ECA">
        <w:rPr>
          <w:rFonts w:ascii="Arial" w:hAnsi="Arial"/>
          <w:sz w:val="20"/>
          <w:lang w:val="es-ES"/>
        </w:rPr>
        <w:t xml:space="preserve">la cobertura en los seis idiomas a todos los documentos de los </w:t>
      </w:r>
      <w:r w:rsidR="002333C0">
        <w:rPr>
          <w:rFonts w:ascii="Arial" w:hAnsi="Arial"/>
          <w:sz w:val="20"/>
          <w:lang w:val="es-ES"/>
        </w:rPr>
        <w:t>c</w:t>
      </w:r>
      <w:r w:rsidR="002333C0" w:rsidRPr="00CF7ECA">
        <w:rPr>
          <w:rFonts w:ascii="Arial" w:hAnsi="Arial"/>
          <w:sz w:val="20"/>
          <w:lang w:val="es-ES"/>
        </w:rPr>
        <w:t>omités y órganos principales de la OMPI</w:t>
      </w:r>
      <w:r w:rsidR="002333C0" w:rsidRPr="00CF7ECA">
        <w:rPr>
          <w:rFonts w:ascii="Arial" w:hAnsi="Arial" w:cs="Arial"/>
          <w:sz w:val="20"/>
          <w:lang w:val="es-ES"/>
        </w:rPr>
        <w:t xml:space="preserve">, </w:t>
      </w:r>
      <w:r w:rsidR="002333C0">
        <w:rPr>
          <w:rFonts w:ascii="Arial" w:hAnsi="Arial" w:cs="Arial"/>
          <w:sz w:val="20"/>
          <w:lang w:val="es-ES"/>
        </w:rPr>
        <w:t>en el bienio 2014/15 se ofreció una cobertura parecida a varios grupos de trabajo.  Está previsto que en el bienio 2016/17 se ofrezca la misma cobertura al resto de grupos de trabajo.  A fin de contener los costos de traducción, se ha fortalecido la red de empresas de traducción y de traductores externos por cuenta propia para velar por que la labor de traducción se subcontrate adecuadamente y se han puesto en marcha nuevas herramientas de tecnología para mejorar el proceso de traducción, crear bases de datos terminológicas y garantizar el control de calidad.  También se seguirá supervisando estrechamente la extensión y el número de documentos.  Estas medidas de racionalización han dado lugar a la contención de los costos de traducción.</w:t>
      </w:r>
    </w:p>
    <w:p w:rsidR="002333C0" w:rsidRPr="00362498" w:rsidRDefault="002333C0" w:rsidP="002333C0">
      <w:pPr>
        <w:pStyle w:val="ListParagraph"/>
        <w:widowControl w:val="0"/>
        <w:tabs>
          <w:tab w:val="left" w:pos="567"/>
        </w:tabs>
        <w:ind w:left="0"/>
        <w:jc w:val="both"/>
        <w:rPr>
          <w:rFonts w:ascii="Arial" w:hAnsi="Arial" w:cs="Arial"/>
          <w:sz w:val="20"/>
          <w:lang w:val="es-ES"/>
        </w:rPr>
      </w:pPr>
      <w:r w:rsidRPr="00362498">
        <w:rPr>
          <w:rFonts w:ascii="Arial" w:hAnsi="Arial" w:cs="Arial"/>
          <w:sz w:val="20"/>
          <w:lang w:val="es-ES"/>
        </w:rPr>
        <w:t xml:space="preserve"> </w:t>
      </w:r>
    </w:p>
    <w:p w:rsidR="002333C0" w:rsidRPr="00362498" w:rsidRDefault="00DE0A62" w:rsidP="002333C0">
      <w:pPr>
        <w:pStyle w:val="ListParagraph"/>
        <w:numPr>
          <w:ilvl w:val="0"/>
          <w:numId w:val="10"/>
        </w:numPr>
        <w:tabs>
          <w:tab w:val="right" w:pos="1134"/>
        </w:tabs>
        <w:ind w:left="1134" w:hanging="567"/>
        <w:jc w:val="both"/>
        <w:rPr>
          <w:rFonts w:ascii="Arial" w:hAnsi="Arial" w:cs="Arial"/>
          <w:i/>
          <w:sz w:val="20"/>
          <w:lang w:val="es-ES"/>
        </w:rPr>
      </w:pPr>
      <w:r w:rsidRPr="00B7417C">
        <w:rPr>
          <w:rFonts w:ascii="Arial" w:hAnsi="Arial" w:cs="Arial"/>
          <w:i/>
          <w:sz w:val="20"/>
          <w:lang w:val="es-ES"/>
        </w:rPr>
        <w:t>L</w:t>
      </w:r>
      <w:r>
        <w:rPr>
          <w:rFonts w:ascii="Arial" w:hAnsi="Arial" w:cs="Arial"/>
          <w:i/>
          <w:sz w:val="20"/>
          <w:lang w:val="es-ES"/>
        </w:rPr>
        <w:t>a correspondiente dotación global de</w:t>
      </w:r>
      <w:r w:rsidRPr="00B7417C">
        <w:rPr>
          <w:rFonts w:ascii="Arial" w:hAnsi="Arial" w:cs="Arial"/>
          <w:i/>
          <w:sz w:val="20"/>
          <w:lang w:val="es-ES"/>
        </w:rPr>
        <w:t xml:space="preserve"> recursos queda reflejad</w:t>
      </w:r>
      <w:r>
        <w:rPr>
          <w:rFonts w:ascii="Arial" w:hAnsi="Arial" w:cs="Arial"/>
          <w:i/>
          <w:sz w:val="20"/>
          <w:lang w:val="es-ES"/>
        </w:rPr>
        <w:t>a</w:t>
      </w:r>
      <w:r w:rsidRPr="00B7417C">
        <w:rPr>
          <w:rFonts w:ascii="Arial" w:hAnsi="Arial"/>
          <w:i/>
          <w:sz w:val="20"/>
          <w:lang w:val="es-ES"/>
        </w:rPr>
        <w:t xml:space="preserve"> </w:t>
      </w:r>
      <w:r w:rsidR="002333C0">
        <w:rPr>
          <w:rFonts w:ascii="Arial" w:hAnsi="Arial" w:cs="Arial"/>
          <w:i/>
          <w:sz w:val="20"/>
          <w:lang w:val="es-ES"/>
        </w:rPr>
        <w:t xml:space="preserve">en el programa 27 (Servicios de conferencias y lingüísticos).  Por lo tanto, se prevé que no será necesaria en 2016/17 una parte del aumento en el presupuesto de gastos </w:t>
      </w:r>
      <w:r>
        <w:rPr>
          <w:rFonts w:ascii="Arial" w:hAnsi="Arial" w:cs="Arial"/>
          <w:i/>
          <w:sz w:val="20"/>
          <w:lang w:val="es-ES"/>
        </w:rPr>
        <w:t>no relativos a personal</w:t>
      </w:r>
      <w:r w:rsidR="002333C0">
        <w:rPr>
          <w:rFonts w:ascii="Arial" w:hAnsi="Arial" w:cs="Arial"/>
          <w:i/>
          <w:sz w:val="20"/>
          <w:lang w:val="es-ES"/>
        </w:rPr>
        <w:t xml:space="preserve"> aprobado para el programa en el bienio 2014/15.</w:t>
      </w:r>
    </w:p>
    <w:p w:rsidR="002333C0" w:rsidRPr="00362498" w:rsidRDefault="002333C0" w:rsidP="002333C0">
      <w:pPr>
        <w:pStyle w:val="ListParagraph"/>
        <w:tabs>
          <w:tab w:val="left" w:pos="709"/>
        </w:tabs>
        <w:autoSpaceDE w:val="0"/>
        <w:autoSpaceDN w:val="0"/>
        <w:adjustRightInd w:val="0"/>
        <w:ind w:left="0"/>
        <w:jc w:val="both"/>
        <w:rPr>
          <w:rFonts w:ascii="Arial" w:hAnsi="Arial" w:cs="Arial"/>
          <w:sz w:val="20"/>
          <w:lang w:val="es-ES"/>
        </w:rPr>
      </w:pPr>
    </w:p>
    <w:p w:rsidR="002333C0" w:rsidRPr="00362498"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Pr>
          <w:rFonts w:ascii="Arial" w:hAnsi="Arial" w:cs="Arial"/>
          <w:sz w:val="20"/>
          <w:lang w:val="es-ES"/>
        </w:rPr>
        <w:t>El bienio siguiente se caracterizará por varios cambios en el ámbito bancario y de inversiones habida cuenta de que en diciembre de 2015 se pondrá fin al ventajoso mecanismo financiero que proporciona actualmente a la OMPI el Departamento Federal Suizo de Finanzas y de la introducción de tipos de interés negativos en los depósitos en francos suizos.  Por lo tanto, será necesario velar por la existencia de un modelo de planificación y gestión más activo, y al mismo tiempo prudente, orientado por una política de inversiones revisada aprobada por los Estados miembros.</w:t>
      </w:r>
    </w:p>
    <w:p w:rsidR="002333C0" w:rsidRPr="00362498" w:rsidRDefault="002333C0" w:rsidP="002333C0">
      <w:pPr>
        <w:pStyle w:val="ListParagraph"/>
        <w:widowControl w:val="0"/>
        <w:tabs>
          <w:tab w:val="left" w:pos="567"/>
        </w:tabs>
        <w:ind w:left="0"/>
        <w:jc w:val="both"/>
        <w:rPr>
          <w:rFonts w:ascii="Arial" w:hAnsi="Arial" w:cs="Arial"/>
          <w:sz w:val="20"/>
          <w:lang w:val="es-ES"/>
        </w:rPr>
      </w:pPr>
    </w:p>
    <w:p w:rsidR="002333C0" w:rsidRPr="00362498" w:rsidRDefault="002333C0" w:rsidP="002333C0">
      <w:pPr>
        <w:pStyle w:val="ListParagraph"/>
        <w:numPr>
          <w:ilvl w:val="0"/>
          <w:numId w:val="10"/>
        </w:numPr>
        <w:tabs>
          <w:tab w:val="right" w:pos="1134"/>
        </w:tabs>
        <w:ind w:left="1134" w:hanging="567"/>
        <w:jc w:val="both"/>
        <w:rPr>
          <w:rFonts w:ascii="Arial" w:hAnsi="Arial" w:cs="Arial"/>
          <w:i/>
          <w:sz w:val="20"/>
          <w:lang w:val="es-ES"/>
        </w:rPr>
      </w:pPr>
      <w:r>
        <w:rPr>
          <w:rFonts w:ascii="Arial" w:hAnsi="Arial" w:cs="Arial"/>
          <w:i/>
          <w:sz w:val="20"/>
          <w:lang w:val="es-ES"/>
        </w:rPr>
        <w:t xml:space="preserve">Se ha dispuesto una asignación de 2,4 millones de francos suizos en el presupuesto de recursos </w:t>
      </w:r>
      <w:r w:rsidR="00DE0A62">
        <w:rPr>
          <w:rFonts w:ascii="Arial" w:hAnsi="Arial" w:cs="Arial"/>
          <w:i/>
          <w:sz w:val="20"/>
          <w:lang w:val="es-ES"/>
        </w:rPr>
        <w:t>no relativos a personal</w:t>
      </w:r>
      <w:r>
        <w:rPr>
          <w:rFonts w:ascii="Arial" w:hAnsi="Arial" w:cs="Arial"/>
          <w:i/>
          <w:sz w:val="20"/>
          <w:lang w:val="es-ES"/>
        </w:rPr>
        <w:t xml:space="preserve"> para el pago de los tipos de interés negativos en los depósitos de la OMPI.</w:t>
      </w:r>
    </w:p>
    <w:p w:rsidR="002333C0" w:rsidRPr="00362498" w:rsidRDefault="002333C0" w:rsidP="002333C0">
      <w:pPr>
        <w:pStyle w:val="ListParagraph"/>
        <w:tabs>
          <w:tab w:val="left" w:pos="567"/>
          <w:tab w:val="left" w:pos="709"/>
        </w:tabs>
        <w:ind w:left="0"/>
        <w:jc w:val="both"/>
        <w:rPr>
          <w:rFonts w:ascii="Arial" w:hAnsi="Arial" w:cs="Arial"/>
          <w:sz w:val="20"/>
          <w:lang w:val="es-ES"/>
        </w:rPr>
      </w:pPr>
    </w:p>
    <w:p w:rsidR="002333C0" w:rsidRDefault="002333C0" w:rsidP="002333C0">
      <w:pPr>
        <w:pStyle w:val="ListParagraph"/>
        <w:widowControl w:val="0"/>
        <w:numPr>
          <w:ilvl w:val="0"/>
          <w:numId w:val="8"/>
        </w:numPr>
        <w:tabs>
          <w:tab w:val="left" w:pos="567"/>
        </w:tabs>
        <w:ind w:left="0" w:firstLine="0"/>
        <w:jc w:val="both"/>
        <w:rPr>
          <w:rFonts w:ascii="Arial" w:hAnsi="Arial" w:cs="Arial"/>
          <w:sz w:val="20"/>
          <w:lang w:val="es-ES"/>
        </w:rPr>
      </w:pPr>
      <w:r>
        <w:rPr>
          <w:rFonts w:ascii="Arial" w:hAnsi="Arial" w:cs="Arial"/>
          <w:sz w:val="20"/>
          <w:lang w:val="es-ES"/>
        </w:rPr>
        <w:t>E</w:t>
      </w:r>
      <w:r w:rsidRPr="00362498">
        <w:rPr>
          <w:rFonts w:ascii="Arial" w:hAnsi="Arial" w:cs="Arial"/>
          <w:sz w:val="20"/>
          <w:lang w:val="es-ES"/>
        </w:rPr>
        <w:t xml:space="preserve">n 2016/17, </w:t>
      </w:r>
      <w:r>
        <w:rPr>
          <w:rFonts w:ascii="Arial" w:hAnsi="Arial" w:cs="Arial"/>
          <w:sz w:val="20"/>
          <w:lang w:val="es-ES"/>
        </w:rPr>
        <w:t>se intensificará la incorporación a las operaciones de los nuevos módulos y capacidades del sistema de PRI, lo que hará necesario el apoyo y el mantenimiento de un sistema complejo y plenamente integrado de PRI que funcione de manera eficaz en relación con los costos y esté orientado a los servicios.  La subcontratación de las tareas de apoyo, mantenimiento y desarrollo técnico al amparo de un sólido marco de gestión y control de calidad seguirá siendo una estrategia esencial a ese respecto.</w:t>
      </w:r>
    </w:p>
    <w:p w:rsidR="002333C0" w:rsidRPr="005B216D" w:rsidRDefault="002333C0" w:rsidP="002333C0">
      <w:pPr>
        <w:pStyle w:val="ListParagraph"/>
        <w:widowControl w:val="0"/>
        <w:tabs>
          <w:tab w:val="left" w:pos="567"/>
        </w:tabs>
        <w:ind w:left="0"/>
        <w:jc w:val="both"/>
        <w:rPr>
          <w:rFonts w:ascii="Arial" w:hAnsi="Arial" w:cs="Arial"/>
          <w:sz w:val="20"/>
          <w:lang w:val="es-ES"/>
        </w:rPr>
      </w:pPr>
    </w:p>
    <w:p w:rsidR="002333C0" w:rsidRPr="00362498" w:rsidRDefault="002333C0" w:rsidP="002333C0">
      <w:pPr>
        <w:pStyle w:val="ListParagraph"/>
        <w:widowControl w:val="0"/>
        <w:tabs>
          <w:tab w:val="left" w:pos="567"/>
        </w:tabs>
        <w:ind w:left="0"/>
        <w:jc w:val="both"/>
        <w:rPr>
          <w:rFonts w:ascii="Arial" w:hAnsi="Arial" w:cs="Arial"/>
          <w:sz w:val="20"/>
          <w:lang w:val="es-ES"/>
        </w:rPr>
      </w:pPr>
    </w:p>
    <w:p w:rsidR="002333C0" w:rsidRPr="00362498" w:rsidRDefault="002333C0" w:rsidP="002333C0">
      <w:pPr>
        <w:pStyle w:val="ListParagraph"/>
        <w:numPr>
          <w:ilvl w:val="0"/>
          <w:numId w:val="10"/>
        </w:numPr>
        <w:tabs>
          <w:tab w:val="right" w:pos="1134"/>
        </w:tabs>
        <w:ind w:left="1134" w:hanging="567"/>
        <w:jc w:val="both"/>
        <w:rPr>
          <w:rFonts w:ascii="Arial" w:hAnsi="Arial" w:cs="Arial"/>
          <w:i/>
          <w:sz w:val="20"/>
          <w:lang w:val="es-ES"/>
        </w:rPr>
      </w:pPr>
      <w:r>
        <w:rPr>
          <w:rFonts w:ascii="Arial" w:hAnsi="Arial" w:cs="Arial"/>
          <w:i/>
          <w:sz w:val="20"/>
          <w:lang w:val="es-ES"/>
        </w:rPr>
        <w:t xml:space="preserve">Se ha dispuesto una asignación de 1,6 millones de francos suizos para tener en cuenta el mayor peso que adquiere el PRI en la partida correspondiente al presupuesto de recursos </w:t>
      </w:r>
      <w:r w:rsidR="00DE0A62">
        <w:rPr>
          <w:rFonts w:ascii="Arial" w:hAnsi="Arial" w:cs="Arial"/>
          <w:i/>
          <w:sz w:val="20"/>
          <w:lang w:val="es-ES"/>
        </w:rPr>
        <w:t>no relativos a personal</w:t>
      </w:r>
      <w:r>
        <w:rPr>
          <w:rFonts w:ascii="Arial" w:hAnsi="Arial" w:cs="Arial"/>
          <w:i/>
          <w:sz w:val="20"/>
          <w:lang w:val="es-ES"/>
        </w:rPr>
        <w:t xml:space="preserve"> del programa 22 (Gestión de programas y recursos).</w:t>
      </w:r>
    </w:p>
    <w:p w:rsidR="002333C0" w:rsidRPr="00A45432" w:rsidRDefault="002333C0" w:rsidP="002333C0">
      <w:pPr>
        <w:pStyle w:val="ListParagraph"/>
        <w:tabs>
          <w:tab w:val="left" w:pos="567"/>
          <w:tab w:val="left" w:pos="709"/>
        </w:tabs>
        <w:ind w:left="0"/>
        <w:jc w:val="both"/>
        <w:rPr>
          <w:rFonts w:ascii="Arial" w:hAnsi="Arial" w:cs="Arial"/>
          <w:i/>
          <w:sz w:val="20"/>
          <w:lang w:val="es-ES"/>
        </w:rPr>
      </w:pPr>
    </w:p>
    <w:p w:rsidR="002333C0" w:rsidRPr="00A45432"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A45432">
        <w:rPr>
          <w:rFonts w:ascii="Arial" w:hAnsi="Arial"/>
          <w:sz w:val="20"/>
          <w:lang w:val="es-ES"/>
        </w:rPr>
        <w:t>Se han efectuado otras mejoras en los parámetros de evaluación, es decir, los indicadores de rendimiento, las referencias de base y los objetivos en concordancia con las recomendaciones efectuadas en la validación independiente llevada a cabo por la División de Supervisión Interna (DSI) y la petición de mejoras formulada por los Estados miembros con respecto al Informe sobre el rendimiento de los programas (PPR).  Las referencias del presupuesto por programas se han armonizado, en la medida de lo posible, con los datos sobre el rendimiento que figuran en el documento PPR de 2014.</w:t>
      </w:r>
      <w:r w:rsidRPr="00A45432">
        <w:rPr>
          <w:rStyle w:val="FootnoteReference"/>
          <w:rFonts w:ascii="Arial" w:hAnsi="Arial"/>
          <w:lang w:val="es-ES"/>
        </w:rPr>
        <w:footnoteReference w:id="11"/>
      </w:r>
      <w:r w:rsidRPr="00A45432">
        <w:rPr>
          <w:rFonts w:ascii="Arial" w:hAnsi="Arial"/>
          <w:sz w:val="20"/>
          <w:lang w:val="es-ES"/>
        </w:rPr>
        <w:t xml:space="preserve"> </w:t>
      </w:r>
    </w:p>
    <w:p w:rsidR="002333C0" w:rsidRPr="00A45432" w:rsidRDefault="002333C0" w:rsidP="002333C0"/>
    <w:p w:rsidR="002333C0" w:rsidRPr="00A45432" w:rsidRDefault="002333C0" w:rsidP="002333C0">
      <w:pPr>
        <w:pStyle w:val="ListParagraph"/>
        <w:widowControl w:val="0"/>
        <w:numPr>
          <w:ilvl w:val="0"/>
          <w:numId w:val="8"/>
        </w:numPr>
        <w:tabs>
          <w:tab w:val="left" w:pos="567"/>
        </w:tabs>
        <w:ind w:left="0" w:firstLine="0"/>
        <w:jc w:val="both"/>
        <w:rPr>
          <w:rFonts w:ascii="Arial" w:hAnsi="Arial"/>
          <w:sz w:val="20"/>
          <w:lang w:val="es-ES"/>
        </w:rPr>
      </w:pPr>
      <w:r w:rsidRPr="00A45432">
        <w:rPr>
          <w:rFonts w:ascii="Arial" w:hAnsi="Arial"/>
          <w:sz w:val="20"/>
          <w:lang w:val="es-ES"/>
        </w:rPr>
        <w:t>La aplicación de un procedimiento estructurado y periódico de gestión de los riesgos en toda la Organización ha dado lugar a que mejore la planificación y se conozcan mejor las circunstancias que podrían obstaculizar el logro de los resultados previstos.  Actualmente todos los programas llevan a cabo evaluaciones de riesgos como parte de la planificación bienal y de los planes de trabajo anuales.  A lo largo del presente documento se exponen detalladamente al final de cada reseña de programa los principales riesgos y estrategias de mitigación para cada programa.</w:t>
      </w:r>
    </w:p>
    <w:p w:rsidR="002333C0" w:rsidRPr="00362498" w:rsidRDefault="002333C0" w:rsidP="002333C0">
      <w:pPr>
        <w:widowControl w:val="0"/>
        <w:tabs>
          <w:tab w:val="num" w:pos="690"/>
        </w:tabs>
        <w:jc w:val="center"/>
        <w:rPr>
          <w:b/>
          <w:sz w:val="18"/>
          <w:szCs w:val="18"/>
        </w:rPr>
      </w:pPr>
    </w:p>
    <w:p w:rsidR="002333C0" w:rsidRPr="00362498" w:rsidRDefault="002333C0" w:rsidP="002333C0">
      <w:pPr>
        <w:rPr>
          <w:b/>
          <w:sz w:val="16"/>
          <w:szCs w:val="16"/>
        </w:rPr>
      </w:pPr>
      <w:r w:rsidRPr="00362498">
        <w:rPr>
          <w:b/>
          <w:sz w:val="16"/>
          <w:szCs w:val="16"/>
        </w:rPr>
        <w:br w:type="page"/>
      </w:r>
    </w:p>
    <w:p w:rsidR="002333C0" w:rsidRPr="00803935" w:rsidRDefault="002333C0" w:rsidP="002333C0">
      <w:pPr>
        <w:widowControl w:val="0"/>
        <w:tabs>
          <w:tab w:val="num" w:pos="690"/>
        </w:tabs>
        <w:jc w:val="center"/>
        <w:rPr>
          <w:b/>
          <w:sz w:val="20"/>
          <w:szCs w:val="16"/>
        </w:rPr>
      </w:pPr>
      <w:r>
        <w:rPr>
          <w:b/>
          <w:sz w:val="20"/>
          <w:szCs w:val="16"/>
        </w:rPr>
        <w:lastRenderedPageBreak/>
        <w:t>Cuadro</w:t>
      </w:r>
      <w:r w:rsidRPr="00362498">
        <w:rPr>
          <w:b/>
          <w:sz w:val="20"/>
          <w:szCs w:val="16"/>
        </w:rPr>
        <w:t xml:space="preserve"> 5.  </w:t>
      </w:r>
      <w:r w:rsidRPr="00803935">
        <w:rPr>
          <w:b/>
          <w:sz w:val="20"/>
          <w:szCs w:val="16"/>
        </w:rPr>
        <w:t>Presupuesto propuesto para 2016/17, por objeto de gasto</w:t>
      </w:r>
    </w:p>
    <w:p w:rsidR="002333C0" w:rsidRPr="00803935" w:rsidRDefault="002333C0" w:rsidP="002333C0">
      <w:pPr>
        <w:widowControl w:val="0"/>
        <w:tabs>
          <w:tab w:val="num" w:pos="690"/>
        </w:tabs>
        <w:jc w:val="center"/>
        <w:rPr>
          <w:i/>
          <w:sz w:val="20"/>
          <w:szCs w:val="16"/>
        </w:rPr>
      </w:pPr>
      <w:r w:rsidRPr="00803935">
        <w:rPr>
          <w:i/>
          <w:sz w:val="20"/>
          <w:szCs w:val="16"/>
        </w:rPr>
        <w:t>(</w:t>
      </w:r>
      <w:proofErr w:type="gramStart"/>
      <w:r w:rsidRPr="00803935">
        <w:rPr>
          <w:i/>
          <w:sz w:val="20"/>
          <w:szCs w:val="16"/>
        </w:rPr>
        <w:t>en</w:t>
      </w:r>
      <w:proofErr w:type="gramEnd"/>
      <w:r w:rsidRPr="00803935">
        <w:rPr>
          <w:i/>
          <w:sz w:val="20"/>
          <w:szCs w:val="16"/>
        </w:rPr>
        <w:t xml:space="preserve"> miles de francos suizos)</w:t>
      </w:r>
    </w:p>
    <w:p w:rsidR="002333C0" w:rsidRPr="00362498" w:rsidRDefault="002333C0" w:rsidP="002333C0">
      <w:pPr>
        <w:widowControl w:val="0"/>
        <w:tabs>
          <w:tab w:val="num" w:pos="690"/>
        </w:tabs>
        <w:jc w:val="both"/>
        <w:rPr>
          <w:color w:val="000000"/>
          <w:sz w:val="20"/>
        </w:rPr>
      </w:pPr>
    </w:p>
    <w:p w:rsidR="002333C0" w:rsidRPr="00362498" w:rsidRDefault="003B754B" w:rsidP="002333C0">
      <w:pPr>
        <w:widowControl w:val="0"/>
        <w:tabs>
          <w:tab w:val="num" w:pos="690"/>
        </w:tabs>
        <w:jc w:val="center"/>
      </w:pPr>
      <w:r>
        <w:rPr>
          <w:noProof/>
          <w:lang w:val="en-US" w:eastAsia="en-US"/>
        </w:rPr>
        <w:drawing>
          <wp:inline distT="0" distB="0" distL="0" distR="0" wp14:anchorId="1E6EE3A2" wp14:editId="1F1F8D81">
            <wp:extent cx="5940425" cy="6443076"/>
            <wp:effectExtent l="0" t="0" r="3175" b="0"/>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6443076"/>
                    </a:xfrm>
                    <a:prstGeom prst="rect">
                      <a:avLst/>
                    </a:prstGeom>
                    <a:noFill/>
                    <a:ln>
                      <a:noFill/>
                    </a:ln>
                  </pic:spPr>
                </pic:pic>
              </a:graphicData>
            </a:graphic>
          </wp:inline>
        </w:drawing>
      </w:r>
    </w:p>
    <w:p w:rsidR="002333C0" w:rsidRPr="00803935" w:rsidRDefault="002333C0" w:rsidP="002333C0">
      <w:pPr>
        <w:widowControl w:val="0"/>
        <w:tabs>
          <w:tab w:val="num" w:pos="690"/>
        </w:tabs>
        <w:rPr>
          <w:i/>
          <w:sz w:val="16"/>
          <w:szCs w:val="14"/>
        </w:rPr>
      </w:pPr>
      <w:r w:rsidRPr="00803935">
        <w:rPr>
          <w:i/>
          <w:sz w:val="16"/>
          <w:szCs w:val="14"/>
        </w:rPr>
        <w:t xml:space="preserve">Notas: </w:t>
      </w:r>
    </w:p>
    <w:p w:rsidR="002333C0" w:rsidRPr="00803935" w:rsidRDefault="002333C0" w:rsidP="002333C0">
      <w:pPr>
        <w:pStyle w:val="ListParagraph"/>
        <w:widowControl w:val="0"/>
        <w:numPr>
          <w:ilvl w:val="0"/>
          <w:numId w:val="12"/>
        </w:numPr>
        <w:spacing w:after="60"/>
        <w:ind w:left="181" w:hanging="181"/>
        <w:rPr>
          <w:rFonts w:ascii="Arial" w:eastAsia="SimSun" w:hAnsi="Arial" w:cs="Arial"/>
          <w:i/>
          <w:sz w:val="16"/>
          <w:szCs w:val="14"/>
          <w:lang w:val="es-ES"/>
        </w:rPr>
      </w:pPr>
      <w:r w:rsidRPr="00803935">
        <w:rPr>
          <w:rFonts w:ascii="Arial" w:eastAsia="SimSun" w:hAnsi="Arial" w:cs="Arial"/>
          <w:i/>
          <w:sz w:val="16"/>
          <w:szCs w:val="14"/>
          <w:lang w:val="es-ES"/>
        </w:rPr>
        <w:t>El presupuesto de 2014/</w:t>
      </w:r>
      <w:r w:rsidR="00ED0A05">
        <w:rPr>
          <w:rFonts w:ascii="Arial" w:eastAsia="SimSun" w:hAnsi="Arial" w:cs="Arial"/>
          <w:i/>
          <w:sz w:val="16"/>
          <w:szCs w:val="14"/>
          <w:lang w:val="es-ES"/>
        </w:rPr>
        <w:t>15 tras las</w:t>
      </w:r>
      <w:r w:rsidRPr="00803935">
        <w:rPr>
          <w:rFonts w:ascii="Arial" w:eastAsia="SimSun" w:hAnsi="Arial" w:cs="Arial"/>
          <w:i/>
          <w:sz w:val="16"/>
          <w:szCs w:val="14"/>
          <w:lang w:val="es-ES"/>
        </w:rPr>
        <w:t xml:space="preserve"> transferencias refleja las transferencias efectuadas para satisfacer necesidades durante el bienio 2014/15 en concordancia con lo dispuesto en el artículo 5.5 del Reglamento Financiero:  ”El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  El presupuesto de 2014/</w:t>
      </w:r>
      <w:r w:rsidR="00ED0A05">
        <w:rPr>
          <w:rFonts w:ascii="Arial" w:eastAsia="SimSun" w:hAnsi="Arial" w:cs="Arial"/>
          <w:i/>
          <w:sz w:val="16"/>
          <w:szCs w:val="14"/>
          <w:lang w:val="es-ES"/>
        </w:rPr>
        <w:t>15 tras las</w:t>
      </w:r>
      <w:r w:rsidRPr="00803935">
        <w:rPr>
          <w:rFonts w:ascii="Arial" w:eastAsia="SimSun" w:hAnsi="Arial" w:cs="Arial"/>
          <w:i/>
          <w:sz w:val="16"/>
          <w:szCs w:val="14"/>
          <w:lang w:val="es-ES"/>
        </w:rPr>
        <w:t xml:space="preserve"> trans</w:t>
      </w:r>
      <w:r w:rsidR="006A36C0">
        <w:rPr>
          <w:rFonts w:ascii="Arial" w:eastAsia="SimSun" w:hAnsi="Arial" w:cs="Arial"/>
          <w:i/>
          <w:sz w:val="16"/>
          <w:szCs w:val="14"/>
          <w:lang w:val="es-ES"/>
        </w:rPr>
        <w:t>ferencias es del 31 de marzo de </w:t>
      </w:r>
      <w:r w:rsidRPr="00803935">
        <w:rPr>
          <w:rFonts w:ascii="Arial" w:eastAsia="SimSun" w:hAnsi="Arial" w:cs="Arial"/>
          <w:i/>
          <w:sz w:val="16"/>
          <w:szCs w:val="14"/>
          <w:lang w:val="es-ES"/>
        </w:rPr>
        <w:t>2015.</w:t>
      </w:r>
    </w:p>
    <w:p w:rsidR="002333C0" w:rsidRPr="00803935" w:rsidRDefault="002333C0" w:rsidP="002333C0">
      <w:pPr>
        <w:pStyle w:val="ListParagraph"/>
        <w:widowControl w:val="0"/>
        <w:numPr>
          <w:ilvl w:val="0"/>
          <w:numId w:val="12"/>
        </w:numPr>
        <w:ind w:left="180" w:hanging="180"/>
        <w:rPr>
          <w:rFonts w:ascii="Arial" w:eastAsia="SimSun" w:hAnsi="Arial" w:cs="Arial"/>
          <w:i/>
          <w:sz w:val="16"/>
          <w:szCs w:val="14"/>
          <w:lang w:val="es-ES"/>
        </w:rPr>
      </w:pPr>
      <w:r w:rsidRPr="00803935">
        <w:rPr>
          <w:rFonts w:ascii="Arial" w:eastAsia="SimSun" w:hAnsi="Arial" w:cs="Arial"/>
          <w:i/>
          <w:sz w:val="16"/>
          <w:szCs w:val="14"/>
          <w:lang w:val="es-ES"/>
        </w:rPr>
        <w:t>Los cambios en las categorías de costos entre el bienio 2014/15 y 2016/17 se explican en la sección “Cambios en las categorías de costos</w:t>
      </w:r>
      <w:r w:rsidR="006A36C0">
        <w:rPr>
          <w:rFonts w:ascii="Arial" w:eastAsia="SimSun" w:hAnsi="Arial" w:cs="Arial"/>
          <w:i/>
          <w:sz w:val="16"/>
          <w:szCs w:val="14"/>
          <w:lang w:val="es-ES"/>
        </w:rPr>
        <w:t>” que figura más adelante.</w:t>
      </w:r>
    </w:p>
    <w:p w:rsidR="002333C0" w:rsidRPr="00803935" w:rsidRDefault="002333C0" w:rsidP="002333C0">
      <w:pPr>
        <w:widowControl w:val="0"/>
        <w:tabs>
          <w:tab w:val="num" w:pos="690"/>
        </w:tabs>
        <w:rPr>
          <w:i/>
          <w:sz w:val="20"/>
          <w:szCs w:val="14"/>
        </w:rPr>
      </w:pPr>
    </w:p>
    <w:p w:rsidR="002333C0" w:rsidRPr="00362498" w:rsidRDefault="002333C0" w:rsidP="002333C0">
      <w:pPr>
        <w:widowControl w:val="0"/>
        <w:tabs>
          <w:tab w:val="num" w:pos="690"/>
        </w:tabs>
        <w:rPr>
          <w:i/>
          <w:sz w:val="20"/>
          <w:szCs w:val="14"/>
        </w:rPr>
      </w:pPr>
    </w:p>
    <w:p w:rsidR="002333C0" w:rsidRPr="00803935" w:rsidRDefault="002333C0" w:rsidP="002333C0">
      <w:pPr>
        <w:pStyle w:val="StyleHeading3ComplexItalic"/>
        <w:keepLines/>
        <w:tabs>
          <w:tab w:val="clear" w:pos="1985"/>
          <w:tab w:val="left" w:pos="1843"/>
        </w:tabs>
        <w:ind w:left="1843" w:hanging="1843"/>
        <w:rPr>
          <w:sz w:val="20"/>
          <w:lang w:val="es-ES"/>
        </w:rPr>
      </w:pPr>
      <w:bookmarkStart w:id="16" w:name="_Toc419540400"/>
      <w:bookmarkStart w:id="17" w:name="_Toc420681127"/>
      <w:r w:rsidRPr="00803935">
        <w:rPr>
          <w:sz w:val="20"/>
          <w:lang w:val="es-ES"/>
        </w:rPr>
        <w:lastRenderedPageBreak/>
        <w:t>RECURSOS NO RELATIVOS A PERSONAL</w:t>
      </w:r>
      <w:bookmarkEnd w:id="16"/>
      <w:bookmarkEnd w:id="17"/>
    </w:p>
    <w:p w:rsidR="002333C0" w:rsidRPr="00803935" w:rsidRDefault="002333C0" w:rsidP="002333C0">
      <w:pPr>
        <w:keepNext/>
        <w:keepLines/>
        <w:widowControl w:val="0"/>
        <w:tabs>
          <w:tab w:val="num" w:pos="690"/>
        </w:tabs>
        <w:autoSpaceDE w:val="0"/>
        <w:autoSpaceDN w:val="0"/>
        <w:adjustRightInd w:val="0"/>
        <w:jc w:val="both"/>
        <w:rPr>
          <w:b/>
          <w:sz w:val="20"/>
        </w:rPr>
      </w:pPr>
    </w:p>
    <w:p w:rsidR="002333C0" w:rsidRPr="00321AE8" w:rsidRDefault="002333C0" w:rsidP="002333C0">
      <w:pPr>
        <w:pStyle w:val="ListParagraph"/>
        <w:keepNext/>
        <w:keepLines/>
        <w:widowControl w:val="0"/>
        <w:numPr>
          <w:ilvl w:val="0"/>
          <w:numId w:val="8"/>
        </w:numPr>
        <w:tabs>
          <w:tab w:val="left" w:pos="567"/>
        </w:tabs>
        <w:ind w:left="0" w:firstLine="0"/>
        <w:jc w:val="both"/>
        <w:rPr>
          <w:rFonts w:ascii="Arial" w:eastAsia="SimSun" w:hAnsi="Arial" w:cs="Arial"/>
          <w:color w:val="000000"/>
          <w:sz w:val="20"/>
          <w:lang w:val="es-ES" w:eastAsia="zh-CN"/>
        </w:rPr>
      </w:pPr>
      <w:r w:rsidRPr="00803935">
        <w:rPr>
          <w:rFonts w:ascii="Arial" w:hAnsi="Arial"/>
          <w:sz w:val="20"/>
          <w:lang w:val="es-ES"/>
        </w:rPr>
        <w:t xml:space="preserve">El aumento de los recursos </w:t>
      </w:r>
      <w:r w:rsidR="00DE0A62">
        <w:rPr>
          <w:rFonts w:ascii="Arial" w:hAnsi="Arial"/>
          <w:sz w:val="20"/>
          <w:lang w:val="es-ES"/>
        </w:rPr>
        <w:t>no relativos a personal</w:t>
      </w:r>
      <w:r w:rsidRPr="00803935">
        <w:rPr>
          <w:rFonts w:ascii="Arial" w:hAnsi="Arial"/>
          <w:sz w:val="20"/>
          <w:lang w:val="es-ES"/>
        </w:rPr>
        <w:t xml:space="preserve"> en </w:t>
      </w:r>
      <w:r w:rsidRPr="00803935">
        <w:rPr>
          <w:rFonts w:ascii="Arial" w:eastAsia="SimSun" w:hAnsi="Arial" w:cs="Arial"/>
          <w:sz w:val="20"/>
          <w:lang w:val="es-ES" w:eastAsia="zh-CN"/>
        </w:rPr>
        <w:t xml:space="preserve">2016/17 asciende a 22,8 millones de francos suizos, es decir, el 10%, en comparación con el presupuesto </w:t>
      </w:r>
      <w:r w:rsidR="006346EF">
        <w:rPr>
          <w:rFonts w:ascii="Arial" w:eastAsia="SimSun" w:hAnsi="Arial" w:cs="Arial"/>
          <w:sz w:val="20"/>
          <w:lang w:val="es-ES" w:eastAsia="zh-CN"/>
        </w:rPr>
        <w:t>aprobado</w:t>
      </w:r>
      <w:r w:rsidR="004B5B96">
        <w:rPr>
          <w:rFonts w:ascii="Arial" w:eastAsia="SimSun" w:hAnsi="Arial" w:cs="Arial"/>
          <w:sz w:val="20"/>
          <w:lang w:val="es-ES" w:eastAsia="zh-CN"/>
        </w:rPr>
        <w:t xml:space="preserve"> de </w:t>
      </w:r>
      <w:r w:rsidRPr="00803935">
        <w:rPr>
          <w:rFonts w:ascii="Arial" w:eastAsia="SimSun" w:hAnsi="Arial" w:cs="Arial"/>
          <w:sz w:val="20"/>
          <w:lang w:val="es-ES" w:eastAsia="zh-CN"/>
        </w:rPr>
        <w:t>2014</w:t>
      </w:r>
      <w:r w:rsidRPr="00321AE8">
        <w:rPr>
          <w:rFonts w:ascii="Arial" w:eastAsia="SimSun" w:hAnsi="Arial" w:cs="Arial"/>
          <w:color w:val="000000"/>
          <w:sz w:val="20"/>
          <w:lang w:val="es-ES" w:eastAsia="zh-CN"/>
        </w:rPr>
        <w:t xml:space="preserve">/15. </w:t>
      </w:r>
      <w:r>
        <w:rPr>
          <w:rFonts w:ascii="Arial" w:eastAsia="SimSun" w:hAnsi="Arial" w:cs="Arial"/>
          <w:color w:val="000000"/>
          <w:sz w:val="20"/>
          <w:lang w:val="es-ES" w:eastAsia="zh-CN"/>
        </w:rPr>
        <w:t xml:space="preserve">Sin embargo, en comparación con </w:t>
      </w:r>
      <w:r w:rsidR="006346EF">
        <w:rPr>
          <w:rFonts w:ascii="Arial" w:eastAsia="SimSun" w:hAnsi="Arial" w:cs="Arial"/>
          <w:color w:val="000000"/>
          <w:sz w:val="20"/>
          <w:lang w:val="es-ES" w:eastAsia="zh-CN"/>
        </w:rPr>
        <w:t xml:space="preserve">el </w:t>
      </w:r>
      <w:r w:rsidR="0077661E">
        <w:rPr>
          <w:rFonts w:ascii="Arial" w:eastAsia="SimSun" w:hAnsi="Arial" w:cs="Arial"/>
          <w:color w:val="000000"/>
          <w:sz w:val="20"/>
          <w:lang w:val="es-ES" w:eastAsia="zh-CN"/>
        </w:rPr>
        <w:t>total de</w:t>
      </w:r>
      <w:r>
        <w:rPr>
          <w:rFonts w:ascii="Arial" w:eastAsia="SimSun" w:hAnsi="Arial" w:cs="Arial"/>
          <w:color w:val="000000"/>
          <w:sz w:val="20"/>
          <w:lang w:val="es-ES" w:eastAsia="zh-CN"/>
        </w:rPr>
        <w:t xml:space="preserve"> recursos </w:t>
      </w:r>
      <w:r w:rsidR="00DE0A62">
        <w:rPr>
          <w:rFonts w:ascii="Arial" w:eastAsia="SimSun" w:hAnsi="Arial" w:cs="Arial"/>
          <w:color w:val="000000"/>
          <w:sz w:val="20"/>
          <w:lang w:val="es-ES" w:eastAsia="zh-CN"/>
        </w:rPr>
        <w:t>no relativos a personal</w:t>
      </w:r>
      <w:r>
        <w:rPr>
          <w:rFonts w:ascii="Arial" w:eastAsia="SimSun" w:hAnsi="Arial" w:cs="Arial"/>
          <w:color w:val="000000"/>
          <w:sz w:val="20"/>
          <w:lang w:val="es-ES" w:eastAsia="zh-CN"/>
        </w:rPr>
        <w:t xml:space="preserve"> </w:t>
      </w:r>
      <w:r w:rsidR="0077661E">
        <w:rPr>
          <w:rFonts w:ascii="Arial" w:eastAsia="SimSun" w:hAnsi="Arial" w:cs="Arial"/>
          <w:color w:val="000000"/>
          <w:sz w:val="20"/>
          <w:lang w:val="es-ES" w:eastAsia="zh-CN"/>
        </w:rPr>
        <w:t>d</w:t>
      </w:r>
      <w:r>
        <w:rPr>
          <w:rFonts w:ascii="Arial" w:eastAsia="SimSun" w:hAnsi="Arial" w:cs="Arial"/>
          <w:color w:val="000000"/>
          <w:sz w:val="20"/>
          <w:lang w:val="es-ES" w:eastAsia="zh-CN"/>
        </w:rPr>
        <w:t>el presupuesto aprobado de 2012/13</w:t>
      </w:r>
      <w:r w:rsidRPr="00362498">
        <w:rPr>
          <w:rStyle w:val="FootnoteReference"/>
          <w:rFonts w:ascii="Arial" w:eastAsia="SimSun" w:hAnsi="Arial" w:cs="Arial"/>
          <w:color w:val="000000"/>
          <w:sz w:val="20"/>
          <w:lang w:val="es-ES" w:eastAsia="zh-CN"/>
        </w:rPr>
        <w:footnoteReference w:id="12"/>
      </w:r>
      <w:r w:rsidRPr="00321AE8">
        <w:rPr>
          <w:rFonts w:ascii="Arial" w:eastAsia="SimSun" w:hAnsi="Arial" w:cs="Arial"/>
          <w:color w:val="000000"/>
          <w:sz w:val="20"/>
          <w:lang w:val="es-ES" w:eastAsia="zh-CN"/>
        </w:rPr>
        <w:t xml:space="preserve">, </w:t>
      </w:r>
      <w:r>
        <w:rPr>
          <w:rFonts w:ascii="Arial" w:eastAsia="SimSun" w:hAnsi="Arial" w:cs="Arial"/>
          <w:color w:val="000000"/>
          <w:sz w:val="20"/>
          <w:lang w:val="es-ES" w:eastAsia="zh-CN"/>
        </w:rPr>
        <w:t xml:space="preserve">los recursos </w:t>
      </w:r>
      <w:r w:rsidR="00DE0A62">
        <w:rPr>
          <w:rFonts w:ascii="Arial" w:eastAsia="SimSun" w:hAnsi="Arial" w:cs="Arial"/>
          <w:color w:val="000000"/>
          <w:sz w:val="20"/>
          <w:lang w:val="es-ES" w:eastAsia="zh-CN"/>
        </w:rPr>
        <w:t>no relativos a personal</w:t>
      </w:r>
      <w:r>
        <w:rPr>
          <w:rFonts w:ascii="Arial" w:eastAsia="SimSun" w:hAnsi="Arial" w:cs="Arial"/>
          <w:color w:val="000000"/>
          <w:sz w:val="20"/>
          <w:lang w:val="es-ES" w:eastAsia="zh-CN"/>
        </w:rPr>
        <w:t xml:space="preserve"> del presupuesto </w:t>
      </w:r>
      <w:r w:rsidR="0077661E">
        <w:rPr>
          <w:rFonts w:ascii="Arial" w:eastAsia="SimSun" w:hAnsi="Arial" w:cs="Arial"/>
          <w:color w:val="000000"/>
          <w:sz w:val="20"/>
          <w:lang w:val="es-ES" w:eastAsia="zh-CN"/>
        </w:rPr>
        <w:t>de</w:t>
      </w:r>
      <w:r>
        <w:rPr>
          <w:rFonts w:ascii="Arial" w:eastAsia="SimSun" w:hAnsi="Arial" w:cs="Arial"/>
          <w:color w:val="000000"/>
          <w:sz w:val="20"/>
          <w:lang w:val="es-ES" w:eastAsia="zh-CN"/>
        </w:rPr>
        <w:t xml:space="preserve"> 2016/17 representan </w:t>
      </w:r>
      <w:r w:rsidR="0077661E">
        <w:rPr>
          <w:rFonts w:ascii="Arial" w:eastAsia="SimSun" w:hAnsi="Arial" w:cs="Arial"/>
          <w:color w:val="000000"/>
          <w:sz w:val="20"/>
          <w:lang w:val="es-ES" w:eastAsia="zh-CN"/>
        </w:rPr>
        <w:t xml:space="preserve">solo </w:t>
      </w:r>
      <w:r>
        <w:rPr>
          <w:rFonts w:ascii="Arial" w:eastAsia="SimSun" w:hAnsi="Arial" w:cs="Arial"/>
          <w:color w:val="000000"/>
          <w:sz w:val="20"/>
          <w:lang w:val="es-ES" w:eastAsia="zh-CN"/>
        </w:rPr>
        <w:t>un aumento del 4,9%</w:t>
      </w:r>
      <w:r w:rsidRPr="00321AE8">
        <w:rPr>
          <w:rFonts w:ascii="Arial" w:eastAsia="SimSun" w:hAnsi="Arial" w:cs="Arial"/>
          <w:color w:val="000000"/>
          <w:sz w:val="20"/>
          <w:lang w:val="es-ES" w:eastAsia="zh-CN"/>
        </w:rPr>
        <w:t xml:space="preserve">. </w:t>
      </w:r>
    </w:p>
    <w:p w:rsidR="002333C0" w:rsidRPr="00362498" w:rsidRDefault="002333C0" w:rsidP="002333C0">
      <w:pPr>
        <w:widowControl w:val="0"/>
        <w:tabs>
          <w:tab w:val="num" w:pos="690"/>
        </w:tabs>
        <w:autoSpaceDE w:val="0"/>
        <w:autoSpaceDN w:val="0"/>
        <w:adjustRightInd w:val="0"/>
        <w:jc w:val="both"/>
        <w:rPr>
          <w:color w:val="000000"/>
          <w:sz w:val="20"/>
        </w:rPr>
      </w:pPr>
    </w:p>
    <w:p w:rsidR="002333C0" w:rsidRPr="00362498" w:rsidRDefault="002333C0" w:rsidP="002333C0">
      <w:pPr>
        <w:pStyle w:val="ListParagraph"/>
        <w:widowControl w:val="0"/>
        <w:numPr>
          <w:ilvl w:val="0"/>
          <w:numId w:val="8"/>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El </w:t>
      </w:r>
      <w:r w:rsidR="0077661E">
        <w:rPr>
          <w:rFonts w:ascii="Arial" w:eastAsia="SimSun" w:hAnsi="Arial" w:cs="Arial"/>
          <w:color w:val="000000"/>
          <w:sz w:val="20"/>
          <w:lang w:val="es-ES" w:eastAsia="zh-CN"/>
        </w:rPr>
        <w:t xml:space="preserve">leve </w:t>
      </w:r>
      <w:r>
        <w:rPr>
          <w:rFonts w:ascii="Arial" w:eastAsia="SimSun" w:hAnsi="Arial" w:cs="Arial"/>
          <w:color w:val="000000"/>
          <w:sz w:val="20"/>
          <w:lang w:val="es-ES" w:eastAsia="zh-CN"/>
        </w:rPr>
        <w:t xml:space="preserve">aumento de los costos </w:t>
      </w:r>
      <w:r w:rsidR="00DE0A62">
        <w:rPr>
          <w:rFonts w:ascii="Arial" w:eastAsia="SimSun" w:hAnsi="Arial" w:cs="Arial"/>
          <w:color w:val="000000"/>
          <w:sz w:val="20"/>
          <w:lang w:val="es-ES" w:eastAsia="zh-CN"/>
        </w:rPr>
        <w:t>no relativos a personal</w:t>
      </w:r>
      <w:r>
        <w:rPr>
          <w:rFonts w:ascii="Arial" w:eastAsia="SimSun" w:hAnsi="Arial" w:cs="Arial"/>
          <w:color w:val="000000"/>
          <w:sz w:val="20"/>
          <w:lang w:val="es-ES" w:eastAsia="zh-CN"/>
        </w:rPr>
        <w:t xml:space="preserve"> ha sido posible gracias a una estrategia consciente de adopción de un modelo más flexible de asignación de recursos que ha dado lugar a la contención de los costos de personal.</w:t>
      </w:r>
    </w:p>
    <w:p w:rsidR="002333C0" w:rsidRPr="001828A4" w:rsidRDefault="002333C0" w:rsidP="002333C0">
      <w:pPr>
        <w:pStyle w:val="ListParagraph"/>
        <w:widowControl w:val="0"/>
        <w:tabs>
          <w:tab w:val="left" w:pos="567"/>
        </w:tabs>
        <w:ind w:left="0"/>
        <w:jc w:val="both"/>
        <w:rPr>
          <w:rFonts w:ascii="Arial" w:eastAsia="SimSun" w:hAnsi="Arial" w:cs="Arial"/>
          <w:color w:val="000000"/>
          <w:sz w:val="20"/>
          <w:lang w:val="es-ES" w:eastAsia="zh-CN"/>
        </w:rPr>
      </w:pPr>
    </w:p>
    <w:p w:rsidR="002333C0" w:rsidRPr="00362498" w:rsidRDefault="002333C0" w:rsidP="002333C0">
      <w:pPr>
        <w:pStyle w:val="ListParagraph"/>
        <w:widowControl w:val="0"/>
        <w:numPr>
          <w:ilvl w:val="0"/>
          <w:numId w:val="8"/>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El aumento de los costos </w:t>
      </w:r>
      <w:r w:rsidR="00DE0A62">
        <w:rPr>
          <w:rFonts w:ascii="Arial" w:eastAsia="SimSun" w:hAnsi="Arial" w:cs="Arial"/>
          <w:color w:val="000000"/>
          <w:sz w:val="20"/>
          <w:lang w:val="es-ES" w:eastAsia="zh-CN"/>
        </w:rPr>
        <w:t>no relativos a personal</w:t>
      </w:r>
      <w:r>
        <w:rPr>
          <w:rFonts w:ascii="Arial" w:eastAsia="SimSun" w:hAnsi="Arial" w:cs="Arial"/>
          <w:color w:val="000000"/>
          <w:sz w:val="20"/>
          <w:lang w:val="es-ES" w:eastAsia="zh-CN"/>
        </w:rPr>
        <w:t xml:space="preserve"> viene impulsado principalmente por</w:t>
      </w:r>
      <w:r w:rsidRPr="00362498">
        <w:rPr>
          <w:rFonts w:ascii="Arial" w:eastAsia="SimSun" w:hAnsi="Arial" w:cs="Arial"/>
          <w:color w:val="000000"/>
          <w:sz w:val="20"/>
          <w:lang w:val="es-ES" w:eastAsia="zh-CN"/>
        </w:rPr>
        <w:t>:</w:t>
      </w:r>
    </w:p>
    <w:p w:rsidR="002333C0" w:rsidRPr="00362498" w:rsidRDefault="002333C0" w:rsidP="002333C0">
      <w:pPr>
        <w:pStyle w:val="ListParagraph"/>
        <w:rPr>
          <w:rFonts w:ascii="Arial" w:eastAsia="SimSun" w:hAnsi="Arial" w:cs="Arial"/>
          <w:color w:val="000000"/>
          <w:sz w:val="20"/>
          <w:lang w:val="es-ES" w:eastAsia="zh-CN"/>
        </w:rPr>
      </w:pPr>
    </w:p>
    <w:p w:rsidR="002333C0" w:rsidRPr="00362498" w:rsidRDefault="002333C0" w:rsidP="0077661E">
      <w:pPr>
        <w:pStyle w:val="ListParagraph"/>
        <w:widowControl w:val="0"/>
        <w:numPr>
          <w:ilvl w:val="0"/>
          <w:numId w:val="10"/>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El aumento del volumen de traducción del </w:t>
      </w:r>
      <w:r w:rsidRPr="00362498">
        <w:rPr>
          <w:rFonts w:ascii="Arial" w:eastAsia="SimSun" w:hAnsi="Arial" w:cs="Arial"/>
          <w:color w:val="000000"/>
          <w:sz w:val="20"/>
          <w:lang w:val="es-ES" w:eastAsia="zh-CN"/>
        </w:rPr>
        <w:t xml:space="preserve">PCT </w:t>
      </w:r>
    </w:p>
    <w:p w:rsidR="002333C0" w:rsidRPr="00362498" w:rsidRDefault="002333C0" w:rsidP="002333C0">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33C0" w:rsidRPr="00362498" w:rsidRDefault="002333C0" w:rsidP="0077661E">
      <w:pPr>
        <w:pStyle w:val="ListParagraph"/>
        <w:widowControl w:val="0"/>
        <w:numPr>
          <w:ilvl w:val="0"/>
          <w:numId w:val="11"/>
        </w:numPr>
        <w:ind w:left="1984" w:hanging="425"/>
        <w:jc w:val="both"/>
        <w:rPr>
          <w:rFonts w:ascii="Arial" w:eastAsia="SimSun" w:hAnsi="Arial" w:cs="Arial"/>
          <w:i/>
          <w:color w:val="000000"/>
          <w:sz w:val="20"/>
          <w:lang w:val="es-ES" w:eastAsia="zh-CN"/>
        </w:rPr>
      </w:pPr>
      <w:r>
        <w:rPr>
          <w:rFonts w:ascii="Arial" w:eastAsia="SimSun" w:hAnsi="Arial" w:cs="Arial"/>
          <w:i/>
          <w:color w:val="000000"/>
          <w:sz w:val="20"/>
          <w:lang w:val="es-ES" w:eastAsia="zh-CN"/>
        </w:rPr>
        <w:t>Costos adicionales de traducción estimados en 4,2 millones de francos suizos (reflejados</w:t>
      </w:r>
      <w:r w:rsidRPr="00362498">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e</w:t>
      </w:r>
      <w:r w:rsidRPr="00362498">
        <w:rPr>
          <w:rFonts w:ascii="Arial" w:eastAsia="SimSun" w:hAnsi="Arial" w:cs="Arial"/>
          <w:i/>
          <w:color w:val="000000"/>
          <w:sz w:val="20"/>
          <w:lang w:val="es-ES" w:eastAsia="zh-CN"/>
        </w:rPr>
        <w:t xml:space="preserve">n </w:t>
      </w:r>
      <w:r>
        <w:rPr>
          <w:rFonts w:ascii="Arial" w:eastAsia="SimSun" w:hAnsi="Arial" w:cs="Arial"/>
          <w:i/>
          <w:color w:val="000000"/>
          <w:sz w:val="20"/>
          <w:lang w:val="es-ES" w:eastAsia="zh-CN"/>
        </w:rPr>
        <w:t xml:space="preserve">el programa </w:t>
      </w:r>
      <w:r w:rsidRPr="00362498">
        <w:rPr>
          <w:rFonts w:ascii="Arial" w:eastAsia="SimSun" w:hAnsi="Arial" w:cs="Arial"/>
          <w:i/>
          <w:color w:val="000000"/>
          <w:sz w:val="20"/>
          <w:lang w:val="es-ES" w:eastAsia="zh-CN"/>
        </w:rPr>
        <w:t xml:space="preserve">5 – </w:t>
      </w:r>
      <w:r>
        <w:rPr>
          <w:rFonts w:ascii="Arial" w:eastAsia="SimSun" w:hAnsi="Arial" w:cs="Arial"/>
          <w:i/>
          <w:color w:val="000000"/>
          <w:sz w:val="20"/>
          <w:lang w:val="es-ES" w:eastAsia="zh-CN"/>
        </w:rPr>
        <w:t>Sistema del PCT</w:t>
      </w:r>
      <w:r w:rsidRPr="00362498">
        <w:rPr>
          <w:rFonts w:ascii="Arial" w:eastAsia="SimSun" w:hAnsi="Arial" w:cs="Arial"/>
          <w:i/>
          <w:color w:val="000000"/>
          <w:sz w:val="20"/>
          <w:lang w:val="es-ES" w:eastAsia="zh-CN"/>
        </w:rPr>
        <w:t>)</w:t>
      </w:r>
    </w:p>
    <w:p w:rsidR="002333C0" w:rsidRPr="0077661E" w:rsidRDefault="002333C0" w:rsidP="0077661E">
      <w:pPr>
        <w:pStyle w:val="ListParagraph"/>
        <w:widowControl w:val="0"/>
        <w:ind w:left="1985"/>
        <w:jc w:val="both"/>
        <w:rPr>
          <w:rFonts w:ascii="Arial" w:eastAsia="SimSun" w:hAnsi="Arial" w:cs="Arial"/>
          <w:color w:val="000000"/>
          <w:sz w:val="20"/>
          <w:lang w:val="es-ES" w:eastAsia="zh-CN"/>
        </w:rPr>
      </w:pPr>
    </w:p>
    <w:p w:rsidR="002333C0" w:rsidRPr="00362498" w:rsidRDefault="002333C0" w:rsidP="002333C0">
      <w:pPr>
        <w:pStyle w:val="ListParagraph"/>
        <w:widowControl w:val="0"/>
        <w:numPr>
          <w:ilvl w:val="0"/>
          <w:numId w:val="10"/>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El aumento del número de miembros del Sistema de Madrid y el fomento de la eficacia operacional del sistema</w:t>
      </w:r>
    </w:p>
    <w:p w:rsidR="002333C0" w:rsidRPr="00362498" w:rsidRDefault="002333C0" w:rsidP="0077661E">
      <w:pPr>
        <w:pStyle w:val="ListParagraph"/>
        <w:widowControl w:val="0"/>
        <w:ind w:left="1985"/>
        <w:jc w:val="both"/>
        <w:rPr>
          <w:rFonts w:ascii="Arial" w:eastAsia="SimSun" w:hAnsi="Arial" w:cs="Arial"/>
          <w:color w:val="000000"/>
          <w:sz w:val="20"/>
          <w:lang w:val="es-ES" w:eastAsia="zh-CN"/>
        </w:rPr>
      </w:pPr>
    </w:p>
    <w:p w:rsidR="002333C0" w:rsidRPr="004A009B" w:rsidRDefault="002333C0" w:rsidP="0077661E">
      <w:pPr>
        <w:pStyle w:val="ListParagraph"/>
        <w:widowControl w:val="0"/>
        <w:numPr>
          <w:ilvl w:val="0"/>
          <w:numId w:val="11"/>
        </w:numPr>
        <w:ind w:left="1984" w:hanging="425"/>
        <w:jc w:val="both"/>
        <w:rPr>
          <w:rFonts w:ascii="Arial" w:eastAsia="SimSun" w:hAnsi="Arial" w:cs="Arial"/>
          <w:i/>
          <w:color w:val="000000"/>
          <w:sz w:val="20"/>
          <w:lang w:val="es-ES" w:eastAsia="zh-CN"/>
        </w:rPr>
      </w:pPr>
      <w:r w:rsidRPr="004A009B">
        <w:rPr>
          <w:rFonts w:ascii="Arial" w:eastAsia="SimSun" w:hAnsi="Arial" w:cs="Arial"/>
          <w:i/>
          <w:color w:val="000000"/>
          <w:sz w:val="20"/>
          <w:lang w:val="es-ES" w:eastAsia="zh-CN"/>
        </w:rPr>
        <w:t xml:space="preserve">Necesidades adicionales de recursos </w:t>
      </w:r>
      <w:r w:rsidR="00DE0A62">
        <w:rPr>
          <w:rFonts w:ascii="Arial" w:eastAsia="SimSun" w:hAnsi="Arial" w:cs="Arial"/>
          <w:i/>
          <w:color w:val="000000"/>
          <w:sz w:val="20"/>
          <w:lang w:val="es-ES" w:eastAsia="zh-CN"/>
        </w:rPr>
        <w:t>no relativos a personal</w:t>
      </w:r>
      <w:r w:rsidRPr="004A009B">
        <w:rPr>
          <w:rFonts w:ascii="Arial" w:eastAsia="SimSun" w:hAnsi="Arial" w:cs="Arial"/>
          <w:i/>
          <w:color w:val="000000"/>
          <w:sz w:val="20"/>
          <w:lang w:val="es-ES" w:eastAsia="zh-CN"/>
        </w:rPr>
        <w:t xml:space="preserve"> para el Sistema de Madrid estimad</w:t>
      </w:r>
      <w:r>
        <w:rPr>
          <w:rFonts w:ascii="Arial" w:eastAsia="SimSun" w:hAnsi="Arial" w:cs="Arial"/>
          <w:i/>
          <w:color w:val="000000"/>
          <w:sz w:val="20"/>
          <w:lang w:val="es-ES" w:eastAsia="zh-CN"/>
        </w:rPr>
        <w:t>a</w:t>
      </w:r>
      <w:r w:rsidRPr="004A009B">
        <w:rPr>
          <w:rFonts w:ascii="Arial" w:eastAsia="SimSun" w:hAnsi="Arial" w:cs="Arial"/>
          <w:i/>
          <w:color w:val="000000"/>
          <w:sz w:val="20"/>
          <w:lang w:val="es-ES" w:eastAsia="zh-CN"/>
        </w:rPr>
        <w:t xml:space="preserve">s en 2,5 millones de francos suizos (reflejados en el programa 6 – </w:t>
      </w:r>
      <w:r>
        <w:rPr>
          <w:rFonts w:ascii="Arial" w:eastAsia="SimSun" w:hAnsi="Arial" w:cs="Arial"/>
          <w:i/>
          <w:color w:val="000000"/>
          <w:sz w:val="20"/>
          <w:lang w:val="es-ES" w:eastAsia="zh-CN"/>
        </w:rPr>
        <w:t xml:space="preserve">Sistemas de </w:t>
      </w:r>
      <w:r w:rsidRPr="004A009B">
        <w:rPr>
          <w:rFonts w:ascii="Arial" w:eastAsia="SimSun" w:hAnsi="Arial" w:cs="Arial"/>
          <w:i/>
          <w:color w:val="000000"/>
          <w:sz w:val="20"/>
          <w:lang w:val="es-ES" w:eastAsia="zh-CN"/>
        </w:rPr>
        <w:t>Madrid</w:t>
      </w:r>
      <w:r>
        <w:rPr>
          <w:rFonts w:ascii="Arial" w:eastAsia="SimSun" w:hAnsi="Arial" w:cs="Arial"/>
          <w:i/>
          <w:color w:val="000000"/>
          <w:sz w:val="20"/>
          <w:lang w:val="es-ES" w:eastAsia="zh-CN"/>
        </w:rPr>
        <w:t xml:space="preserve"> y de Lisboa</w:t>
      </w:r>
      <w:r w:rsidRPr="004A009B">
        <w:rPr>
          <w:rFonts w:ascii="Arial" w:eastAsia="SimSun" w:hAnsi="Arial" w:cs="Arial"/>
          <w:i/>
          <w:color w:val="000000"/>
          <w:sz w:val="20"/>
          <w:lang w:val="es-ES" w:eastAsia="zh-CN"/>
        </w:rPr>
        <w:t>)</w:t>
      </w:r>
    </w:p>
    <w:p w:rsidR="002333C0" w:rsidRPr="00362498" w:rsidRDefault="002333C0" w:rsidP="0077661E">
      <w:pPr>
        <w:pStyle w:val="ListParagraph"/>
        <w:widowControl w:val="0"/>
        <w:ind w:left="1985"/>
        <w:jc w:val="both"/>
        <w:rPr>
          <w:rFonts w:ascii="Arial" w:eastAsia="SimSun" w:hAnsi="Arial" w:cs="Arial"/>
          <w:i/>
          <w:color w:val="000000"/>
          <w:sz w:val="20"/>
          <w:lang w:val="es-ES" w:eastAsia="zh-CN"/>
        </w:rPr>
      </w:pPr>
    </w:p>
    <w:p w:rsidR="002333C0" w:rsidRPr="00362498" w:rsidRDefault="002333C0" w:rsidP="0077661E">
      <w:pPr>
        <w:pStyle w:val="ListParagraph"/>
        <w:widowControl w:val="0"/>
        <w:numPr>
          <w:ilvl w:val="0"/>
          <w:numId w:val="10"/>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La mayor dependencia de las tecnologías de la información y de las com</w:t>
      </w:r>
      <w:r w:rsidR="00013C21">
        <w:rPr>
          <w:rFonts w:ascii="Arial" w:eastAsia="SimSun" w:hAnsi="Arial" w:cs="Arial"/>
          <w:color w:val="000000"/>
          <w:sz w:val="20"/>
          <w:lang w:val="es-ES" w:eastAsia="zh-CN"/>
        </w:rPr>
        <w:t>unicaciones, y la necesidad de mejorar</w:t>
      </w:r>
      <w:r>
        <w:rPr>
          <w:rFonts w:ascii="Arial" w:eastAsia="SimSun" w:hAnsi="Arial" w:cs="Arial"/>
          <w:color w:val="000000"/>
          <w:sz w:val="20"/>
          <w:lang w:val="es-ES" w:eastAsia="zh-CN"/>
        </w:rPr>
        <w:t xml:space="preserve"> </w:t>
      </w:r>
      <w:r w:rsidR="00013C21">
        <w:rPr>
          <w:rFonts w:ascii="Arial" w:eastAsia="SimSun" w:hAnsi="Arial" w:cs="Arial"/>
          <w:color w:val="000000"/>
          <w:sz w:val="20"/>
          <w:lang w:val="es-ES" w:eastAsia="zh-CN"/>
        </w:rPr>
        <w:t xml:space="preserve">tanto </w:t>
      </w:r>
      <w:r>
        <w:rPr>
          <w:rFonts w:ascii="Arial" w:eastAsia="SimSun" w:hAnsi="Arial" w:cs="Arial"/>
          <w:color w:val="000000"/>
          <w:sz w:val="20"/>
          <w:lang w:val="es-ES" w:eastAsia="zh-CN"/>
        </w:rPr>
        <w:t xml:space="preserve">la capacidad de </w:t>
      </w:r>
      <w:r w:rsidR="009C12F8">
        <w:rPr>
          <w:rFonts w:ascii="Arial" w:eastAsia="SimSun" w:hAnsi="Arial" w:cs="Arial"/>
          <w:color w:val="000000"/>
          <w:sz w:val="20"/>
          <w:lang w:val="es-ES" w:eastAsia="zh-CN"/>
        </w:rPr>
        <w:t>reacción</w:t>
      </w:r>
      <w:r>
        <w:rPr>
          <w:rFonts w:ascii="Arial" w:eastAsia="SimSun" w:hAnsi="Arial" w:cs="Arial"/>
          <w:color w:val="000000"/>
          <w:sz w:val="20"/>
          <w:lang w:val="es-ES" w:eastAsia="zh-CN"/>
        </w:rPr>
        <w:t xml:space="preserve"> </w:t>
      </w:r>
      <w:r w:rsidR="00013C21">
        <w:rPr>
          <w:rFonts w:ascii="Arial" w:eastAsia="SimSun" w:hAnsi="Arial" w:cs="Arial"/>
          <w:color w:val="000000"/>
          <w:sz w:val="20"/>
          <w:lang w:val="es-ES" w:eastAsia="zh-CN"/>
        </w:rPr>
        <w:t xml:space="preserve">y recuperación </w:t>
      </w:r>
      <w:r>
        <w:rPr>
          <w:rFonts w:ascii="Arial" w:eastAsia="SimSun" w:hAnsi="Arial" w:cs="Arial"/>
          <w:color w:val="000000"/>
          <w:sz w:val="20"/>
          <w:lang w:val="es-ES" w:eastAsia="zh-CN"/>
        </w:rPr>
        <w:t xml:space="preserve">del PCT </w:t>
      </w:r>
      <w:r w:rsidR="00013C21">
        <w:rPr>
          <w:rFonts w:ascii="Arial" w:eastAsia="SimSun" w:hAnsi="Arial" w:cs="Arial"/>
          <w:color w:val="000000"/>
          <w:sz w:val="20"/>
          <w:lang w:val="es-ES" w:eastAsia="zh-CN"/>
        </w:rPr>
        <w:t>como</w:t>
      </w:r>
      <w:r>
        <w:rPr>
          <w:rFonts w:ascii="Arial" w:eastAsia="SimSun" w:hAnsi="Arial" w:cs="Arial"/>
          <w:color w:val="000000"/>
          <w:sz w:val="20"/>
          <w:lang w:val="es-ES" w:eastAsia="zh-CN"/>
        </w:rPr>
        <w:t xml:space="preserve"> la seguridad de las TIC</w:t>
      </w:r>
    </w:p>
    <w:p w:rsidR="002333C0" w:rsidRPr="00362498" w:rsidRDefault="002333C0" w:rsidP="0077661E">
      <w:pPr>
        <w:pStyle w:val="ListParagraph"/>
        <w:widowControl w:val="0"/>
        <w:ind w:left="1985"/>
        <w:jc w:val="both"/>
        <w:rPr>
          <w:rFonts w:ascii="Arial" w:eastAsia="SimSun" w:hAnsi="Arial" w:cs="Arial"/>
          <w:color w:val="000000"/>
          <w:sz w:val="20"/>
          <w:lang w:val="es-ES" w:eastAsia="zh-CN"/>
        </w:rPr>
      </w:pPr>
    </w:p>
    <w:p w:rsidR="002333C0" w:rsidRPr="00E714B6" w:rsidRDefault="002333C0" w:rsidP="0077661E">
      <w:pPr>
        <w:pStyle w:val="ListParagraph"/>
        <w:widowControl w:val="0"/>
        <w:numPr>
          <w:ilvl w:val="0"/>
          <w:numId w:val="11"/>
        </w:numPr>
        <w:ind w:left="1984" w:hanging="425"/>
        <w:jc w:val="both"/>
        <w:rPr>
          <w:rFonts w:ascii="Arial" w:eastAsia="SimSun" w:hAnsi="Arial" w:cs="Arial"/>
          <w:color w:val="000000"/>
          <w:sz w:val="20"/>
          <w:lang w:val="es-ES" w:eastAsia="zh-CN"/>
        </w:rPr>
      </w:pPr>
      <w:r w:rsidRPr="00E714B6">
        <w:rPr>
          <w:rFonts w:ascii="Arial" w:eastAsia="SimSun" w:hAnsi="Arial" w:cs="Arial"/>
          <w:i/>
          <w:color w:val="000000"/>
          <w:sz w:val="20"/>
          <w:lang w:val="es-ES" w:eastAsia="zh-CN"/>
        </w:rPr>
        <w:t xml:space="preserve">Necesidades adicionales de recursos </w:t>
      </w:r>
      <w:r w:rsidR="00DE0A62">
        <w:rPr>
          <w:rFonts w:ascii="Arial" w:eastAsia="SimSun" w:hAnsi="Arial" w:cs="Arial"/>
          <w:i/>
          <w:color w:val="000000"/>
          <w:sz w:val="20"/>
          <w:lang w:val="es-ES" w:eastAsia="zh-CN"/>
        </w:rPr>
        <w:t>no relativos a personal</w:t>
      </w:r>
      <w:r w:rsidRPr="00E714B6">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estimada</w:t>
      </w:r>
      <w:r w:rsidRPr="00E714B6">
        <w:rPr>
          <w:rFonts w:ascii="Arial" w:eastAsia="SimSun" w:hAnsi="Arial" w:cs="Arial"/>
          <w:i/>
          <w:color w:val="000000"/>
          <w:sz w:val="20"/>
          <w:lang w:val="es-ES" w:eastAsia="zh-CN"/>
        </w:rPr>
        <w:t>s en 1,4 millones de francos suizos (reflejados en el programa 5 Sistema del PCT), 6</w:t>
      </w:r>
      <w:r>
        <w:rPr>
          <w:rFonts w:ascii="Arial" w:eastAsia="SimSun" w:hAnsi="Arial" w:cs="Arial"/>
          <w:i/>
          <w:color w:val="000000"/>
          <w:sz w:val="20"/>
          <w:lang w:val="es-ES" w:eastAsia="zh-CN"/>
        </w:rPr>
        <w:t>,</w:t>
      </w:r>
      <w:r w:rsidRPr="00E714B6">
        <w:rPr>
          <w:rFonts w:ascii="Arial" w:eastAsia="SimSun" w:hAnsi="Arial" w:cs="Arial"/>
          <w:i/>
          <w:color w:val="000000"/>
          <w:sz w:val="20"/>
          <w:lang w:val="es-ES" w:eastAsia="zh-CN"/>
        </w:rPr>
        <w:t xml:space="preserve">9 </w:t>
      </w:r>
      <w:r>
        <w:rPr>
          <w:rFonts w:ascii="Arial" w:eastAsia="SimSun" w:hAnsi="Arial" w:cs="Arial"/>
          <w:i/>
          <w:color w:val="000000"/>
          <w:sz w:val="20"/>
          <w:lang w:val="es-ES" w:eastAsia="zh-CN"/>
        </w:rPr>
        <w:t xml:space="preserve">millones de francos suizos </w:t>
      </w:r>
      <w:r w:rsidRPr="00E714B6">
        <w:rPr>
          <w:rFonts w:ascii="Arial" w:eastAsia="SimSun" w:hAnsi="Arial" w:cs="Arial"/>
          <w:i/>
          <w:color w:val="000000"/>
          <w:sz w:val="20"/>
          <w:lang w:val="es-ES" w:eastAsia="zh-CN"/>
        </w:rPr>
        <w:t>(</w:t>
      </w:r>
      <w:r>
        <w:rPr>
          <w:rFonts w:ascii="Arial" w:eastAsia="SimSun" w:hAnsi="Arial" w:cs="Arial"/>
          <w:i/>
          <w:color w:val="000000"/>
          <w:sz w:val="20"/>
          <w:lang w:val="es-ES" w:eastAsia="zh-CN"/>
        </w:rPr>
        <w:t>reflejados en el p</w:t>
      </w:r>
      <w:r w:rsidRPr="00E714B6">
        <w:rPr>
          <w:rFonts w:ascii="Arial" w:eastAsia="SimSun" w:hAnsi="Arial" w:cs="Arial"/>
          <w:i/>
          <w:color w:val="000000"/>
          <w:sz w:val="20"/>
          <w:lang w:val="es-ES" w:eastAsia="zh-CN"/>
        </w:rPr>
        <w:t>rogram</w:t>
      </w:r>
      <w:r>
        <w:rPr>
          <w:rFonts w:ascii="Arial" w:eastAsia="SimSun" w:hAnsi="Arial" w:cs="Arial"/>
          <w:i/>
          <w:color w:val="000000"/>
          <w:sz w:val="20"/>
          <w:lang w:val="es-ES" w:eastAsia="zh-CN"/>
        </w:rPr>
        <w:t>a</w:t>
      </w:r>
      <w:r w:rsidRPr="00E714B6">
        <w:rPr>
          <w:rFonts w:ascii="Arial" w:eastAsia="SimSun" w:hAnsi="Arial" w:cs="Arial"/>
          <w:i/>
          <w:color w:val="000000"/>
          <w:sz w:val="20"/>
          <w:lang w:val="es-ES" w:eastAsia="zh-CN"/>
        </w:rPr>
        <w:t xml:space="preserve"> 25 – </w:t>
      </w:r>
      <w:r>
        <w:rPr>
          <w:rFonts w:ascii="Arial" w:eastAsia="SimSun" w:hAnsi="Arial" w:cs="Arial"/>
          <w:i/>
          <w:color w:val="000000"/>
          <w:sz w:val="20"/>
          <w:lang w:val="es-ES" w:eastAsia="zh-CN"/>
        </w:rPr>
        <w:t>Tecnologías de la Información y de las Comunicaciones</w:t>
      </w:r>
      <w:r w:rsidRPr="00E714B6">
        <w:rPr>
          <w:rFonts w:ascii="Arial" w:eastAsia="SimSun" w:hAnsi="Arial" w:cs="Arial"/>
          <w:i/>
          <w:color w:val="000000"/>
          <w:sz w:val="20"/>
          <w:lang w:val="es-ES" w:eastAsia="zh-CN"/>
        </w:rPr>
        <w:t xml:space="preserve">) </w:t>
      </w:r>
      <w:r>
        <w:rPr>
          <w:rFonts w:ascii="Arial" w:eastAsia="SimSun" w:hAnsi="Arial" w:cs="Arial"/>
          <w:i/>
          <w:color w:val="000000"/>
          <w:sz w:val="20"/>
          <w:lang w:val="es-ES" w:eastAsia="zh-CN"/>
        </w:rPr>
        <w:t xml:space="preserve">y </w:t>
      </w:r>
      <w:r w:rsidRPr="00E714B6">
        <w:rPr>
          <w:rFonts w:ascii="Arial" w:eastAsia="SimSun" w:hAnsi="Arial" w:cs="Arial"/>
          <w:i/>
          <w:color w:val="000000"/>
          <w:sz w:val="20"/>
          <w:lang w:val="es-ES" w:eastAsia="zh-CN"/>
        </w:rPr>
        <w:t>3</w:t>
      </w:r>
      <w:r>
        <w:rPr>
          <w:rFonts w:ascii="Arial" w:eastAsia="SimSun" w:hAnsi="Arial" w:cs="Arial"/>
          <w:i/>
          <w:color w:val="000000"/>
          <w:sz w:val="20"/>
          <w:lang w:val="es-ES" w:eastAsia="zh-CN"/>
        </w:rPr>
        <w:t>,</w:t>
      </w:r>
      <w:r w:rsidRPr="00E714B6">
        <w:rPr>
          <w:rFonts w:ascii="Arial" w:eastAsia="SimSun" w:hAnsi="Arial" w:cs="Arial"/>
          <w:i/>
          <w:color w:val="000000"/>
          <w:sz w:val="20"/>
          <w:lang w:val="es-ES" w:eastAsia="zh-CN"/>
        </w:rPr>
        <w:t xml:space="preserve">9 </w:t>
      </w:r>
      <w:r>
        <w:rPr>
          <w:rFonts w:ascii="Arial" w:eastAsia="SimSun" w:hAnsi="Arial" w:cs="Arial"/>
          <w:i/>
          <w:color w:val="000000"/>
          <w:sz w:val="20"/>
          <w:lang w:val="es-ES" w:eastAsia="zh-CN"/>
        </w:rPr>
        <w:t xml:space="preserve">millones de francos suizos </w:t>
      </w:r>
      <w:r w:rsidRPr="00E714B6">
        <w:rPr>
          <w:rFonts w:ascii="Arial" w:eastAsia="SimSun" w:hAnsi="Arial" w:cs="Arial"/>
          <w:i/>
          <w:color w:val="000000"/>
          <w:sz w:val="20"/>
          <w:lang w:val="es-ES" w:eastAsia="zh-CN"/>
        </w:rPr>
        <w:t>(</w:t>
      </w:r>
      <w:r>
        <w:rPr>
          <w:rFonts w:ascii="Arial" w:eastAsia="SimSun" w:hAnsi="Arial" w:cs="Arial"/>
          <w:i/>
          <w:color w:val="000000"/>
          <w:sz w:val="20"/>
          <w:lang w:val="es-ES" w:eastAsia="zh-CN"/>
        </w:rPr>
        <w:t xml:space="preserve">reflejados en el programa </w:t>
      </w:r>
      <w:r w:rsidRPr="00E714B6">
        <w:rPr>
          <w:rFonts w:ascii="Arial" w:eastAsia="SimSun" w:hAnsi="Arial" w:cs="Arial"/>
          <w:i/>
          <w:color w:val="000000"/>
          <w:sz w:val="20"/>
          <w:lang w:val="es-ES" w:eastAsia="zh-CN"/>
        </w:rPr>
        <w:t>28 – Aseguramiento de la información, seguridad y vigilancia</w:t>
      </w:r>
      <w:r>
        <w:rPr>
          <w:rFonts w:ascii="Arial" w:eastAsia="SimSun" w:hAnsi="Arial" w:cs="Arial"/>
          <w:i/>
          <w:color w:val="000000"/>
          <w:sz w:val="20"/>
          <w:lang w:val="es-ES" w:eastAsia="zh-CN"/>
        </w:rPr>
        <w:t>)</w:t>
      </w:r>
    </w:p>
    <w:p w:rsidR="002333C0" w:rsidRPr="00362498" w:rsidRDefault="002333C0" w:rsidP="0077661E">
      <w:pPr>
        <w:pStyle w:val="ListParagraph"/>
        <w:widowControl w:val="0"/>
        <w:ind w:left="1985"/>
        <w:jc w:val="both"/>
        <w:rPr>
          <w:rFonts w:ascii="Arial" w:eastAsia="SimSun" w:hAnsi="Arial" w:cs="Arial"/>
          <w:color w:val="000000"/>
          <w:sz w:val="20"/>
          <w:lang w:val="es-ES" w:eastAsia="zh-CN"/>
        </w:rPr>
      </w:pPr>
    </w:p>
    <w:p w:rsidR="002333C0" w:rsidRPr="00362498" w:rsidRDefault="002333C0" w:rsidP="0077661E">
      <w:pPr>
        <w:pStyle w:val="ListParagraph"/>
        <w:widowControl w:val="0"/>
        <w:numPr>
          <w:ilvl w:val="0"/>
          <w:numId w:val="10"/>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El mayor peso que adquiere la PRI en las operaciones</w:t>
      </w:r>
    </w:p>
    <w:p w:rsidR="002333C0" w:rsidRPr="00362498" w:rsidRDefault="002333C0" w:rsidP="002333C0">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33C0" w:rsidRPr="00A52304" w:rsidRDefault="002333C0" w:rsidP="0077661E">
      <w:pPr>
        <w:pStyle w:val="ListParagraph"/>
        <w:widowControl w:val="0"/>
        <w:numPr>
          <w:ilvl w:val="0"/>
          <w:numId w:val="11"/>
        </w:numPr>
        <w:ind w:left="1984" w:hanging="425"/>
        <w:jc w:val="both"/>
        <w:rPr>
          <w:rFonts w:ascii="Arial" w:eastAsia="SimSun" w:hAnsi="Arial" w:cs="Arial"/>
          <w:i/>
          <w:color w:val="000000"/>
          <w:sz w:val="20"/>
          <w:lang w:val="es-ES" w:eastAsia="zh-CN"/>
        </w:rPr>
      </w:pPr>
      <w:r w:rsidRPr="00A52304">
        <w:rPr>
          <w:rFonts w:ascii="Arial" w:eastAsia="SimSun" w:hAnsi="Arial" w:cs="Arial"/>
          <w:i/>
          <w:color w:val="000000"/>
          <w:sz w:val="20"/>
          <w:lang w:val="es-ES" w:eastAsia="zh-CN"/>
        </w:rPr>
        <w:t xml:space="preserve">Necesidades adicionales de recursos </w:t>
      </w:r>
      <w:r w:rsidR="00DE0A62">
        <w:rPr>
          <w:rFonts w:ascii="Arial" w:eastAsia="SimSun" w:hAnsi="Arial" w:cs="Arial"/>
          <w:i/>
          <w:color w:val="000000"/>
          <w:sz w:val="20"/>
          <w:lang w:val="es-ES" w:eastAsia="zh-CN"/>
        </w:rPr>
        <w:t>no relativos a personal</w:t>
      </w:r>
      <w:r w:rsidRPr="00A52304">
        <w:rPr>
          <w:rFonts w:ascii="Arial" w:eastAsia="SimSun" w:hAnsi="Arial" w:cs="Arial"/>
          <w:i/>
          <w:color w:val="000000"/>
          <w:sz w:val="20"/>
          <w:lang w:val="es-ES" w:eastAsia="zh-CN"/>
        </w:rPr>
        <w:t xml:space="preserve"> estimadas en 1,6 millones de francos suizos (reflejados en el programa 22 – Gestión de programas y recursos)</w:t>
      </w:r>
    </w:p>
    <w:p w:rsidR="002333C0" w:rsidRPr="00362498" w:rsidRDefault="002333C0" w:rsidP="002333C0">
      <w:pPr>
        <w:pStyle w:val="ListParagraph"/>
        <w:widowControl w:val="0"/>
        <w:spacing w:after="120"/>
        <w:ind w:left="1985"/>
        <w:jc w:val="both"/>
        <w:rPr>
          <w:rFonts w:ascii="Arial" w:eastAsia="SimSun" w:hAnsi="Arial" w:cs="Arial"/>
          <w:color w:val="000000"/>
          <w:sz w:val="20"/>
          <w:lang w:val="es-ES" w:eastAsia="zh-CN"/>
        </w:rPr>
      </w:pPr>
    </w:p>
    <w:p w:rsidR="002333C0" w:rsidRPr="00362498" w:rsidRDefault="002333C0" w:rsidP="0077661E">
      <w:pPr>
        <w:pStyle w:val="ListParagraph"/>
        <w:widowControl w:val="0"/>
        <w:numPr>
          <w:ilvl w:val="0"/>
          <w:numId w:val="10"/>
        </w:numPr>
        <w:tabs>
          <w:tab w:val="right" w:pos="1134"/>
        </w:tabs>
        <w:ind w:left="1134" w:hanging="567"/>
        <w:jc w:val="both"/>
        <w:rPr>
          <w:rFonts w:ascii="Arial" w:eastAsia="SimSun" w:hAnsi="Arial" w:cs="Arial"/>
          <w:color w:val="000000"/>
          <w:sz w:val="20"/>
          <w:lang w:val="es-ES" w:eastAsia="zh-CN"/>
        </w:rPr>
      </w:pPr>
      <w:r>
        <w:rPr>
          <w:rFonts w:ascii="Arial" w:eastAsia="SimSun" w:hAnsi="Arial" w:cs="Arial"/>
          <w:color w:val="000000"/>
          <w:sz w:val="20"/>
          <w:lang w:val="es-ES" w:eastAsia="zh-CN"/>
        </w:rPr>
        <w:t>Tipos de interés negativos en los depósitos en francos suizos</w:t>
      </w:r>
      <w:r w:rsidRPr="00362498">
        <w:rPr>
          <w:rFonts w:ascii="Arial" w:eastAsia="SimSun" w:hAnsi="Arial" w:cs="Arial"/>
          <w:color w:val="000000"/>
          <w:sz w:val="20"/>
          <w:lang w:val="es-ES" w:eastAsia="zh-CN"/>
        </w:rPr>
        <w:t xml:space="preserve"> </w:t>
      </w:r>
    </w:p>
    <w:p w:rsidR="002333C0" w:rsidRPr="00362498" w:rsidRDefault="002333C0" w:rsidP="002333C0">
      <w:pPr>
        <w:pStyle w:val="ListParagraph"/>
        <w:widowControl w:val="0"/>
        <w:tabs>
          <w:tab w:val="right" w:pos="1134"/>
        </w:tabs>
        <w:spacing w:after="220"/>
        <w:ind w:left="1134"/>
        <w:jc w:val="both"/>
        <w:rPr>
          <w:rFonts w:ascii="Arial" w:eastAsia="SimSun" w:hAnsi="Arial" w:cs="Arial"/>
          <w:color w:val="000000"/>
          <w:sz w:val="20"/>
          <w:lang w:val="es-ES" w:eastAsia="zh-CN"/>
        </w:rPr>
      </w:pPr>
    </w:p>
    <w:p w:rsidR="002333C0" w:rsidRPr="00362498" w:rsidRDefault="002333C0" w:rsidP="0077661E">
      <w:pPr>
        <w:pStyle w:val="ListParagraph"/>
        <w:widowControl w:val="0"/>
        <w:numPr>
          <w:ilvl w:val="0"/>
          <w:numId w:val="11"/>
        </w:numPr>
        <w:ind w:left="1984" w:hanging="425"/>
        <w:jc w:val="both"/>
        <w:rPr>
          <w:rFonts w:ascii="Arial" w:eastAsia="SimSun" w:hAnsi="Arial" w:cs="Arial"/>
          <w:color w:val="000000"/>
          <w:sz w:val="20"/>
          <w:lang w:val="es-ES" w:eastAsia="zh-CN"/>
        </w:rPr>
      </w:pPr>
      <w:r>
        <w:rPr>
          <w:rFonts w:ascii="Arial" w:eastAsia="SimSun" w:hAnsi="Arial" w:cs="Arial"/>
          <w:i/>
          <w:color w:val="000000"/>
          <w:sz w:val="20"/>
          <w:lang w:val="es-ES" w:eastAsia="zh-CN"/>
        </w:rPr>
        <w:t>N</w:t>
      </w:r>
      <w:r w:rsidRPr="00A52304">
        <w:rPr>
          <w:rFonts w:ascii="Arial" w:eastAsia="SimSun" w:hAnsi="Arial" w:cs="Arial"/>
          <w:i/>
          <w:color w:val="000000"/>
          <w:sz w:val="20"/>
          <w:lang w:val="es-ES" w:eastAsia="zh-CN"/>
        </w:rPr>
        <w:t xml:space="preserve">ecesidades de recursos </w:t>
      </w:r>
      <w:r w:rsidR="00DE0A62">
        <w:rPr>
          <w:rFonts w:ascii="Arial" w:eastAsia="SimSun" w:hAnsi="Arial" w:cs="Arial"/>
          <w:i/>
          <w:color w:val="000000"/>
          <w:sz w:val="20"/>
          <w:lang w:val="es-ES" w:eastAsia="zh-CN"/>
        </w:rPr>
        <w:t>no relativos a personal</w:t>
      </w:r>
      <w:r>
        <w:rPr>
          <w:rFonts w:ascii="Arial" w:eastAsia="SimSun" w:hAnsi="Arial" w:cs="Arial"/>
          <w:i/>
          <w:color w:val="000000"/>
          <w:sz w:val="20"/>
          <w:lang w:val="es-ES" w:eastAsia="zh-CN"/>
        </w:rPr>
        <w:t xml:space="preserve"> estimada</w:t>
      </w:r>
      <w:r w:rsidRPr="00A52304">
        <w:rPr>
          <w:rFonts w:ascii="Arial" w:eastAsia="SimSun" w:hAnsi="Arial" w:cs="Arial"/>
          <w:i/>
          <w:color w:val="000000"/>
          <w:sz w:val="20"/>
          <w:lang w:val="es-ES" w:eastAsia="zh-CN"/>
        </w:rPr>
        <w:t xml:space="preserve">s </w:t>
      </w:r>
      <w:r>
        <w:rPr>
          <w:rFonts w:ascii="Arial" w:eastAsia="SimSun" w:hAnsi="Arial" w:cs="Arial"/>
          <w:i/>
          <w:color w:val="000000"/>
          <w:sz w:val="20"/>
          <w:lang w:val="es-ES" w:eastAsia="zh-CN"/>
        </w:rPr>
        <w:t xml:space="preserve">en </w:t>
      </w:r>
      <w:r w:rsidRPr="00362498">
        <w:rPr>
          <w:rFonts w:ascii="Arial" w:eastAsia="SimSun" w:hAnsi="Arial" w:cs="Arial"/>
          <w:i/>
          <w:color w:val="000000"/>
          <w:sz w:val="20"/>
          <w:lang w:val="es-ES" w:eastAsia="zh-CN"/>
        </w:rPr>
        <w:t>2</w:t>
      </w:r>
      <w:r>
        <w:rPr>
          <w:rFonts w:ascii="Arial" w:eastAsia="SimSun" w:hAnsi="Arial" w:cs="Arial"/>
          <w:i/>
          <w:color w:val="000000"/>
          <w:sz w:val="20"/>
          <w:lang w:val="es-ES" w:eastAsia="zh-CN"/>
        </w:rPr>
        <w:t>,</w:t>
      </w:r>
      <w:r w:rsidRPr="00362498">
        <w:rPr>
          <w:rFonts w:ascii="Arial" w:eastAsia="SimSun" w:hAnsi="Arial" w:cs="Arial"/>
          <w:i/>
          <w:color w:val="000000"/>
          <w:sz w:val="20"/>
          <w:lang w:val="es-ES" w:eastAsia="zh-CN"/>
        </w:rPr>
        <w:t xml:space="preserve">4 </w:t>
      </w:r>
      <w:r>
        <w:rPr>
          <w:rFonts w:ascii="Arial" w:eastAsia="SimSun" w:hAnsi="Arial" w:cs="Arial"/>
          <w:i/>
          <w:color w:val="000000"/>
          <w:sz w:val="20"/>
          <w:lang w:val="es-ES" w:eastAsia="zh-CN"/>
        </w:rPr>
        <w:t xml:space="preserve">millones de francos suizos (reflejados en el programa </w:t>
      </w:r>
      <w:r w:rsidRPr="00362498">
        <w:rPr>
          <w:rFonts w:ascii="Arial" w:eastAsia="SimSun" w:hAnsi="Arial" w:cs="Arial"/>
          <w:i/>
          <w:color w:val="000000"/>
          <w:sz w:val="20"/>
          <w:lang w:val="es-ES" w:eastAsia="zh-CN"/>
        </w:rPr>
        <w:t xml:space="preserve">22 – </w:t>
      </w:r>
      <w:r w:rsidRPr="00A52304">
        <w:rPr>
          <w:rFonts w:ascii="Arial" w:eastAsia="SimSun" w:hAnsi="Arial" w:cs="Arial"/>
          <w:i/>
          <w:color w:val="000000"/>
          <w:sz w:val="20"/>
          <w:lang w:val="es-ES" w:eastAsia="zh-CN"/>
        </w:rPr>
        <w:t>Gestión de programas y recursos</w:t>
      </w:r>
      <w:r w:rsidRPr="00362498">
        <w:rPr>
          <w:rFonts w:ascii="Arial" w:eastAsia="SimSun" w:hAnsi="Arial" w:cs="Arial"/>
          <w:i/>
          <w:color w:val="000000"/>
          <w:sz w:val="20"/>
          <w:lang w:val="es-ES" w:eastAsia="zh-CN"/>
        </w:rPr>
        <w:t>)</w:t>
      </w:r>
    </w:p>
    <w:p w:rsidR="002333C0" w:rsidRPr="00362498" w:rsidRDefault="002333C0" w:rsidP="0077661E">
      <w:pPr>
        <w:pStyle w:val="ListParagraph"/>
        <w:widowControl w:val="0"/>
        <w:tabs>
          <w:tab w:val="left" w:pos="567"/>
        </w:tabs>
        <w:ind w:left="0"/>
        <w:jc w:val="both"/>
        <w:rPr>
          <w:rFonts w:ascii="Arial" w:eastAsia="SimSun" w:hAnsi="Arial" w:cs="Arial"/>
          <w:color w:val="000000"/>
          <w:sz w:val="20"/>
          <w:lang w:val="es-ES" w:eastAsia="zh-CN"/>
        </w:rPr>
      </w:pPr>
    </w:p>
    <w:p w:rsidR="006346EF" w:rsidRPr="00C155A9" w:rsidRDefault="0077661E" w:rsidP="006346EF">
      <w:pPr>
        <w:pStyle w:val="ListParagraph"/>
        <w:widowControl w:val="0"/>
        <w:numPr>
          <w:ilvl w:val="0"/>
          <w:numId w:val="8"/>
        </w:numPr>
        <w:tabs>
          <w:tab w:val="left" w:pos="567"/>
        </w:tabs>
        <w:ind w:left="0" w:firstLine="0"/>
        <w:jc w:val="both"/>
        <w:rPr>
          <w:rFonts w:ascii="Arial" w:eastAsia="SimSun" w:hAnsi="Arial" w:cs="Arial"/>
          <w:color w:val="000000"/>
          <w:sz w:val="20"/>
          <w:lang w:val="es-ES" w:eastAsia="zh-CN"/>
        </w:rPr>
      </w:pPr>
      <w:r>
        <w:rPr>
          <w:rFonts w:ascii="Arial" w:hAnsi="Arial"/>
          <w:sz w:val="20"/>
          <w:lang w:val="es-ES"/>
        </w:rPr>
        <w:t>L</w:t>
      </w:r>
      <w:r w:rsidR="006346EF" w:rsidRPr="00C155A9">
        <w:rPr>
          <w:rFonts w:ascii="Arial" w:hAnsi="Arial" w:cs="Arial"/>
          <w:sz w:val="20"/>
          <w:lang w:val="es-ES"/>
        </w:rPr>
        <w:t xml:space="preserve">a Secretaría ha previsto asignaciones presupuestarias para cubrir necesidades </w:t>
      </w:r>
      <w:r>
        <w:rPr>
          <w:rFonts w:ascii="Arial" w:hAnsi="Arial" w:cs="Arial"/>
          <w:sz w:val="20"/>
          <w:lang w:val="es-ES"/>
        </w:rPr>
        <w:t xml:space="preserve">relacionadas con renovaciones, transformaciones o modernización de locales, </w:t>
      </w:r>
      <w:r w:rsidR="006346EF" w:rsidRPr="00C155A9">
        <w:rPr>
          <w:rFonts w:ascii="Arial" w:hAnsi="Arial" w:cs="Arial"/>
          <w:sz w:val="20"/>
          <w:lang w:val="es-ES"/>
        </w:rPr>
        <w:t>en el marco del presupuesto ordinario de</w:t>
      </w:r>
      <w:r>
        <w:rPr>
          <w:rFonts w:ascii="Arial" w:hAnsi="Arial" w:cs="Arial"/>
          <w:sz w:val="20"/>
          <w:lang w:val="es-ES"/>
        </w:rPr>
        <w:t>l</w:t>
      </w:r>
      <w:r w:rsidR="006346EF" w:rsidRPr="00C155A9">
        <w:rPr>
          <w:rFonts w:ascii="Arial" w:hAnsi="Arial" w:cs="Arial"/>
          <w:sz w:val="20"/>
          <w:lang w:val="es-ES"/>
        </w:rPr>
        <w:t xml:space="preserve"> programa</w:t>
      </w:r>
      <w:r>
        <w:rPr>
          <w:rFonts w:ascii="Arial" w:hAnsi="Arial" w:cs="Arial"/>
          <w:sz w:val="20"/>
          <w:lang w:val="es-ES"/>
        </w:rPr>
        <w:t xml:space="preserve"> 24 (Servicios generales de apoyo</w:t>
      </w:r>
      <w:r w:rsidR="006346EF" w:rsidRPr="00C155A9">
        <w:rPr>
          <w:rFonts w:ascii="Arial" w:hAnsi="Arial" w:cs="Arial"/>
          <w:sz w:val="20"/>
          <w:lang w:val="es-ES"/>
        </w:rPr>
        <w:t xml:space="preserve">). </w:t>
      </w:r>
    </w:p>
    <w:p w:rsidR="006346EF" w:rsidRPr="00362498" w:rsidRDefault="006346EF" w:rsidP="006346EF">
      <w:pPr>
        <w:widowControl w:val="0"/>
        <w:tabs>
          <w:tab w:val="num" w:pos="690"/>
        </w:tabs>
        <w:jc w:val="both"/>
        <w:rPr>
          <w:color w:val="000000"/>
          <w:sz w:val="20"/>
        </w:rPr>
      </w:pPr>
    </w:p>
    <w:p w:rsidR="002333C0" w:rsidRPr="00362498" w:rsidRDefault="002333C0" w:rsidP="002333C0">
      <w:pPr>
        <w:pStyle w:val="ListParagraph"/>
        <w:widowControl w:val="0"/>
        <w:numPr>
          <w:ilvl w:val="0"/>
          <w:numId w:val="8"/>
        </w:numPr>
        <w:tabs>
          <w:tab w:val="left" w:pos="567"/>
        </w:tabs>
        <w:ind w:left="0" w:firstLine="0"/>
        <w:jc w:val="both"/>
        <w:rPr>
          <w:rFonts w:ascii="Arial" w:eastAsia="SimSun" w:hAnsi="Arial" w:cs="Arial"/>
          <w:color w:val="000000"/>
          <w:sz w:val="20"/>
          <w:lang w:val="es-ES" w:eastAsia="zh-CN"/>
        </w:rPr>
      </w:pPr>
      <w:r>
        <w:rPr>
          <w:rFonts w:ascii="Arial" w:eastAsia="SimSun" w:hAnsi="Arial" w:cs="Arial"/>
          <w:color w:val="000000"/>
          <w:sz w:val="20"/>
          <w:lang w:val="es-ES" w:eastAsia="zh-CN"/>
        </w:rPr>
        <w:t xml:space="preserve">En el presupuesto por programas </w:t>
      </w:r>
      <w:r w:rsidR="0077661E">
        <w:rPr>
          <w:rFonts w:ascii="Arial" w:eastAsia="SimSun" w:hAnsi="Arial" w:cs="Arial"/>
          <w:color w:val="000000"/>
          <w:sz w:val="20"/>
          <w:lang w:val="es-ES" w:eastAsia="zh-CN"/>
        </w:rPr>
        <w:t>de</w:t>
      </w:r>
      <w:r>
        <w:rPr>
          <w:rFonts w:ascii="Arial" w:eastAsia="SimSun" w:hAnsi="Arial" w:cs="Arial"/>
          <w:color w:val="000000"/>
          <w:sz w:val="20"/>
          <w:lang w:val="es-ES" w:eastAsia="zh-CN"/>
        </w:rPr>
        <w:t xml:space="preserve"> 2016/17 figuran las referencias de las medidas de eficacia en función de los costos señaladas en el bienio 2014/15 (es decir, costos de viajes y eficacia en función de los costos de contratos, reducción de los costos de impresión, subcontratación adecuada de las traducciones, etc.).  Se seguirán determinando y aplicando durante el bienio otras medidas de eficacia en función de los costos, entre otros medios, mediante el </w:t>
      </w:r>
      <w:r w:rsidRPr="000A7734">
        <w:rPr>
          <w:rFonts w:ascii="Arial" w:eastAsia="SimSun" w:hAnsi="Arial" w:cs="Arial"/>
          <w:i/>
          <w:color w:val="000000"/>
          <w:sz w:val="20"/>
          <w:lang w:val="es-ES" w:eastAsia="zh-CN"/>
        </w:rPr>
        <w:t xml:space="preserve">Geneva International </w:t>
      </w:r>
      <w:proofErr w:type="spellStart"/>
      <w:r w:rsidRPr="000A7734">
        <w:rPr>
          <w:rFonts w:ascii="Arial" w:eastAsia="SimSun" w:hAnsi="Arial" w:cs="Arial"/>
          <w:i/>
          <w:color w:val="000000"/>
          <w:sz w:val="20"/>
          <w:lang w:val="es-ES" w:eastAsia="zh-CN"/>
        </w:rPr>
        <w:t>Collaboration</w:t>
      </w:r>
      <w:proofErr w:type="spellEnd"/>
      <w:r w:rsidRPr="000A7734">
        <w:rPr>
          <w:rFonts w:ascii="Arial" w:eastAsia="SimSun" w:hAnsi="Arial" w:cs="Arial"/>
          <w:i/>
          <w:color w:val="000000"/>
          <w:sz w:val="20"/>
          <w:lang w:val="es-ES" w:eastAsia="zh-CN"/>
        </w:rPr>
        <w:t xml:space="preserve"> </w:t>
      </w:r>
      <w:proofErr w:type="spellStart"/>
      <w:r w:rsidRPr="000A7734">
        <w:rPr>
          <w:rFonts w:ascii="Arial" w:eastAsia="SimSun" w:hAnsi="Arial" w:cs="Arial"/>
          <w:i/>
          <w:color w:val="000000"/>
          <w:sz w:val="20"/>
          <w:lang w:val="es-ES" w:eastAsia="zh-CN"/>
        </w:rPr>
        <w:t>Group</w:t>
      </w:r>
      <w:proofErr w:type="spellEnd"/>
      <w:r>
        <w:rPr>
          <w:rFonts w:ascii="Arial" w:eastAsia="SimSun" w:hAnsi="Arial" w:cs="Arial"/>
          <w:color w:val="000000"/>
          <w:sz w:val="20"/>
          <w:lang w:val="es-ES" w:eastAsia="zh-CN"/>
        </w:rPr>
        <w:t xml:space="preserve"> (Grupo de Colaboración Internacional de Ginebra), grupo informal de organizaciones internacionales con sede en Ginebra creado en 2014.  El Grupo tiene por fin lograr economías de escala en esferas como los seguros, los servicios de conferencias e impresión y los servicios del país anfitrión.  </w:t>
      </w:r>
    </w:p>
    <w:p w:rsidR="002333C0" w:rsidRPr="00362498" w:rsidRDefault="002333C0" w:rsidP="002333C0">
      <w:pPr>
        <w:widowControl w:val="0"/>
        <w:tabs>
          <w:tab w:val="num" w:pos="690"/>
        </w:tabs>
        <w:jc w:val="both"/>
        <w:rPr>
          <w:sz w:val="20"/>
        </w:rPr>
      </w:pPr>
    </w:p>
    <w:p w:rsidR="002333C0" w:rsidRPr="00362498" w:rsidRDefault="002333C0" w:rsidP="002333C0">
      <w:pPr>
        <w:widowControl w:val="0"/>
        <w:tabs>
          <w:tab w:val="num" w:pos="690"/>
        </w:tabs>
        <w:jc w:val="both"/>
        <w:rPr>
          <w:sz w:val="20"/>
        </w:rPr>
      </w:pPr>
    </w:p>
    <w:p w:rsidR="002333C0" w:rsidRPr="00374E14" w:rsidRDefault="002333C0" w:rsidP="004B5B96">
      <w:pPr>
        <w:jc w:val="both"/>
        <w:rPr>
          <w:b/>
          <w:sz w:val="20"/>
        </w:rPr>
      </w:pPr>
      <w:r w:rsidRPr="00374E14">
        <w:rPr>
          <w:b/>
          <w:sz w:val="20"/>
        </w:rPr>
        <w:t>Cambios en las categorías de costos</w:t>
      </w:r>
    </w:p>
    <w:p w:rsidR="00BC4BF1" w:rsidRPr="00374E14" w:rsidRDefault="00BC4BF1" w:rsidP="004B5B96">
      <w:pPr>
        <w:jc w:val="both"/>
        <w:rPr>
          <w:sz w:val="20"/>
        </w:rPr>
      </w:pPr>
    </w:p>
    <w:p w:rsidR="00BC4BF1" w:rsidRPr="00374E14" w:rsidRDefault="00BC4BF1" w:rsidP="004B5B96">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Los cambios introducidos en las categoría de costos para 2016/17</w:t>
      </w:r>
      <w:r w:rsidRPr="00374E14">
        <w:rPr>
          <w:rStyle w:val="FootnoteReference"/>
          <w:rFonts w:ascii="Arial" w:hAnsi="Arial"/>
          <w:sz w:val="20"/>
          <w:lang w:val="es-ES"/>
        </w:rPr>
        <w:footnoteReference w:id="13"/>
      </w:r>
      <w:r w:rsidRPr="00374E14">
        <w:rPr>
          <w:rFonts w:ascii="Arial" w:hAnsi="Arial"/>
          <w:sz w:val="20"/>
          <w:lang w:val="es-ES"/>
        </w:rPr>
        <w:t xml:space="preserve"> son los siguientes:</w:t>
      </w:r>
    </w:p>
    <w:p w:rsidR="00BC4BF1" w:rsidRPr="00374E14" w:rsidRDefault="00BC4BF1" w:rsidP="004B5B96">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 xml:space="preserve">Siguiendo la recomendación del Auditor Externo, se ha creado la nueva categoría “Costos financieros” para reflejar por separado los pagos de los intereses sobre el préstamo relativo al nuevo edificio (presupuestados en el programa 24) y los cargos bancarios, incluido el pago de los tipos de interés negativos sobre los depósitos en francos suizos (presupuestados en el programa 22). Por consiguiente, se observa un aumento de 6,4 millones de francos suizos en la partida “Costos financieros”, compensado en parte por una disminución de 3,5 millones de francos suizos en la rúbrica “Locales y mantenimiento” (los pagos de los intereses sobre el préstamo se presupuestaban anteriormente en esta última categoría de costos).  Así pues, en 2016 /17 se reemplazará </w:t>
      </w:r>
      <w:r w:rsidR="004B5B96" w:rsidRPr="00374E14">
        <w:rPr>
          <w:rFonts w:ascii="Arial" w:hAnsi="Arial"/>
          <w:sz w:val="20"/>
          <w:lang w:val="es-ES"/>
        </w:rPr>
        <w:t>la anterior categoría de costos</w:t>
      </w:r>
      <w:r w:rsidRPr="00374E14">
        <w:rPr>
          <w:rFonts w:ascii="Arial" w:hAnsi="Arial"/>
          <w:sz w:val="20"/>
          <w:lang w:val="es-ES"/>
        </w:rPr>
        <w:t xml:space="preserve"> “Cargas administrativas y bancarias” por la de “Costos financieros”. </w:t>
      </w:r>
    </w:p>
    <w:p w:rsidR="00BC4BF1" w:rsidRPr="00374E14" w:rsidRDefault="00BC4BF1" w:rsidP="00BC4BF1">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La nueva categoría de costos “</w:t>
      </w:r>
      <w:r w:rsidRPr="00442004">
        <w:rPr>
          <w:rFonts w:ascii="Arial" w:hAnsi="Arial"/>
          <w:sz w:val="20"/>
          <w:lang w:val="es-ES"/>
        </w:rPr>
        <w:t>Representación y gastos de operación diversos” agrupa</w:t>
      </w:r>
      <w:r w:rsidRPr="00374E14">
        <w:rPr>
          <w:rFonts w:ascii="Arial" w:hAnsi="Arial"/>
          <w:sz w:val="20"/>
          <w:lang w:val="es-ES"/>
        </w:rPr>
        <w:t xml:space="preserve"> los gastos de representación de grupos y los demás gastos de operación (presupuestados en 2014/15 en la rúbrica “Cargas administrativas y bancarias”).  Esto da lugar a un aumento de 0,3 millones de francos suizos para 2016/17.</w:t>
      </w:r>
    </w:p>
    <w:p w:rsidR="00BC4BF1" w:rsidRPr="00374E14" w:rsidRDefault="00BC4BF1" w:rsidP="00BC4BF1">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La anterior categoría de costos “Becas de formación” se denomina ahora “Subvenciones para formación y viajes conexos” con el fin de distinguir mejor la índole de este gasto respecto de la categoría “Becas de la OMPI”.  Si bien la disminución que se observa en esta categoría con respecto al presupuesto de 2014/</w:t>
      </w:r>
      <w:r w:rsidR="00ED0A05">
        <w:rPr>
          <w:rFonts w:ascii="Arial" w:hAnsi="Arial"/>
          <w:sz w:val="20"/>
          <w:lang w:val="es-ES"/>
        </w:rPr>
        <w:t>15 tras las</w:t>
      </w:r>
      <w:r w:rsidRPr="00374E14">
        <w:rPr>
          <w:rFonts w:ascii="Arial" w:hAnsi="Arial"/>
          <w:sz w:val="20"/>
          <w:lang w:val="es-ES"/>
        </w:rPr>
        <w:t xml:space="preserve"> transferencias asciende a 0,8 millones de francos suizos, la disminución respecto del presupuesto aprobado de 2014/15 representa solo 0,2 millones de francos suizos. Los cambios observados reflejan una redistribución de recursos en la rúbrica Academia de la OMPI y el programa 3 (Derecho de autor y derechos conexos).</w:t>
      </w:r>
    </w:p>
    <w:p w:rsidR="00BC4BF1" w:rsidRPr="00374E14" w:rsidRDefault="00BC4BF1" w:rsidP="00BC4BF1">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El aumento de 21,4 millones, o 21,6%, en la rúbrica “Otros servicios contractuales” con respecto al presupuesto de 2014/</w:t>
      </w:r>
      <w:r w:rsidR="00ED0A05">
        <w:rPr>
          <w:rFonts w:ascii="Arial" w:hAnsi="Arial"/>
          <w:sz w:val="20"/>
          <w:lang w:val="es-ES"/>
        </w:rPr>
        <w:t>15 tras las</w:t>
      </w:r>
      <w:r w:rsidRPr="00374E14">
        <w:rPr>
          <w:rFonts w:ascii="Arial" w:hAnsi="Arial"/>
          <w:sz w:val="20"/>
          <w:lang w:val="es-ES"/>
        </w:rPr>
        <w:t xml:space="preserve"> trasferencias se relaciona principalmente con el incremento del volumen de las traducciones del PCT, la necesidad de </w:t>
      </w:r>
      <w:r w:rsidR="00013C21">
        <w:rPr>
          <w:rFonts w:ascii="Arial" w:hAnsi="Arial"/>
          <w:sz w:val="20"/>
          <w:lang w:val="es-ES"/>
        </w:rPr>
        <w:t>mejor</w:t>
      </w:r>
      <w:r w:rsidRPr="00374E14">
        <w:rPr>
          <w:rFonts w:ascii="Arial" w:hAnsi="Arial"/>
          <w:sz w:val="20"/>
          <w:lang w:val="es-ES"/>
        </w:rPr>
        <w:t xml:space="preserve">ar la capacidad de </w:t>
      </w:r>
      <w:r w:rsidR="009C12F8">
        <w:rPr>
          <w:rFonts w:ascii="Arial" w:hAnsi="Arial"/>
          <w:sz w:val="20"/>
          <w:lang w:val="es-ES"/>
        </w:rPr>
        <w:t>reacción</w:t>
      </w:r>
      <w:r w:rsidRPr="00374E14">
        <w:rPr>
          <w:rFonts w:ascii="Arial" w:hAnsi="Arial"/>
          <w:sz w:val="20"/>
          <w:lang w:val="es-ES"/>
        </w:rPr>
        <w:t xml:space="preserve"> </w:t>
      </w:r>
      <w:r w:rsidR="00013C21">
        <w:rPr>
          <w:rFonts w:ascii="Arial" w:hAnsi="Arial"/>
          <w:sz w:val="20"/>
          <w:lang w:val="es-ES"/>
        </w:rPr>
        <w:t xml:space="preserve">y recuperación </w:t>
      </w:r>
      <w:r w:rsidRPr="00374E14">
        <w:rPr>
          <w:rFonts w:ascii="Arial" w:hAnsi="Arial"/>
          <w:sz w:val="20"/>
          <w:lang w:val="es-ES"/>
        </w:rPr>
        <w:t>del PCT</w:t>
      </w:r>
      <w:r w:rsidR="00013C21">
        <w:rPr>
          <w:rFonts w:ascii="Arial" w:hAnsi="Arial"/>
          <w:sz w:val="20"/>
          <w:lang w:val="es-ES"/>
        </w:rPr>
        <w:t>,</w:t>
      </w:r>
      <w:r w:rsidRPr="00374E14">
        <w:rPr>
          <w:rFonts w:ascii="Arial" w:hAnsi="Arial"/>
          <w:sz w:val="20"/>
          <w:lang w:val="es-ES"/>
        </w:rPr>
        <w:t xml:space="preserve"> la mayor dependencia de las tecnologías de la información y las comunicaciones y la seguridad de la información.  En relación con esta última, también da lugar a un aumento en la rúbrica “Suministros y material” (en especial el mayor costo del </w:t>
      </w:r>
      <w:r w:rsidRPr="00374E14">
        <w:rPr>
          <w:rFonts w:ascii="Arial" w:hAnsi="Arial"/>
          <w:i/>
          <w:sz w:val="20"/>
          <w:lang w:val="es-ES"/>
        </w:rPr>
        <w:t xml:space="preserve">software </w:t>
      </w:r>
      <w:r w:rsidRPr="00374E14">
        <w:rPr>
          <w:rFonts w:ascii="Arial" w:hAnsi="Arial"/>
          <w:sz w:val="20"/>
          <w:lang w:val="es-ES"/>
        </w:rPr>
        <w:t xml:space="preserve">y las licencias). </w:t>
      </w:r>
    </w:p>
    <w:p w:rsidR="00BC4BF1" w:rsidRPr="00374E14" w:rsidRDefault="00BC4BF1" w:rsidP="00BC4BF1">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El incremento de las necesidades operativas relacionadas con los sistemas de registro internacional ha dado lugar a un aumento de 0,7 millones de francos suizos de los recursos presupuestados para las “Becas de la OMPI” en 2016/17, con respecto al presupuesto de 2014/</w:t>
      </w:r>
      <w:r w:rsidR="00ED0A05">
        <w:rPr>
          <w:rFonts w:ascii="Arial" w:hAnsi="Arial"/>
          <w:sz w:val="20"/>
          <w:lang w:val="es-ES"/>
        </w:rPr>
        <w:t>15 tras las</w:t>
      </w:r>
      <w:r w:rsidRPr="00374E14">
        <w:rPr>
          <w:rFonts w:ascii="Arial" w:hAnsi="Arial"/>
          <w:sz w:val="20"/>
          <w:lang w:val="es-ES"/>
        </w:rPr>
        <w:t xml:space="preserve"> transferencias. </w:t>
      </w:r>
    </w:p>
    <w:p w:rsidR="00BC4BF1" w:rsidRPr="00374E14" w:rsidRDefault="00BC4BF1" w:rsidP="00BC4BF1">
      <w:pPr>
        <w:jc w:val="both"/>
        <w:rPr>
          <w:b/>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La reducción de 0,5 millones que se observa en el presupuesto para las “Conferencias” se debe a la asignación para la celebración de dos conferencias diplomáticas en 2014/15 en el marco de los programas 2 y 4, mientras que en 2016/17 esa asignación solo cubre la celebración de una eventual conferencia diplomática en la rúbrica “Sin consignar (</w:t>
      </w:r>
      <w:r w:rsidR="00DE0A62">
        <w:rPr>
          <w:rFonts w:ascii="Arial" w:hAnsi="Arial"/>
          <w:sz w:val="20"/>
          <w:lang w:val="es-ES"/>
        </w:rPr>
        <w:t>no relativos a personal</w:t>
      </w:r>
      <w:r w:rsidRPr="00374E14">
        <w:rPr>
          <w:rFonts w:ascii="Arial" w:hAnsi="Arial"/>
          <w:sz w:val="20"/>
          <w:lang w:val="es-ES"/>
        </w:rPr>
        <w:t>)</w:t>
      </w:r>
      <w:r w:rsidR="0074205B" w:rsidRPr="00374E14">
        <w:rPr>
          <w:rFonts w:ascii="Arial" w:hAnsi="Arial"/>
          <w:sz w:val="20"/>
          <w:lang w:val="es-ES"/>
        </w:rPr>
        <w:t>”.</w:t>
      </w:r>
    </w:p>
    <w:p w:rsidR="00BC4BF1" w:rsidRPr="00374E14" w:rsidRDefault="00BC4BF1" w:rsidP="00BC4BF1">
      <w:pPr>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 xml:space="preserve">En el bienio 2016/17 las pasantías ya no se presupuestan de forma centralizada en el </w:t>
      </w:r>
      <w:r w:rsidR="004B5B96" w:rsidRPr="00374E14">
        <w:rPr>
          <w:rFonts w:ascii="Arial" w:hAnsi="Arial"/>
          <w:sz w:val="20"/>
          <w:lang w:val="es-ES"/>
        </w:rPr>
        <w:t>programa </w:t>
      </w:r>
      <w:r w:rsidRPr="00374E14">
        <w:rPr>
          <w:rFonts w:ascii="Arial" w:hAnsi="Arial"/>
          <w:sz w:val="20"/>
          <w:lang w:val="es-ES"/>
        </w:rPr>
        <w:t>23 (Gestión y desarrollo de los recursos humanos) sino que se descentralizan a los programas.  La asignación presupuestada para 2016/17 representa un aumento de 0,1 millones de francos suizos con respecto al presupuesto aprobado de 2014/15, lo que denota una hipótesis de planificación más realista, basada en las necesidades previstas.</w:t>
      </w:r>
    </w:p>
    <w:p w:rsidR="00BC4BF1" w:rsidRPr="00374E14" w:rsidRDefault="00BC4BF1" w:rsidP="00BC4BF1">
      <w:pPr>
        <w:jc w:val="both"/>
        <w:rPr>
          <w:sz w:val="20"/>
        </w:rPr>
      </w:pPr>
    </w:p>
    <w:p w:rsidR="00BC4BF1" w:rsidRPr="00374E14" w:rsidRDefault="00BC4BF1" w:rsidP="00BC4BF1">
      <w:pPr>
        <w:jc w:val="both"/>
        <w:rPr>
          <w:b/>
          <w:sz w:val="20"/>
        </w:rPr>
      </w:pPr>
    </w:p>
    <w:p w:rsidR="00BC4BF1" w:rsidRPr="00374E14" w:rsidRDefault="00BC4BF1" w:rsidP="004B5B96">
      <w:pPr>
        <w:pStyle w:val="StyleHeading3ComplexItalic"/>
        <w:keepLines/>
        <w:tabs>
          <w:tab w:val="clear" w:pos="1985"/>
          <w:tab w:val="left" w:pos="1843"/>
        </w:tabs>
        <w:ind w:left="1843" w:hanging="1843"/>
        <w:rPr>
          <w:sz w:val="20"/>
          <w:lang w:val="es-ES"/>
        </w:rPr>
      </w:pPr>
      <w:bookmarkStart w:id="18" w:name="_Toc419283237"/>
      <w:bookmarkStart w:id="19" w:name="_Toc420681128"/>
      <w:r w:rsidRPr="00374E14">
        <w:rPr>
          <w:sz w:val="20"/>
          <w:lang w:val="es-ES"/>
        </w:rPr>
        <w:lastRenderedPageBreak/>
        <w:t>GASTOS DE PERSONAL</w:t>
      </w:r>
      <w:bookmarkEnd w:id="18"/>
      <w:bookmarkEnd w:id="19"/>
    </w:p>
    <w:p w:rsidR="00BC4BF1" w:rsidRPr="00374E14" w:rsidRDefault="00BC4BF1" w:rsidP="004B5B96">
      <w:pPr>
        <w:pStyle w:val="NormalWeb"/>
        <w:keepNext/>
        <w:keepLines/>
        <w:shd w:val="clear" w:color="auto" w:fill="FFFFFF"/>
        <w:jc w:val="both"/>
        <w:rPr>
          <w:rFonts w:ascii="Arial" w:hAnsi="Arial" w:cs="Arial"/>
          <w:b/>
          <w:color w:val="000000"/>
          <w:sz w:val="20"/>
          <w:szCs w:val="20"/>
          <w:lang w:val="es-ES"/>
        </w:rPr>
      </w:pPr>
    </w:p>
    <w:p w:rsidR="00BC4BF1" w:rsidRPr="00374E14" w:rsidRDefault="00BC4BF1" w:rsidP="004B5B96">
      <w:pPr>
        <w:pStyle w:val="NormalWeb"/>
        <w:keepNext/>
        <w:keepLines/>
        <w:shd w:val="clear" w:color="auto" w:fill="FFFFFF"/>
        <w:jc w:val="both"/>
        <w:rPr>
          <w:rFonts w:ascii="Arial" w:hAnsi="Arial" w:cs="Arial"/>
          <w:b/>
          <w:color w:val="000000"/>
          <w:sz w:val="20"/>
          <w:szCs w:val="20"/>
          <w:lang w:val="es-ES"/>
        </w:rPr>
      </w:pPr>
      <w:r w:rsidRPr="00374E14">
        <w:rPr>
          <w:rFonts w:ascii="Arial" w:hAnsi="Arial" w:cs="Arial"/>
          <w:b/>
          <w:color w:val="000000"/>
          <w:sz w:val="20"/>
          <w:szCs w:val="20"/>
          <w:lang w:val="es-ES"/>
        </w:rPr>
        <w:t>Metodología</w:t>
      </w:r>
    </w:p>
    <w:p w:rsidR="00BC4BF1" w:rsidRPr="00374E14" w:rsidRDefault="00BC4BF1" w:rsidP="004B5B96">
      <w:pPr>
        <w:pStyle w:val="NormalWeb"/>
        <w:keepNext/>
        <w:keepLines/>
        <w:shd w:val="clear" w:color="auto" w:fill="FFFFFF"/>
        <w:jc w:val="both"/>
        <w:rPr>
          <w:rFonts w:ascii="Arial" w:hAnsi="Arial" w:cs="Arial"/>
          <w:b/>
          <w:color w:val="000000"/>
          <w:sz w:val="20"/>
          <w:szCs w:val="20"/>
          <w:lang w:val="es-ES"/>
        </w:rPr>
      </w:pPr>
    </w:p>
    <w:p w:rsidR="00BC4BF1" w:rsidRPr="00374E14" w:rsidRDefault="00BC4BF1" w:rsidP="004B5B96">
      <w:pPr>
        <w:pStyle w:val="ListParagraph"/>
        <w:keepNext/>
        <w:keepLines/>
        <w:widowControl w:val="0"/>
        <w:numPr>
          <w:ilvl w:val="0"/>
          <w:numId w:val="8"/>
        </w:numPr>
        <w:tabs>
          <w:tab w:val="left" w:pos="567"/>
        </w:tabs>
        <w:ind w:left="0" w:firstLine="0"/>
        <w:jc w:val="both"/>
        <w:rPr>
          <w:rFonts w:ascii="Arial" w:hAnsi="Arial" w:cs="Arial"/>
          <w:color w:val="000000"/>
          <w:sz w:val="20"/>
          <w:szCs w:val="20"/>
          <w:lang w:val="es-ES"/>
        </w:rPr>
      </w:pPr>
      <w:r w:rsidRPr="00374E14">
        <w:rPr>
          <w:rFonts w:ascii="Arial" w:hAnsi="Arial" w:cs="Arial"/>
          <w:color w:val="000000"/>
          <w:sz w:val="20"/>
          <w:szCs w:val="20"/>
          <w:lang w:val="es-ES"/>
        </w:rPr>
        <w:t xml:space="preserve">Se ha adoptado un cambio de metodología para el cálculo de los costos en el presupuesto de los recursos de personal que ya no se basa en la media de los costos estándar, como era el caso anteriormente, sino en los costos reales.  La nueva metodología tiene por objeto mejorar la solidez de las hipótesis de costos de personal, basándose en las prestaciones reales de que se benefician los empleados de la Organización.  </w:t>
      </w:r>
    </w:p>
    <w:p w:rsidR="00BC4BF1" w:rsidRPr="00374E14" w:rsidRDefault="00BC4BF1" w:rsidP="00BC4BF1">
      <w:pPr>
        <w:pStyle w:val="ListParagraph"/>
        <w:widowControl w:val="0"/>
        <w:tabs>
          <w:tab w:val="left" w:pos="567"/>
        </w:tabs>
        <w:ind w:left="0"/>
        <w:jc w:val="both"/>
        <w:rPr>
          <w:rFonts w:ascii="Arial" w:hAnsi="Arial" w:cs="Arial"/>
          <w:color w:val="000000"/>
          <w:sz w:val="20"/>
          <w:szCs w:val="20"/>
          <w:lang w:val="es-ES"/>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cs="Arial"/>
          <w:color w:val="000000"/>
          <w:sz w:val="20"/>
          <w:szCs w:val="20"/>
          <w:lang w:val="es-ES"/>
        </w:rPr>
      </w:pPr>
      <w:r w:rsidRPr="00374E14">
        <w:rPr>
          <w:rFonts w:ascii="Arial" w:hAnsi="Arial"/>
          <w:sz w:val="20"/>
          <w:lang w:val="es-ES"/>
        </w:rPr>
        <w:t xml:space="preserve">Si bien los costos de los </w:t>
      </w:r>
      <w:r w:rsidR="00640D6A">
        <w:rPr>
          <w:rFonts w:ascii="Arial" w:hAnsi="Arial"/>
          <w:sz w:val="20"/>
          <w:lang w:val="es-ES"/>
        </w:rPr>
        <w:t>cargos</w:t>
      </w:r>
      <w:r w:rsidRPr="00374E14">
        <w:rPr>
          <w:rFonts w:ascii="Arial" w:hAnsi="Arial"/>
          <w:sz w:val="20"/>
          <w:lang w:val="es-ES"/>
        </w:rPr>
        <w:t xml:space="preserve"> cubiertos se basan en las escalas de sueldos y remuneración pensionable, y en los </w:t>
      </w:r>
      <w:r w:rsidRPr="00374E14">
        <w:rPr>
          <w:rFonts w:ascii="Arial" w:hAnsi="Arial" w:cs="Arial"/>
          <w:color w:val="000000"/>
          <w:sz w:val="20"/>
          <w:szCs w:val="20"/>
          <w:lang w:val="es-ES"/>
        </w:rPr>
        <w:t>beneficios y las prestaciones (armonizados con las políticas y prestaciones aplicables)</w:t>
      </w:r>
      <w:r w:rsidRPr="00374E14">
        <w:rPr>
          <w:rFonts w:ascii="Arial" w:eastAsia="SimSun" w:hAnsi="Arial" w:cs="Arial"/>
          <w:sz w:val="20"/>
          <w:szCs w:val="20"/>
          <w:lang w:val="es-ES" w:eastAsia="zh-CN"/>
        </w:rPr>
        <w:t xml:space="preserve"> </w:t>
      </w:r>
      <w:r w:rsidRPr="00374E14">
        <w:rPr>
          <w:rFonts w:ascii="Arial" w:hAnsi="Arial" w:cs="Arial"/>
          <w:color w:val="000000"/>
          <w:sz w:val="20"/>
          <w:szCs w:val="20"/>
          <w:lang w:val="es-ES"/>
        </w:rPr>
        <w:t xml:space="preserve">más recientes disponibles en NN.UU., el costo de los </w:t>
      </w:r>
      <w:r w:rsidR="00EB06D0">
        <w:rPr>
          <w:rFonts w:ascii="Arial" w:hAnsi="Arial" w:cs="Arial"/>
          <w:color w:val="000000"/>
          <w:sz w:val="20"/>
          <w:szCs w:val="20"/>
          <w:lang w:val="es-ES"/>
        </w:rPr>
        <w:t>cargos</w:t>
      </w:r>
      <w:r w:rsidRPr="00374E14">
        <w:rPr>
          <w:rFonts w:ascii="Arial" w:hAnsi="Arial" w:cs="Arial"/>
          <w:color w:val="000000"/>
          <w:sz w:val="20"/>
          <w:szCs w:val="20"/>
          <w:lang w:val="es-ES"/>
        </w:rPr>
        <w:t xml:space="preserve"> vacantes se basa en la media de los costos estándar.</w:t>
      </w:r>
    </w:p>
    <w:p w:rsidR="00BC4BF1" w:rsidRPr="00374E14" w:rsidRDefault="00BC4BF1" w:rsidP="00BC4BF1">
      <w:pPr>
        <w:pStyle w:val="ListParagraph"/>
        <w:widowControl w:val="0"/>
        <w:tabs>
          <w:tab w:val="left" w:pos="567"/>
        </w:tabs>
        <w:ind w:left="0"/>
        <w:jc w:val="both"/>
        <w:rPr>
          <w:rFonts w:ascii="Arial" w:hAnsi="Arial" w:cs="Arial"/>
          <w:color w:val="000000"/>
          <w:sz w:val="20"/>
          <w:szCs w:val="20"/>
          <w:lang w:val="es-ES"/>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cs="Arial"/>
          <w:color w:val="000000"/>
          <w:sz w:val="20"/>
          <w:szCs w:val="20"/>
          <w:lang w:val="es-ES"/>
        </w:rPr>
      </w:pPr>
      <w:r w:rsidRPr="00374E14">
        <w:rPr>
          <w:rFonts w:ascii="Arial" w:hAnsi="Arial"/>
          <w:sz w:val="20"/>
          <w:lang w:val="es-ES"/>
        </w:rPr>
        <w:t>La puesta en marcha de la nueva metodología ha sido posible gracias a la implantación del sistema de PRI en la fase de planificación y permitirá a la Secretaría supervisar mejor los gastos reales de personal al nivel de cada puesto, durante la fase de ejecución</w:t>
      </w:r>
      <w:r w:rsidRPr="00374E14">
        <w:rPr>
          <w:rFonts w:ascii="Arial" w:hAnsi="Arial" w:cs="Arial"/>
          <w:color w:val="000000"/>
          <w:sz w:val="20"/>
          <w:szCs w:val="20"/>
          <w:lang w:val="es-ES"/>
        </w:rPr>
        <w:t xml:space="preserve">. </w:t>
      </w:r>
    </w:p>
    <w:p w:rsidR="00BC4BF1" w:rsidRPr="00374E14" w:rsidRDefault="00BC4BF1" w:rsidP="00BC4BF1">
      <w:pPr>
        <w:pStyle w:val="NormalWeb"/>
        <w:shd w:val="clear" w:color="auto" w:fill="FFFFFF"/>
        <w:jc w:val="both"/>
        <w:rPr>
          <w:rFonts w:ascii="Arial" w:hAnsi="Arial" w:cs="Arial"/>
          <w:b/>
          <w:color w:val="000000"/>
          <w:sz w:val="20"/>
          <w:szCs w:val="20"/>
          <w:u w:val="single"/>
          <w:lang w:val="es-ES"/>
        </w:rPr>
      </w:pPr>
    </w:p>
    <w:p w:rsidR="00BC4BF1" w:rsidRPr="00374E14" w:rsidRDefault="007659FF" w:rsidP="0074205B">
      <w:pPr>
        <w:pStyle w:val="NormalWeb"/>
        <w:shd w:val="clear" w:color="auto" w:fill="FFFFFF"/>
        <w:jc w:val="both"/>
        <w:rPr>
          <w:rFonts w:ascii="Arial" w:hAnsi="Arial" w:cs="Arial"/>
          <w:b/>
          <w:color w:val="000000"/>
          <w:sz w:val="20"/>
          <w:szCs w:val="20"/>
          <w:lang w:val="es-ES"/>
        </w:rPr>
      </w:pPr>
      <w:r>
        <w:rPr>
          <w:rFonts w:ascii="Arial" w:hAnsi="Arial" w:cs="Arial"/>
          <w:b/>
          <w:color w:val="000000"/>
          <w:sz w:val="20"/>
          <w:szCs w:val="20"/>
          <w:lang w:val="es-ES"/>
        </w:rPr>
        <w:t>Hipótesis de planificación</w:t>
      </w:r>
    </w:p>
    <w:p w:rsidR="00BC4BF1" w:rsidRPr="00374E14" w:rsidRDefault="00BC4BF1" w:rsidP="0074205B">
      <w:pPr>
        <w:pStyle w:val="NormalWeb"/>
        <w:shd w:val="clear" w:color="auto" w:fill="FFFFFF"/>
        <w:jc w:val="both"/>
        <w:rPr>
          <w:rFonts w:ascii="Arial" w:hAnsi="Arial" w:cs="Arial"/>
          <w:b/>
          <w:color w:val="000000"/>
          <w:sz w:val="20"/>
          <w:szCs w:val="20"/>
          <w:lang w:val="es-ES"/>
        </w:rPr>
      </w:pPr>
    </w:p>
    <w:p w:rsidR="00BC4BF1" w:rsidRPr="00374E14" w:rsidRDefault="00BC4BF1" w:rsidP="0074205B">
      <w:pPr>
        <w:numPr>
          <w:ilvl w:val="0"/>
          <w:numId w:val="9"/>
        </w:numPr>
        <w:shd w:val="clear" w:color="auto" w:fill="FFFFFF"/>
        <w:ind w:left="714" w:hanging="357"/>
        <w:jc w:val="both"/>
        <w:rPr>
          <w:color w:val="000000"/>
          <w:sz w:val="20"/>
        </w:rPr>
      </w:pPr>
      <w:r w:rsidRPr="00374E14">
        <w:rPr>
          <w:color w:val="000000"/>
          <w:sz w:val="20"/>
        </w:rPr>
        <w:t xml:space="preserve">En lo referente a los </w:t>
      </w:r>
      <w:r w:rsidR="00EB06D0">
        <w:rPr>
          <w:color w:val="000000"/>
          <w:sz w:val="20"/>
        </w:rPr>
        <w:t>cargos</w:t>
      </w:r>
      <w:r w:rsidRPr="00374E14">
        <w:rPr>
          <w:color w:val="000000"/>
          <w:sz w:val="20"/>
        </w:rPr>
        <w:t xml:space="preserve"> cubiertos, en el cálculo del costo de los sueldos para 2016/17 se tiene en cuenta el aumento del sueldo dentro del grado aplicable en el momento del cálculo del costo según la escala de sueldos de la Comisión de Administración Pública Internacional (CAPI) y el Estatuto y Reglamento del Personal;</w:t>
      </w:r>
    </w:p>
    <w:p w:rsidR="00BC4BF1" w:rsidRPr="00374E14" w:rsidRDefault="00BC4BF1" w:rsidP="00BC4BF1">
      <w:pPr>
        <w:shd w:val="clear" w:color="auto" w:fill="FFFFFF"/>
        <w:ind w:left="714"/>
        <w:jc w:val="both"/>
        <w:rPr>
          <w:color w:val="000000"/>
          <w:sz w:val="20"/>
        </w:rPr>
      </w:pPr>
    </w:p>
    <w:p w:rsidR="00BC4BF1" w:rsidRPr="00374E14" w:rsidRDefault="00BC4BF1" w:rsidP="00BC4BF1">
      <w:pPr>
        <w:numPr>
          <w:ilvl w:val="0"/>
          <w:numId w:val="9"/>
        </w:numPr>
        <w:shd w:val="clear" w:color="auto" w:fill="FFFFFF"/>
        <w:ind w:left="714" w:hanging="357"/>
        <w:jc w:val="both"/>
        <w:rPr>
          <w:color w:val="000000"/>
          <w:sz w:val="20"/>
        </w:rPr>
      </w:pPr>
      <w:r w:rsidRPr="00374E14">
        <w:rPr>
          <w:color w:val="000000"/>
          <w:sz w:val="20"/>
        </w:rPr>
        <w:t>Desde febrero de 2015 se aplica el tipo de cambio y el multiplicador del ajuste por lugar de destino, si procede (a los sueldos de las categorías profesional y superior);</w:t>
      </w:r>
    </w:p>
    <w:p w:rsidR="00BC4BF1" w:rsidRPr="00374E14" w:rsidRDefault="00BC4BF1" w:rsidP="00BC4BF1">
      <w:pPr>
        <w:pStyle w:val="ListParagraph"/>
        <w:rPr>
          <w:rFonts w:ascii="Arial" w:hAnsi="Arial" w:cs="Arial"/>
          <w:color w:val="000000"/>
          <w:sz w:val="20"/>
          <w:lang w:val="es-ES"/>
        </w:rPr>
      </w:pPr>
    </w:p>
    <w:p w:rsidR="00BC4BF1" w:rsidRPr="00374E14" w:rsidRDefault="00BC4BF1" w:rsidP="00BC4BF1">
      <w:pPr>
        <w:numPr>
          <w:ilvl w:val="0"/>
          <w:numId w:val="9"/>
        </w:numPr>
        <w:shd w:val="clear" w:color="auto" w:fill="FFFFFF"/>
        <w:ind w:left="714" w:hanging="357"/>
        <w:jc w:val="both"/>
        <w:rPr>
          <w:color w:val="000000"/>
          <w:sz w:val="20"/>
        </w:rPr>
      </w:pPr>
      <w:r w:rsidRPr="00374E14">
        <w:rPr>
          <w:color w:val="000000"/>
          <w:sz w:val="20"/>
        </w:rPr>
        <w:t xml:space="preserve">Se aplica un coeficiente 1:1 entre el dólar de EE.UU. y el franco suizo a las remuneraciones pensionables según la escala de sueldos de la CAPI aplicable en el momento del cálculo de los costos; </w:t>
      </w:r>
    </w:p>
    <w:p w:rsidR="00BC4BF1" w:rsidRPr="00374E14" w:rsidRDefault="00BC4BF1" w:rsidP="00BC4BF1">
      <w:pPr>
        <w:pStyle w:val="ListParagraph"/>
        <w:rPr>
          <w:rFonts w:ascii="Arial" w:hAnsi="Arial" w:cs="Arial"/>
          <w:color w:val="000000"/>
          <w:sz w:val="20"/>
          <w:lang w:val="es-ES"/>
        </w:rPr>
      </w:pPr>
    </w:p>
    <w:p w:rsidR="00BC4BF1" w:rsidRPr="00374E14" w:rsidRDefault="00BC4BF1" w:rsidP="00BC4BF1">
      <w:pPr>
        <w:numPr>
          <w:ilvl w:val="0"/>
          <w:numId w:val="9"/>
        </w:numPr>
        <w:shd w:val="clear" w:color="auto" w:fill="FFFFFF"/>
        <w:ind w:left="714" w:hanging="357"/>
        <w:jc w:val="both"/>
        <w:rPr>
          <w:color w:val="000000"/>
          <w:sz w:val="20"/>
        </w:rPr>
      </w:pPr>
      <w:r w:rsidRPr="00374E14">
        <w:rPr>
          <w:color w:val="000000"/>
          <w:sz w:val="20"/>
        </w:rPr>
        <w:t xml:space="preserve">Los beneficios y las prestaciones se calculan en función del grado de los </w:t>
      </w:r>
      <w:r w:rsidR="00EB06D0">
        <w:rPr>
          <w:color w:val="000000"/>
          <w:sz w:val="20"/>
        </w:rPr>
        <w:t>cargos</w:t>
      </w:r>
      <w:r w:rsidRPr="00374E14">
        <w:rPr>
          <w:color w:val="000000"/>
          <w:sz w:val="20"/>
        </w:rPr>
        <w:t xml:space="preserve"> cubiertos sobre la base de los datos más recientes de la nómina.  Se ha determinado un costo medio para los </w:t>
      </w:r>
      <w:r w:rsidR="00EB06D0">
        <w:rPr>
          <w:color w:val="000000"/>
          <w:sz w:val="20"/>
        </w:rPr>
        <w:t>cargos</w:t>
      </w:r>
      <w:r w:rsidRPr="00374E14">
        <w:rPr>
          <w:color w:val="000000"/>
          <w:sz w:val="20"/>
        </w:rPr>
        <w:t xml:space="preserve"> vacantes;</w:t>
      </w:r>
    </w:p>
    <w:p w:rsidR="00BC4BF1" w:rsidRPr="00374E14" w:rsidRDefault="00BC4BF1" w:rsidP="00BC4BF1">
      <w:pPr>
        <w:pStyle w:val="ListParagraph"/>
        <w:rPr>
          <w:rFonts w:ascii="Arial" w:hAnsi="Arial" w:cs="Arial"/>
          <w:color w:val="000000"/>
          <w:sz w:val="20"/>
          <w:lang w:val="es-ES"/>
        </w:rPr>
      </w:pPr>
    </w:p>
    <w:p w:rsidR="00BC4BF1" w:rsidRPr="00374E14" w:rsidRDefault="00BC4BF1" w:rsidP="00BC4BF1">
      <w:pPr>
        <w:numPr>
          <w:ilvl w:val="0"/>
          <w:numId w:val="9"/>
        </w:numPr>
        <w:shd w:val="clear" w:color="auto" w:fill="FFFFFF"/>
        <w:ind w:left="714" w:hanging="357"/>
        <w:jc w:val="both"/>
        <w:rPr>
          <w:color w:val="000000"/>
          <w:sz w:val="20"/>
        </w:rPr>
      </w:pPr>
      <w:r w:rsidRPr="00374E14">
        <w:rPr>
          <w:color w:val="000000"/>
          <w:sz w:val="20"/>
        </w:rPr>
        <w:t>Se han reducido las asignaciones para las vacaciones en el país de origen para tener en cuenta los ahorros estimados para el bienio de aproximadamente 4 millones de francos suizos resultantes de la puesta en aplicación de la nueva política sobre vacaciones en el país de origen;</w:t>
      </w:r>
    </w:p>
    <w:p w:rsidR="00BC4BF1" w:rsidRPr="00374E14" w:rsidRDefault="00BC4BF1" w:rsidP="00BC4BF1">
      <w:pPr>
        <w:pStyle w:val="ListParagraph"/>
        <w:rPr>
          <w:rFonts w:ascii="Arial" w:hAnsi="Arial" w:cs="Arial"/>
          <w:color w:val="000000"/>
          <w:sz w:val="20"/>
          <w:lang w:val="es-ES"/>
        </w:rPr>
      </w:pPr>
    </w:p>
    <w:p w:rsidR="00BC4BF1" w:rsidRPr="00374E14" w:rsidRDefault="00BC4BF1" w:rsidP="00BC4BF1">
      <w:pPr>
        <w:numPr>
          <w:ilvl w:val="0"/>
          <w:numId w:val="9"/>
        </w:numPr>
        <w:shd w:val="clear" w:color="auto" w:fill="FFFFFF"/>
        <w:ind w:left="714" w:hanging="357"/>
        <w:jc w:val="both"/>
        <w:rPr>
          <w:color w:val="000000"/>
          <w:sz w:val="20"/>
        </w:rPr>
      </w:pPr>
      <w:r w:rsidRPr="00374E14">
        <w:rPr>
          <w:color w:val="000000"/>
          <w:sz w:val="20"/>
        </w:rPr>
        <w:t xml:space="preserve">No se prevé la creación de nuevos </w:t>
      </w:r>
      <w:r w:rsidR="00EB06D0">
        <w:rPr>
          <w:color w:val="000000"/>
          <w:sz w:val="20"/>
        </w:rPr>
        <w:t>cargos</w:t>
      </w:r>
      <w:r w:rsidRPr="00374E14">
        <w:rPr>
          <w:color w:val="000000"/>
          <w:sz w:val="20"/>
        </w:rPr>
        <w:t xml:space="preserve"> en 2016/17.  Se ha aplicado un índice general de vacantes del 3% al cálculo total de los costos dando por supuesto que las mejoras de productividad y la automatización permitirán que no sea necesario cubrir 20 puestos durante el bienio, sin que ello afecte a la consecución de los resultados previstos.  Las contrataciones se gestionarán también </w:t>
      </w:r>
      <w:r w:rsidR="00E95A09">
        <w:rPr>
          <w:color w:val="000000"/>
          <w:sz w:val="20"/>
        </w:rPr>
        <w:t>con prudencia</w:t>
      </w:r>
      <w:r w:rsidRPr="00374E14">
        <w:rPr>
          <w:color w:val="000000"/>
          <w:sz w:val="20"/>
        </w:rPr>
        <w:t xml:space="preserve"> para asegurar que queden vacantes otros 10 </w:t>
      </w:r>
      <w:r w:rsidR="00EB06D0">
        <w:rPr>
          <w:color w:val="000000"/>
          <w:sz w:val="20"/>
        </w:rPr>
        <w:t>cargos</w:t>
      </w:r>
      <w:r w:rsidRPr="00374E14">
        <w:rPr>
          <w:color w:val="000000"/>
          <w:sz w:val="20"/>
        </w:rPr>
        <w:t xml:space="preserve"> en todo momento; </w:t>
      </w:r>
    </w:p>
    <w:p w:rsidR="00BC4BF1" w:rsidRPr="00374E14" w:rsidRDefault="00BC4BF1" w:rsidP="00BC4BF1">
      <w:pPr>
        <w:shd w:val="clear" w:color="auto" w:fill="FFFFFF"/>
        <w:ind w:left="714"/>
        <w:jc w:val="both"/>
        <w:rPr>
          <w:color w:val="000000"/>
          <w:sz w:val="20"/>
        </w:rPr>
      </w:pPr>
    </w:p>
    <w:p w:rsidR="00BC4BF1" w:rsidRPr="00374E14" w:rsidRDefault="00BC4BF1" w:rsidP="00BC4BF1">
      <w:pPr>
        <w:numPr>
          <w:ilvl w:val="0"/>
          <w:numId w:val="9"/>
        </w:numPr>
        <w:shd w:val="clear" w:color="auto" w:fill="FFFFFF"/>
        <w:jc w:val="both"/>
        <w:rPr>
          <w:color w:val="000000"/>
          <w:sz w:val="20"/>
        </w:rPr>
      </w:pPr>
      <w:r w:rsidRPr="00374E14">
        <w:rPr>
          <w:color w:val="000000"/>
          <w:sz w:val="20"/>
        </w:rPr>
        <w:t>Las asignaciones para el seguro médico tras la separación del servicio se han mantenido en un</w:t>
      </w:r>
      <w:r w:rsidR="0074205B" w:rsidRPr="00374E14">
        <w:rPr>
          <w:color w:val="000000"/>
          <w:sz w:val="20"/>
        </w:rPr>
        <w:t> </w:t>
      </w:r>
      <w:r w:rsidRPr="00374E14">
        <w:rPr>
          <w:color w:val="000000"/>
          <w:sz w:val="20"/>
        </w:rPr>
        <w:t xml:space="preserve">6,0% para los </w:t>
      </w:r>
      <w:r w:rsidR="00EB06D0">
        <w:rPr>
          <w:color w:val="000000"/>
          <w:sz w:val="20"/>
        </w:rPr>
        <w:t>cargos</w:t>
      </w:r>
      <w:r w:rsidRPr="00374E14">
        <w:rPr>
          <w:color w:val="000000"/>
          <w:sz w:val="20"/>
        </w:rPr>
        <w:t xml:space="preserve"> de plazo fijo y continuos; </w:t>
      </w:r>
    </w:p>
    <w:p w:rsidR="00BC4BF1" w:rsidRPr="00374E14" w:rsidRDefault="00BC4BF1" w:rsidP="00BC4BF1">
      <w:pPr>
        <w:shd w:val="clear" w:color="auto" w:fill="FFFFFF"/>
        <w:ind w:left="720"/>
        <w:jc w:val="both"/>
        <w:rPr>
          <w:color w:val="000000"/>
          <w:sz w:val="20"/>
        </w:rPr>
      </w:pPr>
    </w:p>
    <w:p w:rsidR="00BC4BF1" w:rsidRPr="00374E14" w:rsidRDefault="00BC4BF1" w:rsidP="00BC4BF1">
      <w:pPr>
        <w:numPr>
          <w:ilvl w:val="0"/>
          <w:numId w:val="9"/>
        </w:numPr>
        <w:shd w:val="clear" w:color="auto" w:fill="FFFFFF"/>
        <w:jc w:val="both"/>
        <w:rPr>
          <w:color w:val="000000"/>
          <w:sz w:val="20"/>
        </w:rPr>
      </w:pPr>
      <w:r w:rsidRPr="00374E14">
        <w:rPr>
          <w:color w:val="000000"/>
          <w:sz w:val="20"/>
        </w:rPr>
        <w:t xml:space="preserve">En “Otros gastos de personal” se incluyen las asignaciones presupuestarias bienales para cubrir el seguro de accidentes profesionales (900.000 francos suizos), la Caja Cerrada de Pensiones (700.000 francos suizos), las costas procesales (400.000 francos suizos) y el Programa de recompensa y reconocimiento de la OMPI (120.000 francos suizos); este último se puso en marcha en 2014; </w:t>
      </w:r>
    </w:p>
    <w:p w:rsidR="00BC4BF1" w:rsidRPr="00374E14" w:rsidRDefault="00BC4BF1" w:rsidP="00BC4BF1">
      <w:pPr>
        <w:shd w:val="clear" w:color="auto" w:fill="FFFFFF"/>
        <w:ind w:left="720"/>
        <w:jc w:val="both"/>
        <w:rPr>
          <w:color w:val="000000"/>
          <w:sz w:val="20"/>
        </w:rPr>
      </w:pPr>
    </w:p>
    <w:p w:rsidR="00BC4BF1" w:rsidRPr="00374E14" w:rsidRDefault="00BC4BF1" w:rsidP="00BC4BF1">
      <w:pPr>
        <w:numPr>
          <w:ilvl w:val="0"/>
          <w:numId w:val="9"/>
        </w:numPr>
        <w:shd w:val="clear" w:color="auto" w:fill="FFFFFF"/>
        <w:jc w:val="both"/>
        <w:rPr>
          <w:color w:val="000000"/>
          <w:sz w:val="20"/>
        </w:rPr>
      </w:pPr>
      <w:r w:rsidRPr="00374E14">
        <w:rPr>
          <w:color w:val="000000"/>
          <w:sz w:val="20"/>
        </w:rPr>
        <w:t>La asignaci</w:t>
      </w:r>
      <w:r w:rsidR="00E95A09">
        <w:rPr>
          <w:color w:val="000000"/>
          <w:sz w:val="20"/>
        </w:rPr>
        <w:t>ó</w:t>
      </w:r>
      <w:r w:rsidRPr="00374E14">
        <w:rPr>
          <w:color w:val="000000"/>
          <w:sz w:val="20"/>
        </w:rPr>
        <w:t xml:space="preserve">n para la reclasificación se </w:t>
      </w:r>
      <w:r w:rsidR="00E95A09">
        <w:rPr>
          <w:color w:val="000000"/>
          <w:sz w:val="20"/>
        </w:rPr>
        <w:t>calcula</w:t>
      </w:r>
      <w:r w:rsidRPr="00374E14">
        <w:rPr>
          <w:color w:val="000000"/>
          <w:sz w:val="20"/>
        </w:rPr>
        <w:t xml:space="preserve"> en 1,5 millones de francos suizos en la rúbrica “Sin consignar (personal)” sobre la base de los cost</w:t>
      </w:r>
      <w:r w:rsidR="00303FD9" w:rsidRPr="00374E14">
        <w:rPr>
          <w:color w:val="000000"/>
          <w:sz w:val="20"/>
        </w:rPr>
        <w:t>os de reclasificación reales en </w:t>
      </w:r>
      <w:r w:rsidRPr="00374E14">
        <w:rPr>
          <w:color w:val="000000"/>
          <w:sz w:val="20"/>
        </w:rPr>
        <w:t>2014/15;</w:t>
      </w:r>
    </w:p>
    <w:p w:rsidR="00BC4BF1" w:rsidRPr="00374E14" w:rsidRDefault="00BC4BF1" w:rsidP="00BC4BF1">
      <w:pPr>
        <w:widowControl w:val="0"/>
        <w:ind w:left="720"/>
        <w:jc w:val="both"/>
        <w:rPr>
          <w:color w:val="000000"/>
          <w:sz w:val="20"/>
        </w:rPr>
      </w:pPr>
    </w:p>
    <w:p w:rsidR="00BC4BF1" w:rsidRPr="00374E14" w:rsidRDefault="00BC4BF1" w:rsidP="00BC4BF1">
      <w:pPr>
        <w:widowControl w:val="0"/>
        <w:numPr>
          <w:ilvl w:val="0"/>
          <w:numId w:val="9"/>
        </w:numPr>
        <w:tabs>
          <w:tab w:val="num" w:pos="690"/>
        </w:tabs>
        <w:jc w:val="both"/>
        <w:rPr>
          <w:color w:val="000000"/>
          <w:sz w:val="20"/>
        </w:rPr>
      </w:pPr>
      <w:r w:rsidRPr="00374E14">
        <w:rPr>
          <w:color w:val="000000"/>
          <w:sz w:val="20"/>
        </w:rPr>
        <w:t xml:space="preserve">En el bienio 2014/15 se finalizará casi por completo el proceso de regularización del personal temporal con muchos años de servicio y de las funciones continuas, lo que permitirá establecer </w:t>
      </w:r>
      <w:r w:rsidRPr="00374E14">
        <w:rPr>
          <w:color w:val="000000"/>
          <w:sz w:val="20"/>
        </w:rPr>
        <w:lastRenderedPageBreak/>
        <w:t xml:space="preserve">una base sólida para atender las necesidades de personal de la Organización.  En el próximo bienio se priorizará la atención de las crecientes demandas a través de modelos de asignación de recursos más innovadores y sostenibles.  La asignación de 800.000 francos suizos en la rúbrica “Sin consignar (personal)” se destina específicamente a la regularización de las funciones continuas restantes, dentro del marco de los 156 puestos aprobados en principio por los Estados miembros para su regularización durante las Asambleas de 2010 (documento de referencia WO/CC/63/5).  Hay 41 regularizaciones pendientes actualmente; </w:t>
      </w:r>
    </w:p>
    <w:p w:rsidR="00BC4BF1" w:rsidRPr="00E95A09" w:rsidRDefault="00BC4BF1" w:rsidP="00E95A09">
      <w:pPr>
        <w:widowControl w:val="0"/>
        <w:tabs>
          <w:tab w:val="num" w:pos="690"/>
        </w:tabs>
        <w:jc w:val="both"/>
        <w:rPr>
          <w:color w:val="000000"/>
          <w:sz w:val="12"/>
          <w:szCs w:val="12"/>
        </w:rPr>
      </w:pPr>
    </w:p>
    <w:p w:rsidR="00BC4BF1" w:rsidRPr="00374E14" w:rsidRDefault="00BC4BF1" w:rsidP="00BC4BF1">
      <w:pPr>
        <w:numPr>
          <w:ilvl w:val="0"/>
          <w:numId w:val="9"/>
        </w:numPr>
        <w:shd w:val="clear" w:color="auto" w:fill="FFFFFF"/>
        <w:jc w:val="both"/>
        <w:rPr>
          <w:color w:val="000000"/>
          <w:sz w:val="20"/>
        </w:rPr>
      </w:pPr>
      <w:r w:rsidRPr="00374E14">
        <w:rPr>
          <w:color w:val="000000"/>
          <w:sz w:val="20"/>
        </w:rPr>
        <w:t>Para permitir a la Secretaría supervisar y controlar mejor los gastos relativos a las horas extraordinarias, el costo estimado de esas horas se presupuestará en una asignación separada en la rúbrica “Sin consignar (personal)”.  Teniendo en cuenta las pautas de gastos pasadas, la asignación se calcula en 2 millones de francos suizos.  Se seguirá de cerca la evolución de costos por concepto de horas extraordinarias en coordinación con el programa 23 (Gestión y desarrollo de los recursos humanos) y con las esferas programáticas pertinentes.</w:t>
      </w:r>
    </w:p>
    <w:p w:rsidR="00BC4BF1" w:rsidRPr="00E95A09" w:rsidRDefault="00BC4BF1" w:rsidP="00BC4BF1">
      <w:pPr>
        <w:widowControl w:val="0"/>
        <w:tabs>
          <w:tab w:val="num" w:pos="690"/>
        </w:tabs>
        <w:jc w:val="both"/>
        <w:rPr>
          <w:color w:val="000000"/>
          <w:sz w:val="12"/>
          <w:szCs w:val="12"/>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cs="Arial"/>
          <w:color w:val="000000"/>
          <w:sz w:val="20"/>
          <w:lang w:val="es-ES"/>
        </w:rPr>
      </w:pPr>
      <w:r w:rsidRPr="00374E14">
        <w:rPr>
          <w:rFonts w:ascii="Arial" w:hAnsi="Arial"/>
          <w:sz w:val="20"/>
          <w:lang w:val="es-ES"/>
        </w:rPr>
        <w:t xml:space="preserve">Según las hipótesis de planificación mencionadas, se ha contenido el aumento de los gastos de personal en </w:t>
      </w:r>
      <w:r w:rsidRPr="00374E14">
        <w:rPr>
          <w:rFonts w:ascii="Arial" w:eastAsia="SimSun" w:hAnsi="Arial" w:cs="Arial"/>
          <w:color w:val="000000"/>
          <w:sz w:val="20"/>
          <w:lang w:val="es-ES" w:eastAsia="zh-CN"/>
        </w:rPr>
        <w:t xml:space="preserve">2016/17 al nivel de </w:t>
      </w:r>
      <w:r w:rsidRPr="00374E14">
        <w:rPr>
          <w:rFonts w:ascii="Arial" w:hAnsi="Arial" w:cs="Arial"/>
          <w:color w:val="000000"/>
          <w:sz w:val="20"/>
          <w:lang w:val="es-ES"/>
        </w:rPr>
        <w:t>9,6 millones de francos suizos, o un 2,1%, en relación con el presupuesto aprobado de 2014/15.  Si esa cifra se compara con la del presupuesto de 2014/</w:t>
      </w:r>
      <w:r w:rsidR="00ED0A05">
        <w:rPr>
          <w:rFonts w:ascii="Arial" w:hAnsi="Arial" w:cs="Arial"/>
          <w:color w:val="000000"/>
          <w:sz w:val="20"/>
          <w:lang w:val="es-ES"/>
        </w:rPr>
        <w:t>15 tras las</w:t>
      </w:r>
      <w:r w:rsidRPr="00374E14">
        <w:rPr>
          <w:rFonts w:ascii="Arial" w:hAnsi="Arial" w:cs="Arial"/>
          <w:color w:val="000000"/>
          <w:sz w:val="20"/>
          <w:lang w:val="es-ES"/>
        </w:rPr>
        <w:t xml:space="preserve"> transferencias, el aumento </w:t>
      </w:r>
      <w:r w:rsidR="007A557B">
        <w:rPr>
          <w:rFonts w:ascii="Arial" w:hAnsi="Arial" w:cs="Arial"/>
          <w:color w:val="000000"/>
          <w:sz w:val="20"/>
          <w:lang w:val="es-ES"/>
        </w:rPr>
        <w:t>es de</w:t>
      </w:r>
      <w:r w:rsidRPr="00374E14">
        <w:rPr>
          <w:rFonts w:ascii="Arial" w:hAnsi="Arial" w:cs="Arial"/>
          <w:color w:val="000000"/>
          <w:sz w:val="20"/>
          <w:lang w:val="es-ES"/>
        </w:rPr>
        <w:t xml:space="preserve"> </w:t>
      </w:r>
      <w:r w:rsidRPr="00374E14">
        <w:rPr>
          <w:rFonts w:ascii="Arial" w:eastAsia="SimSun" w:hAnsi="Arial" w:cs="Arial"/>
          <w:color w:val="000000"/>
          <w:sz w:val="20"/>
          <w:lang w:val="es-ES" w:eastAsia="zh-CN"/>
        </w:rPr>
        <w:t>10,3 millones o un 2,3%.  La proporción de los gastos de personal presupuestados en relación con el presupuesto total ha descendido del 66,3% en 2014/15 al</w:t>
      </w:r>
      <w:r w:rsidR="00303FD9" w:rsidRPr="00374E14">
        <w:rPr>
          <w:rFonts w:ascii="Arial" w:eastAsia="SimSun" w:hAnsi="Arial" w:cs="Arial"/>
          <w:color w:val="000000"/>
          <w:sz w:val="20"/>
          <w:lang w:val="es-ES" w:eastAsia="zh-CN"/>
        </w:rPr>
        <w:t> </w:t>
      </w:r>
      <w:r w:rsidRPr="00374E14">
        <w:rPr>
          <w:rFonts w:ascii="Arial" w:eastAsia="SimSun" w:hAnsi="Arial" w:cs="Arial"/>
          <w:color w:val="000000"/>
          <w:sz w:val="20"/>
          <w:lang w:val="es-ES" w:eastAsia="zh-CN"/>
        </w:rPr>
        <w:t xml:space="preserve">64,6% en 2016/17. Eso se debe a la adopción de una estrategia deliberada destinada a frenar los gastos de personal y la participación de los gastos de personal en el total de gastos de la Organización, y avanzar en el objetivo de contar con una fuerza laboral más ágil y flexible que pueda adaptarse fácilmente a las necesidades institucionales.  </w:t>
      </w:r>
    </w:p>
    <w:p w:rsidR="00BC4BF1" w:rsidRPr="00E95A09" w:rsidRDefault="00BC4BF1" w:rsidP="00BC4BF1">
      <w:pPr>
        <w:widowControl w:val="0"/>
        <w:tabs>
          <w:tab w:val="num" w:pos="690"/>
        </w:tabs>
        <w:jc w:val="both"/>
        <w:rPr>
          <w:color w:val="000000"/>
          <w:sz w:val="12"/>
          <w:szCs w:val="12"/>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sz w:val="20"/>
          <w:lang w:val="es-ES"/>
        </w:rPr>
      </w:pPr>
      <w:r w:rsidRPr="00374E14">
        <w:rPr>
          <w:rFonts w:ascii="Arial" w:hAnsi="Arial"/>
          <w:sz w:val="20"/>
          <w:lang w:val="es-ES"/>
        </w:rPr>
        <w:t>El aumento total en 2016/17 en la rúbrica “Puestos”</w:t>
      </w:r>
      <w:r w:rsidRPr="00374E14">
        <w:rPr>
          <w:rFonts w:ascii="Arial" w:hAnsi="Arial"/>
          <w:sz w:val="20"/>
          <w:vertAlign w:val="superscript"/>
          <w:lang w:val="es-ES"/>
        </w:rPr>
        <w:footnoteReference w:id="14"/>
      </w:r>
      <w:r w:rsidRPr="00374E14">
        <w:rPr>
          <w:rFonts w:ascii="Arial" w:hAnsi="Arial"/>
          <w:sz w:val="20"/>
          <w:lang w:val="es-ES"/>
        </w:rPr>
        <w:t xml:space="preserve"> en relación</w:t>
      </w:r>
      <w:r w:rsidR="00303FD9" w:rsidRPr="00374E14">
        <w:rPr>
          <w:rFonts w:ascii="Arial" w:hAnsi="Arial"/>
          <w:sz w:val="20"/>
          <w:lang w:val="es-ES"/>
        </w:rPr>
        <w:t xml:space="preserve"> con el presupuesto aprobado de </w:t>
      </w:r>
      <w:r w:rsidRPr="00374E14">
        <w:rPr>
          <w:rFonts w:ascii="Arial" w:hAnsi="Arial"/>
          <w:sz w:val="20"/>
          <w:lang w:val="es-ES"/>
        </w:rPr>
        <w:t>2014/15 se debe principalmente a los aumentos reglamentarios.  También refleja las regularizaciones terminadas y se compensa por una reducción en la rúbrica “Personal temporal”</w:t>
      </w:r>
      <w:r w:rsidRPr="00374E14">
        <w:rPr>
          <w:rFonts w:ascii="Arial" w:hAnsi="Arial"/>
          <w:sz w:val="18"/>
          <w:vertAlign w:val="superscript"/>
          <w:lang w:val="es-ES"/>
        </w:rPr>
        <w:footnoteReference w:id="15"/>
      </w:r>
      <w:r w:rsidRPr="00374E14">
        <w:rPr>
          <w:rFonts w:ascii="Arial" w:hAnsi="Arial"/>
          <w:sz w:val="18"/>
          <w:lang w:val="es-ES"/>
        </w:rPr>
        <w:t>.</w:t>
      </w:r>
      <w:r w:rsidRPr="00374E14">
        <w:rPr>
          <w:rFonts w:ascii="Arial" w:hAnsi="Arial"/>
          <w:sz w:val="20"/>
          <w:lang w:val="es-ES"/>
        </w:rPr>
        <w:t xml:space="preserve">  </w:t>
      </w:r>
    </w:p>
    <w:p w:rsidR="00BC4BF1" w:rsidRPr="00E95A09" w:rsidRDefault="00BC4BF1" w:rsidP="00BC4BF1">
      <w:pPr>
        <w:pStyle w:val="NormalWeb"/>
        <w:shd w:val="clear" w:color="auto" w:fill="FFFFFF"/>
        <w:jc w:val="both"/>
        <w:rPr>
          <w:rFonts w:ascii="Arial" w:hAnsi="Arial" w:cs="Arial"/>
          <w:color w:val="000000"/>
          <w:sz w:val="12"/>
          <w:szCs w:val="12"/>
          <w:lang w:val="es-ES"/>
        </w:rPr>
      </w:pPr>
    </w:p>
    <w:p w:rsidR="00BC4BF1" w:rsidRPr="00E95A09" w:rsidRDefault="00BC4BF1" w:rsidP="00BC4BF1">
      <w:pPr>
        <w:pStyle w:val="ListParagraph"/>
        <w:widowControl w:val="0"/>
        <w:numPr>
          <w:ilvl w:val="0"/>
          <w:numId w:val="8"/>
        </w:numPr>
        <w:shd w:val="clear" w:color="auto" w:fill="FFFFFF"/>
        <w:tabs>
          <w:tab w:val="left" w:pos="567"/>
        </w:tabs>
        <w:ind w:left="0" w:firstLine="0"/>
        <w:jc w:val="both"/>
        <w:rPr>
          <w:rFonts w:ascii="Arial" w:hAnsi="Arial" w:cs="Arial"/>
          <w:sz w:val="20"/>
          <w:szCs w:val="20"/>
          <w:lang w:val="es-ES"/>
        </w:rPr>
      </w:pPr>
      <w:r w:rsidRPr="00E95A09">
        <w:rPr>
          <w:rFonts w:ascii="Arial" w:hAnsi="Arial" w:cs="Arial"/>
          <w:sz w:val="20"/>
          <w:lang w:val="es-ES"/>
        </w:rPr>
        <w:t xml:space="preserve">La reducción neta en la rúbrica “Otros gastos de personal” se debe a los </w:t>
      </w:r>
      <w:r w:rsidR="0061608B" w:rsidRPr="00E95A09">
        <w:rPr>
          <w:rFonts w:ascii="Arial" w:hAnsi="Arial" w:cs="Arial"/>
          <w:sz w:val="20"/>
          <w:lang w:val="es-ES"/>
        </w:rPr>
        <w:t>ahorros estimados de </w:t>
      </w:r>
      <w:r w:rsidRPr="00E95A09">
        <w:rPr>
          <w:rFonts w:ascii="Arial" w:hAnsi="Arial" w:cs="Arial"/>
          <w:sz w:val="20"/>
          <w:lang w:val="es-ES"/>
        </w:rPr>
        <w:t xml:space="preserve">400.000 francos suizos en lo referente al seguro de accidentes profesionales, compensada en parte por un aumento de 50.000 francos suizos en la Caja Cerrada de Pensiones y un aumento de </w:t>
      </w:r>
      <w:r w:rsidR="007A557B" w:rsidRPr="00E95A09">
        <w:rPr>
          <w:rFonts w:ascii="Arial" w:hAnsi="Arial" w:cs="Arial"/>
          <w:sz w:val="20"/>
          <w:lang w:val="es-ES"/>
        </w:rPr>
        <w:t>unos</w:t>
      </w:r>
      <w:r w:rsidRPr="00E95A09">
        <w:rPr>
          <w:rFonts w:ascii="Arial" w:hAnsi="Arial" w:cs="Arial"/>
          <w:sz w:val="20"/>
          <w:lang w:val="es-ES"/>
        </w:rPr>
        <w:t xml:space="preserve"> 120.000 francos suizos respecto del Programa de </w:t>
      </w:r>
      <w:r w:rsidR="007A557B" w:rsidRPr="00E95A09">
        <w:rPr>
          <w:rFonts w:ascii="Arial" w:hAnsi="Arial" w:cs="Arial"/>
          <w:sz w:val="20"/>
          <w:lang w:val="es-ES"/>
        </w:rPr>
        <w:t xml:space="preserve">Recompensa </w:t>
      </w:r>
      <w:r w:rsidRPr="00E95A09">
        <w:rPr>
          <w:rFonts w:ascii="Arial" w:hAnsi="Arial" w:cs="Arial"/>
          <w:sz w:val="20"/>
          <w:lang w:val="es-ES"/>
        </w:rPr>
        <w:t xml:space="preserve">y </w:t>
      </w:r>
      <w:r w:rsidR="007A557B" w:rsidRPr="00E95A09">
        <w:rPr>
          <w:rFonts w:ascii="Arial" w:hAnsi="Arial" w:cs="Arial"/>
          <w:sz w:val="20"/>
          <w:lang w:val="es-ES"/>
        </w:rPr>
        <w:t xml:space="preserve">Reconocimiento </w:t>
      </w:r>
      <w:r w:rsidRPr="00E95A09">
        <w:rPr>
          <w:rFonts w:ascii="Arial" w:hAnsi="Arial" w:cs="Arial"/>
          <w:sz w:val="20"/>
          <w:lang w:val="es-ES"/>
        </w:rPr>
        <w:t>de la OMPI.</w:t>
      </w:r>
    </w:p>
    <w:p w:rsidR="00BC4BF1" w:rsidRPr="00E95A09" w:rsidRDefault="00BC4BF1" w:rsidP="00E95A09">
      <w:pPr>
        <w:pStyle w:val="NormalWeb"/>
        <w:shd w:val="clear" w:color="auto" w:fill="FFFFFF"/>
        <w:jc w:val="both"/>
        <w:rPr>
          <w:rFonts w:ascii="Arial" w:hAnsi="Arial" w:cs="Arial"/>
          <w:color w:val="000000"/>
          <w:sz w:val="12"/>
          <w:szCs w:val="12"/>
          <w:lang w:val="es-ES"/>
        </w:rPr>
      </w:pPr>
    </w:p>
    <w:p w:rsidR="00BC4BF1" w:rsidRPr="00374E14" w:rsidRDefault="00E95A09" w:rsidP="00BC4BF1">
      <w:pPr>
        <w:pStyle w:val="ListParagraph"/>
        <w:widowControl w:val="0"/>
        <w:numPr>
          <w:ilvl w:val="0"/>
          <w:numId w:val="8"/>
        </w:numPr>
        <w:tabs>
          <w:tab w:val="left" w:pos="567"/>
        </w:tabs>
        <w:ind w:left="0" w:firstLine="0"/>
        <w:jc w:val="both"/>
        <w:rPr>
          <w:rFonts w:ascii="Arial" w:hAnsi="Arial"/>
          <w:sz w:val="20"/>
          <w:lang w:val="es-ES"/>
        </w:rPr>
      </w:pPr>
      <w:r>
        <w:rPr>
          <w:rFonts w:ascii="Arial" w:hAnsi="Arial"/>
          <w:sz w:val="20"/>
          <w:lang w:val="es-ES"/>
        </w:rPr>
        <w:t>El aumento neto</w:t>
      </w:r>
      <w:r w:rsidR="00BC4BF1" w:rsidRPr="00374E14">
        <w:rPr>
          <w:rFonts w:ascii="Arial" w:hAnsi="Arial"/>
          <w:sz w:val="20"/>
          <w:lang w:val="es-ES"/>
        </w:rPr>
        <w:t xml:space="preserve"> en la rúbrica “Sin consignar (personal)”</w:t>
      </w:r>
      <w:r>
        <w:rPr>
          <w:rFonts w:ascii="Arial" w:hAnsi="Arial"/>
          <w:sz w:val="20"/>
          <w:lang w:val="es-ES"/>
        </w:rPr>
        <w:t>, debido</w:t>
      </w:r>
      <w:r w:rsidR="00BC4BF1" w:rsidRPr="00374E14">
        <w:rPr>
          <w:rFonts w:ascii="Arial" w:hAnsi="Arial"/>
          <w:sz w:val="20"/>
          <w:lang w:val="es-ES"/>
        </w:rPr>
        <w:t xml:space="preserve"> pr</w:t>
      </w:r>
      <w:r>
        <w:rPr>
          <w:rFonts w:ascii="Arial" w:hAnsi="Arial"/>
          <w:sz w:val="20"/>
          <w:lang w:val="es-ES"/>
        </w:rPr>
        <w:t xml:space="preserve">incipalmente a los </w:t>
      </w:r>
      <w:r w:rsidR="00BC4BF1" w:rsidRPr="00374E14">
        <w:rPr>
          <w:rFonts w:ascii="Arial" w:hAnsi="Arial"/>
          <w:sz w:val="20"/>
          <w:lang w:val="es-ES"/>
        </w:rPr>
        <w:t xml:space="preserve">2 millones de francos suizos </w:t>
      </w:r>
      <w:r>
        <w:rPr>
          <w:rFonts w:ascii="Arial" w:hAnsi="Arial"/>
          <w:sz w:val="20"/>
          <w:lang w:val="es-ES"/>
        </w:rPr>
        <w:t>asignados a</w:t>
      </w:r>
      <w:r w:rsidR="00BC4BF1" w:rsidRPr="00374E14">
        <w:rPr>
          <w:rFonts w:ascii="Arial" w:hAnsi="Arial"/>
          <w:sz w:val="20"/>
          <w:lang w:val="es-ES"/>
        </w:rPr>
        <w:t xml:space="preserve"> gastos de horas extraordinarias, presupuestados anteriormente en la rúbrica “Puestos”, se compensa parcialmente por una reducción total de 500.000 francos suizos para reclasificaciones y unos 500.000 francos suizos para regularizaciones, con respecto al presupuesto aprobado de 2014/15.</w:t>
      </w:r>
    </w:p>
    <w:p w:rsidR="00BC4BF1" w:rsidRPr="00E95A09" w:rsidRDefault="00BC4BF1" w:rsidP="00BC4BF1">
      <w:pPr>
        <w:widowControl w:val="0"/>
        <w:tabs>
          <w:tab w:val="num" w:pos="690"/>
        </w:tabs>
        <w:jc w:val="both"/>
        <w:rPr>
          <w:color w:val="000000"/>
          <w:sz w:val="20"/>
        </w:rPr>
      </w:pPr>
    </w:p>
    <w:p w:rsidR="00E95A09" w:rsidRDefault="00E95A09" w:rsidP="00BC4BF1">
      <w:pPr>
        <w:keepNext/>
        <w:keepLines/>
        <w:jc w:val="center"/>
        <w:rPr>
          <w:b/>
          <w:sz w:val="20"/>
          <w:szCs w:val="16"/>
        </w:rPr>
      </w:pPr>
    </w:p>
    <w:p w:rsidR="00BC4BF1" w:rsidRPr="00374E14" w:rsidRDefault="00BC4BF1" w:rsidP="00BC4BF1">
      <w:pPr>
        <w:keepNext/>
        <w:keepLines/>
        <w:jc w:val="center"/>
        <w:rPr>
          <w:b/>
          <w:sz w:val="20"/>
          <w:szCs w:val="16"/>
        </w:rPr>
      </w:pPr>
      <w:r w:rsidRPr="00374E14">
        <w:rPr>
          <w:b/>
          <w:sz w:val="20"/>
          <w:szCs w:val="16"/>
        </w:rPr>
        <w:t>Gráfico</w:t>
      </w:r>
      <w:r w:rsidR="0061608B" w:rsidRPr="00374E14">
        <w:rPr>
          <w:b/>
          <w:sz w:val="20"/>
          <w:szCs w:val="16"/>
        </w:rPr>
        <w:t xml:space="preserve"> 4. </w:t>
      </w:r>
      <w:r w:rsidRPr="00374E14">
        <w:rPr>
          <w:b/>
          <w:sz w:val="20"/>
          <w:szCs w:val="16"/>
        </w:rPr>
        <w:t xml:space="preserve"> Evolución de la estructura de costos 1990/91-2016/17</w:t>
      </w:r>
    </w:p>
    <w:p w:rsidR="00BC4BF1" w:rsidRPr="00374E14" w:rsidRDefault="00BC4BF1" w:rsidP="00BC4BF1">
      <w:pPr>
        <w:keepNext/>
        <w:keepLines/>
        <w:widowControl w:val="0"/>
        <w:tabs>
          <w:tab w:val="num" w:pos="690"/>
        </w:tabs>
        <w:jc w:val="both"/>
        <w:rPr>
          <w:color w:val="000000"/>
          <w:sz w:val="20"/>
        </w:rPr>
      </w:pPr>
    </w:p>
    <w:p w:rsidR="00BC4BF1" w:rsidRPr="00374E14" w:rsidRDefault="00875C38" w:rsidP="00BC4BF1">
      <w:pPr>
        <w:keepNext/>
        <w:keepLines/>
        <w:widowControl w:val="0"/>
        <w:tabs>
          <w:tab w:val="num" w:pos="690"/>
        </w:tabs>
        <w:jc w:val="both"/>
        <w:rPr>
          <w:color w:val="000000"/>
          <w:sz w:val="20"/>
        </w:rPr>
      </w:pPr>
      <w:r w:rsidRPr="00875C38">
        <w:rPr>
          <w:noProof/>
          <w:lang w:val="en-US" w:eastAsia="en-US"/>
        </w:rPr>
        <w:drawing>
          <wp:inline distT="0" distB="0" distL="0" distR="0" wp14:anchorId="18844490" wp14:editId="254712B8">
            <wp:extent cx="5940425" cy="2315266"/>
            <wp:effectExtent l="0" t="0" r="3175" b="889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0425" cy="2315266"/>
                    </a:xfrm>
                    <a:prstGeom prst="rect">
                      <a:avLst/>
                    </a:prstGeom>
                    <a:noFill/>
                    <a:ln>
                      <a:noFill/>
                    </a:ln>
                  </pic:spPr>
                </pic:pic>
              </a:graphicData>
            </a:graphic>
          </wp:inline>
        </w:drawing>
      </w:r>
    </w:p>
    <w:p w:rsidR="00BC4BF1" w:rsidRPr="007A557B" w:rsidRDefault="00BC4BF1" w:rsidP="00BC4BF1">
      <w:pPr>
        <w:widowControl w:val="0"/>
        <w:tabs>
          <w:tab w:val="num" w:pos="690"/>
        </w:tabs>
        <w:jc w:val="both"/>
        <w:rPr>
          <w:color w:val="000000"/>
          <w:sz w:val="16"/>
          <w:szCs w:val="16"/>
        </w:rPr>
      </w:pPr>
    </w:p>
    <w:p w:rsidR="00BC4BF1" w:rsidRPr="007A557B" w:rsidRDefault="00BC4BF1" w:rsidP="00BC4BF1">
      <w:pPr>
        <w:widowControl w:val="0"/>
        <w:tabs>
          <w:tab w:val="num" w:pos="690"/>
        </w:tabs>
        <w:jc w:val="both"/>
        <w:rPr>
          <w:color w:val="000000"/>
          <w:sz w:val="16"/>
          <w:szCs w:val="16"/>
        </w:rPr>
      </w:pPr>
    </w:p>
    <w:p w:rsidR="00BC4BF1" w:rsidRPr="00374E14" w:rsidRDefault="00BC4BF1" w:rsidP="00BC4BF1">
      <w:pPr>
        <w:widowControl w:val="0"/>
        <w:jc w:val="both"/>
        <w:rPr>
          <w:rFonts w:eastAsia="Times New Roman"/>
          <w:b/>
          <w:iCs/>
          <w:caps/>
          <w:sz w:val="20"/>
          <w:szCs w:val="22"/>
          <w:lang w:eastAsia="en-US"/>
        </w:rPr>
      </w:pPr>
      <w:r w:rsidRPr="00374E14">
        <w:rPr>
          <w:rFonts w:eastAsia="Times New Roman"/>
          <w:b/>
          <w:iCs/>
          <w:caps/>
          <w:sz w:val="20"/>
          <w:szCs w:val="22"/>
          <w:lang w:eastAsia="en-US"/>
        </w:rPr>
        <w:t>ACTIVIDADES DE DESARROLLO Y RECURSOS DE LA AGENDA PARA EL DESARROLLO</w:t>
      </w:r>
    </w:p>
    <w:p w:rsidR="00BC4BF1" w:rsidRPr="00374E14" w:rsidRDefault="00BC4BF1" w:rsidP="00BC4BF1">
      <w:pPr>
        <w:widowControl w:val="0"/>
        <w:jc w:val="both"/>
        <w:rPr>
          <w:bCs/>
          <w:sz w:val="20"/>
        </w:rPr>
      </w:pPr>
    </w:p>
    <w:p w:rsidR="00BC4BF1" w:rsidRPr="00374E14" w:rsidRDefault="00BC4BF1" w:rsidP="00A7655F">
      <w:pPr>
        <w:pStyle w:val="ListParagraph"/>
        <w:widowControl w:val="0"/>
        <w:numPr>
          <w:ilvl w:val="0"/>
          <w:numId w:val="8"/>
        </w:numPr>
        <w:tabs>
          <w:tab w:val="left" w:pos="567"/>
        </w:tabs>
        <w:ind w:left="0" w:firstLine="0"/>
        <w:jc w:val="both"/>
        <w:rPr>
          <w:rFonts w:ascii="Arial" w:hAnsi="Arial" w:cs="Arial"/>
          <w:sz w:val="20"/>
          <w:lang w:val="es-ES"/>
        </w:rPr>
      </w:pPr>
      <w:r w:rsidRPr="00B61B68">
        <w:rPr>
          <w:rFonts w:ascii="Arial" w:hAnsi="Arial"/>
          <w:sz w:val="20"/>
          <w:lang w:val="es-ES"/>
        </w:rPr>
        <w:t xml:space="preserve">El desarrollo sigue siendo una prioridad en el bienio 2016/17, lo que se refleja en la estabilidad de la cuota asignada a actividades para el desarrollo (21,3%) en </w:t>
      </w:r>
      <w:r w:rsidR="007A557B">
        <w:rPr>
          <w:rFonts w:ascii="Arial" w:hAnsi="Arial"/>
          <w:sz w:val="20"/>
          <w:lang w:val="es-ES"/>
        </w:rPr>
        <w:t>ese</w:t>
      </w:r>
      <w:r w:rsidRPr="00B61B68">
        <w:rPr>
          <w:rFonts w:ascii="Arial" w:hAnsi="Arial"/>
          <w:sz w:val="20"/>
          <w:lang w:val="es-ES"/>
        </w:rPr>
        <w:t xml:space="preserve"> bienio.  El aumento absoluto del gasto destinado al desarrollo en 2016/17 representa 7,6 millones de francos suizos o un 5,2%, con respecto al presupuesto aprobado de 2014/15.</w:t>
      </w:r>
      <w:r w:rsidR="00A7655F">
        <w:rPr>
          <w:rFonts w:ascii="Arial" w:hAnsi="Arial"/>
          <w:sz w:val="20"/>
          <w:lang w:val="es-ES"/>
        </w:rPr>
        <w:t xml:space="preserve"> </w:t>
      </w:r>
      <w:r w:rsidRPr="00B61B68">
        <w:rPr>
          <w:rFonts w:ascii="Arial" w:hAnsi="Arial"/>
          <w:sz w:val="20"/>
          <w:lang w:val="es-ES"/>
        </w:rPr>
        <w:t xml:space="preserve"> En el cuadro que figura a continuación </w:t>
      </w:r>
      <w:r w:rsidRPr="00B61B68">
        <w:rPr>
          <w:rFonts w:ascii="Arial" w:hAnsi="Arial" w:cs="Arial"/>
          <w:sz w:val="20"/>
          <w:lang w:val="es-ES"/>
        </w:rPr>
        <w:t>se exponen los detalles de los gastos destinados al desarrollo en 2016/17,</w:t>
      </w:r>
      <w:r w:rsidRPr="00B61B68">
        <w:rPr>
          <w:rFonts w:ascii="Arial" w:eastAsia="SimSun" w:hAnsi="Arial" w:cs="Arial"/>
          <w:sz w:val="20"/>
          <w:szCs w:val="20"/>
          <w:lang w:val="es-ES" w:eastAsia="zh-CN"/>
        </w:rPr>
        <w:t xml:space="preserve"> </w:t>
      </w:r>
      <w:r w:rsidRPr="00B61B68">
        <w:rPr>
          <w:rFonts w:ascii="Arial" w:hAnsi="Arial" w:cs="Arial"/>
          <w:sz w:val="20"/>
          <w:lang w:val="es-ES"/>
        </w:rPr>
        <w:t xml:space="preserve">por programa.  Se consideran </w:t>
      </w:r>
      <w:r w:rsidRPr="00B61B68">
        <w:rPr>
          <w:rFonts w:ascii="Arial" w:hAnsi="Arial" w:cs="Arial"/>
          <w:i/>
          <w:sz w:val="20"/>
          <w:lang w:val="es-ES"/>
        </w:rPr>
        <w:t>gastos destinados al desarrollo</w:t>
      </w:r>
      <w:r w:rsidRPr="00B61B68">
        <w:rPr>
          <w:rFonts w:ascii="Arial" w:hAnsi="Arial" w:cs="Arial"/>
          <w:sz w:val="20"/>
          <w:lang w:val="es-ES"/>
        </w:rPr>
        <w:t xml:space="preserve"> únicamente aquellos en los que el beneficiario es un país en desarrollo y no se ha previsto un gasto equivalente para países desarrollados. </w:t>
      </w:r>
      <w:r w:rsidR="00ED6167">
        <w:rPr>
          <w:rFonts w:ascii="Arial" w:hAnsi="Arial" w:cs="Arial"/>
          <w:sz w:val="20"/>
          <w:lang w:val="es-ES"/>
        </w:rPr>
        <w:t xml:space="preserve"> </w:t>
      </w:r>
      <w:r w:rsidRPr="00B61B68">
        <w:rPr>
          <w:rFonts w:ascii="Arial" w:hAnsi="Arial" w:cs="Arial"/>
          <w:sz w:val="20"/>
          <w:lang w:val="es-ES"/>
        </w:rPr>
        <w:t>En tales importes quedan excluidos los ingresos perdidos por causa de la reducción de tasas acordada por los sistemas internacionales de registro a solicitantes de países en desarrollo</w:t>
      </w:r>
      <w:r w:rsidRPr="00B61B68">
        <w:rPr>
          <w:rStyle w:val="FootnoteReference"/>
          <w:rFonts w:ascii="Arial" w:hAnsi="Arial" w:cs="Arial"/>
          <w:lang w:val="es-ES"/>
        </w:rPr>
        <w:footnoteReference w:id="16"/>
      </w:r>
      <w:r w:rsidRPr="00B61B68">
        <w:rPr>
          <w:rFonts w:ascii="Arial" w:hAnsi="Arial" w:cs="Arial"/>
          <w:sz w:val="20"/>
          <w:lang w:val="es-ES"/>
        </w:rPr>
        <w:t xml:space="preserve">.  </w:t>
      </w:r>
      <w:r w:rsidR="007A557B">
        <w:rPr>
          <w:rFonts w:ascii="Arial" w:hAnsi="Arial" w:cs="Arial"/>
          <w:sz w:val="20"/>
          <w:lang w:val="es-ES"/>
        </w:rPr>
        <w:t>De incluirse</w:t>
      </w:r>
      <w:r w:rsidRPr="00B61B68">
        <w:rPr>
          <w:rFonts w:ascii="Arial" w:hAnsi="Arial" w:cs="Arial"/>
          <w:sz w:val="20"/>
          <w:lang w:val="es-ES"/>
        </w:rPr>
        <w:t xml:space="preserve"> tales gastos, el total </w:t>
      </w:r>
      <w:r w:rsidR="007A557B">
        <w:rPr>
          <w:rFonts w:ascii="Arial" w:hAnsi="Arial" w:cs="Arial"/>
          <w:sz w:val="20"/>
          <w:lang w:val="es-ES"/>
        </w:rPr>
        <w:t>de</w:t>
      </w:r>
      <w:r w:rsidRPr="00B61B68">
        <w:rPr>
          <w:rFonts w:ascii="Arial" w:hAnsi="Arial" w:cs="Arial"/>
          <w:sz w:val="20"/>
          <w:lang w:val="es-ES"/>
        </w:rPr>
        <w:t xml:space="preserve"> </w:t>
      </w:r>
      <w:r w:rsidRPr="00B61B68">
        <w:rPr>
          <w:rFonts w:ascii="Arial" w:hAnsi="Arial" w:cs="Arial"/>
          <w:i/>
          <w:sz w:val="20"/>
          <w:lang w:val="es-ES"/>
        </w:rPr>
        <w:t>gastos destinados al desarrollo</w:t>
      </w:r>
      <w:r w:rsidRPr="00B61B68">
        <w:rPr>
          <w:rFonts w:ascii="Arial" w:hAnsi="Arial" w:cs="Arial"/>
          <w:sz w:val="20"/>
          <w:lang w:val="es-ES"/>
        </w:rPr>
        <w:t xml:space="preserve"> sería superior.</w:t>
      </w:r>
      <w:r w:rsidRPr="00374E14">
        <w:rPr>
          <w:rFonts w:ascii="Arial" w:hAnsi="Arial" w:cs="Arial"/>
          <w:sz w:val="20"/>
          <w:lang w:val="es-ES"/>
        </w:rPr>
        <w:t xml:space="preserve"> </w:t>
      </w:r>
    </w:p>
    <w:p w:rsidR="00BC4BF1" w:rsidRPr="007A557B" w:rsidRDefault="00BC4BF1" w:rsidP="00BC4BF1">
      <w:pPr>
        <w:ind w:left="-426"/>
        <w:rPr>
          <w:sz w:val="16"/>
          <w:szCs w:val="16"/>
        </w:rPr>
      </w:pPr>
    </w:p>
    <w:p w:rsidR="00BC4BF1" w:rsidRPr="00374E14" w:rsidRDefault="00BC4BF1" w:rsidP="00BC4BF1">
      <w:pPr>
        <w:keepNext/>
        <w:keepLines/>
        <w:ind w:left="-425"/>
        <w:jc w:val="center"/>
        <w:rPr>
          <w:b/>
          <w:sz w:val="20"/>
        </w:rPr>
      </w:pPr>
      <w:r w:rsidRPr="00374E14">
        <w:rPr>
          <w:b/>
          <w:sz w:val="20"/>
        </w:rPr>
        <w:t>Cuadro 6.  Gastos destinados al desarrollo en 2016/17 por programa</w:t>
      </w:r>
    </w:p>
    <w:p w:rsidR="00BC4BF1" w:rsidRPr="00374E14" w:rsidRDefault="00BC4BF1" w:rsidP="00BC4BF1">
      <w:pPr>
        <w:keepNext/>
        <w:keepLines/>
        <w:ind w:left="-425"/>
        <w:jc w:val="center"/>
        <w:rPr>
          <w:i/>
          <w:sz w:val="20"/>
        </w:rPr>
      </w:pPr>
      <w:r w:rsidRPr="00374E14">
        <w:rPr>
          <w:i/>
          <w:sz w:val="20"/>
        </w:rPr>
        <w:t>(</w:t>
      </w:r>
      <w:proofErr w:type="gramStart"/>
      <w:r w:rsidRPr="00374E14">
        <w:rPr>
          <w:i/>
          <w:sz w:val="20"/>
        </w:rPr>
        <w:t>en</w:t>
      </w:r>
      <w:proofErr w:type="gramEnd"/>
      <w:r w:rsidRPr="00374E14">
        <w:rPr>
          <w:i/>
          <w:sz w:val="20"/>
        </w:rPr>
        <w:t xml:space="preserve"> miles de francos suizos)</w:t>
      </w:r>
    </w:p>
    <w:p w:rsidR="00BC4BF1" w:rsidRPr="007A557B" w:rsidRDefault="00BC4BF1" w:rsidP="00BC4BF1">
      <w:pPr>
        <w:keepNext/>
        <w:keepLines/>
        <w:ind w:left="-425"/>
        <w:jc w:val="center"/>
        <w:rPr>
          <w:i/>
          <w:sz w:val="10"/>
          <w:szCs w:val="10"/>
        </w:rPr>
      </w:pPr>
    </w:p>
    <w:p w:rsidR="00BC4BF1" w:rsidRPr="00374E14" w:rsidRDefault="003B754B" w:rsidP="00BC4BF1">
      <w:pPr>
        <w:keepNext/>
        <w:keepLines/>
        <w:ind w:left="-425"/>
        <w:jc w:val="center"/>
        <w:rPr>
          <w:i/>
          <w:sz w:val="18"/>
          <w:szCs w:val="18"/>
        </w:rPr>
      </w:pPr>
      <w:r>
        <w:rPr>
          <w:noProof/>
          <w:lang w:val="en-US" w:eastAsia="en-US"/>
        </w:rPr>
        <w:drawing>
          <wp:inline distT="0" distB="0" distL="0" distR="0" wp14:anchorId="32A5DE7B" wp14:editId="2054F305">
            <wp:extent cx="5940425" cy="3886028"/>
            <wp:effectExtent l="0" t="0" r="3175" b="635"/>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3886028"/>
                    </a:xfrm>
                    <a:prstGeom prst="rect">
                      <a:avLst/>
                    </a:prstGeom>
                    <a:noFill/>
                    <a:ln>
                      <a:noFill/>
                    </a:ln>
                  </pic:spPr>
                </pic:pic>
              </a:graphicData>
            </a:graphic>
          </wp:inline>
        </w:drawing>
      </w:r>
    </w:p>
    <w:p w:rsidR="00BC4BF1" w:rsidRPr="00374E14" w:rsidRDefault="00BC4BF1" w:rsidP="00BC4BF1">
      <w:pPr>
        <w:jc w:val="center"/>
        <w:rPr>
          <w:sz w:val="16"/>
          <w:szCs w:val="16"/>
        </w:rPr>
      </w:pPr>
      <w:r w:rsidRPr="00374E14">
        <w:rPr>
          <w:noProof/>
          <w:lang w:val="en-US" w:eastAsia="en-US"/>
        </w:rPr>
        <w:drawing>
          <wp:inline distT="0" distB="0" distL="0" distR="0" wp14:anchorId="3DDB0CF7" wp14:editId="178D3C92">
            <wp:extent cx="648335" cy="1593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8335" cy="159385"/>
                    </a:xfrm>
                    <a:prstGeom prst="rect">
                      <a:avLst/>
                    </a:prstGeom>
                    <a:noFill/>
                    <a:ln>
                      <a:noFill/>
                    </a:ln>
                  </pic:spPr>
                </pic:pic>
              </a:graphicData>
            </a:graphic>
          </wp:inline>
        </w:drawing>
      </w:r>
    </w:p>
    <w:p w:rsidR="00BC4BF1" w:rsidRPr="00374E14" w:rsidRDefault="00BC4BF1" w:rsidP="00BC4BF1">
      <w:pPr>
        <w:ind w:left="-284"/>
        <w:jc w:val="center"/>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cs="Arial"/>
          <w:sz w:val="20"/>
          <w:lang w:val="es-ES"/>
        </w:rPr>
      </w:pPr>
      <w:r w:rsidRPr="00374E14">
        <w:rPr>
          <w:rFonts w:ascii="Arial" w:hAnsi="Arial"/>
          <w:sz w:val="20"/>
          <w:lang w:val="es-ES"/>
        </w:rPr>
        <w:t>La metodología aplicada para calcular la cuota asignada a actividades para el desarrollo en el presupuesto para</w:t>
      </w:r>
      <w:r w:rsidRPr="00374E14">
        <w:rPr>
          <w:rFonts w:ascii="Arial" w:hAnsi="Arial" w:cs="Arial"/>
          <w:sz w:val="20"/>
          <w:lang w:val="es-ES"/>
        </w:rPr>
        <w:t xml:space="preserve"> 2016/17 coincide enteramen</w:t>
      </w:r>
      <w:r w:rsidR="007659FF">
        <w:rPr>
          <w:rFonts w:ascii="Arial" w:hAnsi="Arial" w:cs="Arial"/>
          <w:sz w:val="20"/>
          <w:lang w:val="es-ES"/>
        </w:rPr>
        <w:t>te con la adoptada en 2014/15.</w:t>
      </w:r>
    </w:p>
    <w:p w:rsidR="00BC4BF1" w:rsidRPr="00374E14" w:rsidRDefault="00BC4BF1" w:rsidP="00BC4BF1">
      <w:pPr>
        <w:widowControl w:val="0"/>
        <w:jc w:val="both"/>
        <w:rPr>
          <w:sz w:val="20"/>
        </w:rPr>
      </w:pPr>
    </w:p>
    <w:p w:rsidR="00BC4BF1" w:rsidRPr="00374E14" w:rsidRDefault="00BC4BF1" w:rsidP="00BC4BF1">
      <w:pPr>
        <w:pStyle w:val="ListParagraph"/>
        <w:widowControl w:val="0"/>
        <w:numPr>
          <w:ilvl w:val="0"/>
          <w:numId w:val="8"/>
        </w:numPr>
        <w:tabs>
          <w:tab w:val="left" w:pos="567"/>
        </w:tabs>
        <w:ind w:left="0" w:firstLine="0"/>
        <w:jc w:val="both"/>
        <w:rPr>
          <w:rFonts w:ascii="Arial" w:hAnsi="Arial" w:cs="Arial"/>
          <w:sz w:val="20"/>
          <w:lang w:val="es-ES"/>
        </w:rPr>
      </w:pPr>
      <w:r w:rsidRPr="00374E14">
        <w:rPr>
          <w:rFonts w:ascii="Arial" w:hAnsi="Arial" w:cs="Arial"/>
          <w:sz w:val="20"/>
          <w:lang w:val="es-ES"/>
        </w:rPr>
        <w:t>Se han asignado 2,5 millones de francos suizos en el presupuesto de 2016/17 específicamente para la ejecución de los proyectos de la Agenda para el Desarrollo, a res</w:t>
      </w:r>
      <w:r w:rsidR="003B53E3">
        <w:rPr>
          <w:rFonts w:ascii="Arial" w:hAnsi="Arial" w:cs="Arial"/>
          <w:sz w:val="20"/>
          <w:lang w:val="es-ES"/>
        </w:rPr>
        <w:t>erva de la aprobación del CDIP.</w:t>
      </w:r>
    </w:p>
    <w:p w:rsidR="00BC4BF1" w:rsidRPr="00374E14" w:rsidRDefault="00BC4BF1" w:rsidP="00BC4BF1">
      <w:pPr>
        <w:widowControl w:val="0"/>
        <w:jc w:val="both"/>
        <w:rPr>
          <w:sz w:val="20"/>
        </w:rPr>
      </w:pPr>
    </w:p>
    <w:p w:rsidR="00BC4BF1" w:rsidRPr="00374E14" w:rsidRDefault="00BC4BF1" w:rsidP="00BC4BF1">
      <w:pPr>
        <w:widowControl w:val="0"/>
        <w:jc w:val="both"/>
        <w:rPr>
          <w:sz w:val="20"/>
        </w:rPr>
      </w:pPr>
    </w:p>
    <w:p w:rsidR="00BC4BF1" w:rsidRPr="00374E14" w:rsidRDefault="00BC4BF1" w:rsidP="00BC4BF1">
      <w:pPr>
        <w:keepNext/>
        <w:keepLines/>
        <w:jc w:val="center"/>
        <w:rPr>
          <w:b/>
          <w:sz w:val="20"/>
        </w:rPr>
      </w:pPr>
      <w:r w:rsidRPr="00374E14">
        <w:rPr>
          <w:b/>
          <w:sz w:val="20"/>
        </w:rPr>
        <w:lastRenderedPageBreak/>
        <w:t>Cuadro 7.  Proyectos de la Agenda para el Desarrollo en 2016/17</w:t>
      </w:r>
    </w:p>
    <w:p w:rsidR="00BC4BF1" w:rsidRPr="00374E14" w:rsidRDefault="00BC4BF1" w:rsidP="00BC4BF1">
      <w:pPr>
        <w:keepNext/>
        <w:keepLines/>
        <w:jc w:val="center"/>
        <w:rPr>
          <w:i/>
          <w:sz w:val="20"/>
        </w:rPr>
      </w:pPr>
      <w:r w:rsidRPr="00374E14">
        <w:rPr>
          <w:i/>
          <w:sz w:val="20"/>
        </w:rPr>
        <w:t>(</w:t>
      </w:r>
      <w:proofErr w:type="gramStart"/>
      <w:r w:rsidRPr="00374E14">
        <w:rPr>
          <w:i/>
          <w:sz w:val="20"/>
        </w:rPr>
        <w:t>en</w:t>
      </w:r>
      <w:proofErr w:type="gramEnd"/>
      <w:r w:rsidRPr="00374E14">
        <w:rPr>
          <w:i/>
          <w:sz w:val="20"/>
        </w:rPr>
        <w:t xml:space="preserve"> miles de francos suizos)</w:t>
      </w:r>
    </w:p>
    <w:p w:rsidR="00BC4BF1" w:rsidRPr="00374E14" w:rsidRDefault="00BC4BF1" w:rsidP="00BC4BF1">
      <w:pPr>
        <w:keepNext/>
        <w:keepLines/>
        <w:jc w:val="center"/>
        <w:rPr>
          <w:i/>
          <w:sz w:val="20"/>
        </w:rPr>
      </w:pPr>
    </w:p>
    <w:p w:rsidR="00BC4BF1" w:rsidRPr="00374E14" w:rsidRDefault="003B754B" w:rsidP="00BC4BF1">
      <w:pPr>
        <w:keepNext/>
        <w:keepLines/>
        <w:jc w:val="center"/>
        <w:rPr>
          <w:sz w:val="20"/>
        </w:rPr>
      </w:pPr>
      <w:r>
        <w:rPr>
          <w:noProof/>
          <w:lang w:val="en-US" w:eastAsia="en-US"/>
        </w:rPr>
        <w:drawing>
          <wp:inline distT="0" distB="0" distL="0" distR="0" wp14:anchorId="78836075" wp14:editId="63184E1B">
            <wp:extent cx="5940425" cy="2965770"/>
            <wp:effectExtent l="0" t="0" r="3175" b="635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2965770"/>
                    </a:xfrm>
                    <a:prstGeom prst="rect">
                      <a:avLst/>
                    </a:prstGeom>
                    <a:noFill/>
                    <a:ln>
                      <a:noFill/>
                    </a:ln>
                  </pic:spPr>
                </pic:pic>
              </a:graphicData>
            </a:graphic>
          </wp:inline>
        </w:drawing>
      </w:r>
    </w:p>
    <w:p w:rsidR="00BC4BF1" w:rsidRPr="00374E14" w:rsidRDefault="00BC4BF1" w:rsidP="00BC4BF1">
      <w:pPr>
        <w:keepNext/>
        <w:keepLines/>
        <w:jc w:val="center"/>
        <w:rPr>
          <w:sz w:val="18"/>
          <w:szCs w:val="18"/>
        </w:rPr>
      </w:pPr>
    </w:p>
    <w:p w:rsidR="00BC4BF1" w:rsidRPr="00374E14" w:rsidRDefault="00BC4BF1" w:rsidP="00BC4BF1">
      <w:pPr>
        <w:widowControl w:val="0"/>
        <w:jc w:val="both"/>
        <w:rPr>
          <w:i/>
          <w:sz w:val="16"/>
          <w:szCs w:val="14"/>
        </w:rPr>
      </w:pPr>
      <w:r w:rsidRPr="00374E14">
        <w:rPr>
          <w:i/>
          <w:sz w:val="16"/>
          <w:szCs w:val="14"/>
        </w:rPr>
        <w:t>*Pendiente de aprobación por el CDIP.  El costo estimado total del proyecto es de 540.000 francos suizos.  Plazo de ejecución</w:t>
      </w:r>
      <w:proofErr w:type="gramStart"/>
      <w:r w:rsidRPr="00374E14">
        <w:rPr>
          <w:i/>
          <w:sz w:val="16"/>
          <w:szCs w:val="14"/>
        </w:rPr>
        <w:t xml:space="preserve">: </w:t>
      </w:r>
      <w:r w:rsidR="001C5117">
        <w:rPr>
          <w:i/>
          <w:sz w:val="16"/>
          <w:szCs w:val="14"/>
        </w:rPr>
        <w:t xml:space="preserve"> </w:t>
      </w:r>
      <w:r w:rsidRPr="00374E14">
        <w:rPr>
          <w:i/>
          <w:sz w:val="16"/>
          <w:szCs w:val="14"/>
        </w:rPr>
        <w:t>2016</w:t>
      </w:r>
      <w:proofErr w:type="gramEnd"/>
      <w:r w:rsidRPr="00374E14">
        <w:rPr>
          <w:i/>
          <w:sz w:val="16"/>
          <w:szCs w:val="14"/>
        </w:rPr>
        <w:t xml:space="preserve">-2018. </w:t>
      </w:r>
    </w:p>
    <w:p w:rsidR="00BC4BF1" w:rsidRPr="00374E14" w:rsidRDefault="00BC4BF1" w:rsidP="00BC4BF1">
      <w:pPr>
        <w:widowControl w:val="0"/>
        <w:jc w:val="both"/>
        <w:rPr>
          <w:i/>
          <w:sz w:val="16"/>
          <w:szCs w:val="14"/>
        </w:rPr>
      </w:pPr>
      <w:r w:rsidRPr="00374E14">
        <w:rPr>
          <w:i/>
          <w:sz w:val="16"/>
          <w:szCs w:val="14"/>
        </w:rPr>
        <w:t>** Pendiente de aprobación por el CDIP.  El costo estimado total del proyecto es de 800.000 francos suizos.  Plazo de ejecución</w:t>
      </w:r>
      <w:proofErr w:type="gramStart"/>
      <w:r w:rsidRPr="00374E14">
        <w:rPr>
          <w:i/>
          <w:sz w:val="16"/>
          <w:szCs w:val="14"/>
        </w:rPr>
        <w:t xml:space="preserve">: </w:t>
      </w:r>
      <w:r w:rsidR="001C5117">
        <w:rPr>
          <w:i/>
          <w:sz w:val="16"/>
          <w:szCs w:val="14"/>
        </w:rPr>
        <w:t xml:space="preserve"> </w:t>
      </w:r>
      <w:r w:rsidRPr="00374E14">
        <w:rPr>
          <w:i/>
          <w:sz w:val="16"/>
          <w:szCs w:val="14"/>
        </w:rPr>
        <w:t>2016</w:t>
      </w:r>
      <w:proofErr w:type="gramEnd"/>
      <w:r w:rsidRPr="00374E14">
        <w:rPr>
          <w:i/>
          <w:sz w:val="16"/>
          <w:szCs w:val="14"/>
        </w:rPr>
        <w:t>-2018.</w:t>
      </w:r>
    </w:p>
    <w:p w:rsidR="00BC4BF1" w:rsidRPr="00374E14" w:rsidRDefault="00BC4BF1" w:rsidP="00BC4BF1">
      <w:pPr>
        <w:widowControl w:val="0"/>
        <w:jc w:val="both"/>
        <w:rPr>
          <w:i/>
          <w:sz w:val="16"/>
          <w:szCs w:val="14"/>
        </w:rPr>
      </w:pPr>
      <w:r w:rsidRPr="00374E14">
        <w:rPr>
          <w:i/>
          <w:sz w:val="16"/>
          <w:szCs w:val="14"/>
        </w:rPr>
        <w:t>*** Pendiente de aprobación por el CDIP.</w:t>
      </w:r>
    </w:p>
    <w:p w:rsidR="002E12B3" w:rsidRPr="00C6366D" w:rsidRDefault="00BC4BF1" w:rsidP="00BC4BF1">
      <w:pPr>
        <w:rPr>
          <w:sz w:val="16"/>
          <w:szCs w:val="16"/>
          <w:highlight w:val="lightGray"/>
          <w:lang w:val="es-ES_tradnl"/>
        </w:rPr>
      </w:pPr>
      <w:r w:rsidRPr="00A110D2">
        <w:rPr>
          <w:sz w:val="16"/>
          <w:szCs w:val="16"/>
          <w:highlight w:val="lightGray"/>
        </w:rPr>
        <w:t xml:space="preserve"> </w:t>
      </w:r>
      <w:r w:rsidR="002E12B3" w:rsidRPr="00C6366D">
        <w:rPr>
          <w:sz w:val="16"/>
          <w:szCs w:val="16"/>
          <w:highlight w:val="lightGray"/>
          <w:lang w:val="es-ES_tradnl"/>
        </w:rPr>
        <w:br w:type="page"/>
      </w:r>
    </w:p>
    <w:p w:rsidR="007A557B" w:rsidRPr="005E2929" w:rsidRDefault="007A557B" w:rsidP="00372D5D">
      <w:pPr>
        <w:pStyle w:val="Heading1"/>
        <w:keepNext w:val="0"/>
        <w:tabs>
          <w:tab w:val="left" w:pos="567"/>
        </w:tabs>
        <w:spacing w:before="120"/>
        <w:ind w:left="567" w:hanging="567"/>
        <w:rPr>
          <w:b w:val="0"/>
          <w:sz w:val="24"/>
          <w:szCs w:val="24"/>
          <w:lang w:val="es-ES_tradnl"/>
        </w:rPr>
      </w:pPr>
      <w:bookmarkStart w:id="20" w:name="_Toc367350570"/>
      <w:bookmarkStart w:id="21" w:name="_Toc419283239"/>
      <w:bookmarkStart w:id="22" w:name="_Toc420681129"/>
    </w:p>
    <w:p w:rsidR="002E12B3" w:rsidRPr="005E2929" w:rsidRDefault="002E12B3" w:rsidP="00372D5D">
      <w:pPr>
        <w:pStyle w:val="Heading1"/>
        <w:keepNext w:val="0"/>
        <w:tabs>
          <w:tab w:val="left" w:pos="567"/>
        </w:tabs>
        <w:spacing w:before="120"/>
        <w:ind w:left="567" w:hanging="567"/>
        <w:rPr>
          <w:szCs w:val="22"/>
          <w:lang w:val="es-ES_tradnl"/>
        </w:rPr>
      </w:pPr>
      <w:r w:rsidRPr="005E2929">
        <w:rPr>
          <w:szCs w:val="22"/>
          <w:lang w:val="es-ES_tradnl"/>
        </w:rPr>
        <w:t>II.</w:t>
      </w:r>
      <w:r w:rsidRPr="005E2929">
        <w:rPr>
          <w:szCs w:val="22"/>
          <w:lang w:val="es-ES_tradnl"/>
        </w:rPr>
        <w:tab/>
      </w:r>
      <w:bookmarkEnd w:id="20"/>
      <w:bookmarkEnd w:id="21"/>
      <w:r w:rsidR="00810B44" w:rsidRPr="005E2929">
        <w:rPr>
          <w:szCs w:val="22"/>
        </w:rPr>
        <w:t>DESCRIPCIÓN DE LOS PROGRAMAS, POR META ESTRATÉGICA</w:t>
      </w:r>
      <w:bookmarkEnd w:id="22"/>
    </w:p>
    <w:p w:rsidR="002E12B3" w:rsidRDefault="002E12B3" w:rsidP="002E12B3">
      <w:pPr>
        <w:rPr>
          <w:lang w:val="es-ES_tradnl"/>
        </w:rPr>
      </w:pPr>
    </w:p>
    <w:p w:rsidR="007A557B" w:rsidRPr="00372D5D" w:rsidRDefault="007A557B" w:rsidP="002E12B3">
      <w:pPr>
        <w:rPr>
          <w:lang w:val="es-ES_tradnl"/>
        </w:rPr>
      </w:pPr>
    </w:p>
    <w:p w:rsidR="002E12B3" w:rsidRPr="005E2929" w:rsidRDefault="00340C4D" w:rsidP="00097996">
      <w:pPr>
        <w:pStyle w:val="StyleHeading3ComplexItalic"/>
        <w:tabs>
          <w:tab w:val="clear" w:pos="1985"/>
          <w:tab w:val="left" w:pos="3119"/>
        </w:tabs>
        <w:ind w:left="3119" w:hanging="3119"/>
        <w:rPr>
          <w:rStyle w:val="StyleStyleHeading3ComplexItalicLatin12ptChar"/>
          <w:rFonts w:eastAsia="SimSun"/>
          <w:b/>
          <w:lang w:val="es-ES_tradnl"/>
        </w:rPr>
      </w:pPr>
      <w:bookmarkStart w:id="23" w:name="_Toc367350571"/>
      <w:bookmarkStart w:id="24" w:name="_Toc419283240"/>
      <w:bookmarkStart w:id="25" w:name="_Toc420681130"/>
      <w:r w:rsidRPr="005E2929">
        <w:rPr>
          <w:rStyle w:val="StyleStyleHeading3ComplexItalicLatin12ptChar"/>
          <w:rFonts w:eastAsia="SimSun"/>
          <w:b/>
          <w:lang w:val="es-ES_tradnl"/>
        </w:rPr>
        <w:t>META ESTRATÉGICA I</w:t>
      </w:r>
      <w:r w:rsidR="002E12B3" w:rsidRPr="005E2929">
        <w:rPr>
          <w:rStyle w:val="StyleStyleHeading3ComplexItalicLatin12ptChar"/>
          <w:rFonts w:eastAsia="SimSun"/>
          <w:lang w:val="es-ES_tradnl"/>
        </w:rPr>
        <w:tab/>
      </w:r>
      <w:bookmarkEnd w:id="23"/>
      <w:bookmarkEnd w:id="24"/>
      <w:r w:rsidRPr="005E2929">
        <w:rPr>
          <w:rStyle w:val="StyleStyleHeading3ComplexItalicLatin12ptChar"/>
          <w:rFonts w:eastAsia="SimSun"/>
          <w:b/>
          <w:lang w:val="es-ES_tradnl"/>
        </w:rPr>
        <w:t>EVOLUCIÓN EQUILIBRADA DEL MARCO NORMATIVO INTERNACIONAL DE P.I.</w:t>
      </w:r>
      <w:bookmarkEnd w:id="25"/>
    </w:p>
    <w:p w:rsidR="002E12B3" w:rsidRPr="00372D5D" w:rsidRDefault="002E12B3" w:rsidP="002E12B3">
      <w:pPr>
        <w:autoSpaceDE w:val="0"/>
        <w:autoSpaceDN w:val="0"/>
        <w:adjustRightInd w:val="0"/>
        <w:jc w:val="both"/>
        <w:rPr>
          <w:sz w:val="20"/>
          <w:lang w:val="es-ES_tradnl"/>
        </w:rPr>
      </w:pPr>
    </w:p>
    <w:p w:rsidR="002E12B3" w:rsidRPr="00372D5D" w:rsidRDefault="002E12B3" w:rsidP="002E12B3">
      <w:pPr>
        <w:autoSpaceDE w:val="0"/>
        <w:autoSpaceDN w:val="0"/>
        <w:adjustRightInd w:val="0"/>
        <w:jc w:val="both"/>
        <w:rPr>
          <w:sz w:val="20"/>
          <w:lang w:val="es-ES_tradnl"/>
        </w:rPr>
      </w:pPr>
    </w:p>
    <w:p w:rsidR="002E12B3" w:rsidRPr="00372D5D" w:rsidRDefault="00810B44" w:rsidP="005E2929">
      <w:pPr>
        <w:jc w:val="both"/>
        <w:rPr>
          <w:lang w:val="es-ES_tradnl"/>
        </w:rPr>
      </w:pPr>
      <w:r w:rsidRPr="00372D5D">
        <w:rPr>
          <w:sz w:val="20"/>
          <w:lang w:val="es-ES_tradnl"/>
        </w:rPr>
        <w:t>Esta meta estratégica tiene por finalidad velar por que la normativa internacional de P.I. se mantenga a la par del entorno tecnológico, geoeconómico, social y cultural, que evoluciona rápidamente, sin dejar de tener en cuenta la aplicación de las recomendaciones de la Agenda para el Desarrollo relacionadas con las actividades normativas.  Una evolución equilibrada a este respecto es fundamental para que el sistema de P.I. siga respondiendo a su finalidad primordial de fomentar la innovación y la creatividad;  que en él se tengan en cuenta las necesidades y los intereses de todos los países, sea cual sea su grado de desarrollo, incluso las flexibilidades previstas en los acuerdos internacionales en materia de P.I.;  y que en él se llegue a un justo equilibrio entre i) los derechos de los creadores y titulares de activos de P.I. y los derechos de los usuarios y el público;  y ii) el fomento de la innovación y la creatividad y la difusión de los beneficios sociales de las obras que son producto de la innovación y la creatividad</w:t>
      </w:r>
      <w:r w:rsidR="00E95A09">
        <w:rPr>
          <w:sz w:val="20"/>
          <w:lang w:val="es-ES_tradnl"/>
        </w:rPr>
        <w:t>.</w:t>
      </w:r>
    </w:p>
    <w:p w:rsidR="002E12B3" w:rsidRPr="00372D5D" w:rsidRDefault="002E12B3" w:rsidP="002E12B3">
      <w:pPr>
        <w:rPr>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8"/>
        <w:gridCol w:w="3003"/>
        <w:gridCol w:w="3002"/>
      </w:tblGrid>
      <w:tr w:rsidR="00810B44" w:rsidRPr="00372D5D" w:rsidTr="007855B2">
        <w:trPr>
          <w:cantSplit/>
          <w:tblHeader/>
        </w:trPr>
        <w:tc>
          <w:tcPr>
            <w:tcW w:w="1769" w:type="pct"/>
            <w:tcBorders>
              <w:top w:val="single" w:sz="4" w:space="0" w:color="auto"/>
              <w:bottom w:val="single" w:sz="4" w:space="0" w:color="auto"/>
            </w:tcBorders>
            <w:shd w:val="clear" w:color="auto" w:fill="C6D9F1" w:themeFill="text2" w:themeFillTint="33"/>
            <w:tcMar>
              <w:top w:w="113" w:type="dxa"/>
              <w:bottom w:w="113" w:type="dxa"/>
            </w:tcMar>
            <w:vAlign w:val="center"/>
          </w:tcPr>
          <w:p w:rsidR="00810B44" w:rsidRPr="00372D5D" w:rsidRDefault="00810B44" w:rsidP="009121C1">
            <w:pPr>
              <w:spacing w:after="120"/>
              <w:jc w:val="center"/>
              <w:rPr>
                <w:b/>
                <w:bCs/>
                <w:sz w:val="18"/>
                <w:szCs w:val="18"/>
              </w:rPr>
            </w:pPr>
            <w:r w:rsidRPr="00372D5D">
              <w:rPr>
                <w:b/>
                <w:bCs/>
                <w:sz w:val="18"/>
                <w:szCs w:val="18"/>
              </w:rPr>
              <w:t>Resultados previstos</w:t>
            </w:r>
          </w:p>
        </w:tc>
        <w:tc>
          <w:tcPr>
            <w:tcW w:w="1616" w:type="pct"/>
            <w:tcBorders>
              <w:top w:val="single" w:sz="4" w:space="0" w:color="auto"/>
              <w:bottom w:val="single" w:sz="4" w:space="0" w:color="auto"/>
            </w:tcBorders>
            <w:shd w:val="clear" w:color="auto" w:fill="C6D9F1" w:themeFill="text2" w:themeFillTint="33"/>
            <w:tcMar>
              <w:top w:w="113" w:type="dxa"/>
              <w:bottom w:w="113" w:type="dxa"/>
            </w:tcMar>
            <w:vAlign w:val="center"/>
          </w:tcPr>
          <w:p w:rsidR="00810B44" w:rsidRPr="00372D5D" w:rsidRDefault="00810B44" w:rsidP="009121C1">
            <w:pPr>
              <w:spacing w:after="120"/>
              <w:jc w:val="center"/>
              <w:rPr>
                <w:b/>
                <w:sz w:val="18"/>
                <w:szCs w:val="18"/>
              </w:rPr>
            </w:pPr>
            <w:r w:rsidRPr="00372D5D">
              <w:rPr>
                <w:b/>
                <w:sz w:val="18"/>
                <w:szCs w:val="18"/>
              </w:rPr>
              <w:t>Indicadores de rendimiento</w:t>
            </w:r>
          </w:p>
        </w:tc>
        <w:tc>
          <w:tcPr>
            <w:tcW w:w="1615" w:type="pct"/>
            <w:tcBorders>
              <w:top w:val="single" w:sz="4" w:space="0" w:color="auto"/>
              <w:bottom w:val="single" w:sz="4" w:space="0" w:color="auto"/>
            </w:tcBorders>
            <w:shd w:val="clear" w:color="auto" w:fill="C6D9F1" w:themeFill="text2" w:themeFillTint="33"/>
            <w:tcMar>
              <w:top w:w="113" w:type="dxa"/>
              <w:bottom w:w="113" w:type="dxa"/>
            </w:tcMar>
            <w:vAlign w:val="center"/>
          </w:tcPr>
          <w:p w:rsidR="00810B44" w:rsidRPr="00372D5D" w:rsidRDefault="00810B44" w:rsidP="009121C1">
            <w:pPr>
              <w:spacing w:after="120"/>
              <w:ind w:left="85"/>
              <w:jc w:val="center"/>
              <w:rPr>
                <w:sz w:val="18"/>
                <w:szCs w:val="18"/>
              </w:rPr>
            </w:pPr>
            <w:r w:rsidRPr="00372D5D">
              <w:rPr>
                <w:b/>
                <w:sz w:val="18"/>
                <w:szCs w:val="18"/>
              </w:rPr>
              <w:t>Programas responsables</w:t>
            </w:r>
          </w:p>
        </w:tc>
      </w:tr>
      <w:tr w:rsidR="002E12B3" w:rsidRPr="00372D5D" w:rsidTr="007855B2">
        <w:trPr>
          <w:cantSplit/>
          <w:trHeight w:val="475"/>
        </w:trPr>
        <w:tc>
          <w:tcPr>
            <w:tcW w:w="1769" w:type="pct"/>
            <w:tcBorders>
              <w:top w:val="single" w:sz="4" w:space="0" w:color="auto"/>
            </w:tcBorders>
            <w:shd w:val="clear" w:color="auto" w:fill="auto"/>
            <w:tcMar>
              <w:top w:w="113" w:type="dxa"/>
              <w:bottom w:w="113" w:type="dxa"/>
            </w:tcMar>
          </w:tcPr>
          <w:p w:rsidR="002E12B3" w:rsidRPr="00372D5D" w:rsidRDefault="002E12B3" w:rsidP="007855B2">
            <w:pPr>
              <w:rPr>
                <w:sz w:val="16"/>
                <w:szCs w:val="16"/>
                <w:lang w:val="es-ES_tradnl"/>
              </w:rPr>
            </w:pPr>
            <w:r w:rsidRPr="00372D5D">
              <w:rPr>
                <w:sz w:val="16"/>
                <w:szCs w:val="16"/>
                <w:lang w:val="es-ES_tradnl"/>
              </w:rPr>
              <w:t xml:space="preserve">I.1  </w:t>
            </w:r>
            <w:r w:rsidR="00CA145E" w:rsidRPr="00932EC2">
              <w:rPr>
                <w:sz w:val="16"/>
                <w:szCs w:val="16"/>
                <w:lang w:val="es-ES_tradnl"/>
              </w:rPr>
              <w:t>Mayor cooperación entre los Estados miembros en la elaboración de marcos normativos internacionales de P.I. equilibrados</w:t>
            </w:r>
          </w:p>
        </w:tc>
        <w:tc>
          <w:tcPr>
            <w:tcW w:w="1616" w:type="pct"/>
            <w:tcBorders>
              <w:top w:val="single" w:sz="4" w:space="0" w:color="auto"/>
            </w:tcBorders>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Avances en la ejecución de la labor acordada con arreglo al programa del SCP</w:t>
            </w:r>
          </w:p>
        </w:tc>
        <w:tc>
          <w:tcPr>
            <w:tcW w:w="1615" w:type="pct"/>
            <w:tcBorders>
              <w:top w:val="single" w:sz="4" w:space="0" w:color="auto"/>
            </w:tcBorders>
            <w:shd w:val="clear" w:color="auto" w:fill="FFFFFF"/>
            <w:tcMar>
              <w:top w:w="113" w:type="dxa"/>
              <w:bottom w:w="113" w:type="dxa"/>
            </w:tcMar>
          </w:tcPr>
          <w:p w:rsidR="002E12B3" w:rsidRPr="00372D5D" w:rsidRDefault="002E12B3" w:rsidP="007855B2">
            <w:pPr>
              <w:ind w:left="591"/>
              <w:rPr>
                <w:sz w:val="16"/>
                <w:szCs w:val="16"/>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w:t>
            </w:r>
          </w:p>
        </w:tc>
      </w:tr>
      <w:tr w:rsidR="002E12B3" w:rsidRPr="00372D5D" w:rsidTr="007855B2">
        <w:trPr>
          <w:cantSplit/>
          <w:trHeight w:val="600"/>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rFonts w:eastAsia="Times New Roman"/>
                <w:sz w:val="16"/>
                <w:szCs w:val="16"/>
                <w:lang w:eastAsia="en-US"/>
              </w:rPr>
              <w:t>Nivel de satisfacción de los participantes en talleres/seminarios específicos organizados sobre cuestiones específicas relacionadas con las patentes</w:t>
            </w:r>
          </w:p>
        </w:tc>
        <w:tc>
          <w:tcPr>
            <w:tcW w:w="1615" w:type="pct"/>
            <w:shd w:val="clear" w:color="auto" w:fill="FFFFFF"/>
            <w:tcMar>
              <w:top w:w="113" w:type="dxa"/>
              <w:bottom w:w="113" w:type="dxa"/>
            </w:tcMar>
          </w:tcPr>
          <w:p w:rsidR="002E12B3" w:rsidRPr="00372D5D" w:rsidRDefault="002E12B3" w:rsidP="007855B2">
            <w:pPr>
              <w:ind w:left="591"/>
              <w:rPr>
                <w:sz w:val="16"/>
                <w:szCs w:val="16"/>
              </w:rPr>
            </w:pPr>
            <w:r w:rsidRPr="00372D5D">
              <w:rPr>
                <w:sz w:val="16"/>
                <w:szCs w:val="16"/>
              </w:rPr>
              <w:t>Program</w:t>
            </w:r>
            <w:r w:rsidR="00372D5D" w:rsidRPr="00372D5D">
              <w:rPr>
                <w:sz w:val="16"/>
                <w:szCs w:val="16"/>
              </w:rPr>
              <w:t>a</w:t>
            </w:r>
            <w:r w:rsidRPr="00372D5D">
              <w:rPr>
                <w:sz w:val="16"/>
                <w:szCs w:val="16"/>
              </w:rPr>
              <w:t xml:space="preserve"> 1</w:t>
            </w:r>
          </w:p>
        </w:tc>
      </w:tr>
      <w:tr w:rsidR="002E12B3" w:rsidRPr="00372D5D" w:rsidTr="007855B2">
        <w:trPr>
          <w:cantSplit/>
          <w:trHeight w:val="600"/>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rFonts w:eastAsia="Times New Roman"/>
                <w:sz w:val="16"/>
                <w:szCs w:val="16"/>
                <w:lang w:eastAsia="en-US"/>
              </w:rPr>
              <w:t>Nivel de satisfacción de los participantes en el Programa de Asistencia a Inventores (PAI)</w:t>
            </w:r>
          </w:p>
        </w:tc>
        <w:tc>
          <w:tcPr>
            <w:tcW w:w="1615" w:type="pct"/>
            <w:shd w:val="clear" w:color="auto" w:fill="FFFFFF"/>
            <w:tcMar>
              <w:top w:w="113" w:type="dxa"/>
              <w:bottom w:w="113" w:type="dxa"/>
            </w:tcMar>
          </w:tcPr>
          <w:p w:rsidR="002E12B3" w:rsidRPr="00372D5D" w:rsidRDefault="002E12B3" w:rsidP="007855B2">
            <w:pPr>
              <w:ind w:left="591"/>
              <w:rPr>
                <w:sz w:val="16"/>
                <w:szCs w:val="16"/>
              </w:rPr>
            </w:pPr>
            <w:r w:rsidRPr="00372D5D">
              <w:rPr>
                <w:sz w:val="16"/>
                <w:szCs w:val="16"/>
              </w:rPr>
              <w:t>Program</w:t>
            </w:r>
            <w:r w:rsidR="00372D5D" w:rsidRPr="00372D5D">
              <w:rPr>
                <w:sz w:val="16"/>
                <w:szCs w:val="16"/>
              </w:rPr>
              <w:t>a</w:t>
            </w:r>
            <w:r w:rsidRPr="00372D5D">
              <w:rPr>
                <w:sz w:val="16"/>
                <w:szCs w:val="16"/>
              </w:rPr>
              <w:t xml:space="preserve"> 1</w:t>
            </w:r>
          </w:p>
        </w:tc>
      </w:tr>
      <w:tr w:rsidR="002E12B3" w:rsidRPr="00372D5D" w:rsidTr="007855B2">
        <w:trPr>
          <w:cantSplit/>
          <w:trHeight w:val="578"/>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bidi="th-TH"/>
              </w:rPr>
            </w:pPr>
            <w:r w:rsidRPr="00372D5D">
              <w:rPr>
                <w:sz w:val="16"/>
                <w:szCs w:val="16"/>
                <w:lang w:bidi="th-TH"/>
              </w:rPr>
              <w:t>Progresos en pos de un acuerdo relativo a las cuestiones que están en el orden del día del SCT.</w:t>
            </w:r>
          </w:p>
          <w:p w:rsidR="002E12B3" w:rsidRPr="00372D5D" w:rsidRDefault="002E12B3" w:rsidP="007855B2">
            <w:pPr>
              <w:rPr>
                <w:i/>
                <w:sz w:val="16"/>
                <w:szCs w:val="16"/>
                <w:lang w:val="es-ES_tradnl"/>
              </w:rPr>
            </w:pPr>
          </w:p>
        </w:tc>
        <w:tc>
          <w:tcPr>
            <w:tcW w:w="1615" w:type="pct"/>
            <w:shd w:val="clear" w:color="auto" w:fill="FFFFFF"/>
            <w:tcMar>
              <w:top w:w="113" w:type="dxa"/>
              <w:bottom w:w="113" w:type="dxa"/>
            </w:tcMar>
          </w:tcPr>
          <w:p w:rsidR="002E12B3" w:rsidRPr="00372D5D" w:rsidRDefault="002E12B3" w:rsidP="007855B2">
            <w:pPr>
              <w:ind w:left="591"/>
              <w:rPr>
                <w:sz w:val="16"/>
                <w:szCs w:val="16"/>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w:t>
            </w:r>
          </w:p>
        </w:tc>
      </w:tr>
      <w:tr w:rsidR="002E12B3" w:rsidRPr="00372D5D" w:rsidTr="007855B2">
        <w:trPr>
          <w:cantSplit/>
          <w:trHeight w:val="494"/>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Avance en la realización del trabajo acordado con arreglo al orden del día del SCCR</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3</w:t>
            </w:r>
          </w:p>
        </w:tc>
      </w:tr>
      <w:tr w:rsidR="002E12B3" w:rsidRPr="00372D5D" w:rsidTr="007855B2">
        <w:trPr>
          <w:cantSplit/>
          <w:trHeight w:val="671"/>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Progresos en la aplicación de las actividades normativas sobre P.I. y RR.GG., CC.TT. y ECT, según lo acordado por los Estados miembros.</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4</w:t>
            </w:r>
          </w:p>
        </w:tc>
      </w:tr>
      <w:tr w:rsidR="002E12B3" w:rsidRPr="00372D5D" w:rsidTr="007855B2">
        <w:trPr>
          <w:cantSplit/>
          <w:trHeight w:val="487"/>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de ratificaciones/adhesiones al Tratado de Singapur</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w:t>
            </w:r>
          </w:p>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20</w:t>
            </w:r>
          </w:p>
        </w:tc>
      </w:tr>
      <w:tr w:rsidR="002E12B3" w:rsidRPr="00372D5D" w:rsidTr="007855B2">
        <w:trPr>
          <w:cantSplit/>
          <w:trHeight w:val="1300"/>
        </w:trPr>
        <w:tc>
          <w:tcPr>
            <w:tcW w:w="1769" w:type="pct"/>
            <w:shd w:val="clear" w:color="auto" w:fill="auto"/>
            <w:tcMar>
              <w:top w:w="113" w:type="dxa"/>
              <w:bottom w:w="113" w:type="dxa"/>
            </w:tcMar>
          </w:tcPr>
          <w:p w:rsidR="002E12B3" w:rsidRPr="00372D5D" w:rsidRDefault="002E12B3" w:rsidP="00C82EDD">
            <w:pPr>
              <w:rPr>
                <w:sz w:val="16"/>
                <w:szCs w:val="16"/>
                <w:lang w:val="es-ES_tradnl"/>
              </w:rPr>
            </w:pPr>
            <w:r w:rsidRPr="00372D5D">
              <w:rPr>
                <w:sz w:val="16"/>
                <w:szCs w:val="16"/>
                <w:lang w:val="es-ES_tradnl"/>
              </w:rPr>
              <w:t xml:space="preserve">I.2  </w:t>
            </w:r>
            <w:r w:rsidR="003E0119" w:rsidRPr="00932EC2">
              <w:rPr>
                <w:sz w:val="16"/>
                <w:szCs w:val="16"/>
                <w:lang w:val="es-ES_tradnl"/>
              </w:rPr>
              <w:t>Marcos de P.I. adaptados y equilibrados en el ámbito legislativo, regulador y de política</w:t>
            </w: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Porcentaje de usuarios que consideran útil la información proporcionada en relación con los principios y prácticas jurídicos de los sistemas de patentes, modelos de utilidad y circuitos integrados, como, por ejemplo, las flexibilidades</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w:t>
            </w:r>
          </w:p>
        </w:tc>
      </w:tr>
      <w:tr w:rsidR="002E12B3" w:rsidRPr="00372D5D" w:rsidTr="007855B2">
        <w:trPr>
          <w:cantSplit/>
          <w:trHeight w:val="675"/>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y porcentaje de Estados miembros satisfechos con el asesoramiento legislativo y de política proporcionado</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w:t>
            </w:r>
          </w:p>
        </w:tc>
      </w:tr>
      <w:tr w:rsidR="002E12B3" w:rsidRPr="00372D5D" w:rsidTr="007855B2">
        <w:trPr>
          <w:cantSplit/>
          <w:trHeight w:val="1025"/>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y porcentaje de Estados miembros/organizaciones regionales que han presentado comentarios positivos sobre el asesoramiento legislativo proporcionado en la esfera de las marcas, los diseños industriales y las indicaciones geográficas</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w:t>
            </w:r>
          </w:p>
          <w:p w:rsidR="002E12B3" w:rsidRPr="00372D5D" w:rsidRDefault="002E12B3" w:rsidP="007855B2">
            <w:pPr>
              <w:ind w:left="591"/>
              <w:rPr>
                <w:sz w:val="16"/>
                <w:szCs w:val="16"/>
                <w:lang w:bidi="th-TH"/>
              </w:rPr>
            </w:pPr>
          </w:p>
        </w:tc>
      </w:tr>
      <w:tr w:rsidR="002E12B3" w:rsidRPr="00372D5D" w:rsidTr="007855B2">
        <w:trPr>
          <w:cantSplit/>
          <w:trHeight w:val="403"/>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de países que han ratificado el Tratado de Beijing o se han adherido a él</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3</w:t>
            </w:r>
          </w:p>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20 </w:t>
            </w:r>
          </w:p>
        </w:tc>
      </w:tr>
      <w:tr w:rsidR="002E12B3" w:rsidRPr="00372D5D" w:rsidTr="007855B2">
        <w:trPr>
          <w:cantSplit/>
          <w:trHeight w:val="506"/>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de países que han ratificado el Tratado de Marrakech o se han adherido a él</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3</w:t>
            </w:r>
          </w:p>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20</w:t>
            </w:r>
          </w:p>
        </w:tc>
      </w:tr>
      <w:tr w:rsidR="002E12B3" w:rsidRPr="00372D5D" w:rsidTr="007855B2">
        <w:trPr>
          <w:cantSplit/>
          <w:trHeight w:val="346"/>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Número de ratificaciones o adhesiones a los tratados de derecho de autor en vigor, incluidos el Convenio de Berna, la Convención de Roma y los Tratados Internet</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3</w:t>
            </w:r>
          </w:p>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20 </w:t>
            </w:r>
          </w:p>
        </w:tc>
      </w:tr>
      <w:tr w:rsidR="002E12B3" w:rsidRPr="00372D5D" w:rsidTr="007855B2">
        <w:trPr>
          <w:cantSplit/>
          <w:trHeight w:val="399"/>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810B44" w:rsidP="007855B2">
            <w:pPr>
              <w:rPr>
                <w:sz w:val="16"/>
                <w:szCs w:val="16"/>
                <w:lang w:val="es-ES_tradnl"/>
              </w:rPr>
            </w:pPr>
            <w:r w:rsidRPr="00372D5D">
              <w:rPr>
                <w:sz w:val="16"/>
                <w:szCs w:val="16"/>
              </w:rPr>
              <w:t>Porcentaje de países que han formulado comentarios positivos sobre el asesoramiento de la OMPI en materia legislativa</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3</w:t>
            </w:r>
          </w:p>
          <w:p w:rsidR="002E12B3" w:rsidRPr="00372D5D" w:rsidRDefault="002E12B3" w:rsidP="007855B2">
            <w:pPr>
              <w:ind w:left="591"/>
              <w:rPr>
                <w:sz w:val="16"/>
                <w:szCs w:val="16"/>
                <w:lang w:bidi="th-TH"/>
              </w:rPr>
            </w:pPr>
          </w:p>
        </w:tc>
      </w:tr>
      <w:tr w:rsidR="002E12B3" w:rsidRPr="00372D5D" w:rsidTr="007855B2">
        <w:trPr>
          <w:cantSplit/>
          <w:trHeight w:val="399"/>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y porcentaje de países que han formulado comentarios positivos sobre el asesoramiento legislativo y de política de la OMPI</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9</w:t>
            </w:r>
          </w:p>
        </w:tc>
      </w:tr>
      <w:tr w:rsidR="002E12B3" w:rsidRPr="00372D5D" w:rsidTr="007855B2">
        <w:trPr>
          <w:cantSplit/>
          <w:trHeight w:val="399"/>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de países con economías en transición con leyes nacionales actualizadas</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10</w:t>
            </w:r>
          </w:p>
        </w:tc>
      </w:tr>
      <w:tr w:rsidR="002E12B3" w:rsidRPr="00372D5D" w:rsidTr="007855B2">
        <w:trPr>
          <w:cantSplit/>
          <w:trHeight w:val="399"/>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de ratificaciones de los tratados administrados por la OMPI</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10</w:t>
            </w:r>
          </w:p>
        </w:tc>
      </w:tr>
      <w:tr w:rsidR="002E12B3" w:rsidRPr="00372D5D" w:rsidTr="007855B2">
        <w:trPr>
          <w:cantSplit/>
          <w:trHeight w:val="744"/>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de países u organizaciones regionales que han aprobado o modificado los marcos pertinentes en aras de una observancia de P.I. efectiva teniendo en cuenta la Parte III del Acuerdo sobre los ADPIC, o que lo están haciendo actualmente, tras recibir asistencia de la OMPI</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17</w:t>
            </w:r>
          </w:p>
        </w:tc>
      </w:tr>
      <w:tr w:rsidR="002E12B3" w:rsidRPr="00372D5D" w:rsidTr="007855B2">
        <w:trPr>
          <w:cantSplit/>
          <w:trHeight w:val="744"/>
        </w:trPr>
        <w:tc>
          <w:tcPr>
            <w:tcW w:w="1769" w:type="pct"/>
            <w:shd w:val="clear" w:color="auto" w:fill="auto"/>
            <w:tcMar>
              <w:top w:w="113" w:type="dxa"/>
              <w:bottom w:w="113" w:type="dxa"/>
            </w:tcMar>
          </w:tcPr>
          <w:p w:rsidR="002E12B3" w:rsidRPr="00372D5D" w:rsidRDefault="002E12B3" w:rsidP="007855B2">
            <w:pPr>
              <w:rPr>
                <w:sz w:val="16"/>
                <w:szCs w:val="16"/>
              </w:rPr>
            </w:pP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de países que ha aprobado o aplicado una estrategia nacional sobre el fomento del respeto por la P.I., o que lo están haciendo actualmente, con ayuda de la OMPI</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17</w:t>
            </w:r>
          </w:p>
        </w:tc>
      </w:tr>
      <w:tr w:rsidR="002E12B3" w:rsidRPr="00372D5D" w:rsidTr="007855B2">
        <w:trPr>
          <w:cantSplit/>
          <w:trHeight w:val="660"/>
        </w:trPr>
        <w:tc>
          <w:tcPr>
            <w:tcW w:w="1769" w:type="pct"/>
            <w:shd w:val="clear" w:color="auto" w:fill="auto"/>
            <w:tcMar>
              <w:top w:w="113" w:type="dxa"/>
              <w:bottom w:w="113" w:type="dxa"/>
            </w:tcMar>
          </w:tcPr>
          <w:p w:rsidR="002E12B3" w:rsidRPr="00932EC2" w:rsidRDefault="002E12B3" w:rsidP="00604E62">
            <w:pPr>
              <w:rPr>
                <w:sz w:val="16"/>
                <w:szCs w:val="16"/>
                <w:lang w:val="es-ES_tradnl"/>
              </w:rPr>
            </w:pPr>
            <w:r w:rsidRPr="00932EC2">
              <w:rPr>
                <w:sz w:val="16"/>
                <w:szCs w:val="16"/>
                <w:lang w:val="es-ES_tradnl"/>
              </w:rPr>
              <w:t xml:space="preserve">I.3  </w:t>
            </w:r>
            <w:r w:rsidR="003E0119" w:rsidRPr="00932EC2">
              <w:rPr>
                <w:sz w:val="16"/>
                <w:szCs w:val="16"/>
                <w:lang w:val="es-ES_tradnl"/>
              </w:rPr>
              <w:t>Aumento de la protección de los emblemas de Estado y de los nombres y emblemas de organizaciones intergubernamentales internacionales</w:t>
            </w: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Número de signos contenidos en la base de datos sobre el artículo 6</w:t>
            </w:r>
            <w:r w:rsidRPr="00372D5D">
              <w:rPr>
                <w:i/>
                <w:sz w:val="16"/>
                <w:szCs w:val="16"/>
              </w:rPr>
              <w:t>ter</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2</w:t>
            </w:r>
          </w:p>
        </w:tc>
      </w:tr>
      <w:tr w:rsidR="002E12B3" w:rsidRPr="00AF5E7C" w:rsidTr="007855B2">
        <w:trPr>
          <w:cantSplit/>
          <w:trHeight w:val="660"/>
        </w:trPr>
        <w:tc>
          <w:tcPr>
            <w:tcW w:w="1769" w:type="pct"/>
            <w:shd w:val="clear" w:color="auto" w:fill="auto"/>
            <w:tcMar>
              <w:top w:w="113" w:type="dxa"/>
              <w:bottom w:w="113" w:type="dxa"/>
            </w:tcMar>
          </w:tcPr>
          <w:p w:rsidR="002E12B3" w:rsidRPr="00932EC2" w:rsidRDefault="002E12B3" w:rsidP="007855B2">
            <w:pPr>
              <w:rPr>
                <w:sz w:val="16"/>
                <w:szCs w:val="16"/>
                <w:lang w:val="es-ES_tradnl"/>
              </w:rPr>
            </w:pPr>
            <w:r w:rsidRPr="00932EC2">
              <w:rPr>
                <w:sz w:val="16"/>
                <w:szCs w:val="16"/>
                <w:lang w:val="es-ES_tradnl"/>
              </w:rPr>
              <w:t xml:space="preserve">I.4 </w:t>
            </w:r>
            <w:r w:rsidR="00810B44" w:rsidRPr="00932EC2">
              <w:rPr>
                <w:sz w:val="16"/>
                <w:szCs w:val="16"/>
                <w:lang w:val="es-ES_tradnl"/>
              </w:rPr>
              <w:t xml:space="preserve"> </w:t>
            </w:r>
            <w:r w:rsidR="003E0119" w:rsidRPr="00932EC2">
              <w:rPr>
                <w:sz w:val="16"/>
                <w:szCs w:val="16"/>
                <w:lang w:val="es-ES_tradnl"/>
              </w:rPr>
              <w:t>Interés creciente en que la OMPI sea un foro de análisis de cuestiones relacionadas con la protección internacional de la información confidencial</w:t>
            </w:r>
          </w:p>
        </w:tc>
        <w:tc>
          <w:tcPr>
            <w:tcW w:w="1616" w:type="pct"/>
            <w:shd w:val="clear" w:color="auto" w:fill="auto"/>
            <w:tcMar>
              <w:top w:w="113" w:type="dxa"/>
              <w:bottom w:w="113" w:type="dxa"/>
            </w:tcMar>
          </w:tcPr>
          <w:p w:rsidR="002E12B3" w:rsidRPr="00372D5D" w:rsidRDefault="00372D5D" w:rsidP="007855B2">
            <w:pPr>
              <w:rPr>
                <w:sz w:val="16"/>
                <w:szCs w:val="16"/>
                <w:lang w:val="es-ES_tradnl"/>
              </w:rPr>
            </w:pPr>
            <w:r w:rsidRPr="00372D5D">
              <w:rPr>
                <w:sz w:val="16"/>
                <w:szCs w:val="16"/>
              </w:rPr>
              <w:t>Porcentaje de usuarios que consideran útil la información proporcionada en relación con los principios y prácticas jurídicos sobre la protección de la información confidencial</w:t>
            </w:r>
          </w:p>
        </w:tc>
        <w:tc>
          <w:tcPr>
            <w:tcW w:w="1615" w:type="pct"/>
            <w:shd w:val="clear" w:color="auto" w:fill="FFFFFF"/>
            <w:tcMar>
              <w:top w:w="113" w:type="dxa"/>
              <w:bottom w:w="113" w:type="dxa"/>
            </w:tcMar>
          </w:tcPr>
          <w:p w:rsidR="002E12B3" w:rsidRPr="00372D5D" w:rsidRDefault="002E12B3" w:rsidP="007855B2">
            <w:pPr>
              <w:ind w:left="591"/>
              <w:rPr>
                <w:sz w:val="16"/>
                <w:szCs w:val="16"/>
                <w:lang w:bidi="th-TH"/>
              </w:rPr>
            </w:pPr>
            <w:r w:rsidRPr="00372D5D">
              <w:rPr>
                <w:sz w:val="16"/>
                <w:szCs w:val="16"/>
                <w:lang w:bidi="th-TH"/>
              </w:rPr>
              <w:t>Program</w:t>
            </w:r>
            <w:r w:rsidR="00372D5D" w:rsidRPr="00372D5D">
              <w:rPr>
                <w:sz w:val="16"/>
                <w:szCs w:val="16"/>
                <w:lang w:bidi="th-TH"/>
              </w:rPr>
              <w:t>a</w:t>
            </w:r>
            <w:r w:rsidRPr="00372D5D">
              <w:rPr>
                <w:sz w:val="16"/>
                <w:szCs w:val="16"/>
                <w:lang w:bidi="th-TH"/>
              </w:rPr>
              <w:t xml:space="preserve"> 1 </w:t>
            </w:r>
          </w:p>
        </w:tc>
      </w:tr>
    </w:tbl>
    <w:p w:rsidR="002E12B3" w:rsidRDefault="002E12B3" w:rsidP="002E12B3"/>
    <w:p w:rsidR="002E12B3" w:rsidRDefault="002E12B3" w:rsidP="002E12B3">
      <w:r>
        <w:br w:type="page"/>
      </w:r>
    </w:p>
    <w:p w:rsidR="008C3B9A" w:rsidRPr="00904F7F" w:rsidRDefault="008C3B9A" w:rsidP="00B8795A">
      <w:pPr>
        <w:pStyle w:val="StyleStyleHeading3ComplexItalicLatin12pt"/>
      </w:pPr>
      <w:bookmarkStart w:id="26" w:name="_Toc420681131"/>
      <w:r w:rsidRPr="00904F7F">
        <w:lastRenderedPageBreak/>
        <w:t>PROGRAMA 1</w:t>
      </w:r>
      <w:r w:rsidRPr="00904F7F">
        <w:tab/>
        <w:t>DERECHO DE PATENTES</w:t>
      </w:r>
      <w:bookmarkEnd w:id="26"/>
    </w:p>
    <w:p w:rsidR="008C3B9A" w:rsidRPr="00904F7F" w:rsidRDefault="008C3B9A" w:rsidP="008C3B9A">
      <w:pPr>
        <w:tabs>
          <w:tab w:val="left" w:pos="1701"/>
        </w:tabs>
        <w:ind w:left="1701" w:hanging="1701"/>
        <w:rPr>
          <w:bCs/>
          <w:iCs/>
          <w:sz w:val="20"/>
        </w:rPr>
      </w:pPr>
    </w:p>
    <w:p w:rsidR="008C3B9A" w:rsidRPr="00904F7F" w:rsidRDefault="008C3B9A" w:rsidP="008C3B9A">
      <w:pPr>
        <w:rPr>
          <w:bCs/>
          <w:sz w:val="20"/>
        </w:rPr>
      </w:pPr>
    </w:p>
    <w:p w:rsidR="008C3B9A" w:rsidRPr="00904F7F" w:rsidRDefault="008C3B9A" w:rsidP="008C3B9A">
      <w:pPr>
        <w:autoSpaceDE w:val="0"/>
        <w:autoSpaceDN w:val="0"/>
        <w:adjustRightInd w:val="0"/>
        <w:ind w:right="-59"/>
        <w:jc w:val="both"/>
      </w:pPr>
      <w:r w:rsidRPr="00904F7F">
        <w:t>CONTEXTO DE PLANIFICACIÓN</w:t>
      </w:r>
    </w:p>
    <w:p w:rsidR="008C3B9A" w:rsidRPr="00904F7F" w:rsidRDefault="008C3B9A" w:rsidP="008C3B9A">
      <w:pPr>
        <w:autoSpaceDE w:val="0"/>
        <w:autoSpaceDN w:val="0"/>
        <w:adjustRightInd w:val="0"/>
        <w:ind w:right="-59"/>
        <w:jc w:val="both"/>
      </w:pPr>
    </w:p>
    <w:p w:rsidR="008C3B9A" w:rsidRPr="00904F7F" w:rsidRDefault="008C3B9A" w:rsidP="008C3B9A">
      <w:pPr>
        <w:numPr>
          <w:ilvl w:val="0"/>
          <w:numId w:val="14"/>
        </w:numPr>
        <w:jc w:val="both"/>
        <w:rPr>
          <w:sz w:val="20"/>
        </w:rPr>
      </w:pPr>
      <w:r w:rsidRPr="00904F7F">
        <w:rPr>
          <w:sz w:val="20"/>
        </w:rPr>
        <w:t>El Programa 1 comprende las cuestiones relacionadas con las patentes, los modelos de utilidad, los esquemas de trazado (topografías) de circuitos integrados y la protección de información técnica/comercial de carácter confidencial (en adelante denominada “información confidencial”).  Entre los desafíos fundamentales que afronta este programa se encuentra la promoción de soluciones multilaterales de manera que el desarrollo del Derecho internacional de patentes se mantenga a la par del entorno tecnológico, económico y social, que evoluciona con rapidez.  Los desafíos más importantes previstos para el bienio 2016/17 son los siguientes:</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función que desempeña el sistema de patentes en unos mecanismos de innovación cada vez más complejos y globalizados y las distintas concepciones que existen en relación con dicha función, incluidos los beneficios que aporta a la sociedad en general;</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demanda creciente de información empírica que sirva para que los encargados de formular políticas formulen opciones de política pública relativas al alcance y a la aplicación adecuados del sistema de patentes;</w:t>
      </w:r>
    </w:p>
    <w:p w:rsidR="008C3B9A" w:rsidRPr="00904F7F" w:rsidRDefault="008C3B9A" w:rsidP="008C3B9A">
      <w:pPr>
        <w:pStyle w:val="ListParagraph"/>
        <w:rPr>
          <w:rFonts w:ascii="Arial" w:hAnsi="Arial" w:cs="Arial"/>
          <w:sz w:val="20"/>
          <w:szCs w:val="20"/>
          <w:lang w:val="es-ES"/>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Información más específica acerca de la función, la incidencia y la aplicación del sistema internacional de patentes, incluidas las flexibilidades que ofrece tanto en el ámbito de los foros internacionales como en materia de asesoramiento legislativo y político a los Estados miembros;</w:t>
      </w:r>
    </w:p>
    <w:p w:rsidR="008C3B9A" w:rsidRPr="00904F7F" w:rsidRDefault="008C3B9A" w:rsidP="008C3B9A">
      <w:pPr>
        <w:tabs>
          <w:tab w:val="left" w:pos="1134"/>
        </w:tabs>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La creciente demanda de asesoramiento legislativo y político a los Estados miembros;</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En el marco del uso creciente del sistema de patentes, la necesidad de tener en cuenta la efectividad, eficacia y calidad de la labor de administración de las patentes que respalde los objetivos del sistema de patentes;</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rPr>
          <w:rFonts w:ascii="Arial" w:hAnsi="Arial" w:cs="Arial"/>
          <w:sz w:val="20"/>
          <w:szCs w:val="20"/>
          <w:lang w:val="es-ES"/>
        </w:rPr>
      </w:pPr>
      <w:r w:rsidRPr="00904F7F">
        <w:rPr>
          <w:rFonts w:ascii="Arial" w:hAnsi="Arial" w:cs="Arial"/>
          <w:sz w:val="20"/>
          <w:szCs w:val="20"/>
          <w:lang w:val="es-ES"/>
        </w:rPr>
        <w:t>Insuficiente capacidad para preparar, presentar y seguir la tramitación de las solicitudes de patente;</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rPr>
          <w:rFonts w:ascii="Arial" w:hAnsi="Arial" w:cs="Arial"/>
          <w:sz w:val="20"/>
          <w:szCs w:val="20"/>
          <w:lang w:val="es-ES"/>
        </w:rPr>
      </w:pPr>
      <w:r w:rsidRPr="00904F7F">
        <w:rPr>
          <w:rFonts w:ascii="Arial" w:hAnsi="Arial" w:cs="Arial"/>
          <w:sz w:val="20"/>
          <w:szCs w:val="20"/>
          <w:lang w:val="es-ES"/>
        </w:rPr>
        <w:t>Como consecuencia del hecho de reconocer más adecuadamente la complejidad de los mecanismos de transferencia de tecnología, la necesidad de abordar el Derecho de patentes en el marco de otras categorías de activos de P.I. estrechamente relacionadas con este, como por ejemplo la protección de la información confidencial;  y</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Mantenerse al día de los avances tecnológicos para comprender qué medidas podrían ser necesarias para responder a los acontecimientos que se producen a nivel internacional, teniendo en cuenta las diversas necesidades de los países que tienen distintos niveles de desarrollo, a la vez que se respetan sus obligaciones internacionales.</w:t>
      </w:r>
    </w:p>
    <w:p w:rsidR="008C3B9A" w:rsidRPr="00904F7F" w:rsidRDefault="008C3B9A" w:rsidP="008C3B9A">
      <w:pPr>
        <w:ind w:left="1134" w:hanging="567"/>
        <w:jc w:val="both"/>
      </w:pPr>
    </w:p>
    <w:p w:rsidR="008C3B9A" w:rsidRPr="00904F7F" w:rsidRDefault="008C3B9A" w:rsidP="008C3B9A">
      <w:pPr>
        <w:ind w:left="1134" w:hanging="567"/>
        <w:jc w:val="both"/>
      </w:pPr>
    </w:p>
    <w:p w:rsidR="008C3B9A" w:rsidRPr="00904F7F" w:rsidRDefault="008C3B9A" w:rsidP="008C3B9A">
      <w:pPr>
        <w:jc w:val="both"/>
      </w:pPr>
      <w:r w:rsidRPr="00904F7F">
        <w:t>ESTRATEGIAS DE EJECUCIÓN</w:t>
      </w:r>
    </w:p>
    <w:p w:rsidR="008C3B9A" w:rsidRPr="00904F7F" w:rsidRDefault="008C3B9A" w:rsidP="008C3B9A">
      <w:pPr>
        <w:jc w:val="both"/>
      </w:pPr>
    </w:p>
    <w:p w:rsidR="008C3B9A" w:rsidRPr="00904F7F" w:rsidRDefault="008C3B9A" w:rsidP="008C3B9A">
      <w:pPr>
        <w:numPr>
          <w:ilvl w:val="0"/>
          <w:numId w:val="14"/>
        </w:numPr>
        <w:jc w:val="both"/>
        <w:rPr>
          <w:sz w:val="20"/>
        </w:rPr>
      </w:pPr>
      <w:r w:rsidRPr="00904F7F">
        <w:rPr>
          <w:sz w:val="20"/>
        </w:rPr>
        <w:t xml:space="preserve">La labor del Comité Permanente sobre el Derecho de Patentes (SCP) se ha estancado debido a que no existe el acuerdo entre los Estados miembros.  Debido a que el motor del proceso normativo son los propios Estados miembros, en el marco del programa los esfuerzos se centrarán en suministrar información fiable y fomentar una coyuntura que favorezca el compromiso y el diálogo entre los Estados miembros en esferas de interés común.  Asimismo, la Secretaría tratará de prestar asistencia a los Estados miembros para celebrar reuniones más eficaces, de manera que los resultados del SCP correspondan más adecuadamente a las aportaciones efectuadas.  Por otro lado, se seguirá mejorando la capacidad de respuesta en materia de asistencia legislativa y política.  En todas las actividades de este programa que se ejecuten durante el bienio se tendrán en cuenta las recomendaciones pertinentes de la A.D.  Más concretamente, el suministro de información sobre patentes y la prestación de asesoramiento legislativo dan cumplida respuesta a las recomendaciones pertinentes de la A.D., respaldando de esta manera los objetivos relativos a “la adopción fundamentada de decisiones y políticas internacionales y nacionales sobre P.I.” y “el establecimiento de marcos normativos de P.I. en el plano nacional e internacional que fomenten la creatividad y la innovación y reflejen el nivel de desarrollo </w:t>
      </w:r>
      <w:r w:rsidRPr="00904F7F">
        <w:rPr>
          <w:sz w:val="20"/>
        </w:rPr>
        <w:lastRenderedPageBreak/>
        <w:t>de los distintos Estados miembros de la OMPI”.  Además, se tendrá en cuenta la labor desarrollada en el marco de los proyectos de la A.D. finalizados que estén relacionados con la P.I. y el dominio público y las patentes y el dominio público.</w:t>
      </w:r>
    </w:p>
    <w:p w:rsidR="008C3B9A" w:rsidRPr="00904F7F" w:rsidRDefault="008C3B9A" w:rsidP="008C3B9A">
      <w:pPr>
        <w:jc w:val="both"/>
        <w:rPr>
          <w:sz w:val="20"/>
        </w:rPr>
      </w:pPr>
    </w:p>
    <w:p w:rsidR="008C3B9A" w:rsidRPr="00904F7F" w:rsidRDefault="008C3B9A" w:rsidP="008C3B9A">
      <w:pPr>
        <w:numPr>
          <w:ilvl w:val="0"/>
          <w:numId w:val="14"/>
        </w:numPr>
        <w:jc w:val="both"/>
        <w:rPr>
          <w:sz w:val="20"/>
        </w:rPr>
      </w:pPr>
      <w:r w:rsidRPr="00904F7F">
        <w:rPr>
          <w:sz w:val="20"/>
        </w:rPr>
        <w:t>Concretamente, para el próximo bienio se han fijado los siguientes objetivos en relación con el programa:</w:t>
      </w:r>
    </w:p>
    <w:p w:rsidR="008C3B9A" w:rsidRPr="00904F7F" w:rsidRDefault="008C3B9A" w:rsidP="008C3B9A">
      <w:pPr>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 xml:space="preserve">organizar </w:t>
      </w:r>
      <w:r w:rsidR="00932EC2">
        <w:rPr>
          <w:rFonts w:ascii="Arial" w:hAnsi="Arial" w:cs="Arial"/>
          <w:sz w:val="20"/>
          <w:szCs w:val="20"/>
          <w:lang w:val="es-ES"/>
        </w:rPr>
        <w:t>las</w:t>
      </w:r>
      <w:r w:rsidRPr="00904F7F">
        <w:rPr>
          <w:rFonts w:ascii="Arial" w:hAnsi="Arial" w:cs="Arial"/>
          <w:sz w:val="20"/>
          <w:szCs w:val="20"/>
          <w:lang w:val="es-ES"/>
        </w:rPr>
        <w:t xml:space="preserve"> sesiones del SCP;</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organizar, previa petición, reuniones de información para representantes de los Estados miembros a los fines de suministrar información sobre cuestiones relacionadas con el Derecho, las políticas y las prácticas en materia de patentes, teniendo debidamente en cuenta las recomendaciones 15 y 16 de la A.D.</w:t>
      </w:r>
    </w:p>
    <w:p w:rsidR="008C3B9A" w:rsidRPr="00904F7F" w:rsidRDefault="008C3B9A" w:rsidP="008C3B9A">
      <w:pPr>
        <w:pStyle w:val="ListParagraph"/>
        <w:rPr>
          <w:rFonts w:ascii="Arial" w:hAnsi="Arial" w:cs="Arial"/>
          <w:sz w:val="20"/>
          <w:szCs w:val="20"/>
          <w:lang w:val="es-ES"/>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proporcionando, previa petición, asesoramiento legislativo a los Estados miembros en relación con las patentes, los modelos de utilidad, los esquemas de trazado (topografías) de circuitos integrados y la protección de información confidencial, conforme a las recomendaciones 17, 20 y 22 de la A.D.;</w:t>
      </w:r>
    </w:p>
    <w:p w:rsidR="008C3B9A" w:rsidRPr="00904F7F" w:rsidRDefault="008C3B9A" w:rsidP="008C3B9A">
      <w:pPr>
        <w:tabs>
          <w:tab w:val="left" w:pos="1134"/>
        </w:tabs>
        <w:ind w:left="1134" w:hanging="567"/>
        <w:jc w:val="both"/>
        <w:rPr>
          <w:sz w:val="20"/>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prestando apoyo y asistencia a los Estados miembros en lo que respecta al Convenio de París, el Tratado de Budapest y el Tratado sobre el Derecho de Patentes;</w:t>
      </w:r>
    </w:p>
    <w:p w:rsidR="008C3B9A" w:rsidRPr="00904F7F" w:rsidRDefault="008C3B9A" w:rsidP="008C3B9A">
      <w:pPr>
        <w:tabs>
          <w:tab w:val="left" w:pos="1134"/>
        </w:tabs>
        <w:ind w:left="1134" w:hanging="567"/>
        <w:jc w:val="both"/>
        <w:rPr>
          <w:sz w:val="20"/>
        </w:rPr>
      </w:pPr>
    </w:p>
    <w:p w:rsidR="008C3B9A" w:rsidRDefault="008C3B9A" w:rsidP="008C3B9A">
      <w:pPr>
        <w:tabs>
          <w:tab w:val="left" w:pos="1134"/>
        </w:tabs>
        <w:ind w:left="1134" w:hanging="567"/>
        <w:jc w:val="both"/>
        <w:rPr>
          <w:sz w:val="20"/>
        </w:rPr>
      </w:pPr>
      <w:r w:rsidRPr="00904F7F">
        <w:rPr>
          <w:sz w:val="20"/>
        </w:rPr>
        <w:t>−</w:t>
      </w:r>
      <w:r w:rsidRPr="00904F7F">
        <w:rPr>
          <w:sz w:val="20"/>
        </w:rPr>
        <w:tab/>
        <w:t>seguir prestando apoyo y asistencia a los Estados miembros con el fin de mejorar las capacidades de crear sistemas funcionales en relación con las patentes, los modelos de utilidad, los esquemas de trazado (topografías) de circuitos integrados y la protección de información confidencial;</w:t>
      </w:r>
    </w:p>
    <w:p w:rsidR="000B3016" w:rsidRDefault="000B3016" w:rsidP="008C3B9A">
      <w:pPr>
        <w:tabs>
          <w:tab w:val="left" w:pos="1134"/>
        </w:tabs>
        <w:ind w:left="1134" w:hanging="567"/>
        <w:jc w:val="both"/>
        <w:rPr>
          <w:sz w:val="20"/>
        </w:rPr>
      </w:pPr>
    </w:p>
    <w:p w:rsidR="000B3016" w:rsidRPr="00932EC2" w:rsidRDefault="00932EC2" w:rsidP="000B3016">
      <w:pPr>
        <w:pStyle w:val="ListParagraph"/>
        <w:numPr>
          <w:ilvl w:val="1"/>
          <w:numId w:val="13"/>
        </w:numPr>
        <w:tabs>
          <w:tab w:val="left" w:pos="1134"/>
        </w:tabs>
        <w:ind w:left="1134" w:hanging="567"/>
        <w:jc w:val="both"/>
        <w:rPr>
          <w:rFonts w:ascii="Arial" w:hAnsi="Arial" w:cs="Arial"/>
          <w:sz w:val="20"/>
          <w:szCs w:val="20"/>
          <w:lang w:val="es-ES"/>
        </w:rPr>
      </w:pPr>
      <w:r w:rsidRPr="00932EC2">
        <w:rPr>
          <w:rFonts w:ascii="Arial" w:hAnsi="Arial" w:cs="Arial"/>
          <w:sz w:val="20"/>
          <w:szCs w:val="20"/>
          <w:lang w:val="es-ES"/>
        </w:rPr>
        <w:t>abordar cuestiones</w:t>
      </w:r>
      <w:r w:rsidR="000B3016" w:rsidRPr="00932EC2">
        <w:rPr>
          <w:rFonts w:ascii="Arial" w:hAnsi="Arial" w:cs="Arial"/>
          <w:sz w:val="20"/>
          <w:szCs w:val="20"/>
          <w:lang w:val="es-ES"/>
        </w:rPr>
        <w:t xml:space="preserve"> relati</w:t>
      </w:r>
      <w:r w:rsidRPr="00932EC2">
        <w:rPr>
          <w:rFonts w:ascii="Arial" w:hAnsi="Arial" w:cs="Arial"/>
          <w:sz w:val="20"/>
          <w:szCs w:val="20"/>
          <w:lang w:val="es-ES"/>
        </w:rPr>
        <w:t>vas a la protección de la información confidencial en el contexto del fomento de la innovación y la difusión de tecnología;  y</w:t>
      </w:r>
    </w:p>
    <w:p w:rsidR="008C3B9A" w:rsidRPr="006A3CA4" w:rsidRDefault="008C3B9A" w:rsidP="008C3B9A">
      <w:pPr>
        <w:tabs>
          <w:tab w:val="left" w:pos="1134"/>
        </w:tabs>
        <w:ind w:left="1134" w:hanging="567"/>
        <w:jc w:val="both"/>
        <w:rPr>
          <w:sz w:val="20"/>
          <w:lang w:val="es-ES_tradnl"/>
        </w:rPr>
      </w:pPr>
    </w:p>
    <w:p w:rsidR="008C3B9A" w:rsidRPr="00904F7F" w:rsidRDefault="008C3B9A" w:rsidP="008C3B9A">
      <w:pPr>
        <w:pStyle w:val="ListParagraph"/>
        <w:numPr>
          <w:ilvl w:val="1"/>
          <w:numId w:val="13"/>
        </w:numPr>
        <w:tabs>
          <w:tab w:val="left" w:pos="1134"/>
        </w:tabs>
        <w:ind w:left="1134" w:hanging="567"/>
        <w:jc w:val="both"/>
        <w:rPr>
          <w:rFonts w:ascii="Arial" w:hAnsi="Arial" w:cs="Arial"/>
          <w:sz w:val="20"/>
          <w:szCs w:val="20"/>
          <w:lang w:val="es-ES"/>
        </w:rPr>
      </w:pPr>
      <w:r w:rsidRPr="00904F7F">
        <w:rPr>
          <w:rFonts w:ascii="Arial" w:hAnsi="Arial" w:cs="Arial"/>
          <w:sz w:val="20"/>
          <w:szCs w:val="20"/>
          <w:lang w:val="es-ES"/>
        </w:rPr>
        <w:t>seguir proporcionando apoyo al Programa 9 (Países africanos, árabes, de América Latina y el Caribe, de Asia y el Pacífico y países menos adelantados) en relación con las cuestiones del Derecho de patentes, incluida la presentación de estudios pertinentes para las recomendaciones 12, 13 y 14, a petición del CDIP;  y</w:t>
      </w:r>
    </w:p>
    <w:p w:rsidR="008C3B9A" w:rsidRDefault="008C3B9A" w:rsidP="008C3B9A">
      <w:pPr>
        <w:tabs>
          <w:tab w:val="left" w:pos="1134"/>
        </w:tabs>
        <w:ind w:left="1134" w:hanging="567"/>
        <w:jc w:val="both"/>
        <w:rPr>
          <w:sz w:val="20"/>
        </w:rPr>
      </w:pPr>
    </w:p>
    <w:p w:rsidR="008C3B9A" w:rsidRPr="00932EC2" w:rsidRDefault="00932EC2" w:rsidP="00932EC2">
      <w:pPr>
        <w:numPr>
          <w:ilvl w:val="0"/>
          <w:numId w:val="14"/>
        </w:numPr>
        <w:jc w:val="both"/>
        <w:rPr>
          <w:shd w:val="clear" w:color="auto" w:fill="FFFF00"/>
        </w:rPr>
      </w:pPr>
      <w:r>
        <w:rPr>
          <w:sz w:val="20"/>
        </w:rPr>
        <w:t xml:space="preserve">El programa 1 </w:t>
      </w:r>
      <w:r w:rsidR="002E2404" w:rsidRPr="00C37CCD">
        <w:rPr>
          <w:sz w:val="20"/>
        </w:rPr>
        <w:t>colabora</w:t>
      </w:r>
      <w:r w:rsidR="002E2404">
        <w:rPr>
          <w:sz w:val="20"/>
        </w:rPr>
        <w:t xml:space="preserve"> principalmente con los programas siguientes</w:t>
      </w:r>
      <w:r w:rsidR="008C3B9A" w:rsidRPr="00932EC2">
        <w:rPr>
          <w:sz w:val="20"/>
        </w:rPr>
        <w:t xml:space="preserve">: </w:t>
      </w:r>
    </w:p>
    <w:p w:rsidR="008C3B9A" w:rsidRPr="00904F7F" w:rsidRDefault="008C3B9A" w:rsidP="008C3B9A">
      <w:pPr>
        <w:ind w:left="720"/>
        <w:rPr>
          <w:shd w:val="clear" w:color="auto" w:fill="FFFF00"/>
        </w:rPr>
      </w:pPr>
    </w:p>
    <w:p w:rsidR="008C3B9A" w:rsidRPr="00904F7F" w:rsidRDefault="008C3B9A" w:rsidP="008C3B9A">
      <w:pPr>
        <w:ind w:left="720"/>
        <w:rPr>
          <w:shd w:val="clear" w:color="auto" w:fill="FFFF00"/>
        </w:rPr>
      </w:pPr>
    </w:p>
    <w:p w:rsidR="008C3B9A" w:rsidRPr="00904F7F" w:rsidRDefault="008C3B9A" w:rsidP="008C3B9A">
      <w:pPr>
        <w:ind w:left="720"/>
        <w:rPr>
          <w:shd w:val="clear" w:color="auto" w:fill="FFFF00"/>
        </w:rPr>
      </w:pPr>
      <w:r w:rsidRPr="00904F7F">
        <w:rPr>
          <w:noProof/>
          <w:lang w:val="en-US" w:eastAsia="en-US"/>
        </w:rPr>
        <w:drawing>
          <wp:anchor distT="0" distB="0" distL="114300" distR="114300" simplePos="0" relativeHeight="251659264" behindDoc="0" locked="0" layoutInCell="1" allowOverlap="1" wp14:anchorId="36794756" wp14:editId="65B28CCD">
            <wp:simplePos x="0" y="0"/>
            <wp:positionH relativeFrom="column">
              <wp:posOffset>-57150</wp:posOffset>
            </wp:positionH>
            <wp:positionV relativeFrom="paragraph">
              <wp:posOffset>22225</wp:posOffset>
            </wp:positionV>
            <wp:extent cx="5943600" cy="2124710"/>
            <wp:effectExtent l="0" t="57150" r="0" b="123190"/>
            <wp:wrapTopAndBottom/>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14:sizeRelH relativeFrom="page">
              <wp14:pctWidth>0</wp14:pctWidth>
            </wp14:sizeRelH>
            <wp14:sizeRelV relativeFrom="page">
              <wp14:pctHeight>0</wp14:pctHeight>
            </wp14:sizeRelV>
          </wp:anchor>
        </w:drawing>
      </w:r>
    </w:p>
    <w:p w:rsidR="008C3B9A" w:rsidRPr="00904F7F" w:rsidRDefault="008C3B9A" w:rsidP="008C3B9A">
      <w:pPr>
        <w:ind w:left="720"/>
      </w:pPr>
    </w:p>
    <w:p w:rsidR="008C3B9A" w:rsidRPr="00904F7F" w:rsidRDefault="008C3B9A" w:rsidP="008C3B9A">
      <w:pPr>
        <w:keepNext/>
        <w:keepLines/>
        <w:rPr>
          <w:shd w:val="clear" w:color="auto" w:fill="FFFF00"/>
        </w:rPr>
      </w:pPr>
      <w:r w:rsidRPr="00904F7F">
        <w:lastRenderedPageBreak/>
        <w:t>PRINCIPALES RIESGOS Y ESTRATEGIAS DE MITIGACIÓN</w:t>
      </w:r>
    </w:p>
    <w:p w:rsidR="008C3B9A" w:rsidRPr="00904F7F" w:rsidRDefault="008C3B9A" w:rsidP="008C3B9A">
      <w:pPr>
        <w:keepNext/>
        <w:keepLines/>
        <w:autoSpaceDE w:val="0"/>
        <w:autoSpaceDN w:val="0"/>
        <w:adjustRightInd w:val="0"/>
        <w:ind w:right="-59"/>
        <w:jc w:val="center"/>
        <w:rPr>
          <w:rFonts w:eastAsia="Times New Roman"/>
          <w:i/>
          <w:sz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8C3B9A" w:rsidRPr="00904F7F" w:rsidTr="002E2404">
        <w:trPr>
          <w:trHeight w:val="424"/>
        </w:trPr>
        <w:tc>
          <w:tcPr>
            <w:tcW w:w="4253" w:type="dxa"/>
            <w:tcBorders>
              <w:top w:val="single" w:sz="4" w:space="0" w:color="auto"/>
              <w:bottom w:val="single" w:sz="4" w:space="0" w:color="auto"/>
            </w:tcBorders>
            <w:shd w:val="clear" w:color="auto" w:fill="C6D9F1"/>
            <w:vAlign w:val="center"/>
          </w:tcPr>
          <w:p w:rsidR="008C3B9A" w:rsidRPr="00904F7F" w:rsidRDefault="008C3B9A" w:rsidP="007855B2">
            <w:pPr>
              <w:keepNext/>
              <w:keepLines/>
              <w:jc w:val="center"/>
              <w:rPr>
                <w:rFonts w:eastAsia="Times New Roman"/>
                <w:b/>
                <w:bCs/>
                <w:sz w:val="18"/>
                <w:szCs w:val="18"/>
                <w:lang w:eastAsia="en-US"/>
              </w:rPr>
            </w:pPr>
            <w:r w:rsidRPr="00904F7F">
              <w:rPr>
                <w:rFonts w:eastAsia="Times New Roman"/>
                <w:b/>
                <w:bCs/>
                <w:sz w:val="18"/>
                <w:szCs w:val="18"/>
                <w:lang w:eastAsia="en-US"/>
              </w:rPr>
              <w:t>Riesgo</w:t>
            </w:r>
          </w:p>
        </w:tc>
        <w:tc>
          <w:tcPr>
            <w:tcW w:w="4961" w:type="dxa"/>
            <w:tcBorders>
              <w:top w:val="single" w:sz="4" w:space="0" w:color="auto"/>
              <w:bottom w:val="single" w:sz="4" w:space="0" w:color="auto"/>
            </w:tcBorders>
            <w:shd w:val="clear" w:color="auto" w:fill="C6D9F1"/>
            <w:vAlign w:val="center"/>
          </w:tcPr>
          <w:p w:rsidR="008C3B9A" w:rsidRPr="00904F7F" w:rsidRDefault="008C3B9A" w:rsidP="007855B2">
            <w:pPr>
              <w:keepNext/>
              <w:keepLines/>
              <w:jc w:val="center"/>
              <w:rPr>
                <w:rFonts w:eastAsia="Times New Roman"/>
                <w:b/>
                <w:bCs/>
                <w:sz w:val="18"/>
                <w:szCs w:val="18"/>
                <w:lang w:eastAsia="en-US"/>
              </w:rPr>
            </w:pPr>
            <w:r w:rsidRPr="00904F7F">
              <w:rPr>
                <w:rFonts w:eastAsia="Times New Roman"/>
                <w:b/>
                <w:bCs/>
                <w:sz w:val="18"/>
                <w:szCs w:val="18"/>
                <w:lang w:eastAsia="en-US"/>
              </w:rPr>
              <w:t>Mitigación</w:t>
            </w:r>
          </w:p>
        </w:tc>
      </w:tr>
      <w:tr w:rsidR="008C3B9A" w:rsidRPr="00DA7EED" w:rsidTr="007855B2">
        <w:trPr>
          <w:trHeight w:val="34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8C3B9A" w:rsidRPr="00904F7F" w:rsidRDefault="008C3B9A" w:rsidP="007855B2">
            <w:pPr>
              <w:keepNext/>
              <w:keepLines/>
              <w:rPr>
                <w:rFonts w:eastAsia="Times New Roman"/>
                <w:sz w:val="16"/>
                <w:szCs w:val="16"/>
                <w:lang w:eastAsia="en-US"/>
              </w:rPr>
            </w:pPr>
            <w:r w:rsidRPr="00904F7F">
              <w:rPr>
                <w:rFonts w:eastAsia="Times New Roman"/>
                <w:sz w:val="16"/>
                <w:szCs w:val="16"/>
                <w:lang w:eastAsia="en-US"/>
              </w:rPr>
              <w:t>Menor pertinencia del Comité Permanente sobre el Derecho de Patentes como foro multilateral.</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8C3B9A" w:rsidRPr="00904F7F" w:rsidRDefault="008C3B9A" w:rsidP="007855B2">
            <w:pPr>
              <w:keepNext/>
              <w:keepLines/>
              <w:rPr>
                <w:rFonts w:eastAsia="Times New Roman"/>
                <w:sz w:val="16"/>
                <w:szCs w:val="16"/>
                <w:lang w:eastAsia="en-US"/>
              </w:rPr>
            </w:pPr>
            <w:r w:rsidRPr="00904F7F">
              <w:rPr>
                <w:rFonts w:eastAsia="Times New Roman"/>
                <w:sz w:val="16"/>
                <w:szCs w:val="16"/>
                <w:lang w:eastAsia="en-US"/>
              </w:rPr>
              <w:t>Creación de un entorno imparcial, profesional e integrador para el diálogo entre los Estados miembros.</w:t>
            </w:r>
          </w:p>
        </w:tc>
      </w:tr>
      <w:tr w:rsidR="008C3B9A" w:rsidRPr="00DA7EED" w:rsidTr="007855B2">
        <w:trPr>
          <w:trHeight w:val="409"/>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8C3B9A" w:rsidRPr="00904F7F" w:rsidRDefault="008C3B9A" w:rsidP="007855B2">
            <w:pPr>
              <w:keepNext/>
              <w:keepLines/>
              <w:rPr>
                <w:rFonts w:eastAsia="Times New Roman"/>
                <w:sz w:val="16"/>
                <w:szCs w:val="16"/>
                <w:lang w:eastAsia="en-US"/>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8C3B9A" w:rsidRPr="00904F7F" w:rsidRDefault="008C3B9A" w:rsidP="007855B2">
            <w:pPr>
              <w:keepNext/>
              <w:keepLines/>
              <w:rPr>
                <w:rFonts w:eastAsia="Times New Roman"/>
                <w:sz w:val="16"/>
                <w:szCs w:val="16"/>
                <w:lang w:eastAsia="en-US"/>
              </w:rPr>
            </w:pPr>
            <w:r w:rsidRPr="00904F7F">
              <w:rPr>
                <w:rFonts w:eastAsia="Times New Roman"/>
                <w:sz w:val="16"/>
                <w:szCs w:val="16"/>
                <w:lang w:eastAsia="en-US"/>
              </w:rPr>
              <w:t>Facilitación de información oportuna, precisa y sustancial para los Estados miembros.</w:t>
            </w:r>
          </w:p>
        </w:tc>
      </w:tr>
    </w:tbl>
    <w:p w:rsidR="008C3B9A" w:rsidRPr="00904F7F" w:rsidRDefault="008C3B9A" w:rsidP="008C3B9A">
      <w:pPr>
        <w:keepNext/>
        <w:keepLines/>
        <w:autoSpaceDE w:val="0"/>
        <w:autoSpaceDN w:val="0"/>
      </w:pPr>
    </w:p>
    <w:p w:rsidR="008C3B9A" w:rsidRPr="00904F7F" w:rsidRDefault="008C3B9A" w:rsidP="008C3B9A">
      <w:pPr>
        <w:keepNext/>
        <w:keepLines/>
        <w:autoSpaceDE w:val="0"/>
        <w:autoSpaceDN w:val="0"/>
      </w:pPr>
    </w:p>
    <w:p w:rsidR="008C3B9A" w:rsidRPr="00904F7F" w:rsidRDefault="008C3B9A" w:rsidP="008C3B9A">
      <w:pPr>
        <w:keepNext/>
        <w:keepLines/>
        <w:autoSpaceDE w:val="0"/>
        <w:autoSpaceDN w:val="0"/>
      </w:pPr>
      <w:r w:rsidRPr="00904F7F">
        <w:t>MARCO DE RESULTADOS</w:t>
      </w:r>
    </w:p>
    <w:p w:rsidR="008C3B9A" w:rsidRPr="00904F7F" w:rsidRDefault="008C3B9A" w:rsidP="008C3B9A">
      <w:pPr>
        <w:autoSpaceDE w:val="0"/>
        <w:autoSpaceDN w:val="0"/>
      </w:pPr>
    </w:p>
    <w:tbl>
      <w:tblPr>
        <w:tblW w:w="9229" w:type="dxa"/>
        <w:tblInd w:w="93" w:type="dxa"/>
        <w:tblLook w:val="04A0" w:firstRow="1" w:lastRow="0" w:firstColumn="1" w:lastColumn="0" w:noHBand="0" w:noVBand="1"/>
      </w:tblPr>
      <w:tblGrid>
        <w:gridCol w:w="2000"/>
        <w:gridCol w:w="2977"/>
        <w:gridCol w:w="2551"/>
        <w:gridCol w:w="1701"/>
      </w:tblGrid>
      <w:tr w:rsidR="008C3B9A" w:rsidRPr="00904F7F" w:rsidTr="002E2404">
        <w:trPr>
          <w:trHeight w:val="465"/>
        </w:trPr>
        <w:tc>
          <w:tcPr>
            <w:tcW w:w="2000" w:type="dxa"/>
            <w:tcBorders>
              <w:top w:val="single" w:sz="4" w:space="0" w:color="auto"/>
              <w:left w:val="single" w:sz="4" w:space="0" w:color="auto"/>
              <w:bottom w:val="single" w:sz="4" w:space="0" w:color="auto"/>
              <w:right w:val="nil"/>
            </w:tcBorders>
            <w:shd w:val="clear" w:color="auto" w:fill="C6D9F1"/>
            <w:noWrap/>
            <w:vAlign w:val="center"/>
            <w:hideMark/>
          </w:tcPr>
          <w:p w:rsidR="008C3B9A" w:rsidRPr="00904F7F" w:rsidRDefault="008C3B9A" w:rsidP="007855B2">
            <w:pPr>
              <w:jc w:val="center"/>
              <w:rPr>
                <w:rFonts w:eastAsia="Times New Roman"/>
                <w:b/>
                <w:bCs/>
                <w:sz w:val="18"/>
                <w:szCs w:val="18"/>
                <w:lang w:eastAsia="en-US"/>
              </w:rPr>
            </w:pPr>
            <w:r w:rsidRPr="00904F7F">
              <w:rPr>
                <w:rFonts w:eastAsia="Times New Roman"/>
                <w:b/>
                <w:bCs/>
                <w:sz w:val="18"/>
                <w:szCs w:val="18"/>
                <w:lang w:eastAsia="en-US"/>
              </w:rPr>
              <w:t>Resultados previstos</w:t>
            </w:r>
          </w:p>
        </w:tc>
        <w:tc>
          <w:tcPr>
            <w:tcW w:w="2977" w:type="dxa"/>
            <w:tcBorders>
              <w:top w:val="single" w:sz="4" w:space="0" w:color="auto"/>
              <w:left w:val="nil"/>
              <w:bottom w:val="single" w:sz="4" w:space="0" w:color="auto"/>
              <w:right w:val="nil"/>
            </w:tcBorders>
            <w:shd w:val="clear" w:color="auto" w:fill="C6D9F1"/>
            <w:noWrap/>
            <w:vAlign w:val="center"/>
            <w:hideMark/>
          </w:tcPr>
          <w:p w:rsidR="008C3B9A" w:rsidRPr="00904F7F" w:rsidRDefault="008C3B9A" w:rsidP="007855B2">
            <w:pPr>
              <w:jc w:val="center"/>
              <w:rPr>
                <w:rFonts w:eastAsia="Times New Roman"/>
                <w:b/>
                <w:bCs/>
                <w:sz w:val="18"/>
                <w:szCs w:val="18"/>
                <w:lang w:eastAsia="en-US"/>
              </w:rPr>
            </w:pPr>
            <w:r w:rsidRPr="00904F7F">
              <w:rPr>
                <w:rFonts w:eastAsia="Times New Roman"/>
                <w:b/>
                <w:bCs/>
                <w:sz w:val="18"/>
                <w:szCs w:val="18"/>
                <w:lang w:eastAsia="en-US"/>
              </w:rPr>
              <w:t>Indicadores de rendimiento</w:t>
            </w:r>
          </w:p>
        </w:tc>
        <w:tc>
          <w:tcPr>
            <w:tcW w:w="2551" w:type="dxa"/>
            <w:tcBorders>
              <w:top w:val="single" w:sz="4" w:space="0" w:color="auto"/>
              <w:left w:val="nil"/>
              <w:bottom w:val="single" w:sz="4" w:space="0" w:color="auto"/>
              <w:right w:val="nil"/>
            </w:tcBorders>
            <w:shd w:val="clear" w:color="auto" w:fill="C6D9F1"/>
            <w:noWrap/>
            <w:vAlign w:val="center"/>
            <w:hideMark/>
          </w:tcPr>
          <w:p w:rsidR="008C3B9A" w:rsidRPr="00904F7F" w:rsidRDefault="008C3B9A" w:rsidP="007855B2">
            <w:pPr>
              <w:ind w:left="176" w:hanging="142"/>
              <w:jc w:val="center"/>
              <w:rPr>
                <w:rFonts w:eastAsia="Times New Roman"/>
                <w:b/>
                <w:bCs/>
                <w:sz w:val="18"/>
                <w:szCs w:val="18"/>
                <w:lang w:eastAsia="en-US"/>
              </w:rPr>
            </w:pPr>
            <w:r w:rsidRPr="00904F7F">
              <w:rPr>
                <w:rFonts w:eastAsia="Times New Roman"/>
                <w:b/>
                <w:bCs/>
                <w:sz w:val="18"/>
                <w:szCs w:val="18"/>
                <w:lang w:eastAsia="en-US"/>
              </w:rPr>
              <w:t>Referencia</w:t>
            </w:r>
          </w:p>
        </w:tc>
        <w:tc>
          <w:tcPr>
            <w:tcW w:w="1701" w:type="dxa"/>
            <w:tcBorders>
              <w:top w:val="single" w:sz="4" w:space="0" w:color="auto"/>
              <w:left w:val="nil"/>
              <w:bottom w:val="single" w:sz="4" w:space="0" w:color="auto"/>
              <w:right w:val="single" w:sz="4" w:space="0" w:color="auto"/>
            </w:tcBorders>
            <w:shd w:val="clear" w:color="auto" w:fill="C6D9F1"/>
            <w:noWrap/>
            <w:vAlign w:val="center"/>
            <w:hideMark/>
          </w:tcPr>
          <w:p w:rsidR="008C3B9A" w:rsidRPr="00904F7F" w:rsidRDefault="008C3B9A" w:rsidP="007855B2">
            <w:pPr>
              <w:jc w:val="center"/>
              <w:rPr>
                <w:rFonts w:eastAsia="Times New Roman"/>
                <w:b/>
                <w:bCs/>
                <w:sz w:val="18"/>
                <w:szCs w:val="18"/>
                <w:lang w:eastAsia="en-US"/>
              </w:rPr>
            </w:pPr>
            <w:r w:rsidRPr="00904F7F">
              <w:rPr>
                <w:rFonts w:eastAsia="Times New Roman"/>
                <w:b/>
                <w:bCs/>
                <w:sz w:val="18"/>
                <w:szCs w:val="18"/>
                <w:lang w:eastAsia="en-US"/>
              </w:rPr>
              <w:t>Objetivos</w:t>
            </w:r>
          </w:p>
        </w:tc>
      </w:tr>
      <w:tr w:rsidR="008C3B9A" w:rsidRPr="00DA7EED" w:rsidTr="007855B2">
        <w:trPr>
          <w:trHeight w:val="1124"/>
        </w:trPr>
        <w:tc>
          <w:tcPr>
            <w:tcW w:w="2000" w:type="dxa"/>
            <w:vMerge w:val="restart"/>
            <w:tcBorders>
              <w:top w:val="single" w:sz="4" w:space="0" w:color="auto"/>
              <w:left w:val="single" w:sz="4" w:space="0" w:color="auto"/>
              <w:right w:val="nil"/>
            </w:tcBorders>
            <w:shd w:val="clear" w:color="000000" w:fill="FFFFFF"/>
            <w:hideMark/>
          </w:tcPr>
          <w:p w:rsidR="008C3B9A" w:rsidRPr="00904F7F" w:rsidRDefault="00814C7F" w:rsidP="007855B2">
            <w:pPr>
              <w:rPr>
                <w:rFonts w:eastAsia="Times New Roman"/>
                <w:sz w:val="16"/>
                <w:szCs w:val="16"/>
                <w:lang w:eastAsia="en-US"/>
              </w:rPr>
            </w:pPr>
            <w:r>
              <w:rPr>
                <w:rFonts w:eastAsia="Times New Roman"/>
                <w:sz w:val="16"/>
                <w:szCs w:val="16"/>
                <w:lang w:eastAsia="en-US"/>
              </w:rPr>
              <w:br/>
              <w:t>I.1</w:t>
            </w:r>
            <w:r w:rsidR="008C3B9A" w:rsidRPr="00904F7F">
              <w:rPr>
                <w:rFonts w:eastAsia="Times New Roman"/>
                <w:sz w:val="16"/>
                <w:szCs w:val="16"/>
                <w:lang w:eastAsia="en-US"/>
              </w:rPr>
              <w:t xml:space="preserve"> </w:t>
            </w:r>
            <w:r w:rsidR="001C77D9">
              <w:rPr>
                <w:rFonts w:eastAsia="Times New Roman"/>
                <w:sz w:val="16"/>
                <w:szCs w:val="16"/>
                <w:lang w:eastAsia="en-US"/>
              </w:rPr>
              <w:t xml:space="preserve"> </w:t>
            </w:r>
            <w:r w:rsidR="00CA145E" w:rsidRPr="00C7553F">
              <w:rPr>
                <w:sz w:val="16"/>
                <w:szCs w:val="16"/>
                <w:lang w:val="es-ES_tradnl"/>
              </w:rPr>
              <w:t>Mayor cooperación entre los Estados miembros en la elaboración de marcos normativos internacionales de P.I. equilibrados</w:t>
            </w:r>
          </w:p>
        </w:tc>
        <w:tc>
          <w:tcPr>
            <w:tcW w:w="2977" w:type="dxa"/>
            <w:tcBorders>
              <w:top w:val="single" w:sz="4" w:space="0" w:color="auto"/>
              <w:left w:val="nil"/>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br/>
              <w:t>Avances en la ejecución de la labor acordada con arreglo al programa del SCP</w:t>
            </w:r>
          </w:p>
        </w:tc>
        <w:tc>
          <w:tcPr>
            <w:tcW w:w="2551" w:type="dxa"/>
            <w:tcBorders>
              <w:top w:val="single" w:sz="4" w:space="0" w:color="auto"/>
              <w:left w:val="nil"/>
              <w:right w:val="nil"/>
            </w:tcBorders>
            <w:shd w:val="clear" w:color="000000" w:fill="FFFFFF"/>
            <w:hideMark/>
          </w:tcPr>
          <w:p w:rsidR="008C3B9A" w:rsidRPr="00904F7F" w:rsidRDefault="008C3B9A" w:rsidP="007855B2">
            <w:pPr>
              <w:rPr>
                <w:rFonts w:eastAsia="Times New Roman"/>
                <w:sz w:val="16"/>
                <w:szCs w:val="16"/>
                <w:lang w:eastAsia="en-US"/>
              </w:rPr>
            </w:pPr>
            <w:r w:rsidRPr="00904F7F">
              <w:rPr>
                <w:rFonts w:eastAsia="Times New Roman"/>
                <w:sz w:val="16"/>
                <w:szCs w:val="16"/>
                <w:lang w:eastAsia="en-US"/>
              </w:rPr>
              <w:br/>
              <w:t>Estado actual de la labor en el Comité según consta en el informe de la 21ª sesión del SCP</w:t>
            </w:r>
            <w:r w:rsidRPr="00904F7F">
              <w:rPr>
                <w:rFonts w:eastAsia="Times New Roman"/>
                <w:sz w:val="16"/>
                <w:szCs w:val="16"/>
                <w:lang w:eastAsia="en-US"/>
              </w:rPr>
              <w:br/>
            </w:r>
          </w:p>
        </w:tc>
        <w:tc>
          <w:tcPr>
            <w:tcW w:w="1701" w:type="dxa"/>
            <w:tcBorders>
              <w:top w:val="single" w:sz="4" w:space="0" w:color="auto"/>
              <w:left w:val="nil"/>
              <w:right w:val="single" w:sz="4" w:space="0" w:color="auto"/>
            </w:tcBorders>
            <w:shd w:val="clear" w:color="000000" w:fill="FFFFFF"/>
            <w:hideMark/>
          </w:tcPr>
          <w:p w:rsidR="008C3B9A" w:rsidRPr="00904F7F" w:rsidRDefault="008C3B9A" w:rsidP="007855B2">
            <w:pPr>
              <w:ind w:left="176"/>
              <w:rPr>
                <w:rFonts w:eastAsia="Times New Roman"/>
                <w:sz w:val="16"/>
                <w:szCs w:val="16"/>
                <w:lang w:eastAsia="en-US"/>
              </w:rPr>
            </w:pPr>
            <w:r w:rsidRPr="00904F7F">
              <w:rPr>
                <w:rFonts w:eastAsia="Times New Roman"/>
                <w:sz w:val="16"/>
                <w:szCs w:val="16"/>
                <w:lang w:eastAsia="en-US"/>
              </w:rPr>
              <w:br/>
              <w:t xml:space="preserve">Resultados acordados en el SCP </w:t>
            </w:r>
          </w:p>
        </w:tc>
      </w:tr>
      <w:tr w:rsidR="008C3B9A" w:rsidRPr="00904F7F" w:rsidTr="007855B2">
        <w:trPr>
          <w:trHeight w:val="909"/>
        </w:trPr>
        <w:tc>
          <w:tcPr>
            <w:tcW w:w="2000" w:type="dxa"/>
            <w:vMerge/>
            <w:tcBorders>
              <w:left w:val="single" w:sz="4" w:space="0" w:color="auto"/>
              <w:right w:val="nil"/>
            </w:tcBorders>
            <w:vAlign w:val="center"/>
            <w:hideMark/>
          </w:tcPr>
          <w:p w:rsidR="008C3B9A" w:rsidRPr="00904F7F" w:rsidRDefault="008C3B9A" w:rsidP="007855B2">
            <w:pPr>
              <w:rPr>
                <w:rFonts w:eastAsia="Times New Roman"/>
                <w:sz w:val="16"/>
                <w:szCs w:val="16"/>
                <w:lang w:eastAsia="en-US"/>
              </w:rPr>
            </w:pPr>
          </w:p>
        </w:tc>
        <w:tc>
          <w:tcPr>
            <w:tcW w:w="2977" w:type="dxa"/>
            <w:tcBorders>
              <w:left w:val="nil"/>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Nivel de satisfacción de los participantes en talleres/seminarios específicos organizados sobre cuestiones específicas relacionadas con las patentes</w:t>
            </w:r>
          </w:p>
          <w:p w:rsidR="008C3B9A" w:rsidRPr="00904F7F" w:rsidRDefault="008C3B9A" w:rsidP="007855B2">
            <w:pPr>
              <w:ind w:right="176"/>
              <w:rPr>
                <w:rFonts w:eastAsia="Times New Roman"/>
                <w:sz w:val="16"/>
                <w:szCs w:val="16"/>
                <w:lang w:eastAsia="en-US"/>
              </w:rPr>
            </w:pPr>
          </w:p>
        </w:tc>
        <w:tc>
          <w:tcPr>
            <w:tcW w:w="2551" w:type="dxa"/>
            <w:tcBorders>
              <w:left w:val="nil"/>
              <w:right w:val="nil"/>
            </w:tcBorders>
            <w:shd w:val="clear" w:color="000000" w:fill="FFFFFF"/>
            <w:hideMark/>
          </w:tcPr>
          <w:p w:rsidR="008C3B9A" w:rsidRPr="00904F7F" w:rsidRDefault="008C3B9A" w:rsidP="007855B2">
            <w:pPr>
              <w:rPr>
                <w:rFonts w:eastAsia="Times New Roman"/>
                <w:sz w:val="16"/>
                <w:szCs w:val="16"/>
                <w:lang w:eastAsia="en-US"/>
              </w:rPr>
            </w:pPr>
            <w:r w:rsidRPr="00904F7F">
              <w:rPr>
                <w:rFonts w:eastAsia="Times New Roman"/>
                <w:sz w:val="16"/>
                <w:szCs w:val="16"/>
                <w:lang w:eastAsia="en-US"/>
              </w:rPr>
              <w:t xml:space="preserve">92,75% - encuesta de 2014 </w:t>
            </w:r>
          </w:p>
        </w:tc>
        <w:tc>
          <w:tcPr>
            <w:tcW w:w="1701" w:type="dxa"/>
            <w:tcBorders>
              <w:left w:val="nil"/>
              <w:right w:val="single" w:sz="4" w:space="0" w:color="auto"/>
            </w:tcBorders>
            <w:shd w:val="clear" w:color="000000" w:fill="FFFFFF"/>
            <w:hideMark/>
          </w:tcPr>
          <w:p w:rsidR="008C3B9A" w:rsidRPr="00904F7F" w:rsidRDefault="008C3B9A" w:rsidP="007855B2">
            <w:pPr>
              <w:ind w:left="176"/>
              <w:rPr>
                <w:rFonts w:eastAsia="Times New Roman"/>
                <w:sz w:val="16"/>
                <w:szCs w:val="16"/>
                <w:lang w:eastAsia="en-US"/>
              </w:rPr>
            </w:pPr>
            <w:r w:rsidRPr="00904F7F">
              <w:rPr>
                <w:rFonts w:eastAsia="Times New Roman"/>
                <w:sz w:val="16"/>
                <w:szCs w:val="16"/>
                <w:lang w:eastAsia="en-US"/>
              </w:rPr>
              <w:t>90%</w:t>
            </w:r>
          </w:p>
        </w:tc>
      </w:tr>
      <w:tr w:rsidR="008C3B9A" w:rsidRPr="00904F7F" w:rsidTr="007855B2">
        <w:trPr>
          <w:trHeight w:val="716"/>
        </w:trPr>
        <w:tc>
          <w:tcPr>
            <w:tcW w:w="2000" w:type="dxa"/>
            <w:vMerge/>
            <w:tcBorders>
              <w:left w:val="single" w:sz="4" w:space="0" w:color="auto"/>
              <w:right w:val="nil"/>
            </w:tcBorders>
            <w:vAlign w:val="center"/>
            <w:hideMark/>
          </w:tcPr>
          <w:p w:rsidR="008C3B9A" w:rsidRPr="00904F7F" w:rsidRDefault="008C3B9A" w:rsidP="007855B2">
            <w:pPr>
              <w:rPr>
                <w:rFonts w:eastAsia="Times New Roman"/>
                <w:sz w:val="16"/>
                <w:szCs w:val="16"/>
                <w:lang w:eastAsia="en-US"/>
              </w:rPr>
            </w:pPr>
          </w:p>
        </w:tc>
        <w:tc>
          <w:tcPr>
            <w:tcW w:w="2977" w:type="dxa"/>
            <w:tcBorders>
              <w:left w:val="nil"/>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Nivel de satisfacción de los participantes en el Programa de Asistencia a Inventores (PAI)</w:t>
            </w:r>
          </w:p>
          <w:p w:rsidR="008C3B9A" w:rsidRPr="00904F7F" w:rsidRDefault="008C3B9A" w:rsidP="007855B2">
            <w:pPr>
              <w:ind w:right="176"/>
              <w:rPr>
                <w:rFonts w:eastAsia="Times New Roman"/>
                <w:sz w:val="16"/>
                <w:szCs w:val="16"/>
                <w:lang w:eastAsia="en-US"/>
              </w:rPr>
            </w:pPr>
          </w:p>
        </w:tc>
        <w:tc>
          <w:tcPr>
            <w:tcW w:w="2551" w:type="dxa"/>
            <w:tcBorders>
              <w:left w:val="nil"/>
              <w:right w:val="nil"/>
            </w:tcBorders>
            <w:shd w:val="clear" w:color="000000" w:fill="FFFFFF"/>
            <w:hideMark/>
          </w:tcPr>
          <w:p w:rsidR="008C3B9A" w:rsidRPr="00904F7F" w:rsidRDefault="008C3B9A" w:rsidP="007855B2">
            <w:pPr>
              <w:rPr>
                <w:rFonts w:eastAsia="Times New Roman"/>
                <w:sz w:val="16"/>
                <w:szCs w:val="16"/>
                <w:lang w:eastAsia="en-US"/>
              </w:rPr>
            </w:pPr>
            <w:proofErr w:type="spellStart"/>
            <w:r w:rsidRPr="00904F7F">
              <w:rPr>
                <w:rFonts w:eastAsia="Times New Roman"/>
                <w:sz w:val="16"/>
                <w:szCs w:val="16"/>
                <w:lang w:eastAsia="en-US"/>
              </w:rPr>
              <w:t>n.d</w:t>
            </w:r>
            <w:proofErr w:type="spellEnd"/>
            <w:r w:rsidRPr="00904F7F">
              <w:rPr>
                <w:rFonts w:eastAsia="Times New Roman"/>
                <w:sz w:val="16"/>
                <w:szCs w:val="16"/>
                <w:lang w:eastAsia="en-US"/>
              </w:rPr>
              <w:t>.</w:t>
            </w:r>
          </w:p>
        </w:tc>
        <w:tc>
          <w:tcPr>
            <w:tcW w:w="1701" w:type="dxa"/>
            <w:tcBorders>
              <w:left w:val="nil"/>
              <w:right w:val="single" w:sz="4" w:space="0" w:color="auto"/>
            </w:tcBorders>
            <w:shd w:val="clear" w:color="000000" w:fill="FFFFFF"/>
            <w:hideMark/>
          </w:tcPr>
          <w:p w:rsidR="008C3B9A" w:rsidRPr="00904F7F" w:rsidRDefault="008C3B9A" w:rsidP="007855B2">
            <w:pPr>
              <w:ind w:left="176"/>
              <w:rPr>
                <w:rFonts w:eastAsia="Times New Roman"/>
                <w:sz w:val="16"/>
                <w:szCs w:val="16"/>
                <w:lang w:eastAsia="en-US"/>
              </w:rPr>
            </w:pPr>
            <w:r w:rsidRPr="00904F7F">
              <w:rPr>
                <w:rFonts w:eastAsia="Times New Roman"/>
                <w:sz w:val="16"/>
                <w:szCs w:val="16"/>
                <w:lang w:eastAsia="en-US"/>
              </w:rPr>
              <w:t>90%</w:t>
            </w:r>
          </w:p>
        </w:tc>
      </w:tr>
      <w:tr w:rsidR="008C3B9A" w:rsidRPr="00904F7F" w:rsidTr="007855B2">
        <w:trPr>
          <w:trHeight w:val="1251"/>
        </w:trPr>
        <w:tc>
          <w:tcPr>
            <w:tcW w:w="2000" w:type="dxa"/>
            <w:vMerge w:val="restart"/>
            <w:tcBorders>
              <w:left w:val="single" w:sz="4" w:space="0" w:color="auto"/>
              <w:right w:val="nil"/>
            </w:tcBorders>
            <w:shd w:val="clear" w:color="000000" w:fill="FFFFFF"/>
            <w:hideMark/>
          </w:tcPr>
          <w:p w:rsidR="008C3B9A" w:rsidRPr="00C7553F" w:rsidRDefault="00814C7F" w:rsidP="007855B2">
            <w:pPr>
              <w:rPr>
                <w:rFonts w:eastAsia="Times New Roman"/>
                <w:sz w:val="16"/>
                <w:szCs w:val="16"/>
                <w:lang w:eastAsia="en-US"/>
              </w:rPr>
            </w:pPr>
            <w:r w:rsidRPr="00C7553F">
              <w:rPr>
                <w:rFonts w:eastAsia="Times New Roman"/>
                <w:sz w:val="16"/>
                <w:szCs w:val="16"/>
                <w:lang w:eastAsia="en-US"/>
              </w:rPr>
              <w:t>I.2</w:t>
            </w:r>
            <w:r w:rsidR="008C3B9A" w:rsidRPr="00C7553F">
              <w:rPr>
                <w:rFonts w:eastAsia="Times New Roman"/>
                <w:sz w:val="16"/>
                <w:szCs w:val="16"/>
                <w:lang w:eastAsia="en-US"/>
              </w:rPr>
              <w:t xml:space="preserve"> </w:t>
            </w:r>
            <w:r w:rsidR="001C77D9" w:rsidRPr="00C7553F">
              <w:rPr>
                <w:rFonts w:eastAsia="Times New Roman"/>
                <w:sz w:val="16"/>
                <w:szCs w:val="16"/>
                <w:lang w:eastAsia="en-US"/>
              </w:rPr>
              <w:t xml:space="preserve"> </w:t>
            </w:r>
            <w:r w:rsidR="00B74100" w:rsidRPr="00C7553F">
              <w:rPr>
                <w:sz w:val="16"/>
                <w:szCs w:val="16"/>
                <w:lang w:val="es-ES_tradnl"/>
              </w:rPr>
              <w:t>Marcos de P.I. adaptados y equilibrados en el ámbito legislativo, regulador y de política</w:t>
            </w:r>
          </w:p>
        </w:tc>
        <w:tc>
          <w:tcPr>
            <w:tcW w:w="2977" w:type="dxa"/>
            <w:tcBorders>
              <w:left w:val="nil"/>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Porcentaje de usuarios que consideran útil la información proporcionada en relación con los principios y prácticas jurídicos de los sistemas de patentes, modelos de utilidad y circuitos integrados, como, por ejemplo, las flexibilidades.</w:t>
            </w:r>
          </w:p>
          <w:p w:rsidR="008C3B9A" w:rsidRPr="00904F7F" w:rsidRDefault="008C3B9A" w:rsidP="007855B2">
            <w:pPr>
              <w:ind w:right="176"/>
              <w:rPr>
                <w:rFonts w:eastAsia="Times New Roman"/>
                <w:sz w:val="16"/>
                <w:szCs w:val="16"/>
                <w:lang w:eastAsia="en-US"/>
              </w:rPr>
            </w:pPr>
          </w:p>
        </w:tc>
        <w:tc>
          <w:tcPr>
            <w:tcW w:w="2551" w:type="dxa"/>
            <w:tcBorders>
              <w:left w:val="nil"/>
              <w:right w:val="nil"/>
            </w:tcBorders>
            <w:shd w:val="clear" w:color="000000" w:fill="FFFFFF"/>
            <w:hideMark/>
          </w:tcPr>
          <w:p w:rsidR="008C3B9A" w:rsidRPr="00904F7F" w:rsidRDefault="008C3B9A" w:rsidP="007855B2">
            <w:pPr>
              <w:rPr>
                <w:rFonts w:eastAsia="Times New Roman"/>
                <w:sz w:val="16"/>
                <w:szCs w:val="16"/>
                <w:lang w:eastAsia="en-US"/>
              </w:rPr>
            </w:pPr>
            <w:r w:rsidRPr="00904F7F">
              <w:rPr>
                <w:rFonts w:eastAsia="Times New Roman"/>
                <w:sz w:val="16"/>
                <w:szCs w:val="16"/>
                <w:lang w:eastAsia="en-US"/>
              </w:rPr>
              <w:t xml:space="preserve">7 países/participantes (85,7%) – encuesta de 2014 </w:t>
            </w:r>
          </w:p>
        </w:tc>
        <w:tc>
          <w:tcPr>
            <w:tcW w:w="1701" w:type="dxa"/>
            <w:tcBorders>
              <w:left w:val="nil"/>
              <w:right w:val="single" w:sz="4" w:space="0" w:color="auto"/>
            </w:tcBorders>
            <w:shd w:val="clear" w:color="000000" w:fill="FFFFFF"/>
            <w:hideMark/>
          </w:tcPr>
          <w:p w:rsidR="008C3B9A" w:rsidRPr="00904F7F" w:rsidRDefault="008C3B9A" w:rsidP="007855B2">
            <w:pPr>
              <w:ind w:left="176"/>
              <w:rPr>
                <w:rFonts w:eastAsia="Times New Roman"/>
                <w:sz w:val="16"/>
                <w:szCs w:val="16"/>
                <w:lang w:eastAsia="en-US"/>
              </w:rPr>
            </w:pPr>
            <w:r w:rsidRPr="00904F7F">
              <w:rPr>
                <w:rFonts w:eastAsia="Times New Roman"/>
                <w:sz w:val="16"/>
                <w:szCs w:val="16"/>
                <w:lang w:eastAsia="en-US"/>
              </w:rPr>
              <w:t>90%</w:t>
            </w:r>
          </w:p>
        </w:tc>
      </w:tr>
      <w:tr w:rsidR="008C3B9A" w:rsidRPr="00904F7F" w:rsidTr="007855B2">
        <w:trPr>
          <w:trHeight w:val="639"/>
        </w:trPr>
        <w:tc>
          <w:tcPr>
            <w:tcW w:w="2000" w:type="dxa"/>
            <w:vMerge/>
            <w:tcBorders>
              <w:left w:val="single" w:sz="4" w:space="0" w:color="auto"/>
              <w:right w:val="nil"/>
            </w:tcBorders>
            <w:vAlign w:val="center"/>
            <w:hideMark/>
          </w:tcPr>
          <w:p w:rsidR="008C3B9A" w:rsidRPr="00C7553F" w:rsidRDefault="008C3B9A" w:rsidP="007855B2">
            <w:pPr>
              <w:rPr>
                <w:rFonts w:eastAsia="Times New Roman"/>
                <w:sz w:val="16"/>
                <w:szCs w:val="16"/>
                <w:lang w:eastAsia="en-US"/>
              </w:rPr>
            </w:pPr>
          </w:p>
        </w:tc>
        <w:tc>
          <w:tcPr>
            <w:tcW w:w="2977" w:type="dxa"/>
            <w:tcBorders>
              <w:left w:val="nil"/>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Número y porcentaje de Estados miembros satisfechos con el asesoramiento legislativo y de política proporcionado.</w:t>
            </w:r>
          </w:p>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 xml:space="preserve"> </w:t>
            </w:r>
          </w:p>
        </w:tc>
        <w:tc>
          <w:tcPr>
            <w:tcW w:w="2551" w:type="dxa"/>
            <w:tcBorders>
              <w:left w:val="nil"/>
              <w:right w:val="nil"/>
            </w:tcBorders>
            <w:shd w:val="clear" w:color="000000" w:fill="FFFFFF"/>
            <w:hideMark/>
          </w:tcPr>
          <w:p w:rsidR="008C3B9A" w:rsidRPr="00904F7F" w:rsidRDefault="008C3B9A" w:rsidP="007855B2">
            <w:pPr>
              <w:rPr>
                <w:rFonts w:eastAsia="Times New Roman"/>
                <w:sz w:val="16"/>
                <w:szCs w:val="16"/>
                <w:lang w:eastAsia="en-US"/>
              </w:rPr>
            </w:pPr>
            <w:r w:rsidRPr="00904F7F">
              <w:rPr>
                <w:rFonts w:eastAsia="Times New Roman"/>
                <w:sz w:val="16"/>
                <w:szCs w:val="16"/>
                <w:lang w:eastAsia="en-US"/>
              </w:rPr>
              <w:t xml:space="preserve">8 Estados miembros (90%) – encuesta de 2014 </w:t>
            </w:r>
          </w:p>
        </w:tc>
        <w:tc>
          <w:tcPr>
            <w:tcW w:w="1701" w:type="dxa"/>
            <w:tcBorders>
              <w:left w:val="nil"/>
              <w:right w:val="single" w:sz="4" w:space="0" w:color="auto"/>
            </w:tcBorders>
            <w:shd w:val="clear" w:color="000000" w:fill="FFFFFF"/>
            <w:hideMark/>
          </w:tcPr>
          <w:p w:rsidR="008C3B9A" w:rsidRPr="00904F7F" w:rsidRDefault="008C3B9A" w:rsidP="007855B2">
            <w:pPr>
              <w:ind w:left="176"/>
              <w:rPr>
                <w:rFonts w:eastAsia="Times New Roman"/>
                <w:sz w:val="16"/>
                <w:szCs w:val="16"/>
                <w:lang w:eastAsia="en-US"/>
              </w:rPr>
            </w:pPr>
            <w:r w:rsidRPr="00904F7F">
              <w:rPr>
                <w:rFonts w:eastAsia="Times New Roman"/>
                <w:sz w:val="16"/>
                <w:szCs w:val="16"/>
                <w:lang w:eastAsia="en-US"/>
              </w:rPr>
              <w:t>90%</w:t>
            </w:r>
          </w:p>
        </w:tc>
      </w:tr>
      <w:tr w:rsidR="008C3B9A" w:rsidRPr="00AC12CF" w:rsidTr="007855B2">
        <w:trPr>
          <w:trHeight w:val="1407"/>
        </w:trPr>
        <w:tc>
          <w:tcPr>
            <w:tcW w:w="2000" w:type="dxa"/>
            <w:tcBorders>
              <w:left w:val="single" w:sz="4" w:space="0" w:color="auto"/>
              <w:bottom w:val="single" w:sz="4" w:space="0" w:color="auto"/>
              <w:right w:val="nil"/>
            </w:tcBorders>
            <w:shd w:val="clear" w:color="000000" w:fill="FFFFFF"/>
            <w:hideMark/>
          </w:tcPr>
          <w:p w:rsidR="008C3B9A" w:rsidRPr="00C7553F" w:rsidRDefault="00814C7F" w:rsidP="007855B2">
            <w:pPr>
              <w:rPr>
                <w:rFonts w:eastAsia="Times New Roman"/>
                <w:sz w:val="16"/>
                <w:szCs w:val="16"/>
                <w:lang w:eastAsia="en-US"/>
              </w:rPr>
            </w:pPr>
            <w:r w:rsidRPr="00C7553F">
              <w:rPr>
                <w:rFonts w:eastAsia="Times New Roman"/>
                <w:sz w:val="16"/>
                <w:szCs w:val="16"/>
                <w:lang w:eastAsia="en-US"/>
              </w:rPr>
              <w:t>I.4</w:t>
            </w:r>
            <w:r w:rsidR="001C77D9" w:rsidRPr="00C7553F">
              <w:rPr>
                <w:rFonts w:eastAsia="Times New Roman"/>
                <w:sz w:val="16"/>
                <w:szCs w:val="16"/>
                <w:lang w:eastAsia="en-US"/>
              </w:rPr>
              <w:t xml:space="preserve"> </w:t>
            </w:r>
            <w:r w:rsidR="008C3B9A" w:rsidRPr="00C7553F">
              <w:rPr>
                <w:rFonts w:eastAsia="Times New Roman"/>
                <w:sz w:val="16"/>
                <w:szCs w:val="16"/>
                <w:lang w:eastAsia="en-US"/>
              </w:rPr>
              <w:t xml:space="preserve"> </w:t>
            </w:r>
            <w:r w:rsidR="00CA145E" w:rsidRPr="00C7553F">
              <w:rPr>
                <w:sz w:val="16"/>
                <w:szCs w:val="16"/>
                <w:lang w:val="es-ES_tradnl"/>
              </w:rPr>
              <w:t>Interés creciente en que la OMPI sea un foro de análisis de cuestiones relacionadas con la protección internacional de la información confidencial</w:t>
            </w:r>
          </w:p>
        </w:tc>
        <w:tc>
          <w:tcPr>
            <w:tcW w:w="2977" w:type="dxa"/>
            <w:tcBorders>
              <w:left w:val="nil"/>
              <w:bottom w:val="single" w:sz="4" w:space="0" w:color="auto"/>
              <w:right w:val="nil"/>
            </w:tcBorders>
            <w:shd w:val="clear" w:color="000000" w:fill="FFFFFF"/>
            <w:hideMark/>
          </w:tcPr>
          <w:p w:rsidR="008C3B9A" w:rsidRPr="00904F7F" w:rsidRDefault="008C3B9A" w:rsidP="007855B2">
            <w:pPr>
              <w:ind w:right="176"/>
              <w:rPr>
                <w:rFonts w:eastAsia="Times New Roman"/>
                <w:sz w:val="16"/>
                <w:szCs w:val="16"/>
                <w:lang w:eastAsia="en-US"/>
              </w:rPr>
            </w:pPr>
            <w:r w:rsidRPr="00904F7F">
              <w:rPr>
                <w:rFonts w:eastAsia="Times New Roman"/>
                <w:sz w:val="16"/>
                <w:szCs w:val="16"/>
                <w:lang w:eastAsia="en-US"/>
              </w:rPr>
              <w:t>Porcentaje de usuarios que consideran útil la información proporcionada en relación con los principios y prácticas jurídicos sobre la protección de la información confidencial</w:t>
            </w:r>
          </w:p>
          <w:p w:rsidR="008C3B9A" w:rsidRPr="00904F7F" w:rsidRDefault="008C3B9A" w:rsidP="007855B2">
            <w:pPr>
              <w:ind w:right="176"/>
              <w:rPr>
                <w:rFonts w:eastAsia="Times New Roman"/>
                <w:sz w:val="16"/>
                <w:szCs w:val="16"/>
                <w:lang w:eastAsia="en-US"/>
              </w:rPr>
            </w:pPr>
          </w:p>
        </w:tc>
        <w:tc>
          <w:tcPr>
            <w:tcW w:w="2551" w:type="dxa"/>
            <w:tcBorders>
              <w:left w:val="nil"/>
              <w:bottom w:val="single" w:sz="4" w:space="0" w:color="auto"/>
              <w:right w:val="nil"/>
            </w:tcBorders>
            <w:shd w:val="clear" w:color="000000" w:fill="FFFFFF"/>
            <w:hideMark/>
          </w:tcPr>
          <w:p w:rsidR="008C3B9A" w:rsidRPr="00904F7F" w:rsidRDefault="008C3B9A" w:rsidP="007855B2">
            <w:pPr>
              <w:rPr>
                <w:rFonts w:eastAsia="Times New Roman"/>
                <w:sz w:val="16"/>
                <w:szCs w:val="16"/>
                <w:lang w:eastAsia="en-US"/>
              </w:rPr>
            </w:pPr>
            <w:proofErr w:type="spellStart"/>
            <w:r w:rsidRPr="00904F7F">
              <w:rPr>
                <w:rFonts w:eastAsia="Times New Roman"/>
                <w:sz w:val="16"/>
                <w:szCs w:val="16"/>
                <w:lang w:eastAsia="en-US"/>
              </w:rPr>
              <w:t>n.d</w:t>
            </w:r>
            <w:proofErr w:type="spellEnd"/>
            <w:r w:rsidRPr="00904F7F">
              <w:rPr>
                <w:rFonts w:eastAsia="Times New Roman"/>
                <w:sz w:val="16"/>
                <w:szCs w:val="16"/>
                <w:lang w:eastAsia="en-US"/>
              </w:rPr>
              <w:t>.</w:t>
            </w:r>
          </w:p>
        </w:tc>
        <w:tc>
          <w:tcPr>
            <w:tcW w:w="1701" w:type="dxa"/>
            <w:tcBorders>
              <w:left w:val="nil"/>
              <w:bottom w:val="single" w:sz="4" w:space="0" w:color="auto"/>
              <w:right w:val="single" w:sz="4" w:space="0" w:color="auto"/>
            </w:tcBorders>
            <w:shd w:val="clear" w:color="000000" w:fill="FFFFFF"/>
            <w:hideMark/>
          </w:tcPr>
          <w:p w:rsidR="008C3B9A" w:rsidRPr="00AC12CF" w:rsidRDefault="008C3B9A" w:rsidP="007855B2">
            <w:pPr>
              <w:ind w:left="176"/>
              <w:rPr>
                <w:rFonts w:eastAsia="Times New Roman"/>
                <w:sz w:val="16"/>
                <w:szCs w:val="16"/>
                <w:lang w:eastAsia="en-US"/>
              </w:rPr>
            </w:pPr>
            <w:r w:rsidRPr="00904F7F">
              <w:rPr>
                <w:rFonts w:eastAsia="Times New Roman"/>
                <w:sz w:val="16"/>
                <w:szCs w:val="16"/>
                <w:lang w:eastAsia="en-US"/>
              </w:rPr>
              <w:t>90%</w:t>
            </w:r>
          </w:p>
        </w:tc>
      </w:tr>
    </w:tbl>
    <w:p w:rsidR="008C3B9A" w:rsidRPr="00AC12CF" w:rsidRDefault="008C3B9A" w:rsidP="008C3B9A">
      <w:pPr>
        <w:autoSpaceDE w:val="0"/>
        <w:autoSpaceDN w:val="0"/>
      </w:pPr>
    </w:p>
    <w:p w:rsidR="00A10081" w:rsidRDefault="00A10081">
      <w:pPr>
        <w:rPr>
          <w:szCs w:val="22"/>
          <w:lang w:val="en-US"/>
        </w:rPr>
      </w:pPr>
    </w:p>
    <w:p w:rsidR="00A10081" w:rsidRPr="007A7915" w:rsidRDefault="00372D5D" w:rsidP="003B4601">
      <w:pPr>
        <w:keepNext/>
        <w:autoSpaceDE w:val="0"/>
        <w:autoSpaceDN w:val="0"/>
        <w:rPr>
          <w:highlight w:val="lightGray"/>
          <w:lang w:val="en-US"/>
        </w:rPr>
      </w:pPr>
      <w:r w:rsidRPr="007A7915">
        <w:rPr>
          <w:lang w:val="es-ES_tradnl"/>
        </w:rPr>
        <w:lastRenderedPageBreak/>
        <w:t>RECURSOS PARA EL PROGRAMA 1</w:t>
      </w:r>
    </w:p>
    <w:p w:rsidR="00A10081" w:rsidRPr="00EE0781" w:rsidRDefault="00A10081" w:rsidP="003B4601">
      <w:pPr>
        <w:keepNext/>
        <w:autoSpaceDE w:val="0"/>
        <w:autoSpaceDN w:val="0"/>
        <w:rPr>
          <w:highlight w:val="lightGray"/>
          <w:lang w:val="en-US"/>
        </w:rPr>
      </w:pPr>
    </w:p>
    <w:p w:rsidR="00A10081" w:rsidRPr="007A7915" w:rsidRDefault="007A7915" w:rsidP="003B4601">
      <w:pPr>
        <w:keepNext/>
        <w:autoSpaceDE w:val="0"/>
        <w:autoSpaceDN w:val="0"/>
        <w:jc w:val="both"/>
        <w:rPr>
          <w:sz w:val="20"/>
        </w:rPr>
      </w:pPr>
      <w:r w:rsidRPr="00EB43D0">
        <w:rPr>
          <w:sz w:val="20"/>
          <w:lang w:val="es-ES_tradnl"/>
        </w:rPr>
        <w:t xml:space="preserve">El leve aumento de </w:t>
      </w:r>
      <w:r w:rsidR="00097996">
        <w:rPr>
          <w:sz w:val="20"/>
          <w:lang w:val="es-ES_tradnl"/>
        </w:rPr>
        <w:t>la dotación global de</w:t>
      </w:r>
      <w:r w:rsidRPr="00EB43D0">
        <w:rPr>
          <w:sz w:val="20"/>
          <w:lang w:val="es-ES_tradnl"/>
        </w:rPr>
        <w:t xml:space="preserve"> recursos </w:t>
      </w:r>
      <w:r w:rsidR="00CF552A">
        <w:rPr>
          <w:sz w:val="20"/>
          <w:lang w:val="es-ES_tradnl"/>
        </w:rPr>
        <w:t xml:space="preserve">para </w:t>
      </w:r>
      <w:r w:rsidRPr="00EB43D0">
        <w:rPr>
          <w:sz w:val="20"/>
          <w:lang w:val="es-ES_tradnl"/>
        </w:rPr>
        <w:t>el programa 1 en 2016/17</w:t>
      </w:r>
      <w:r>
        <w:rPr>
          <w:sz w:val="20"/>
          <w:lang w:val="es-ES_tradnl"/>
        </w:rPr>
        <w:t xml:space="preserve"> con respecto al presupuesto de </w:t>
      </w:r>
      <w:r w:rsidR="00C7553F">
        <w:rPr>
          <w:sz w:val="20"/>
          <w:lang w:val="es-ES_tradnl"/>
        </w:rPr>
        <w:t>2014/15 tras</w:t>
      </w:r>
      <w:r w:rsidRPr="00EB43D0">
        <w:rPr>
          <w:sz w:val="20"/>
          <w:lang w:val="es-ES_tradnl"/>
        </w:rPr>
        <w:t xml:space="preserve"> las transferencias, se debe a:  i) la transferencia de la responsabilidad en materia de redacción de solicitudes de patentes del programa 30 (Apoyo a las </w:t>
      </w:r>
      <w:r w:rsidR="00C7553F" w:rsidRPr="00EB43D0">
        <w:rPr>
          <w:sz w:val="20"/>
          <w:lang w:val="es-ES_tradnl"/>
        </w:rPr>
        <w:t>pymes y a la capacidad empresarial</w:t>
      </w:r>
      <w:r w:rsidRPr="00EB43D0">
        <w:rPr>
          <w:sz w:val="20"/>
          <w:lang w:val="es-ES_tradnl"/>
        </w:rPr>
        <w:t>) a este programa, y ii) las actividades que atañen a la solución de los problemas relativos a la protección de la información confidencial en el marco de la promoción de la innovación y la difusión de tecnología.</w:t>
      </w:r>
    </w:p>
    <w:p w:rsidR="00A10081" w:rsidRPr="00CA4E6C" w:rsidRDefault="00A10081" w:rsidP="007A7915">
      <w:pPr>
        <w:keepNext/>
        <w:keepLines/>
        <w:autoSpaceDE w:val="0"/>
        <w:autoSpaceDN w:val="0"/>
        <w:jc w:val="center"/>
        <w:rPr>
          <w:b/>
          <w:sz w:val="20"/>
          <w:highlight w:val="lightGray"/>
        </w:rPr>
      </w:pPr>
    </w:p>
    <w:p w:rsidR="00A10081" w:rsidRPr="00CA4E6C" w:rsidRDefault="00A10081" w:rsidP="007A7915">
      <w:pPr>
        <w:keepNext/>
        <w:keepLines/>
        <w:autoSpaceDE w:val="0"/>
        <w:autoSpaceDN w:val="0"/>
        <w:jc w:val="center"/>
        <w:rPr>
          <w:b/>
          <w:sz w:val="20"/>
          <w:highlight w:val="lightGray"/>
        </w:rPr>
      </w:pPr>
    </w:p>
    <w:p w:rsidR="00A10081" w:rsidRPr="00CA4E6C" w:rsidRDefault="00372D5D" w:rsidP="00A10081">
      <w:pPr>
        <w:keepNext/>
        <w:keepLines/>
        <w:autoSpaceDE w:val="0"/>
        <w:autoSpaceDN w:val="0"/>
        <w:jc w:val="center"/>
        <w:rPr>
          <w:b/>
          <w:sz w:val="20"/>
          <w:lang w:val="es-ES_tradnl"/>
        </w:rPr>
      </w:pPr>
      <w:r w:rsidRPr="00CA4E6C">
        <w:rPr>
          <w:b/>
          <w:sz w:val="20"/>
          <w:lang w:val="es-ES_tradnl"/>
        </w:rPr>
        <w:t>Programa 1</w:t>
      </w:r>
      <w:proofErr w:type="gramStart"/>
      <w:r w:rsidRPr="00CA4E6C">
        <w:rPr>
          <w:b/>
          <w:sz w:val="20"/>
          <w:lang w:val="es-ES_tradnl"/>
        </w:rPr>
        <w:t>:  Recursos</w:t>
      </w:r>
      <w:proofErr w:type="gramEnd"/>
      <w:r w:rsidRPr="00CA4E6C">
        <w:rPr>
          <w:b/>
          <w:sz w:val="20"/>
          <w:lang w:val="es-ES_tradnl"/>
        </w:rPr>
        <w:t xml:space="preserve"> por resultado</w:t>
      </w:r>
    </w:p>
    <w:p w:rsidR="00A10081" w:rsidRPr="00CA4E6C" w:rsidRDefault="00A10081" w:rsidP="00A10081">
      <w:pPr>
        <w:keepNext/>
        <w:keepLines/>
        <w:autoSpaceDE w:val="0"/>
        <w:autoSpaceDN w:val="0"/>
        <w:jc w:val="center"/>
        <w:rPr>
          <w:i/>
          <w:sz w:val="20"/>
          <w:lang w:val="es-ES_tradnl"/>
        </w:rPr>
      </w:pPr>
      <w:r w:rsidRPr="00CA4E6C">
        <w:rPr>
          <w:i/>
          <w:sz w:val="20"/>
          <w:lang w:val="es-ES_tradnl"/>
        </w:rPr>
        <w:t>(</w:t>
      </w:r>
      <w:proofErr w:type="gramStart"/>
      <w:r w:rsidR="00372D5D" w:rsidRPr="00CA4E6C">
        <w:rPr>
          <w:i/>
          <w:sz w:val="20"/>
          <w:lang w:val="es-ES_tradnl"/>
        </w:rPr>
        <w:t>en</w:t>
      </w:r>
      <w:proofErr w:type="gramEnd"/>
      <w:r w:rsidR="00372D5D" w:rsidRPr="00CA4E6C">
        <w:rPr>
          <w:i/>
          <w:sz w:val="20"/>
          <w:lang w:val="es-ES_tradnl"/>
        </w:rPr>
        <w:t xml:space="preserve"> miles de francos suizos</w:t>
      </w:r>
      <w:r w:rsidRPr="00CA4E6C">
        <w:rPr>
          <w:i/>
          <w:sz w:val="20"/>
          <w:lang w:val="es-ES_tradnl"/>
        </w:rPr>
        <w:t xml:space="preserve">) </w:t>
      </w:r>
    </w:p>
    <w:p w:rsidR="00A10081" w:rsidRPr="00372D5D" w:rsidRDefault="00A10081" w:rsidP="00A10081">
      <w:pPr>
        <w:keepNext/>
        <w:keepLines/>
        <w:autoSpaceDE w:val="0"/>
        <w:autoSpaceDN w:val="0"/>
        <w:rPr>
          <w:color w:val="808080"/>
          <w:highlight w:val="lightGray"/>
          <w:lang w:val="es-ES_tradnl"/>
        </w:rPr>
      </w:pPr>
    </w:p>
    <w:p w:rsidR="00A10081" w:rsidRPr="00EE0781" w:rsidRDefault="00510672" w:rsidP="00A10081">
      <w:pPr>
        <w:keepNext/>
        <w:keepLines/>
        <w:tabs>
          <w:tab w:val="left" w:pos="142"/>
          <w:tab w:val="left" w:pos="9214"/>
        </w:tabs>
        <w:autoSpaceDE w:val="0"/>
        <w:autoSpaceDN w:val="0"/>
        <w:jc w:val="center"/>
        <w:rPr>
          <w:b/>
          <w:sz w:val="20"/>
          <w:highlight w:val="lightGray"/>
        </w:rPr>
      </w:pPr>
      <w:r w:rsidRPr="00510672">
        <w:rPr>
          <w:noProof/>
          <w:lang w:val="en-US" w:eastAsia="en-US"/>
        </w:rPr>
        <w:drawing>
          <wp:inline distT="0" distB="0" distL="0" distR="0">
            <wp:extent cx="5676900" cy="239204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76900" cy="2392045"/>
                    </a:xfrm>
                    <a:prstGeom prst="rect">
                      <a:avLst/>
                    </a:prstGeom>
                    <a:noFill/>
                    <a:ln>
                      <a:noFill/>
                    </a:ln>
                  </pic:spPr>
                </pic:pic>
              </a:graphicData>
            </a:graphic>
          </wp:inline>
        </w:drawing>
      </w:r>
    </w:p>
    <w:p w:rsidR="00A10081" w:rsidRPr="00EE0781" w:rsidRDefault="00A10081" w:rsidP="00A10081">
      <w:pPr>
        <w:keepNext/>
        <w:keepLines/>
        <w:autoSpaceDE w:val="0"/>
        <w:autoSpaceDN w:val="0"/>
        <w:rPr>
          <w:b/>
          <w:sz w:val="20"/>
          <w:highlight w:val="lightGray"/>
        </w:rPr>
      </w:pPr>
    </w:p>
    <w:p w:rsidR="00A10081" w:rsidRPr="00EE0781" w:rsidRDefault="00A10081" w:rsidP="00A10081">
      <w:pPr>
        <w:autoSpaceDE w:val="0"/>
        <w:autoSpaceDN w:val="0"/>
        <w:rPr>
          <w:b/>
          <w:sz w:val="20"/>
          <w:highlight w:val="lightGray"/>
        </w:rPr>
      </w:pPr>
    </w:p>
    <w:p w:rsidR="00372D5D" w:rsidRPr="00CA4E6C" w:rsidRDefault="00372D5D" w:rsidP="00372D5D">
      <w:pPr>
        <w:keepNext/>
        <w:keepLines/>
        <w:autoSpaceDE w:val="0"/>
        <w:autoSpaceDN w:val="0"/>
        <w:jc w:val="center"/>
        <w:rPr>
          <w:b/>
          <w:sz w:val="20"/>
          <w:lang w:val="es-ES_tradnl"/>
        </w:rPr>
      </w:pPr>
      <w:r w:rsidRPr="00CA4E6C">
        <w:rPr>
          <w:b/>
          <w:sz w:val="20"/>
          <w:lang w:val="es-ES_tradnl"/>
        </w:rPr>
        <w:lastRenderedPageBreak/>
        <w:t>Programa 1</w:t>
      </w:r>
      <w:proofErr w:type="gramStart"/>
      <w:r w:rsidRPr="00CA4E6C">
        <w:rPr>
          <w:b/>
          <w:sz w:val="20"/>
          <w:lang w:val="es-ES_tradnl"/>
        </w:rPr>
        <w:t>:  Recursos</w:t>
      </w:r>
      <w:proofErr w:type="gramEnd"/>
      <w:r w:rsidRPr="00CA4E6C">
        <w:rPr>
          <w:b/>
          <w:sz w:val="20"/>
          <w:lang w:val="es-ES_tradnl"/>
        </w:rPr>
        <w:t xml:space="preserve"> por objeto de gasto</w:t>
      </w:r>
    </w:p>
    <w:p w:rsidR="00A10081" w:rsidRPr="00CA4E6C" w:rsidRDefault="00372D5D" w:rsidP="00372D5D">
      <w:pPr>
        <w:keepNext/>
        <w:keepLines/>
        <w:autoSpaceDE w:val="0"/>
        <w:autoSpaceDN w:val="0"/>
        <w:jc w:val="center"/>
        <w:rPr>
          <w:i/>
          <w:sz w:val="20"/>
          <w:highlight w:val="lightGray"/>
          <w:lang w:val="es-ES_tradnl"/>
        </w:rPr>
      </w:pPr>
      <w:r w:rsidRPr="00CA4E6C">
        <w:rPr>
          <w:i/>
          <w:sz w:val="20"/>
          <w:lang w:val="es-ES_tradnl"/>
        </w:rPr>
        <w:t>(</w:t>
      </w:r>
      <w:proofErr w:type="gramStart"/>
      <w:r w:rsidRPr="00CA4E6C">
        <w:rPr>
          <w:i/>
          <w:sz w:val="20"/>
          <w:lang w:val="es-ES_tradnl"/>
        </w:rPr>
        <w:t>en</w:t>
      </w:r>
      <w:proofErr w:type="gramEnd"/>
      <w:r w:rsidRPr="00CA4E6C">
        <w:rPr>
          <w:i/>
          <w:sz w:val="20"/>
          <w:lang w:val="es-ES_tradnl"/>
        </w:rPr>
        <w:t xml:space="preserve"> miles de francos suizos)</w:t>
      </w:r>
    </w:p>
    <w:p w:rsidR="00A10081" w:rsidRPr="00372D5D" w:rsidRDefault="00A10081" w:rsidP="00A10081">
      <w:pPr>
        <w:keepNext/>
        <w:keepLines/>
        <w:autoSpaceDE w:val="0"/>
        <w:autoSpaceDN w:val="0"/>
        <w:jc w:val="center"/>
        <w:rPr>
          <w:i/>
          <w:sz w:val="20"/>
          <w:highlight w:val="lightGray"/>
          <w:lang w:val="es-ES_tradnl"/>
        </w:rPr>
      </w:pPr>
    </w:p>
    <w:p w:rsidR="00A10081" w:rsidRPr="00372D5D" w:rsidRDefault="00835617" w:rsidP="00A10081">
      <w:pPr>
        <w:keepNext/>
        <w:keepLines/>
        <w:autoSpaceDE w:val="0"/>
        <w:autoSpaceDN w:val="0"/>
        <w:rPr>
          <w:highlight w:val="lightGray"/>
          <w:lang w:val="es-ES_tradnl"/>
        </w:rPr>
      </w:pPr>
      <w:r>
        <w:rPr>
          <w:noProof/>
          <w:lang w:val="en-US" w:eastAsia="en-US"/>
        </w:rPr>
        <w:drawing>
          <wp:inline distT="0" distB="0" distL="0" distR="0" wp14:anchorId="79A7A432" wp14:editId="2F530A93">
            <wp:extent cx="5940425" cy="6229196"/>
            <wp:effectExtent l="0" t="0" r="3175" b="635"/>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0425" cy="6229196"/>
                    </a:xfrm>
                    <a:prstGeom prst="rect">
                      <a:avLst/>
                    </a:prstGeom>
                    <a:noFill/>
                    <a:ln>
                      <a:noFill/>
                    </a:ln>
                  </pic:spPr>
                </pic:pic>
              </a:graphicData>
            </a:graphic>
          </wp:inline>
        </w:drawing>
      </w:r>
    </w:p>
    <w:p w:rsidR="00A10081" w:rsidRPr="009B4A78" w:rsidRDefault="00A10081" w:rsidP="00A10081">
      <w:pPr>
        <w:ind w:hanging="142"/>
        <w:jc w:val="center"/>
        <w:rPr>
          <w:sz w:val="20"/>
        </w:rPr>
      </w:pPr>
    </w:p>
    <w:p w:rsidR="00EE0781" w:rsidRDefault="00EE0781">
      <w:pPr>
        <w:rPr>
          <w:szCs w:val="22"/>
          <w:lang w:val="en-US"/>
        </w:rPr>
      </w:pPr>
      <w:r>
        <w:rPr>
          <w:szCs w:val="22"/>
          <w:lang w:val="en-US"/>
        </w:rPr>
        <w:br w:type="page"/>
      </w:r>
    </w:p>
    <w:p w:rsidR="00EE0781" w:rsidRPr="00F4741E" w:rsidRDefault="00931A32" w:rsidP="00B8795A">
      <w:pPr>
        <w:pStyle w:val="StyleStyleHeading3ComplexItalicLatin12pt"/>
        <w:ind w:left="1985" w:hanging="1985"/>
        <w:rPr>
          <w:lang w:val="es-ES"/>
        </w:rPr>
      </w:pPr>
      <w:bookmarkStart w:id="27" w:name="_Toc420681132"/>
      <w:r w:rsidRPr="00F4741E">
        <w:rPr>
          <w:lang w:val="es-ES"/>
        </w:rPr>
        <w:lastRenderedPageBreak/>
        <w:t>PROGRAMA 2</w:t>
      </w:r>
      <w:r w:rsidRPr="00F4741E">
        <w:rPr>
          <w:lang w:val="es-ES"/>
        </w:rPr>
        <w:tab/>
        <w:t>MARCAS, DI</w:t>
      </w:r>
      <w:r w:rsidR="00483C77">
        <w:rPr>
          <w:lang w:val="es-ES"/>
        </w:rPr>
        <w:t xml:space="preserve">SEÑOS </w:t>
      </w:r>
      <w:r w:rsidRPr="00F4741E">
        <w:rPr>
          <w:lang w:val="es-ES"/>
        </w:rPr>
        <w:t>INDUSTRIALES E INDICACIONES GEOGRÁFICAS</w:t>
      </w:r>
      <w:bookmarkEnd w:id="27"/>
    </w:p>
    <w:p w:rsidR="00931A32" w:rsidRDefault="00931A32" w:rsidP="00931A32"/>
    <w:p w:rsidR="00931A32" w:rsidRDefault="00931A32" w:rsidP="00931A32"/>
    <w:p w:rsidR="00EE0781" w:rsidRPr="00B059CA" w:rsidRDefault="00EE0781" w:rsidP="00931A32">
      <w:r w:rsidRPr="00B059CA">
        <w:t>CONTEXTO DE PLANIFICACIÓN</w:t>
      </w:r>
    </w:p>
    <w:p w:rsidR="00EE0781" w:rsidRPr="00B059CA" w:rsidRDefault="00EE0781" w:rsidP="00EE0781">
      <w:pPr>
        <w:jc w:val="both"/>
      </w:pPr>
    </w:p>
    <w:p w:rsidR="00EE0781" w:rsidRPr="00B059CA" w:rsidRDefault="00EE0781" w:rsidP="00EE0781">
      <w:pPr>
        <w:numPr>
          <w:ilvl w:val="0"/>
          <w:numId w:val="15"/>
        </w:numPr>
        <w:jc w:val="both"/>
        <w:rPr>
          <w:sz w:val="20"/>
        </w:rPr>
      </w:pPr>
      <w:r w:rsidRPr="00B059CA">
        <w:rPr>
          <w:sz w:val="20"/>
        </w:rPr>
        <w:t>Las marcas son una de las principales fuentes de ventajas competitivas.  Resultan esenciales para la comercialización de nuevos productos (incluidos los servicios) e informan a  los consumidores sobre los productos dentro de una economía que evoluciona con rapidez.  Cada vez son más los estudios económicos en los que se pone de manifiesto el papel que juegan las marcas en la innovación y la importancia económica que tienen a nivel general.  Asimismo, la importancia de los diseños industriales en la economía mundial aumenta de forma constante y cada vez hay más pruebas de su función como fuentes de innovación y crecimiento económico.  Ante esta perspectiva, los encargados de formular políticas tienen que examinar constantemente el marco jurídico de protección de las marcas y los diseños industriales a fin de estimular la innovación y el rendimiento empresarial y dar una respuesta bien fundamentada a los nuevos desafíos que vayan surgiendo.  El programa 2 persigue la obtención de resultados que permitan a la OMPI avanzar hacia una evolución equilibrada del marco internacional de las marcas y los diseños industriales, y que permitan asimismo establecer un entorno jurídico que dé respuesta a las necesidades y los requisitos específicos de los sectores de marcas y de diseños industriales de los Estados miembros.</w:t>
      </w:r>
    </w:p>
    <w:p w:rsidR="00EE0781" w:rsidRDefault="00EE0781" w:rsidP="00EE0781">
      <w:pPr>
        <w:jc w:val="both"/>
        <w:rPr>
          <w:sz w:val="20"/>
        </w:rPr>
      </w:pPr>
    </w:p>
    <w:p w:rsidR="00931A32" w:rsidRPr="00B059CA" w:rsidRDefault="00931A32" w:rsidP="00EE0781">
      <w:pPr>
        <w:jc w:val="both"/>
        <w:rPr>
          <w:sz w:val="20"/>
        </w:rPr>
      </w:pPr>
    </w:p>
    <w:p w:rsidR="00EE0781" w:rsidRPr="00B059CA" w:rsidRDefault="00EE0781" w:rsidP="00931A32">
      <w:r w:rsidRPr="00B059CA">
        <w:t>ESTRATEGIAS DE EJECUCIÓN</w:t>
      </w:r>
    </w:p>
    <w:p w:rsidR="00EE0781" w:rsidRPr="00B059CA" w:rsidRDefault="00EE0781" w:rsidP="00EE0781">
      <w:pPr>
        <w:jc w:val="both"/>
      </w:pPr>
    </w:p>
    <w:p w:rsidR="00EE0781" w:rsidRPr="00B059CA" w:rsidRDefault="00EE0781" w:rsidP="00EE0781">
      <w:pPr>
        <w:numPr>
          <w:ilvl w:val="0"/>
          <w:numId w:val="15"/>
        </w:numPr>
        <w:jc w:val="both"/>
        <w:rPr>
          <w:sz w:val="20"/>
        </w:rPr>
      </w:pPr>
      <w:r w:rsidRPr="00B059CA">
        <w:rPr>
          <w:sz w:val="20"/>
        </w:rPr>
        <w:t xml:space="preserve">El objetivo principal del programa es avanzar en el establecimiento de un marco jurídico internacional equilibrado en el ámbito de las marcas y los diseños industriales que favorezca la innovación y el desarrollo económico.  Con respecto al establecimiento de un marco internacional que rija los procedimientos de registro en el ámbito de los diseños industriales, el Comité Permanente sobre el Derecho de Marcas, Diseños Industriales e Indicaciones Geográficas (SCT) ha conseguido avanzar de forma significativa en la elaboración de un proyecto de tratado sobre el Derecho de los diseños con el fin de simplificar los procedimientos de registro.  Con sujeción a la decisión adoptada por la Asamblea General de la OMPI, esta labor podría dar lugar a la celebración de una conferencia diplomática para la adopción de un tratado sobre el Derecho de los diseños durante el bienio.  </w:t>
      </w:r>
      <w:r w:rsidRPr="00B059CA">
        <w:rPr>
          <w:sz w:val="20"/>
          <w:highlight w:val="white"/>
        </w:rPr>
        <w:t xml:space="preserve">Además, el SCT </w:t>
      </w:r>
      <w:r w:rsidRPr="00B059CA">
        <w:rPr>
          <w:sz w:val="20"/>
        </w:rPr>
        <w:t>continuará ocupándose de la labor que le encomienden los Estados miembros en cuestiones acordadas y concretas en el ámbito de las marcas, los diseños industriales y las indicaciones geográficas.  El SCT continuará supervisando la evolución del Sistema de Nombres de Dominio de Internet (DNS) (en colaboración con el programa 7) y en el ámbito de las denominaciones comunes (DCI) para sustancias farmacéuticas.  Se prestará la debida atención a la categoría B de las recomendaciones d</w:t>
      </w:r>
      <w:r w:rsidR="001949C9">
        <w:rPr>
          <w:sz w:val="20"/>
        </w:rPr>
        <w:t>e la A.D. (recomendaciones 15 a </w:t>
      </w:r>
      <w:r w:rsidRPr="00B059CA">
        <w:rPr>
          <w:sz w:val="20"/>
        </w:rPr>
        <w:t>17 y 20 a 22), en el sentido de tener debidamente en cuenta el grado de desarrollo de los distintos Estados miembros de la OMPI;  las flexibilidades que pueden ofrecer interés a los países en desarrollo y los PMA;  el punto de vista de todos los Estados miembros y demás partes interesadas;  y los objetivos de desarrollo convenidos en el marco del Sistema de las Naciones Unidas.  La Organización prestará el debido apoyo jurídico y administrativo a los Estados miembros y determinadas organizaciones intergubernamentales internacionales en lo que respecta a la protección de algunos de sus emblemas, en virtud del Artículo 6</w:t>
      </w:r>
      <w:r w:rsidRPr="00B059CA">
        <w:rPr>
          <w:i/>
          <w:sz w:val="20"/>
        </w:rPr>
        <w:t>ter</w:t>
      </w:r>
      <w:r w:rsidRPr="00B059CA">
        <w:rPr>
          <w:sz w:val="20"/>
        </w:rPr>
        <w:t xml:space="preserve"> del Convenio de París.</w:t>
      </w:r>
    </w:p>
    <w:p w:rsidR="00EE0781" w:rsidRPr="00B059CA" w:rsidRDefault="00EE0781" w:rsidP="00EE0781">
      <w:pPr>
        <w:jc w:val="both"/>
      </w:pPr>
    </w:p>
    <w:p w:rsidR="00EE0781" w:rsidRPr="00B059CA" w:rsidRDefault="00EE0781" w:rsidP="00EE0781">
      <w:pPr>
        <w:numPr>
          <w:ilvl w:val="0"/>
          <w:numId w:val="15"/>
        </w:numPr>
        <w:jc w:val="both"/>
        <w:rPr>
          <w:sz w:val="20"/>
        </w:rPr>
      </w:pPr>
      <w:r w:rsidRPr="00B059CA">
        <w:rPr>
          <w:sz w:val="20"/>
          <w:highlight w:val="white"/>
        </w:rPr>
        <w:t xml:space="preserve">La ejecución del programa conllevará la organización de sesiones del SCT.  </w:t>
      </w:r>
      <w:r w:rsidRPr="00B059CA">
        <w:rPr>
          <w:sz w:val="20"/>
        </w:rPr>
        <w:t>En concordancia con la recomendación 15 de la A.D., las sesiones del SCT estarán abiertas a la participación de todos los Estados miembros y observadores acreditados.  La Secretaría elaborará los documentos de trabajo y los presentará en los seis idiomas oficiales de NN.UU.</w:t>
      </w:r>
    </w:p>
    <w:p w:rsidR="00EE0781" w:rsidRPr="00B059CA" w:rsidRDefault="00EE0781" w:rsidP="00EE0781">
      <w:pPr>
        <w:jc w:val="both"/>
      </w:pPr>
    </w:p>
    <w:p w:rsidR="00EE0781" w:rsidRPr="00B059CA" w:rsidRDefault="00EE0781" w:rsidP="00EE0781">
      <w:pPr>
        <w:numPr>
          <w:ilvl w:val="0"/>
          <w:numId w:val="15"/>
        </w:numPr>
        <w:jc w:val="both"/>
        <w:rPr>
          <w:sz w:val="20"/>
        </w:rPr>
      </w:pPr>
      <w:r w:rsidRPr="00B059CA">
        <w:rPr>
          <w:sz w:val="20"/>
        </w:rPr>
        <w:t>La Secretaría seguirá encargándose de administrar con eficacia los procedimientos de comunicación contemplados en el Artículo 6</w:t>
      </w:r>
      <w:r w:rsidRPr="00B059CA">
        <w:rPr>
          <w:i/>
          <w:sz w:val="20"/>
        </w:rPr>
        <w:t>ter</w:t>
      </w:r>
      <w:r w:rsidRPr="00B059CA">
        <w:rPr>
          <w:sz w:val="20"/>
        </w:rPr>
        <w:t xml:space="preserve"> del Convenio de París y de elaborar publicaciones electrónicas con carácter bienal en las que se incluyan todos los signos que se comuniquen con arreglo al párrafo 3 del Artículo 6</w:t>
      </w:r>
      <w:r w:rsidRPr="00B059CA">
        <w:rPr>
          <w:i/>
          <w:sz w:val="20"/>
        </w:rPr>
        <w:t>ter.</w:t>
      </w:r>
      <w:r w:rsidRPr="00B059CA">
        <w:rPr>
          <w:sz w:val="20"/>
        </w:rPr>
        <w:t xml:space="preserve">  </w:t>
      </w:r>
    </w:p>
    <w:p w:rsidR="00EE0781" w:rsidRPr="00B059CA" w:rsidRDefault="00EE0781" w:rsidP="00EE0781">
      <w:pPr>
        <w:keepNext/>
        <w:keepLines/>
        <w:numPr>
          <w:ilvl w:val="0"/>
          <w:numId w:val="15"/>
        </w:numPr>
        <w:jc w:val="both"/>
      </w:pPr>
      <w:r w:rsidRPr="00B059CA">
        <w:rPr>
          <w:sz w:val="20"/>
          <w:highlight w:val="white"/>
        </w:rPr>
        <w:lastRenderedPageBreak/>
        <w:t>En cuanto a la meta estratégica III (</w:t>
      </w:r>
      <w:r w:rsidRPr="00B059CA">
        <w:rPr>
          <w:sz w:val="20"/>
        </w:rPr>
        <w:t>Facilitar el uso de la P.I. en aras del desarrollo</w:t>
      </w:r>
      <w:r w:rsidRPr="00B059CA">
        <w:rPr>
          <w:sz w:val="20"/>
          <w:highlight w:val="white"/>
        </w:rPr>
        <w:t xml:space="preserve">), el Programa 2 </w:t>
      </w:r>
      <w:r w:rsidRPr="00B059CA">
        <w:rPr>
          <w:sz w:val="20"/>
        </w:rPr>
        <w:t>proporcionará asesoramiento específico a los Estados miembros en respuesta a las prioridades determinadas dentro de sus estrategias nacionales de P.I.  La prestación de asesoramiento jurídico se coordinará con otros programas según se indica a continuación.</w:t>
      </w:r>
    </w:p>
    <w:p w:rsidR="00B8795A" w:rsidRDefault="00C7553F" w:rsidP="00C7553F">
      <w:pPr>
        <w:keepNext/>
        <w:keepLines/>
        <w:jc w:val="both"/>
      </w:pPr>
      <w:r w:rsidRPr="009B4A78">
        <w:rPr>
          <w:noProof/>
          <w:lang w:val="en-US" w:eastAsia="en-US"/>
        </w:rPr>
        <w:drawing>
          <wp:inline distT="0" distB="0" distL="0" distR="0" wp14:anchorId="52CFD43F" wp14:editId="0A0E4810">
            <wp:extent cx="5753100" cy="1485900"/>
            <wp:effectExtent l="0" t="0" r="1905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rsidR="00EE0781" w:rsidRPr="00B059CA" w:rsidRDefault="00EE0781" w:rsidP="00B8795A">
      <w:r w:rsidRPr="00B059CA">
        <w:t>PRINCIPALES RIESGOS Y ESTRATEGIAS DE MITIGACIÓN</w:t>
      </w:r>
    </w:p>
    <w:p w:rsidR="00EE0781" w:rsidRPr="00B059CA" w:rsidRDefault="00EE0781" w:rsidP="00EE0781">
      <w:pPr>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EE0781" w:rsidRPr="00B059CA" w:rsidTr="00162F59">
        <w:trPr>
          <w:trHeight w:val="472"/>
        </w:trPr>
        <w:tc>
          <w:tcPr>
            <w:tcW w:w="4111" w:type="dxa"/>
            <w:tcBorders>
              <w:top w:val="single" w:sz="4" w:space="0" w:color="auto"/>
              <w:bottom w:val="single" w:sz="4" w:space="0" w:color="auto"/>
            </w:tcBorders>
            <w:shd w:val="clear" w:color="auto" w:fill="C6D9F1"/>
            <w:vAlign w:val="center"/>
          </w:tcPr>
          <w:p w:rsidR="00EE0781" w:rsidRPr="00B059CA" w:rsidRDefault="00EE0781" w:rsidP="000A0481">
            <w:pPr>
              <w:jc w:val="center"/>
              <w:rPr>
                <w:b/>
                <w:bCs/>
                <w:sz w:val="18"/>
                <w:szCs w:val="18"/>
              </w:rPr>
            </w:pPr>
            <w:r w:rsidRPr="00B059CA">
              <w:rPr>
                <w:b/>
                <w:bCs/>
                <w:sz w:val="18"/>
                <w:szCs w:val="18"/>
              </w:rPr>
              <w:t>Riesgo</w:t>
            </w:r>
          </w:p>
        </w:tc>
        <w:tc>
          <w:tcPr>
            <w:tcW w:w="5103" w:type="dxa"/>
            <w:tcBorders>
              <w:top w:val="single" w:sz="4" w:space="0" w:color="auto"/>
              <w:bottom w:val="single" w:sz="4" w:space="0" w:color="auto"/>
            </w:tcBorders>
            <w:shd w:val="clear" w:color="auto" w:fill="C6D9F1"/>
            <w:vAlign w:val="center"/>
          </w:tcPr>
          <w:p w:rsidR="00EE0781" w:rsidRPr="00B059CA" w:rsidRDefault="00EE0781" w:rsidP="000A0481">
            <w:pPr>
              <w:jc w:val="center"/>
              <w:rPr>
                <w:b/>
                <w:bCs/>
                <w:sz w:val="18"/>
                <w:szCs w:val="18"/>
              </w:rPr>
            </w:pPr>
            <w:r w:rsidRPr="00B059CA">
              <w:rPr>
                <w:b/>
                <w:bCs/>
                <w:sz w:val="18"/>
                <w:szCs w:val="18"/>
              </w:rPr>
              <w:t>Mitigación</w:t>
            </w:r>
          </w:p>
        </w:tc>
      </w:tr>
      <w:tr w:rsidR="00EE0781" w:rsidRPr="001B36E2" w:rsidTr="000A0481">
        <w:trPr>
          <w:trHeight w:val="1160"/>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EE0781" w:rsidRPr="00B059CA" w:rsidRDefault="00EE0781" w:rsidP="000A0481">
            <w:pPr>
              <w:rPr>
                <w:sz w:val="16"/>
              </w:rPr>
            </w:pPr>
            <w:r w:rsidRPr="00B059CA">
              <w:rPr>
                <w:sz w:val="16"/>
              </w:rPr>
              <w:t>La forja de acuerdos a escala multilateral sigue siendo ardua y la conclusión satisfactoria de las actividades normativas en el marco del programa 2 dependerá en gran medida de la voluntad de los Estados miembros de definir resultados mutuamente convenidos.</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EE0781" w:rsidRPr="00B059CA" w:rsidRDefault="00EE0781" w:rsidP="000A0481">
            <w:pPr>
              <w:autoSpaceDE w:val="0"/>
              <w:autoSpaceDN w:val="0"/>
              <w:adjustRightInd w:val="0"/>
              <w:ind w:right="-59"/>
              <w:rPr>
                <w:sz w:val="16"/>
                <w:szCs w:val="16"/>
              </w:rPr>
            </w:pPr>
            <w:r w:rsidRPr="00B059CA">
              <w:rPr>
                <w:sz w:val="16"/>
                <w:szCs w:val="16"/>
              </w:rPr>
              <w:t>Se trata de un riesgo inherente a toda actividad de elaboración de normas, que, por su naturaleza, habrá que asumir en el programa.   Sin embargo, en determinadas actividades programáticas, en particular las sesiones del SCT, cabrá el diálogo e intercambio de puntos de vista a fin de determinar los ámbitos de entendimiento común y los posibles resultados en que se haya llegado a un acuerdo.</w:t>
            </w:r>
          </w:p>
        </w:tc>
      </w:tr>
    </w:tbl>
    <w:p w:rsidR="00B8795A" w:rsidRDefault="00B8795A" w:rsidP="00B8795A"/>
    <w:p w:rsidR="00B8795A" w:rsidRDefault="00B8795A" w:rsidP="00B8795A"/>
    <w:p w:rsidR="00EE0781" w:rsidRPr="00B059CA" w:rsidRDefault="00B8795A" w:rsidP="00B8795A">
      <w:r w:rsidRPr="00B059CA">
        <w:t>MARCO DE RESULTADOS</w:t>
      </w:r>
    </w:p>
    <w:p w:rsidR="00EE0781" w:rsidRPr="00B059CA" w:rsidRDefault="00EE0781" w:rsidP="00EE0781">
      <w:pPr>
        <w:keepNext/>
        <w:keepLines/>
      </w:pPr>
    </w:p>
    <w:tbl>
      <w:tblPr>
        <w:tblW w:w="9248" w:type="dxa"/>
        <w:tblInd w:w="93" w:type="dxa"/>
        <w:tblLook w:val="04A0" w:firstRow="1" w:lastRow="0" w:firstColumn="1" w:lastColumn="0" w:noHBand="0" w:noVBand="1"/>
      </w:tblPr>
      <w:tblGrid>
        <w:gridCol w:w="2014"/>
        <w:gridCol w:w="2324"/>
        <w:gridCol w:w="2699"/>
        <w:gridCol w:w="2287"/>
      </w:tblGrid>
      <w:tr w:rsidR="00EE0781" w:rsidRPr="00B059CA" w:rsidTr="00162F59">
        <w:trPr>
          <w:trHeight w:val="516"/>
        </w:trPr>
        <w:tc>
          <w:tcPr>
            <w:tcW w:w="2014" w:type="dxa"/>
            <w:tcBorders>
              <w:top w:val="single" w:sz="4" w:space="0" w:color="auto"/>
              <w:left w:val="single" w:sz="4" w:space="0" w:color="auto"/>
              <w:bottom w:val="single" w:sz="4" w:space="0" w:color="auto"/>
              <w:right w:val="nil"/>
            </w:tcBorders>
            <w:shd w:val="clear" w:color="auto" w:fill="C6D9F1"/>
            <w:noWrap/>
            <w:vAlign w:val="center"/>
            <w:hideMark/>
          </w:tcPr>
          <w:p w:rsidR="00EE0781" w:rsidRPr="00B059CA" w:rsidRDefault="00EE0781" w:rsidP="000A0481">
            <w:pPr>
              <w:keepNext/>
              <w:keepLines/>
              <w:jc w:val="center"/>
              <w:rPr>
                <w:b/>
                <w:bCs/>
                <w:sz w:val="18"/>
                <w:szCs w:val="16"/>
              </w:rPr>
            </w:pPr>
            <w:r w:rsidRPr="00B059CA">
              <w:rPr>
                <w:b/>
                <w:bCs/>
                <w:sz w:val="18"/>
                <w:szCs w:val="16"/>
              </w:rPr>
              <w:t>Resultados previstos</w:t>
            </w:r>
          </w:p>
        </w:tc>
        <w:tc>
          <w:tcPr>
            <w:tcW w:w="2248" w:type="dxa"/>
            <w:tcBorders>
              <w:top w:val="single" w:sz="4" w:space="0" w:color="auto"/>
              <w:left w:val="nil"/>
              <w:bottom w:val="single" w:sz="4" w:space="0" w:color="auto"/>
              <w:right w:val="nil"/>
            </w:tcBorders>
            <w:shd w:val="clear" w:color="auto" w:fill="C6D9F1"/>
            <w:noWrap/>
            <w:vAlign w:val="center"/>
            <w:hideMark/>
          </w:tcPr>
          <w:p w:rsidR="00EE0781" w:rsidRPr="00B059CA" w:rsidRDefault="00EE0781" w:rsidP="000A0481">
            <w:pPr>
              <w:keepNext/>
              <w:keepLines/>
              <w:jc w:val="center"/>
              <w:rPr>
                <w:b/>
                <w:bCs/>
                <w:sz w:val="18"/>
                <w:szCs w:val="16"/>
              </w:rPr>
            </w:pPr>
            <w:r w:rsidRPr="00B059CA">
              <w:rPr>
                <w:b/>
                <w:bCs/>
                <w:sz w:val="18"/>
                <w:szCs w:val="16"/>
              </w:rPr>
              <w:t>Indicadores de rendimiento</w:t>
            </w:r>
          </w:p>
        </w:tc>
        <w:tc>
          <w:tcPr>
            <w:tcW w:w="2699" w:type="dxa"/>
            <w:tcBorders>
              <w:top w:val="single" w:sz="4" w:space="0" w:color="auto"/>
              <w:left w:val="nil"/>
              <w:bottom w:val="single" w:sz="4" w:space="0" w:color="auto"/>
              <w:right w:val="nil"/>
            </w:tcBorders>
            <w:shd w:val="clear" w:color="auto" w:fill="C6D9F1"/>
            <w:noWrap/>
            <w:vAlign w:val="center"/>
            <w:hideMark/>
          </w:tcPr>
          <w:p w:rsidR="00EE0781" w:rsidRPr="00B059CA" w:rsidRDefault="00EE0781" w:rsidP="000A0481">
            <w:pPr>
              <w:keepNext/>
              <w:keepLines/>
              <w:jc w:val="center"/>
              <w:rPr>
                <w:b/>
                <w:bCs/>
                <w:sz w:val="18"/>
                <w:szCs w:val="16"/>
              </w:rPr>
            </w:pPr>
            <w:r w:rsidRPr="00B059CA">
              <w:rPr>
                <w:b/>
                <w:bCs/>
                <w:sz w:val="18"/>
                <w:szCs w:val="16"/>
              </w:rPr>
              <w:t>Referencia</w:t>
            </w:r>
          </w:p>
        </w:tc>
        <w:tc>
          <w:tcPr>
            <w:tcW w:w="2287" w:type="dxa"/>
            <w:tcBorders>
              <w:top w:val="single" w:sz="4" w:space="0" w:color="auto"/>
              <w:left w:val="nil"/>
              <w:bottom w:val="single" w:sz="4" w:space="0" w:color="auto"/>
              <w:right w:val="single" w:sz="4" w:space="0" w:color="auto"/>
            </w:tcBorders>
            <w:shd w:val="clear" w:color="auto" w:fill="C6D9F1"/>
            <w:noWrap/>
            <w:vAlign w:val="center"/>
            <w:hideMark/>
          </w:tcPr>
          <w:p w:rsidR="00EE0781" w:rsidRPr="00B059CA" w:rsidRDefault="00EE0781" w:rsidP="000A0481">
            <w:pPr>
              <w:keepNext/>
              <w:keepLines/>
              <w:jc w:val="center"/>
              <w:rPr>
                <w:b/>
                <w:bCs/>
                <w:sz w:val="18"/>
                <w:szCs w:val="16"/>
              </w:rPr>
            </w:pPr>
            <w:r w:rsidRPr="00B059CA">
              <w:rPr>
                <w:b/>
                <w:bCs/>
                <w:sz w:val="18"/>
                <w:szCs w:val="16"/>
              </w:rPr>
              <w:t>Objetivos</w:t>
            </w:r>
          </w:p>
        </w:tc>
      </w:tr>
      <w:tr w:rsidR="00EE0781" w:rsidRPr="001B36E2" w:rsidTr="000A0481">
        <w:trPr>
          <w:trHeight w:val="988"/>
        </w:trPr>
        <w:tc>
          <w:tcPr>
            <w:tcW w:w="2014" w:type="dxa"/>
            <w:vMerge w:val="restart"/>
            <w:tcBorders>
              <w:top w:val="nil"/>
              <w:left w:val="single" w:sz="4" w:space="0" w:color="auto"/>
              <w:bottom w:val="nil"/>
              <w:right w:val="nil"/>
            </w:tcBorders>
            <w:shd w:val="clear" w:color="000000" w:fill="FFFFFF"/>
            <w:hideMark/>
          </w:tcPr>
          <w:p w:rsidR="00EE0781" w:rsidRPr="00C7553F" w:rsidRDefault="00EE0781" w:rsidP="000A0481">
            <w:pPr>
              <w:keepNext/>
              <w:keepLines/>
              <w:tabs>
                <w:tab w:val="left" w:pos="1284"/>
                <w:tab w:val="left" w:pos="1585"/>
              </w:tabs>
              <w:ind w:right="190"/>
              <w:rPr>
                <w:sz w:val="16"/>
                <w:szCs w:val="16"/>
              </w:rPr>
            </w:pPr>
            <w:r w:rsidRPr="00C7553F">
              <w:rPr>
                <w:sz w:val="16"/>
                <w:szCs w:val="16"/>
              </w:rPr>
              <w:br/>
              <w:t xml:space="preserve">I.1 </w:t>
            </w:r>
            <w:r w:rsidR="00604E62" w:rsidRPr="00C7553F">
              <w:rPr>
                <w:sz w:val="16"/>
                <w:szCs w:val="16"/>
              </w:rPr>
              <w:t xml:space="preserve"> </w:t>
            </w:r>
            <w:r w:rsidR="006C23D5" w:rsidRPr="00C7553F">
              <w:rPr>
                <w:sz w:val="16"/>
                <w:szCs w:val="16"/>
                <w:lang w:val="es-ES_tradnl"/>
              </w:rPr>
              <w:t>Mayor cooperación entre los Estados miembros en la elaboración de marcos normativos internacionales de P.I. equilibrados</w:t>
            </w:r>
          </w:p>
        </w:tc>
        <w:tc>
          <w:tcPr>
            <w:tcW w:w="2248" w:type="dxa"/>
            <w:tcBorders>
              <w:top w:val="nil"/>
              <w:left w:val="nil"/>
              <w:bottom w:val="nil"/>
              <w:right w:val="nil"/>
            </w:tcBorders>
            <w:shd w:val="clear" w:color="000000" w:fill="FFFFFF"/>
            <w:hideMark/>
          </w:tcPr>
          <w:p w:rsidR="00EE0781" w:rsidRPr="00B059CA" w:rsidRDefault="00EE0781" w:rsidP="000A0481">
            <w:pPr>
              <w:keepNext/>
              <w:keepLines/>
              <w:ind w:right="170"/>
              <w:rPr>
                <w:sz w:val="16"/>
                <w:szCs w:val="16"/>
              </w:rPr>
            </w:pPr>
            <w:r w:rsidRPr="00B059CA">
              <w:rPr>
                <w:sz w:val="16"/>
                <w:szCs w:val="16"/>
              </w:rPr>
              <w:br/>
              <w:t>Progresos en pos de acuerdos sobre las cuestiones que están en el orden del día del SCT.</w:t>
            </w:r>
          </w:p>
          <w:p w:rsidR="00EE0781" w:rsidRPr="00B059CA" w:rsidRDefault="00EE0781" w:rsidP="000A0481">
            <w:pPr>
              <w:keepNext/>
              <w:keepLines/>
              <w:ind w:right="170"/>
              <w:rPr>
                <w:sz w:val="16"/>
                <w:szCs w:val="16"/>
              </w:rPr>
            </w:pPr>
          </w:p>
        </w:tc>
        <w:tc>
          <w:tcPr>
            <w:tcW w:w="2699" w:type="dxa"/>
            <w:tcBorders>
              <w:top w:val="nil"/>
              <w:left w:val="nil"/>
              <w:bottom w:val="nil"/>
              <w:right w:val="nil"/>
            </w:tcBorders>
            <w:shd w:val="clear" w:color="000000" w:fill="FFFFFF"/>
            <w:hideMark/>
          </w:tcPr>
          <w:p w:rsidR="00EE0781" w:rsidRPr="00B059CA" w:rsidRDefault="00EE0781" w:rsidP="000A0481">
            <w:pPr>
              <w:keepNext/>
              <w:keepLines/>
              <w:tabs>
                <w:tab w:val="left" w:pos="2024"/>
              </w:tabs>
              <w:ind w:right="238"/>
              <w:rPr>
                <w:sz w:val="16"/>
                <w:szCs w:val="16"/>
              </w:rPr>
            </w:pPr>
            <w:r w:rsidRPr="00B059CA">
              <w:rPr>
                <w:sz w:val="16"/>
                <w:szCs w:val="16"/>
              </w:rPr>
              <w:br/>
              <w:t>Estado en que se encuentra la labor del SCT al final de 2015 según los documentos de trabajo pertinentes</w:t>
            </w:r>
          </w:p>
        </w:tc>
        <w:tc>
          <w:tcPr>
            <w:tcW w:w="2287" w:type="dxa"/>
            <w:tcBorders>
              <w:top w:val="nil"/>
              <w:left w:val="nil"/>
              <w:bottom w:val="nil"/>
              <w:right w:val="single" w:sz="4" w:space="0" w:color="auto"/>
            </w:tcBorders>
            <w:shd w:val="clear" w:color="000000" w:fill="FFFFFF"/>
            <w:hideMark/>
          </w:tcPr>
          <w:p w:rsidR="00EE0781" w:rsidRPr="00B059CA" w:rsidRDefault="00483C77" w:rsidP="000A0481">
            <w:pPr>
              <w:keepNext/>
              <w:keepLines/>
              <w:rPr>
                <w:sz w:val="16"/>
                <w:szCs w:val="16"/>
              </w:rPr>
            </w:pPr>
            <w:r>
              <w:rPr>
                <w:sz w:val="16"/>
                <w:szCs w:val="16"/>
              </w:rPr>
              <w:br/>
            </w:r>
            <w:r w:rsidR="00EE0781" w:rsidRPr="00B059CA">
              <w:rPr>
                <w:sz w:val="16"/>
                <w:szCs w:val="16"/>
              </w:rPr>
              <w:t>Resultados acordados en el SCT.</w:t>
            </w:r>
          </w:p>
        </w:tc>
      </w:tr>
      <w:tr w:rsidR="00EE0781" w:rsidRPr="00B059CA" w:rsidTr="000A0481">
        <w:trPr>
          <w:trHeight w:val="1823"/>
        </w:trPr>
        <w:tc>
          <w:tcPr>
            <w:tcW w:w="2014" w:type="dxa"/>
            <w:vMerge/>
            <w:tcBorders>
              <w:top w:val="nil"/>
              <w:left w:val="single" w:sz="4" w:space="0" w:color="auto"/>
              <w:bottom w:val="nil"/>
              <w:right w:val="nil"/>
            </w:tcBorders>
            <w:vAlign w:val="center"/>
            <w:hideMark/>
          </w:tcPr>
          <w:p w:rsidR="00EE0781" w:rsidRPr="00C7553F" w:rsidRDefault="00EE0781" w:rsidP="000A0481">
            <w:pPr>
              <w:keepNext/>
              <w:keepLines/>
              <w:ind w:right="190"/>
              <w:rPr>
                <w:sz w:val="16"/>
                <w:szCs w:val="16"/>
              </w:rPr>
            </w:pPr>
          </w:p>
        </w:tc>
        <w:tc>
          <w:tcPr>
            <w:tcW w:w="2248" w:type="dxa"/>
            <w:tcBorders>
              <w:top w:val="nil"/>
              <w:left w:val="nil"/>
              <w:bottom w:val="nil"/>
              <w:right w:val="nil"/>
            </w:tcBorders>
            <w:shd w:val="clear" w:color="000000" w:fill="FFFFFF"/>
            <w:hideMark/>
          </w:tcPr>
          <w:p w:rsidR="00EE0781" w:rsidRPr="00B059CA" w:rsidRDefault="00EE0781" w:rsidP="000A0481">
            <w:pPr>
              <w:keepNext/>
              <w:keepLines/>
              <w:ind w:right="311"/>
              <w:rPr>
                <w:sz w:val="16"/>
                <w:szCs w:val="16"/>
              </w:rPr>
            </w:pPr>
            <w:r w:rsidRPr="00B059CA">
              <w:rPr>
                <w:sz w:val="16"/>
                <w:szCs w:val="16"/>
              </w:rPr>
              <w:t>Número de ratificaciones/adhesiones al Tratado de Singapur.</w:t>
            </w:r>
          </w:p>
        </w:tc>
        <w:tc>
          <w:tcPr>
            <w:tcW w:w="2699" w:type="dxa"/>
            <w:tcBorders>
              <w:top w:val="nil"/>
              <w:left w:val="nil"/>
              <w:bottom w:val="nil"/>
              <w:right w:val="nil"/>
            </w:tcBorders>
            <w:shd w:val="clear" w:color="000000" w:fill="FFFFFF"/>
            <w:hideMark/>
          </w:tcPr>
          <w:p w:rsidR="00EE0781" w:rsidRPr="00B059CA" w:rsidRDefault="00EE0781" w:rsidP="000A0481">
            <w:pPr>
              <w:keepNext/>
              <w:keepLines/>
              <w:ind w:right="238"/>
              <w:rPr>
                <w:sz w:val="16"/>
                <w:szCs w:val="16"/>
              </w:rPr>
            </w:pPr>
            <w:r w:rsidRPr="00B059CA">
              <w:rPr>
                <w:sz w:val="16"/>
                <w:szCs w:val="16"/>
                <w:highlight w:val="white"/>
              </w:rPr>
              <w:t xml:space="preserve">Siete nuevas Partes Contratantes en </w:t>
            </w:r>
            <w:r w:rsidRPr="00B059CA">
              <w:rPr>
                <w:sz w:val="16"/>
                <w:szCs w:val="16"/>
              </w:rPr>
              <w:t>2014: Belarús, Bélgica</w:t>
            </w:r>
            <w:r w:rsidRPr="00B059CA">
              <w:rPr>
                <w:sz w:val="16"/>
                <w:szCs w:val="16"/>
                <w:highlight w:val="white"/>
              </w:rPr>
              <w:t xml:space="preserve">, </w:t>
            </w:r>
            <w:r w:rsidRPr="00B059CA">
              <w:rPr>
                <w:sz w:val="16"/>
                <w:szCs w:val="16"/>
              </w:rPr>
              <w:t xml:space="preserve">Organización de Propiedad Intelectual del Benelux (BOIP), Iraq, Luxemburgo, </w:t>
            </w:r>
            <w:r w:rsidRPr="00B059CA">
              <w:rPr>
                <w:sz w:val="16"/>
                <w:szCs w:val="16"/>
                <w:highlight w:val="white"/>
              </w:rPr>
              <w:t xml:space="preserve">los Países Bajos </w:t>
            </w:r>
            <w:r w:rsidRPr="00B059CA">
              <w:rPr>
                <w:sz w:val="16"/>
                <w:szCs w:val="16"/>
              </w:rPr>
              <w:t xml:space="preserve">y Tayikistán, con lo que se eleva a 38 el número de Partes Contratantes al final de </w:t>
            </w:r>
            <w:r w:rsidRPr="00B059CA">
              <w:rPr>
                <w:sz w:val="16"/>
                <w:szCs w:val="16"/>
                <w:highlight w:val="white"/>
              </w:rPr>
              <w:t>2014</w:t>
            </w:r>
            <w:r w:rsidRPr="00B059CA">
              <w:rPr>
                <w:sz w:val="16"/>
                <w:szCs w:val="16"/>
              </w:rPr>
              <w:t>.</w:t>
            </w:r>
          </w:p>
        </w:tc>
        <w:tc>
          <w:tcPr>
            <w:tcW w:w="2287" w:type="dxa"/>
            <w:tcBorders>
              <w:top w:val="nil"/>
              <w:left w:val="nil"/>
              <w:bottom w:val="nil"/>
              <w:right w:val="single" w:sz="4" w:space="0" w:color="auto"/>
            </w:tcBorders>
            <w:shd w:val="clear" w:color="000000" w:fill="FFFFFF"/>
            <w:hideMark/>
          </w:tcPr>
          <w:p w:rsidR="00EE0781" w:rsidRPr="00B059CA" w:rsidRDefault="00EE0781" w:rsidP="000A0481">
            <w:pPr>
              <w:keepNext/>
              <w:keepLines/>
              <w:rPr>
                <w:sz w:val="16"/>
                <w:szCs w:val="16"/>
              </w:rPr>
            </w:pPr>
            <w:r w:rsidRPr="00B059CA">
              <w:rPr>
                <w:sz w:val="16"/>
                <w:szCs w:val="16"/>
              </w:rPr>
              <w:t>Ocho nuevas ratificaciones / adhesiones.</w:t>
            </w:r>
          </w:p>
        </w:tc>
      </w:tr>
      <w:tr w:rsidR="00EE0781" w:rsidRPr="001B36E2" w:rsidTr="000A0481">
        <w:trPr>
          <w:trHeight w:val="1688"/>
        </w:trPr>
        <w:tc>
          <w:tcPr>
            <w:tcW w:w="2014" w:type="dxa"/>
            <w:tcBorders>
              <w:top w:val="nil"/>
              <w:left w:val="single" w:sz="4" w:space="0" w:color="auto"/>
              <w:bottom w:val="nil"/>
              <w:right w:val="nil"/>
            </w:tcBorders>
            <w:shd w:val="clear" w:color="000000" w:fill="FFFFFF"/>
            <w:hideMark/>
          </w:tcPr>
          <w:p w:rsidR="00EE0781" w:rsidRPr="00C7553F" w:rsidRDefault="00F376E1" w:rsidP="000A0481">
            <w:pPr>
              <w:keepNext/>
              <w:keepLines/>
              <w:tabs>
                <w:tab w:val="left" w:pos="1284"/>
                <w:tab w:val="left" w:pos="1585"/>
              </w:tabs>
              <w:ind w:right="190"/>
              <w:rPr>
                <w:sz w:val="16"/>
                <w:szCs w:val="16"/>
              </w:rPr>
            </w:pPr>
            <w:r w:rsidRPr="00C7553F">
              <w:rPr>
                <w:sz w:val="16"/>
                <w:szCs w:val="16"/>
              </w:rPr>
              <w:t>I.2</w:t>
            </w:r>
            <w:r w:rsidR="00EE0781" w:rsidRPr="00C7553F">
              <w:rPr>
                <w:sz w:val="16"/>
                <w:szCs w:val="16"/>
              </w:rPr>
              <w:t xml:space="preserve"> </w:t>
            </w:r>
            <w:r w:rsidR="00604E62" w:rsidRPr="00C7553F">
              <w:rPr>
                <w:sz w:val="16"/>
                <w:szCs w:val="16"/>
              </w:rPr>
              <w:t xml:space="preserve"> </w:t>
            </w:r>
            <w:r w:rsidR="006C23D5" w:rsidRPr="00C7553F">
              <w:rPr>
                <w:sz w:val="16"/>
                <w:szCs w:val="16"/>
                <w:lang w:val="es-ES_tradnl"/>
              </w:rPr>
              <w:t>Marcos de P.I. adaptados y equilibrados en el ámbito legislativo, regulador y de política</w:t>
            </w:r>
          </w:p>
        </w:tc>
        <w:tc>
          <w:tcPr>
            <w:tcW w:w="2248" w:type="dxa"/>
            <w:tcBorders>
              <w:top w:val="nil"/>
              <w:left w:val="nil"/>
              <w:bottom w:val="nil"/>
              <w:right w:val="nil"/>
            </w:tcBorders>
            <w:shd w:val="clear" w:color="000000" w:fill="FFFFFF"/>
            <w:hideMark/>
          </w:tcPr>
          <w:p w:rsidR="00EE0781" w:rsidRPr="00B059CA" w:rsidRDefault="00EE0781" w:rsidP="000A0481">
            <w:pPr>
              <w:keepNext/>
              <w:keepLines/>
              <w:tabs>
                <w:tab w:val="left" w:pos="1537"/>
                <w:tab w:val="left" w:pos="1875"/>
              </w:tabs>
              <w:ind w:right="170"/>
              <w:rPr>
                <w:sz w:val="16"/>
                <w:szCs w:val="16"/>
              </w:rPr>
            </w:pPr>
            <w:r w:rsidRPr="00B059CA">
              <w:rPr>
                <w:sz w:val="16"/>
                <w:szCs w:val="16"/>
              </w:rPr>
              <w:t>Número y porcentaje de Estados miembros / organizaciones regionales que han presentado comentarios positivos sobre el asesoramiento legislativo proporcionado en la esfera de las marcas, los diseños industriales y las indicaciones geográficas.</w:t>
            </w:r>
          </w:p>
          <w:p w:rsidR="00EE0781" w:rsidRPr="00B059CA" w:rsidRDefault="00EE0781" w:rsidP="000A0481">
            <w:pPr>
              <w:keepNext/>
              <w:keepLines/>
              <w:tabs>
                <w:tab w:val="left" w:pos="1537"/>
                <w:tab w:val="left" w:pos="1875"/>
              </w:tabs>
              <w:ind w:right="170"/>
              <w:rPr>
                <w:sz w:val="16"/>
                <w:szCs w:val="16"/>
              </w:rPr>
            </w:pPr>
            <w:r w:rsidRPr="00B059CA">
              <w:rPr>
                <w:sz w:val="16"/>
                <w:szCs w:val="16"/>
              </w:rPr>
              <w:t xml:space="preserve"> </w:t>
            </w:r>
          </w:p>
        </w:tc>
        <w:tc>
          <w:tcPr>
            <w:tcW w:w="2699" w:type="dxa"/>
            <w:tcBorders>
              <w:top w:val="nil"/>
              <w:left w:val="nil"/>
              <w:bottom w:val="nil"/>
              <w:right w:val="nil"/>
            </w:tcBorders>
            <w:shd w:val="clear" w:color="000000" w:fill="FFFFFF"/>
            <w:hideMark/>
          </w:tcPr>
          <w:p w:rsidR="00EE0781" w:rsidRPr="00B059CA" w:rsidRDefault="00EE0781" w:rsidP="000A0481">
            <w:pPr>
              <w:keepNext/>
              <w:keepLines/>
              <w:ind w:right="238"/>
              <w:rPr>
                <w:sz w:val="16"/>
                <w:szCs w:val="16"/>
              </w:rPr>
            </w:pPr>
            <w:r w:rsidRPr="00B059CA">
              <w:rPr>
                <w:sz w:val="16"/>
                <w:szCs w:val="16"/>
              </w:rPr>
              <w:t>2014</w:t>
            </w:r>
            <w:proofErr w:type="gramStart"/>
            <w:r w:rsidRPr="00B059CA">
              <w:rPr>
                <w:sz w:val="16"/>
                <w:szCs w:val="16"/>
              </w:rPr>
              <w:t>:  Se</w:t>
            </w:r>
            <w:proofErr w:type="gramEnd"/>
            <w:r w:rsidRPr="00B059CA">
              <w:rPr>
                <w:sz w:val="16"/>
                <w:szCs w:val="16"/>
              </w:rPr>
              <w:t xml:space="preserve"> proporcionó asesoramiento a 20 Estados miembros/organizaciones regionales.  Se recibieron comentarios de siete encuestados (100%), quienes se mostraron satisfechos con el asesoramiento brindado</w:t>
            </w:r>
          </w:p>
          <w:p w:rsidR="00EE0781" w:rsidRPr="00B059CA" w:rsidRDefault="00EE0781" w:rsidP="000A0481">
            <w:pPr>
              <w:keepNext/>
              <w:keepLines/>
              <w:ind w:right="238"/>
              <w:rPr>
                <w:sz w:val="16"/>
                <w:szCs w:val="16"/>
              </w:rPr>
            </w:pPr>
          </w:p>
        </w:tc>
        <w:tc>
          <w:tcPr>
            <w:tcW w:w="2287" w:type="dxa"/>
            <w:tcBorders>
              <w:top w:val="nil"/>
              <w:left w:val="nil"/>
              <w:bottom w:val="nil"/>
              <w:right w:val="single" w:sz="4" w:space="0" w:color="auto"/>
            </w:tcBorders>
            <w:shd w:val="clear" w:color="000000" w:fill="FFFFFF"/>
            <w:hideMark/>
          </w:tcPr>
          <w:p w:rsidR="00EE0781" w:rsidRPr="00B059CA" w:rsidRDefault="00EE0781" w:rsidP="000A0481">
            <w:pPr>
              <w:keepNext/>
              <w:keepLines/>
              <w:rPr>
                <w:sz w:val="16"/>
                <w:szCs w:val="16"/>
                <w:highlight w:val="white"/>
              </w:rPr>
            </w:pPr>
            <w:r w:rsidRPr="00B059CA">
              <w:rPr>
                <w:sz w:val="16"/>
                <w:szCs w:val="16"/>
                <w:highlight w:val="white"/>
              </w:rPr>
              <w:t xml:space="preserve">90% </w:t>
            </w:r>
            <w:r w:rsidRPr="00B059CA">
              <w:rPr>
                <w:sz w:val="16"/>
                <w:szCs w:val="16"/>
              </w:rPr>
              <w:t>de los encuestados expresa satisfacción con el asesoramiento brindado.</w:t>
            </w:r>
          </w:p>
        </w:tc>
      </w:tr>
      <w:tr w:rsidR="00EE0781" w:rsidRPr="001B36E2" w:rsidTr="000A0481">
        <w:trPr>
          <w:trHeight w:val="1422"/>
        </w:trPr>
        <w:tc>
          <w:tcPr>
            <w:tcW w:w="2014" w:type="dxa"/>
            <w:tcBorders>
              <w:top w:val="nil"/>
              <w:left w:val="single" w:sz="4" w:space="0" w:color="auto"/>
              <w:bottom w:val="single" w:sz="4" w:space="0" w:color="auto"/>
              <w:right w:val="nil"/>
            </w:tcBorders>
            <w:shd w:val="clear" w:color="000000" w:fill="FFFFFF"/>
            <w:hideMark/>
          </w:tcPr>
          <w:p w:rsidR="00EE0781" w:rsidRPr="00C7553F" w:rsidRDefault="00EE0781" w:rsidP="00F376E1">
            <w:pPr>
              <w:keepNext/>
              <w:keepLines/>
              <w:ind w:right="190"/>
              <w:rPr>
                <w:sz w:val="16"/>
                <w:szCs w:val="16"/>
              </w:rPr>
            </w:pPr>
            <w:r w:rsidRPr="00C7553F">
              <w:rPr>
                <w:sz w:val="16"/>
                <w:szCs w:val="16"/>
              </w:rPr>
              <w:t xml:space="preserve">I.3 </w:t>
            </w:r>
            <w:r w:rsidR="00E05E1F" w:rsidRPr="00C7553F">
              <w:rPr>
                <w:sz w:val="16"/>
                <w:szCs w:val="16"/>
              </w:rPr>
              <w:t xml:space="preserve"> </w:t>
            </w:r>
            <w:r w:rsidR="006C23D5" w:rsidRPr="00C7553F">
              <w:rPr>
                <w:sz w:val="16"/>
                <w:szCs w:val="16"/>
                <w:lang w:val="es-ES_tradnl"/>
              </w:rPr>
              <w:t>Aumento de la protección de los emblemas de Estado y de los nombres y emblemas de organizaciones intergubernamentales internacionales</w:t>
            </w:r>
          </w:p>
        </w:tc>
        <w:tc>
          <w:tcPr>
            <w:tcW w:w="2248" w:type="dxa"/>
            <w:tcBorders>
              <w:top w:val="nil"/>
              <w:left w:val="nil"/>
              <w:bottom w:val="single" w:sz="4" w:space="0" w:color="auto"/>
              <w:right w:val="nil"/>
            </w:tcBorders>
            <w:shd w:val="clear" w:color="000000" w:fill="FFFFFF"/>
            <w:hideMark/>
          </w:tcPr>
          <w:p w:rsidR="00EE0781" w:rsidRPr="00B059CA" w:rsidRDefault="00EE0781" w:rsidP="000A0481">
            <w:pPr>
              <w:keepNext/>
              <w:keepLines/>
              <w:ind w:right="170"/>
              <w:rPr>
                <w:sz w:val="16"/>
                <w:szCs w:val="16"/>
              </w:rPr>
            </w:pPr>
            <w:r w:rsidRPr="00B059CA">
              <w:rPr>
                <w:sz w:val="16"/>
                <w:szCs w:val="16"/>
              </w:rPr>
              <w:t>Número de signos contenidos en la base de datos sobre el artículo 6</w:t>
            </w:r>
            <w:r w:rsidRPr="00B059CA">
              <w:rPr>
                <w:i/>
                <w:sz w:val="16"/>
                <w:szCs w:val="16"/>
              </w:rPr>
              <w:t>ter</w:t>
            </w:r>
          </w:p>
        </w:tc>
        <w:tc>
          <w:tcPr>
            <w:tcW w:w="2699" w:type="dxa"/>
            <w:tcBorders>
              <w:top w:val="nil"/>
              <w:left w:val="nil"/>
              <w:bottom w:val="single" w:sz="4" w:space="0" w:color="auto"/>
              <w:right w:val="nil"/>
            </w:tcBorders>
            <w:shd w:val="clear" w:color="000000" w:fill="FFFFFF"/>
            <w:hideMark/>
          </w:tcPr>
          <w:p w:rsidR="00EE0781" w:rsidRPr="00B059CA" w:rsidRDefault="00EE0781" w:rsidP="000A0481">
            <w:pPr>
              <w:keepNext/>
              <w:keepLines/>
              <w:ind w:right="238"/>
              <w:rPr>
                <w:sz w:val="16"/>
                <w:szCs w:val="16"/>
              </w:rPr>
            </w:pPr>
            <w:r w:rsidRPr="00B059CA">
              <w:rPr>
                <w:sz w:val="16"/>
                <w:szCs w:val="16"/>
              </w:rPr>
              <w:t>3.103 (</w:t>
            </w:r>
            <w:r w:rsidRPr="00B059CA">
              <w:rPr>
                <w:sz w:val="16"/>
                <w:szCs w:val="16"/>
                <w:highlight w:val="white"/>
              </w:rPr>
              <w:t>al 15 de abril de</w:t>
            </w:r>
            <w:r w:rsidRPr="00B059CA">
              <w:rPr>
                <w:sz w:val="16"/>
                <w:szCs w:val="16"/>
              </w:rPr>
              <w:t xml:space="preserve"> 2015)</w:t>
            </w:r>
          </w:p>
        </w:tc>
        <w:tc>
          <w:tcPr>
            <w:tcW w:w="2287" w:type="dxa"/>
            <w:tcBorders>
              <w:top w:val="nil"/>
              <w:left w:val="nil"/>
              <w:bottom w:val="single" w:sz="4" w:space="0" w:color="auto"/>
              <w:right w:val="single" w:sz="4" w:space="0" w:color="auto"/>
            </w:tcBorders>
            <w:shd w:val="clear" w:color="000000" w:fill="FFFFFF"/>
            <w:hideMark/>
          </w:tcPr>
          <w:p w:rsidR="00EE0781" w:rsidRPr="00B059CA" w:rsidRDefault="00EE0781" w:rsidP="000A0481">
            <w:pPr>
              <w:keepNext/>
              <w:keepLines/>
              <w:rPr>
                <w:sz w:val="16"/>
                <w:szCs w:val="16"/>
              </w:rPr>
            </w:pPr>
            <w:r w:rsidRPr="00B059CA">
              <w:rPr>
                <w:sz w:val="16"/>
                <w:szCs w:val="16"/>
              </w:rPr>
              <w:t xml:space="preserve">120 nuevos signos publicados durante el bienio </w:t>
            </w:r>
          </w:p>
        </w:tc>
      </w:tr>
    </w:tbl>
    <w:p w:rsidR="00EE0781" w:rsidRPr="00B059CA" w:rsidRDefault="00EE0781" w:rsidP="00EE0781">
      <w:pPr>
        <w:jc w:val="both"/>
      </w:pPr>
    </w:p>
    <w:p w:rsidR="00EE0781" w:rsidRDefault="00EE0781">
      <w:pPr>
        <w:rPr>
          <w:szCs w:val="22"/>
        </w:rPr>
      </w:pPr>
      <w:r>
        <w:rPr>
          <w:szCs w:val="22"/>
        </w:rPr>
        <w:br w:type="page"/>
      </w:r>
    </w:p>
    <w:p w:rsidR="00EE0781" w:rsidRPr="00CA4E6C" w:rsidRDefault="00372D5D" w:rsidP="00EE0781">
      <w:pPr>
        <w:jc w:val="both"/>
        <w:rPr>
          <w:highlight w:val="lightGray"/>
        </w:rPr>
      </w:pPr>
      <w:r w:rsidRPr="00CA4E6C">
        <w:rPr>
          <w:lang w:val="es-ES_tradnl"/>
        </w:rPr>
        <w:lastRenderedPageBreak/>
        <w:t>RECURSOS PARA EL PROGRAMA 2</w:t>
      </w:r>
    </w:p>
    <w:p w:rsidR="00EE0781" w:rsidRPr="00CA4E6C" w:rsidRDefault="00EE0781" w:rsidP="00EE0781">
      <w:pPr>
        <w:jc w:val="both"/>
      </w:pPr>
    </w:p>
    <w:p w:rsidR="00EE0781" w:rsidRPr="00CA4E6C" w:rsidRDefault="00CA4E6C" w:rsidP="00EE0781">
      <w:pPr>
        <w:keepNext/>
        <w:keepLines/>
        <w:numPr>
          <w:ilvl w:val="0"/>
          <w:numId w:val="15"/>
        </w:numPr>
        <w:jc w:val="both"/>
        <w:rPr>
          <w:sz w:val="20"/>
        </w:rPr>
      </w:pPr>
      <w:r w:rsidRPr="00EB43D0">
        <w:rPr>
          <w:sz w:val="20"/>
          <w:lang w:val="es-ES_tradnl"/>
        </w:rPr>
        <w:t>L</w:t>
      </w:r>
      <w:r w:rsidR="00097996">
        <w:rPr>
          <w:sz w:val="20"/>
          <w:lang w:val="es-ES_tradnl"/>
        </w:rPr>
        <w:t>a dotación global de r</w:t>
      </w:r>
      <w:r w:rsidRPr="00EB43D0">
        <w:rPr>
          <w:sz w:val="20"/>
          <w:lang w:val="es-ES_tradnl"/>
        </w:rPr>
        <w:t>ecursos</w:t>
      </w:r>
      <w:r w:rsidR="00CF552A">
        <w:rPr>
          <w:sz w:val="20"/>
          <w:lang w:val="es-ES_tradnl"/>
        </w:rPr>
        <w:t xml:space="preserve"> para</w:t>
      </w:r>
      <w:r w:rsidRPr="00EB43D0">
        <w:rPr>
          <w:sz w:val="20"/>
          <w:lang w:val="es-ES_tradnl"/>
        </w:rPr>
        <w:t xml:space="preserve"> el programa 2 en 2016/17 registra un descenso tanto en relación con el presupuesto aprobado de 2014/15 como con el presupuesto de 2014/15 </w:t>
      </w:r>
      <w:r w:rsidR="00C7553F">
        <w:rPr>
          <w:sz w:val="20"/>
          <w:lang w:val="es-ES_tradnl"/>
        </w:rPr>
        <w:t>tras</w:t>
      </w:r>
      <w:r w:rsidRPr="00EB43D0">
        <w:rPr>
          <w:sz w:val="20"/>
          <w:lang w:val="es-ES_tradnl"/>
        </w:rPr>
        <w:t xml:space="preserve"> las trasferencias.  Esta disminución se debe a</w:t>
      </w:r>
      <w:proofErr w:type="gramStart"/>
      <w:r w:rsidRPr="00EB43D0">
        <w:rPr>
          <w:sz w:val="20"/>
          <w:lang w:val="es-ES_tradnl"/>
        </w:rPr>
        <w:t>:  i</w:t>
      </w:r>
      <w:proofErr w:type="gramEnd"/>
      <w:r w:rsidRPr="00EB43D0">
        <w:rPr>
          <w:sz w:val="20"/>
          <w:lang w:val="es-ES_tradnl"/>
        </w:rPr>
        <w:t>) una asignación presupuestara para cubrir, como máximo, tres sesiones del SCT en 2016/17, en comparación con las cuatro previstas en 2014/15 y ii) una asignación presupuestaria para la eventual celebración de una conferencia diplomática en 2016/17, que ahora está anotada en la partida de fondos "sin consignar”.  Esto se refleja en la disminución de los recursos destinados al resultado previsto I.1.</w:t>
      </w:r>
    </w:p>
    <w:p w:rsidR="00EE0781" w:rsidRPr="00CA4E6C" w:rsidRDefault="00EE0781" w:rsidP="00EE0781">
      <w:pPr>
        <w:jc w:val="both"/>
        <w:rPr>
          <w:sz w:val="20"/>
        </w:rPr>
      </w:pPr>
    </w:p>
    <w:p w:rsidR="00EE0781" w:rsidRPr="00CA4E6C" w:rsidRDefault="00CA4E6C" w:rsidP="00EE0781">
      <w:pPr>
        <w:keepNext/>
        <w:keepLines/>
        <w:numPr>
          <w:ilvl w:val="0"/>
          <w:numId w:val="15"/>
        </w:numPr>
        <w:jc w:val="both"/>
        <w:rPr>
          <w:sz w:val="20"/>
        </w:rPr>
      </w:pPr>
      <w:r w:rsidRPr="00EB43D0">
        <w:rPr>
          <w:sz w:val="20"/>
          <w:lang w:val="es-ES_tradnl"/>
        </w:rPr>
        <w:t>Los recursos respecto del resultado previsto III.4 en el presupuesto aprobado de 2014/15 reflejan la finalización del proyecto de la A.D. sobre la P.I. y la creación de diseños para fomentar las actividades comerciales en los países en desarrollo y los PMA, que está prevista para finales de 2015.  Por consiguiente, no se prevén recursos para ese resultado en el bienio 2016/17.</w:t>
      </w:r>
    </w:p>
    <w:p w:rsidR="00EE0781" w:rsidRPr="00CA4E6C" w:rsidRDefault="00EE0781" w:rsidP="00EE0781">
      <w:pPr>
        <w:jc w:val="both"/>
        <w:rPr>
          <w:sz w:val="20"/>
        </w:rPr>
      </w:pPr>
    </w:p>
    <w:p w:rsidR="00EE0781" w:rsidRPr="00C7553F" w:rsidRDefault="00EE0781" w:rsidP="00EE0781">
      <w:pPr>
        <w:jc w:val="both"/>
        <w:rPr>
          <w:sz w:val="20"/>
          <w:highlight w:val="lightGray"/>
        </w:rPr>
      </w:pPr>
    </w:p>
    <w:p w:rsidR="00372D5D" w:rsidRPr="00CA4E6C" w:rsidRDefault="00372D5D" w:rsidP="00372D5D">
      <w:pPr>
        <w:keepNext/>
        <w:keepLines/>
        <w:autoSpaceDE w:val="0"/>
        <w:autoSpaceDN w:val="0"/>
        <w:jc w:val="center"/>
        <w:rPr>
          <w:b/>
          <w:sz w:val="20"/>
          <w:lang w:val="es-ES_tradnl"/>
        </w:rPr>
      </w:pPr>
      <w:r w:rsidRPr="00CA4E6C">
        <w:rPr>
          <w:b/>
          <w:sz w:val="20"/>
          <w:lang w:val="es-ES_tradnl"/>
        </w:rPr>
        <w:t>Programa 2</w:t>
      </w:r>
      <w:proofErr w:type="gramStart"/>
      <w:r w:rsidRPr="00CA4E6C">
        <w:rPr>
          <w:b/>
          <w:sz w:val="20"/>
          <w:lang w:val="es-ES_tradnl"/>
        </w:rPr>
        <w:t>:  Recursos</w:t>
      </w:r>
      <w:proofErr w:type="gramEnd"/>
      <w:r w:rsidRPr="00CA4E6C">
        <w:rPr>
          <w:b/>
          <w:sz w:val="20"/>
          <w:lang w:val="es-ES_tradnl"/>
        </w:rPr>
        <w:t xml:space="preserve"> por resultado</w:t>
      </w:r>
    </w:p>
    <w:p w:rsidR="00EE0781" w:rsidRPr="00CA4E6C" w:rsidRDefault="00372D5D" w:rsidP="00372D5D">
      <w:pPr>
        <w:keepNext/>
        <w:keepLines/>
        <w:autoSpaceDE w:val="0"/>
        <w:autoSpaceDN w:val="0"/>
        <w:jc w:val="center"/>
        <w:rPr>
          <w:i/>
          <w:sz w:val="20"/>
          <w:highlight w:val="lightGray"/>
          <w:lang w:val="es-ES_tradnl"/>
        </w:rPr>
      </w:pPr>
      <w:r w:rsidRPr="00CA4E6C">
        <w:rPr>
          <w:i/>
          <w:sz w:val="20"/>
          <w:lang w:val="es-ES_tradnl"/>
        </w:rPr>
        <w:t>(</w:t>
      </w:r>
      <w:proofErr w:type="gramStart"/>
      <w:r w:rsidRPr="00CA4E6C">
        <w:rPr>
          <w:i/>
          <w:sz w:val="20"/>
          <w:lang w:val="es-ES_tradnl"/>
        </w:rPr>
        <w:t>en</w:t>
      </w:r>
      <w:proofErr w:type="gramEnd"/>
      <w:r w:rsidRPr="00CA4E6C">
        <w:rPr>
          <w:i/>
          <w:sz w:val="20"/>
          <w:lang w:val="es-ES_tradnl"/>
        </w:rPr>
        <w:t xml:space="preserve"> miles de francos suizos)</w:t>
      </w:r>
    </w:p>
    <w:p w:rsidR="00EE0781" w:rsidRPr="00372D5D" w:rsidRDefault="00EE0781" w:rsidP="00EE0781">
      <w:pPr>
        <w:keepNext/>
        <w:keepLines/>
        <w:rPr>
          <w:sz w:val="20"/>
          <w:highlight w:val="lightGray"/>
          <w:lang w:val="es-ES_tradnl"/>
        </w:rPr>
      </w:pPr>
    </w:p>
    <w:p w:rsidR="00EE0781" w:rsidRPr="00EE0781" w:rsidRDefault="00510672" w:rsidP="00EE0781">
      <w:pPr>
        <w:keepNext/>
        <w:keepLines/>
        <w:jc w:val="center"/>
        <w:rPr>
          <w:sz w:val="20"/>
          <w:highlight w:val="lightGray"/>
        </w:rPr>
      </w:pPr>
      <w:r w:rsidRPr="00510672">
        <w:rPr>
          <w:noProof/>
          <w:lang w:val="en-US" w:eastAsia="en-US"/>
        </w:rPr>
        <w:drawing>
          <wp:inline distT="0" distB="0" distL="0" distR="0">
            <wp:extent cx="5676900" cy="27063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76900" cy="2706370"/>
                    </a:xfrm>
                    <a:prstGeom prst="rect">
                      <a:avLst/>
                    </a:prstGeom>
                    <a:noFill/>
                    <a:ln>
                      <a:noFill/>
                    </a:ln>
                  </pic:spPr>
                </pic:pic>
              </a:graphicData>
            </a:graphic>
          </wp:inline>
        </w:drawing>
      </w:r>
    </w:p>
    <w:p w:rsidR="00EE0781" w:rsidRPr="00EE0781" w:rsidRDefault="00EE0781" w:rsidP="00EE0781">
      <w:pPr>
        <w:rPr>
          <w:sz w:val="20"/>
          <w:highlight w:val="lightGray"/>
        </w:rPr>
      </w:pPr>
    </w:p>
    <w:p w:rsidR="00EE0781" w:rsidRPr="00EE0781" w:rsidRDefault="00EE0781" w:rsidP="00EE0781">
      <w:pPr>
        <w:rPr>
          <w:sz w:val="20"/>
          <w:highlight w:val="lightGray"/>
        </w:rPr>
      </w:pPr>
    </w:p>
    <w:p w:rsidR="00372D5D" w:rsidRPr="003D4434" w:rsidRDefault="00372D5D" w:rsidP="00372D5D">
      <w:pPr>
        <w:keepNext/>
        <w:keepLines/>
        <w:autoSpaceDE w:val="0"/>
        <w:autoSpaceDN w:val="0"/>
        <w:jc w:val="center"/>
        <w:rPr>
          <w:b/>
          <w:sz w:val="20"/>
          <w:lang w:val="es-ES_tradnl"/>
        </w:rPr>
      </w:pPr>
      <w:r w:rsidRPr="003D4434">
        <w:rPr>
          <w:b/>
          <w:sz w:val="20"/>
          <w:lang w:val="es-ES_tradnl"/>
        </w:rPr>
        <w:lastRenderedPageBreak/>
        <w:t>Programa 2</w:t>
      </w:r>
      <w:proofErr w:type="gramStart"/>
      <w:r w:rsidRPr="003D4434">
        <w:rPr>
          <w:b/>
          <w:sz w:val="20"/>
          <w:lang w:val="es-ES_tradnl"/>
        </w:rPr>
        <w:t>:  Recursos</w:t>
      </w:r>
      <w:proofErr w:type="gramEnd"/>
      <w:r w:rsidRPr="003D4434">
        <w:rPr>
          <w:b/>
          <w:sz w:val="20"/>
          <w:lang w:val="es-ES_tradnl"/>
        </w:rPr>
        <w:t xml:space="preserve"> por objeto de gasto</w:t>
      </w:r>
    </w:p>
    <w:p w:rsidR="00EE0781" w:rsidRDefault="00372D5D" w:rsidP="00372D5D">
      <w:pPr>
        <w:keepNext/>
        <w:keepLines/>
        <w:autoSpaceDE w:val="0"/>
        <w:autoSpaceDN w:val="0"/>
        <w:jc w:val="center"/>
        <w:rPr>
          <w:i/>
          <w:sz w:val="20"/>
          <w:lang w:val="es-ES_tradnl"/>
        </w:rPr>
      </w:pPr>
      <w:r w:rsidRPr="003D4434">
        <w:rPr>
          <w:i/>
          <w:sz w:val="20"/>
          <w:lang w:val="es-ES_tradnl"/>
        </w:rPr>
        <w:t>(</w:t>
      </w:r>
      <w:proofErr w:type="gramStart"/>
      <w:r w:rsidRPr="003D4434">
        <w:rPr>
          <w:i/>
          <w:sz w:val="20"/>
          <w:lang w:val="es-ES_tradnl"/>
        </w:rPr>
        <w:t>en</w:t>
      </w:r>
      <w:proofErr w:type="gramEnd"/>
      <w:r w:rsidRPr="003D4434">
        <w:rPr>
          <w:i/>
          <w:sz w:val="20"/>
          <w:lang w:val="es-ES_tradnl"/>
        </w:rPr>
        <w:t xml:space="preserve"> miles de francos suizos)</w:t>
      </w:r>
    </w:p>
    <w:p w:rsidR="00AF23F9" w:rsidRPr="003D4434" w:rsidRDefault="00AF23F9" w:rsidP="00372D5D">
      <w:pPr>
        <w:keepNext/>
        <w:keepLines/>
        <w:autoSpaceDE w:val="0"/>
        <w:autoSpaceDN w:val="0"/>
        <w:jc w:val="center"/>
        <w:rPr>
          <w:i/>
          <w:sz w:val="20"/>
          <w:highlight w:val="lightGray"/>
          <w:lang w:val="es-ES_tradnl"/>
        </w:rPr>
      </w:pPr>
    </w:p>
    <w:p w:rsidR="00EE0781" w:rsidRPr="00372D5D" w:rsidRDefault="00835617" w:rsidP="00EE0781">
      <w:pPr>
        <w:keepNext/>
        <w:keepLines/>
        <w:autoSpaceDE w:val="0"/>
        <w:autoSpaceDN w:val="0"/>
        <w:jc w:val="center"/>
        <w:rPr>
          <w:i/>
          <w:sz w:val="20"/>
          <w:highlight w:val="lightGray"/>
          <w:lang w:val="es-ES_tradnl"/>
        </w:rPr>
      </w:pPr>
      <w:r>
        <w:rPr>
          <w:noProof/>
          <w:lang w:val="en-US" w:eastAsia="en-US"/>
        </w:rPr>
        <w:drawing>
          <wp:inline distT="0" distB="0" distL="0" distR="0" wp14:anchorId="3FD590E2" wp14:editId="7F23F1D5">
            <wp:extent cx="5940425" cy="6156844"/>
            <wp:effectExtent l="0" t="0" r="3175"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6156844"/>
                    </a:xfrm>
                    <a:prstGeom prst="rect">
                      <a:avLst/>
                    </a:prstGeom>
                    <a:noFill/>
                    <a:ln>
                      <a:noFill/>
                    </a:ln>
                  </pic:spPr>
                </pic:pic>
              </a:graphicData>
            </a:graphic>
          </wp:inline>
        </w:drawing>
      </w:r>
    </w:p>
    <w:p w:rsidR="00EE0781" w:rsidRPr="009B4A78" w:rsidRDefault="00EE0781" w:rsidP="00EE0781">
      <w:pPr>
        <w:keepNext/>
        <w:keepLines/>
        <w:jc w:val="center"/>
        <w:rPr>
          <w:sz w:val="20"/>
        </w:rPr>
      </w:pPr>
    </w:p>
    <w:p w:rsidR="00EE0781" w:rsidRPr="009B4A78" w:rsidRDefault="00EE0781" w:rsidP="00EE0781">
      <w:pPr>
        <w:jc w:val="center"/>
        <w:rPr>
          <w:sz w:val="20"/>
        </w:rPr>
      </w:pPr>
    </w:p>
    <w:p w:rsidR="00EE0781" w:rsidRPr="009B4A78" w:rsidRDefault="00EE0781" w:rsidP="00EE0781">
      <w:pPr>
        <w:jc w:val="center"/>
        <w:rPr>
          <w:sz w:val="20"/>
        </w:rPr>
      </w:pPr>
    </w:p>
    <w:p w:rsidR="00EE0781" w:rsidRPr="009B4A78" w:rsidRDefault="00EE0781" w:rsidP="00EE0781">
      <w:pPr>
        <w:rPr>
          <w:sz w:val="20"/>
        </w:rPr>
      </w:pPr>
      <w:r w:rsidRPr="009B4A78">
        <w:rPr>
          <w:sz w:val="20"/>
        </w:rPr>
        <w:br w:type="page"/>
      </w:r>
    </w:p>
    <w:p w:rsidR="00855C3A" w:rsidRPr="00855C3A" w:rsidRDefault="00855C3A" w:rsidP="00855C3A">
      <w:pPr>
        <w:pStyle w:val="StyleHeading3ComplexItalic"/>
        <w:rPr>
          <w:rStyle w:val="StyleStyleHeading3ComplexItalicLatin12ptChar"/>
          <w:rFonts w:eastAsia="SimSun"/>
          <w:b/>
          <w:szCs w:val="24"/>
          <w:lang w:val="es-ES"/>
        </w:rPr>
      </w:pPr>
      <w:bookmarkStart w:id="28" w:name="_Toc420681133"/>
      <w:r w:rsidRPr="00855C3A">
        <w:rPr>
          <w:rStyle w:val="StyleStyleHeading3ComplexItalicLatin12ptChar"/>
          <w:rFonts w:eastAsia="SimSun"/>
          <w:b/>
          <w:szCs w:val="24"/>
          <w:lang w:val="es-ES"/>
        </w:rPr>
        <w:lastRenderedPageBreak/>
        <w:t>PROGRAMA 3</w:t>
      </w:r>
      <w:r>
        <w:rPr>
          <w:rStyle w:val="StyleStyleHeading3ComplexItalicLatin12ptChar"/>
          <w:rFonts w:eastAsia="SimSun"/>
          <w:b/>
          <w:szCs w:val="24"/>
          <w:lang w:val="es-ES"/>
        </w:rPr>
        <w:tab/>
      </w:r>
      <w:r w:rsidRPr="00855C3A">
        <w:rPr>
          <w:rStyle w:val="StyleStyleHeading3ComplexItalicLatin12ptChar"/>
          <w:rFonts w:eastAsia="SimSun"/>
          <w:b/>
          <w:szCs w:val="24"/>
          <w:lang w:val="es-ES"/>
        </w:rPr>
        <w:t>DERECHO DE AUTOR Y DERECHOS CONEXOS</w:t>
      </w:r>
      <w:bookmarkEnd w:id="28"/>
    </w:p>
    <w:p w:rsidR="00855C3A" w:rsidRPr="007F1C3E" w:rsidRDefault="00855C3A" w:rsidP="00855C3A">
      <w:pPr>
        <w:tabs>
          <w:tab w:val="left" w:pos="2268"/>
        </w:tabs>
        <w:ind w:left="2268" w:hanging="2268"/>
        <w:rPr>
          <w:bCs/>
          <w:szCs w:val="22"/>
        </w:rPr>
      </w:pPr>
    </w:p>
    <w:p w:rsidR="00855C3A" w:rsidRPr="007F1C3E" w:rsidRDefault="00855C3A" w:rsidP="004C14C4">
      <w:pPr>
        <w:pStyle w:val="BodyTextIndent"/>
        <w:spacing w:after="0"/>
        <w:ind w:left="1985" w:hanging="1985"/>
        <w:rPr>
          <w:szCs w:val="22"/>
        </w:rPr>
      </w:pPr>
    </w:p>
    <w:p w:rsidR="00855C3A" w:rsidRPr="007F1C3E" w:rsidRDefault="00855C3A" w:rsidP="004C14C4">
      <w:pPr>
        <w:pStyle w:val="BodyTextIndent"/>
        <w:spacing w:after="0"/>
        <w:ind w:left="1985" w:hanging="1985"/>
        <w:rPr>
          <w:szCs w:val="24"/>
        </w:rPr>
      </w:pPr>
      <w:r w:rsidRPr="007F1C3E">
        <w:rPr>
          <w:szCs w:val="24"/>
        </w:rPr>
        <w:t>CONTEXTO DE PLANIFICACIÓN</w:t>
      </w:r>
    </w:p>
    <w:p w:rsidR="00855C3A" w:rsidRPr="007F1C3E" w:rsidRDefault="00855C3A" w:rsidP="004C14C4">
      <w:pPr>
        <w:pStyle w:val="BodyTextIndent"/>
        <w:spacing w:after="0"/>
        <w:ind w:left="1985" w:hanging="1985"/>
        <w:rPr>
          <w:sz w:val="20"/>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En el entorno relativo a las obras creativas, se han producido cambios fundamentales a escala mundial que plantean desafíos y oportunidades a la OMPI.  Ese hecho se pone de manifiesto particularmente en la esfera del derecho de autor y los derechos conexos, en la que la tecnología digital, Internet y las aplicaciones para móviles están cambiando profundamente la cultura y las industrias creativas.</w:t>
      </w:r>
    </w:p>
    <w:p w:rsidR="00855C3A" w:rsidRPr="007F1C3E" w:rsidRDefault="00855C3A" w:rsidP="00855C3A">
      <w:pPr>
        <w:autoSpaceDE w:val="0"/>
        <w:autoSpaceDN w:val="0"/>
        <w:adjustRightInd w:val="0"/>
        <w:jc w:val="both"/>
        <w:rPr>
          <w:sz w:val="20"/>
          <w:szCs w:val="22"/>
        </w:rPr>
      </w:pPr>
    </w:p>
    <w:p w:rsidR="00855C3A" w:rsidRPr="00111CA6" w:rsidRDefault="00855C3A" w:rsidP="00855C3A">
      <w:pPr>
        <w:numPr>
          <w:ilvl w:val="0"/>
          <w:numId w:val="16"/>
        </w:numPr>
        <w:autoSpaceDE w:val="0"/>
        <w:autoSpaceDN w:val="0"/>
        <w:adjustRightInd w:val="0"/>
        <w:jc w:val="both"/>
        <w:rPr>
          <w:sz w:val="20"/>
          <w:szCs w:val="22"/>
        </w:rPr>
      </w:pPr>
      <w:r w:rsidRPr="00111CA6">
        <w:rPr>
          <w:sz w:val="20"/>
          <w:szCs w:val="22"/>
        </w:rPr>
        <w:t>Las cuestiones y los desafíos que se indican a continuación seguirán siendo pertinentes en el próximo bienio.</w:t>
      </w:r>
      <w:r w:rsidR="00111CA6">
        <w:rPr>
          <w:sz w:val="20"/>
          <w:szCs w:val="22"/>
        </w:rPr>
        <w:t xml:space="preserve">  </w:t>
      </w:r>
      <w:r w:rsidRPr="00111CA6">
        <w:rPr>
          <w:sz w:val="20"/>
          <w:szCs w:val="22"/>
        </w:rPr>
        <w:t>Por lo que respecta a la labor normativa y de política, quedan por resolver varias cuestiones aún pendientes en la agenda normativa del derecho de autor.  También será necesario determinar cuáles serán los temas del futuro orden del día del Comité Permanente de Derecho de Autor y Derechos Conexos (SCCR).</w:t>
      </w:r>
    </w:p>
    <w:p w:rsidR="00855C3A" w:rsidRPr="007F1C3E" w:rsidRDefault="00855C3A" w:rsidP="00855C3A">
      <w:pPr>
        <w:autoSpaceDE w:val="0"/>
        <w:autoSpaceDN w:val="0"/>
        <w:adjustRightInd w:val="0"/>
        <w:jc w:val="both"/>
        <w:rPr>
          <w:sz w:val="20"/>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Además, un desafío fundamental para la Secretaría será responder a las peticiones de los Estados miembros en materia de asesoramiento para compatibilizar sus legislaciones nacionales con las obligaciones internacionales.</w:t>
      </w:r>
    </w:p>
    <w:p w:rsidR="00855C3A" w:rsidRPr="007F1C3E" w:rsidRDefault="00855C3A" w:rsidP="00855C3A">
      <w:pPr>
        <w:autoSpaceDE w:val="0"/>
        <w:autoSpaceDN w:val="0"/>
        <w:adjustRightInd w:val="0"/>
        <w:jc w:val="both"/>
        <w:rPr>
          <w:sz w:val="20"/>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La rápida evolución de la tecnología y los nuevos aspectos de la interrelación de las nuevas tecnologías con los sistemas de protección del derecho de autor seguirán planteando desafíos a los países en desarrollo y países menos adelantados.  Por lo tanto, es fundamental que la OMPI ponga en marcha programas sostenibles de asistencia técnica en favor de los países que deben hacer frente a esa problemática.</w:t>
      </w:r>
    </w:p>
    <w:p w:rsidR="00855C3A" w:rsidRPr="007F1C3E" w:rsidRDefault="00855C3A" w:rsidP="00855C3A">
      <w:pPr>
        <w:autoSpaceDE w:val="0"/>
        <w:autoSpaceDN w:val="0"/>
        <w:adjustRightInd w:val="0"/>
        <w:jc w:val="both"/>
        <w:rPr>
          <w:sz w:val="20"/>
          <w:szCs w:val="22"/>
          <w:u w:val="single"/>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En un mundo en rápida evolución, que depende cada vez más de las tecnologías digitales, el mayor desafío en lo que atañe a la infraestructura será velar por que los titulares de derechos reciban lo que les es debido y que los usuarios de los derechos puedan acceder de manera legítima y sencilla al contenido de derecho de autor que escojan.</w:t>
      </w:r>
    </w:p>
    <w:p w:rsidR="00855C3A" w:rsidRPr="007F1C3E" w:rsidRDefault="00855C3A" w:rsidP="00855C3A">
      <w:pPr>
        <w:autoSpaceDE w:val="0"/>
        <w:autoSpaceDN w:val="0"/>
        <w:adjustRightInd w:val="0"/>
        <w:jc w:val="both"/>
        <w:rPr>
          <w:sz w:val="20"/>
          <w:szCs w:val="22"/>
        </w:rPr>
      </w:pPr>
    </w:p>
    <w:p w:rsidR="00855C3A" w:rsidRPr="007F1C3E" w:rsidRDefault="00855C3A" w:rsidP="00855C3A">
      <w:pPr>
        <w:autoSpaceDE w:val="0"/>
        <w:autoSpaceDN w:val="0"/>
        <w:adjustRightInd w:val="0"/>
        <w:rPr>
          <w:sz w:val="20"/>
          <w:szCs w:val="22"/>
        </w:rPr>
      </w:pPr>
    </w:p>
    <w:p w:rsidR="00855C3A" w:rsidRPr="007F1C3E" w:rsidRDefault="00855C3A" w:rsidP="00855C3A">
      <w:pPr>
        <w:autoSpaceDE w:val="0"/>
        <w:autoSpaceDN w:val="0"/>
        <w:adjustRightInd w:val="0"/>
        <w:rPr>
          <w:szCs w:val="24"/>
        </w:rPr>
      </w:pPr>
      <w:r w:rsidRPr="007F1C3E">
        <w:rPr>
          <w:szCs w:val="24"/>
        </w:rPr>
        <w:t>ESTRATEGIAS DE EJECUCIÓN</w:t>
      </w:r>
    </w:p>
    <w:p w:rsidR="00855C3A" w:rsidRPr="007F1C3E" w:rsidRDefault="00855C3A" w:rsidP="00855C3A">
      <w:pPr>
        <w:autoSpaceDE w:val="0"/>
        <w:autoSpaceDN w:val="0"/>
        <w:adjustRightInd w:val="0"/>
        <w:rPr>
          <w:sz w:val="18"/>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bCs/>
          <w:sz w:val="20"/>
          <w:szCs w:val="22"/>
        </w:rPr>
        <w:t>A la luz de lo antedicho</w:t>
      </w:r>
      <w:r w:rsidRPr="007F1C3E">
        <w:rPr>
          <w:sz w:val="20"/>
          <w:szCs w:val="22"/>
        </w:rPr>
        <w:t>, en el próximo bienio el programa girará en torno a las prioridades siguientes, para cuya aplicación se tendrán debidamente en cuenta las recomendaciones 1, 6, 12 a 17, 19 y 20 de la Agenda para el Desarrollo.</w:t>
      </w:r>
    </w:p>
    <w:p w:rsidR="00855C3A" w:rsidRPr="007F1C3E" w:rsidRDefault="00855C3A" w:rsidP="00855C3A">
      <w:pPr>
        <w:jc w:val="both"/>
        <w:rPr>
          <w:sz w:val="20"/>
          <w:szCs w:val="22"/>
        </w:rPr>
      </w:pPr>
    </w:p>
    <w:p w:rsidR="00855C3A" w:rsidRPr="007F1C3E" w:rsidRDefault="00855C3A" w:rsidP="00855C3A">
      <w:pPr>
        <w:jc w:val="both"/>
        <w:rPr>
          <w:sz w:val="20"/>
          <w:szCs w:val="22"/>
          <w:u w:val="single"/>
        </w:rPr>
      </w:pPr>
      <w:r w:rsidRPr="007F1C3E">
        <w:rPr>
          <w:sz w:val="20"/>
          <w:szCs w:val="22"/>
          <w:u w:val="single"/>
        </w:rPr>
        <w:t>Labor normativa y de política</w:t>
      </w:r>
    </w:p>
    <w:p w:rsidR="00855C3A" w:rsidRPr="007F1C3E" w:rsidRDefault="00855C3A" w:rsidP="00855C3A">
      <w:pPr>
        <w:jc w:val="both"/>
        <w:rPr>
          <w:sz w:val="20"/>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 xml:space="preserve">Se prevé celebrar dos sesiones del SCCR por año.  Los avances en la agenda normativa se centrarán en facilitar las negociaciones de fondo en relación con los puntos del orden del día del SCCR y responder a las peticiones de los Estados miembros respecto de la aplicación de los tratados, nuevos y existentes.  La labor de facilitación tendrá que ver con </w:t>
      </w:r>
      <w:r w:rsidR="00C7553F">
        <w:rPr>
          <w:sz w:val="20"/>
          <w:szCs w:val="22"/>
        </w:rPr>
        <w:t xml:space="preserve">la propuesta de tratado sobre </w:t>
      </w:r>
      <w:r w:rsidRPr="007F1C3E">
        <w:rPr>
          <w:sz w:val="20"/>
          <w:szCs w:val="22"/>
        </w:rPr>
        <w:t>los organismos de radiodifusión, las excepciones y limitaciones en favor de bibliotecas, archivos</w:t>
      </w:r>
      <w:r w:rsidR="00C7553F">
        <w:rPr>
          <w:sz w:val="20"/>
          <w:szCs w:val="22"/>
        </w:rPr>
        <w:t>,</w:t>
      </w:r>
      <w:r w:rsidRPr="007F1C3E">
        <w:rPr>
          <w:sz w:val="20"/>
          <w:szCs w:val="22"/>
        </w:rPr>
        <w:t xml:space="preserve"> instituciones educativas</w:t>
      </w:r>
      <w:r w:rsidR="00C7553F">
        <w:rPr>
          <w:sz w:val="20"/>
          <w:szCs w:val="22"/>
        </w:rPr>
        <w:t xml:space="preserve"> y de investigación</w:t>
      </w:r>
      <w:r w:rsidRPr="007F1C3E">
        <w:rPr>
          <w:sz w:val="20"/>
          <w:szCs w:val="22"/>
        </w:rPr>
        <w:t>, así como de las personas con discapacidades (aparte de la dificultad para acceder al texto impreso).</w:t>
      </w:r>
    </w:p>
    <w:p w:rsidR="00855C3A" w:rsidRPr="007F1C3E" w:rsidRDefault="00855C3A" w:rsidP="00855C3A">
      <w:pPr>
        <w:autoSpaceDE w:val="0"/>
        <w:autoSpaceDN w:val="0"/>
        <w:adjustRightInd w:val="0"/>
        <w:jc w:val="both"/>
        <w:rPr>
          <w:sz w:val="20"/>
          <w:szCs w:val="22"/>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 xml:space="preserve">Los nuevos tratados que hay que aplicar son el Tratado de Beijing sobre Interpretaciones y Ejecuciones Audiovisuales y el Tratado de Marrakech para facilitar el acceso a las obras publicadas a las personas ciegas, con discapacidad visual o con otras dificultades para acceder al texto impreso.  Se procurará alentar la aplicación de esos dos Tratados, en coordinación con los </w:t>
      </w:r>
      <w:r w:rsidRPr="007F1C3E">
        <w:rPr>
          <w:bCs/>
          <w:sz w:val="20"/>
          <w:szCs w:val="22"/>
        </w:rPr>
        <w:t>representantes de los beneficiarios de esos Tratados, los intermediarios que intervienen en la aplicación y los Estados miembros.</w:t>
      </w:r>
    </w:p>
    <w:p w:rsidR="00855C3A" w:rsidRPr="007F1C3E" w:rsidRDefault="00855C3A" w:rsidP="00855C3A">
      <w:pPr>
        <w:pStyle w:val="ListParagraph"/>
        <w:ind w:left="0"/>
        <w:jc w:val="both"/>
        <w:rPr>
          <w:rFonts w:ascii="Arial" w:hAnsi="Arial" w:cs="Arial"/>
          <w:sz w:val="20"/>
          <w:lang w:val="es-ES"/>
        </w:rPr>
      </w:pPr>
    </w:p>
    <w:p w:rsidR="00855C3A" w:rsidRPr="007F1C3E" w:rsidRDefault="00855C3A" w:rsidP="00855C3A">
      <w:pPr>
        <w:numPr>
          <w:ilvl w:val="0"/>
          <w:numId w:val="16"/>
        </w:numPr>
        <w:autoSpaceDE w:val="0"/>
        <w:autoSpaceDN w:val="0"/>
        <w:adjustRightInd w:val="0"/>
        <w:jc w:val="both"/>
        <w:rPr>
          <w:sz w:val="20"/>
          <w:szCs w:val="22"/>
        </w:rPr>
      </w:pPr>
      <w:r w:rsidRPr="007F1C3E">
        <w:rPr>
          <w:sz w:val="20"/>
          <w:szCs w:val="22"/>
        </w:rPr>
        <w:t>Durante este bienio se realizarán varios estudios solicitados por el SCCR</w:t>
      </w:r>
      <w:r w:rsidR="005E2929">
        <w:rPr>
          <w:sz w:val="20"/>
          <w:szCs w:val="22"/>
        </w:rPr>
        <w:t xml:space="preserve"> y se celebrarán conferencias sobre temas de actualidad</w:t>
      </w:r>
      <w:r w:rsidRPr="007F1C3E">
        <w:rPr>
          <w:sz w:val="20"/>
          <w:szCs w:val="22"/>
        </w:rPr>
        <w:t>.</w:t>
      </w:r>
    </w:p>
    <w:p w:rsidR="00855C3A" w:rsidRPr="007F1C3E" w:rsidRDefault="00855C3A" w:rsidP="00855C3A">
      <w:pPr>
        <w:autoSpaceDE w:val="0"/>
        <w:autoSpaceDN w:val="0"/>
        <w:adjustRightInd w:val="0"/>
        <w:rPr>
          <w:sz w:val="20"/>
          <w:szCs w:val="22"/>
          <w:u w:val="single"/>
        </w:rPr>
      </w:pPr>
    </w:p>
    <w:p w:rsidR="00855C3A" w:rsidRPr="007F1C3E" w:rsidRDefault="00855C3A" w:rsidP="001E22AE">
      <w:pPr>
        <w:keepNext/>
        <w:keepLines/>
        <w:autoSpaceDE w:val="0"/>
        <w:autoSpaceDN w:val="0"/>
        <w:adjustRightInd w:val="0"/>
        <w:rPr>
          <w:sz w:val="20"/>
          <w:szCs w:val="22"/>
          <w:u w:val="single"/>
        </w:rPr>
      </w:pPr>
      <w:r w:rsidRPr="007F1C3E">
        <w:rPr>
          <w:sz w:val="20"/>
          <w:szCs w:val="22"/>
          <w:u w:val="single"/>
        </w:rPr>
        <w:lastRenderedPageBreak/>
        <w:t>Asistencia técnica a los países en desarrollo y los PMA</w:t>
      </w:r>
    </w:p>
    <w:p w:rsidR="00855C3A" w:rsidRPr="007F1C3E" w:rsidRDefault="00855C3A" w:rsidP="001E22AE">
      <w:pPr>
        <w:keepNext/>
        <w:keepLines/>
        <w:autoSpaceDE w:val="0"/>
        <w:autoSpaceDN w:val="0"/>
        <w:adjustRightInd w:val="0"/>
        <w:rPr>
          <w:sz w:val="20"/>
          <w:szCs w:val="22"/>
        </w:rPr>
      </w:pPr>
    </w:p>
    <w:p w:rsidR="00855C3A" w:rsidRPr="007F1C3E" w:rsidRDefault="00855C3A" w:rsidP="001E22AE">
      <w:pPr>
        <w:pStyle w:val="ListParagraph"/>
        <w:keepNext/>
        <w:keepLines/>
        <w:numPr>
          <w:ilvl w:val="0"/>
          <w:numId w:val="16"/>
        </w:numPr>
        <w:autoSpaceDE w:val="0"/>
        <w:autoSpaceDN w:val="0"/>
        <w:adjustRightInd w:val="0"/>
        <w:jc w:val="both"/>
        <w:rPr>
          <w:rFonts w:ascii="Arial" w:hAnsi="Arial" w:cs="Arial"/>
          <w:sz w:val="20"/>
          <w:lang w:val="es-ES"/>
        </w:rPr>
      </w:pPr>
      <w:r w:rsidRPr="007F1C3E">
        <w:rPr>
          <w:rFonts w:ascii="Arial" w:hAnsi="Arial" w:cs="Arial"/>
          <w:sz w:val="20"/>
          <w:lang w:val="es-ES"/>
        </w:rPr>
        <w:t>La asistencia técnica a los países en desarrollo y países menos adelantados seguirá girando en torno al fortalecimiento de los conocimientos técnicos y las capacidades de las instituciones, por ejemplo, las oficinas nacionales de derecho de autor,</w:t>
      </w:r>
      <w:r w:rsidR="00C7553F">
        <w:rPr>
          <w:rFonts w:ascii="Arial" w:hAnsi="Arial" w:cs="Arial"/>
          <w:sz w:val="20"/>
          <w:lang w:val="es-ES"/>
        </w:rPr>
        <w:t xml:space="preserve"> así como entre las partes interesadas,</w:t>
      </w:r>
      <w:r w:rsidRPr="007F1C3E">
        <w:rPr>
          <w:rFonts w:ascii="Arial" w:hAnsi="Arial" w:cs="Arial"/>
          <w:sz w:val="20"/>
          <w:lang w:val="es-ES"/>
        </w:rPr>
        <w:t xml:space="preserve"> para facilitar la utilización eficaz del sistema de derecho de autor para el desarrollo social, cultural y económico.  Con ese fin, se consolidará la coordinación interna con otros programas que brindan asistencia técnica, y se idearán y desarrollarán</w:t>
      </w:r>
      <w:r w:rsidR="0056502B">
        <w:rPr>
          <w:rFonts w:ascii="Arial" w:hAnsi="Arial" w:cs="Arial"/>
          <w:sz w:val="20"/>
          <w:lang w:val="es-ES"/>
        </w:rPr>
        <w:t xml:space="preserve"> programas de fortalecimiento de capacidades y de sensibilización o</w:t>
      </w:r>
      <w:r w:rsidRPr="007F1C3E">
        <w:rPr>
          <w:rFonts w:ascii="Arial" w:hAnsi="Arial" w:cs="Arial"/>
          <w:sz w:val="20"/>
          <w:lang w:val="es-ES"/>
        </w:rPr>
        <w:t xml:space="preserve"> herramientas </w:t>
      </w:r>
      <w:r w:rsidR="0056502B">
        <w:rPr>
          <w:rFonts w:ascii="Arial" w:hAnsi="Arial" w:cs="Arial"/>
          <w:sz w:val="20"/>
          <w:lang w:val="es-ES"/>
        </w:rPr>
        <w:t xml:space="preserve">destinadas a </w:t>
      </w:r>
      <w:r w:rsidRPr="007F1C3E">
        <w:rPr>
          <w:rFonts w:ascii="Arial" w:hAnsi="Arial" w:cs="Arial"/>
          <w:sz w:val="20"/>
          <w:lang w:val="es-ES"/>
        </w:rPr>
        <w:t>las oficina</w:t>
      </w:r>
      <w:r w:rsidR="0056502B">
        <w:rPr>
          <w:rFonts w:ascii="Arial" w:hAnsi="Arial" w:cs="Arial"/>
          <w:sz w:val="20"/>
          <w:lang w:val="es-ES"/>
        </w:rPr>
        <w:t>s nacionales de derecho de autor</w:t>
      </w:r>
      <w:r w:rsidRPr="007F1C3E">
        <w:rPr>
          <w:rFonts w:ascii="Arial" w:hAnsi="Arial" w:cs="Arial"/>
          <w:sz w:val="20"/>
          <w:lang w:val="es-ES"/>
        </w:rPr>
        <w:t>.</w:t>
      </w:r>
    </w:p>
    <w:p w:rsidR="00855C3A" w:rsidRPr="007F1C3E" w:rsidRDefault="00855C3A" w:rsidP="00855C3A">
      <w:pPr>
        <w:pStyle w:val="ListParagraph"/>
        <w:autoSpaceDE w:val="0"/>
        <w:autoSpaceDN w:val="0"/>
        <w:adjustRightInd w:val="0"/>
        <w:ind w:left="0"/>
        <w:jc w:val="both"/>
        <w:rPr>
          <w:rFonts w:ascii="Arial" w:hAnsi="Arial" w:cs="Arial"/>
          <w:sz w:val="20"/>
          <w:lang w:val="es-ES"/>
        </w:rPr>
      </w:pPr>
    </w:p>
    <w:p w:rsidR="00855C3A" w:rsidRPr="007F1C3E" w:rsidRDefault="00855C3A" w:rsidP="00855C3A">
      <w:pPr>
        <w:pStyle w:val="ListParagraph"/>
        <w:autoSpaceDE w:val="0"/>
        <w:autoSpaceDN w:val="0"/>
        <w:adjustRightInd w:val="0"/>
        <w:ind w:left="0"/>
        <w:jc w:val="both"/>
        <w:rPr>
          <w:rFonts w:ascii="Arial" w:hAnsi="Arial" w:cs="Arial"/>
          <w:sz w:val="20"/>
          <w:u w:val="single"/>
          <w:lang w:val="es-ES"/>
        </w:rPr>
      </w:pPr>
    </w:p>
    <w:p w:rsidR="00855C3A" w:rsidRPr="007F1C3E" w:rsidRDefault="00855C3A" w:rsidP="00855C3A">
      <w:pPr>
        <w:pStyle w:val="ListParagraph"/>
        <w:autoSpaceDE w:val="0"/>
        <w:autoSpaceDN w:val="0"/>
        <w:adjustRightInd w:val="0"/>
        <w:ind w:left="0"/>
        <w:jc w:val="both"/>
        <w:rPr>
          <w:rFonts w:ascii="Arial" w:hAnsi="Arial" w:cs="Arial"/>
          <w:sz w:val="20"/>
          <w:u w:val="single"/>
          <w:lang w:val="es-ES"/>
        </w:rPr>
      </w:pPr>
      <w:r w:rsidRPr="007F1C3E">
        <w:rPr>
          <w:rFonts w:ascii="Arial" w:hAnsi="Arial" w:cs="Arial"/>
          <w:sz w:val="20"/>
          <w:u w:val="single"/>
          <w:lang w:val="es-ES"/>
        </w:rPr>
        <w:t>Fomentar el desarrollo de infraestructura en el ámbito del derecho de autor</w:t>
      </w:r>
    </w:p>
    <w:p w:rsidR="00855C3A" w:rsidRPr="007F1C3E" w:rsidRDefault="00855C3A" w:rsidP="00855C3A">
      <w:pPr>
        <w:pStyle w:val="ListParagraph"/>
        <w:ind w:left="0"/>
        <w:jc w:val="both"/>
        <w:rPr>
          <w:rFonts w:ascii="Arial" w:hAnsi="Arial" w:cs="Arial"/>
          <w:sz w:val="20"/>
          <w:lang w:val="es-ES"/>
        </w:rPr>
      </w:pPr>
    </w:p>
    <w:p w:rsidR="00855C3A" w:rsidRPr="007F1C3E" w:rsidRDefault="00855C3A" w:rsidP="00855C3A">
      <w:pPr>
        <w:pStyle w:val="ListParagraph"/>
        <w:numPr>
          <w:ilvl w:val="0"/>
          <w:numId w:val="16"/>
        </w:numPr>
        <w:autoSpaceDE w:val="0"/>
        <w:autoSpaceDN w:val="0"/>
        <w:adjustRightInd w:val="0"/>
        <w:jc w:val="both"/>
        <w:rPr>
          <w:rFonts w:ascii="Arial" w:hAnsi="Arial" w:cs="Arial"/>
          <w:sz w:val="20"/>
          <w:lang w:val="es-ES"/>
        </w:rPr>
      </w:pPr>
      <w:r w:rsidRPr="007F1C3E">
        <w:rPr>
          <w:rFonts w:ascii="Arial" w:hAnsi="Arial" w:cs="Arial"/>
          <w:sz w:val="20"/>
          <w:lang w:val="es-ES"/>
        </w:rPr>
        <w:t xml:space="preserve">La labor en la esfera de la infraestructura de derecho de autor y derechos conexos girará en torno al establecimiento de una norma internacional de garantía de calidad, </w:t>
      </w:r>
      <w:r w:rsidRPr="007F1C3E">
        <w:rPr>
          <w:rFonts w:ascii="Arial" w:hAnsi="Arial" w:cs="Arial"/>
          <w:i/>
          <w:sz w:val="20"/>
          <w:lang w:val="es-ES"/>
        </w:rPr>
        <w:t xml:space="preserve">TAG of </w:t>
      </w:r>
      <w:proofErr w:type="spellStart"/>
      <w:r w:rsidRPr="007F1C3E">
        <w:rPr>
          <w:rFonts w:ascii="Arial" w:hAnsi="Arial" w:cs="Arial"/>
          <w:i/>
          <w:sz w:val="20"/>
          <w:lang w:val="es-ES"/>
        </w:rPr>
        <w:t>Excellence</w:t>
      </w:r>
      <w:proofErr w:type="spellEnd"/>
      <w:r w:rsidRPr="007F1C3E">
        <w:rPr>
          <w:rFonts w:ascii="Arial" w:hAnsi="Arial" w:cs="Arial"/>
          <w:sz w:val="20"/>
          <w:lang w:val="es-ES"/>
        </w:rPr>
        <w:t>, para los organismos de gestión colectiva, así como un programa de educación sobre transparencia, rendición de cuentas y gobernanza de los organismos de gestión colectiva.</w:t>
      </w:r>
    </w:p>
    <w:p w:rsidR="00855C3A" w:rsidRPr="007F1C3E" w:rsidRDefault="00855C3A" w:rsidP="00855C3A">
      <w:pPr>
        <w:pStyle w:val="ListParagraph"/>
        <w:autoSpaceDE w:val="0"/>
        <w:autoSpaceDN w:val="0"/>
        <w:adjustRightInd w:val="0"/>
        <w:ind w:left="0"/>
        <w:jc w:val="both"/>
        <w:rPr>
          <w:rFonts w:ascii="Arial" w:hAnsi="Arial" w:cs="Arial"/>
          <w:sz w:val="20"/>
          <w:lang w:val="es-ES"/>
        </w:rPr>
      </w:pPr>
    </w:p>
    <w:p w:rsidR="00855C3A" w:rsidRPr="007F1C3E" w:rsidRDefault="00855C3A" w:rsidP="00855C3A">
      <w:pPr>
        <w:pStyle w:val="ListParagraph"/>
        <w:numPr>
          <w:ilvl w:val="0"/>
          <w:numId w:val="16"/>
        </w:numPr>
        <w:autoSpaceDE w:val="0"/>
        <w:autoSpaceDN w:val="0"/>
        <w:adjustRightInd w:val="0"/>
        <w:jc w:val="both"/>
        <w:rPr>
          <w:rFonts w:ascii="Arial" w:hAnsi="Arial" w:cs="Arial"/>
          <w:sz w:val="20"/>
          <w:lang w:val="es-ES"/>
        </w:rPr>
      </w:pPr>
      <w:r w:rsidRPr="007F1C3E">
        <w:rPr>
          <w:rFonts w:ascii="Arial" w:hAnsi="Arial" w:cs="Arial"/>
          <w:sz w:val="20"/>
          <w:lang w:val="es-ES"/>
        </w:rPr>
        <w:t xml:space="preserve">Para complementar las actividades </w:t>
      </w:r>
      <w:r w:rsidR="0056502B">
        <w:rPr>
          <w:rFonts w:ascii="Arial" w:hAnsi="Arial" w:cs="Arial"/>
          <w:sz w:val="20"/>
          <w:lang w:val="es-ES"/>
        </w:rPr>
        <w:t>mencionadas</w:t>
      </w:r>
      <w:r w:rsidRPr="007F1C3E">
        <w:rPr>
          <w:rFonts w:ascii="Arial" w:hAnsi="Arial" w:cs="Arial"/>
          <w:sz w:val="20"/>
          <w:lang w:val="es-ES"/>
        </w:rPr>
        <w:t>, un nuevo portal</w:t>
      </w:r>
      <w:r w:rsidR="006141A4">
        <w:rPr>
          <w:rFonts w:ascii="Arial" w:hAnsi="Arial" w:cs="Arial"/>
          <w:sz w:val="20"/>
          <w:lang w:val="es-ES"/>
        </w:rPr>
        <w:t xml:space="preserve"> será creado y desarrollado a tiempo para </w:t>
      </w:r>
      <w:r w:rsidRPr="007F1C3E">
        <w:rPr>
          <w:rFonts w:ascii="Arial" w:hAnsi="Arial" w:cs="Arial"/>
          <w:sz w:val="20"/>
          <w:lang w:val="es-ES"/>
        </w:rPr>
        <w:t>ejecutar muchos de los proyectos de la OMPI relacionados con la infraestructura de derecho de autor valiéndose de Internet y en asociación con terceros.</w:t>
      </w:r>
    </w:p>
    <w:p w:rsidR="00855C3A" w:rsidRPr="007F1C3E" w:rsidRDefault="00855C3A" w:rsidP="00855C3A">
      <w:pPr>
        <w:pStyle w:val="ListParagraph"/>
        <w:autoSpaceDE w:val="0"/>
        <w:autoSpaceDN w:val="0"/>
        <w:adjustRightInd w:val="0"/>
        <w:ind w:left="0"/>
        <w:jc w:val="both"/>
        <w:rPr>
          <w:rFonts w:ascii="Arial" w:hAnsi="Arial" w:cs="Arial"/>
          <w:sz w:val="20"/>
          <w:lang w:val="es-ES"/>
        </w:rPr>
      </w:pPr>
    </w:p>
    <w:p w:rsidR="00855C3A" w:rsidRPr="007F1C3E" w:rsidRDefault="00162F59" w:rsidP="00855C3A">
      <w:pPr>
        <w:pStyle w:val="ListParagraph"/>
        <w:numPr>
          <w:ilvl w:val="0"/>
          <w:numId w:val="16"/>
        </w:numPr>
        <w:autoSpaceDE w:val="0"/>
        <w:autoSpaceDN w:val="0"/>
        <w:adjustRightInd w:val="0"/>
        <w:jc w:val="both"/>
        <w:rPr>
          <w:rFonts w:ascii="Arial" w:hAnsi="Arial" w:cs="Arial"/>
          <w:sz w:val="20"/>
          <w:lang w:val="es-ES"/>
        </w:rPr>
      </w:pPr>
      <w:r>
        <w:rPr>
          <w:rFonts w:ascii="Arial" w:hAnsi="Arial" w:cs="Arial"/>
          <w:sz w:val="20"/>
          <w:lang w:val="es-ES"/>
        </w:rPr>
        <w:t xml:space="preserve">El programa 3 </w:t>
      </w:r>
      <w:r w:rsidR="002E2404" w:rsidRPr="002E2404">
        <w:rPr>
          <w:rFonts w:ascii="Arial" w:hAnsi="Arial" w:cs="Arial"/>
          <w:sz w:val="20"/>
          <w:lang w:val="es-ES"/>
        </w:rPr>
        <w:t>colabora principalmente con los programas siguientes</w:t>
      </w:r>
      <w:r>
        <w:rPr>
          <w:rFonts w:ascii="Arial" w:hAnsi="Arial" w:cs="Arial"/>
          <w:sz w:val="20"/>
          <w:lang w:val="es-ES"/>
        </w:rPr>
        <w:t>:</w:t>
      </w:r>
    </w:p>
    <w:p w:rsidR="00855C3A" w:rsidRDefault="00855C3A" w:rsidP="00855C3A">
      <w:pPr>
        <w:autoSpaceDE w:val="0"/>
        <w:autoSpaceDN w:val="0"/>
        <w:adjustRightInd w:val="0"/>
        <w:jc w:val="both"/>
        <w:rPr>
          <w:sz w:val="20"/>
          <w:szCs w:val="22"/>
        </w:rPr>
      </w:pPr>
    </w:p>
    <w:p w:rsidR="00855C3A" w:rsidRDefault="00855C3A" w:rsidP="00855C3A">
      <w:pPr>
        <w:autoSpaceDE w:val="0"/>
        <w:autoSpaceDN w:val="0"/>
        <w:adjustRightInd w:val="0"/>
        <w:jc w:val="both"/>
        <w:rPr>
          <w:sz w:val="20"/>
          <w:szCs w:val="22"/>
        </w:rPr>
      </w:pPr>
    </w:p>
    <w:p w:rsidR="00855C3A" w:rsidRDefault="00855C3A" w:rsidP="00855C3A">
      <w:pPr>
        <w:autoSpaceDE w:val="0"/>
        <w:autoSpaceDN w:val="0"/>
        <w:adjustRightInd w:val="0"/>
        <w:jc w:val="both"/>
        <w:rPr>
          <w:sz w:val="20"/>
          <w:szCs w:val="22"/>
        </w:rPr>
      </w:pPr>
      <w:r w:rsidRPr="00F22DBA">
        <w:rPr>
          <w:noProof/>
          <w:lang w:val="en-US" w:eastAsia="en-US"/>
        </w:rPr>
        <w:drawing>
          <wp:inline distT="0" distB="0" distL="0" distR="0" wp14:anchorId="21018060" wp14:editId="51A6B06D">
            <wp:extent cx="5940425" cy="1580305"/>
            <wp:effectExtent l="57150" t="0" r="60325" b="134620"/>
            <wp:docPr id="960" name="Diagram 9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rsidR="00855C3A" w:rsidRPr="007F1C3E" w:rsidRDefault="00855C3A" w:rsidP="00855C3A">
      <w:pPr>
        <w:autoSpaceDE w:val="0"/>
        <w:autoSpaceDN w:val="0"/>
        <w:adjustRightInd w:val="0"/>
        <w:jc w:val="both"/>
        <w:rPr>
          <w:sz w:val="20"/>
          <w:szCs w:val="22"/>
        </w:rPr>
      </w:pPr>
    </w:p>
    <w:p w:rsidR="00855C3A" w:rsidRPr="007F1C3E" w:rsidRDefault="00855C3A" w:rsidP="00855C3A">
      <w:pPr>
        <w:autoSpaceDE w:val="0"/>
        <w:autoSpaceDN w:val="0"/>
        <w:adjustRightInd w:val="0"/>
        <w:rPr>
          <w:szCs w:val="22"/>
        </w:rPr>
      </w:pPr>
    </w:p>
    <w:p w:rsidR="00855C3A" w:rsidRPr="007F1C3E" w:rsidRDefault="00855C3A" w:rsidP="00855C3A">
      <w:pPr>
        <w:autoSpaceDE w:val="0"/>
        <w:autoSpaceDN w:val="0"/>
        <w:adjustRightInd w:val="0"/>
        <w:rPr>
          <w:sz w:val="20"/>
          <w:szCs w:val="22"/>
        </w:rPr>
      </w:pPr>
      <w:r w:rsidRPr="007F1C3E">
        <w:rPr>
          <w:sz w:val="20"/>
          <w:szCs w:val="22"/>
        </w:rPr>
        <w:t>PRINCIPALES RIESGOS Y ESTRATEGIAS DE MITIGACIÓN</w:t>
      </w:r>
    </w:p>
    <w:p w:rsidR="00855C3A" w:rsidRPr="007F1C3E" w:rsidRDefault="00855C3A" w:rsidP="00855C3A">
      <w:pPr>
        <w:rPr>
          <w:sz w:val="20"/>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855C3A" w:rsidRPr="007F1C3E" w:rsidTr="000A0481">
        <w:trPr>
          <w:trHeight w:val="498"/>
        </w:trPr>
        <w:tc>
          <w:tcPr>
            <w:tcW w:w="4111" w:type="dxa"/>
            <w:tcBorders>
              <w:top w:val="single" w:sz="4" w:space="0" w:color="auto"/>
              <w:bottom w:val="single" w:sz="4" w:space="0" w:color="auto"/>
            </w:tcBorders>
            <w:shd w:val="clear" w:color="auto" w:fill="C6D9F1" w:themeFill="text2" w:themeFillTint="33"/>
            <w:vAlign w:val="center"/>
          </w:tcPr>
          <w:p w:rsidR="00855C3A" w:rsidRPr="007F1C3E" w:rsidRDefault="00855C3A" w:rsidP="000A0481">
            <w:pPr>
              <w:jc w:val="center"/>
              <w:rPr>
                <w:b/>
                <w:bCs/>
                <w:sz w:val="18"/>
                <w:szCs w:val="18"/>
              </w:rPr>
            </w:pPr>
            <w:r w:rsidRPr="007F1C3E">
              <w:rPr>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855C3A" w:rsidRPr="007F1C3E" w:rsidRDefault="00855C3A" w:rsidP="000A0481">
            <w:pPr>
              <w:jc w:val="center"/>
              <w:rPr>
                <w:b/>
                <w:bCs/>
                <w:sz w:val="18"/>
                <w:szCs w:val="18"/>
              </w:rPr>
            </w:pPr>
            <w:r w:rsidRPr="007F1C3E">
              <w:rPr>
                <w:b/>
                <w:bCs/>
                <w:sz w:val="18"/>
                <w:szCs w:val="18"/>
              </w:rPr>
              <w:t>Mitigación</w:t>
            </w:r>
          </w:p>
        </w:tc>
      </w:tr>
      <w:tr w:rsidR="00855C3A" w:rsidRPr="00427606" w:rsidTr="000A0481">
        <w:trPr>
          <w:trHeight w:val="638"/>
        </w:trPr>
        <w:tc>
          <w:tcPr>
            <w:tcW w:w="4111" w:type="dxa"/>
            <w:tcBorders>
              <w:top w:val="single" w:sz="4" w:space="0" w:color="auto"/>
            </w:tcBorders>
            <w:shd w:val="clear" w:color="auto" w:fill="auto"/>
            <w:tcMar>
              <w:top w:w="113" w:type="dxa"/>
              <w:bottom w:w="113" w:type="dxa"/>
            </w:tcMar>
          </w:tcPr>
          <w:p w:rsidR="00855C3A" w:rsidRPr="00987F62" w:rsidRDefault="00855C3A" w:rsidP="000A0481">
            <w:pPr>
              <w:rPr>
                <w:sz w:val="16"/>
                <w:szCs w:val="16"/>
              </w:rPr>
            </w:pPr>
            <w:r w:rsidRPr="00987F62">
              <w:rPr>
                <w:sz w:val="16"/>
                <w:szCs w:val="16"/>
              </w:rPr>
              <w:t>La incapacidad del sistema de derecho de autor para adaptarse a los rápidos cambios tecnológicos puede menoscabar la pertinencia del sistema de derecho de autor.</w:t>
            </w:r>
          </w:p>
        </w:tc>
        <w:tc>
          <w:tcPr>
            <w:tcW w:w="5103" w:type="dxa"/>
            <w:tcBorders>
              <w:top w:val="single" w:sz="4" w:space="0" w:color="auto"/>
            </w:tcBorders>
            <w:shd w:val="clear" w:color="auto" w:fill="auto"/>
            <w:tcMar>
              <w:top w:w="113" w:type="dxa"/>
              <w:bottom w:w="113" w:type="dxa"/>
            </w:tcMar>
          </w:tcPr>
          <w:p w:rsidR="00855C3A" w:rsidRPr="007F1C3E" w:rsidRDefault="00855C3A" w:rsidP="000A0481">
            <w:pPr>
              <w:autoSpaceDE w:val="0"/>
              <w:autoSpaceDN w:val="0"/>
              <w:adjustRightInd w:val="0"/>
              <w:ind w:right="-59"/>
              <w:rPr>
                <w:sz w:val="16"/>
                <w:szCs w:val="16"/>
              </w:rPr>
            </w:pPr>
            <w:r w:rsidRPr="007F1C3E">
              <w:rPr>
                <w:sz w:val="16"/>
              </w:rPr>
              <w:t>Mantenimiento de las actividades e iniciativas de sensibilización para demostrar la importancia del derecho de autor</w:t>
            </w:r>
          </w:p>
        </w:tc>
      </w:tr>
    </w:tbl>
    <w:p w:rsidR="00855C3A" w:rsidRPr="007F1C3E" w:rsidRDefault="00855C3A" w:rsidP="00855C3A">
      <w:pPr>
        <w:rPr>
          <w:szCs w:val="22"/>
        </w:rPr>
      </w:pPr>
    </w:p>
    <w:p w:rsidR="00855C3A" w:rsidRPr="007F1C3E" w:rsidRDefault="00855C3A" w:rsidP="00855C3A">
      <w:pPr>
        <w:rPr>
          <w:szCs w:val="22"/>
        </w:rPr>
      </w:pPr>
    </w:p>
    <w:p w:rsidR="00855C3A" w:rsidRPr="007F1C3E" w:rsidRDefault="00855C3A" w:rsidP="00855C3A">
      <w:pPr>
        <w:rPr>
          <w:szCs w:val="22"/>
        </w:rPr>
      </w:pPr>
    </w:p>
    <w:p w:rsidR="00855C3A" w:rsidRPr="007F1C3E" w:rsidRDefault="00855C3A" w:rsidP="00855C3A">
      <w:pPr>
        <w:keepNext/>
        <w:keepLines/>
        <w:autoSpaceDE w:val="0"/>
        <w:autoSpaceDN w:val="0"/>
        <w:adjustRightInd w:val="0"/>
        <w:rPr>
          <w:szCs w:val="22"/>
        </w:rPr>
      </w:pPr>
      <w:r w:rsidRPr="007F1C3E">
        <w:rPr>
          <w:szCs w:val="22"/>
        </w:rPr>
        <w:lastRenderedPageBreak/>
        <w:t>MARCO DE RESULTADOS</w:t>
      </w:r>
    </w:p>
    <w:p w:rsidR="00855C3A" w:rsidRPr="007F1C3E" w:rsidRDefault="00855C3A" w:rsidP="00855C3A">
      <w:pPr>
        <w:keepNext/>
        <w:keepLines/>
        <w:autoSpaceDE w:val="0"/>
        <w:autoSpaceDN w:val="0"/>
        <w:adjustRightInd w:val="0"/>
        <w:rPr>
          <w:szCs w:val="22"/>
        </w:rPr>
      </w:pPr>
    </w:p>
    <w:tbl>
      <w:tblPr>
        <w:tblW w:w="9195" w:type="dxa"/>
        <w:tblInd w:w="93" w:type="dxa"/>
        <w:tblLook w:val="04A0" w:firstRow="1" w:lastRow="0" w:firstColumn="1" w:lastColumn="0" w:noHBand="0" w:noVBand="1"/>
      </w:tblPr>
      <w:tblGrid>
        <w:gridCol w:w="2440"/>
        <w:gridCol w:w="2360"/>
        <w:gridCol w:w="2480"/>
        <w:gridCol w:w="1915"/>
      </w:tblGrid>
      <w:tr w:rsidR="00855C3A" w:rsidRPr="007F1C3E" w:rsidTr="007B2125">
        <w:trPr>
          <w:trHeight w:val="529"/>
          <w:tblHeader/>
        </w:trPr>
        <w:tc>
          <w:tcPr>
            <w:tcW w:w="244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855C3A" w:rsidRPr="007F1C3E" w:rsidRDefault="00855C3A" w:rsidP="00855C3A">
            <w:pPr>
              <w:keepNext/>
              <w:keepLines/>
              <w:jc w:val="center"/>
              <w:rPr>
                <w:b/>
                <w:bCs/>
                <w:sz w:val="18"/>
                <w:szCs w:val="18"/>
              </w:rPr>
            </w:pPr>
            <w:r w:rsidRPr="007F1C3E">
              <w:rPr>
                <w:b/>
                <w:bCs/>
                <w:sz w:val="18"/>
                <w:szCs w:val="18"/>
              </w:rPr>
              <w:t xml:space="preserve">Resultados previstos </w:t>
            </w:r>
          </w:p>
        </w:tc>
        <w:tc>
          <w:tcPr>
            <w:tcW w:w="236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855C3A" w:rsidRPr="007F1C3E" w:rsidRDefault="00855C3A" w:rsidP="00855C3A">
            <w:pPr>
              <w:keepNext/>
              <w:keepLines/>
              <w:jc w:val="center"/>
              <w:rPr>
                <w:b/>
                <w:bCs/>
                <w:sz w:val="18"/>
                <w:szCs w:val="18"/>
              </w:rPr>
            </w:pPr>
            <w:r w:rsidRPr="007F1C3E">
              <w:rPr>
                <w:b/>
                <w:bCs/>
                <w:sz w:val="18"/>
                <w:szCs w:val="18"/>
              </w:rPr>
              <w:t>Indicadores de rendimiento</w:t>
            </w:r>
          </w:p>
        </w:tc>
        <w:tc>
          <w:tcPr>
            <w:tcW w:w="248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855C3A" w:rsidRPr="007F1C3E" w:rsidRDefault="00855C3A" w:rsidP="00855C3A">
            <w:pPr>
              <w:keepNext/>
              <w:keepLines/>
              <w:jc w:val="center"/>
              <w:rPr>
                <w:b/>
                <w:bCs/>
                <w:sz w:val="18"/>
                <w:szCs w:val="18"/>
              </w:rPr>
            </w:pPr>
            <w:r w:rsidRPr="007F1C3E">
              <w:rPr>
                <w:b/>
                <w:bCs/>
                <w:sz w:val="18"/>
                <w:szCs w:val="18"/>
              </w:rPr>
              <w:t>Referencia</w:t>
            </w:r>
          </w:p>
        </w:tc>
        <w:tc>
          <w:tcPr>
            <w:tcW w:w="191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855C3A" w:rsidRPr="007F1C3E" w:rsidRDefault="00855C3A" w:rsidP="00855C3A">
            <w:pPr>
              <w:keepNext/>
              <w:keepLines/>
              <w:jc w:val="center"/>
              <w:rPr>
                <w:b/>
                <w:bCs/>
                <w:sz w:val="18"/>
                <w:szCs w:val="18"/>
              </w:rPr>
            </w:pPr>
            <w:r w:rsidRPr="007F1C3E">
              <w:rPr>
                <w:b/>
                <w:bCs/>
                <w:sz w:val="18"/>
                <w:szCs w:val="18"/>
              </w:rPr>
              <w:t>Objetivos</w:t>
            </w:r>
          </w:p>
        </w:tc>
      </w:tr>
      <w:tr w:rsidR="00855C3A" w:rsidRPr="00427606" w:rsidTr="007B2125">
        <w:trPr>
          <w:trHeight w:val="1469"/>
        </w:trPr>
        <w:tc>
          <w:tcPr>
            <w:tcW w:w="2440" w:type="dxa"/>
            <w:tcBorders>
              <w:top w:val="single" w:sz="4" w:space="0" w:color="auto"/>
              <w:left w:val="single" w:sz="4" w:space="0" w:color="auto"/>
              <w:right w:val="nil"/>
            </w:tcBorders>
            <w:shd w:val="clear" w:color="000000" w:fill="FFFFFF"/>
            <w:tcMar>
              <w:top w:w="85" w:type="dxa"/>
            </w:tcMar>
            <w:hideMark/>
          </w:tcPr>
          <w:p w:rsidR="00855C3A" w:rsidRPr="00162F59" w:rsidRDefault="00855C3A" w:rsidP="00855C3A">
            <w:pPr>
              <w:keepNext/>
              <w:keepLines/>
              <w:rPr>
                <w:sz w:val="16"/>
                <w:szCs w:val="16"/>
              </w:rPr>
            </w:pPr>
            <w:r w:rsidRPr="00162F59">
              <w:rPr>
                <w:sz w:val="16"/>
                <w:szCs w:val="16"/>
              </w:rPr>
              <w:t xml:space="preserve">I.1 </w:t>
            </w:r>
            <w:r w:rsidR="00BF4D0F" w:rsidRPr="00162F59">
              <w:rPr>
                <w:sz w:val="16"/>
                <w:szCs w:val="16"/>
              </w:rPr>
              <w:t xml:space="preserve"> </w:t>
            </w:r>
            <w:r w:rsidR="00BF4D0F" w:rsidRPr="00162F59">
              <w:rPr>
                <w:sz w:val="16"/>
                <w:szCs w:val="16"/>
                <w:lang w:val="es-ES_tradnl"/>
              </w:rPr>
              <w:t>Mayor cooperación entre los Estados miembros en la elaboración de marcos normativos internacionales de P.I. equilibrados</w:t>
            </w:r>
          </w:p>
        </w:tc>
        <w:tc>
          <w:tcPr>
            <w:tcW w:w="2360" w:type="dxa"/>
            <w:tcBorders>
              <w:top w:val="single" w:sz="4" w:space="0" w:color="auto"/>
              <w:left w:val="nil"/>
              <w:right w:val="nil"/>
            </w:tcBorders>
            <w:shd w:val="clear" w:color="000000" w:fill="FFFFFF"/>
            <w:tcMar>
              <w:top w:w="85" w:type="dxa"/>
            </w:tcMar>
            <w:hideMark/>
          </w:tcPr>
          <w:p w:rsidR="00855C3A" w:rsidRPr="007F1C3E" w:rsidRDefault="00855C3A" w:rsidP="00097996">
            <w:pPr>
              <w:keepNext/>
              <w:keepLines/>
              <w:ind w:left="19"/>
              <w:rPr>
                <w:sz w:val="16"/>
                <w:szCs w:val="16"/>
              </w:rPr>
            </w:pPr>
            <w:r w:rsidRPr="007F1C3E">
              <w:rPr>
                <w:sz w:val="16"/>
                <w:szCs w:val="16"/>
              </w:rPr>
              <w:t>Avance en la realización del trabajo acordado con arreglo al orden del día del SCCR</w:t>
            </w:r>
          </w:p>
        </w:tc>
        <w:tc>
          <w:tcPr>
            <w:tcW w:w="2480" w:type="dxa"/>
            <w:tcBorders>
              <w:top w:val="single" w:sz="4" w:space="0" w:color="auto"/>
              <w:left w:val="nil"/>
              <w:right w:val="nil"/>
            </w:tcBorders>
            <w:shd w:val="clear" w:color="000000" w:fill="FFFFFF"/>
            <w:tcMar>
              <w:top w:w="85" w:type="dxa"/>
            </w:tcMar>
            <w:hideMark/>
          </w:tcPr>
          <w:p w:rsidR="00855C3A" w:rsidRPr="007F1C3E" w:rsidRDefault="00855C3A" w:rsidP="00855C3A">
            <w:pPr>
              <w:keepNext/>
              <w:keepLines/>
              <w:ind w:left="57"/>
              <w:rPr>
                <w:sz w:val="16"/>
                <w:szCs w:val="16"/>
              </w:rPr>
            </w:pPr>
            <w:r w:rsidRPr="007F1C3E">
              <w:rPr>
                <w:sz w:val="16"/>
                <w:szCs w:val="16"/>
              </w:rPr>
              <w:t>El SCCR y la Asamblea General de la OMPI de 2014 no alcanzaron un acuerdo sobre las medidas destinadas a convocar una conferencia diplomática respecto de un tratado para la protección de los organismos de radiodifusión (PPR 2014)</w:t>
            </w:r>
          </w:p>
        </w:tc>
        <w:tc>
          <w:tcPr>
            <w:tcW w:w="1915" w:type="dxa"/>
            <w:tcBorders>
              <w:top w:val="single" w:sz="4" w:space="0" w:color="auto"/>
              <w:left w:val="nil"/>
              <w:right w:val="single" w:sz="4" w:space="0" w:color="auto"/>
            </w:tcBorders>
            <w:shd w:val="clear" w:color="000000" w:fill="FFFFFF"/>
            <w:tcMar>
              <w:top w:w="85" w:type="dxa"/>
            </w:tcMar>
            <w:hideMark/>
          </w:tcPr>
          <w:p w:rsidR="00855C3A" w:rsidRPr="007F1C3E" w:rsidRDefault="00855C3A" w:rsidP="00162F59">
            <w:pPr>
              <w:keepNext/>
              <w:keepLines/>
              <w:ind w:leftChars="-4" w:left="-1" w:hangingChars="5" w:hanging="8"/>
              <w:rPr>
                <w:sz w:val="16"/>
                <w:szCs w:val="16"/>
              </w:rPr>
            </w:pPr>
            <w:r w:rsidRPr="007F1C3E">
              <w:rPr>
                <w:sz w:val="16"/>
                <w:szCs w:val="16"/>
              </w:rPr>
              <w:t>Resultados concertados en el SCCR</w:t>
            </w:r>
          </w:p>
        </w:tc>
      </w:tr>
      <w:tr w:rsidR="00855C3A" w:rsidRPr="007F1C3E" w:rsidTr="007B2125">
        <w:trPr>
          <w:trHeight w:val="707"/>
        </w:trPr>
        <w:tc>
          <w:tcPr>
            <w:tcW w:w="2440" w:type="dxa"/>
            <w:vMerge w:val="restart"/>
            <w:tcBorders>
              <w:left w:val="single" w:sz="4" w:space="0" w:color="auto"/>
              <w:bottom w:val="nil"/>
              <w:right w:val="nil"/>
            </w:tcBorders>
            <w:shd w:val="clear" w:color="000000" w:fill="FFFFFF"/>
            <w:tcMar>
              <w:top w:w="85" w:type="dxa"/>
            </w:tcMar>
            <w:hideMark/>
          </w:tcPr>
          <w:p w:rsidR="00855C3A" w:rsidRPr="00162F59" w:rsidRDefault="00855C3A" w:rsidP="000A0481">
            <w:pPr>
              <w:rPr>
                <w:sz w:val="16"/>
                <w:szCs w:val="16"/>
              </w:rPr>
            </w:pPr>
            <w:r w:rsidRPr="00162F59">
              <w:rPr>
                <w:sz w:val="16"/>
                <w:szCs w:val="16"/>
              </w:rPr>
              <w:t xml:space="preserve">I.2 </w:t>
            </w:r>
            <w:r w:rsidR="00604E62" w:rsidRPr="00162F59">
              <w:rPr>
                <w:sz w:val="16"/>
                <w:szCs w:val="16"/>
              </w:rPr>
              <w:t xml:space="preserve"> </w:t>
            </w:r>
            <w:r w:rsidR="006C23D5" w:rsidRPr="00162F59">
              <w:rPr>
                <w:sz w:val="16"/>
                <w:szCs w:val="16"/>
                <w:lang w:val="es-ES_tradnl"/>
              </w:rPr>
              <w:t>Marcos de P.I. adaptados y equilibrados en el ámbito legislativo, regulador y de política</w:t>
            </w:r>
          </w:p>
        </w:tc>
        <w:tc>
          <w:tcPr>
            <w:tcW w:w="2360" w:type="dxa"/>
            <w:tcBorders>
              <w:left w:val="nil"/>
              <w:bottom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países que han ratificado el Tratado de Beijing o se han adherido a él.</w:t>
            </w:r>
          </w:p>
        </w:tc>
        <w:tc>
          <w:tcPr>
            <w:tcW w:w="2480" w:type="dxa"/>
            <w:tcBorders>
              <w:left w:val="nil"/>
              <w:bottom w:val="nil"/>
              <w:right w:val="nil"/>
            </w:tcBorders>
            <w:shd w:val="clear" w:color="000000" w:fill="FFFFFF"/>
            <w:tcMar>
              <w:top w:w="85" w:type="dxa"/>
            </w:tcMar>
            <w:hideMark/>
          </w:tcPr>
          <w:p w:rsidR="00855C3A" w:rsidRPr="007F1C3E" w:rsidRDefault="00855C3A" w:rsidP="000A0481">
            <w:pPr>
              <w:ind w:left="57"/>
              <w:rPr>
                <w:sz w:val="16"/>
                <w:szCs w:val="16"/>
              </w:rPr>
            </w:pPr>
            <w:r w:rsidRPr="007F1C3E">
              <w:rPr>
                <w:sz w:val="16"/>
                <w:szCs w:val="16"/>
              </w:rPr>
              <w:t>6 (al final de 2014).</w:t>
            </w:r>
          </w:p>
        </w:tc>
        <w:tc>
          <w:tcPr>
            <w:tcW w:w="1915" w:type="dxa"/>
            <w:tcBorders>
              <w:left w:val="nil"/>
              <w:bottom w:val="nil"/>
              <w:right w:val="single" w:sz="4" w:space="0" w:color="auto"/>
            </w:tcBorders>
            <w:shd w:val="clear" w:color="000000" w:fill="FFFFFF"/>
            <w:tcMar>
              <w:top w:w="85" w:type="dxa"/>
            </w:tcMar>
            <w:hideMark/>
          </w:tcPr>
          <w:p w:rsidR="00855C3A" w:rsidRPr="007F1C3E" w:rsidRDefault="00855C3A" w:rsidP="000A0481">
            <w:pPr>
              <w:ind w:left="97" w:firstLineChars="200" w:firstLine="320"/>
              <w:rPr>
                <w:sz w:val="16"/>
                <w:szCs w:val="16"/>
              </w:rPr>
            </w:pPr>
            <w:r w:rsidRPr="007F1C3E">
              <w:rPr>
                <w:sz w:val="16"/>
                <w:szCs w:val="16"/>
              </w:rPr>
              <w:t xml:space="preserve">30 </w:t>
            </w:r>
          </w:p>
        </w:tc>
      </w:tr>
      <w:tr w:rsidR="00855C3A" w:rsidRPr="007F1C3E" w:rsidTr="000A0481">
        <w:trPr>
          <w:trHeight w:val="725"/>
        </w:trPr>
        <w:tc>
          <w:tcPr>
            <w:tcW w:w="2440" w:type="dxa"/>
            <w:vMerge/>
            <w:tcBorders>
              <w:top w:val="nil"/>
              <w:left w:val="single" w:sz="4" w:space="0" w:color="auto"/>
              <w:bottom w:val="nil"/>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bottom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países que han ratificado el Tratado de Marrakech o se han adherido a él.</w:t>
            </w:r>
          </w:p>
        </w:tc>
        <w:tc>
          <w:tcPr>
            <w:tcW w:w="2480" w:type="dxa"/>
            <w:tcBorders>
              <w:top w:val="nil"/>
              <w:left w:val="nil"/>
              <w:bottom w:val="nil"/>
              <w:right w:val="nil"/>
            </w:tcBorders>
            <w:shd w:val="clear" w:color="000000" w:fill="FFFFFF"/>
            <w:tcMar>
              <w:top w:w="85" w:type="dxa"/>
            </w:tcMar>
            <w:hideMark/>
          </w:tcPr>
          <w:p w:rsidR="00855C3A" w:rsidRPr="007F1C3E" w:rsidRDefault="00855C3A" w:rsidP="000A0481">
            <w:pPr>
              <w:ind w:left="57"/>
              <w:rPr>
                <w:sz w:val="16"/>
                <w:szCs w:val="16"/>
              </w:rPr>
            </w:pPr>
            <w:r w:rsidRPr="007F1C3E">
              <w:rPr>
                <w:sz w:val="16"/>
                <w:szCs w:val="16"/>
              </w:rPr>
              <w:t>5 (al final de 2014).</w:t>
            </w:r>
          </w:p>
        </w:tc>
        <w:tc>
          <w:tcPr>
            <w:tcW w:w="1915" w:type="dxa"/>
            <w:tcBorders>
              <w:top w:val="nil"/>
              <w:left w:val="nil"/>
              <w:bottom w:val="nil"/>
              <w:right w:val="single" w:sz="4" w:space="0" w:color="auto"/>
            </w:tcBorders>
            <w:shd w:val="clear" w:color="000000" w:fill="FFFFFF"/>
            <w:tcMar>
              <w:top w:w="85" w:type="dxa"/>
            </w:tcMar>
            <w:hideMark/>
          </w:tcPr>
          <w:p w:rsidR="00855C3A" w:rsidRPr="007F1C3E" w:rsidRDefault="00855C3A" w:rsidP="000A0481">
            <w:pPr>
              <w:ind w:left="97" w:firstLineChars="200" w:firstLine="320"/>
              <w:rPr>
                <w:sz w:val="16"/>
                <w:szCs w:val="16"/>
              </w:rPr>
            </w:pPr>
            <w:r w:rsidRPr="007F1C3E">
              <w:rPr>
                <w:sz w:val="16"/>
                <w:szCs w:val="16"/>
              </w:rPr>
              <w:t xml:space="preserve">20 </w:t>
            </w:r>
          </w:p>
        </w:tc>
      </w:tr>
      <w:tr w:rsidR="00855C3A" w:rsidRPr="007F1C3E" w:rsidTr="000A0481">
        <w:trPr>
          <w:trHeight w:val="725"/>
        </w:trPr>
        <w:tc>
          <w:tcPr>
            <w:tcW w:w="2440" w:type="dxa"/>
            <w:vMerge/>
            <w:tcBorders>
              <w:top w:val="nil"/>
              <w:left w:val="single" w:sz="4" w:space="0" w:color="auto"/>
              <w:bottom w:val="nil"/>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bottom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w:t>
            </w:r>
            <w:r w:rsidR="00D455EB">
              <w:rPr>
                <w:sz w:val="16"/>
                <w:szCs w:val="16"/>
              </w:rPr>
              <w:t xml:space="preserve">países que han </w:t>
            </w:r>
            <w:r w:rsidR="00162F59" w:rsidRPr="007F1C3E">
              <w:rPr>
                <w:sz w:val="16"/>
                <w:szCs w:val="16"/>
              </w:rPr>
              <w:t xml:space="preserve">ratificado </w:t>
            </w:r>
            <w:r w:rsidR="00162F59">
              <w:rPr>
                <w:sz w:val="16"/>
                <w:szCs w:val="16"/>
              </w:rPr>
              <w:t xml:space="preserve">los tratados de derecho de autor en vigor, como el Convenio de Berna, la Convención de Roma </w:t>
            </w:r>
            <w:r w:rsidR="00D455EB">
              <w:rPr>
                <w:sz w:val="16"/>
                <w:szCs w:val="16"/>
              </w:rPr>
              <w:t>y</w:t>
            </w:r>
            <w:r w:rsidR="00162F59">
              <w:rPr>
                <w:sz w:val="16"/>
                <w:szCs w:val="16"/>
              </w:rPr>
              <w:t xml:space="preserve"> los “tratados Internet”</w:t>
            </w:r>
            <w:r w:rsidR="00162F59" w:rsidRPr="007F1C3E">
              <w:rPr>
                <w:sz w:val="16"/>
                <w:szCs w:val="16"/>
              </w:rPr>
              <w:t xml:space="preserve"> o se han adherido a </w:t>
            </w:r>
            <w:r w:rsidR="00162F59">
              <w:rPr>
                <w:sz w:val="16"/>
                <w:szCs w:val="16"/>
              </w:rPr>
              <w:t>ellos</w:t>
            </w:r>
            <w:r w:rsidRPr="007F1C3E">
              <w:rPr>
                <w:sz w:val="16"/>
                <w:szCs w:val="16"/>
              </w:rPr>
              <w:t>.</w:t>
            </w:r>
          </w:p>
        </w:tc>
        <w:tc>
          <w:tcPr>
            <w:tcW w:w="2480" w:type="dxa"/>
            <w:tcBorders>
              <w:top w:val="nil"/>
              <w:left w:val="nil"/>
              <w:bottom w:val="nil"/>
              <w:right w:val="nil"/>
            </w:tcBorders>
            <w:shd w:val="clear" w:color="000000" w:fill="FFFFFF"/>
            <w:tcMar>
              <w:top w:w="85" w:type="dxa"/>
            </w:tcMar>
            <w:hideMark/>
          </w:tcPr>
          <w:p w:rsidR="00855C3A" w:rsidRPr="007F1C3E" w:rsidRDefault="00D455EB" w:rsidP="00D455EB">
            <w:pPr>
              <w:ind w:left="1"/>
              <w:rPr>
                <w:sz w:val="16"/>
                <w:szCs w:val="16"/>
              </w:rPr>
            </w:pPr>
            <w:proofErr w:type="spellStart"/>
            <w:r>
              <w:rPr>
                <w:sz w:val="16"/>
                <w:szCs w:val="16"/>
              </w:rPr>
              <w:t>n.d</w:t>
            </w:r>
            <w:proofErr w:type="spellEnd"/>
            <w:r>
              <w:rPr>
                <w:sz w:val="16"/>
                <w:szCs w:val="16"/>
              </w:rPr>
              <w:t>.</w:t>
            </w:r>
            <w:r w:rsidR="00855C3A" w:rsidRPr="007F1C3E">
              <w:rPr>
                <w:sz w:val="16"/>
                <w:szCs w:val="16"/>
              </w:rPr>
              <w:t xml:space="preserve"> (</w:t>
            </w:r>
            <w:r>
              <w:rPr>
                <w:sz w:val="16"/>
                <w:szCs w:val="16"/>
              </w:rPr>
              <w:t>indicador revisado</w:t>
            </w:r>
            <w:r w:rsidR="00855C3A" w:rsidRPr="007F1C3E">
              <w:rPr>
                <w:sz w:val="16"/>
                <w:szCs w:val="16"/>
              </w:rPr>
              <w:t>).</w:t>
            </w:r>
          </w:p>
        </w:tc>
        <w:tc>
          <w:tcPr>
            <w:tcW w:w="1915" w:type="dxa"/>
            <w:tcBorders>
              <w:top w:val="nil"/>
              <w:left w:val="nil"/>
              <w:bottom w:val="nil"/>
              <w:right w:val="single" w:sz="4" w:space="0" w:color="auto"/>
            </w:tcBorders>
            <w:shd w:val="clear" w:color="000000" w:fill="FFFFFF"/>
            <w:tcMar>
              <w:top w:w="85" w:type="dxa"/>
            </w:tcMar>
            <w:hideMark/>
          </w:tcPr>
          <w:p w:rsidR="00855C3A" w:rsidRPr="007F1C3E" w:rsidRDefault="00855C3A" w:rsidP="00D455EB">
            <w:pPr>
              <w:ind w:left="97" w:firstLineChars="200" w:firstLine="320"/>
              <w:rPr>
                <w:sz w:val="16"/>
                <w:szCs w:val="16"/>
              </w:rPr>
            </w:pPr>
            <w:r w:rsidRPr="007F1C3E">
              <w:rPr>
                <w:sz w:val="16"/>
                <w:szCs w:val="16"/>
              </w:rPr>
              <w:t>1</w:t>
            </w:r>
            <w:r w:rsidR="00D455EB">
              <w:rPr>
                <w:sz w:val="16"/>
                <w:szCs w:val="16"/>
              </w:rPr>
              <w:t>0</w:t>
            </w:r>
          </w:p>
        </w:tc>
      </w:tr>
      <w:tr w:rsidR="00855C3A" w:rsidRPr="00427606" w:rsidTr="00CF552A">
        <w:trPr>
          <w:trHeight w:val="986"/>
        </w:trPr>
        <w:tc>
          <w:tcPr>
            <w:tcW w:w="2440" w:type="dxa"/>
            <w:vMerge/>
            <w:tcBorders>
              <w:top w:val="nil"/>
              <w:left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y porcentaje de países que han formulado comentarios positivos sobre el asesoramiento de la OMPI en materia legislativa.</w:t>
            </w:r>
          </w:p>
        </w:tc>
        <w:tc>
          <w:tcPr>
            <w:tcW w:w="2480" w:type="dxa"/>
            <w:tcBorders>
              <w:top w:val="nil"/>
              <w:left w:val="nil"/>
              <w:right w:val="nil"/>
            </w:tcBorders>
            <w:shd w:val="clear" w:color="000000" w:fill="FFFFFF"/>
            <w:tcMar>
              <w:top w:w="85" w:type="dxa"/>
            </w:tcMar>
            <w:hideMark/>
          </w:tcPr>
          <w:p w:rsidR="00855C3A" w:rsidRPr="007F1C3E" w:rsidRDefault="00855C3A" w:rsidP="000A0481">
            <w:pPr>
              <w:ind w:left="57"/>
              <w:rPr>
                <w:sz w:val="16"/>
                <w:szCs w:val="16"/>
              </w:rPr>
            </w:pPr>
            <w:proofErr w:type="spellStart"/>
            <w:r>
              <w:rPr>
                <w:sz w:val="16"/>
                <w:szCs w:val="16"/>
              </w:rPr>
              <w:t>n.d</w:t>
            </w:r>
            <w:proofErr w:type="spellEnd"/>
            <w:r>
              <w:rPr>
                <w:sz w:val="16"/>
                <w:szCs w:val="16"/>
              </w:rPr>
              <w:t>.</w:t>
            </w:r>
            <w:r w:rsidRPr="007F1C3E">
              <w:rPr>
                <w:sz w:val="16"/>
                <w:szCs w:val="16"/>
              </w:rPr>
              <w:t xml:space="preserve"> en 2014</w:t>
            </w:r>
          </w:p>
          <w:p w:rsidR="00855C3A" w:rsidRPr="007F1C3E" w:rsidRDefault="00855C3A" w:rsidP="000A0481">
            <w:pPr>
              <w:ind w:left="57"/>
              <w:rPr>
                <w:sz w:val="16"/>
                <w:szCs w:val="16"/>
              </w:rPr>
            </w:pPr>
            <w:r w:rsidRPr="007F1C3E">
              <w:rPr>
                <w:sz w:val="16"/>
                <w:szCs w:val="16"/>
              </w:rPr>
              <w:t>(en 2015 se llevará a cabo una encuesta bienal)</w:t>
            </w:r>
          </w:p>
        </w:tc>
        <w:tc>
          <w:tcPr>
            <w:tcW w:w="1915" w:type="dxa"/>
            <w:tcBorders>
              <w:top w:val="nil"/>
              <w:left w:val="nil"/>
              <w:right w:val="single" w:sz="4" w:space="0" w:color="auto"/>
            </w:tcBorders>
            <w:shd w:val="clear" w:color="000000" w:fill="FFFFFF"/>
            <w:tcMar>
              <w:top w:w="85" w:type="dxa"/>
            </w:tcMar>
            <w:hideMark/>
          </w:tcPr>
          <w:p w:rsidR="00855C3A" w:rsidRPr="007F1C3E" w:rsidRDefault="00855C3A" w:rsidP="00D455EB">
            <w:pPr>
              <w:ind w:left="97"/>
              <w:rPr>
                <w:sz w:val="16"/>
                <w:szCs w:val="16"/>
              </w:rPr>
            </w:pPr>
            <w:r w:rsidRPr="007F1C3E">
              <w:rPr>
                <w:sz w:val="16"/>
                <w:szCs w:val="16"/>
              </w:rPr>
              <w:t>El </w:t>
            </w:r>
            <w:r w:rsidR="00D455EB">
              <w:rPr>
                <w:sz w:val="16"/>
                <w:szCs w:val="16"/>
              </w:rPr>
              <w:t>7</w:t>
            </w:r>
            <w:r w:rsidRPr="007F1C3E">
              <w:rPr>
                <w:sz w:val="16"/>
                <w:szCs w:val="16"/>
              </w:rPr>
              <w:t>0% de los encuestados se dijo satisfecho con el asesoramiento brindado.</w:t>
            </w:r>
          </w:p>
        </w:tc>
      </w:tr>
      <w:tr w:rsidR="00855C3A" w:rsidRPr="00427606" w:rsidTr="000A0481">
        <w:trPr>
          <w:trHeight w:val="545"/>
        </w:trPr>
        <w:tc>
          <w:tcPr>
            <w:tcW w:w="2440" w:type="dxa"/>
            <w:vMerge w:val="restart"/>
            <w:tcBorders>
              <w:left w:val="single" w:sz="4" w:space="0" w:color="auto"/>
              <w:bottom w:val="nil"/>
              <w:right w:val="nil"/>
            </w:tcBorders>
            <w:shd w:val="clear" w:color="000000" w:fill="FFFFFF"/>
            <w:tcMar>
              <w:top w:w="85" w:type="dxa"/>
            </w:tcMar>
            <w:hideMark/>
          </w:tcPr>
          <w:p w:rsidR="00855C3A" w:rsidRPr="00705810" w:rsidRDefault="00855C3A" w:rsidP="000A0481">
            <w:pPr>
              <w:keepNext/>
              <w:keepLines/>
              <w:rPr>
                <w:sz w:val="16"/>
                <w:szCs w:val="16"/>
              </w:rPr>
            </w:pPr>
            <w:r w:rsidRPr="00705810">
              <w:rPr>
                <w:sz w:val="16"/>
                <w:szCs w:val="16"/>
              </w:rPr>
              <w:t>III.</w:t>
            </w:r>
            <w:r w:rsidRPr="00D455EB">
              <w:rPr>
                <w:sz w:val="16"/>
                <w:szCs w:val="16"/>
              </w:rPr>
              <w:t xml:space="preserve">2 </w:t>
            </w:r>
            <w:r w:rsidR="00E05E1F" w:rsidRPr="00D455EB">
              <w:rPr>
                <w:sz w:val="16"/>
                <w:szCs w:val="16"/>
              </w:rPr>
              <w:t xml:space="preserve"> </w:t>
            </w:r>
            <w:r w:rsidR="006C23D5" w:rsidRPr="00D455EB">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p w:rsidR="00855C3A" w:rsidRPr="007F1C3E" w:rsidRDefault="00855C3A" w:rsidP="000A0481">
            <w:pPr>
              <w:keepNext/>
              <w:keepLines/>
              <w:rPr>
                <w:sz w:val="16"/>
                <w:szCs w:val="16"/>
              </w:rPr>
            </w:pPr>
          </w:p>
        </w:tc>
        <w:tc>
          <w:tcPr>
            <w:tcW w:w="2360" w:type="dxa"/>
            <w:tcBorders>
              <w:left w:val="nil"/>
              <w:bottom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organismos de gestión colectiva que solicitan acreditación para el programa </w:t>
            </w:r>
            <w:r w:rsidRPr="007F1C3E">
              <w:rPr>
                <w:i/>
                <w:sz w:val="16"/>
                <w:szCs w:val="16"/>
              </w:rPr>
              <w:t>TAG.</w:t>
            </w:r>
          </w:p>
        </w:tc>
        <w:tc>
          <w:tcPr>
            <w:tcW w:w="2480" w:type="dxa"/>
            <w:tcBorders>
              <w:left w:val="nil"/>
              <w:bottom w:val="nil"/>
              <w:right w:val="nil"/>
            </w:tcBorders>
            <w:shd w:val="clear" w:color="000000" w:fill="FFFFFF"/>
            <w:tcMar>
              <w:top w:w="85" w:type="dxa"/>
            </w:tcMar>
            <w:hideMark/>
          </w:tcPr>
          <w:p w:rsidR="00855C3A" w:rsidRPr="007F1C3E" w:rsidRDefault="00855C3A" w:rsidP="000A0481">
            <w:pPr>
              <w:keepNext/>
              <w:keepLines/>
              <w:ind w:left="57"/>
              <w:rPr>
                <w:sz w:val="16"/>
                <w:szCs w:val="16"/>
              </w:rPr>
            </w:pPr>
            <w:r w:rsidRPr="007F1C3E">
              <w:rPr>
                <w:sz w:val="16"/>
                <w:szCs w:val="16"/>
              </w:rPr>
              <w:t>0 (al final de 2014).</w:t>
            </w:r>
          </w:p>
        </w:tc>
        <w:tc>
          <w:tcPr>
            <w:tcW w:w="1915" w:type="dxa"/>
            <w:tcBorders>
              <w:left w:val="nil"/>
              <w:bottom w:val="nil"/>
              <w:right w:val="single" w:sz="4" w:space="0" w:color="auto"/>
            </w:tcBorders>
            <w:shd w:val="clear" w:color="000000" w:fill="FFFFFF"/>
            <w:tcMar>
              <w:top w:w="85" w:type="dxa"/>
            </w:tcMar>
            <w:hideMark/>
          </w:tcPr>
          <w:p w:rsidR="00855C3A" w:rsidRPr="007F1C3E" w:rsidRDefault="00855C3A" w:rsidP="000A0481">
            <w:pPr>
              <w:keepNext/>
              <w:keepLines/>
              <w:ind w:left="97"/>
              <w:rPr>
                <w:sz w:val="16"/>
                <w:szCs w:val="16"/>
              </w:rPr>
            </w:pPr>
            <w:r w:rsidRPr="007F1C3E">
              <w:rPr>
                <w:sz w:val="16"/>
                <w:szCs w:val="16"/>
              </w:rPr>
              <w:t>5 organismos de gestión colectiva solicitan acreditación.</w:t>
            </w:r>
          </w:p>
        </w:tc>
      </w:tr>
      <w:tr w:rsidR="00855C3A" w:rsidRPr="00427606" w:rsidTr="000A0481">
        <w:trPr>
          <w:trHeight w:val="896"/>
        </w:trPr>
        <w:tc>
          <w:tcPr>
            <w:tcW w:w="2440" w:type="dxa"/>
            <w:vMerge/>
            <w:tcBorders>
              <w:top w:val="nil"/>
              <w:left w:val="single" w:sz="4" w:space="0" w:color="auto"/>
              <w:bottom w:val="nil"/>
              <w:right w:val="nil"/>
            </w:tcBorders>
            <w:tcMar>
              <w:top w:w="85" w:type="dxa"/>
            </w:tcMar>
            <w:vAlign w:val="center"/>
          </w:tcPr>
          <w:p w:rsidR="00855C3A" w:rsidRPr="007F1C3E" w:rsidRDefault="00855C3A" w:rsidP="000A0481">
            <w:pPr>
              <w:keepNext/>
              <w:keepLines/>
              <w:rPr>
                <w:sz w:val="16"/>
                <w:szCs w:val="16"/>
              </w:rPr>
            </w:pPr>
          </w:p>
        </w:tc>
        <w:tc>
          <w:tcPr>
            <w:tcW w:w="2360" w:type="dxa"/>
            <w:tcBorders>
              <w:top w:val="nil"/>
              <w:left w:val="nil"/>
              <w:bottom w:val="nil"/>
              <w:right w:val="nil"/>
            </w:tcBorders>
            <w:shd w:val="clear" w:color="000000" w:fill="FFFFFF"/>
            <w:tcMar>
              <w:top w:w="85" w:type="dxa"/>
            </w:tcMar>
          </w:tcPr>
          <w:p w:rsidR="00855C3A" w:rsidRPr="007F1C3E" w:rsidRDefault="00855C3A" w:rsidP="00097996">
            <w:pPr>
              <w:keepNext/>
              <w:keepLines/>
              <w:ind w:left="19"/>
              <w:rPr>
                <w:sz w:val="16"/>
                <w:szCs w:val="16"/>
              </w:rPr>
            </w:pPr>
            <w:r w:rsidRPr="007F1C3E">
              <w:rPr>
                <w:sz w:val="16"/>
                <w:szCs w:val="16"/>
              </w:rPr>
              <w:t>Porcentaje de participantes que dan referencias positivas sobre los programas de gestión colectiva.</w:t>
            </w:r>
          </w:p>
        </w:tc>
        <w:tc>
          <w:tcPr>
            <w:tcW w:w="2480" w:type="dxa"/>
            <w:tcBorders>
              <w:top w:val="nil"/>
              <w:left w:val="nil"/>
              <w:bottom w:val="nil"/>
              <w:right w:val="nil"/>
            </w:tcBorders>
            <w:shd w:val="clear" w:color="000000" w:fill="FFFFFF"/>
            <w:tcMar>
              <w:top w:w="85" w:type="dxa"/>
            </w:tcMar>
          </w:tcPr>
          <w:p w:rsidR="00855C3A" w:rsidRPr="007F1C3E" w:rsidRDefault="00855C3A" w:rsidP="000A0481">
            <w:pPr>
              <w:keepNext/>
              <w:keepLines/>
              <w:ind w:left="57"/>
              <w:rPr>
                <w:sz w:val="16"/>
                <w:szCs w:val="16"/>
              </w:rPr>
            </w:pPr>
            <w:r w:rsidRPr="007F1C3E">
              <w:rPr>
                <w:sz w:val="16"/>
                <w:szCs w:val="16"/>
              </w:rPr>
              <w:t xml:space="preserve">0 (al final de 2014). </w:t>
            </w:r>
          </w:p>
        </w:tc>
        <w:tc>
          <w:tcPr>
            <w:tcW w:w="1915" w:type="dxa"/>
            <w:tcBorders>
              <w:top w:val="nil"/>
              <w:left w:val="nil"/>
              <w:bottom w:val="nil"/>
              <w:right w:val="single" w:sz="4" w:space="0" w:color="auto"/>
            </w:tcBorders>
            <w:shd w:val="clear" w:color="000000" w:fill="FFFFFF"/>
            <w:tcMar>
              <w:top w:w="85" w:type="dxa"/>
            </w:tcMar>
          </w:tcPr>
          <w:p w:rsidR="00855C3A" w:rsidRPr="007F1C3E" w:rsidRDefault="00855C3A" w:rsidP="000A0481">
            <w:pPr>
              <w:keepNext/>
              <w:keepLines/>
              <w:ind w:left="97"/>
              <w:rPr>
                <w:sz w:val="16"/>
                <w:szCs w:val="16"/>
              </w:rPr>
            </w:pPr>
            <w:r w:rsidRPr="007F1C3E">
              <w:rPr>
                <w:sz w:val="16"/>
                <w:szCs w:val="16"/>
              </w:rPr>
              <w:t>El 70% de los encuestados manifiestan aprobación o marcada aprobación.</w:t>
            </w:r>
          </w:p>
        </w:tc>
      </w:tr>
      <w:tr w:rsidR="00855C3A" w:rsidRPr="007F1C3E" w:rsidTr="000A0481">
        <w:trPr>
          <w:trHeight w:val="545"/>
        </w:trPr>
        <w:tc>
          <w:tcPr>
            <w:tcW w:w="2440" w:type="dxa"/>
            <w:vMerge/>
            <w:tcBorders>
              <w:top w:val="nil"/>
              <w:left w:val="single" w:sz="4" w:space="0" w:color="auto"/>
              <w:bottom w:val="nil"/>
              <w:right w:val="nil"/>
            </w:tcBorders>
            <w:tcMar>
              <w:top w:w="85" w:type="dxa"/>
            </w:tcMar>
            <w:vAlign w:val="center"/>
          </w:tcPr>
          <w:p w:rsidR="00855C3A" w:rsidRPr="007F1C3E" w:rsidRDefault="00855C3A" w:rsidP="000A0481">
            <w:pPr>
              <w:keepNext/>
              <w:keepLines/>
              <w:rPr>
                <w:sz w:val="16"/>
                <w:szCs w:val="16"/>
              </w:rPr>
            </w:pPr>
          </w:p>
        </w:tc>
        <w:tc>
          <w:tcPr>
            <w:tcW w:w="2360" w:type="dxa"/>
            <w:tcBorders>
              <w:top w:val="nil"/>
              <w:left w:val="nil"/>
              <w:bottom w:val="nil"/>
              <w:right w:val="nil"/>
            </w:tcBorders>
            <w:shd w:val="clear" w:color="000000" w:fill="FFFFFF"/>
            <w:tcMar>
              <w:top w:w="85" w:type="dxa"/>
            </w:tcMar>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visitas al portal sobre infraestructura de derecho de autor. </w:t>
            </w:r>
          </w:p>
        </w:tc>
        <w:tc>
          <w:tcPr>
            <w:tcW w:w="2480" w:type="dxa"/>
            <w:tcBorders>
              <w:top w:val="nil"/>
              <w:left w:val="nil"/>
              <w:bottom w:val="nil"/>
              <w:right w:val="nil"/>
            </w:tcBorders>
            <w:shd w:val="clear" w:color="000000" w:fill="FFFFFF"/>
            <w:tcMar>
              <w:top w:w="85" w:type="dxa"/>
            </w:tcMar>
          </w:tcPr>
          <w:p w:rsidR="00855C3A" w:rsidRPr="007F1C3E" w:rsidRDefault="00855C3A" w:rsidP="000A0481">
            <w:pPr>
              <w:keepNext/>
              <w:keepLines/>
              <w:ind w:left="57"/>
              <w:rPr>
                <w:sz w:val="16"/>
                <w:szCs w:val="16"/>
              </w:rPr>
            </w:pPr>
            <w:r w:rsidRPr="007F1C3E">
              <w:rPr>
                <w:sz w:val="16"/>
                <w:szCs w:val="16"/>
              </w:rPr>
              <w:t>0 (al final de 2014).</w:t>
            </w:r>
          </w:p>
        </w:tc>
        <w:tc>
          <w:tcPr>
            <w:tcW w:w="1915" w:type="dxa"/>
            <w:tcBorders>
              <w:top w:val="nil"/>
              <w:left w:val="nil"/>
              <w:bottom w:val="nil"/>
              <w:right w:val="single" w:sz="4" w:space="0" w:color="auto"/>
            </w:tcBorders>
            <w:shd w:val="clear" w:color="000000" w:fill="FFFFFF"/>
            <w:tcMar>
              <w:top w:w="85" w:type="dxa"/>
            </w:tcMar>
          </w:tcPr>
          <w:p w:rsidR="00855C3A" w:rsidRPr="007F1C3E" w:rsidRDefault="00855C3A" w:rsidP="000A0481">
            <w:pPr>
              <w:keepNext/>
              <w:keepLines/>
              <w:ind w:left="97"/>
              <w:rPr>
                <w:sz w:val="16"/>
                <w:szCs w:val="16"/>
              </w:rPr>
            </w:pPr>
            <w:r w:rsidRPr="007F1C3E">
              <w:rPr>
                <w:sz w:val="16"/>
                <w:szCs w:val="16"/>
              </w:rPr>
              <w:t>500 visitas al portal.</w:t>
            </w:r>
          </w:p>
        </w:tc>
      </w:tr>
      <w:tr w:rsidR="00855C3A" w:rsidRPr="00427606" w:rsidTr="00CF552A">
        <w:trPr>
          <w:trHeight w:val="896"/>
        </w:trPr>
        <w:tc>
          <w:tcPr>
            <w:tcW w:w="2440" w:type="dxa"/>
            <w:vMerge/>
            <w:tcBorders>
              <w:top w:val="nil"/>
              <w:left w:val="single" w:sz="4" w:space="0" w:color="auto"/>
              <w:bottom w:val="nil"/>
              <w:right w:val="nil"/>
            </w:tcBorders>
            <w:tcMar>
              <w:top w:w="85" w:type="dxa"/>
            </w:tcMar>
            <w:vAlign w:val="center"/>
          </w:tcPr>
          <w:p w:rsidR="00855C3A" w:rsidRPr="007F1C3E" w:rsidRDefault="00855C3A" w:rsidP="000A0481">
            <w:pPr>
              <w:rPr>
                <w:sz w:val="16"/>
                <w:szCs w:val="16"/>
              </w:rPr>
            </w:pPr>
          </w:p>
        </w:tc>
        <w:tc>
          <w:tcPr>
            <w:tcW w:w="2360" w:type="dxa"/>
            <w:tcBorders>
              <w:top w:val="nil"/>
              <w:left w:val="nil"/>
              <w:right w:val="nil"/>
            </w:tcBorders>
            <w:shd w:val="clear" w:color="000000" w:fill="FFFFFF"/>
            <w:tcMar>
              <w:top w:w="85" w:type="dxa"/>
            </w:tcMar>
          </w:tcPr>
          <w:p w:rsidR="00855C3A" w:rsidRPr="007F1C3E" w:rsidRDefault="00855C3A" w:rsidP="00097996">
            <w:pPr>
              <w:keepNext/>
              <w:keepLines/>
              <w:ind w:left="19"/>
              <w:rPr>
                <w:sz w:val="16"/>
                <w:szCs w:val="16"/>
              </w:rPr>
            </w:pPr>
            <w:r w:rsidRPr="007F1C3E">
              <w:rPr>
                <w:sz w:val="16"/>
                <w:szCs w:val="16"/>
              </w:rPr>
              <w:t>Número de editoriales que firman la Carta de la edición accesible (“la Carta”) del ABC.</w:t>
            </w:r>
            <w:r w:rsidR="00CF552A">
              <w:rPr>
                <w:sz w:val="16"/>
                <w:szCs w:val="16"/>
              </w:rPr>
              <w:br/>
            </w:r>
          </w:p>
          <w:p w:rsidR="00855C3A" w:rsidRPr="007F1C3E" w:rsidRDefault="00855C3A" w:rsidP="00097996">
            <w:pPr>
              <w:keepNext/>
              <w:keepLines/>
              <w:ind w:left="19"/>
              <w:rPr>
                <w:sz w:val="16"/>
                <w:szCs w:val="16"/>
              </w:rPr>
            </w:pPr>
            <w:r w:rsidRPr="007F1C3E">
              <w:rPr>
                <w:sz w:val="16"/>
                <w:szCs w:val="16"/>
              </w:rPr>
              <w:t>Número de libros en formatos accesibles prestados a personas con dificultad para acceder al texto impreso.</w:t>
            </w:r>
          </w:p>
        </w:tc>
        <w:tc>
          <w:tcPr>
            <w:tcW w:w="2480" w:type="dxa"/>
            <w:tcBorders>
              <w:top w:val="nil"/>
              <w:left w:val="nil"/>
              <w:right w:val="nil"/>
            </w:tcBorders>
            <w:shd w:val="clear" w:color="000000" w:fill="FFFFFF"/>
            <w:tcMar>
              <w:top w:w="85" w:type="dxa"/>
            </w:tcMar>
          </w:tcPr>
          <w:p w:rsidR="00855C3A" w:rsidRPr="007F1C3E" w:rsidRDefault="00855C3A" w:rsidP="000A0481">
            <w:pPr>
              <w:ind w:left="57"/>
              <w:rPr>
                <w:sz w:val="16"/>
                <w:szCs w:val="16"/>
              </w:rPr>
            </w:pPr>
            <w:r w:rsidRPr="007F1C3E">
              <w:rPr>
                <w:sz w:val="16"/>
                <w:szCs w:val="16"/>
              </w:rPr>
              <w:t>Nueve editoriales firmaron la Carta del ABC.</w:t>
            </w:r>
          </w:p>
          <w:p w:rsidR="00855C3A" w:rsidRPr="007F1C3E" w:rsidRDefault="00855C3A" w:rsidP="000A0481">
            <w:pPr>
              <w:ind w:left="57"/>
              <w:rPr>
                <w:sz w:val="16"/>
                <w:szCs w:val="16"/>
              </w:rPr>
            </w:pPr>
          </w:p>
          <w:p w:rsidR="00855C3A" w:rsidRPr="007F1C3E" w:rsidRDefault="00855C3A" w:rsidP="000A0481">
            <w:pPr>
              <w:ind w:left="57"/>
              <w:rPr>
                <w:sz w:val="16"/>
                <w:szCs w:val="16"/>
              </w:rPr>
            </w:pPr>
          </w:p>
          <w:p w:rsidR="00855C3A" w:rsidRPr="007F1C3E" w:rsidRDefault="00855C3A" w:rsidP="000A0481">
            <w:pPr>
              <w:ind w:left="57"/>
              <w:rPr>
                <w:sz w:val="16"/>
                <w:szCs w:val="16"/>
              </w:rPr>
            </w:pPr>
          </w:p>
          <w:p w:rsidR="00855C3A" w:rsidRPr="007F1C3E" w:rsidRDefault="00855C3A" w:rsidP="000A0481">
            <w:pPr>
              <w:ind w:left="57"/>
              <w:rPr>
                <w:sz w:val="16"/>
                <w:szCs w:val="16"/>
              </w:rPr>
            </w:pPr>
            <w:r w:rsidRPr="007F1C3E">
              <w:rPr>
                <w:sz w:val="16"/>
                <w:szCs w:val="16"/>
              </w:rPr>
              <w:t>16.000 préstamos a personas con dificultad para acceder al texto impreso.</w:t>
            </w:r>
          </w:p>
        </w:tc>
        <w:tc>
          <w:tcPr>
            <w:tcW w:w="1915" w:type="dxa"/>
            <w:tcBorders>
              <w:top w:val="nil"/>
              <w:left w:val="nil"/>
              <w:right w:val="single" w:sz="4" w:space="0" w:color="auto"/>
            </w:tcBorders>
            <w:shd w:val="clear" w:color="000000" w:fill="FFFFFF"/>
            <w:tcMar>
              <w:top w:w="85" w:type="dxa"/>
            </w:tcMar>
          </w:tcPr>
          <w:p w:rsidR="00855C3A" w:rsidRPr="007F1C3E" w:rsidRDefault="00855C3A" w:rsidP="000A0481">
            <w:pPr>
              <w:ind w:left="97"/>
              <w:rPr>
                <w:sz w:val="16"/>
                <w:szCs w:val="16"/>
              </w:rPr>
            </w:pPr>
            <w:r w:rsidRPr="007F1C3E">
              <w:rPr>
                <w:sz w:val="16"/>
                <w:szCs w:val="16"/>
              </w:rPr>
              <w:t>15 editoriales firman (</w:t>
            </w:r>
            <w:r>
              <w:rPr>
                <w:sz w:val="16"/>
                <w:szCs w:val="16"/>
              </w:rPr>
              <w:t>en total</w:t>
            </w:r>
            <w:r w:rsidRPr="007F1C3E">
              <w:rPr>
                <w:sz w:val="16"/>
                <w:szCs w:val="16"/>
              </w:rPr>
              <w:t>).</w:t>
            </w:r>
          </w:p>
          <w:p w:rsidR="00855C3A" w:rsidRPr="007F1C3E" w:rsidRDefault="00855C3A" w:rsidP="000A0481">
            <w:pPr>
              <w:ind w:left="97"/>
              <w:rPr>
                <w:sz w:val="16"/>
                <w:szCs w:val="16"/>
              </w:rPr>
            </w:pPr>
          </w:p>
          <w:p w:rsidR="00855C3A" w:rsidRPr="007F1C3E" w:rsidRDefault="00855C3A" w:rsidP="000A0481">
            <w:pPr>
              <w:ind w:left="97"/>
              <w:rPr>
                <w:sz w:val="16"/>
                <w:szCs w:val="16"/>
              </w:rPr>
            </w:pPr>
          </w:p>
          <w:p w:rsidR="00855C3A" w:rsidRPr="007F1C3E" w:rsidRDefault="00855C3A" w:rsidP="000A0481">
            <w:pPr>
              <w:ind w:left="97"/>
              <w:rPr>
                <w:sz w:val="16"/>
                <w:szCs w:val="16"/>
              </w:rPr>
            </w:pPr>
          </w:p>
          <w:p w:rsidR="00855C3A" w:rsidRPr="007F1C3E" w:rsidRDefault="00855C3A" w:rsidP="000A0481">
            <w:pPr>
              <w:ind w:left="97"/>
              <w:rPr>
                <w:sz w:val="16"/>
                <w:szCs w:val="16"/>
              </w:rPr>
            </w:pPr>
            <w:r w:rsidRPr="007F1C3E">
              <w:rPr>
                <w:sz w:val="16"/>
                <w:szCs w:val="16"/>
              </w:rPr>
              <w:t>20.000 préstamos (</w:t>
            </w:r>
            <w:r>
              <w:rPr>
                <w:sz w:val="16"/>
                <w:szCs w:val="16"/>
              </w:rPr>
              <w:t>en total</w:t>
            </w:r>
            <w:r w:rsidRPr="007F1C3E">
              <w:rPr>
                <w:sz w:val="16"/>
                <w:szCs w:val="16"/>
              </w:rPr>
              <w:t>).</w:t>
            </w:r>
          </w:p>
        </w:tc>
      </w:tr>
      <w:tr w:rsidR="00855C3A" w:rsidRPr="00427606" w:rsidTr="00CF552A">
        <w:trPr>
          <w:trHeight w:val="896"/>
        </w:trPr>
        <w:tc>
          <w:tcPr>
            <w:tcW w:w="2440" w:type="dxa"/>
            <w:vMerge/>
            <w:tcBorders>
              <w:top w:val="nil"/>
              <w:left w:val="single" w:sz="4" w:space="0" w:color="auto"/>
              <w:bottom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right w:val="nil"/>
            </w:tcBorders>
            <w:shd w:val="clear" w:color="000000" w:fill="FFFFFF"/>
            <w:tcMar>
              <w:top w:w="85" w:type="dxa"/>
            </w:tcMar>
            <w:hideMark/>
          </w:tcPr>
          <w:p w:rsidR="00855C3A" w:rsidRPr="007F1C3E" w:rsidRDefault="00855C3A" w:rsidP="00097996">
            <w:pPr>
              <w:keepNext/>
              <w:keepLines/>
              <w:ind w:left="19"/>
              <w:rPr>
                <w:sz w:val="16"/>
                <w:szCs w:val="16"/>
              </w:rPr>
            </w:pPr>
            <w:r w:rsidRPr="007F1C3E">
              <w:rPr>
                <w:sz w:val="16"/>
                <w:szCs w:val="16"/>
              </w:rPr>
              <w:t>Porcentaje de participantes en reuniones y talleres de fortalecimiento de capacidades sobre cuestiones de derecho de autor y derechos conexos que expresaron satisfacción al respecto.</w:t>
            </w:r>
          </w:p>
        </w:tc>
        <w:tc>
          <w:tcPr>
            <w:tcW w:w="2480" w:type="dxa"/>
            <w:tcBorders>
              <w:top w:val="nil"/>
              <w:left w:val="nil"/>
              <w:right w:val="nil"/>
            </w:tcBorders>
            <w:shd w:val="clear" w:color="000000" w:fill="FFFFFF"/>
            <w:tcMar>
              <w:top w:w="85" w:type="dxa"/>
            </w:tcMar>
            <w:hideMark/>
          </w:tcPr>
          <w:p w:rsidR="00855C3A" w:rsidRPr="007F1C3E" w:rsidRDefault="00855C3A" w:rsidP="000A0481">
            <w:pPr>
              <w:rPr>
                <w:sz w:val="16"/>
                <w:szCs w:val="16"/>
              </w:rPr>
            </w:pPr>
            <w:r w:rsidRPr="007F1C3E">
              <w:rPr>
                <w:sz w:val="16"/>
                <w:szCs w:val="16"/>
              </w:rPr>
              <w:t>El 70%.</w:t>
            </w:r>
          </w:p>
        </w:tc>
        <w:tc>
          <w:tcPr>
            <w:tcW w:w="1915" w:type="dxa"/>
            <w:tcBorders>
              <w:top w:val="nil"/>
              <w:left w:val="nil"/>
              <w:right w:val="single" w:sz="4" w:space="0" w:color="auto"/>
            </w:tcBorders>
            <w:shd w:val="clear" w:color="000000" w:fill="FFFFFF"/>
            <w:tcMar>
              <w:top w:w="85" w:type="dxa"/>
            </w:tcMar>
            <w:hideMark/>
          </w:tcPr>
          <w:p w:rsidR="00855C3A" w:rsidRPr="007F1C3E" w:rsidRDefault="00855C3A" w:rsidP="000A0481">
            <w:pPr>
              <w:ind w:left="97"/>
              <w:rPr>
                <w:sz w:val="16"/>
                <w:szCs w:val="16"/>
              </w:rPr>
            </w:pPr>
            <w:r w:rsidRPr="007F1C3E">
              <w:rPr>
                <w:sz w:val="16"/>
                <w:szCs w:val="16"/>
              </w:rPr>
              <w:t>El 70% de los participantes está de acuerdo o marcadamente de acuerdo.</w:t>
            </w:r>
          </w:p>
        </w:tc>
      </w:tr>
      <w:tr w:rsidR="00855C3A" w:rsidRPr="00427606" w:rsidTr="00CF552A">
        <w:trPr>
          <w:trHeight w:val="1265"/>
        </w:trPr>
        <w:tc>
          <w:tcPr>
            <w:tcW w:w="2440" w:type="dxa"/>
            <w:vMerge/>
            <w:tcBorders>
              <w:top w:val="single" w:sz="4" w:space="0" w:color="auto"/>
              <w:left w:val="single" w:sz="4" w:space="0" w:color="auto"/>
              <w:bottom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left w:val="nil"/>
              <w:bottom w:val="single" w:sz="4" w:space="0" w:color="auto"/>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 xml:space="preserve">Porcentaje de participantes en talleres de fortalecimiento de capacidades relacionadas con el derecho de autor que informan haber aplicado en la práctica los conocimientos en los </w:t>
            </w:r>
            <w:r w:rsidR="00CF552A">
              <w:rPr>
                <w:sz w:val="16"/>
                <w:szCs w:val="16"/>
              </w:rPr>
              <w:t>9</w:t>
            </w:r>
            <w:r w:rsidRPr="007F1C3E">
              <w:rPr>
                <w:sz w:val="16"/>
                <w:szCs w:val="16"/>
              </w:rPr>
              <w:t xml:space="preserve"> meses posteriores al taller en cuestión.</w:t>
            </w:r>
          </w:p>
        </w:tc>
        <w:tc>
          <w:tcPr>
            <w:tcW w:w="2480" w:type="dxa"/>
            <w:tcBorders>
              <w:left w:val="nil"/>
              <w:bottom w:val="single" w:sz="4" w:space="0" w:color="auto"/>
              <w:right w:val="nil"/>
            </w:tcBorders>
            <w:shd w:val="clear" w:color="000000" w:fill="FFFFFF"/>
            <w:tcMar>
              <w:top w:w="85" w:type="dxa"/>
            </w:tcMar>
            <w:hideMark/>
          </w:tcPr>
          <w:p w:rsidR="00855C3A" w:rsidRPr="007F1C3E" w:rsidRDefault="00855C3A" w:rsidP="000A0481">
            <w:pPr>
              <w:rPr>
                <w:sz w:val="16"/>
                <w:szCs w:val="16"/>
              </w:rPr>
            </w:pPr>
            <w:r w:rsidRPr="007F1C3E">
              <w:rPr>
                <w:sz w:val="16"/>
                <w:szCs w:val="16"/>
              </w:rPr>
              <w:t>Aproximadamente el 70%.</w:t>
            </w:r>
          </w:p>
        </w:tc>
        <w:tc>
          <w:tcPr>
            <w:tcW w:w="1915" w:type="dxa"/>
            <w:tcBorders>
              <w:left w:val="nil"/>
              <w:bottom w:val="single" w:sz="4" w:space="0" w:color="auto"/>
              <w:right w:val="single" w:sz="4" w:space="0" w:color="auto"/>
            </w:tcBorders>
            <w:shd w:val="clear" w:color="000000" w:fill="FFFFFF"/>
            <w:tcMar>
              <w:top w:w="85" w:type="dxa"/>
            </w:tcMar>
            <w:hideMark/>
          </w:tcPr>
          <w:p w:rsidR="00855C3A" w:rsidRPr="007F1C3E" w:rsidRDefault="00855C3A" w:rsidP="000A0481">
            <w:pPr>
              <w:ind w:left="97"/>
              <w:rPr>
                <w:sz w:val="16"/>
                <w:szCs w:val="16"/>
              </w:rPr>
            </w:pPr>
            <w:r w:rsidRPr="007F1C3E">
              <w:rPr>
                <w:sz w:val="16"/>
                <w:szCs w:val="16"/>
              </w:rPr>
              <w:t>Aproximadamente el 80% de los participantes.</w:t>
            </w:r>
          </w:p>
        </w:tc>
      </w:tr>
      <w:tr w:rsidR="00855C3A" w:rsidRPr="00427606" w:rsidTr="00CF552A">
        <w:trPr>
          <w:trHeight w:val="1043"/>
        </w:trPr>
        <w:tc>
          <w:tcPr>
            <w:tcW w:w="2440" w:type="dxa"/>
            <w:vMerge/>
            <w:tcBorders>
              <w:top w:val="single" w:sz="4" w:space="0" w:color="auto"/>
              <w:left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top w:val="single" w:sz="4" w:space="0" w:color="auto"/>
              <w:left w:val="nil"/>
              <w:bottom w:val="nil"/>
              <w:right w:val="nil"/>
            </w:tcBorders>
            <w:shd w:val="clear" w:color="000000" w:fill="FFFFFF"/>
            <w:tcMar>
              <w:top w:w="85" w:type="dxa"/>
            </w:tcMar>
            <w:hideMark/>
          </w:tcPr>
          <w:p w:rsidR="00855C3A" w:rsidRPr="007F1C3E" w:rsidRDefault="00855C3A" w:rsidP="00097996">
            <w:pPr>
              <w:keepNext/>
              <w:keepLines/>
              <w:ind w:left="19"/>
              <w:rPr>
                <w:sz w:val="16"/>
                <w:szCs w:val="16"/>
              </w:rPr>
            </w:pPr>
            <w:r w:rsidRPr="007F1C3E">
              <w:rPr>
                <w:sz w:val="16"/>
                <w:szCs w:val="16"/>
              </w:rPr>
              <w:t xml:space="preserve">Porcentaje de </w:t>
            </w:r>
            <w:r w:rsidR="00D455EB">
              <w:rPr>
                <w:sz w:val="16"/>
                <w:szCs w:val="16"/>
              </w:rPr>
              <w:t>participantes</w:t>
            </w:r>
            <w:r w:rsidRPr="007F1C3E">
              <w:rPr>
                <w:sz w:val="16"/>
                <w:szCs w:val="16"/>
              </w:rPr>
              <w:t xml:space="preserve"> que han mejorado sus conocimientos y aptitudes para realizar </w:t>
            </w:r>
            <w:r w:rsidR="00D455EB">
              <w:rPr>
                <w:sz w:val="16"/>
                <w:szCs w:val="16"/>
              </w:rPr>
              <w:t>actividades de formación</w:t>
            </w:r>
            <w:r w:rsidRPr="007F1C3E">
              <w:rPr>
                <w:sz w:val="16"/>
                <w:szCs w:val="16"/>
              </w:rPr>
              <w:t xml:space="preserve"> en sus países.</w:t>
            </w:r>
          </w:p>
        </w:tc>
        <w:tc>
          <w:tcPr>
            <w:tcW w:w="2480" w:type="dxa"/>
            <w:tcBorders>
              <w:top w:val="single" w:sz="4" w:space="0" w:color="auto"/>
              <w:left w:val="nil"/>
              <w:bottom w:val="nil"/>
              <w:right w:val="nil"/>
            </w:tcBorders>
            <w:shd w:val="clear" w:color="000000" w:fill="FFFFFF"/>
            <w:tcMar>
              <w:top w:w="85" w:type="dxa"/>
            </w:tcMar>
            <w:hideMark/>
          </w:tcPr>
          <w:p w:rsidR="00855C3A" w:rsidRPr="007F1C3E" w:rsidRDefault="00855C3A" w:rsidP="000A0481">
            <w:pPr>
              <w:ind w:left="57"/>
              <w:rPr>
                <w:sz w:val="16"/>
                <w:szCs w:val="16"/>
              </w:rPr>
            </w:pPr>
            <w:proofErr w:type="spellStart"/>
            <w:r>
              <w:rPr>
                <w:sz w:val="16"/>
                <w:szCs w:val="16"/>
              </w:rPr>
              <w:t>n.d</w:t>
            </w:r>
            <w:proofErr w:type="spellEnd"/>
            <w:r>
              <w:rPr>
                <w:sz w:val="16"/>
                <w:szCs w:val="16"/>
              </w:rPr>
              <w:t>.</w:t>
            </w:r>
            <w:r w:rsidRPr="007F1C3E">
              <w:rPr>
                <w:sz w:val="16"/>
                <w:szCs w:val="16"/>
              </w:rPr>
              <w:t xml:space="preserve"> (nuevo indicador).</w:t>
            </w:r>
          </w:p>
        </w:tc>
        <w:tc>
          <w:tcPr>
            <w:tcW w:w="1915" w:type="dxa"/>
            <w:tcBorders>
              <w:top w:val="single" w:sz="4" w:space="0" w:color="auto"/>
              <w:left w:val="nil"/>
              <w:bottom w:val="nil"/>
              <w:right w:val="single" w:sz="4" w:space="0" w:color="auto"/>
            </w:tcBorders>
            <w:shd w:val="clear" w:color="000000" w:fill="FFFFFF"/>
            <w:tcMar>
              <w:top w:w="85" w:type="dxa"/>
            </w:tcMar>
            <w:hideMark/>
          </w:tcPr>
          <w:p w:rsidR="00855C3A" w:rsidRPr="007F1C3E" w:rsidRDefault="00855C3A" w:rsidP="000A0481">
            <w:pPr>
              <w:ind w:left="97"/>
              <w:rPr>
                <w:sz w:val="16"/>
                <w:szCs w:val="16"/>
              </w:rPr>
            </w:pPr>
            <w:r w:rsidRPr="007F1C3E">
              <w:rPr>
                <w:sz w:val="16"/>
                <w:szCs w:val="16"/>
              </w:rPr>
              <w:t>El 70% de los participantes que recibieron capacitación.</w:t>
            </w:r>
          </w:p>
        </w:tc>
      </w:tr>
      <w:tr w:rsidR="00855C3A" w:rsidRPr="00427606" w:rsidTr="000A0481">
        <w:trPr>
          <w:trHeight w:val="1346"/>
        </w:trPr>
        <w:tc>
          <w:tcPr>
            <w:tcW w:w="2440" w:type="dxa"/>
            <w:vMerge w:val="restart"/>
            <w:tcBorders>
              <w:top w:val="nil"/>
              <w:left w:val="single" w:sz="4" w:space="0" w:color="auto"/>
              <w:bottom w:val="single" w:sz="4" w:space="0" w:color="auto"/>
              <w:right w:val="nil"/>
            </w:tcBorders>
            <w:shd w:val="clear" w:color="000000" w:fill="FFFFFF"/>
            <w:tcMar>
              <w:top w:w="85" w:type="dxa"/>
            </w:tcMar>
            <w:hideMark/>
          </w:tcPr>
          <w:p w:rsidR="00855C3A" w:rsidRPr="007F1C3E" w:rsidRDefault="00855C3A" w:rsidP="00602252">
            <w:pPr>
              <w:rPr>
                <w:sz w:val="16"/>
                <w:szCs w:val="16"/>
              </w:rPr>
            </w:pPr>
            <w:r w:rsidRPr="007F1C3E">
              <w:rPr>
                <w:sz w:val="16"/>
                <w:szCs w:val="16"/>
              </w:rPr>
              <w:t xml:space="preserve">IV.2.  </w:t>
            </w:r>
            <w:r w:rsidR="006C23D5" w:rsidRPr="00D455EB">
              <w:rPr>
                <w:sz w:val="16"/>
                <w:szCs w:val="16"/>
                <w:lang w:val="es-ES_tradnl"/>
              </w:rPr>
              <w:t>Mejora del acceso y uso de información de P.I. por parte de instituciones de P.I. y el público para fomentar la innovación y la creatividad</w:t>
            </w:r>
          </w:p>
        </w:tc>
        <w:tc>
          <w:tcPr>
            <w:tcW w:w="2360" w:type="dxa"/>
            <w:tcBorders>
              <w:top w:val="nil"/>
              <w:left w:val="nil"/>
              <w:bottom w:val="nil"/>
              <w:right w:val="nil"/>
            </w:tcBorders>
            <w:shd w:val="clear" w:color="000000" w:fill="FFFFFF"/>
            <w:tcMar>
              <w:top w:w="85" w:type="dxa"/>
            </w:tcMar>
            <w:hideMark/>
          </w:tcPr>
          <w:p w:rsidR="00855C3A" w:rsidRPr="007F1C3E" w:rsidRDefault="00855C3A" w:rsidP="00097996">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miembros constitutivos del ABC.</w:t>
            </w:r>
          </w:p>
          <w:p w:rsidR="00855C3A" w:rsidRPr="007F1C3E" w:rsidRDefault="00855C3A" w:rsidP="000A0481">
            <w:pPr>
              <w:ind w:left="77"/>
              <w:rPr>
                <w:sz w:val="16"/>
                <w:szCs w:val="16"/>
              </w:rPr>
            </w:pPr>
          </w:p>
          <w:p w:rsidR="00855C3A" w:rsidRPr="007F1C3E" w:rsidRDefault="00855C3A" w:rsidP="000A0481">
            <w:pPr>
              <w:ind w:left="77"/>
              <w:rPr>
                <w:sz w:val="16"/>
                <w:szCs w:val="16"/>
              </w:rPr>
            </w:pPr>
          </w:p>
          <w:p w:rsidR="00855C3A" w:rsidRPr="007F1C3E" w:rsidRDefault="00855C3A" w:rsidP="000A0481">
            <w:pPr>
              <w:ind w:left="77"/>
              <w:rPr>
                <w:sz w:val="16"/>
                <w:szCs w:val="16"/>
              </w:rPr>
            </w:pPr>
          </w:p>
          <w:p w:rsidR="00855C3A" w:rsidRPr="007F1C3E" w:rsidRDefault="00855C3A" w:rsidP="00097996">
            <w:pPr>
              <w:keepNext/>
              <w:keepLines/>
              <w:ind w:left="19"/>
              <w:rPr>
                <w:sz w:val="16"/>
                <w:szCs w:val="16"/>
              </w:rPr>
            </w:pPr>
            <w:r w:rsidRPr="007F1C3E">
              <w:rPr>
                <w:sz w:val="16"/>
                <w:szCs w:val="16"/>
              </w:rPr>
              <w:t>Número de donantes.</w:t>
            </w:r>
          </w:p>
        </w:tc>
        <w:tc>
          <w:tcPr>
            <w:tcW w:w="2480" w:type="dxa"/>
            <w:tcBorders>
              <w:top w:val="nil"/>
              <w:left w:val="nil"/>
              <w:bottom w:val="nil"/>
              <w:right w:val="nil"/>
            </w:tcBorders>
            <w:shd w:val="clear" w:color="000000" w:fill="FFFFFF"/>
            <w:tcMar>
              <w:top w:w="85" w:type="dxa"/>
            </w:tcMar>
            <w:hideMark/>
          </w:tcPr>
          <w:p w:rsidR="00855C3A" w:rsidRPr="007F1C3E" w:rsidRDefault="00855C3A" w:rsidP="000A0481">
            <w:pPr>
              <w:ind w:left="57"/>
              <w:rPr>
                <w:sz w:val="16"/>
                <w:szCs w:val="16"/>
              </w:rPr>
            </w:pPr>
            <w:r w:rsidRPr="007F1C3E">
              <w:rPr>
                <w:sz w:val="16"/>
                <w:szCs w:val="16"/>
              </w:rPr>
              <w:t>10 miembros constitutivos del ABC.</w:t>
            </w:r>
          </w:p>
          <w:p w:rsidR="00855C3A" w:rsidRPr="007F1C3E" w:rsidRDefault="00855C3A" w:rsidP="000A0481">
            <w:pPr>
              <w:ind w:left="57"/>
              <w:rPr>
                <w:sz w:val="16"/>
                <w:szCs w:val="16"/>
              </w:rPr>
            </w:pPr>
          </w:p>
          <w:p w:rsidR="00855C3A" w:rsidRPr="007F1C3E" w:rsidRDefault="00855C3A" w:rsidP="000A0481">
            <w:pPr>
              <w:ind w:left="57"/>
              <w:rPr>
                <w:sz w:val="16"/>
                <w:szCs w:val="16"/>
              </w:rPr>
            </w:pPr>
          </w:p>
          <w:p w:rsidR="00855C3A" w:rsidRPr="007F1C3E" w:rsidRDefault="00855C3A" w:rsidP="000A0481">
            <w:pPr>
              <w:ind w:left="57"/>
              <w:rPr>
                <w:sz w:val="16"/>
                <w:szCs w:val="16"/>
              </w:rPr>
            </w:pPr>
          </w:p>
          <w:p w:rsidR="00855C3A" w:rsidRPr="007F1C3E" w:rsidRDefault="00855C3A" w:rsidP="000A0481">
            <w:pPr>
              <w:ind w:left="57"/>
              <w:rPr>
                <w:sz w:val="16"/>
                <w:szCs w:val="16"/>
              </w:rPr>
            </w:pPr>
            <w:r w:rsidRPr="007F1C3E">
              <w:rPr>
                <w:sz w:val="16"/>
                <w:szCs w:val="16"/>
              </w:rPr>
              <w:t>Dos donantes que contribuyen con financiación.</w:t>
            </w:r>
          </w:p>
        </w:tc>
        <w:tc>
          <w:tcPr>
            <w:tcW w:w="1915" w:type="dxa"/>
            <w:tcBorders>
              <w:top w:val="nil"/>
              <w:left w:val="nil"/>
              <w:bottom w:val="nil"/>
              <w:right w:val="single" w:sz="4" w:space="0" w:color="auto"/>
            </w:tcBorders>
            <w:shd w:val="clear" w:color="000000" w:fill="FFFFFF"/>
            <w:tcMar>
              <w:top w:w="85" w:type="dxa"/>
            </w:tcMar>
            <w:hideMark/>
          </w:tcPr>
          <w:p w:rsidR="00855C3A" w:rsidRPr="007F1C3E" w:rsidRDefault="00855C3A" w:rsidP="000A0481">
            <w:pPr>
              <w:ind w:left="97"/>
              <w:rPr>
                <w:sz w:val="16"/>
                <w:szCs w:val="16"/>
              </w:rPr>
            </w:pPr>
            <w:r w:rsidRPr="007F1C3E">
              <w:rPr>
                <w:sz w:val="16"/>
                <w:szCs w:val="16"/>
              </w:rPr>
              <w:t>15 miembros constitutivos del ABC inscritos (</w:t>
            </w:r>
            <w:r>
              <w:rPr>
                <w:sz w:val="16"/>
                <w:szCs w:val="16"/>
              </w:rPr>
              <w:t>en total</w:t>
            </w:r>
            <w:r w:rsidRPr="007F1C3E">
              <w:rPr>
                <w:sz w:val="16"/>
                <w:szCs w:val="16"/>
              </w:rPr>
              <w:t>).</w:t>
            </w:r>
          </w:p>
          <w:p w:rsidR="00855C3A" w:rsidRDefault="00855C3A" w:rsidP="000A0481">
            <w:pPr>
              <w:ind w:left="97"/>
              <w:rPr>
                <w:sz w:val="16"/>
                <w:szCs w:val="16"/>
              </w:rPr>
            </w:pPr>
          </w:p>
          <w:p w:rsidR="00D455EB" w:rsidRPr="007F1C3E" w:rsidRDefault="00D455EB" w:rsidP="000A0481">
            <w:pPr>
              <w:ind w:left="97"/>
              <w:rPr>
                <w:sz w:val="16"/>
                <w:szCs w:val="16"/>
              </w:rPr>
            </w:pPr>
          </w:p>
          <w:p w:rsidR="00855C3A" w:rsidRPr="007F1C3E" w:rsidRDefault="00855C3A" w:rsidP="000A0481">
            <w:pPr>
              <w:ind w:left="97"/>
              <w:rPr>
                <w:sz w:val="16"/>
                <w:szCs w:val="16"/>
              </w:rPr>
            </w:pPr>
            <w:r w:rsidRPr="007F1C3E">
              <w:rPr>
                <w:sz w:val="16"/>
                <w:szCs w:val="16"/>
              </w:rPr>
              <w:t>Cuatro donantes contribuyen con financiación (</w:t>
            </w:r>
            <w:r>
              <w:rPr>
                <w:sz w:val="16"/>
                <w:szCs w:val="16"/>
              </w:rPr>
              <w:t>en total</w:t>
            </w:r>
            <w:r w:rsidRPr="007F1C3E">
              <w:rPr>
                <w:sz w:val="16"/>
                <w:szCs w:val="16"/>
              </w:rPr>
              <w:t>).</w:t>
            </w:r>
          </w:p>
        </w:tc>
      </w:tr>
      <w:tr w:rsidR="00855C3A" w:rsidRPr="007F1C3E" w:rsidTr="000A0481">
        <w:trPr>
          <w:trHeight w:val="1876"/>
        </w:trPr>
        <w:tc>
          <w:tcPr>
            <w:tcW w:w="2440" w:type="dxa"/>
            <w:vMerge/>
            <w:tcBorders>
              <w:top w:val="nil"/>
              <w:left w:val="single" w:sz="4" w:space="0" w:color="auto"/>
              <w:bottom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right w:val="nil"/>
            </w:tcBorders>
            <w:shd w:val="clear" w:color="000000" w:fill="FFFFFF"/>
            <w:tcMar>
              <w:top w:w="85" w:type="dxa"/>
            </w:tcMar>
            <w:hideMark/>
          </w:tcPr>
          <w:p w:rsidR="00855C3A" w:rsidRPr="007F1C3E" w:rsidRDefault="00855C3A" w:rsidP="00CF552A">
            <w:pPr>
              <w:keepNext/>
              <w:keepLines/>
              <w:ind w:left="19"/>
              <w:rPr>
                <w:sz w:val="16"/>
                <w:szCs w:val="16"/>
              </w:rPr>
            </w:pPr>
            <w:r w:rsidRPr="007F1C3E">
              <w:rPr>
                <w:sz w:val="16"/>
                <w:szCs w:val="16"/>
              </w:rPr>
              <w:t>N</w:t>
            </w:r>
            <w:r w:rsidR="00CF552A">
              <w:rPr>
                <w:sz w:val="16"/>
                <w:szCs w:val="16"/>
              </w:rPr>
              <w:t>º</w:t>
            </w:r>
            <w:r w:rsidRPr="007F1C3E">
              <w:rPr>
                <w:sz w:val="16"/>
                <w:szCs w:val="16"/>
              </w:rPr>
              <w:t xml:space="preserve"> de instrumentos jurídicos, directrices y declaraciones de principios, aparte de los instrumentos vinculantes, con la participación de las partes interesadas en cuestión, en ámbitos como los nuevos tratados de derecho de autor y el derecho de autor en el entorno digital.</w:t>
            </w:r>
          </w:p>
        </w:tc>
        <w:tc>
          <w:tcPr>
            <w:tcW w:w="2480" w:type="dxa"/>
            <w:tcBorders>
              <w:top w:val="nil"/>
              <w:left w:val="nil"/>
              <w:right w:val="nil"/>
            </w:tcBorders>
            <w:shd w:val="clear" w:color="000000" w:fill="FFFFFF"/>
            <w:tcMar>
              <w:top w:w="85" w:type="dxa"/>
            </w:tcMar>
            <w:hideMark/>
          </w:tcPr>
          <w:p w:rsidR="00855C3A" w:rsidRPr="007F1C3E" w:rsidRDefault="00855C3A" w:rsidP="000A0481">
            <w:pPr>
              <w:ind w:left="57"/>
              <w:rPr>
                <w:sz w:val="16"/>
                <w:szCs w:val="16"/>
              </w:rPr>
            </w:pPr>
            <w:r w:rsidRPr="007F1C3E">
              <w:rPr>
                <w:sz w:val="16"/>
                <w:szCs w:val="16"/>
              </w:rPr>
              <w:t>Uno (Directrices sobre la P.I. y el deporte).</w:t>
            </w:r>
          </w:p>
        </w:tc>
        <w:tc>
          <w:tcPr>
            <w:tcW w:w="1915" w:type="dxa"/>
            <w:tcBorders>
              <w:top w:val="nil"/>
              <w:left w:val="nil"/>
              <w:right w:val="single" w:sz="4" w:space="0" w:color="auto"/>
            </w:tcBorders>
            <w:shd w:val="clear" w:color="000000" w:fill="FFFFFF"/>
            <w:tcMar>
              <w:top w:w="85" w:type="dxa"/>
            </w:tcMar>
            <w:hideMark/>
          </w:tcPr>
          <w:p w:rsidR="00855C3A" w:rsidRPr="007F1C3E" w:rsidRDefault="00855C3A" w:rsidP="000A0481">
            <w:pPr>
              <w:ind w:left="97"/>
              <w:rPr>
                <w:sz w:val="16"/>
                <w:szCs w:val="16"/>
              </w:rPr>
            </w:pPr>
            <w:r w:rsidRPr="007F1C3E">
              <w:rPr>
                <w:sz w:val="16"/>
                <w:szCs w:val="16"/>
              </w:rPr>
              <w:t>Uno.</w:t>
            </w:r>
          </w:p>
        </w:tc>
      </w:tr>
      <w:tr w:rsidR="00855C3A" w:rsidRPr="007F1C3E" w:rsidTr="00230327">
        <w:trPr>
          <w:trHeight w:val="224"/>
        </w:trPr>
        <w:tc>
          <w:tcPr>
            <w:tcW w:w="2440" w:type="dxa"/>
            <w:vMerge/>
            <w:tcBorders>
              <w:top w:val="nil"/>
              <w:left w:val="single" w:sz="4" w:space="0" w:color="auto"/>
              <w:bottom w:val="single" w:sz="4" w:space="0" w:color="auto"/>
              <w:right w:val="nil"/>
            </w:tcBorders>
            <w:tcMar>
              <w:top w:w="85" w:type="dxa"/>
            </w:tcMar>
            <w:vAlign w:val="center"/>
            <w:hideMark/>
          </w:tcPr>
          <w:p w:rsidR="00855C3A" w:rsidRPr="007F1C3E" w:rsidRDefault="00855C3A" w:rsidP="000A0481">
            <w:pPr>
              <w:rPr>
                <w:sz w:val="16"/>
                <w:szCs w:val="16"/>
              </w:rPr>
            </w:pPr>
          </w:p>
        </w:tc>
        <w:tc>
          <w:tcPr>
            <w:tcW w:w="2360" w:type="dxa"/>
            <w:tcBorders>
              <w:top w:val="nil"/>
              <w:left w:val="nil"/>
              <w:bottom w:val="single" w:sz="4" w:space="0" w:color="auto"/>
              <w:right w:val="nil"/>
            </w:tcBorders>
            <w:shd w:val="clear" w:color="000000" w:fill="FFFFFF"/>
            <w:tcMar>
              <w:top w:w="85" w:type="dxa"/>
            </w:tcMar>
            <w:hideMark/>
          </w:tcPr>
          <w:p w:rsidR="00855C3A" w:rsidRPr="007F1C3E" w:rsidRDefault="00855C3A" w:rsidP="000A0481">
            <w:pPr>
              <w:ind w:left="77"/>
              <w:rPr>
                <w:sz w:val="16"/>
                <w:szCs w:val="16"/>
              </w:rPr>
            </w:pPr>
          </w:p>
        </w:tc>
        <w:tc>
          <w:tcPr>
            <w:tcW w:w="2480" w:type="dxa"/>
            <w:tcBorders>
              <w:top w:val="nil"/>
              <w:left w:val="nil"/>
              <w:bottom w:val="single" w:sz="4" w:space="0" w:color="auto"/>
              <w:right w:val="nil"/>
            </w:tcBorders>
            <w:shd w:val="clear" w:color="000000" w:fill="FFFFFF"/>
            <w:tcMar>
              <w:top w:w="85" w:type="dxa"/>
            </w:tcMar>
            <w:hideMark/>
          </w:tcPr>
          <w:p w:rsidR="00855C3A" w:rsidRPr="007F1C3E" w:rsidRDefault="00855C3A" w:rsidP="000A0481">
            <w:pPr>
              <w:ind w:left="57"/>
              <w:rPr>
                <w:sz w:val="16"/>
                <w:szCs w:val="16"/>
              </w:rPr>
            </w:pPr>
          </w:p>
        </w:tc>
        <w:tc>
          <w:tcPr>
            <w:tcW w:w="1915" w:type="dxa"/>
            <w:tcBorders>
              <w:top w:val="nil"/>
              <w:left w:val="nil"/>
              <w:bottom w:val="single" w:sz="4" w:space="0" w:color="auto"/>
              <w:right w:val="single" w:sz="4" w:space="0" w:color="auto"/>
            </w:tcBorders>
            <w:shd w:val="clear" w:color="000000" w:fill="FFFFFF"/>
            <w:tcMar>
              <w:top w:w="85" w:type="dxa"/>
            </w:tcMar>
            <w:hideMark/>
          </w:tcPr>
          <w:p w:rsidR="00855C3A" w:rsidRPr="007F1C3E" w:rsidRDefault="00855C3A" w:rsidP="000A0481">
            <w:pPr>
              <w:ind w:left="97" w:firstLineChars="26" w:firstLine="42"/>
              <w:rPr>
                <w:sz w:val="16"/>
                <w:szCs w:val="16"/>
              </w:rPr>
            </w:pPr>
          </w:p>
        </w:tc>
      </w:tr>
    </w:tbl>
    <w:p w:rsidR="00855C3A" w:rsidRPr="007F1C3E" w:rsidRDefault="00855C3A" w:rsidP="00855C3A">
      <w:pPr>
        <w:autoSpaceDE w:val="0"/>
        <w:autoSpaceDN w:val="0"/>
        <w:adjustRightInd w:val="0"/>
        <w:rPr>
          <w:szCs w:val="22"/>
        </w:rPr>
      </w:pPr>
    </w:p>
    <w:p w:rsidR="00855C3A" w:rsidRPr="007F1C3E" w:rsidRDefault="00855C3A" w:rsidP="00855C3A">
      <w:pPr>
        <w:rPr>
          <w:sz w:val="20"/>
          <w:szCs w:val="22"/>
        </w:rPr>
      </w:pPr>
    </w:p>
    <w:p w:rsidR="00855C3A" w:rsidRPr="00AB2407" w:rsidRDefault="00855C3A" w:rsidP="00855C3A">
      <w:pPr>
        <w:autoSpaceDE w:val="0"/>
        <w:autoSpaceDN w:val="0"/>
        <w:adjustRightInd w:val="0"/>
        <w:rPr>
          <w:szCs w:val="22"/>
        </w:rPr>
      </w:pPr>
      <w:r w:rsidRPr="00AB2407">
        <w:rPr>
          <w:szCs w:val="22"/>
        </w:rPr>
        <w:t>RECURSOS PARA EL PROGRAMA 3</w:t>
      </w:r>
    </w:p>
    <w:p w:rsidR="00855C3A" w:rsidRPr="007F1C3E" w:rsidRDefault="00855C3A" w:rsidP="00855C3A">
      <w:pPr>
        <w:rPr>
          <w:sz w:val="20"/>
          <w:szCs w:val="22"/>
        </w:rPr>
      </w:pPr>
    </w:p>
    <w:p w:rsidR="007B2125" w:rsidRPr="003D4434" w:rsidRDefault="003D4434" w:rsidP="003D4434">
      <w:pPr>
        <w:pStyle w:val="Salutation"/>
        <w:numPr>
          <w:ilvl w:val="0"/>
          <w:numId w:val="16"/>
        </w:numPr>
        <w:autoSpaceDE w:val="0"/>
        <w:autoSpaceDN w:val="0"/>
        <w:adjustRightInd w:val="0"/>
        <w:contextualSpacing/>
        <w:jc w:val="both"/>
        <w:rPr>
          <w:sz w:val="20"/>
        </w:rPr>
      </w:pPr>
      <w:r w:rsidRPr="00EB43D0">
        <w:rPr>
          <w:sz w:val="20"/>
          <w:lang w:val="es-ES_tradnl"/>
        </w:rPr>
        <w:t>L</w:t>
      </w:r>
      <w:r w:rsidR="00CF552A">
        <w:rPr>
          <w:sz w:val="20"/>
          <w:lang w:val="es-ES_tradnl"/>
        </w:rPr>
        <w:t>a dotación global de</w:t>
      </w:r>
      <w:r w:rsidRPr="00EB43D0">
        <w:rPr>
          <w:sz w:val="20"/>
          <w:lang w:val="es-ES_tradnl"/>
        </w:rPr>
        <w:t xml:space="preserve"> recursos para el programa 3 en 2016/17 se mantiene </w:t>
      </w:r>
      <w:r w:rsidR="000124C5">
        <w:rPr>
          <w:sz w:val="20"/>
          <w:lang w:val="es-ES_tradnl"/>
        </w:rPr>
        <w:t>al mismo nivel que en el bienio </w:t>
      </w:r>
      <w:r w:rsidRPr="00EB43D0">
        <w:rPr>
          <w:sz w:val="20"/>
          <w:lang w:val="es-ES_tradnl"/>
        </w:rPr>
        <w:t xml:space="preserve">2014/15.  Se observa una leve disminución en los recursos de personal a resultas de la transferencia de las responsabilidades relativas al Sistema WCC (siglas en inglés de </w:t>
      </w:r>
      <w:r w:rsidRPr="00EB43D0">
        <w:rPr>
          <w:i/>
          <w:sz w:val="20"/>
          <w:lang w:val="es-ES_tradnl"/>
        </w:rPr>
        <w:t xml:space="preserve">WIPO Copyright </w:t>
      </w:r>
      <w:proofErr w:type="spellStart"/>
      <w:r w:rsidRPr="00EB43D0">
        <w:rPr>
          <w:i/>
          <w:sz w:val="20"/>
          <w:lang w:val="es-ES_tradnl"/>
        </w:rPr>
        <w:t>Connection</w:t>
      </w:r>
      <w:proofErr w:type="spellEnd"/>
      <w:r w:rsidRPr="00EB43D0">
        <w:rPr>
          <w:sz w:val="20"/>
          <w:lang w:val="es-ES_tradnl"/>
        </w:rPr>
        <w:t xml:space="preserve">, plataforma informática para la gestión de los derechos de autor) al programa 15 (Soluciones operativas para las oficinas de P.I.), que se compensa con un aumento neto de los recursos </w:t>
      </w:r>
      <w:r w:rsidR="00DE0A62">
        <w:rPr>
          <w:sz w:val="20"/>
          <w:lang w:val="es-ES_tradnl"/>
        </w:rPr>
        <w:t>no relativos a personal</w:t>
      </w:r>
      <w:r w:rsidRPr="00EB43D0">
        <w:rPr>
          <w:sz w:val="20"/>
          <w:lang w:val="es-ES_tradnl"/>
        </w:rPr>
        <w:t>, lo que pone de manifiesto:  a) la transferencia de las responsabilidades relativas a los estudios económicos sobre el derecho de autor al programa 16 (Economía y estadística), y b) la mayor importancia que ha cobrado la TAG (norma internacional para el aseguramiento de la calidad para los organismos de gestión colectiva), el nuevo portal sobre infraestructura de derecho de autor y el Consorcio de Libros Accesibles (ABC).  Los cambios se reflejan en las diferencias en los recursos destinados a los resultados IV.2, V.2 y III.2 entre los dos bienios.</w:t>
      </w:r>
    </w:p>
    <w:p w:rsidR="007B2125" w:rsidRPr="003D4434" w:rsidRDefault="007B2125" w:rsidP="007B2125">
      <w:pPr>
        <w:autoSpaceDE w:val="0"/>
        <w:autoSpaceDN w:val="0"/>
        <w:rPr>
          <w:b/>
          <w:sz w:val="20"/>
        </w:rPr>
      </w:pPr>
    </w:p>
    <w:p w:rsidR="00855C3A" w:rsidRPr="003D4434" w:rsidRDefault="00855C3A" w:rsidP="00855C3A">
      <w:pPr>
        <w:autoSpaceDE w:val="0"/>
        <w:autoSpaceDN w:val="0"/>
        <w:rPr>
          <w:rFonts w:eastAsiaTheme="minorEastAsia"/>
          <w:b/>
          <w:sz w:val="20"/>
          <w:szCs w:val="22"/>
          <w:lang w:eastAsia="ja-JP"/>
        </w:rPr>
      </w:pPr>
    </w:p>
    <w:p w:rsidR="00855C3A" w:rsidRPr="007F1C3E" w:rsidRDefault="00810833" w:rsidP="00855C3A">
      <w:pPr>
        <w:keepNext/>
        <w:keepLines/>
        <w:autoSpaceDE w:val="0"/>
        <w:autoSpaceDN w:val="0"/>
        <w:jc w:val="center"/>
        <w:rPr>
          <w:rFonts w:eastAsiaTheme="minorEastAsia"/>
          <w:b/>
          <w:sz w:val="20"/>
          <w:szCs w:val="22"/>
          <w:lang w:eastAsia="ja-JP"/>
        </w:rPr>
      </w:pPr>
      <w:r>
        <w:rPr>
          <w:rFonts w:eastAsiaTheme="minorEastAsia"/>
          <w:b/>
          <w:sz w:val="20"/>
          <w:szCs w:val="22"/>
          <w:lang w:eastAsia="ja-JP"/>
        </w:rPr>
        <w:lastRenderedPageBreak/>
        <w:t xml:space="preserve">Programa </w:t>
      </w:r>
      <w:r w:rsidR="00855C3A" w:rsidRPr="007F1C3E">
        <w:rPr>
          <w:rFonts w:eastAsiaTheme="minorEastAsia"/>
          <w:b/>
          <w:sz w:val="20"/>
          <w:szCs w:val="22"/>
          <w:lang w:eastAsia="ja-JP"/>
        </w:rPr>
        <w:t>3</w:t>
      </w:r>
      <w:proofErr w:type="gramStart"/>
      <w:r w:rsidR="00855C3A" w:rsidRPr="007F1C3E">
        <w:rPr>
          <w:rFonts w:eastAsiaTheme="minorEastAsia"/>
          <w:b/>
          <w:sz w:val="20"/>
          <w:szCs w:val="22"/>
          <w:lang w:eastAsia="ja-JP"/>
        </w:rPr>
        <w:t>:  Recursos</w:t>
      </w:r>
      <w:proofErr w:type="gramEnd"/>
      <w:r w:rsidR="00855C3A" w:rsidRPr="007F1C3E">
        <w:rPr>
          <w:rFonts w:eastAsiaTheme="minorEastAsia"/>
          <w:b/>
          <w:sz w:val="20"/>
          <w:szCs w:val="22"/>
          <w:lang w:eastAsia="ja-JP"/>
        </w:rPr>
        <w:t xml:space="preserve"> por resultado</w:t>
      </w:r>
    </w:p>
    <w:p w:rsidR="00855C3A" w:rsidRPr="007F1C3E" w:rsidRDefault="00855C3A" w:rsidP="00855C3A">
      <w:pPr>
        <w:keepNext/>
        <w:keepLines/>
        <w:autoSpaceDE w:val="0"/>
        <w:autoSpaceDN w:val="0"/>
        <w:jc w:val="center"/>
        <w:rPr>
          <w:rFonts w:eastAsiaTheme="minorEastAsia"/>
          <w:i/>
          <w:sz w:val="20"/>
          <w:szCs w:val="22"/>
          <w:lang w:eastAsia="ja-JP"/>
        </w:rPr>
      </w:pPr>
      <w:r w:rsidRPr="007F1C3E">
        <w:rPr>
          <w:rFonts w:eastAsiaTheme="minorEastAsia"/>
          <w:i/>
          <w:sz w:val="20"/>
          <w:szCs w:val="22"/>
          <w:lang w:eastAsia="ja-JP"/>
        </w:rPr>
        <w:t>(</w:t>
      </w:r>
      <w:proofErr w:type="gramStart"/>
      <w:r w:rsidRPr="007F1C3E">
        <w:rPr>
          <w:rFonts w:eastAsiaTheme="minorEastAsia"/>
          <w:i/>
          <w:sz w:val="20"/>
          <w:szCs w:val="22"/>
          <w:lang w:eastAsia="ja-JP"/>
        </w:rPr>
        <w:t>en</w:t>
      </w:r>
      <w:proofErr w:type="gramEnd"/>
      <w:r w:rsidRPr="007F1C3E">
        <w:rPr>
          <w:rFonts w:eastAsiaTheme="minorEastAsia"/>
          <w:i/>
          <w:sz w:val="20"/>
          <w:szCs w:val="22"/>
          <w:lang w:eastAsia="ja-JP"/>
        </w:rPr>
        <w:t xml:space="preserve"> miles de francos suizos)</w:t>
      </w:r>
    </w:p>
    <w:p w:rsidR="00855C3A" w:rsidRPr="007F1C3E" w:rsidRDefault="00855C3A" w:rsidP="00855C3A">
      <w:pPr>
        <w:keepNext/>
        <w:keepLines/>
        <w:autoSpaceDE w:val="0"/>
        <w:autoSpaceDN w:val="0"/>
        <w:adjustRightInd w:val="0"/>
        <w:rPr>
          <w:szCs w:val="22"/>
        </w:rPr>
      </w:pPr>
    </w:p>
    <w:p w:rsidR="00855C3A" w:rsidRPr="007F1C3E" w:rsidRDefault="00510672" w:rsidP="00855C3A">
      <w:pPr>
        <w:autoSpaceDE w:val="0"/>
        <w:autoSpaceDN w:val="0"/>
        <w:adjustRightInd w:val="0"/>
        <w:jc w:val="center"/>
        <w:rPr>
          <w:szCs w:val="22"/>
        </w:rPr>
      </w:pPr>
      <w:r w:rsidRPr="00510672">
        <w:rPr>
          <w:noProof/>
          <w:lang w:val="en-US" w:eastAsia="en-US"/>
        </w:rPr>
        <w:drawing>
          <wp:inline distT="0" distB="0" distL="0" distR="0">
            <wp:extent cx="5676900" cy="450596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76900" cy="4505960"/>
                    </a:xfrm>
                    <a:prstGeom prst="rect">
                      <a:avLst/>
                    </a:prstGeom>
                    <a:noFill/>
                    <a:ln>
                      <a:noFill/>
                    </a:ln>
                  </pic:spPr>
                </pic:pic>
              </a:graphicData>
            </a:graphic>
          </wp:inline>
        </w:drawing>
      </w:r>
    </w:p>
    <w:p w:rsidR="00855C3A" w:rsidRPr="007F1C3E" w:rsidRDefault="00855C3A" w:rsidP="00855C3A">
      <w:pPr>
        <w:autoSpaceDE w:val="0"/>
        <w:autoSpaceDN w:val="0"/>
        <w:adjustRightInd w:val="0"/>
        <w:rPr>
          <w:sz w:val="20"/>
          <w:szCs w:val="22"/>
        </w:rPr>
      </w:pPr>
    </w:p>
    <w:p w:rsidR="00855C3A" w:rsidRPr="007F1C3E" w:rsidRDefault="00855C3A" w:rsidP="00855C3A">
      <w:pPr>
        <w:autoSpaceDE w:val="0"/>
        <w:autoSpaceDN w:val="0"/>
        <w:adjustRightInd w:val="0"/>
        <w:rPr>
          <w:sz w:val="20"/>
          <w:szCs w:val="22"/>
        </w:rPr>
      </w:pPr>
    </w:p>
    <w:p w:rsidR="00855C3A" w:rsidRPr="007F1C3E" w:rsidRDefault="00855C3A" w:rsidP="00855C3A">
      <w:pPr>
        <w:autoSpaceDE w:val="0"/>
        <w:autoSpaceDN w:val="0"/>
        <w:adjustRightInd w:val="0"/>
        <w:rPr>
          <w:sz w:val="20"/>
          <w:szCs w:val="22"/>
        </w:rPr>
      </w:pPr>
    </w:p>
    <w:p w:rsidR="00855C3A" w:rsidRPr="007F1C3E" w:rsidRDefault="003B5F3A" w:rsidP="00855C3A">
      <w:pPr>
        <w:keepNext/>
        <w:keepLines/>
        <w:autoSpaceDE w:val="0"/>
        <w:autoSpaceDN w:val="0"/>
        <w:jc w:val="center"/>
        <w:rPr>
          <w:rFonts w:eastAsiaTheme="minorEastAsia"/>
          <w:b/>
          <w:sz w:val="20"/>
          <w:szCs w:val="22"/>
          <w:lang w:eastAsia="ja-JP"/>
        </w:rPr>
      </w:pPr>
      <w:r>
        <w:rPr>
          <w:rFonts w:eastAsiaTheme="minorEastAsia"/>
          <w:b/>
          <w:sz w:val="20"/>
          <w:szCs w:val="22"/>
          <w:lang w:eastAsia="ja-JP"/>
        </w:rPr>
        <w:lastRenderedPageBreak/>
        <w:t xml:space="preserve">Programa </w:t>
      </w:r>
      <w:r w:rsidR="00855C3A" w:rsidRPr="007F1C3E">
        <w:rPr>
          <w:rFonts w:eastAsiaTheme="minorEastAsia"/>
          <w:b/>
          <w:sz w:val="20"/>
          <w:szCs w:val="22"/>
          <w:lang w:eastAsia="ja-JP"/>
        </w:rPr>
        <w:t>3</w:t>
      </w:r>
      <w:proofErr w:type="gramStart"/>
      <w:r w:rsidR="00855C3A" w:rsidRPr="007F1C3E">
        <w:rPr>
          <w:rFonts w:eastAsiaTheme="minorEastAsia"/>
          <w:b/>
          <w:sz w:val="20"/>
          <w:szCs w:val="22"/>
          <w:lang w:eastAsia="ja-JP"/>
        </w:rPr>
        <w:t>:  Recursos</w:t>
      </w:r>
      <w:proofErr w:type="gramEnd"/>
      <w:r w:rsidR="00855C3A" w:rsidRPr="007F1C3E">
        <w:rPr>
          <w:rFonts w:eastAsiaTheme="minorEastAsia"/>
          <w:b/>
          <w:sz w:val="20"/>
          <w:szCs w:val="22"/>
          <w:lang w:eastAsia="ja-JP"/>
        </w:rPr>
        <w:t xml:space="preserve"> por objeto de gasto</w:t>
      </w:r>
    </w:p>
    <w:p w:rsidR="00855C3A" w:rsidRDefault="00855C3A" w:rsidP="00855C3A">
      <w:pPr>
        <w:keepNext/>
        <w:keepLines/>
        <w:autoSpaceDE w:val="0"/>
        <w:autoSpaceDN w:val="0"/>
        <w:jc w:val="center"/>
        <w:rPr>
          <w:rFonts w:eastAsiaTheme="minorEastAsia"/>
          <w:i/>
          <w:sz w:val="20"/>
          <w:szCs w:val="22"/>
          <w:lang w:eastAsia="ja-JP"/>
        </w:rPr>
      </w:pPr>
      <w:r w:rsidRPr="007F1C3E">
        <w:rPr>
          <w:rFonts w:eastAsiaTheme="minorEastAsia"/>
          <w:i/>
          <w:sz w:val="20"/>
          <w:szCs w:val="22"/>
          <w:lang w:eastAsia="ja-JP"/>
        </w:rPr>
        <w:t>(</w:t>
      </w:r>
      <w:proofErr w:type="gramStart"/>
      <w:r w:rsidRPr="007F1C3E">
        <w:rPr>
          <w:rFonts w:eastAsiaTheme="minorEastAsia"/>
          <w:i/>
          <w:sz w:val="20"/>
          <w:szCs w:val="22"/>
          <w:lang w:eastAsia="ja-JP"/>
        </w:rPr>
        <w:t>en</w:t>
      </w:r>
      <w:proofErr w:type="gramEnd"/>
      <w:r w:rsidRPr="007F1C3E">
        <w:rPr>
          <w:rFonts w:eastAsiaTheme="minorEastAsia"/>
          <w:i/>
          <w:sz w:val="20"/>
          <w:szCs w:val="22"/>
          <w:lang w:eastAsia="ja-JP"/>
        </w:rPr>
        <w:t xml:space="preserve"> miles de francos suizos)</w:t>
      </w:r>
    </w:p>
    <w:p w:rsidR="00AF23F9" w:rsidRPr="007F1C3E" w:rsidRDefault="00AF23F9" w:rsidP="00855C3A">
      <w:pPr>
        <w:keepNext/>
        <w:keepLines/>
        <w:autoSpaceDE w:val="0"/>
        <w:autoSpaceDN w:val="0"/>
        <w:jc w:val="center"/>
        <w:rPr>
          <w:rFonts w:eastAsiaTheme="minorEastAsia"/>
          <w:i/>
          <w:sz w:val="20"/>
          <w:szCs w:val="22"/>
          <w:lang w:eastAsia="ja-JP"/>
        </w:rPr>
      </w:pPr>
    </w:p>
    <w:p w:rsidR="00855C3A" w:rsidRPr="007F1C3E" w:rsidRDefault="00835617" w:rsidP="00855C3A">
      <w:pPr>
        <w:keepNext/>
        <w:keepLines/>
        <w:autoSpaceDE w:val="0"/>
        <w:autoSpaceDN w:val="0"/>
        <w:adjustRightInd w:val="0"/>
        <w:rPr>
          <w:szCs w:val="22"/>
        </w:rPr>
      </w:pPr>
      <w:r>
        <w:rPr>
          <w:noProof/>
          <w:lang w:val="en-US" w:eastAsia="en-US"/>
        </w:rPr>
        <w:drawing>
          <wp:inline distT="0" distB="0" distL="0" distR="0" wp14:anchorId="33CF81ED" wp14:editId="3AB81F97">
            <wp:extent cx="5940425" cy="6615704"/>
            <wp:effectExtent l="0" t="0" r="3175"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6615704"/>
                    </a:xfrm>
                    <a:prstGeom prst="rect">
                      <a:avLst/>
                    </a:prstGeom>
                    <a:noFill/>
                    <a:ln>
                      <a:noFill/>
                    </a:ln>
                  </pic:spPr>
                </pic:pic>
              </a:graphicData>
            </a:graphic>
          </wp:inline>
        </w:drawing>
      </w:r>
    </w:p>
    <w:p w:rsidR="00855C3A" w:rsidRPr="006818B2" w:rsidRDefault="00855C3A" w:rsidP="00855C3A">
      <w:pPr>
        <w:keepNext/>
        <w:keepLines/>
        <w:autoSpaceDE w:val="0"/>
        <w:autoSpaceDN w:val="0"/>
        <w:adjustRightInd w:val="0"/>
        <w:jc w:val="center"/>
        <w:rPr>
          <w:szCs w:val="22"/>
        </w:rPr>
      </w:pPr>
    </w:p>
    <w:p w:rsidR="00855C3A" w:rsidRPr="006818B2" w:rsidRDefault="00855C3A" w:rsidP="00855C3A">
      <w:pPr>
        <w:autoSpaceDE w:val="0"/>
        <w:autoSpaceDN w:val="0"/>
        <w:adjustRightInd w:val="0"/>
        <w:rPr>
          <w:szCs w:val="22"/>
        </w:rPr>
      </w:pPr>
    </w:p>
    <w:p w:rsidR="00855C3A" w:rsidRPr="006818B2" w:rsidRDefault="00855C3A" w:rsidP="00CA6C5E">
      <w:pPr>
        <w:keepNext/>
        <w:keepLines/>
        <w:autoSpaceDE w:val="0"/>
        <w:autoSpaceDN w:val="0"/>
        <w:adjustRightInd w:val="0"/>
        <w:rPr>
          <w:szCs w:val="22"/>
        </w:rPr>
      </w:pPr>
    </w:p>
    <w:p w:rsidR="007B2125" w:rsidRPr="00F67793" w:rsidRDefault="0080389A" w:rsidP="00CA6C5E">
      <w:pPr>
        <w:keepNext/>
        <w:keepLines/>
        <w:jc w:val="center"/>
        <w:rPr>
          <w:b/>
          <w:sz w:val="20"/>
        </w:rPr>
      </w:pPr>
      <w:r w:rsidRPr="00F67793">
        <w:rPr>
          <w:b/>
          <w:sz w:val="20"/>
        </w:rPr>
        <w:t>Recursos de fondos fiduciarios disponibles potencialmente para su utilización 2016/17</w:t>
      </w:r>
      <w:r w:rsidRPr="00F67793">
        <w:rPr>
          <w:b/>
          <w:sz w:val="20"/>
        </w:rPr>
        <w:br/>
        <w:t>(POR PROGRAMA)</w:t>
      </w:r>
      <w:r w:rsidRPr="00F67793">
        <w:rPr>
          <w:sz w:val="20"/>
          <w:vertAlign w:val="superscript"/>
        </w:rPr>
        <w:t>1</w:t>
      </w:r>
    </w:p>
    <w:p w:rsidR="007B2125" w:rsidRPr="00F67793" w:rsidRDefault="007B2125" w:rsidP="00CA6C5E">
      <w:pPr>
        <w:keepNext/>
        <w:keepLines/>
        <w:jc w:val="center"/>
        <w:rPr>
          <w:i/>
          <w:sz w:val="20"/>
          <w:lang w:val="es-ES_tradnl"/>
        </w:rPr>
      </w:pPr>
      <w:r w:rsidRPr="00F67793">
        <w:rPr>
          <w:i/>
          <w:sz w:val="20"/>
          <w:lang w:val="es-ES_tradnl"/>
        </w:rPr>
        <w:t>(</w:t>
      </w:r>
      <w:proofErr w:type="gramStart"/>
      <w:r w:rsidR="00DA4879" w:rsidRPr="00F67793">
        <w:rPr>
          <w:i/>
          <w:sz w:val="20"/>
          <w:lang w:val="es-ES_tradnl"/>
        </w:rPr>
        <w:t>en</w:t>
      </w:r>
      <w:proofErr w:type="gramEnd"/>
      <w:r w:rsidR="00DA4879" w:rsidRPr="00F67793">
        <w:rPr>
          <w:i/>
          <w:sz w:val="20"/>
          <w:lang w:val="es-ES_tradnl"/>
        </w:rPr>
        <w:t xml:space="preserve"> miles de francos suizos</w:t>
      </w:r>
      <w:r w:rsidRPr="00F67793">
        <w:rPr>
          <w:i/>
          <w:sz w:val="20"/>
          <w:lang w:val="es-ES_tradnl"/>
        </w:rPr>
        <w:t>)</w:t>
      </w:r>
    </w:p>
    <w:p w:rsidR="007B2125" w:rsidRPr="00F67793" w:rsidRDefault="007B2125" w:rsidP="00CA6C5E">
      <w:pPr>
        <w:keepNext/>
        <w:keepLines/>
        <w:autoSpaceDE w:val="0"/>
        <w:autoSpaceDN w:val="0"/>
        <w:adjustRightInd w:val="0"/>
        <w:rPr>
          <w:sz w:val="16"/>
          <w:lang w:val="es-ES_tradnl"/>
        </w:rPr>
      </w:pPr>
    </w:p>
    <w:p w:rsidR="007B2125" w:rsidRPr="00F67793" w:rsidRDefault="00530FE6" w:rsidP="00530FE6">
      <w:pPr>
        <w:keepNext/>
        <w:keepLines/>
        <w:autoSpaceDE w:val="0"/>
        <w:autoSpaceDN w:val="0"/>
        <w:adjustRightInd w:val="0"/>
      </w:pPr>
      <w:r w:rsidRPr="00530FE6">
        <w:rPr>
          <w:noProof/>
          <w:lang w:val="en-US" w:eastAsia="en-US"/>
        </w:rPr>
        <w:drawing>
          <wp:inline distT="0" distB="0" distL="0" distR="0" wp14:anchorId="44A0AA10" wp14:editId="62A90938">
            <wp:extent cx="5940425" cy="1019633"/>
            <wp:effectExtent l="0" t="0" r="317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1019633"/>
                    </a:xfrm>
                    <a:prstGeom prst="rect">
                      <a:avLst/>
                    </a:prstGeom>
                    <a:noFill/>
                    <a:ln>
                      <a:noFill/>
                    </a:ln>
                  </pic:spPr>
                </pic:pic>
              </a:graphicData>
            </a:graphic>
          </wp:inline>
        </w:drawing>
      </w:r>
    </w:p>
    <w:p w:rsidR="0080389A" w:rsidRPr="00F67793" w:rsidRDefault="0080389A" w:rsidP="0080389A">
      <w:pPr>
        <w:keepNext/>
        <w:keepLines/>
        <w:jc w:val="both"/>
        <w:rPr>
          <w:bCs/>
          <w:sz w:val="20"/>
        </w:rPr>
      </w:pPr>
    </w:p>
    <w:p w:rsidR="0080389A" w:rsidRPr="0080389A" w:rsidRDefault="0080389A" w:rsidP="0080389A">
      <w:pPr>
        <w:keepNext/>
        <w:keepLines/>
        <w:spacing w:after="60"/>
        <w:rPr>
          <w:i/>
          <w:sz w:val="16"/>
          <w:szCs w:val="14"/>
        </w:rPr>
      </w:pPr>
      <w:r w:rsidRPr="00F67793">
        <w:rPr>
          <w:i/>
          <w:sz w:val="16"/>
          <w:szCs w:val="14"/>
          <w:vertAlign w:val="superscript"/>
        </w:rPr>
        <w:t>1</w:t>
      </w:r>
      <w:r w:rsidR="00F67793">
        <w:rPr>
          <w:i/>
          <w:sz w:val="16"/>
          <w:szCs w:val="14"/>
          <w:vertAlign w:val="superscript"/>
        </w:rPr>
        <w:t xml:space="preserve">  </w:t>
      </w:r>
      <w:r w:rsidRPr="00F67793">
        <w:rPr>
          <w:i/>
          <w:sz w:val="16"/>
          <w:szCs w:val="14"/>
        </w:rPr>
        <w:t>En las cifras no se han incluido los intereses ni los ajustes cambiarios.  Cabe observar asimismo que estos fondos se destinan generalmente a actividades que cubren un período que va más allá de un solo bienio, a medida que se reciben los ingresos y se incurre en</w:t>
      </w:r>
      <w:r w:rsidR="00530FE6">
        <w:rPr>
          <w:i/>
          <w:sz w:val="16"/>
          <w:szCs w:val="14"/>
        </w:rPr>
        <w:t xml:space="preserve"> </w:t>
      </w:r>
      <w:r w:rsidRPr="00F67793">
        <w:rPr>
          <w:i/>
          <w:sz w:val="16"/>
          <w:szCs w:val="14"/>
        </w:rPr>
        <w:t>gastos</w:t>
      </w:r>
      <w:r w:rsidRPr="0080389A">
        <w:rPr>
          <w:i/>
          <w:sz w:val="16"/>
          <w:szCs w:val="14"/>
        </w:rPr>
        <w:t>.</w:t>
      </w:r>
    </w:p>
    <w:p w:rsidR="0080389A" w:rsidRDefault="0080389A" w:rsidP="0080389A">
      <w:pPr>
        <w:keepNext/>
        <w:widowControl w:val="0"/>
        <w:rPr>
          <w:i/>
          <w:sz w:val="16"/>
          <w:szCs w:val="14"/>
        </w:rPr>
      </w:pPr>
      <w:r w:rsidRPr="0080389A">
        <w:rPr>
          <w:i/>
          <w:sz w:val="16"/>
          <w:szCs w:val="14"/>
          <w:vertAlign w:val="superscript"/>
        </w:rPr>
        <w:t>2</w:t>
      </w:r>
      <w:r w:rsidR="00F67793">
        <w:rPr>
          <w:i/>
          <w:sz w:val="16"/>
          <w:szCs w:val="14"/>
          <w:vertAlign w:val="superscript"/>
        </w:rPr>
        <w:t xml:space="preserve">  </w:t>
      </w:r>
      <w:r w:rsidRPr="0080389A">
        <w:rPr>
          <w:i/>
          <w:sz w:val="16"/>
          <w:szCs w:val="14"/>
        </w:rPr>
        <w:t xml:space="preserve">Estas cifras son puramente indicativas y se basan en patrones </w:t>
      </w:r>
      <w:r>
        <w:rPr>
          <w:i/>
          <w:sz w:val="16"/>
          <w:szCs w:val="14"/>
        </w:rPr>
        <w:t>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80389A" w:rsidRDefault="0080389A" w:rsidP="0080389A">
      <w:pPr>
        <w:keepNext/>
        <w:widowControl w:val="0"/>
        <w:rPr>
          <w:i/>
          <w:sz w:val="16"/>
          <w:szCs w:val="14"/>
        </w:rPr>
      </w:pPr>
    </w:p>
    <w:p w:rsidR="0080389A" w:rsidRPr="0051240D" w:rsidRDefault="0080389A" w:rsidP="0080389A">
      <w:pPr>
        <w:rPr>
          <w:i/>
          <w:sz w:val="16"/>
          <w:szCs w:val="14"/>
        </w:rPr>
      </w:pPr>
      <w:r w:rsidRPr="0051240D">
        <w:rPr>
          <w:i/>
          <w:sz w:val="16"/>
          <w:szCs w:val="14"/>
          <w:vertAlign w:val="superscript"/>
        </w:rPr>
        <w:t>3</w:t>
      </w:r>
      <w:r w:rsidR="00F67793">
        <w:rPr>
          <w:i/>
          <w:sz w:val="16"/>
          <w:szCs w:val="14"/>
          <w:vertAlign w:val="superscript"/>
        </w:rPr>
        <w:t xml:space="preserve">  </w:t>
      </w:r>
      <w:r w:rsidRPr="0051240D">
        <w:rPr>
          <w:i/>
          <w:sz w:val="16"/>
          <w:szCs w:val="14"/>
        </w:rPr>
        <w:t>Las contribuciones anuales varían y se han observado fluctuaciones de un año a otro.</w:t>
      </w:r>
    </w:p>
    <w:p w:rsidR="00CF18C3" w:rsidRPr="0080389A" w:rsidRDefault="00CF18C3">
      <w:pPr>
        <w:rPr>
          <w:szCs w:val="22"/>
        </w:rPr>
      </w:pPr>
      <w:r w:rsidRPr="0080389A">
        <w:rPr>
          <w:szCs w:val="22"/>
        </w:rPr>
        <w:br w:type="page"/>
      </w:r>
    </w:p>
    <w:p w:rsidR="00CF18C3" w:rsidRPr="00CF18C3" w:rsidRDefault="00CF18C3" w:rsidP="00CF18C3">
      <w:pPr>
        <w:pStyle w:val="StyleHeading3ComplexItalic"/>
        <w:ind w:left="1985" w:hanging="1985"/>
        <w:rPr>
          <w:rStyle w:val="StyleStyleHeading3ComplexItalicLatin12ptChar"/>
          <w:b/>
          <w:lang w:val="es-ES"/>
        </w:rPr>
      </w:pPr>
      <w:bookmarkStart w:id="29" w:name="_Toc420681134"/>
      <w:r w:rsidRPr="00CF18C3">
        <w:rPr>
          <w:rStyle w:val="StyleStyleHeading3ComplexItalicLatin12ptChar"/>
          <w:b/>
          <w:lang w:val="es-ES_tradnl"/>
        </w:rPr>
        <w:lastRenderedPageBreak/>
        <w:t>PROGRAMA 4</w:t>
      </w:r>
      <w:r w:rsidRPr="00CF18C3">
        <w:rPr>
          <w:rStyle w:val="StyleStyleHeading3ComplexItalicLatin12ptChar"/>
          <w:b/>
          <w:lang w:val="es-ES_tradnl"/>
        </w:rPr>
        <w:tab/>
        <w:t>CONOCIMIENTOS TRADICIONALES, EXPRESIONES CULTURALES TRADICIONALES Y RECURSOS GENÉTICOS</w:t>
      </w:r>
      <w:bookmarkEnd w:id="29"/>
    </w:p>
    <w:p w:rsidR="00CF18C3" w:rsidRPr="00D33788" w:rsidRDefault="00CF18C3" w:rsidP="00CF18C3">
      <w:pPr>
        <w:jc w:val="both"/>
        <w:rPr>
          <w:bCs/>
          <w:i/>
          <w:szCs w:val="22"/>
        </w:rPr>
      </w:pPr>
    </w:p>
    <w:p w:rsidR="00CF18C3" w:rsidRPr="00D33788" w:rsidRDefault="00CF18C3" w:rsidP="00CF18C3">
      <w:pPr>
        <w:jc w:val="both"/>
        <w:rPr>
          <w:bCs/>
          <w:szCs w:val="22"/>
        </w:rPr>
      </w:pPr>
      <w:r w:rsidRPr="00D33788">
        <w:rPr>
          <w:bCs/>
          <w:szCs w:val="22"/>
          <w:lang w:val="es-ES_tradnl"/>
        </w:rPr>
        <w:t>CONTEXTO DE PLANIFICACIÓN</w:t>
      </w:r>
    </w:p>
    <w:p w:rsidR="00CF18C3" w:rsidRPr="00D33788" w:rsidRDefault="00CF18C3" w:rsidP="00D455EB">
      <w:pPr>
        <w:tabs>
          <w:tab w:val="num" w:pos="709"/>
        </w:tabs>
        <w:rPr>
          <w:bCs/>
          <w:sz w:val="20"/>
        </w:rPr>
      </w:pPr>
    </w:p>
    <w:p w:rsidR="00CF18C3" w:rsidRPr="00D33788" w:rsidRDefault="00CF18C3" w:rsidP="00CF18C3">
      <w:pPr>
        <w:numPr>
          <w:ilvl w:val="0"/>
          <w:numId w:val="17"/>
        </w:numPr>
        <w:jc w:val="both"/>
        <w:rPr>
          <w:sz w:val="20"/>
        </w:rPr>
      </w:pPr>
      <w:r w:rsidRPr="00D33788">
        <w:rPr>
          <w:sz w:val="20"/>
        </w:rPr>
        <w:t>El objetivo de este programa es aumentar la eficacia en la utilización de los principios, sistemas e instrumentos de P.I. actuales y nuevos destinados a proteger los conocimientos tradicionales (CC.TT.) y las expresiones culturales tradicionales (ECT) contra la apropiación y la utilización indebidas y a tratar las cuestiones de P.I. relacionadas con los recursos genéticos (RR.GG.), incluidas las que se plantean con respecto al acceso a los RR.GG. y la participación equitativa en los beneficios que se derivan de ellos.</w:t>
      </w:r>
    </w:p>
    <w:p w:rsidR="00CF18C3" w:rsidRPr="00D33788" w:rsidRDefault="00CF18C3" w:rsidP="00CF18C3">
      <w:pPr>
        <w:tabs>
          <w:tab w:val="num" w:pos="709"/>
        </w:tabs>
        <w:jc w:val="both"/>
        <w:rPr>
          <w:sz w:val="20"/>
        </w:rPr>
      </w:pPr>
    </w:p>
    <w:p w:rsidR="00CF18C3" w:rsidRPr="00D33788" w:rsidRDefault="00CF18C3" w:rsidP="00CF18C3">
      <w:pPr>
        <w:numPr>
          <w:ilvl w:val="0"/>
          <w:numId w:val="17"/>
        </w:numPr>
        <w:jc w:val="both"/>
        <w:rPr>
          <w:bCs/>
          <w:sz w:val="20"/>
        </w:rPr>
      </w:pPr>
      <w:r w:rsidRPr="00D33788">
        <w:rPr>
          <w:bCs/>
          <w:sz w:val="20"/>
        </w:rPr>
        <w:t>En este contexto, el programa 4 facilita las reuniones de los Estados miembros acerca de las actividades normativas sobre P.I., CC.TT., ECT y RR.GG.  En el Comité Intergubernamental sobre Propiedad Intelectual y Recursos Genéticos, Conocimientos Tradicionales y Folclore (el CIG) se han mantenido las negociaciones internacionales sobre el texto o textos de uno o varios instrumentos jurídicos internacionales que aseguren la protección efectiva de los CC.TT., las ECT y los RR.GG.  Se invitará a la Asamblea General a decidir acerca de la renovación del mandato del CIG y sus condiciones.</w:t>
      </w:r>
    </w:p>
    <w:p w:rsidR="00CF18C3" w:rsidRPr="00D33788" w:rsidRDefault="00CF18C3" w:rsidP="00CF18C3">
      <w:pPr>
        <w:tabs>
          <w:tab w:val="num" w:pos="709"/>
        </w:tabs>
        <w:jc w:val="both"/>
        <w:rPr>
          <w:bCs/>
          <w:sz w:val="20"/>
        </w:rPr>
      </w:pPr>
    </w:p>
    <w:p w:rsidR="00CF18C3" w:rsidRPr="00D33788" w:rsidRDefault="00CF18C3" w:rsidP="00CF18C3">
      <w:pPr>
        <w:numPr>
          <w:ilvl w:val="0"/>
          <w:numId w:val="17"/>
        </w:numPr>
        <w:jc w:val="both"/>
        <w:rPr>
          <w:bCs/>
          <w:sz w:val="20"/>
        </w:rPr>
      </w:pPr>
      <w:r w:rsidRPr="00D33788">
        <w:rPr>
          <w:bCs/>
          <w:sz w:val="20"/>
        </w:rPr>
        <w:t>Se seguirá prestando asistencia práctica a los Estados miembros, las organizaciones regionales, los pueblos indígenas y las comunidades locales y otros sectores interesados mediante actividades de sensibilización, fortalecimiento de capacidades, formación y asistencia jurídica y técnica.  El programa pone a disposición diversas herramientas prácticas, cursos de formación, publicaciones y otros recursos de información.</w:t>
      </w:r>
    </w:p>
    <w:p w:rsidR="00CF18C3" w:rsidRPr="00D33788" w:rsidRDefault="00CF18C3" w:rsidP="00CF18C3">
      <w:pPr>
        <w:tabs>
          <w:tab w:val="num" w:pos="709"/>
        </w:tabs>
        <w:jc w:val="both"/>
        <w:rPr>
          <w:bCs/>
          <w:sz w:val="20"/>
        </w:rPr>
      </w:pPr>
    </w:p>
    <w:p w:rsidR="00CF18C3" w:rsidRPr="00D33788" w:rsidRDefault="00CF18C3" w:rsidP="00CF18C3">
      <w:pPr>
        <w:numPr>
          <w:ilvl w:val="0"/>
          <w:numId w:val="17"/>
        </w:numPr>
        <w:jc w:val="both"/>
        <w:rPr>
          <w:bCs/>
          <w:sz w:val="20"/>
        </w:rPr>
      </w:pPr>
      <w:r w:rsidRPr="00D33788">
        <w:rPr>
          <w:bCs/>
          <w:sz w:val="20"/>
        </w:rPr>
        <w:t>Los pilares normativos y prácticos del programa están interrelacionados y son complementarios.</w:t>
      </w:r>
    </w:p>
    <w:p w:rsidR="00CF18C3" w:rsidRPr="00D33788" w:rsidRDefault="00CF18C3" w:rsidP="00CF18C3">
      <w:pPr>
        <w:tabs>
          <w:tab w:val="num" w:pos="709"/>
        </w:tabs>
        <w:jc w:val="both"/>
        <w:rPr>
          <w:bCs/>
          <w:szCs w:val="22"/>
        </w:rPr>
      </w:pPr>
    </w:p>
    <w:p w:rsidR="00CF18C3" w:rsidRPr="00D33788" w:rsidRDefault="00CF18C3" w:rsidP="00CF18C3">
      <w:pPr>
        <w:tabs>
          <w:tab w:val="num" w:pos="709"/>
        </w:tabs>
        <w:jc w:val="both"/>
        <w:rPr>
          <w:bCs/>
          <w:szCs w:val="22"/>
        </w:rPr>
      </w:pPr>
    </w:p>
    <w:p w:rsidR="00CF18C3" w:rsidRPr="00D33788" w:rsidRDefault="00CF18C3" w:rsidP="00CF18C3">
      <w:pPr>
        <w:tabs>
          <w:tab w:val="num" w:pos="709"/>
        </w:tabs>
        <w:jc w:val="both"/>
        <w:rPr>
          <w:bCs/>
          <w:szCs w:val="22"/>
        </w:rPr>
      </w:pPr>
      <w:r w:rsidRPr="00D33788">
        <w:rPr>
          <w:bCs/>
          <w:szCs w:val="22"/>
          <w:lang w:val="es-ES_tradnl"/>
        </w:rPr>
        <w:t>ESTRATEGIAS DE EJECUCIÓN</w:t>
      </w:r>
    </w:p>
    <w:p w:rsidR="00CF18C3" w:rsidRPr="00D33788" w:rsidRDefault="00CF18C3" w:rsidP="00CF18C3">
      <w:pPr>
        <w:tabs>
          <w:tab w:val="left" w:pos="0"/>
          <w:tab w:val="left" w:pos="1985"/>
        </w:tabs>
        <w:jc w:val="both"/>
        <w:rPr>
          <w:sz w:val="20"/>
        </w:rPr>
      </w:pPr>
    </w:p>
    <w:p w:rsidR="00CF18C3" w:rsidRPr="00D33788" w:rsidRDefault="00CF18C3" w:rsidP="00CF18C3">
      <w:pPr>
        <w:numPr>
          <w:ilvl w:val="0"/>
          <w:numId w:val="17"/>
        </w:numPr>
        <w:jc w:val="both"/>
        <w:rPr>
          <w:sz w:val="20"/>
        </w:rPr>
      </w:pPr>
      <w:r w:rsidRPr="00D33788">
        <w:rPr>
          <w:sz w:val="20"/>
          <w:lang w:val="es-ES_tradnl"/>
        </w:rPr>
        <w:t>Por tratarse de un proceso impulsado por los Estados miembros, la consecución de resultados en el ámbito internacional depende en gran medida de las decisiones de los Estados miembros.</w:t>
      </w:r>
      <w:r w:rsidRPr="00D33788">
        <w:rPr>
          <w:sz w:val="20"/>
        </w:rPr>
        <w:t xml:space="preserve">  Por ello, los resultados del programa deberían comprender, en primer lugar, un entorno propicio a actividades normativas correctamente orientadas, según lo decida la Asamblea General, que den lugar a interpretaciones comunes y a la convergencia de opiniones y, en última instancia, a decisiones adoptadas por los Estados miembros.</w:t>
      </w:r>
    </w:p>
    <w:p w:rsidR="00CF18C3" w:rsidRPr="00D33788" w:rsidRDefault="00CF18C3" w:rsidP="00CF18C3">
      <w:pPr>
        <w:tabs>
          <w:tab w:val="left" w:pos="0"/>
          <w:tab w:val="left" w:pos="1985"/>
        </w:tabs>
        <w:jc w:val="both"/>
        <w:rPr>
          <w:sz w:val="20"/>
        </w:rPr>
      </w:pPr>
    </w:p>
    <w:p w:rsidR="00CF18C3" w:rsidRPr="00D33788" w:rsidRDefault="00CF18C3" w:rsidP="00CF18C3">
      <w:pPr>
        <w:numPr>
          <w:ilvl w:val="0"/>
          <w:numId w:val="17"/>
        </w:numPr>
        <w:jc w:val="both"/>
        <w:rPr>
          <w:sz w:val="20"/>
          <w:lang w:val="es-ES_tradnl"/>
        </w:rPr>
      </w:pPr>
      <w:r w:rsidRPr="00D33788">
        <w:rPr>
          <w:sz w:val="20"/>
          <w:lang w:val="es-ES_tradnl"/>
        </w:rPr>
        <w:t>Un segundo resultado sería lograr una mayor sensibilización entre los Estados, los pueblos indígenas y las comunidades locales (incluidas las mujeres) y demás partes interesadas respecto de la gran importancia que tiene la relación que existe entre la P.I. y los CC.TT., las ECT y los RR.GG. para las estrategias de desarrollo y las políticas culturales y de innovación nacionales, entre otras, y más concretamente para aumentar la capacidad (conforme a la A.D.) de aplicar los principios, sistemas y herramientas de P.I. a fin de proteger los CC.TT. y las ECT de manera eficaz, y gestionar el nexo que existe entre la P.I. y los RR.GG. en pos del desarrollo económico, social y cultural.</w:t>
      </w:r>
    </w:p>
    <w:p w:rsidR="00CF18C3" w:rsidRPr="00D33788" w:rsidRDefault="00CF18C3" w:rsidP="00CF18C3">
      <w:pPr>
        <w:jc w:val="both"/>
        <w:rPr>
          <w:bCs/>
          <w:sz w:val="20"/>
        </w:rPr>
      </w:pPr>
    </w:p>
    <w:p w:rsidR="00CF18C3" w:rsidRPr="00D33788" w:rsidRDefault="00CF18C3" w:rsidP="00CF18C3">
      <w:pPr>
        <w:numPr>
          <w:ilvl w:val="0"/>
          <w:numId w:val="17"/>
        </w:numPr>
        <w:jc w:val="both"/>
        <w:rPr>
          <w:bCs/>
          <w:sz w:val="20"/>
        </w:rPr>
      </w:pPr>
      <w:r w:rsidRPr="00D33788">
        <w:rPr>
          <w:sz w:val="20"/>
        </w:rPr>
        <w:t>A fin de lograr los resultados previstos, en el marco del programa tratarán de ejecutarse las tres estrategias siguientes, interrelacionadas y complementarias:</w:t>
      </w:r>
    </w:p>
    <w:p w:rsidR="00CF18C3" w:rsidRPr="00D33788" w:rsidRDefault="00CF18C3" w:rsidP="00CF18C3">
      <w:pPr>
        <w:jc w:val="both"/>
        <w:rPr>
          <w:bCs/>
          <w:sz w:val="20"/>
        </w:rPr>
      </w:pPr>
    </w:p>
    <w:p w:rsidR="00CF18C3" w:rsidRPr="00D33788" w:rsidRDefault="00CF18C3" w:rsidP="00CF18C3">
      <w:pPr>
        <w:pStyle w:val="ListParagraph"/>
        <w:numPr>
          <w:ilvl w:val="1"/>
          <w:numId w:val="13"/>
        </w:numPr>
        <w:tabs>
          <w:tab w:val="left" w:pos="1134"/>
        </w:tabs>
        <w:ind w:left="1134" w:hanging="567"/>
        <w:jc w:val="both"/>
        <w:rPr>
          <w:rFonts w:ascii="Arial" w:hAnsi="Arial" w:cs="Arial"/>
          <w:sz w:val="20"/>
          <w:lang w:val="es-ES"/>
        </w:rPr>
      </w:pPr>
      <w:r w:rsidRPr="00D33788">
        <w:rPr>
          <w:rFonts w:ascii="Arial" w:hAnsi="Arial" w:cs="Arial"/>
          <w:sz w:val="20"/>
          <w:lang w:val="es-ES"/>
        </w:rPr>
        <w:t>prestar apoyo profesional y neutral de carácter logístico, técnico y sustantivo en las reuniones y conferencias sobre actividades normativas, según lo decidido por la Asamblea General;  prestar apoyo administrativo a iniciativas encaminadas a fomentar la participación efectiva de los representantes de los pueblos indígenas y las comunidades locales en la labor de la OMPI, lo que incluye la gestión práctica del Fondo de la OMPI de Contribuciones Voluntarias para las Comunidades Indígenas y Locales Acreditadas;  y mantener una estrecha coordinación y cooperación con otras organizaciones y foros intergubernamentales, según proceda;</w:t>
      </w:r>
    </w:p>
    <w:p w:rsidR="00CF18C3" w:rsidRPr="00D33788" w:rsidRDefault="00CF18C3" w:rsidP="00CF18C3">
      <w:pPr>
        <w:pStyle w:val="ListParagraph"/>
        <w:tabs>
          <w:tab w:val="left" w:pos="1134"/>
        </w:tabs>
        <w:ind w:left="1134"/>
        <w:jc w:val="both"/>
        <w:rPr>
          <w:rFonts w:ascii="Arial" w:hAnsi="Arial" w:cs="Arial"/>
          <w:sz w:val="20"/>
          <w:lang w:val="es-ES"/>
        </w:rPr>
      </w:pPr>
    </w:p>
    <w:p w:rsidR="00CF18C3" w:rsidRPr="00D33788" w:rsidRDefault="00CF18C3" w:rsidP="00CF18C3">
      <w:pPr>
        <w:pStyle w:val="ListParagraph"/>
        <w:numPr>
          <w:ilvl w:val="1"/>
          <w:numId w:val="13"/>
        </w:numPr>
        <w:tabs>
          <w:tab w:val="left" w:pos="1134"/>
        </w:tabs>
        <w:ind w:left="1134" w:hanging="567"/>
        <w:jc w:val="both"/>
        <w:rPr>
          <w:rFonts w:ascii="Arial" w:hAnsi="Arial" w:cs="Arial"/>
          <w:sz w:val="20"/>
          <w:lang w:val="es-ES"/>
        </w:rPr>
      </w:pPr>
      <w:r w:rsidRPr="00D33788">
        <w:rPr>
          <w:rFonts w:ascii="Arial" w:hAnsi="Arial" w:cs="Arial"/>
          <w:sz w:val="20"/>
          <w:lang w:val="es-ES"/>
        </w:rPr>
        <w:t>elaborar y facilitar un repertorio racionalizado e integrado de recursos, programas, cursos y herramientas prácticas y pertinentes para que el fortalecimiento de las capacidades y la asistencia técnica y jurídica sean eficaces, de conformidad con las estrategias de desarrollo y las políticas culturales y de innovación nacionales;  y</w:t>
      </w:r>
    </w:p>
    <w:p w:rsidR="00CF18C3" w:rsidRPr="00D33788" w:rsidRDefault="00CF18C3" w:rsidP="00CF18C3">
      <w:pPr>
        <w:pStyle w:val="ListParagraph"/>
        <w:tabs>
          <w:tab w:val="left" w:pos="1134"/>
        </w:tabs>
        <w:ind w:left="1134" w:hanging="567"/>
        <w:jc w:val="both"/>
        <w:rPr>
          <w:rFonts w:ascii="Arial" w:hAnsi="Arial" w:cs="Arial"/>
          <w:sz w:val="20"/>
          <w:lang w:val="es-ES"/>
        </w:rPr>
      </w:pPr>
    </w:p>
    <w:p w:rsidR="00CF18C3" w:rsidRPr="00D33788" w:rsidRDefault="00CF18C3" w:rsidP="00CF18C3">
      <w:pPr>
        <w:pStyle w:val="ListParagraph"/>
        <w:numPr>
          <w:ilvl w:val="1"/>
          <w:numId w:val="13"/>
        </w:numPr>
        <w:tabs>
          <w:tab w:val="left" w:pos="1134"/>
        </w:tabs>
        <w:ind w:left="1134" w:hanging="567"/>
        <w:jc w:val="both"/>
        <w:rPr>
          <w:rFonts w:ascii="Arial" w:hAnsi="Arial" w:cs="Arial"/>
          <w:sz w:val="20"/>
          <w:lang w:val="es-ES"/>
        </w:rPr>
      </w:pPr>
      <w:r w:rsidRPr="00D33788">
        <w:rPr>
          <w:rFonts w:ascii="Arial" w:hAnsi="Arial" w:cs="Arial"/>
          <w:sz w:val="20"/>
          <w:lang w:val="es-ES"/>
        </w:rPr>
        <w:lastRenderedPageBreak/>
        <w:t>prestar asesoramiento sobre los aspectos y las implicaciones relacionados con la P.I. de las bases de datos, inventarios, registros y otras plataformas, así como instituciones, administraciones y organismos, para complementar y poner en práctica los marcos políticos y jurídicos que los Estados, las organizaciones y las comunidades puedan crear.</w:t>
      </w:r>
    </w:p>
    <w:p w:rsidR="00CF18C3" w:rsidRPr="00D33788" w:rsidRDefault="00CF18C3" w:rsidP="00CF18C3">
      <w:pPr>
        <w:tabs>
          <w:tab w:val="left" w:pos="567"/>
          <w:tab w:val="left" w:pos="1985"/>
        </w:tabs>
        <w:ind w:left="360"/>
        <w:jc w:val="both"/>
        <w:rPr>
          <w:sz w:val="20"/>
        </w:rPr>
      </w:pPr>
    </w:p>
    <w:p w:rsidR="00CF18C3" w:rsidRPr="00D33788" w:rsidRDefault="00CF18C3" w:rsidP="00CF18C3">
      <w:pPr>
        <w:numPr>
          <w:ilvl w:val="0"/>
          <w:numId w:val="17"/>
        </w:numPr>
        <w:tabs>
          <w:tab w:val="left" w:pos="567"/>
        </w:tabs>
        <w:jc w:val="both"/>
        <w:rPr>
          <w:sz w:val="20"/>
          <w:lang w:val="es-ES_tradnl"/>
        </w:rPr>
      </w:pPr>
      <w:r w:rsidRPr="00D33788">
        <w:rPr>
          <w:sz w:val="20"/>
          <w:lang w:val="es-ES_tradnl"/>
        </w:rPr>
        <w:t>La recomendación 18 de la A.D. hace referencia expresa al CIG.  Las actividades normativas del CIG son impulsadas por los Estados miembros, tienen carácter participativo y se basan en consultas abiertas y equilibradas (recomendaciones 15, 21 y 42), tienen en cuenta el dominio público (recomendaciones 16 y 20) y las flexibilidades establecidas en los acuerdos de P.I. (recomendaciones 12, 14 y 17), y contribuyen a los objetivos de desarrollo de las Naciones Unidas (recomendación 22).</w:t>
      </w:r>
      <w:r w:rsidRPr="00D33788">
        <w:rPr>
          <w:sz w:val="20"/>
        </w:rPr>
        <w:t xml:space="preserve">  Por lo tanto, este</w:t>
      </w:r>
      <w:r w:rsidRPr="00D33788">
        <w:rPr>
          <w:sz w:val="20"/>
          <w:lang w:val="es-ES_tradnl"/>
        </w:rPr>
        <w:t xml:space="preserve"> programa contribuye de manera directa y expresa al desarrollo y a la consecución de otras recomendaciones de la A.D., en particular velando por que la asistencia técnica esté orientada a potenciar el desarrollo y obedezca a una demanda (recomendaciones 1 y 12), prestando asistencia a los grupos regionales para formular o aplicar políticas y marcos regionales (recomendaciones 10, 11, 13 y 14), prestando asistencia legislativa y política en materia de legislación nacional a los Estados miembros (recomendaciones 11, 13 y 14), sensibilizando en relación con las cuestiones de la P.I. que están relacionadas con los CC.TT., las ECT, y los RR.GG. (recomendación 3) y cooperando en cuestiones relacionadas con la P.I. con los organismos de las Naciones Unidas (recomendación 40).</w:t>
      </w:r>
    </w:p>
    <w:p w:rsidR="00CF18C3" w:rsidRPr="00D33788" w:rsidRDefault="00CF18C3" w:rsidP="00CF18C3">
      <w:pPr>
        <w:jc w:val="both"/>
        <w:rPr>
          <w:sz w:val="20"/>
        </w:rPr>
      </w:pPr>
    </w:p>
    <w:p w:rsidR="00CF18C3" w:rsidRPr="00D33788" w:rsidRDefault="00CF18C3" w:rsidP="00CF18C3">
      <w:pPr>
        <w:numPr>
          <w:ilvl w:val="0"/>
          <w:numId w:val="17"/>
        </w:numPr>
        <w:tabs>
          <w:tab w:val="clear" w:pos="680"/>
          <w:tab w:val="num" w:pos="567"/>
        </w:tabs>
        <w:jc w:val="both"/>
        <w:rPr>
          <w:sz w:val="20"/>
        </w:rPr>
      </w:pPr>
      <w:r w:rsidRPr="00D33788">
        <w:rPr>
          <w:sz w:val="20"/>
        </w:rPr>
        <w:t>Los resultados previstos en el marco del programa 4 se alcanzarán también mediante la cooperación y la coordinación, cuando proceda, con otros programas de la OMPI, como se ilustra a continuación:</w:t>
      </w:r>
    </w:p>
    <w:p w:rsidR="00CF18C3" w:rsidRPr="00D33788" w:rsidRDefault="00CF18C3" w:rsidP="00CF18C3">
      <w:pPr>
        <w:jc w:val="both"/>
        <w:rPr>
          <w:szCs w:val="22"/>
        </w:rPr>
      </w:pPr>
    </w:p>
    <w:p w:rsidR="00CF18C3" w:rsidRPr="00D33788" w:rsidRDefault="00CF18C3" w:rsidP="00CF18C3">
      <w:pPr>
        <w:jc w:val="both"/>
        <w:rPr>
          <w:szCs w:val="22"/>
        </w:rPr>
      </w:pPr>
      <w:r w:rsidRPr="00D33788">
        <w:rPr>
          <w:noProof/>
          <w:lang w:val="en-US" w:eastAsia="en-US"/>
        </w:rPr>
        <w:drawing>
          <wp:inline distT="0" distB="0" distL="0" distR="0" wp14:anchorId="09D38848" wp14:editId="131FEAF4">
            <wp:extent cx="6120765" cy="2021874"/>
            <wp:effectExtent l="0" t="5715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rsidR="00CF18C3" w:rsidRPr="00D33788" w:rsidRDefault="00CF18C3" w:rsidP="00CF18C3">
      <w:pPr>
        <w:tabs>
          <w:tab w:val="num" w:pos="709"/>
        </w:tabs>
        <w:jc w:val="both"/>
        <w:rPr>
          <w:bCs/>
          <w:szCs w:val="22"/>
        </w:rPr>
      </w:pPr>
    </w:p>
    <w:p w:rsidR="00CF18C3" w:rsidRPr="00D33788" w:rsidRDefault="00CF18C3" w:rsidP="00CF18C3">
      <w:pPr>
        <w:tabs>
          <w:tab w:val="num" w:pos="709"/>
        </w:tabs>
        <w:jc w:val="both"/>
        <w:rPr>
          <w:b/>
          <w:bCs/>
          <w:szCs w:val="22"/>
        </w:rPr>
      </w:pPr>
    </w:p>
    <w:p w:rsidR="00CF18C3" w:rsidRPr="00D33788" w:rsidRDefault="00CF18C3" w:rsidP="00CF18C3">
      <w:pPr>
        <w:tabs>
          <w:tab w:val="num" w:pos="709"/>
        </w:tabs>
        <w:jc w:val="both"/>
        <w:rPr>
          <w:szCs w:val="22"/>
        </w:rPr>
      </w:pPr>
      <w:r w:rsidRPr="00D33788">
        <w:rPr>
          <w:szCs w:val="22"/>
          <w:lang w:val="es-ES_tradnl"/>
        </w:rPr>
        <w:t>PRINCIPALES RIESGOS Y ESTRATEGIAS DE MITIGACIÓN</w:t>
      </w:r>
    </w:p>
    <w:p w:rsidR="00CF18C3" w:rsidRPr="00D33788" w:rsidRDefault="00CF18C3" w:rsidP="00CF18C3">
      <w:pPr>
        <w:keepNext/>
        <w:keepLines/>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CF18C3" w:rsidRPr="00D33788" w:rsidTr="00D455EB">
        <w:trPr>
          <w:trHeight w:val="474"/>
        </w:trPr>
        <w:tc>
          <w:tcPr>
            <w:tcW w:w="4111" w:type="dxa"/>
            <w:tcBorders>
              <w:top w:val="single" w:sz="4" w:space="0" w:color="auto"/>
              <w:bottom w:val="single" w:sz="4" w:space="0" w:color="auto"/>
            </w:tcBorders>
            <w:shd w:val="clear" w:color="auto" w:fill="C6D9F1"/>
            <w:vAlign w:val="center"/>
          </w:tcPr>
          <w:p w:rsidR="00CF18C3" w:rsidRPr="00D33788" w:rsidRDefault="00CF18C3" w:rsidP="000A0481">
            <w:pPr>
              <w:keepNext/>
              <w:keepLines/>
              <w:jc w:val="center"/>
              <w:rPr>
                <w:b/>
                <w:bCs/>
                <w:sz w:val="18"/>
                <w:szCs w:val="18"/>
              </w:rPr>
            </w:pPr>
            <w:r w:rsidRPr="00D33788">
              <w:rPr>
                <w:b/>
                <w:bCs/>
                <w:sz w:val="18"/>
                <w:szCs w:val="18"/>
                <w:lang w:val="es-ES_tradnl"/>
              </w:rPr>
              <w:t>Riesgo</w:t>
            </w:r>
          </w:p>
        </w:tc>
        <w:tc>
          <w:tcPr>
            <w:tcW w:w="5103" w:type="dxa"/>
            <w:tcBorders>
              <w:top w:val="single" w:sz="4" w:space="0" w:color="auto"/>
              <w:bottom w:val="single" w:sz="4" w:space="0" w:color="auto"/>
            </w:tcBorders>
            <w:shd w:val="clear" w:color="auto" w:fill="C6D9F1"/>
            <w:vAlign w:val="center"/>
          </w:tcPr>
          <w:p w:rsidR="00CF18C3" w:rsidRPr="00D33788" w:rsidRDefault="00CF18C3" w:rsidP="000A0481">
            <w:pPr>
              <w:keepNext/>
              <w:keepLines/>
              <w:jc w:val="center"/>
              <w:rPr>
                <w:b/>
                <w:bCs/>
                <w:sz w:val="18"/>
                <w:szCs w:val="18"/>
              </w:rPr>
            </w:pPr>
            <w:r w:rsidRPr="00D33788">
              <w:rPr>
                <w:b/>
                <w:bCs/>
                <w:sz w:val="18"/>
                <w:szCs w:val="18"/>
              </w:rPr>
              <w:t>Mitigación</w:t>
            </w:r>
          </w:p>
        </w:tc>
      </w:tr>
      <w:tr w:rsidR="00CF18C3" w:rsidRPr="00D33788" w:rsidTr="000A0481">
        <w:trPr>
          <w:trHeight w:val="696"/>
        </w:trPr>
        <w:tc>
          <w:tcPr>
            <w:tcW w:w="4111" w:type="dxa"/>
            <w:tcBorders>
              <w:top w:val="single" w:sz="4" w:space="0" w:color="auto"/>
            </w:tcBorders>
            <w:shd w:val="clear" w:color="auto" w:fill="auto"/>
            <w:tcMar>
              <w:top w:w="113" w:type="dxa"/>
              <w:bottom w:w="113" w:type="dxa"/>
            </w:tcMar>
          </w:tcPr>
          <w:p w:rsidR="00CF18C3" w:rsidRPr="00D33788" w:rsidRDefault="00CF18C3" w:rsidP="000A0481">
            <w:pPr>
              <w:rPr>
                <w:b/>
                <w:i/>
                <w:sz w:val="16"/>
                <w:szCs w:val="16"/>
              </w:rPr>
            </w:pPr>
            <w:r w:rsidRPr="00D33788">
              <w:rPr>
                <w:sz w:val="16"/>
                <w:szCs w:val="16"/>
              </w:rPr>
              <w:t>Incapacidad de los Estados miembros de aplicar el mandato relacionado con las actividades normativas, según lo decidido por la Asamblea General.</w:t>
            </w:r>
          </w:p>
        </w:tc>
        <w:tc>
          <w:tcPr>
            <w:tcW w:w="5103" w:type="dxa"/>
            <w:tcBorders>
              <w:top w:val="single" w:sz="4" w:space="0" w:color="auto"/>
            </w:tcBorders>
            <w:shd w:val="clear" w:color="auto" w:fill="auto"/>
            <w:tcMar>
              <w:top w:w="113" w:type="dxa"/>
              <w:bottom w:w="113" w:type="dxa"/>
            </w:tcMar>
          </w:tcPr>
          <w:p w:rsidR="00CF18C3" w:rsidRPr="00D33788" w:rsidRDefault="00CF18C3" w:rsidP="000A0481">
            <w:pPr>
              <w:rPr>
                <w:sz w:val="16"/>
                <w:szCs w:val="16"/>
              </w:rPr>
            </w:pPr>
            <w:r w:rsidRPr="00D33788">
              <w:rPr>
                <w:sz w:val="16"/>
                <w:szCs w:val="16"/>
              </w:rPr>
              <w:t>La Secretaría hace todo lo posible para facilitar y crear un clima favorable a las actividades normativas, por ejemplo, facilitando información objetiva y precisa sobre las cuestiones que se están examinando y prestando servicios administrativos eficientes y neutrales.</w:t>
            </w:r>
          </w:p>
        </w:tc>
      </w:tr>
      <w:tr w:rsidR="00CF18C3" w:rsidRPr="00D33788" w:rsidTr="000A0481">
        <w:trPr>
          <w:trHeight w:val="873"/>
        </w:trPr>
        <w:tc>
          <w:tcPr>
            <w:tcW w:w="4111" w:type="dxa"/>
            <w:shd w:val="clear" w:color="auto" w:fill="auto"/>
            <w:tcMar>
              <w:top w:w="113" w:type="dxa"/>
              <w:bottom w:w="113" w:type="dxa"/>
            </w:tcMar>
          </w:tcPr>
          <w:p w:rsidR="00CF18C3" w:rsidRPr="00D33788" w:rsidRDefault="00CF18C3" w:rsidP="000A0481">
            <w:pPr>
              <w:rPr>
                <w:sz w:val="16"/>
                <w:szCs w:val="16"/>
              </w:rPr>
            </w:pPr>
            <w:r w:rsidRPr="00D33788">
              <w:rPr>
                <w:sz w:val="16"/>
                <w:szCs w:val="16"/>
                <w:lang w:val="es-ES_tradnl"/>
              </w:rPr>
              <w:t>Pérdida de pertinencia si los Estados miembros dejan de considerar como cuestiones de P.I. prioritarias los CC.TT., las ECT y los RR.GG. o si estiman que es más probable lograr resultados favorables en otros foros.</w:t>
            </w:r>
          </w:p>
        </w:tc>
        <w:tc>
          <w:tcPr>
            <w:tcW w:w="5103" w:type="dxa"/>
            <w:shd w:val="clear" w:color="auto" w:fill="auto"/>
            <w:tcMar>
              <w:top w:w="113" w:type="dxa"/>
              <w:bottom w:w="113" w:type="dxa"/>
            </w:tcMar>
          </w:tcPr>
          <w:p w:rsidR="00CF18C3" w:rsidRDefault="00CF18C3" w:rsidP="000A0481">
            <w:pPr>
              <w:rPr>
                <w:sz w:val="16"/>
                <w:szCs w:val="16"/>
                <w:lang w:val="es-ES_tradnl"/>
              </w:rPr>
            </w:pPr>
            <w:r w:rsidRPr="00D33788">
              <w:rPr>
                <w:sz w:val="16"/>
                <w:szCs w:val="16"/>
                <w:lang w:val="es-ES_tradnl"/>
              </w:rPr>
              <w:t>La Secretaría lleva a cabo iniciativas de sensibilización sobre la importancia de los CC.TT., las ECT y los RR.GG. para las políticas de P.I.</w:t>
            </w:r>
            <w:r w:rsidRPr="00D33788">
              <w:rPr>
                <w:sz w:val="16"/>
                <w:szCs w:val="16"/>
              </w:rPr>
              <w:t>  Sigue</w:t>
            </w:r>
            <w:r w:rsidRPr="00D33788">
              <w:rPr>
                <w:sz w:val="16"/>
                <w:szCs w:val="16"/>
                <w:lang w:val="es-ES_tradnl"/>
              </w:rPr>
              <w:t xml:space="preserve"> de cerca las negociaciones que se celebran en otras instancias para poder facilitar a los Estados miembros información neutral sobre las cuestiones manejadas en dichas instancias, y coordina con otras Secretarías para evitar la duplicación de tareas y, así, la confusión que podría causar entre los Estados miembros.</w:t>
            </w:r>
          </w:p>
          <w:p w:rsidR="00D455EB" w:rsidRPr="00D33788" w:rsidRDefault="00D455EB" w:rsidP="000A0481">
            <w:pPr>
              <w:rPr>
                <w:sz w:val="16"/>
                <w:szCs w:val="16"/>
              </w:rPr>
            </w:pPr>
          </w:p>
        </w:tc>
      </w:tr>
    </w:tbl>
    <w:p w:rsidR="00CF18C3" w:rsidRPr="00D33788" w:rsidRDefault="00CF18C3" w:rsidP="00CF18C3">
      <w:pPr>
        <w:rPr>
          <w:szCs w:val="22"/>
        </w:rPr>
      </w:pPr>
    </w:p>
    <w:p w:rsidR="00CF18C3" w:rsidRPr="00D33788" w:rsidRDefault="00CF18C3" w:rsidP="00CF18C3">
      <w:pPr>
        <w:keepNext/>
        <w:keepLines/>
        <w:jc w:val="both"/>
        <w:rPr>
          <w:b/>
          <w:bCs/>
          <w:szCs w:val="22"/>
        </w:rPr>
      </w:pPr>
    </w:p>
    <w:p w:rsidR="00CF18C3" w:rsidRPr="00D33788" w:rsidRDefault="00CF18C3" w:rsidP="00CF18C3">
      <w:pPr>
        <w:keepNext/>
        <w:keepLines/>
        <w:jc w:val="both"/>
        <w:rPr>
          <w:bCs/>
          <w:szCs w:val="22"/>
        </w:rPr>
      </w:pPr>
      <w:r w:rsidRPr="00D33788">
        <w:rPr>
          <w:bCs/>
          <w:szCs w:val="22"/>
          <w:lang w:val="es-ES_tradnl"/>
        </w:rPr>
        <w:t>MARCO DE RESULTADOS</w:t>
      </w:r>
      <w:r w:rsidRPr="00D33788">
        <w:rPr>
          <w:bCs/>
          <w:szCs w:val="22"/>
        </w:rPr>
        <w:t xml:space="preserve"> </w:t>
      </w:r>
    </w:p>
    <w:p w:rsidR="00CF18C3" w:rsidRPr="00D33788" w:rsidRDefault="00CF18C3" w:rsidP="00CF18C3">
      <w:pPr>
        <w:keepNext/>
        <w:keepLines/>
        <w:jc w:val="both"/>
        <w:rPr>
          <w:bCs/>
          <w:szCs w:val="22"/>
        </w:rPr>
      </w:pPr>
    </w:p>
    <w:tbl>
      <w:tblPr>
        <w:tblW w:w="9229" w:type="dxa"/>
        <w:tblInd w:w="93" w:type="dxa"/>
        <w:tblLook w:val="04A0" w:firstRow="1" w:lastRow="0" w:firstColumn="1" w:lastColumn="0" w:noHBand="0" w:noVBand="1"/>
      </w:tblPr>
      <w:tblGrid>
        <w:gridCol w:w="2400"/>
        <w:gridCol w:w="2600"/>
        <w:gridCol w:w="2520"/>
        <w:gridCol w:w="1709"/>
      </w:tblGrid>
      <w:tr w:rsidR="00CF18C3" w:rsidRPr="00D33788" w:rsidTr="00E95213">
        <w:trPr>
          <w:trHeight w:val="555"/>
        </w:trPr>
        <w:tc>
          <w:tcPr>
            <w:tcW w:w="2400" w:type="dxa"/>
            <w:tcBorders>
              <w:top w:val="single" w:sz="4" w:space="0" w:color="auto"/>
              <w:left w:val="single" w:sz="4" w:space="0" w:color="auto"/>
              <w:bottom w:val="single" w:sz="4" w:space="0" w:color="auto"/>
              <w:right w:val="nil"/>
            </w:tcBorders>
            <w:shd w:val="clear" w:color="auto" w:fill="C6D9F1"/>
            <w:noWrap/>
            <w:vAlign w:val="center"/>
            <w:hideMark/>
          </w:tcPr>
          <w:p w:rsidR="00CF18C3" w:rsidRPr="00D33788" w:rsidRDefault="00CF18C3" w:rsidP="000A0481">
            <w:pPr>
              <w:keepNext/>
              <w:keepLines/>
              <w:rPr>
                <w:b/>
                <w:bCs/>
                <w:sz w:val="18"/>
              </w:rPr>
            </w:pPr>
            <w:r w:rsidRPr="00D33788">
              <w:rPr>
                <w:b/>
                <w:bCs/>
                <w:sz w:val="18"/>
                <w:lang w:val="es-ES_tradnl"/>
              </w:rPr>
              <w:t>Resultados previstos</w:t>
            </w:r>
          </w:p>
        </w:tc>
        <w:tc>
          <w:tcPr>
            <w:tcW w:w="2600" w:type="dxa"/>
            <w:tcBorders>
              <w:top w:val="single" w:sz="4" w:space="0" w:color="auto"/>
              <w:left w:val="nil"/>
              <w:bottom w:val="single" w:sz="4" w:space="0" w:color="auto"/>
              <w:right w:val="nil"/>
            </w:tcBorders>
            <w:shd w:val="clear" w:color="auto" w:fill="C6D9F1"/>
            <w:noWrap/>
            <w:vAlign w:val="center"/>
            <w:hideMark/>
          </w:tcPr>
          <w:p w:rsidR="00CF18C3" w:rsidRPr="00D33788" w:rsidRDefault="00CF18C3" w:rsidP="000A0481">
            <w:pPr>
              <w:keepNext/>
              <w:keepLines/>
              <w:jc w:val="center"/>
              <w:rPr>
                <w:b/>
                <w:bCs/>
                <w:sz w:val="18"/>
              </w:rPr>
            </w:pPr>
            <w:r w:rsidRPr="00D33788">
              <w:rPr>
                <w:b/>
                <w:bCs/>
                <w:sz w:val="18"/>
                <w:lang w:val="es-ES_tradnl"/>
              </w:rPr>
              <w:t>Indicadores de rendimiento</w:t>
            </w:r>
          </w:p>
        </w:tc>
        <w:tc>
          <w:tcPr>
            <w:tcW w:w="2520" w:type="dxa"/>
            <w:tcBorders>
              <w:top w:val="single" w:sz="4" w:space="0" w:color="auto"/>
              <w:left w:val="nil"/>
              <w:bottom w:val="single" w:sz="4" w:space="0" w:color="auto"/>
              <w:right w:val="nil"/>
            </w:tcBorders>
            <w:shd w:val="clear" w:color="auto" w:fill="C6D9F1"/>
            <w:noWrap/>
            <w:vAlign w:val="center"/>
            <w:hideMark/>
          </w:tcPr>
          <w:p w:rsidR="00CF18C3" w:rsidRPr="00D33788" w:rsidRDefault="00CF18C3" w:rsidP="000A0481">
            <w:pPr>
              <w:keepNext/>
              <w:keepLines/>
              <w:rPr>
                <w:b/>
                <w:bCs/>
                <w:sz w:val="18"/>
              </w:rPr>
            </w:pPr>
            <w:r w:rsidRPr="00D33788">
              <w:rPr>
                <w:b/>
                <w:bCs/>
                <w:sz w:val="18"/>
                <w:lang w:val="es-ES_tradnl"/>
              </w:rPr>
              <w:t>Referencia</w:t>
            </w:r>
          </w:p>
        </w:tc>
        <w:tc>
          <w:tcPr>
            <w:tcW w:w="1709" w:type="dxa"/>
            <w:tcBorders>
              <w:top w:val="single" w:sz="4" w:space="0" w:color="auto"/>
              <w:left w:val="nil"/>
              <w:bottom w:val="single" w:sz="4" w:space="0" w:color="auto"/>
              <w:right w:val="single" w:sz="4" w:space="0" w:color="auto"/>
            </w:tcBorders>
            <w:shd w:val="clear" w:color="auto" w:fill="C6D9F1"/>
            <w:noWrap/>
            <w:vAlign w:val="center"/>
            <w:hideMark/>
          </w:tcPr>
          <w:p w:rsidR="00CF18C3" w:rsidRPr="00D33788" w:rsidRDefault="00CF18C3" w:rsidP="000A0481">
            <w:pPr>
              <w:keepNext/>
              <w:keepLines/>
              <w:rPr>
                <w:b/>
                <w:bCs/>
                <w:sz w:val="18"/>
              </w:rPr>
            </w:pPr>
            <w:r w:rsidRPr="00D33788">
              <w:rPr>
                <w:b/>
                <w:bCs/>
                <w:sz w:val="18"/>
                <w:lang w:val="es-ES_tradnl"/>
              </w:rPr>
              <w:t>Objetivos</w:t>
            </w:r>
          </w:p>
        </w:tc>
      </w:tr>
      <w:tr w:rsidR="00CF18C3" w:rsidRPr="00D33788" w:rsidTr="000A0481">
        <w:trPr>
          <w:trHeight w:val="1691"/>
        </w:trPr>
        <w:tc>
          <w:tcPr>
            <w:tcW w:w="2400" w:type="dxa"/>
            <w:vMerge w:val="restart"/>
            <w:tcBorders>
              <w:top w:val="nil"/>
              <w:left w:val="single" w:sz="4" w:space="0" w:color="auto"/>
              <w:bottom w:val="nil"/>
              <w:right w:val="nil"/>
            </w:tcBorders>
            <w:shd w:val="clear" w:color="000000" w:fill="FFFFFF"/>
            <w:hideMark/>
          </w:tcPr>
          <w:p w:rsidR="00CF18C3" w:rsidRPr="00D455EB" w:rsidRDefault="00A65614" w:rsidP="000A0481">
            <w:pPr>
              <w:keepNext/>
              <w:keepLines/>
              <w:ind w:right="292"/>
              <w:rPr>
                <w:sz w:val="16"/>
                <w:szCs w:val="16"/>
              </w:rPr>
            </w:pPr>
            <w:r w:rsidRPr="00D455EB">
              <w:rPr>
                <w:sz w:val="16"/>
                <w:szCs w:val="16"/>
              </w:rPr>
              <w:br/>
              <w:t>I.1</w:t>
            </w:r>
            <w:r w:rsidR="00EF5C0E" w:rsidRPr="00D455EB">
              <w:rPr>
                <w:sz w:val="16"/>
                <w:szCs w:val="16"/>
              </w:rPr>
              <w:t xml:space="preserve"> </w:t>
            </w:r>
            <w:r w:rsidR="00CF18C3" w:rsidRPr="00D455EB">
              <w:rPr>
                <w:sz w:val="16"/>
                <w:szCs w:val="16"/>
              </w:rPr>
              <w:t xml:space="preserve"> </w:t>
            </w:r>
            <w:r w:rsidR="00BF4D0F" w:rsidRPr="00D455EB">
              <w:rPr>
                <w:sz w:val="16"/>
                <w:szCs w:val="16"/>
              </w:rPr>
              <w:t>Mayor cooperación entre los Estados miembros en la elaboración de marcos normativos internacionales de P.I. equilibrados</w:t>
            </w:r>
          </w:p>
        </w:tc>
        <w:tc>
          <w:tcPr>
            <w:tcW w:w="2600" w:type="dxa"/>
            <w:tcBorders>
              <w:top w:val="nil"/>
              <w:left w:val="nil"/>
              <w:bottom w:val="nil"/>
              <w:right w:val="nil"/>
            </w:tcBorders>
            <w:shd w:val="clear" w:color="000000" w:fill="FFFFFF"/>
            <w:hideMark/>
          </w:tcPr>
          <w:p w:rsidR="00CF18C3" w:rsidRPr="00D33788" w:rsidRDefault="00CF18C3" w:rsidP="000A0481">
            <w:pPr>
              <w:keepNext/>
              <w:keepLines/>
              <w:ind w:right="199"/>
              <w:rPr>
                <w:sz w:val="16"/>
                <w:szCs w:val="16"/>
              </w:rPr>
            </w:pPr>
            <w:r w:rsidRPr="00D33788">
              <w:rPr>
                <w:sz w:val="16"/>
                <w:szCs w:val="16"/>
              </w:rPr>
              <w:br/>
              <w:t xml:space="preserve">Progresos en la aplicación de las actividades normativas sobre P.I. y RR.GG., CC.TT. y ECT, según lo acordado por los Estados miembros. </w:t>
            </w:r>
          </w:p>
        </w:tc>
        <w:tc>
          <w:tcPr>
            <w:tcW w:w="2520" w:type="dxa"/>
            <w:tcBorders>
              <w:top w:val="nil"/>
              <w:left w:val="nil"/>
              <w:bottom w:val="nil"/>
              <w:right w:val="nil"/>
            </w:tcBorders>
            <w:shd w:val="clear" w:color="000000" w:fill="FFFFFF"/>
            <w:hideMark/>
          </w:tcPr>
          <w:p w:rsidR="00CF18C3" w:rsidRPr="00D33788" w:rsidRDefault="00CF18C3" w:rsidP="000A0481">
            <w:pPr>
              <w:keepNext/>
              <w:keepLines/>
              <w:ind w:right="309"/>
              <w:rPr>
                <w:sz w:val="16"/>
                <w:szCs w:val="16"/>
              </w:rPr>
            </w:pPr>
            <w:r w:rsidRPr="00D33788">
              <w:rPr>
                <w:sz w:val="16"/>
                <w:szCs w:val="16"/>
              </w:rPr>
              <w:br/>
              <w:t xml:space="preserve">Situación actual de las negociaciones entre los Estados miembros sobre P.I. y RR.GG., CC.TT. y ECT, reflejada en los documentos WIPO/GRTKF/IC/28/4, WIPO/GRTKF/IC/28/5 y WIPO/GRTKF/IC/28/6, respectivamente.  </w:t>
            </w:r>
          </w:p>
        </w:tc>
        <w:tc>
          <w:tcPr>
            <w:tcW w:w="1709" w:type="dxa"/>
            <w:tcBorders>
              <w:top w:val="nil"/>
              <w:left w:val="nil"/>
              <w:bottom w:val="nil"/>
              <w:right w:val="single" w:sz="4" w:space="0" w:color="auto"/>
            </w:tcBorders>
            <w:shd w:val="clear" w:color="000000" w:fill="FFFFFF"/>
            <w:hideMark/>
          </w:tcPr>
          <w:p w:rsidR="00CF18C3" w:rsidRPr="00D33788" w:rsidRDefault="00CF18C3" w:rsidP="000A0481">
            <w:pPr>
              <w:keepNext/>
              <w:keepLines/>
              <w:rPr>
                <w:sz w:val="16"/>
                <w:szCs w:val="16"/>
              </w:rPr>
            </w:pPr>
            <w:r w:rsidRPr="00D33788">
              <w:rPr>
                <w:sz w:val="16"/>
                <w:szCs w:val="16"/>
              </w:rPr>
              <w:br/>
              <w:t xml:space="preserve">Resultados acordados de las actividades normativas. </w:t>
            </w:r>
          </w:p>
        </w:tc>
      </w:tr>
      <w:tr w:rsidR="00CF18C3" w:rsidRPr="00D33788" w:rsidTr="000A0481">
        <w:trPr>
          <w:trHeight w:val="360"/>
        </w:trPr>
        <w:tc>
          <w:tcPr>
            <w:tcW w:w="2400" w:type="dxa"/>
            <w:vMerge/>
            <w:tcBorders>
              <w:top w:val="nil"/>
              <w:left w:val="single" w:sz="4" w:space="0" w:color="auto"/>
              <w:bottom w:val="nil"/>
              <w:right w:val="nil"/>
            </w:tcBorders>
            <w:vAlign w:val="center"/>
            <w:hideMark/>
          </w:tcPr>
          <w:p w:rsidR="00CF18C3" w:rsidRPr="00D455EB" w:rsidRDefault="00CF18C3" w:rsidP="000A0481">
            <w:pPr>
              <w:ind w:right="292"/>
              <w:rPr>
                <w:sz w:val="16"/>
                <w:szCs w:val="16"/>
              </w:rPr>
            </w:pPr>
          </w:p>
        </w:tc>
        <w:tc>
          <w:tcPr>
            <w:tcW w:w="2600" w:type="dxa"/>
            <w:tcBorders>
              <w:top w:val="nil"/>
              <w:left w:val="nil"/>
              <w:bottom w:val="nil"/>
              <w:right w:val="nil"/>
            </w:tcBorders>
            <w:shd w:val="clear" w:color="000000" w:fill="FFFFFF"/>
            <w:hideMark/>
          </w:tcPr>
          <w:p w:rsidR="00CF18C3" w:rsidRPr="00D33788" w:rsidRDefault="00CF18C3" w:rsidP="000A0481">
            <w:pPr>
              <w:ind w:right="199"/>
              <w:rPr>
                <w:sz w:val="16"/>
                <w:szCs w:val="16"/>
              </w:rPr>
            </w:pPr>
            <w:r w:rsidRPr="00D33788">
              <w:rPr>
                <w:sz w:val="16"/>
                <w:szCs w:val="16"/>
              </w:rPr>
              <w:t> </w:t>
            </w:r>
          </w:p>
        </w:tc>
        <w:tc>
          <w:tcPr>
            <w:tcW w:w="2520" w:type="dxa"/>
            <w:tcBorders>
              <w:top w:val="nil"/>
              <w:left w:val="nil"/>
              <w:bottom w:val="nil"/>
              <w:right w:val="nil"/>
            </w:tcBorders>
            <w:shd w:val="clear" w:color="000000" w:fill="FFFFFF"/>
            <w:hideMark/>
          </w:tcPr>
          <w:p w:rsidR="00CF18C3" w:rsidRPr="00D33788" w:rsidRDefault="00CF18C3" w:rsidP="000A0481">
            <w:pPr>
              <w:ind w:right="309"/>
              <w:rPr>
                <w:sz w:val="16"/>
                <w:szCs w:val="16"/>
              </w:rPr>
            </w:pPr>
            <w:r w:rsidRPr="00D33788">
              <w:rPr>
                <w:sz w:val="16"/>
                <w:szCs w:val="16"/>
              </w:rPr>
              <w:t> </w:t>
            </w:r>
          </w:p>
        </w:tc>
        <w:tc>
          <w:tcPr>
            <w:tcW w:w="1709" w:type="dxa"/>
            <w:tcBorders>
              <w:top w:val="nil"/>
              <w:left w:val="nil"/>
              <w:bottom w:val="nil"/>
              <w:right w:val="single" w:sz="4" w:space="0" w:color="auto"/>
            </w:tcBorders>
            <w:shd w:val="clear" w:color="000000" w:fill="FFFFFF"/>
            <w:hideMark/>
          </w:tcPr>
          <w:p w:rsidR="00CF18C3" w:rsidRPr="00D33788" w:rsidRDefault="00CF18C3" w:rsidP="000A0481">
            <w:pPr>
              <w:rPr>
                <w:sz w:val="16"/>
                <w:szCs w:val="16"/>
              </w:rPr>
            </w:pPr>
            <w:r w:rsidRPr="00D33788">
              <w:rPr>
                <w:sz w:val="16"/>
                <w:szCs w:val="16"/>
              </w:rPr>
              <w:t> </w:t>
            </w:r>
          </w:p>
        </w:tc>
      </w:tr>
      <w:tr w:rsidR="00CF18C3" w:rsidRPr="00D33788" w:rsidTr="000A0481">
        <w:trPr>
          <w:trHeight w:val="1723"/>
        </w:trPr>
        <w:tc>
          <w:tcPr>
            <w:tcW w:w="2400" w:type="dxa"/>
            <w:tcBorders>
              <w:top w:val="nil"/>
              <w:left w:val="single" w:sz="4" w:space="0" w:color="auto"/>
              <w:bottom w:val="single" w:sz="4" w:space="0" w:color="auto"/>
              <w:right w:val="nil"/>
            </w:tcBorders>
            <w:shd w:val="clear" w:color="000000" w:fill="FFFFFF"/>
            <w:hideMark/>
          </w:tcPr>
          <w:p w:rsidR="00CF18C3" w:rsidRPr="00D455EB" w:rsidRDefault="00A65614" w:rsidP="00EF5C0E">
            <w:pPr>
              <w:ind w:right="292"/>
              <w:rPr>
                <w:sz w:val="16"/>
                <w:szCs w:val="16"/>
              </w:rPr>
            </w:pPr>
            <w:r w:rsidRPr="00D455EB">
              <w:rPr>
                <w:sz w:val="16"/>
                <w:szCs w:val="16"/>
                <w:lang w:val="es-ES_tradnl"/>
              </w:rPr>
              <w:t>III.2</w:t>
            </w:r>
            <w:r w:rsidR="00CF18C3" w:rsidRPr="00D455EB">
              <w:rPr>
                <w:sz w:val="16"/>
                <w:szCs w:val="16"/>
                <w:lang w:val="es-ES_tradnl"/>
              </w:rPr>
              <w:t xml:space="preserve"> </w:t>
            </w:r>
            <w:r w:rsidR="001C77D9" w:rsidRPr="00D455EB">
              <w:rPr>
                <w:sz w:val="16"/>
                <w:szCs w:val="16"/>
                <w:lang w:val="es-ES_tradnl"/>
              </w:rPr>
              <w:t xml:space="preserve"> </w:t>
            </w:r>
            <w:r w:rsidR="006C23D5" w:rsidRPr="00D455EB">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600" w:type="dxa"/>
            <w:tcBorders>
              <w:top w:val="nil"/>
              <w:left w:val="nil"/>
              <w:bottom w:val="single" w:sz="4" w:space="0" w:color="auto"/>
              <w:right w:val="nil"/>
            </w:tcBorders>
            <w:shd w:val="clear" w:color="000000" w:fill="FFFFFF"/>
            <w:hideMark/>
          </w:tcPr>
          <w:p w:rsidR="00CF18C3" w:rsidRDefault="003959A6" w:rsidP="000A0481">
            <w:pPr>
              <w:tabs>
                <w:tab w:val="left" w:pos="2043"/>
              </w:tabs>
              <w:ind w:right="199"/>
              <w:rPr>
                <w:sz w:val="16"/>
                <w:szCs w:val="16"/>
              </w:rPr>
            </w:pPr>
            <w:r w:rsidRPr="008E4709">
              <w:rPr>
                <w:sz w:val="16"/>
                <w:szCs w:val="16"/>
              </w:rPr>
              <w:t>Porcentaje de participantes en actividades de la OMPI que informan de que han aumentado su capacidad para comprender y utilizar principios, sistemas y herramientas de P.I. para la protección de los CC.TT. y las ECT, y para la gestión de la relación entre la P.I. y los RR.GG.</w:t>
            </w:r>
          </w:p>
          <w:p w:rsidR="003959A6" w:rsidRPr="00D33788" w:rsidRDefault="003959A6" w:rsidP="000A0481">
            <w:pPr>
              <w:tabs>
                <w:tab w:val="left" w:pos="2043"/>
              </w:tabs>
              <w:ind w:right="199"/>
              <w:rPr>
                <w:sz w:val="16"/>
                <w:szCs w:val="16"/>
              </w:rPr>
            </w:pPr>
          </w:p>
        </w:tc>
        <w:tc>
          <w:tcPr>
            <w:tcW w:w="2520" w:type="dxa"/>
            <w:tcBorders>
              <w:top w:val="nil"/>
              <w:left w:val="nil"/>
              <w:bottom w:val="single" w:sz="4" w:space="0" w:color="auto"/>
              <w:right w:val="nil"/>
            </w:tcBorders>
            <w:shd w:val="clear" w:color="000000" w:fill="FFFFFF"/>
            <w:hideMark/>
          </w:tcPr>
          <w:p w:rsidR="00CF18C3" w:rsidRPr="00D33788" w:rsidRDefault="00CF18C3" w:rsidP="000A0481">
            <w:pPr>
              <w:ind w:right="309"/>
              <w:rPr>
                <w:sz w:val="16"/>
                <w:szCs w:val="16"/>
              </w:rPr>
            </w:pPr>
            <w:r w:rsidRPr="00D33788">
              <w:rPr>
                <w:sz w:val="16"/>
                <w:szCs w:val="16"/>
              </w:rPr>
              <w:t>El 91% (163 de 179) de los participantes han respondido positivamente (cuestionario de evaluación utilizado en 9 actividades organizadas por la División de CC.TT. en 2014).</w:t>
            </w:r>
          </w:p>
        </w:tc>
        <w:tc>
          <w:tcPr>
            <w:tcW w:w="1709" w:type="dxa"/>
            <w:tcBorders>
              <w:top w:val="nil"/>
              <w:left w:val="nil"/>
              <w:bottom w:val="single" w:sz="4" w:space="0" w:color="auto"/>
              <w:right w:val="single" w:sz="4" w:space="0" w:color="auto"/>
            </w:tcBorders>
            <w:shd w:val="clear" w:color="000000" w:fill="FFFFFF"/>
            <w:hideMark/>
          </w:tcPr>
          <w:p w:rsidR="00CF18C3" w:rsidRPr="00D33788" w:rsidRDefault="00CF18C3" w:rsidP="000A0481">
            <w:pPr>
              <w:rPr>
                <w:sz w:val="16"/>
                <w:szCs w:val="16"/>
              </w:rPr>
            </w:pPr>
            <w:r w:rsidRPr="00D33788">
              <w:rPr>
                <w:sz w:val="16"/>
                <w:szCs w:val="16"/>
              </w:rPr>
              <w:t>80%</w:t>
            </w:r>
          </w:p>
        </w:tc>
      </w:tr>
    </w:tbl>
    <w:p w:rsidR="00CF18C3" w:rsidRPr="00D33788" w:rsidRDefault="00CF18C3" w:rsidP="00CF18C3">
      <w:pPr>
        <w:jc w:val="both"/>
        <w:rPr>
          <w:bCs/>
          <w:szCs w:val="22"/>
        </w:rPr>
      </w:pPr>
    </w:p>
    <w:p w:rsidR="00CF18C3" w:rsidRPr="00D33788" w:rsidRDefault="00CF18C3" w:rsidP="00CF18C3">
      <w:pPr>
        <w:jc w:val="both"/>
        <w:rPr>
          <w:bCs/>
          <w:szCs w:val="22"/>
        </w:rPr>
      </w:pPr>
    </w:p>
    <w:p w:rsidR="00CF18C3" w:rsidRPr="000D153F" w:rsidRDefault="005B580B" w:rsidP="00CF18C3">
      <w:pPr>
        <w:jc w:val="both"/>
        <w:rPr>
          <w:bCs/>
          <w:highlight w:val="lightGray"/>
        </w:rPr>
      </w:pPr>
      <w:r w:rsidRPr="000D153F">
        <w:rPr>
          <w:bCs/>
          <w:lang w:val="es-ES_tradnl"/>
        </w:rPr>
        <w:t>RECURSOS PARA EL PROGRAMA 4</w:t>
      </w:r>
    </w:p>
    <w:p w:rsidR="00CF18C3" w:rsidRPr="000D153F" w:rsidRDefault="00CF18C3" w:rsidP="00CF18C3">
      <w:pPr>
        <w:jc w:val="both"/>
        <w:rPr>
          <w:bCs/>
          <w:highlight w:val="lightGray"/>
        </w:rPr>
      </w:pPr>
    </w:p>
    <w:p w:rsidR="00CF18C3" w:rsidRPr="000D153F" w:rsidRDefault="000D153F" w:rsidP="00CF18C3">
      <w:pPr>
        <w:numPr>
          <w:ilvl w:val="0"/>
          <w:numId w:val="17"/>
        </w:numPr>
        <w:jc w:val="both"/>
        <w:rPr>
          <w:sz w:val="20"/>
        </w:rPr>
      </w:pPr>
      <w:r w:rsidRPr="00EB43D0">
        <w:rPr>
          <w:bCs/>
          <w:sz w:val="20"/>
          <w:lang w:val="es-ES_tradnl"/>
        </w:rPr>
        <w:t xml:space="preserve">En </w:t>
      </w:r>
      <w:r w:rsidR="00CF552A">
        <w:rPr>
          <w:bCs/>
          <w:sz w:val="20"/>
          <w:lang w:val="es-ES_tradnl"/>
        </w:rPr>
        <w:t xml:space="preserve">la dotación global de recursos para </w:t>
      </w:r>
      <w:r w:rsidRPr="00EB43D0">
        <w:rPr>
          <w:bCs/>
          <w:sz w:val="20"/>
          <w:lang w:val="es-ES_tradnl"/>
        </w:rPr>
        <w:t xml:space="preserve">el programa 4 en 2016/17 se puede apreciar un leve descenso con respecto al presupuesto de 2014/15 </w:t>
      </w:r>
      <w:r w:rsidR="00D455EB">
        <w:rPr>
          <w:bCs/>
          <w:sz w:val="20"/>
          <w:lang w:val="es-ES_tradnl"/>
        </w:rPr>
        <w:t>tras</w:t>
      </w:r>
      <w:r w:rsidRPr="00EB43D0">
        <w:rPr>
          <w:bCs/>
          <w:sz w:val="20"/>
          <w:lang w:val="es-ES_tradnl"/>
        </w:rPr>
        <w:t xml:space="preserve"> las transferencias.  Esto se debe al cambio efectuado en la metodología de cálculo del costo de los recursos de personal en 2016/17, basada en costos reales.</w:t>
      </w:r>
    </w:p>
    <w:p w:rsidR="00CF18C3" w:rsidRPr="000D153F" w:rsidRDefault="00CF18C3" w:rsidP="00CF18C3">
      <w:pPr>
        <w:jc w:val="both"/>
        <w:rPr>
          <w:sz w:val="20"/>
        </w:rPr>
      </w:pPr>
    </w:p>
    <w:p w:rsidR="00CF18C3" w:rsidRPr="000D153F" w:rsidRDefault="000D153F" w:rsidP="00CF18C3">
      <w:pPr>
        <w:numPr>
          <w:ilvl w:val="0"/>
          <w:numId w:val="17"/>
        </w:numPr>
        <w:jc w:val="both"/>
        <w:rPr>
          <w:sz w:val="20"/>
        </w:rPr>
      </w:pPr>
      <w:r w:rsidRPr="00EB43D0">
        <w:rPr>
          <w:bCs/>
          <w:sz w:val="20"/>
          <w:lang w:val="es-ES_tradnl"/>
        </w:rPr>
        <w:t xml:space="preserve">La disminución de los recursos no </w:t>
      </w:r>
      <w:r w:rsidR="00D455EB">
        <w:rPr>
          <w:bCs/>
          <w:sz w:val="20"/>
          <w:lang w:val="es-ES_tradnl"/>
        </w:rPr>
        <w:t>relativos</w:t>
      </w:r>
      <w:r w:rsidRPr="00EB43D0">
        <w:rPr>
          <w:bCs/>
          <w:sz w:val="20"/>
          <w:lang w:val="es-ES_tradnl"/>
        </w:rPr>
        <w:t xml:space="preserve"> a personal en 2016/17, en relación con el presupuesto de 2014/15 </w:t>
      </w:r>
      <w:r w:rsidR="00ED0A05">
        <w:rPr>
          <w:bCs/>
          <w:sz w:val="20"/>
          <w:lang w:val="es-ES_tradnl"/>
        </w:rPr>
        <w:t>tras</w:t>
      </w:r>
      <w:r w:rsidRPr="00EB43D0">
        <w:rPr>
          <w:bCs/>
          <w:sz w:val="20"/>
          <w:lang w:val="es-ES_tradnl"/>
        </w:rPr>
        <w:t xml:space="preserve"> las transferencias, se debe a la asignación presupuestaria para la eventual celebración de una conferencia diplomática en 2016/17, que ahora está anotada en la partida de fondos “sin consignar”.</w:t>
      </w:r>
    </w:p>
    <w:p w:rsidR="00CF18C3" w:rsidRPr="000D153F" w:rsidRDefault="00CF18C3" w:rsidP="00CF18C3">
      <w:pPr>
        <w:jc w:val="both"/>
        <w:rPr>
          <w:bCs/>
          <w:highlight w:val="lightGray"/>
        </w:rPr>
      </w:pPr>
    </w:p>
    <w:p w:rsidR="005B580B" w:rsidRPr="000D153F" w:rsidRDefault="005B580B" w:rsidP="005B580B">
      <w:pPr>
        <w:keepNext/>
        <w:keepLines/>
        <w:tabs>
          <w:tab w:val="center" w:pos="4513"/>
          <w:tab w:val="right" w:pos="9027"/>
        </w:tabs>
        <w:autoSpaceDE w:val="0"/>
        <w:autoSpaceDN w:val="0"/>
        <w:jc w:val="center"/>
        <w:rPr>
          <w:b/>
          <w:sz w:val="20"/>
          <w:lang w:val="es-ES_tradnl"/>
        </w:rPr>
      </w:pPr>
      <w:r w:rsidRPr="000D153F">
        <w:rPr>
          <w:b/>
          <w:sz w:val="20"/>
          <w:lang w:val="es-ES_tradnl"/>
        </w:rPr>
        <w:lastRenderedPageBreak/>
        <w:t>Programa 4</w:t>
      </w:r>
      <w:proofErr w:type="gramStart"/>
      <w:r w:rsidRPr="000D153F">
        <w:rPr>
          <w:b/>
          <w:sz w:val="20"/>
          <w:lang w:val="es-ES_tradnl"/>
        </w:rPr>
        <w:t>:  Recursos</w:t>
      </w:r>
      <w:proofErr w:type="gramEnd"/>
      <w:r w:rsidRPr="000D153F">
        <w:rPr>
          <w:b/>
          <w:sz w:val="20"/>
          <w:lang w:val="es-ES_tradnl"/>
        </w:rPr>
        <w:t xml:space="preserve"> por resultado</w:t>
      </w:r>
    </w:p>
    <w:p w:rsidR="00CF18C3" w:rsidRPr="000D153F" w:rsidRDefault="005B580B" w:rsidP="005B580B">
      <w:pPr>
        <w:keepNext/>
        <w:keepLines/>
        <w:autoSpaceDE w:val="0"/>
        <w:autoSpaceDN w:val="0"/>
        <w:jc w:val="center"/>
        <w:rPr>
          <w:i/>
          <w:sz w:val="20"/>
          <w:highlight w:val="lightGray"/>
          <w:lang w:val="es-ES_tradnl"/>
        </w:rPr>
      </w:pPr>
      <w:r w:rsidRPr="000D153F">
        <w:rPr>
          <w:i/>
          <w:sz w:val="20"/>
          <w:lang w:val="es-ES_tradnl"/>
        </w:rPr>
        <w:t>(</w:t>
      </w:r>
      <w:proofErr w:type="gramStart"/>
      <w:r w:rsidRPr="000D153F">
        <w:rPr>
          <w:i/>
          <w:sz w:val="20"/>
          <w:lang w:val="es-ES_tradnl"/>
        </w:rPr>
        <w:t>en</w:t>
      </w:r>
      <w:proofErr w:type="gramEnd"/>
      <w:r w:rsidRPr="000D153F">
        <w:rPr>
          <w:i/>
          <w:sz w:val="20"/>
          <w:lang w:val="es-ES_tradnl"/>
        </w:rPr>
        <w:t xml:space="preserve"> miles de francos suizos)</w:t>
      </w:r>
    </w:p>
    <w:p w:rsidR="00CF18C3" w:rsidRPr="000D153F" w:rsidRDefault="00CF18C3" w:rsidP="00CF18C3">
      <w:pPr>
        <w:keepNext/>
        <w:keepLines/>
        <w:autoSpaceDE w:val="0"/>
        <w:autoSpaceDN w:val="0"/>
        <w:jc w:val="center"/>
        <w:rPr>
          <w:i/>
          <w:sz w:val="20"/>
          <w:highlight w:val="lightGray"/>
          <w:lang w:val="es-ES_tradnl"/>
        </w:rPr>
      </w:pPr>
    </w:p>
    <w:p w:rsidR="00CF18C3" w:rsidRPr="00CF18C3" w:rsidRDefault="00510672" w:rsidP="00CF18C3">
      <w:pPr>
        <w:keepNext/>
        <w:keepLines/>
        <w:autoSpaceDE w:val="0"/>
        <w:autoSpaceDN w:val="0"/>
        <w:jc w:val="center"/>
        <w:rPr>
          <w:i/>
          <w:sz w:val="20"/>
          <w:highlight w:val="lightGray"/>
        </w:rPr>
      </w:pPr>
      <w:r w:rsidRPr="00510672">
        <w:rPr>
          <w:noProof/>
          <w:lang w:val="en-US" w:eastAsia="en-US"/>
        </w:rPr>
        <w:drawing>
          <wp:inline distT="0" distB="0" distL="0" distR="0">
            <wp:extent cx="5676900" cy="2794635"/>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76900" cy="2794635"/>
                    </a:xfrm>
                    <a:prstGeom prst="rect">
                      <a:avLst/>
                    </a:prstGeom>
                    <a:noFill/>
                    <a:ln>
                      <a:noFill/>
                    </a:ln>
                  </pic:spPr>
                </pic:pic>
              </a:graphicData>
            </a:graphic>
          </wp:inline>
        </w:drawing>
      </w:r>
    </w:p>
    <w:p w:rsidR="00CF18C3" w:rsidRPr="00CF18C3" w:rsidRDefault="00CF18C3" w:rsidP="00CF18C3">
      <w:pPr>
        <w:autoSpaceDE w:val="0"/>
        <w:autoSpaceDN w:val="0"/>
        <w:jc w:val="center"/>
        <w:rPr>
          <w:b/>
          <w:sz w:val="20"/>
          <w:highlight w:val="lightGray"/>
        </w:rPr>
      </w:pPr>
    </w:p>
    <w:p w:rsidR="005B580B" w:rsidRPr="003F17D8" w:rsidRDefault="005B580B" w:rsidP="005B580B">
      <w:pPr>
        <w:keepNext/>
        <w:keepLines/>
        <w:autoSpaceDE w:val="0"/>
        <w:autoSpaceDN w:val="0"/>
        <w:jc w:val="center"/>
        <w:rPr>
          <w:b/>
          <w:sz w:val="20"/>
          <w:lang w:val="es-ES_tradnl"/>
        </w:rPr>
      </w:pPr>
      <w:r w:rsidRPr="003F17D8">
        <w:rPr>
          <w:b/>
          <w:sz w:val="20"/>
          <w:lang w:val="es-ES_tradnl"/>
        </w:rPr>
        <w:lastRenderedPageBreak/>
        <w:t>Programa 4</w:t>
      </w:r>
      <w:proofErr w:type="gramStart"/>
      <w:r w:rsidRPr="003F17D8">
        <w:rPr>
          <w:b/>
          <w:sz w:val="20"/>
          <w:lang w:val="es-ES_tradnl"/>
        </w:rPr>
        <w:t>:  Recursos</w:t>
      </w:r>
      <w:proofErr w:type="gramEnd"/>
      <w:r w:rsidRPr="003F17D8">
        <w:rPr>
          <w:b/>
          <w:sz w:val="20"/>
          <w:lang w:val="es-ES_tradnl"/>
        </w:rPr>
        <w:t xml:space="preserve"> por objeto de gasto</w:t>
      </w:r>
    </w:p>
    <w:p w:rsidR="00CF18C3" w:rsidRPr="003F17D8" w:rsidRDefault="005B580B" w:rsidP="005B580B">
      <w:pPr>
        <w:keepNext/>
        <w:keepLines/>
        <w:autoSpaceDE w:val="0"/>
        <w:autoSpaceDN w:val="0"/>
        <w:jc w:val="center"/>
        <w:rPr>
          <w:i/>
          <w:sz w:val="20"/>
          <w:highlight w:val="lightGray"/>
          <w:lang w:val="es-ES_tradnl"/>
        </w:rPr>
      </w:pPr>
      <w:r w:rsidRPr="003F17D8">
        <w:rPr>
          <w:i/>
          <w:sz w:val="20"/>
          <w:lang w:val="es-ES_tradnl"/>
        </w:rPr>
        <w:t>(</w:t>
      </w:r>
      <w:proofErr w:type="gramStart"/>
      <w:r w:rsidRPr="003F17D8">
        <w:rPr>
          <w:i/>
          <w:sz w:val="20"/>
          <w:lang w:val="es-ES_tradnl"/>
        </w:rPr>
        <w:t>en</w:t>
      </w:r>
      <w:proofErr w:type="gramEnd"/>
      <w:r w:rsidRPr="003F17D8">
        <w:rPr>
          <w:i/>
          <w:sz w:val="20"/>
          <w:lang w:val="es-ES_tradnl"/>
        </w:rPr>
        <w:t xml:space="preserve"> miles de francos suizos)</w:t>
      </w:r>
    </w:p>
    <w:p w:rsidR="00CF18C3" w:rsidRDefault="00CF18C3" w:rsidP="00CF18C3">
      <w:pPr>
        <w:keepNext/>
        <w:keepLines/>
        <w:autoSpaceDE w:val="0"/>
        <w:autoSpaceDN w:val="0"/>
        <w:jc w:val="center"/>
        <w:rPr>
          <w:i/>
          <w:sz w:val="20"/>
          <w:highlight w:val="lightGray"/>
          <w:lang w:val="es-ES_tradnl"/>
        </w:rPr>
      </w:pPr>
    </w:p>
    <w:p w:rsidR="00AF23F9" w:rsidRPr="005B580B" w:rsidRDefault="00835617" w:rsidP="00CF18C3">
      <w:pPr>
        <w:keepNext/>
        <w:keepLines/>
        <w:autoSpaceDE w:val="0"/>
        <w:autoSpaceDN w:val="0"/>
        <w:jc w:val="center"/>
        <w:rPr>
          <w:i/>
          <w:sz w:val="20"/>
          <w:highlight w:val="lightGray"/>
          <w:lang w:val="es-ES_tradnl"/>
        </w:rPr>
      </w:pPr>
      <w:r>
        <w:rPr>
          <w:noProof/>
          <w:lang w:val="en-US" w:eastAsia="en-US"/>
        </w:rPr>
        <w:drawing>
          <wp:inline distT="0" distB="0" distL="0" distR="0" wp14:anchorId="67E38629" wp14:editId="1E9EB13B">
            <wp:extent cx="5940425" cy="6004526"/>
            <wp:effectExtent l="0" t="0" r="3175"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6004526"/>
                    </a:xfrm>
                    <a:prstGeom prst="rect">
                      <a:avLst/>
                    </a:prstGeom>
                    <a:noFill/>
                    <a:ln>
                      <a:noFill/>
                    </a:ln>
                  </pic:spPr>
                </pic:pic>
              </a:graphicData>
            </a:graphic>
          </wp:inline>
        </w:drawing>
      </w:r>
    </w:p>
    <w:p w:rsidR="00CF18C3" w:rsidRPr="009B4A78" w:rsidRDefault="00CF18C3" w:rsidP="00CF18C3">
      <w:pPr>
        <w:jc w:val="center"/>
        <w:rPr>
          <w:bCs/>
          <w:sz w:val="20"/>
        </w:rPr>
      </w:pPr>
    </w:p>
    <w:p w:rsidR="00CF18C3" w:rsidRPr="009B4A78" w:rsidRDefault="00CF18C3" w:rsidP="00CF18C3">
      <w:pPr>
        <w:jc w:val="both"/>
        <w:rPr>
          <w:bCs/>
          <w:sz w:val="20"/>
        </w:rPr>
      </w:pPr>
    </w:p>
    <w:p w:rsidR="00CF18C3" w:rsidRPr="009B4A78" w:rsidRDefault="00CF18C3" w:rsidP="00CF18C3">
      <w:pPr>
        <w:jc w:val="both"/>
        <w:rPr>
          <w:bCs/>
          <w:sz w:val="20"/>
        </w:rPr>
      </w:pPr>
    </w:p>
    <w:p w:rsidR="00CF18C3" w:rsidRPr="00D33788" w:rsidRDefault="00CF18C3" w:rsidP="00CF18C3">
      <w:pPr>
        <w:jc w:val="both"/>
        <w:rPr>
          <w:bCs/>
          <w:szCs w:val="22"/>
        </w:rPr>
      </w:pPr>
    </w:p>
    <w:p w:rsidR="00CF18C3" w:rsidRDefault="00CF18C3" w:rsidP="002E3E28">
      <w:pPr>
        <w:rPr>
          <w:szCs w:val="22"/>
          <w:lang w:val="en-US"/>
        </w:rPr>
        <w:sectPr w:rsidR="00CF18C3" w:rsidSect="00272D37">
          <w:headerReference w:type="first" r:id="rId65"/>
          <w:pgSz w:w="11907" w:h="16840" w:code="9"/>
          <w:pgMar w:top="567" w:right="1134" w:bottom="1134" w:left="1418" w:header="510" w:footer="1021" w:gutter="0"/>
          <w:cols w:space="720"/>
          <w:titlePg/>
          <w:docGrid w:linePitch="299"/>
        </w:sectPr>
      </w:pPr>
    </w:p>
    <w:p w:rsidR="00CF18C3" w:rsidRPr="00473C96" w:rsidRDefault="005B580B" w:rsidP="00CF552A">
      <w:pPr>
        <w:pStyle w:val="StyleStyleHeading3ComplexItalicLatin12pt"/>
        <w:tabs>
          <w:tab w:val="clear" w:pos="1985"/>
          <w:tab w:val="left" w:pos="-142"/>
          <w:tab w:val="left" w:pos="3119"/>
        </w:tabs>
        <w:ind w:left="3119" w:hanging="3119"/>
        <w:rPr>
          <w:rStyle w:val="StyleStyleHeading3ComplexItalicLatin12ptChar"/>
          <w:rFonts w:eastAsia="SimSun"/>
          <w:b/>
          <w:lang w:val="es-ES_tradnl"/>
        </w:rPr>
      </w:pPr>
      <w:bookmarkStart w:id="30" w:name="_Toc367350576"/>
      <w:bookmarkStart w:id="31" w:name="_Toc419283245"/>
      <w:bookmarkStart w:id="32" w:name="_Toc420681135"/>
      <w:r w:rsidRPr="00473C96">
        <w:rPr>
          <w:rStyle w:val="StyleStyleHeading3ComplexItalicLatin12ptChar"/>
          <w:rFonts w:eastAsia="SimSun"/>
          <w:b/>
          <w:lang w:val="es-ES_tradnl"/>
        </w:rPr>
        <w:lastRenderedPageBreak/>
        <w:t>META ESTRATÉGICA II</w:t>
      </w:r>
      <w:r w:rsidR="00CF18C3" w:rsidRPr="00473C96">
        <w:rPr>
          <w:rStyle w:val="StyleStyleHeading3ComplexItalicLatin12ptChar"/>
          <w:rFonts w:eastAsia="SimSun"/>
          <w:b/>
          <w:lang w:val="es-ES_tradnl"/>
        </w:rPr>
        <w:tab/>
      </w:r>
      <w:bookmarkEnd w:id="30"/>
      <w:bookmarkEnd w:id="31"/>
      <w:r w:rsidRPr="00473C96">
        <w:rPr>
          <w:rStyle w:val="StyleStyleHeading3ComplexItalicLatin12ptChar"/>
          <w:rFonts w:eastAsia="SimSun"/>
          <w:b/>
          <w:lang w:val="es-ES_tradnl"/>
        </w:rPr>
        <w:t>PRESTACIÓN DE SERVICIOS MUNDIALES DE P.I. DE CALIDAD</w:t>
      </w:r>
      <w:bookmarkEnd w:id="32"/>
    </w:p>
    <w:p w:rsidR="00CF18C3" w:rsidRPr="00CE4183" w:rsidRDefault="00CF18C3" w:rsidP="005B580B">
      <w:pPr>
        <w:jc w:val="center"/>
        <w:rPr>
          <w:bCs/>
          <w:caps/>
          <w:sz w:val="20"/>
          <w:highlight w:val="lightGray"/>
          <w:lang w:val="es-ES_tradnl"/>
        </w:rPr>
      </w:pPr>
    </w:p>
    <w:p w:rsidR="00CF18C3" w:rsidRPr="00CE4183" w:rsidRDefault="00CF18C3" w:rsidP="005B580B">
      <w:pPr>
        <w:tabs>
          <w:tab w:val="left" w:pos="1701"/>
        </w:tabs>
        <w:jc w:val="center"/>
        <w:rPr>
          <w:bCs/>
          <w:caps/>
          <w:sz w:val="20"/>
          <w:highlight w:val="lightGray"/>
          <w:lang w:val="es-ES_tradnl"/>
        </w:rPr>
      </w:pPr>
    </w:p>
    <w:p w:rsidR="00CF18C3" w:rsidRPr="00CF552A" w:rsidRDefault="00CE4183" w:rsidP="00CF18C3">
      <w:pPr>
        <w:autoSpaceDE w:val="0"/>
        <w:autoSpaceDN w:val="0"/>
        <w:adjustRightInd w:val="0"/>
        <w:jc w:val="both"/>
        <w:rPr>
          <w:sz w:val="20"/>
          <w:highlight w:val="lightGray"/>
          <w:lang w:val="es-ES_tradnl"/>
        </w:rPr>
      </w:pPr>
      <w:r w:rsidRPr="00CF552A">
        <w:rPr>
          <w:sz w:val="20"/>
          <w:lang w:val="es-ES_tradnl"/>
        </w:rPr>
        <w:t>Esta meta estratégica engloba los principales servicios de la OMPI, que son también las principales fuentes de ingresos de la Organización.  Su finalidad es velar por que los sistemas mundiales y servicios alternativos de solución de controversias sean la opción número uno de los usuarios, ofreciendo con ese fin servicios interesantes y rentables que les aporten valor añadido.</w:t>
      </w:r>
    </w:p>
    <w:p w:rsidR="00CF18C3" w:rsidRPr="00CE4183" w:rsidRDefault="00CF18C3" w:rsidP="00CF18C3">
      <w:pPr>
        <w:rPr>
          <w:sz w:val="20"/>
          <w:highlight w:val="lightGray"/>
          <w:lang w:val="es-ES_tradnl"/>
        </w:rPr>
      </w:pPr>
    </w:p>
    <w:p w:rsidR="000733CB" w:rsidRPr="00CE4183" w:rsidRDefault="000733CB" w:rsidP="00CF18C3">
      <w:pPr>
        <w:rPr>
          <w:sz w:val="20"/>
          <w:highlight w:val="yellow"/>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73"/>
        <w:gridCol w:w="3628"/>
        <w:gridCol w:w="2492"/>
      </w:tblGrid>
      <w:tr w:rsidR="00662D9E" w:rsidRPr="00662D9E" w:rsidTr="00550C8B">
        <w:trPr>
          <w:cantSplit/>
          <w:tblHeader/>
        </w:trPr>
        <w:tc>
          <w:tcPr>
            <w:tcW w:w="1707" w:type="pct"/>
            <w:tcBorders>
              <w:top w:val="single" w:sz="4" w:space="0" w:color="auto"/>
              <w:bottom w:val="single" w:sz="4" w:space="0" w:color="auto"/>
            </w:tcBorders>
            <w:shd w:val="clear" w:color="auto" w:fill="C6D9F1" w:themeFill="text2" w:themeFillTint="33"/>
            <w:tcMar>
              <w:top w:w="85" w:type="dxa"/>
              <w:bottom w:w="85" w:type="dxa"/>
            </w:tcMar>
            <w:vAlign w:val="center"/>
          </w:tcPr>
          <w:p w:rsidR="00CE4183" w:rsidRPr="00662D9E" w:rsidRDefault="00CE4183" w:rsidP="00550C8B">
            <w:pPr>
              <w:spacing w:after="120"/>
              <w:jc w:val="center"/>
              <w:rPr>
                <w:b/>
                <w:bCs/>
                <w:sz w:val="18"/>
                <w:szCs w:val="18"/>
              </w:rPr>
            </w:pPr>
            <w:r w:rsidRPr="00662D9E">
              <w:rPr>
                <w:b/>
                <w:bCs/>
                <w:sz w:val="18"/>
                <w:szCs w:val="18"/>
                <w:lang w:val="es-ES_tradnl"/>
              </w:rPr>
              <w:t>Resultados previstos</w:t>
            </w:r>
          </w:p>
        </w:tc>
        <w:tc>
          <w:tcPr>
            <w:tcW w:w="1952" w:type="pct"/>
            <w:tcBorders>
              <w:top w:val="single" w:sz="4" w:space="0" w:color="auto"/>
              <w:bottom w:val="single" w:sz="4" w:space="0" w:color="auto"/>
            </w:tcBorders>
            <w:shd w:val="clear" w:color="auto" w:fill="C6D9F1" w:themeFill="text2" w:themeFillTint="33"/>
            <w:tcMar>
              <w:top w:w="85" w:type="dxa"/>
              <w:bottom w:w="85" w:type="dxa"/>
            </w:tcMar>
            <w:vAlign w:val="center"/>
          </w:tcPr>
          <w:p w:rsidR="00CE4183" w:rsidRPr="00662D9E" w:rsidRDefault="00CE4183" w:rsidP="00550C8B">
            <w:pPr>
              <w:spacing w:after="120"/>
              <w:jc w:val="center"/>
              <w:rPr>
                <w:b/>
                <w:sz w:val="18"/>
                <w:szCs w:val="18"/>
              </w:rPr>
            </w:pPr>
            <w:r w:rsidRPr="00662D9E">
              <w:rPr>
                <w:b/>
                <w:sz w:val="18"/>
                <w:szCs w:val="18"/>
                <w:lang w:val="es-ES_tradnl"/>
              </w:rPr>
              <w:t>Indicadores de rendimiento</w:t>
            </w:r>
          </w:p>
        </w:tc>
        <w:tc>
          <w:tcPr>
            <w:tcW w:w="1341" w:type="pct"/>
            <w:tcBorders>
              <w:top w:val="single" w:sz="4" w:space="0" w:color="auto"/>
              <w:bottom w:val="single" w:sz="4" w:space="0" w:color="auto"/>
            </w:tcBorders>
            <w:shd w:val="clear" w:color="auto" w:fill="C6D9F1" w:themeFill="text2" w:themeFillTint="33"/>
            <w:tcMar>
              <w:top w:w="85" w:type="dxa"/>
              <w:bottom w:w="85" w:type="dxa"/>
            </w:tcMar>
            <w:vAlign w:val="center"/>
          </w:tcPr>
          <w:p w:rsidR="00CE4183" w:rsidRPr="00662D9E" w:rsidRDefault="00CE4183" w:rsidP="00550C8B">
            <w:pPr>
              <w:spacing w:after="120"/>
              <w:ind w:left="85"/>
              <w:jc w:val="center"/>
              <w:rPr>
                <w:sz w:val="18"/>
                <w:szCs w:val="18"/>
              </w:rPr>
            </w:pPr>
            <w:r w:rsidRPr="00662D9E">
              <w:rPr>
                <w:b/>
                <w:sz w:val="18"/>
                <w:szCs w:val="18"/>
                <w:lang w:val="es-ES_tradnl"/>
              </w:rPr>
              <w:t>Programas responsables</w:t>
            </w:r>
          </w:p>
        </w:tc>
      </w:tr>
      <w:tr w:rsidR="00662D9E" w:rsidRPr="00662D9E" w:rsidTr="00550C8B">
        <w:trPr>
          <w:cantSplit/>
        </w:trPr>
        <w:tc>
          <w:tcPr>
            <w:tcW w:w="1707"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 xml:space="preserve">II.1  </w:t>
            </w:r>
            <w:r w:rsidR="006C23D5" w:rsidRPr="00ED0A05">
              <w:rPr>
                <w:sz w:val="16"/>
                <w:szCs w:val="16"/>
                <w:lang w:val="es-ES_tradnl"/>
              </w:rPr>
              <w:t>Mayor y más eficaz utilización del Sistema del PCT para presentar solicitudes internacionales de patentes</w:t>
            </w: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Nivel de satisfacción de los usuarios del PCT respecto de los servicios, específicos del PCT, de asesoramiento jurídico, información, formación y de atención al cliente.</w:t>
            </w:r>
          </w:p>
        </w:tc>
        <w:tc>
          <w:tcPr>
            <w:tcW w:w="1341" w:type="pct"/>
            <w:shd w:val="clear" w:color="auto" w:fill="FFFFFF"/>
            <w:tcMar>
              <w:top w:w="85" w:type="dxa"/>
              <w:bottom w:w="85" w:type="dxa"/>
            </w:tcMar>
          </w:tcPr>
          <w:p w:rsidR="00CE4183" w:rsidRPr="00662D9E" w:rsidRDefault="00CE4183" w:rsidP="00550C8B">
            <w:pPr>
              <w:ind w:left="441"/>
              <w:rPr>
                <w:sz w:val="16"/>
                <w:szCs w:val="16"/>
              </w:rPr>
            </w:pPr>
            <w:r w:rsidRPr="00662D9E">
              <w:rPr>
                <w:sz w:val="16"/>
                <w:szCs w:val="16"/>
                <w:lang w:val="es-ES_tradnl"/>
              </w:rPr>
              <w:t>Programa 5</w:t>
            </w:r>
          </w:p>
        </w:tc>
      </w:tr>
      <w:tr w:rsidR="00662D9E" w:rsidRPr="00662D9E" w:rsidTr="00550C8B">
        <w:trPr>
          <w:cantSplit/>
          <w:trHeight w:val="11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Satisfacción de las oficinas y las Administraciones internacionales con las actividades de cooperación en el marco del PCT.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11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Desarrollo continuo del sistema del PCT, sobre todo gracias a la aplicación de las recomendaciones de la hoja de ruta del PCT suscritas por los Estados miembros del PCT.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11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Mejora de los servicios electrónicos dirigidos a solicitantes, terceros, oficinas y Administraciones.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r w:rsidRPr="00662D9E">
              <w:rPr>
                <w:sz w:val="16"/>
                <w:szCs w:val="16"/>
                <w:lang w:bidi="th-TH"/>
              </w:rPr>
              <w:t xml:space="preserve"> </w:t>
            </w:r>
          </w:p>
        </w:tc>
      </w:tr>
      <w:tr w:rsidR="00662D9E" w:rsidRPr="00662D9E" w:rsidTr="00550C8B">
        <w:trPr>
          <w:cantSplit/>
          <w:trHeight w:val="31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CF552A">
            <w:pPr>
              <w:rPr>
                <w:sz w:val="16"/>
                <w:szCs w:val="16"/>
              </w:rPr>
            </w:pPr>
            <w:r w:rsidRPr="00662D9E">
              <w:rPr>
                <w:sz w:val="16"/>
                <w:szCs w:val="16"/>
                <w:lang w:val="es-ES_tradnl"/>
              </w:rPr>
              <w:t>N</w:t>
            </w:r>
            <w:r w:rsidR="00CF552A">
              <w:rPr>
                <w:sz w:val="16"/>
                <w:szCs w:val="16"/>
                <w:lang w:val="es-ES_tradnl"/>
              </w:rPr>
              <w:t>º</w:t>
            </w:r>
            <w:r w:rsidRPr="00662D9E">
              <w:rPr>
                <w:sz w:val="16"/>
                <w:szCs w:val="16"/>
                <w:lang w:val="es-ES_tradnl"/>
              </w:rPr>
              <w:t xml:space="preserve"> de solicitudes PCT procedentes de países </w:t>
            </w:r>
            <w:r w:rsidR="00CF552A">
              <w:rPr>
                <w:sz w:val="16"/>
                <w:szCs w:val="16"/>
                <w:lang w:val="es-ES_tradnl"/>
              </w:rPr>
              <w:t>en transición y desarrollados</w:t>
            </w:r>
            <w:r w:rsidRPr="00662D9E">
              <w:rPr>
                <w:sz w:val="16"/>
                <w:szCs w:val="16"/>
                <w:lang w:val="es-ES_tradnl"/>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p>
          <w:p w:rsidR="00CE4183" w:rsidRPr="00662D9E" w:rsidRDefault="00CE4183" w:rsidP="00550C8B">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tc>
      </w:tr>
      <w:tr w:rsidR="00662D9E" w:rsidRPr="00662D9E" w:rsidTr="00550C8B">
        <w:trPr>
          <w:cantSplit/>
          <w:trHeight w:val="31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F552A" w:rsidP="00CF552A">
            <w:pPr>
              <w:rPr>
                <w:sz w:val="16"/>
                <w:szCs w:val="16"/>
                <w:lang w:val="es-ES_tradnl"/>
              </w:rPr>
            </w:pPr>
            <w:r>
              <w:rPr>
                <w:sz w:val="16"/>
                <w:szCs w:val="16"/>
                <w:lang w:val="es-ES_tradnl"/>
              </w:rPr>
              <w:t>Nº</w:t>
            </w:r>
            <w:r w:rsidR="00CE4183" w:rsidRPr="00662D9E">
              <w:rPr>
                <w:sz w:val="16"/>
                <w:szCs w:val="16"/>
                <w:lang w:val="es-ES_tradnl"/>
              </w:rPr>
              <w:t xml:space="preserve"> de encuestados que muestra un uso más asiduo de los servicios de la OMPI en los 6 meses posteriores a su participación en los seminarios itinerantes sobre los servicios y las iniciativas de la OMPI.</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p>
        </w:tc>
      </w:tr>
      <w:tr w:rsidR="00662D9E" w:rsidRPr="00662D9E" w:rsidTr="00550C8B">
        <w:trPr>
          <w:cantSplit/>
          <w:trHeight w:val="67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Porcentaje de encargados de la adopción de políticas, funcionarios gubernamentales, profesionales de la P.I. y participantes en talleres con un mayor conocimiento del PCT y los temas conexos.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20</w:t>
            </w:r>
          </w:p>
        </w:tc>
      </w:tr>
      <w:tr w:rsidR="00662D9E" w:rsidRPr="00662D9E" w:rsidTr="00550C8B">
        <w:trPr>
          <w:cantSplit/>
          <w:trHeight w:val="45"/>
        </w:trPr>
        <w:tc>
          <w:tcPr>
            <w:tcW w:w="1707" w:type="pct"/>
            <w:shd w:val="clear" w:color="auto" w:fill="auto"/>
            <w:tcMar>
              <w:top w:w="85" w:type="dxa"/>
              <w:bottom w:w="85" w:type="dxa"/>
            </w:tcMar>
          </w:tcPr>
          <w:p w:rsidR="00CE4183" w:rsidRPr="00ED0A05" w:rsidRDefault="00CE4183" w:rsidP="00662D9E">
            <w:pPr>
              <w:rPr>
                <w:sz w:val="16"/>
                <w:szCs w:val="16"/>
              </w:rPr>
            </w:pPr>
            <w:r w:rsidRPr="00ED0A05">
              <w:rPr>
                <w:sz w:val="16"/>
                <w:szCs w:val="16"/>
                <w:lang w:val="es-ES_tradnl"/>
              </w:rPr>
              <w:t>II.3</w:t>
            </w:r>
            <w:r w:rsidR="00662D9E" w:rsidRPr="00ED0A05">
              <w:rPr>
                <w:sz w:val="16"/>
                <w:szCs w:val="16"/>
                <w:lang w:val="es-ES_tradnl"/>
              </w:rPr>
              <w:t xml:space="preserve"> </w:t>
            </w:r>
            <w:r w:rsidRPr="00ED0A05">
              <w:rPr>
                <w:sz w:val="16"/>
                <w:szCs w:val="16"/>
                <w:lang w:val="es-ES_tradnl"/>
              </w:rPr>
              <w:t xml:space="preserve"> </w:t>
            </w:r>
            <w:r w:rsidR="006C23D5" w:rsidRPr="00ED0A05">
              <w:rPr>
                <w:sz w:val="16"/>
                <w:szCs w:val="16"/>
                <w:lang w:val="es-ES_tradnl"/>
              </w:rPr>
              <w:t>Mejora de la productividad y de la calidad de los servicios en las operaciones del PCT</w:t>
            </w: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Costo unitario de tramitación de las solicitudes.</w:t>
            </w:r>
          </w:p>
          <w:p w:rsidR="00CE4183" w:rsidRPr="00662D9E" w:rsidRDefault="00CE4183" w:rsidP="00550C8B">
            <w:pPr>
              <w:rPr>
                <w:sz w:val="16"/>
                <w:szCs w:val="16"/>
                <w:lang w:val="es-ES_tradnl"/>
              </w:rPr>
            </w:pPr>
          </w:p>
          <w:p w:rsidR="00CE4183" w:rsidRPr="00662D9E" w:rsidRDefault="00CE4183" w:rsidP="00550C8B">
            <w:pPr>
              <w:rPr>
                <w:sz w:val="16"/>
                <w:szCs w:val="16"/>
              </w:rPr>
            </w:pPr>
            <w:r w:rsidRPr="00662D9E">
              <w:rPr>
                <w:sz w:val="16"/>
                <w:szCs w:val="16"/>
                <w:lang w:val="es-ES_tradnl"/>
              </w:rPr>
              <w:t>Calidad global del examen de forma (incluido el tiempo empleado).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r w:rsidRPr="00662D9E">
              <w:rPr>
                <w:sz w:val="16"/>
                <w:szCs w:val="16"/>
                <w:lang w:bidi="th-TH"/>
              </w:rPr>
              <w:t xml:space="preserve"> </w:t>
            </w: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201"/>
        </w:trPr>
        <w:tc>
          <w:tcPr>
            <w:tcW w:w="1707" w:type="pct"/>
            <w:shd w:val="clear" w:color="auto" w:fill="auto"/>
            <w:tcMar>
              <w:top w:w="85" w:type="dxa"/>
              <w:bottom w:w="85" w:type="dxa"/>
            </w:tcMar>
          </w:tcPr>
          <w:p w:rsidR="00CE4183" w:rsidRPr="00ED0A05"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Tiempo necesario para la traducción de los informes.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156"/>
        </w:trPr>
        <w:tc>
          <w:tcPr>
            <w:tcW w:w="1707" w:type="pct"/>
            <w:shd w:val="clear" w:color="auto" w:fill="auto"/>
            <w:tcMar>
              <w:top w:w="85" w:type="dxa"/>
              <w:bottom w:w="85" w:type="dxa"/>
            </w:tcMar>
          </w:tcPr>
          <w:p w:rsidR="00CE4183" w:rsidRPr="00ED0A05"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tabs>
                <w:tab w:val="left" w:pos="1860"/>
              </w:tabs>
              <w:rPr>
                <w:sz w:val="16"/>
                <w:szCs w:val="16"/>
              </w:rPr>
            </w:pPr>
            <w:r w:rsidRPr="00662D9E">
              <w:rPr>
                <w:sz w:val="16"/>
                <w:szCs w:val="16"/>
                <w:lang w:val="es-ES_tradnl"/>
              </w:rPr>
              <w:t>Calidad de las traducciones.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177"/>
        </w:trPr>
        <w:tc>
          <w:tcPr>
            <w:tcW w:w="1707" w:type="pct"/>
            <w:shd w:val="clear" w:color="auto" w:fill="auto"/>
            <w:tcMar>
              <w:top w:w="85" w:type="dxa"/>
              <w:bottom w:w="85" w:type="dxa"/>
            </w:tcMar>
          </w:tcPr>
          <w:p w:rsidR="00CE4183" w:rsidRPr="00ED0A05"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Calidad del desarrollo de programas informáticos.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550C8B">
        <w:trPr>
          <w:cantSplit/>
          <w:trHeight w:val="40"/>
        </w:trPr>
        <w:tc>
          <w:tcPr>
            <w:tcW w:w="1707" w:type="pct"/>
            <w:shd w:val="clear" w:color="auto" w:fill="auto"/>
            <w:tcMar>
              <w:top w:w="85" w:type="dxa"/>
              <w:bottom w:w="85" w:type="dxa"/>
            </w:tcMar>
          </w:tcPr>
          <w:p w:rsidR="00CE4183" w:rsidRPr="00ED0A05"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Niveles de los servicios prestados por los sistemas de información.</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5</w:t>
            </w:r>
          </w:p>
        </w:tc>
      </w:tr>
      <w:tr w:rsidR="00662D9E" w:rsidRPr="00662D9E" w:rsidTr="00CF552A">
        <w:trPr>
          <w:cantSplit/>
          <w:trHeight w:val="738"/>
        </w:trPr>
        <w:tc>
          <w:tcPr>
            <w:tcW w:w="1707" w:type="pct"/>
            <w:shd w:val="clear" w:color="auto" w:fill="auto"/>
            <w:tcMar>
              <w:top w:w="85" w:type="dxa"/>
              <w:bottom w:w="85" w:type="dxa"/>
            </w:tcMar>
          </w:tcPr>
          <w:p w:rsidR="00CE4183" w:rsidRPr="00ED0A05" w:rsidRDefault="00CE4183" w:rsidP="00662D9E">
            <w:pPr>
              <w:rPr>
                <w:sz w:val="16"/>
                <w:szCs w:val="16"/>
              </w:rPr>
            </w:pPr>
            <w:r w:rsidRPr="00ED0A05">
              <w:rPr>
                <w:sz w:val="16"/>
                <w:szCs w:val="16"/>
                <w:lang w:val="es-ES_tradnl"/>
              </w:rPr>
              <w:t>II.4</w:t>
            </w:r>
            <w:r w:rsidR="00662D9E" w:rsidRPr="00ED0A05">
              <w:rPr>
                <w:sz w:val="16"/>
                <w:szCs w:val="16"/>
                <w:lang w:val="es-ES_tradnl"/>
              </w:rPr>
              <w:t xml:space="preserve"> </w:t>
            </w:r>
            <w:r w:rsidRPr="00ED0A05">
              <w:rPr>
                <w:sz w:val="16"/>
                <w:szCs w:val="16"/>
                <w:lang w:val="es-ES_tradnl"/>
              </w:rPr>
              <w:t xml:space="preserve"> </w:t>
            </w:r>
            <w:r w:rsidR="00B74100" w:rsidRPr="00ED0A05">
              <w:rPr>
                <w:sz w:val="16"/>
                <w:szCs w:val="16"/>
                <w:lang w:val="es-ES_tradnl"/>
              </w:rPr>
              <w:t>Mayor y más eficaz utilización del Sistema de La Haya, entre otros, por los países en desarrollo y los PMA</w:t>
            </w: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solicitudes presentadas en el marco del Sistema de La Haya procedentes de países </w:t>
            </w:r>
            <w:r w:rsidR="00CF552A">
              <w:rPr>
                <w:sz w:val="16"/>
                <w:szCs w:val="16"/>
                <w:lang w:val="es-ES_tradnl"/>
              </w:rPr>
              <w:t>en transición, desarrollados</w:t>
            </w:r>
            <w:r w:rsidRPr="00662D9E">
              <w:rPr>
                <w:sz w:val="16"/>
                <w:szCs w:val="16"/>
                <w:lang w:val="es-ES_tradnl"/>
              </w:rPr>
              <w:t xml:space="preserve"> y en desarrollo.</w:t>
            </w:r>
          </w:p>
          <w:p w:rsidR="00CE4183" w:rsidRPr="00662D9E" w:rsidRDefault="00CE4183" w:rsidP="00550C8B">
            <w:pPr>
              <w:rPr>
                <w:sz w:val="16"/>
                <w:szCs w:val="16"/>
              </w:rPr>
            </w:pP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r w:rsidRPr="00662D9E">
              <w:rPr>
                <w:sz w:val="16"/>
                <w:szCs w:val="16"/>
                <w:lang w:bidi="th-TH"/>
              </w:rPr>
              <w:t xml:space="preserve"> </w:t>
            </w:r>
          </w:p>
          <w:p w:rsidR="00CE4183" w:rsidRPr="00662D9E" w:rsidRDefault="00CE4183" w:rsidP="00550C8B">
            <w:pPr>
              <w:ind w:left="441"/>
              <w:rPr>
                <w:sz w:val="16"/>
                <w:szCs w:val="16"/>
                <w:lang w:bidi="th-TH"/>
              </w:rPr>
            </w:pPr>
            <w:r w:rsidRPr="00662D9E">
              <w:rPr>
                <w:sz w:val="16"/>
                <w:szCs w:val="16"/>
                <w:lang w:val="es-ES_tradnl" w:bidi="th-TH"/>
              </w:rPr>
              <w:t>Programa 20</w:t>
            </w:r>
          </w:p>
        </w:tc>
      </w:tr>
      <w:tr w:rsidR="00662D9E" w:rsidRPr="00662D9E" w:rsidTr="00550C8B">
        <w:trPr>
          <w:cantSplit/>
          <w:trHeight w:val="24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CF552A">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miembros del Acta de Ginebra (1999).</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56"/>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Porcentaje de encargados de la adopción de políticas, funcionarios gubernamentales, profesionales de la P.I. y participantes en talleres con un mayor conocimiento del sistema de La Haya.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20</w:t>
            </w:r>
          </w:p>
        </w:tc>
      </w:tr>
      <w:tr w:rsidR="00662D9E" w:rsidRPr="00662D9E" w:rsidTr="00550C8B">
        <w:trPr>
          <w:cantSplit/>
          <w:trHeight w:val="33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Porcentaje de oficinas que proporcionan información a los usuarios sobre el Sistema de La Haya.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78"/>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Solicitudes de registro y renovaciones en virtud del sistema de La Haya.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22"/>
        </w:trPr>
        <w:tc>
          <w:tcPr>
            <w:tcW w:w="1707" w:type="pct"/>
            <w:shd w:val="clear" w:color="auto" w:fill="auto"/>
            <w:tcMar>
              <w:top w:w="85" w:type="dxa"/>
              <w:bottom w:w="85" w:type="dxa"/>
            </w:tcMar>
          </w:tcPr>
          <w:p w:rsidR="00CE4183" w:rsidRPr="00662D9E" w:rsidRDefault="00CE4183" w:rsidP="00662D9E">
            <w:pPr>
              <w:rPr>
                <w:sz w:val="16"/>
                <w:szCs w:val="16"/>
              </w:rPr>
            </w:pPr>
            <w:r w:rsidRPr="00662D9E">
              <w:rPr>
                <w:sz w:val="16"/>
                <w:szCs w:val="16"/>
                <w:lang w:val="es-ES_tradnl"/>
              </w:rPr>
              <w:t>II.5</w:t>
            </w:r>
            <w:r w:rsidR="00662D9E" w:rsidRPr="00662D9E">
              <w:rPr>
                <w:sz w:val="16"/>
                <w:szCs w:val="16"/>
                <w:lang w:val="es-ES_tradnl"/>
              </w:rPr>
              <w:t xml:space="preserve"> </w:t>
            </w:r>
            <w:r w:rsidRPr="00662D9E">
              <w:rPr>
                <w:sz w:val="16"/>
                <w:szCs w:val="16"/>
                <w:lang w:val="es-ES_tradnl"/>
              </w:rPr>
              <w:t xml:space="preserve"> </w:t>
            </w:r>
            <w:r w:rsidR="00CA145E" w:rsidRPr="00ED0A05">
              <w:rPr>
                <w:sz w:val="16"/>
                <w:szCs w:val="16"/>
                <w:lang w:val="es-ES_tradnl"/>
              </w:rPr>
              <w:t>Mejora de la productividad y de la calidad de los servicios en las operaciones del Sistema de La Haya</w:t>
            </w: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 xml:space="preserve">Predominio del Acta de Ginebra (1999) en el sistema de </w:t>
            </w:r>
            <w:r w:rsidR="003B0DF0" w:rsidRPr="00662D9E">
              <w:rPr>
                <w:sz w:val="16"/>
                <w:szCs w:val="16"/>
                <w:lang w:val="es-ES_tradnl"/>
              </w:rPr>
              <w:t>La Haya</w:t>
            </w:r>
            <w:r w:rsidRPr="00662D9E">
              <w:rPr>
                <w:sz w:val="16"/>
                <w:szCs w:val="16"/>
                <w:lang w:val="es-ES_tradnl"/>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448"/>
        </w:trPr>
        <w:tc>
          <w:tcPr>
            <w:tcW w:w="1707" w:type="pct"/>
            <w:shd w:val="clear" w:color="auto" w:fill="auto"/>
            <w:tcMar>
              <w:top w:w="85" w:type="dxa"/>
              <w:bottom w:w="85" w:type="dxa"/>
            </w:tcMar>
          </w:tcPr>
          <w:p w:rsidR="00CE4183" w:rsidRPr="00662D9E" w:rsidRDefault="00CE4183" w:rsidP="00550C8B">
            <w:pPr>
              <w:tabs>
                <w:tab w:val="right" w:pos="2835"/>
              </w:tabs>
              <w:spacing w:after="60"/>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Procesos y procedimientos adaptados a la evolución geográfica y jurídica del sistema.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CF552A">
        <w:trPr>
          <w:cantSplit/>
          <w:trHeight w:val="258"/>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Avances en la mejora del marco jurídico.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324"/>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Mejora del fu</w:t>
            </w:r>
            <w:r w:rsidR="00D76F71" w:rsidRPr="00662D9E">
              <w:rPr>
                <w:sz w:val="16"/>
                <w:szCs w:val="16"/>
                <w:lang w:val="es-ES_tradnl"/>
              </w:rPr>
              <w:t>ncionamiento del Registro de La </w:t>
            </w:r>
            <w:r w:rsidRPr="00662D9E">
              <w:rPr>
                <w:sz w:val="16"/>
                <w:szCs w:val="16"/>
                <w:lang w:val="es-ES_tradnl"/>
              </w:rPr>
              <w:t>Haya, incluidos los procesos y procedimientos electrónicos.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4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Flexibilidad de los datos inscritos en el Registro Internacional.</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4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Mejora continuada de las funciones auxiliares de gestión  de los servicios informáticos del Sistema de la Haya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303"/>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Flexibilidad de los datos inscritos en el Registro Internacional.</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4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3 versiones instaladas de DIRIS y 3 versiones instaladas del sistema de presentación electrónica d</w:t>
            </w:r>
            <w:r w:rsidR="00D76F71" w:rsidRPr="00662D9E">
              <w:rPr>
                <w:sz w:val="16"/>
                <w:szCs w:val="16"/>
                <w:lang w:val="es-ES_tradnl"/>
              </w:rPr>
              <w:t>e solicitudes del Sistema de La </w:t>
            </w:r>
            <w:r w:rsidRPr="00662D9E">
              <w:rPr>
                <w:sz w:val="16"/>
                <w:szCs w:val="16"/>
                <w:lang w:val="es-ES_tradnl"/>
              </w:rPr>
              <w:t>Haya.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31</w:t>
            </w:r>
          </w:p>
        </w:tc>
      </w:tr>
      <w:tr w:rsidR="00662D9E" w:rsidRPr="00662D9E" w:rsidTr="00550C8B">
        <w:trPr>
          <w:cantSplit/>
          <w:trHeight w:val="149"/>
        </w:trPr>
        <w:tc>
          <w:tcPr>
            <w:tcW w:w="1707" w:type="pct"/>
            <w:shd w:val="clear" w:color="auto" w:fill="auto"/>
            <w:tcMar>
              <w:top w:w="85" w:type="dxa"/>
              <w:bottom w:w="85" w:type="dxa"/>
            </w:tcMar>
          </w:tcPr>
          <w:p w:rsidR="00CE4183" w:rsidRPr="00662D9E" w:rsidRDefault="00CE4183" w:rsidP="00662D9E">
            <w:pPr>
              <w:rPr>
                <w:sz w:val="16"/>
                <w:szCs w:val="16"/>
              </w:rPr>
            </w:pPr>
            <w:r w:rsidRPr="00662D9E">
              <w:rPr>
                <w:sz w:val="16"/>
                <w:szCs w:val="16"/>
                <w:lang w:val="es-ES_tradnl"/>
              </w:rPr>
              <w:t>II. 6</w:t>
            </w:r>
            <w:r w:rsidR="00662D9E" w:rsidRPr="00662D9E">
              <w:rPr>
                <w:sz w:val="16"/>
                <w:szCs w:val="16"/>
                <w:lang w:val="es-ES_tradnl"/>
              </w:rPr>
              <w:t xml:space="preserve"> </w:t>
            </w:r>
            <w:r w:rsidRPr="00662D9E">
              <w:rPr>
                <w:sz w:val="16"/>
                <w:szCs w:val="16"/>
                <w:lang w:val="es-ES_tradnl"/>
              </w:rPr>
              <w:t xml:space="preserve"> </w:t>
            </w:r>
            <w:r w:rsidR="00CA145E" w:rsidRPr="00ED0A05">
              <w:rPr>
                <w:sz w:val="16"/>
                <w:szCs w:val="16"/>
                <w:lang w:val="es-ES_tradnl"/>
              </w:rPr>
              <w:t>Mayor y más eficaz utilización de los Sistemas de Madrid y de Lisboa, entre otros, por los países en desarrollo y los PMA</w:t>
            </w: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total de miembros de la Unión de Madrid.</w:t>
            </w:r>
            <w:r w:rsidRPr="00662D9E">
              <w:rPr>
                <w:sz w:val="16"/>
                <w:szCs w:val="16"/>
                <w:lang w:val="es-ES_tradnl"/>
              </w:rPr>
              <w:br/>
            </w:r>
            <w:r w:rsidR="00CF552A">
              <w:rPr>
                <w:sz w:val="16"/>
                <w:szCs w:val="16"/>
                <w:lang w:val="es-ES_tradnl"/>
              </w:rPr>
              <w:br/>
            </w:r>
          </w:p>
          <w:p w:rsidR="00CE4183" w:rsidRPr="00662D9E" w:rsidRDefault="00CE4183" w:rsidP="00550C8B">
            <w:pPr>
              <w:rPr>
                <w:sz w:val="16"/>
                <w:szCs w:val="16"/>
                <w:lang w:val="es-ES_tradnl"/>
              </w:rPr>
            </w:pPr>
            <w:r w:rsidRPr="00662D9E">
              <w:rPr>
                <w:sz w:val="16"/>
                <w:szCs w:val="16"/>
                <w:lang w:val="es-ES_tradnl"/>
              </w:rPr>
              <w:t>Cuota de mercado (es decir, vía nacional, en contraposición al Sistema de Madrid).</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p w:rsidR="00CE4183" w:rsidRPr="00662D9E" w:rsidRDefault="00CE4183" w:rsidP="00550C8B">
            <w:pPr>
              <w:ind w:left="441"/>
              <w:rPr>
                <w:sz w:val="16"/>
                <w:szCs w:val="16"/>
                <w:lang w:bidi="th-TH"/>
              </w:rPr>
            </w:pPr>
            <w:r w:rsidRPr="00662D9E">
              <w:rPr>
                <w:sz w:val="16"/>
                <w:szCs w:val="16"/>
                <w:lang w:val="es-ES_tradnl" w:bidi="th-TH"/>
              </w:rPr>
              <w:t>Programa 20</w:t>
            </w:r>
            <w:r w:rsidRPr="00662D9E">
              <w:rPr>
                <w:sz w:val="16"/>
                <w:szCs w:val="16"/>
                <w:lang w:bidi="th-TH"/>
              </w:rPr>
              <w:t xml:space="preserve"> </w:t>
            </w: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95"/>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Índice de presentación de solicitudes.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95"/>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Registros</w:t>
            </w:r>
            <w:r w:rsidRPr="00662D9E">
              <w:rPr>
                <w:sz w:val="16"/>
                <w:szCs w:val="16"/>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2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Renovaciones</w:t>
            </w:r>
            <w:r w:rsidRPr="00662D9E">
              <w:rPr>
                <w:sz w:val="16"/>
                <w:szCs w:val="16"/>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4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Número total de registros.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2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Número total de designaciones.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97"/>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Índice de irregularidades (Artículos 12 y 13).</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347"/>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Mejoras del funcionamiento del Sistema de Madrid.</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372"/>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Expansión del alcance geográfico del Sistema de Lisboa.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83"/>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Porcentaje de participantes en las actividades del sistema de Lisboa que están satisfechos y manifiestan haber mejorado sus conocimientos tras haber participado en las actividades.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83"/>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CF552A">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solicitudes internacionales y otras transacciones (Lisboa).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83"/>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F552A" w:rsidP="00CF552A">
            <w:pPr>
              <w:rPr>
                <w:sz w:val="16"/>
                <w:szCs w:val="16"/>
                <w:lang w:val="es-ES_tradnl"/>
              </w:rPr>
            </w:pPr>
            <w:r>
              <w:rPr>
                <w:sz w:val="16"/>
                <w:szCs w:val="16"/>
                <w:lang w:val="es-ES_tradnl"/>
              </w:rPr>
              <w:t>Nº</w:t>
            </w:r>
            <w:r w:rsidR="00CE4183" w:rsidRPr="00662D9E">
              <w:rPr>
                <w:sz w:val="16"/>
                <w:szCs w:val="16"/>
                <w:lang w:val="es-ES_tradnl"/>
              </w:rPr>
              <w:t xml:space="preserve"> de registros internacionales de países en desarrollo y PMA en vigor en virtud del Sistema de Lisboa (con respecto al número total).</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r w:rsidRPr="00662D9E">
              <w:rPr>
                <w:sz w:val="16"/>
                <w:szCs w:val="16"/>
                <w:lang w:bidi="th-TH"/>
              </w:rPr>
              <w:t xml:space="preserve"> </w:t>
            </w:r>
          </w:p>
        </w:tc>
      </w:tr>
      <w:tr w:rsidR="00662D9E" w:rsidRPr="00662D9E" w:rsidTr="00550C8B">
        <w:trPr>
          <w:cantSplit/>
          <w:trHeight w:val="446"/>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CF552A">
            <w:pPr>
              <w:rPr>
                <w:sz w:val="16"/>
                <w:szCs w:val="16"/>
              </w:rPr>
            </w:pPr>
            <w:r w:rsidRPr="00662D9E">
              <w:rPr>
                <w:sz w:val="16"/>
                <w:szCs w:val="16"/>
                <w:lang w:val="es-ES_tradnl"/>
              </w:rPr>
              <w:t>N</w:t>
            </w:r>
            <w:r w:rsidR="00CF552A">
              <w:rPr>
                <w:sz w:val="16"/>
                <w:szCs w:val="16"/>
                <w:lang w:val="es-ES_tradnl"/>
              </w:rPr>
              <w:t>º</w:t>
            </w:r>
            <w:r w:rsidRPr="00662D9E">
              <w:rPr>
                <w:sz w:val="16"/>
                <w:szCs w:val="16"/>
                <w:lang w:val="es-ES_tradnl"/>
              </w:rPr>
              <w:t xml:space="preserve"> de solicitudes presentadas en el marco del Sistema de Madrid procedentes de países </w:t>
            </w:r>
            <w:r w:rsidR="00CF552A">
              <w:rPr>
                <w:sz w:val="16"/>
                <w:szCs w:val="16"/>
                <w:lang w:val="es-ES_tradnl"/>
              </w:rPr>
              <w:t xml:space="preserve">en transición, desarrollados </w:t>
            </w:r>
            <w:r w:rsidRPr="00662D9E">
              <w:rPr>
                <w:sz w:val="16"/>
                <w:szCs w:val="16"/>
                <w:lang w:val="es-ES_tradnl"/>
              </w:rPr>
              <w:t>y en desarrollo.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p>
          <w:p w:rsidR="00CE4183" w:rsidRPr="00662D9E" w:rsidRDefault="00CE4183" w:rsidP="00550C8B">
            <w:pPr>
              <w:ind w:left="441"/>
              <w:rPr>
                <w:sz w:val="16"/>
                <w:szCs w:val="16"/>
                <w:lang w:bidi="th-TH"/>
              </w:rPr>
            </w:pPr>
            <w:r w:rsidRPr="00662D9E">
              <w:rPr>
                <w:sz w:val="16"/>
                <w:szCs w:val="16"/>
                <w:lang w:val="es-ES_tradnl" w:bidi="th-TH"/>
              </w:rPr>
              <w:t>Programa 20</w:t>
            </w:r>
          </w:p>
          <w:p w:rsidR="00CE4183" w:rsidRPr="00662D9E" w:rsidRDefault="00CE4183" w:rsidP="00550C8B">
            <w:pPr>
              <w:ind w:left="441"/>
              <w:rPr>
                <w:sz w:val="16"/>
                <w:szCs w:val="16"/>
                <w:lang w:bidi="th-TH"/>
              </w:rPr>
            </w:pPr>
          </w:p>
        </w:tc>
      </w:tr>
      <w:tr w:rsidR="00662D9E" w:rsidRPr="00662D9E" w:rsidTr="00550C8B">
        <w:trPr>
          <w:cantSplit/>
          <w:trHeight w:val="58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CF552A">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registros internacionales en vigor en el marco del Sistema de Lisboa respecto de países </w:t>
            </w:r>
            <w:r w:rsidR="00CF552A">
              <w:rPr>
                <w:sz w:val="16"/>
                <w:szCs w:val="16"/>
                <w:lang w:val="es-ES_tradnl"/>
              </w:rPr>
              <w:t>en transición y desarrollados</w:t>
            </w:r>
            <w:r w:rsidRPr="00662D9E">
              <w:rPr>
                <w:sz w:val="16"/>
                <w:szCs w:val="16"/>
                <w:lang w:val="es-ES_tradnl"/>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p>
          <w:p w:rsidR="00CE4183" w:rsidRPr="00662D9E" w:rsidRDefault="00CE4183" w:rsidP="00550C8B">
            <w:pPr>
              <w:ind w:left="441"/>
              <w:rPr>
                <w:sz w:val="16"/>
                <w:szCs w:val="16"/>
                <w:lang w:bidi="th-TH"/>
              </w:rPr>
            </w:pPr>
          </w:p>
        </w:tc>
      </w:tr>
      <w:tr w:rsidR="00662D9E" w:rsidRPr="00662D9E" w:rsidTr="00550C8B">
        <w:trPr>
          <w:cantSplit/>
          <w:trHeight w:val="58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rPr>
            </w:pPr>
            <w:r w:rsidRPr="00662D9E">
              <w:rPr>
                <w:sz w:val="16"/>
                <w:szCs w:val="16"/>
                <w:lang w:val="es-ES_tradnl"/>
              </w:rPr>
              <w:t>Porcentaje de encargados de la adopción de políticas, funcionarios gubernamentales, profesionales de la P.I. y participantes en talleres con un mayor conocimiento del sistema de Madrid.</w:t>
            </w:r>
            <w:r w:rsidRPr="00662D9E">
              <w:rPr>
                <w:sz w:val="16"/>
                <w:szCs w:val="16"/>
              </w:rPr>
              <w:t xml:space="preserve">  </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20</w:t>
            </w:r>
          </w:p>
        </w:tc>
      </w:tr>
      <w:tr w:rsidR="00662D9E" w:rsidRPr="00662D9E" w:rsidTr="00CF552A">
        <w:trPr>
          <w:cantSplit/>
          <w:trHeight w:val="649"/>
        </w:trPr>
        <w:tc>
          <w:tcPr>
            <w:tcW w:w="1707" w:type="pct"/>
            <w:shd w:val="clear" w:color="auto" w:fill="auto"/>
            <w:tcMar>
              <w:top w:w="85" w:type="dxa"/>
              <w:bottom w:w="85" w:type="dxa"/>
            </w:tcMar>
          </w:tcPr>
          <w:p w:rsidR="00CE4183" w:rsidRPr="00662D9E" w:rsidRDefault="00CE4183" w:rsidP="00662D9E">
            <w:pPr>
              <w:rPr>
                <w:sz w:val="16"/>
                <w:szCs w:val="16"/>
                <w:lang w:val="es-ES_tradnl"/>
              </w:rPr>
            </w:pPr>
            <w:r w:rsidRPr="00662D9E">
              <w:rPr>
                <w:sz w:val="16"/>
                <w:szCs w:val="16"/>
                <w:lang w:val="es-ES_tradnl"/>
              </w:rPr>
              <w:t>II.</w:t>
            </w:r>
            <w:r w:rsidRPr="00ED0A05">
              <w:rPr>
                <w:sz w:val="16"/>
                <w:szCs w:val="16"/>
                <w:lang w:val="es-ES_tradnl"/>
              </w:rPr>
              <w:t>7</w:t>
            </w:r>
            <w:r w:rsidR="00662D9E" w:rsidRPr="00ED0A05">
              <w:rPr>
                <w:sz w:val="16"/>
                <w:szCs w:val="16"/>
                <w:lang w:val="es-ES_tradnl"/>
              </w:rPr>
              <w:t xml:space="preserve"> </w:t>
            </w:r>
            <w:r w:rsidRPr="00ED0A05">
              <w:rPr>
                <w:sz w:val="16"/>
                <w:szCs w:val="16"/>
                <w:lang w:val="es-ES_tradnl"/>
              </w:rPr>
              <w:t xml:space="preserve"> </w:t>
            </w:r>
            <w:r w:rsidR="00CA145E" w:rsidRPr="00ED0A05">
              <w:rPr>
                <w:sz w:val="16"/>
                <w:szCs w:val="16"/>
                <w:lang w:val="es-ES_tradnl"/>
              </w:rPr>
              <w:t>Mejora de la productividad y de la calidad de los servicios en las operaciones los Sistemas de Madrid y de Lisboa</w:t>
            </w: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Satisfacción del cliente.</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7"/>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Costo unitario.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CF552A">
        <w:trPr>
          <w:cantSplit/>
          <w:trHeight w:val="256"/>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Puntualidad de las transacciones (días).</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38"/>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Calidad</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67"/>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Mejor funcionamiento del Registro de Madrid, también de los procesos y procedimientos electrónicos</w:t>
            </w:r>
            <w:r w:rsidRPr="00662D9E">
              <w:rPr>
                <w:sz w:val="16"/>
                <w:szCs w:val="16"/>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265"/>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ED0A05">
            <w:pPr>
              <w:rPr>
                <w:sz w:val="16"/>
                <w:szCs w:val="16"/>
                <w:lang w:val="es-ES_tradnl"/>
              </w:rPr>
            </w:pPr>
            <w:r w:rsidRPr="00662D9E">
              <w:rPr>
                <w:sz w:val="16"/>
                <w:szCs w:val="16"/>
                <w:lang w:val="es-ES_tradnl"/>
              </w:rPr>
              <w:t>Prestación estable de servicios auxiliares de T</w:t>
            </w:r>
            <w:r w:rsidRPr="00ED0A05">
              <w:rPr>
                <w:sz w:val="16"/>
                <w:szCs w:val="16"/>
                <w:lang w:val="es-ES_tradnl"/>
              </w:rPr>
              <w:t xml:space="preserve">I </w:t>
            </w:r>
            <w:r w:rsidRPr="00662D9E">
              <w:rPr>
                <w:sz w:val="16"/>
                <w:szCs w:val="16"/>
                <w:lang w:val="es-ES_tradnl"/>
              </w:rPr>
              <w:t>del Sistema de Madrid, que van perfeccionándose.</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13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3 versiones de M-IRIS  y 3 versiones de presentación-e de Madrid (IRPI) en funcionamiento.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33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Adopción de disposiciones para simplificar el marco jurídico del Sistema de Lisboa.</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475"/>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Mayor</w:t>
            </w:r>
            <w:r w:rsidRPr="00662D9E">
              <w:rPr>
                <w:sz w:val="16"/>
                <w:szCs w:val="16"/>
              </w:rPr>
              <w:t xml:space="preserve"> </w:t>
            </w:r>
            <w:r w:rsidRPr="00662D9E">
              <w:rPr>
                <w:sz w:val="16"/>
                <w:szCs w:val="16"/>
                <w:lang w:val="es-ES_tradnl"/>
              </w:rPr>
              <w:t>uso de los medios electrónicos para la presentación y tramitación de solicitudes internacionales y otras transacciones</w:t>
            </w:r>
            <w:r w:rsidRPr="00662D9E">
              <w:rPr>
                <w:sz w:val="16"/>
                <w:szCs w:val="16"/>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40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Mejores servicios electrónicos respecto del Registro de Lisboa y el Artículo 6</w:t>
            </w:r>
            <w:r w:rsidRPr="00662D9E">
              <w:rPr>
                <w:i/>
                <w:sz w:val="16"/>
                <w:szCs w:val="16"/>
                <w:lang w:val="es-ES_tradnl"/>
              </w:rPr>
              <w:t>ter</w:t>
            </w:r>
            <w:r w:rsidRPr="00662D9E">
              <w:rPr>
                <w:sz w:val="16"/>
                <w:szCs w:val="16"/>
                <w:lang w:val="es-ES_tradnl"/>
              </w:rPr>
              <w:t>.</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6</w:t>
            </w:r>
          </w:p>
        </w:tc>
      </w:tr>
      <w:tr w:rsidR="00662D9E" w:rsidRPr="00662D9E" w:rsidTr="00550C8B">
        <w:trPr>
          <w:cantSplit/>
          <w:trHeight w:val="383"/>
        </w:trPr>
        <w:tc>
          <w:tcPr>
            <w:tcW w:w="1707" w:type="pct"/>
            <w:shd w:val="clear" w:color="auto" w:fill="auto"/>
            <w:tcMar>
              <w:top w:w="85" w:type="dxa"/>
              <w:bottom w:w="85" w:type="dxa"/>
            </w:tcMar>
          </w:tcPr>
          <w:p w:rsidR="00CE4183" w:rsidRPr="00662D9E" w:rsidRDefault="00CE4183" w:rsidP="00662D9E">
            <w:pPr>
              <w:rPr>
                <w:sz w:val="16"/>
                <w:szCs w:val="16"/>
                <w:lang w:val="es-ES_tradnl"/>
              </w:rPr>
            </w:pPr>
            <w:r w:rsidRPr="00662D9E">
              <w:rPr>
                <w:sz w:val="16"/>
                <w:szCs w:val="16"/>
                <w:lang w:val="es-ES_tradnl"/>
              </w:rPr>
              <w:t>II.8</w:t>
            </w:r>
            <w:r w:rsidR="00662D9E" w:rsidRPr="00662D9E">
              <w:rPr>
                <w:sz w:val="16"/>
                <w:szCs w:val="16"/>
                <w:lang w:val="es-ES_tradnl"/>
              </w:rPr>
              <w:t xml:space="preserve"> </w:t>
            </w:r>
            <w:r w:rsidRPr="00662D9E">
              <w:rPr>
                <w:sz w:val="16"/>
                <w:szCs w:val="16"/>
                <w:lang w:val="es-ES_tradnl"/>
              </w:rPr>
              <w:t xml:space="preserve"> </w:t>
            </w:r>
            <w:r w:rsidR="00CA145E" w:rsidRPr="00ED0A05">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Mayor uso de los servicios y cláusulas de solución extrajudicial de controversias en las transacciones y los registros de P.I., entre otros medios, valiéndose de los procedimientos de la OMPI.</w:t>
            </w:r>
          </w:p>
          <w:p w:rsidR="00CE4183" w:rsidRPr="00662D9E" w:rsidRDefault="00CE4183" w:rsidP="00550C8B">
            <w:pPr>
              <w:rPr>
                <w:sz w:val="16"/>
                <w:szCs w:val="16"/>
                <w:lang w:val="es-ES_tradnl"/>
              </w:rPr>
            </w:pPr>
          </w:p>
          <w:p w:rsidR="00CE4183" w:rsidRPr="00662D9E" w:rsidRDefault="00CE4183" w:rsidP="00550C8B">
            <w:pPr>
              <w:rPr>
                <w:sz w:val="16"/>
                <w:szCs w:val="16"/>
                <w:lang w:val="es-ES_tradnl"/>
              </w:rPr>
            </w:pPr>
            <w:r w:rsidRPr="00662D9E">
              <w:rPr>
                <w:sz w:val="16"/>
                <w:szCs w:val="16"/>
                <w:lang w:val="es-ES_tradnl"/>
              </w:rPr>
              <w:t>Políticas de solución extrajudicial de controversias en cuya elaboración y aplicación ha participado el Centro.</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7</w:t>
            </w: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p>
          <w:p w:rsidR="00CE4183" w:rsidRDefault="00CE4183" w:rsidP="00550C8B">
            <w:pPr>
              <w:ind w:left="441"/>
              <w:rPr>
                <w:sz w:val="16"/>
                <w:szCs w:val="16"/>
                <w:lang w:bidi="th-TH"/>
              </w:rPr>
            </w:pPr>
          </w:p>
          <w:p w:rsidR="00ED0A05" w:rsidRPr="00662D9E" w:rsidRDefault="00ED0A05" w:rsidP="00550C8B">
            <w:pPr>
              <w:ind w:left="441"/>
              <w:rPr>
                <w:sz w:val="16"/>
                <w:szCs w:val="16"/>
                <w:lang w:bidi="th-TH"/>
              </w:rPr>
            </w:pP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r w:rsidRPr="00662D9E">
              <w:rPr>
                <w:sz w:val="16"/>
                <w:szCs w:val="16"/>
                <w:lang w:val="es-ES_tradnl" w:bidi="th-TH"/>
              </w:rPr>
              <w:t>Programa 7</w:t>
            </w:r>
          </w:p>
        </w:tc>
      </w:tr>
      <w:tr w:rsidR="00662D9E" w:rsidRPr="00662D9E" w:rsidTr="00550C8B">
        <w:trPr>
          <w:cantSplit/>
          <w:trHeight w:val="1611"/>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Pr="00662D9E" w:rsidRDefault="00CE4183" w:rsidP="00550C8B">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controversias de P.I. procedentes de países </w:t>
            </w:r>
            <w:r w:rsidR="00CF552A">
              <w:rPr>
                <w:sz w:val="16"/>
                <w:szCs w:val="16"/>
                <w:lang w:val="es-ES_tradnl"/>
              </w:rPr>
              <w:t>en transición y desarrollados</w:t>
            </w:r>
            <w:r w:rsidRPr="00662D9E">
              <w:rPr>
                <w:sz w:val="16"/>
                <w:szCs w:val="16"/>
                <w:lang w:val="es-ES_tradnl"/>
              </w:rPr>
              <w:t xml:space="preserve"> que se evitan o resuelven mediante el Centro de Arbitraje y Mediación de la OMPI y otros métodos extrajudiciales de solución de controversias.</w:t>
            </w:r>
          </w:p>
          <w:p w:rsidR="00CE4183" w:rsidRPr="00662D9E" w:rsidRDefault="00CE4183" w:rsidP="00550C8B">
            <w:pPr>
              <w:rPr>
                <w:sz w:val="16"/>
                <w:szCs w:val="16"/>
                <w:lang w:val="es-ES_tradnl"/>
              </w:rPr>
            </w:pPr>
          </w:p>
          <w:p w:rsidR="00CE4183" w:rsidRPr="00662D9E" w:rsidRDefault="00CE4183" w:rsidP="00550C8B">
            <w:pPr>
              <w:rPr>
                <w:sz w:val="16"/>
                <w:szCs w:val="16"/>
                <w:lang w:val="es-ES_tradnl"/>
              </w:rPr>
            </w:pPr>
            <w:r w:rsidRPr="00662D9E">
              <w:rPr>
                <w:sz w:val="16"/>
                <w:szCs w:val="16"/>
                <w:lang w:val="es-ES_tradnl"/>
              </w:rPr>
              <w:t>Cada vez más se considera la posibilidad de utilizar servicios de solución extrajudicial de controversias en las transacciones sobre P.I., entre otras cosas, valiéndose de los procedimientos de la OMPI.</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10</w:t>
            </w: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p>
          <w:p w:rsidR="00CE4183" w:rsidRPr="00662D9E" w:rsidRDefault="00CE4183" w:rsidP="00550C8B">
            <w:pPr>
              <w:ind w:left="441"/>
              <w:rPr>
                <w:sz w:val="16"/>
                <w:szCs w:val="16"/>
                <w:lang w:bidi="th-TH"/>
              </w:rPr>
            </w:pPr>
            <w:r w:rsidRPr="00662D9E">
              <w:rPr>
                <w:sz w:val="16"/>
                <w:szCs w:val="16"/>
                <w:lang w:val="es-ES_tradnl" w:bidi="th-TH"/>
              </w:rPr>
              <w:t>Programa 20</w:t>
            </w:r>
          </w:p>
        </w:tc>
      </w:tr>
      <w:tr w:rsidR="00662D9E" w:rsidRPr="00662D9E" w:rsidTr="00550C8B">
        <w:trPr>
          <w:cantSplit/>
          <w:trHeight w:val="305"/>
        </w:trPr>
        <w:tc>
          <w:tcPr>
            <w:tcW w:w="1707" w:type="pct"/>
            <w:shd w:val="clear" w:color="auto" w:fill="auto"/>
            <w:tcMar>
              <w:top w:w="85" w:type="dxa"/>
              <w:bottom w:w="85" w:type="dxa"/>
            </w:tcMar>
          </w:tcPr>
          <w:p w:rsidR="00CE4183" w:rsidRPr="00662D9E" w:rsidRDefault="00CE4183" w:rsidP="00662D9E">
            <w:pPr>
              <w:rPr>
                <w:sz w:val="16"/>
                <w:szCs w:val="16"/>
                <w:lang w:val="es-ES_tradnl"/>
              </w:rPr>
            </w:pPr>
            <w:r w:rsidRPr="00662D9E">
              <w:rPr>
                <w:sz w:val="16"/>
                <w:szCs w:val="16"/>
                <w:lang w:val="es-ES_tradnl"/>
              </w:rPr>
              <w:t>II.9</w:t>
            </w:r>
            <w:r w:rsidR="00662D9E" w:rsidRPr="00662D9E">
              <w:rPr>
                <w:sz w:val="16"/>
                <w:szCs w:val="16"/>
                <w:lang w:val="es-ES_tradnl"/>
              </w:rPr>
              <w:t xml:space="preserve"> </w:t>
            </w:r>
            <w:r w:rsidRPr="00662D9E">
              <w:rPr>
                <w:sz w:val="16"/>
                <w:szCs w:val="16"/>
                <w:lang w:val="es-ES_tradnl"/>
              </w:rPr>
              <w:t xml:space="preserve"> </w:t>
            </w:r>
            <w:r w:rsidR="00CA145E" w:rsidRPr="00835B2E">
              <w:rPr>
                <w:sz w:val="16"/>
                <w:szCs w:val="16"/>
                <w:lang w:val="es-ES_tradnl"/>
              </w:rPr>
              <w:t xml:space="preserve">Protección eficaz de la propiedad intelectual en los </w:t>
            </w:r>
            <w:proofErr w:type="spellStart"/>
            <w:r w:rsidR="00CA145E" w:rsidRPr="00835B2E">
              <w:rPr>
                <w:sz w:val="16"/>
                <w:szCs w:val="16"/>
                <w:lang w:val="es-ES_tradnl"/>
              </w:rPr>
              <w:t>gTLD</w:t>
            </w:r>
            <w:proofErr w:type="spellEnd"/>
            <w:r w:rsidR="00CA145E" w:rsidRPr="00835B2E">
              <w:rPr>
                <w:sz w:val="16"/>
                <w:szCs w:val="16"/>
                <w:lang w:val="es-ES_tradnl"/>
              </w:rPr>
              <w:t xml:space="preserve"> y los </w:t>
            </w:r>
            <w:proofErr w:type="spellStart"/>
            <w:r w:rsidR="00CA145E" w:rsidRPr="00835B2E">
              <w:rPr>
                <w:sz w:val="16"/>
                <w:szCs w:val="16"/>
                <w:lang w:val="es-ES_tradnl"/>
              </w:rPr>
              <w:t>ccTLD</w:t>
            </w:r>
            <w:proofErr w:type="spellEnd"/>
          </w:p>
        </w:tc>
        <w:tc>
          <w:tcPr>
            <w:tcW w:w="1952" w:type="pct"/>
            <w:shd w:val="clear" w:color="auto" w:fill="auto"/>
            <w:tcMar>
              <w:top w:w="85" w:type="dxa"/>
              <w:bottom w:w="85" w:type="dxa"/>
            </w:tcMar>
          </w:tcPr>
          <w:p w:rsidR="00CE4183" w:rsidRPr="00662D9E" w:rsidRDefault="00CE4183" w:rsidP="00CF552A">
            <w:pPr>
              <w:rPr>
                <w:sz w:val="16"/>
                <w:szCs w:val="16"/>
                <w:lang w:val="es-ES_tradnl"/>
              </w:rPr>
            </w:pPr>
            <w:r w:rsidRPr="00662D9E">
              <w:rPr>
                <w:sz w:val="16"/>
                <w:szCs w:val="16"/>
                <w:lang w:val="es-ES_tradnl"/>
              </w:rPr>
              <w:t>N</w:t>
            </w:r>
            <w:r w:rsidR="00CF552A">
              <w:rPr>
                <w:sz w:val="16"/>
                <w:szCs w:val="16"/>
                <w:lang w:val="es-ES_tradnl"/>
              </w:rPr>
              <w:t>º</w:t>
            </w:r>
            <w:r w:rsidRPr="00662D9E">
              <w:rPr>
                <w:sz w:val="16"/>
                <w:szCs w:val="16"/>
                <w:lang w:val="es-ES_tradnl"/>
              </w:rPr>
              <w:t xml:space="preserve"> de procedimientos relativos a los </w:t>
            </w:r>
            <w:proofErr w:type="spellStart"/>
            <w:r w:rsidRPr="00662D9E">
              <w:rPr>
                <w:sz w:val="16"/>
                <w:szCs w:val="16"/>
                <w:lang w:val="es-ES_tradnl"/>
              </w:rPr>
              <w:t>gTLD</w:t>
            </w:r>
            <w:proofErr w:type="spellEnd"/>
            <w:r w:rsidRPr="00662D9E">
              <w:rPr>
                <w:sz w:val="16"/>
                <w:szCs w:val="16"/>
                <w:lang w:val="es-ES_tradnl"/>
              </w:rPr>
              <w:t xml:space="preserve"> y los </w:t>
            </w:r>
            <w:proofErr w:type="spellStart"/>
            <w:r w:rsidRPr="00662D9E">
              <w:rPr>
                <w:sz w:val="16"/>
                <w:szCs w:val="16"/>
                <w:lang w:val="es-ES_tradnl"/>
              </w:rPr>
              <w:t>ccTLD</w:t>
            </w:r>
            <w:proofErr w:type="spellEnd"/>
            <w:r w:rsidRPr="00662D9E">
              <w:rPr>
                <w:sz w:val="16"/>
                <w:szCs w:val="16"/>
                <w:lang w:val="es-ES_tradnl"/>
              </w:rPr>
              <w:t xml:space="preserve"> administrados por el Centro en virtud de la Política Uniforme.</w:t>
            </w: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7</w:t>
            </w:r>
          </w:p>
        </w:tc>
      </w:tr>
      <w:tr w:rsidR="00662D9E" w:rsidRPr="00662D9E" w:rsidTr="00550C8B">
        <w:trPr>
          <w:cantSplit/>
          <w:trHeight w:val="289"/>
        </w:trPr>
        <w:tc>
          <w:tcPr>
            <w:tcW w:w="1707" w:type="pct"/>
            <w:shd w:val="clear" w:color="auto" w:fill="auto"/>
            <w:tcMar>
              <w:top w:w="85" w:type="dxa"/>
              <w:bottom w:w="85" w:type="dxa"/>
            </w:tcMar>
          </w:tcPr>
          <w:p w:rsidR="00CE4183" w:rsidRPr="00662D9E" w:rsidRDefault="00CE4183" w:rsidP="00550C8B">
            <w:pPr>
              <w:rPr>
                <w:sz w:val="16"/>
                <w:szCs w:val="16"/>
              </w:rPr>
            </w:pPr>
          </w:p>
        </w:tc>
        <w:tc>
          <w:tcPr>
            <w:tcW w:w="1952" w:type="pct"/>
            <w:shd w:val="clear" w:color="auto" w:fill="auto"/>
            <w:tcMar>
              <w:top w:w="85" w:type="dxa"/>
              <w:bottom w:w="85" w:type="dxa"/>
            </w:tcMar>
          </w:tcPr>
          <w:p w:rsidR="00CE4183" w:rsidRDefault="00CE4183" w:rsidP="00550C8B">
            <w:pPr>
              <w:rPr>
                <w:sz w:val="16"/>
                <w:szCs w:val="16"/>
                <w:lang w:val="es-ES_tradnl"/>
              </w:rPr>
            </w:pPr>
            <w:r w:rsidRPr="00662D9E">
              <w:rPr>
                <w:sz w:val="16"/>
                <w:szCs w:val="16"/>
                <w:lang w:val="es-ES_tradnl"/>
              </w:rPr>
              <w:t>Políticas de solución de controversias en el Sistema de Nombres de Dominio en cuya elaboración y aplicación ha participado el Centro.</w:t>
            </w:r>
          </w:p>
          <w:p w:rsidR="00835B2E" w:rsidRPr="00662D9E" w:rsidRDefault="00835B2E" w:rsidP="00550C8B">
            <w:pPr>
              <w:rPr>
                <w:sz w:val="16"/>
                <w:szCs w:val="16"/>
              </w:rPr>
            </w:pPr>
          </w:p>
        </w:tc>
        <w:tc>
          <w:tcPr>
            <w:tcW w:w="1341" w:type="pct"/>
            <w:shd w:val="clear" w:color="auto" w:fill="FFFFFF"/>
            <w:tcMar>
              <w:top w:w="85" w:type="dxa"/>
              <w:bottom w:w="85" w:type="dxa"/>
            </w:tcMar>
          </w:tcPr>
          <w:p w:rsidR="00CE4183" w:rsidRPr="00662D9E" w:rsidRDefault="00CE4183" w:rsidP="00550C8B">
            <w:pPr>
              <w:ind w:left="441"/>
              <w:rPr>
                <w:sz w:val="16"/>
                <w:szCs w:val="16"/>
                <w:lang w:bidi="th-TH"/>
              </w:rPr>
            </w:pPr>
            <w:r w:rsidRPr="00662D9E">
              <w:rPr>
                <w:sz w:val="16"/>
                <w:szCs w:val="16"/>
                <w:lang w:val="es-ES_tradnl" w:bidi="th-TH"/>
              </w:rPr>
              <w:t>Programa 7</w:t>
            </w:r>
          </w:p>
        </w:tc>
      </w:tr>
    </w:tbl>
    <w:p w:rsidR="00CE4183" w:rsidRDefault="00CE4183" w:rsidP="00CE4183">
      <w:pPr>
        <w:rPr>
          <w:sz w:val="20"/>
        </w:rPr>
      </w:pPr>
    </w:p>
    <w:p w:rsidR="00CF18C3" w:rsidRDefault="00CF18C3">
      <w:pPr>
        <w:rPr>
          <w:szCs w:val="22"/>
          <w:lang w:val="en-US"/>
        </w:rPr>
      </w:pPr>
      <w:r>
        <w:rPr>
          <w:szCs w:val="22"/>
          <w:lang w:val="en-US"/>
        </w:rPr>
        <w:br w:type="page"/>
      </w:r>
    </w:p>
    <w:p w:rsidR="00CF18C3" w:rsidRPr="00CF18C3" w:rsidRDefault="00B8795A" w:rsidP="00B8795A">
      <w:pPr>
        <w:pStyle w:val="StyleStyleHeading3ComplexItalicLatin12pt"/>
      </w:pPr>
      <w:bookmarkStart w:id="33" w:name="_Toc420681136"/>
      <w:r w:rsidRPr="00CF18C3">
        <w:lastRenderedPageBreak/>
        <w:t>PROGRAMA 5</w:t>
      </w:r>
      <w:r w:rsidRPr="00CF18C3">
        <w:tab/>
        <w:t>SISTEMA DEL PCT</w:t>
      </w:r>
      <w:bookmarkEnd w:id="33"/>
    </w:p>
    <w:p w:rsidR="00CF18C3" w:rsidRDefault="00CF18C3" w:rsidP="00CF18C3">
      <w:pPr>
        <w:tabs>
          <w:tab w:val="left" w:pos="2268"/>
        </w:tabs>
        <w:ind w:left="2268" w:hanging="2268"/>
        <w:rPr>
          <w:bCs/>
          <w:sz w:val="20"/>
        </w:rPr>
      </w:pPr>
    </w:p>
    <w:p w:rsidR="00CF18C3" w:rsidRPr="005D781E" w:rsidRDefault="00CF18C3" w:rsidP="00CF18C3">
      <w:pPr>
        <w:tabs>
          <w:tab w:val="left" w:pos="2268"/>
        </w:tabs>
        <w:ind w:left="2268" w:hanging="2268"/>
        <w:rPr>
          <w:bCs/>
          <w:sz w:val="20"/>
        </w:rPr>
      </w:pPr>
    </w:p>
    <w:p w:rsidR="00CF18C3" w:rsidRPr="005D781E" w:rsidRDefault="00CF18C3" w:rsidP="00835B2E">
      <w:pPr>
        <w:pStyle w:val="BodyTextIndent"/>
        <w:spacing w:after="0"/>
        <w:ind w:left="1985" w:hanging="1985"/>
        <w:jc w:val="both"/>
        <w:rPr>
          <w:szCs w:val="22"/>
        </w:rPr>
      </w:pPr>
      <w:r w:rsidRPr="005D781E">
        <w:rPr>
          <w:szCs w:val="22"/>
        </w:rPr>
        <w:t>CONTEXTO DE PLANIFICACIÓN</w:t>
      </w:r>
    </w:p>
    <w:p w:rsidR="00CF18C3" w:rsidRPr="005D781E" w:rsidRDefault="00CF18C3" w:rsidP="00CF18C3">
      <w:pPr>
        <w:tabs>
          <w:tab w:val="left" w:pos="567"/>
          <w:tab w:val="left" w:pos="1985"/>
        </w:tabs>
        <w:jc w:val="both"/>
        <w:rPr>
          <w:bCs/>
          <w:sz w:val="20"/>
        </w:rPr>
      </w:pPr>
    </w:p>
    <w:p w:rsidR="00CF18C3" w:rsidRPr="005D781E" w:rsidRDefault="00CF18C3" w:rsidP="00CF18C3">
      <w:pPr>
        <w:numPr>
          <w:ilvl w:val="0"/>
          <w:numId w:val="18"/>
        </w:numPr>
        <w:tabs>
          <w:tab w:val="clear" w:pos="680"/>
          <w:tab w:val="num" w:pos="567"/>
        </w:tabs>
        <w:jc w:val="both"/>
        <w:rPr>
          <w:bCs/>
          <w:sz w:val="20"/>
          <w:lang w:eastAsia="ja-JP"/>
        </w:rPr>
      </w:pPr>
      <w:r w:rsidRPr="005D781E">
        <w:rPr>
          <w:sz w:val="20"/>
        </w:rPr>
        <w:t>El 75% aproximadamente de los ingresos de la OMPI proceden del Sistema del PCT.  Asimismo, el 54% de las solicitudes internacionales presentadas en más de un país se presentan utilizando el PCT.  Para mantener y consolidar el PCT como la vía preferida por los usuarios del sistema internacional de patentes en el próximo bienio, será necesario velar por que el Sistema del PCT haga frente a los desafíos que plantea un mercado mundial de servicios de patentes cada vez más dinámico, caracterizado por los elementos siguientes:</w:t>
      </w:r>
    </w:p>
    <w:p w:rsidR="00CF18C3" w:rsidRPr="005D781E" w:rsidRDefault="00CF18C3" w:rsidP="00CF18C3">
      <w:pPr>
        <w:jc w:val="both"/>
        <w:rPr>
          <w:bCs/>
          <w:sz w:val="20"/>
          <w:lang w:eastAsia="ja-JP"/>
        </w:rPr>
      </w:pP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un entorno económico incierto en el que la economía mundial tiene un desempeño vacilante;</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 xml:space="preserve">la necesidad de asegurar la calidad y la puntualidad de los informes preparados por las Administraciones encargadas de la búsqueda internacional y del examen preliminar internacional; </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una composición geográfica cada vez más diversa de la demanda de protección por patente y de las actividades de presentación de solicitudes internacionales en virtud del PCT;</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la diversidad lingüística cada vez mayor del estado de la técnica y de las solicitudes internacionales PCT;</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un número limitado de solicitudes internacionales presentadas por muchos países en desarrollo y países menos adelantados;</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la demanda cada vez mayor de capacitación por parte de los usuarios del PCT nuevos y existentes;</w:t>
      </w:r>
    </w:p>
    <w:p w:rsidR="00CF18C3" w:rsidRPr="005D781E" w:rsidRDefault="00CF18C3" w:rsidP="00CF18C3">
      <w:pPr>
        <w:numPr>
          <w:ilvl w:val="0"/>
          <w:numId w:val="19"/>
        </w:numPr>
        <w:spacing w:after="120"/>
        <w:ind w:hanging="513"/>
        <w:jc w:val="both"/>
        <w:rPr>
          <w:bCs/>
          <w:sz w:val="20"/>
          <w:lang w:eastAsia="ja-JP"/>
        </w:rPr>
      </w:pPr>
      <w:r w:rsidRPr="005D781E">
        <w:rPr>
          <w:bCs/>
          <w:sz w:val="20"/>
          <w:lang w:eastAsia="ja-JP"/>
        </w:rPr>
        <w:t>las variaciones en cómo y hasta qué punto los clientes utilizan el PCT antes que otros métodos;  y</w:t>
      </w:r>
    </w:p>
    <w:p w:rsidR="00CF18C3" w:rsidRPr="005D781E" w:rsidRDefault="00CF18C3" w:rsidP="00CF18C3">
      <w:pPr>
        <w:numPr>
          <w:ilvl w:val="0"/>
          <w:numId w:val="19"/>
        </w:numPr>
        <w:ind w:left="1077" w:hanging="513"/>
        <w:jc w:val="both"/>
        <w:rPr>
          <w:bCs/>
          <w:sz w:val="20"/>
          <w:lang w:eastAsia="ja-JP"/>
        </w:rPr>
      </w:pPr>
      <w:r w:rsidRPr="005D781E">
        <w:rPr>
          <w:bCs/>
          <w:sz w:val="20"/>
          <w:lang w:eastAsia="ja-JP"/>
        </w:rPr>
        <w:t>la disponibilidad de nuevas tecnologías de la información y las comunicaciones, lo que aumenta las expectativas y las posibilidades de poner a disposición de todos los solicitantes un sistema de tramitación enteramente electrónico.</w:t>
      </w:r>
    </w:p>
    <w:p w:rsidR="00CF18C3" w:rsidRPr="005D781E" w:rsidRDefault="00CF18C3" w:rsidP="00CF18C3">
      <w:pPr>
        <w:tabs>
          <w:tab w:val="left" w:pos="1985"/>
        </w:tabs>
        <w:jc w:val="both"/>
        <w:rPr>
          <w:bCs/>
          <w:sz w:val="20"/>
        </w:rPr>
      </w:pPr>
    </w:p>
    <w:p w:rsidR="00CF18C3" w:rsidRPr="005D781E" w:rsidRDefault="00CF18C3" w:rsidP="00CF18C3">
      <w:pPr>
        <w:tabs>
          <w:tab w:val="left" w:pos="567"/>
          <w:tab w:val="left" w:pos="1985"/>
        </w:tabs>
        <w:jc w:val="both"/>
        <w:rPr>
          <w:bCs/>
          <w:sz w:val="20"/>
        </w:rPr>
      </w:pPr>
    </w:p>
    <w:p w:rsidR="00CF18C3" w:rsidRPr="005D781E" w:rsidRDefault="00CF18C3" w:rsidP="00CF18C3">
      <w:pPr>
        <w:tabs>
          <w:tab w:val="left" w:pos="567"/>
          <w:tab w:val="left" w:pos="1985"/>
        </w:tabs>
        <w:jc w:val="both"/>
        <w:rPr>
          <w:bCs/>
          <w:szCs w:val="22"/>
        </w:rPr>
      </w:pPr>
      <w:r w:rsidRPr="005D781E">
        <w:rPr>
          <w:bCs/>
          <w:szCs w:val="22"/>
        </w:rPr>
        <w:t>ESTRATEGIAS DE EJECUCIÓN</w:t>
      </w:r>
    </w:p>
    <w:p w:rsidR="00CF18C3" w:rsidRPr="005D781E" w:rsidRDefault="00CF18C3" w:rsidP="00CF18C3">
      <w:pPr>
        <w:tabs>
          <w:tab w:val="left" w:pos="567"/>
          <w:tab w:val="left" w:pos="1985"/>
        </w:tabs>
        <w:jc w:val="both"/>
        <w:rPr>
          <w:bCs/>
          <w:sz w:val="20"/>
        </w:rPr>
      </w:pPr>
    </w:p>
    <w:p w:rsidR="00CF18C3" w:rsidRPr="005D781E" w:rsidRDefault="00CF18C3" w:rsidP="00CF18C3">
      <w:pPr>
        <w:numPr>
          <w:ilvl w:val="0"/>
          <w:numId w:val="18"/>
        </w:numPr>
        <w:jc w:val="both"/>
        <w:rPr>
          <w:bCs/>
          <w:sz w:val="20"/>
        </w:rPr>
      </w:pPr>
      <w:r w:rsidRPr="005D781E">
        <w:rPr>
          <w:bCs/>
          <w:sz w:val="20"/>
          <w:lang w:eastAsia="ja-JP"/>
        </w:rPr>
        <w:t>La participación de todas las partes interesadas es fundamental para el funcionamiento óptimo del Sistema del PCT. Por ello, el programa se centrará en la comunicación y la cooperación entre los sectores interesados así como en mejorar la eficiencia en favor de dichos sectores.  Se aplicarán las siguientes estrategias de ejecución:</w:t>
      </w:r>
    </w:p>
    <w:p w:rsidR="00CF18C3" w:rsidRPr="005D781E" w:rsidRDefault="00CF18C3" w:rsidP="00CF18C3">
      <w:pPr>
        <w:tabs>
          <w:tab w:val="left" w:pos="1985"/>
          <w:tab w:val="left" w:pos="2552"/>
        </w:tabs>
        <w:spacing w:after="60"/>
        <w:jc w:val="both"/>
        <w:rPr>
          <w:sz w:val="20"/>
        </w:rPr>
      </w:pPr>
    </w:p>
    <w:p w:rsidR="00CF18C3" w:rsidRDefault="00CF18C3" w:rsidP="00CF18C3">
      <w:pPr>
        <w:numPr>
          <w:ilvl w:val="0"/>
          <w:numId w:val="19"/>
        </w:numPr>
        <w:spacing w:after="120"/>
        <w:ind w:left="1134" w:hanging="567"/>
        <w:jc w:val="both"/>
        <w:rPr>
          <w:sz w:val="20"/>
        </w:rPr>
      </w:pPr>
      <w:r w:rsidRPr="005D781E">
        <w:rPr>
          <w:sz w:val="20"/>
        </w:rPr>
        <w:t xml:space="preserve">utilizar el sistema </w:t>
      </w:r>
      <w:proofErr w:type="spellStart"/>
      <w:r w:rsidRPr="005D781E">
        <w:rPr>
          <w:sz w:val="20"/>
        </w:rPr>
        <w:t>ePCT</w:t>
      </w:r>
      <w:proofErr w:type="spellEnd"/>
      <w:r w:rsidRPr="005D781E">
        <w:rPr>
          <w:sz w:val="20"/>
        </w:rPr>
        <w:t xml:space="preserve"> y otras herramientas para aumentar la automatización de la tramitación y mejorar la comunicación entre los solicitantes, la Oficina Internacional y las Oficinas nacionales a fin de mejorar la eficiencia y la calidad de la interacción entre el Sistema del PCT y sus usuarios y perfeccionar los requisitos de seguridad;</w:t>
      </w:r>
    </w:p>
    <w:p w:rsidR="00CF18C3" w:rsidRPr="00E95213" w:rsidRDefault="00CB2AAF" w:rsidP="00CF18C3">
      <w:pPr>
        <w:numPr>
          <w:ilvl w:val="0"/>
          <w:numId w:val="19"/>
        </w:numPr>
        <w:spacing w:after="120"/>
        <w:ind w:left="1134" w:hanging="567"/>
        <w:jc w:val="both"/>
        <w:rPr>
          <w:sz w:val="20"/>
        </w:rPr>
      </w:pPr>
      <w:r>
        <w:rPr>
          <w:sz w:val="20"/>
        </w:rPr>
        <w:t>en colaboración con el programa</w:t>
      </w:r>
      <w:r w:rsidRPr="00E95213">
        <w:rPr>
          <w:sz w:val="20"/>
        </w:rPr>
        <w:t xml:space="preserve"> 25 (</w:t>
      </w:r>
      <w:r>
        <w:rPr>
          <w:sz w:val="20"/>
        </w:rPr>
        <w:t>T</w:t>
      </w:r>
      <w:r w:rsidRPr="00E95213">
        <w:rPr>
          <w:sz w:val="20"/>
        </w:rPr>
        <w:t>IC)</w:t>
      </w:r>
      <w:r>
        <w:rPr>
          <w:sz w:val="20"/>
        </w:rPr>
        <w:t xml:space="preserve">, </w:t>
      </w:r>
      <w:r w:rsidR="00E95213">
        <w:rPr>
          <w:sz w:val="20"/>
        </w:rPr>
        <w:t>emprender</w:t>
      </w:r>
      <w:r w:rsidR="00E95213" w:rsidRPr="00E95213">
        <w:rPr>
          <w:sz w:val="20"/>
        </w:rPr>
        <w:t xml:space="preserve"> esfuerzos para </w:t>
      </w:r>
      <w:r w:rsidR="00906DF3">
        <w:rPr>
          <w:sz w:val="20"/>
        </w:rPr>
        <w:t>aumentar aún más</w:t>
      </w:r>
      <w:r w:rsidR="00E95213">
        <w:rPr>
          <w:sz w:val="20"/>
        </w:rPr>
        <w:t xml:space="preserve"> los niveles de seguridad y de capacidad de reacción </w:t>
      </w:r>
      <w:r>
        <w:rPr>
          <w:sz w:val="20"/>
        </w:rPr>
        <w:t xml:space="preserve">y recuperación </w:t>
      </w:r>
      <w:r w:rsidR="00E95213">
        <w:rPr>
          <w:sz w:val="20"/>
        </w:rPr>
        <w:t xml:space="preserve">de la infraestructura de TIC que permite </w:t>
      </w:r>
      <w:r>
        <w:rPr>
          <w:sz w:val="20"/>
        </w:rPr>
        <w:t>que</w:t>
      </w:r>
      <w:r w:rsidR="00E95213">
        <w:rPr>
          <w:sz w:val="20"/>
        </w:rPr>
        <w:t xml:space="preserve"> funcione</w:t>
      </w:r>
      <w:r>
        <w:rPr>
          <w:sz w:val="20"/>
        </w:rPr>
        <w:t xml:space="preserve"> </w:t>
      </w:r>
      <w:r w:rsidR="00E95213">
        <w:rPr>
          <w:sz w:val="20"/>
        </w:rPr>
        <w:t>el PCT y</w:t>
      </w:r>
      <w:r>
        <w:rPr>
          <w:sz w:val="20"/>
        </w:rPr>
        <w:t xml:space="preserve"> sus sistemas de información</w:t>
      </w:r>
      <w:r w:rsidR="00E95213">
        <w:rPr>
          <w:sz w:val="20"/>
        </w:rPr>
        <w:t>;</w:t>
      </w:r>
    </w:p>
    <w:p w:rsidR="00CF18C3" w:rsidRPr="005D781E" w:rsidRDefault="00CF18C3" w:rsidP="00CF18C3">
      <w:pPr>
        <w:numPr>
          <w:ilvl w:val="0"/>
          <w:numId w:val="19"/>
        </w:numPr>
        <w:spacing w:after="120"/>
        <w:ind w:left="1134" w:hanging="567"/>
        <w:jc w:val="both"/>
        <w:rPr>
          <w:sz w:val="20"/>
        </w:rPr>
      </w:pPr>
      <w:r w:rsidRPr="005D781E">
        <w:rPr>
          <w:sz w:val="20"/>
        </w:rPr>
        <w:t>respaldar los esfuerzos dedicados por las Administraciones internacionales al mejoramiento de la calidad y la puntualidad de sus procedimientos, y ello incluye elaborar parámetros de calidad y estudiar la posibilidad de realizar en colaboración el examen de las solicitudes PCT y la búsqueda correspondiente;</w:t>
      </w:r>
    </w:p>
    <w:p w:rsidR="00CF18C3" w:rsidRPr="005D781E" w:rsidRDefault="00CF18C3" w:rsidP="00CF18C3">
      <w:pPr>
        <w:numPr>
          <w:ilvl w:val="0"/>
          <w:numId w:val="19"/>
        </w:numPr>
        <w:spacing w:after="120"/>
        <w:ind w:left="1134" w:hanging="567"/>
        <w:jc w:val="both"/>
        <w:rPr>
          <w:sz w:val="20"/>
        </w:rPr>
      </w:pPr>
      <w:r w:rsidRPr="005D781E">
        <w:rPr>
          <w:sz w:val="20"/>
        </w:rPr>
        <w:t>seguir estudiando nuevas maneras de mejorar el Sistema del PCT, aplicando al mismo tiempo las medidas específicas ya aprobadas por los Estados miembros;</w:t>
      </w:r>
    </w:p>
    <w:p w:rsidR="00CF18C3" w:rsidRPr="005D781E" w:rsidRDefault="00CF18C3" w:rsidP="00CF18C3">
      <w:pPr>
        <w:numPr>
          <w:ilvl w:val="0"/>
          <w:numId w:val="19"/>
        </w:numPr>
        <w:spacing w:after="120"/>
        <w:ind w:left="1134" w:hanging="567"/>
        <w:jc w:val="both"/>
        <w:rPr>
          <w:sz w:val="20"/>
        </w:rPr>
      </w:pPr>
      <w:r w:rsidRPr="005D781E">
        <w:rPr>
          <w:sz w:val="20"/>
        </w:rPr>
        <w:t>mejorar las comunicaciones con los clientes y las partes interesadas del PCT mediante encuestas y otras actividades de divulgación destinadas a reconocer las necesidades y mejorar la eficacia de los servicios prestados en el marco del PCT;</w:t>
      </w:r>
    </w:p>
    <w:p w:rsidR="00CF18C3" w:rsidRPr="005D781E" w:rsidRDefault="00CF18C3" w:rsidP="00CF18C3">
      <w:pPr>
        <w:numPr>
          <w:ilvl w:val="0"/>
          <w:numId w:val="19"/>
        </w:numPr>
        <w:spacing w:after="120"/>
        <w:ind w:left="1134" w:hanging="567"/>
        <w:jc w:val="both"/>
        <w:rPr>
          <w:sz w:val="20"/>
        </w:rPr>
      </w:pPr>
      <w:r w:rsidRPr="005D781E">
        <w:rPr>
          <w:sz w:val="20"/>
        </w:rPr>
        <w:lastRenderedPageBreak/>
        <w:t xml:space="preserve">impartir capacitación a un mayor número de usuarios del PCT, valiéndose de métodos tecnológicos como los </w:t>
      </w:r>
      <w:proofErr w:type="spellStart"/>
      <w:r w:rsidRPr="005D781E">
        <w:rPr>
          <w:sz w:val="20"/>
        </w:rPr>
        <w:t>webinarios</w:t>
      </w:r>
      <w:proofErr w:type="spellEnd"/>
      <w:r w:rsidRPr="005D781E">
        <w:rPr>
          <w:sz w:val="20"/>
        </w:rPr>
        <w:t xml:space="preserve"> y videoconferencias;</w:t>
      </w:r>
    </w:p>
    <w:p w:rsidR="00CF18C3" w:rsidRPr="005D781E" w:rsidRDefault="00CF18C3" w:rsidP="00CF18C3">
      <w:pPr>
        <w:numPr>
          <w:ilvl w:val="0"/>
          <w:numId w:val="19"/>
        </w:numPr>
        <w:spacing w:after="120"/>
        <w:ind w:left="1134" w:hanging="567"/>
        <w:jc w:val="both"/>
        <w:rPr>
          <w:sz w:val="20"/>
        </w:rPr>
      </w:pPr>
      <w:r w:rsidRPr="005D781E">
        <w:rPr>
          <w:sz w:val="20"/>
        </w:rPr>
        <w:t>agilizar la preparación y difusión de información sobre el PCT;</w:t>
      </w:r>
    </w:p>
    <w:p w:rsidR="00CF18C3" w:rsidRPr="005D781E" w:rsidRDefault="00CF18C3" w:rsidP="00CF18C3">
      <w:pPr>
        <w:numPr>
          <w:ilvl w:val="0"/>
          <w:numId w:val="19"/>
        </w:numPr>
        <w:spacing w:after="120"/>
        <w:ind w:left="1134" w:hanging="567"/>
        <w:jc w:val="both"/>
        <w:rPr>
          <w:sz w:val="20"/>
        </w:rPr>
      </w:pPr>
      <w:r w:rsidRPr="005D781E">
        <w:rPr>
          <w:sz w:val="20"/>
        </w:rPr>
        <w:t xml:space="preserve">seguir armonizando las competencias del personal con las necesidades, habida cuenta, en particular, de la evolución de la demanda lingüística y geográfica; </w:t>
      </w:r>
    </w:p>
    <w:p w:rsidR="00CF18C3" w:rsidRPr="005D781E" w:rsidRDefault="00CF18C3" w:rsidP="00906DF3">
      <w:pPr>
        <w:numPr>
          <w:ilvl w:val="0"/>
          <w:numId w:val="19"/>
        </w:numPr>
        <w:spacing w:after="120"/>
        <w:ind w:left="1134" w:hanging="567"/>
        <w:jc w:val="both"/>
        <w:rPr>
          <w:sz w:val="20"/>
        </w:rPr>
      </w:pPr>
      <w:r w:rsidRPr="005D781E">
        <w:rPr>
          <w:sz w:val="20"/>
        </w:rPr>
        <w:t>seguir estudiando y aplicando medidas de control y rendimiento de los costos en el marco de las operaciones del PCT;  y</w:t>
      </w:r>
    </w:p>
    <w:p w:rsidR="00CF18C3" w:rsidRDefault="00CF18C3" w:rsidP="00906DF3">
      <w:pPr>
        <w:numPr>
          <w:ilvl w:val="0"/>
          <w:numId w:val="19"/>
        </w:numPr>
        <w:spacing w:after="120"/>
        <w:ind w:left="1134" w:hanging="567"/>
        <w:jc w:val="both"/>
        <w:rPr>
          <w:sz w:val="20"/>
        </w:rPr>
      </w:pPr>
      <w:r w:rsidRPr="005D781E">
        <w:rPr>
          <w:sz w:val="20"/>
        </w:rPr>
        <w:t>seguir cooperando con otros programas relacionados con las actividades de asistencia técnica y fortalecimiento de capacidades en el marco del PCT en favor de los países en desarrollo y los países meno</w:t>
      </w:r>
      <w:r w:rsidR="002E2404">
        <w:rPr>
          <w:sz w:val="20"/>
        </w:rPr>
        <w:t>s adelantados, como se ilustra a continuación</w:t>
      </w:r>
      <w:r w:rsidRPr="005D781E">
        <w:rPr>
          <w:sz w:val="20"/>
        </w:rPr>
        <w:t>.</w:t>
      </w:r>
    </w:p>
    <w:p w:rsidR="00FF0F83" w:rsidRDefault="00FF0F83" w:rsidP="00FF0F83">
      <w:pPr>
        <w:spacing w:after="120"/>
        <w:jc w:val="both"/>
        <w:rPr>
          <w:sz w:val="20"/>
        </w:rPr>
      </w:pPr>
    </w:p>
    <w:p w:rsidR="00FF0F83" w:rsidRPr="005D781E" w:rsidRDefault="00FF0F83" w:rsidP="00FF0F83">
      <w:pPr>
        <w:spacing w:after="120"/>
        <w:jc w:val="both"/>
        <w:rPr>
          <w:sz w:val="20"/>
        </w:rPr>
      </w:pPr>
      <w:r w:rsidRPr="002F58D0">
        <w:rPr>
          <w:noProof/>
          <w:lang w:val="en-US" w:eastAsia="en-US"/>
        </w:rPr>
        <w:drawing>
          <wp:inline distT="0" distB="0" distL="0" distR="0" wp14:anchorId="4901F235" wp14:editId="6AB5C9EC">
            <wp:extent cx="5940425" cy="1956659"/>
            <wp:effectExtent l="0" t="95250" r="0" b="5715"/>
            <wp:docPr id="22" name="Diagram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rsidR="00CF18C3" w:rsidRDefault="00CF18C3" w:rsidP="00CF18C3">
      <w:pPr>
        <w:keepNext/>
        <w:keepLines/>
        <w:tabs>
          <w:tab w:val="left" w:pos="567"/>
          <w:tab w:val="left" w:pos="1985"/>
        </w:tabs>
        <w:jc w:val="both"/>
        <w:rPr>
          <w:bCs/>
          <w:szCs w:val="22"/>
        </w:rPr>
      </w:pPr>
    </w:p>
    <w:p w:rsidR="000F0050" w:rsidRPr="005D781E" w:rsidRDefault="000F0050" w:rsidP="00CF18C3">
      <w:pPr>
        <w:keepNext/>
        <w:keepLines/>
        <w:tabs>
          <w:tab w:val="left" w:pos="567"/>
          <w:tab w:val="left" w:pos="1985"/>
        </w:tabs>
        <w:jc w:val="both"/>
        <w:rPr>
          <w:bCs/>
          <w:szCs w:val="22"/>
        </w:rPr>
      </w:pPr>
    </w:p>
    <w:p w:rsidR="00CF18C3" w:rsidRPr="005D781E" w:rsidRDefault="00CF18C3" w:rsidP="00CF18C3">
      <w:pPr>
        <w:keepNext/>
        <w:keepLines/>
        <w:tabs>
          <w:tab w:val="left" w:pos="567"/>
          <w:tab w:val="left" w:pos="1985"/>
        </w:tabs>
        <w:jc w:val="both"/>
        <w:rPr>
          <w:bCs/>
          <w:szCs w:val="22"/>
        </w:rPr>
      </w:pPr>
      <w:r w:rsidRPr="005D781E">
        <w:rPr>
          <w:bCs/>
          <w:szCs w:val="22"/>
        </w:rPr>
        <w:t>PRINCIPALES RIESGOS Y ESTRATEGIAS DE MITIGACIÓN</w:t>
      </w:r>
    </w:p>
    <w:p w:rsidR="00CF18C3" w:rsidRPr="005D781E" w:rsidRDefault="00CF18C3" w:rsidP="00CF18C3">
      <w:pPr>
        <w:rPr>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CF18C3" w:rsidRPr="005D781E" w:rsidTr="00E95213">
        <w:trPr>
          <w:trHeight w:val="577"/>
        </w:trPr>
        <w:tc>
          <w:tcPr>
            <w:tcW w:w="4111" w:type="dxa"/>
            <w:tcBorders>
              <w:top w:val="single" w:sz="4" w:space="0" w:color="auto"/>
              <w:bottom w:val="single" w:sz="4" w:space="0" w:color="auto"/>
            </w:tcBorders>
            <w:shd w:val="clear" w:color="auto" w:fill="C6D9F1"/>
            <w:vAlign w:val="center"/>
          </w:tcPr>
          <w:p w:rsidR="00CF18C3" w:rsidRPr="005D781E" w:rsidRDefault="00CF18C3" w:rsidP="000A0481">
            <w:pPr>
              <w:jc w:val="center"/>
              <w:rPr>
                <w:b/>
                <w:bCs/>
                <w:sz w:val="18"/>
                <w:szCs w:val="18"/>
              </w:rPr>
            </w:pPr>
            <w:r w:rsidRPr="005D781E">
              <w:rPr>
                <w:b/>
                <w:bCs/>
                <w:sz w:val="18"/>
                <w:szCs w:val="18"/>
              </w:rPr>
              <w:t>Riesgo</w:t>
            </w:r>
          </w:p>
        </w:tc>
        <w:tc>
          <w:tcPr>
            <w:tcW w:w="5245" w:type="dxa"/>
            <w:tcBorders>
              <w:top w:val="single" w:sz="4" w:space="0" w:color="auto"/>
              <w:bottom w:val="single" w:sz="4" w:space="0" w:color="auto"/>
            </w:tcBorders>
            <w:shd w:val="clear" w:color="auto" w:fill="C6D9F1"/>
            <w:vAlign w:val="center"/>
          </w:tcPr>
          <w:p w:rsidR="00CF18C3" w:rsidRPr="005D781E" w:rsidRDefault="00CF18C3" w:rsidP="000A0481">
            <w:pPr>
              <w:jc w:val="center"/>
              <w:rPr>
                <w:b/>
                <w:bCs/>
                <w:sz w:val="18"/>
                <w:szCs w:val="18"/>
              </w:rPr>
            </w:pPr>
            <w:r w:rsidRPr="005D781E">
              <w:rPr>
                <w:b/>
                <w:bCs/>
                <w:sz w:val="18"/>
                <w:szCs w:val="18"/>
              </w:rPr>
              <w:t>Mitigación</w:t>
            </w:r>
          </w:p>
        </w:tc>
      </w:tr>
      <w:tr w:rsidR="00CF18C3" w:rsidRPr="005D781E" w:rsidTr="000A0481">
        <w:trPr>
          <w:trHeight w:val="336"/>
        </w:trPr>
        <w:tc>
          <w:tcPr>
            <w:tcW w:w="4111" w:type="dxa"/>
            <w:tcBorders>
              <w:top w:val="single" w:sz="4" w:space="0" w:color="auto"/>
            </w:tcBorders>
            <w:shd w:val="clear" w:color="auto" w:fill="auto"/>
            <w:tcMar>
              <w:top w:w="113" w:type="dxa"/>
              <w:bottom w:w="113" w:type="dxa"/>
            </w:tcMar>
          </w:tcPr>
          <w:p w:rsidR="00CF18C3" w:rsidRPr="005D781E" w:rsidRDefault="00CF18C3" w:rsidP="000A0481">
            <w:pPr>
              <w:rPr>
                <w:sz w:val="16"/>
                <w:szCs w:val="16"/>
              </w:rPr>
            </w:pPr>
            <w:r w:rsidRPr="005D781E">
              <w:rPr>
                <w:sz w:val="16"/>
                <w:szCs w:val="16"/>
              </w:rPr>
              <w:t>Disminución del número de solicitudes presentadas en virtud del PCT, en términos absolutos o relativos con respecto a las solicitudes presentadas en virtud del Convenio de París.</w:t>
            </w:r>
          </w:p>
        </w:tc>
        <w:tc>
          <w:tcPr>
            <w:tcW w:w="5245" w:type="dxa"/>
            <w:tcBorders>
              <w:top w:val="single" w:sz="4" w:space="0" w:color="auto"/>
            </w:tcBorders>
            <w:shd w:val="clear" w:color="auto" w:fill="auto"/>
            <w:tcMar>
              <w:top w:w="113" w:type="dxa"/>
              <w:bottom w:w="113" w:type="dxa"/>
            </w:tcMar>
          </w:tcPr>
          <w:p w:rsidR="00CF18C3" w:rsidRPr="005D781E" w:rsidRDefault="00CF18C3" w:rsidP="000A0481">
            <w:pPr>
              <w:rPr>
                <w:sz w:val="16"/>
                <w:szCs w:val="16"/>
              </w:rPr>
            </w:pPr>
            <w:r w:rsidRPr="005D781E">
              <w:rPr>
                <w:sz w:val="16"/>
                <w:szCs w:val="16"/>
              </w:rPr>
              <w:t>Se seguirá fomentando el PCT entre los usuarios actuales y potenciales.</w:t>
            </w:r>
          </w:p>
        </w:tc>
      </w:tr>
      <w:tr w:rsidR="00CF18C3" w:rsidRPr="005D781E" w:rsidTr="000A0481">
        <w:trPr>
          <w:trHeight w:val="454"/>
        </w:trPr>
        <w:tc>
          <w:tcPr>
            <w:tcW w:w="4111" w:type="dxa"/>
            <w:shd w:val="clear" w:color="auto" w:fill="auto"/>
            <w:tcMar>
              <w:top w:w="113" w:type="dxa"/>
              <w:bottom w:w="113" w:type="dxa"/>
            </w:tcMar>
          </w:tcPr>
          <w:p w:rsidR="00CF18C3" w:rsidRPr="005D781E" w:rsidRDefault="00CF18C3" w:rsidP="000A0481">
            <w:pPr>
              <w:rPr>
                <w:sz w:val="16"/>
                <w:szCs w:val="16"/>
              </w:rPr>
            </w:pPr>
            <w:r w:rsidRPr="005D781E">
              <w:rPr>
                <w:sz w:val="16"/>
                <w:szCs w:val="16"/>
              </w:rPr>
              <w:t>Indisponibilidad prolongada de los servicios del PCT.</w:t>
            </w:r>
          </w:p>
        </w:tc>
        <w:tc>
          <w:tcPr>
            <w:tcW w:w="5245" w:type="dxa"/>
            <w:shd w:val="clear" w:color="auto" w:fill="auto"/>
            <w:tcMar>
              <w:top w:w="113" w:type="dxa"/>
              <w:bottom w:w="113" w:type="dxa"/>
            </w:tcMar>
          </w:tcPr>
          <w:p w:rsidR="00CF18C3" w:rsidRPr="005D781E" w:rsidRDefault="00CF18C3" w:rsidP="00DA24D6">
            <w:pPr>
              <w:rPr>
                <w:sz w:val="16"/>
                <w:szCs w:val="16"/>
              </w:rPr>
            </w:pPr>
            <w:r w:rsidRPr="005D781E">
              <w:rPr>
                <w:sz w:val="16"/>
                <w:szCs w:val="16"/>
              </w:rPr>
              <w:t xml:space="preserve">Preparación y comprobación periódica del plan de gestión de la continuidad de las operaciones </w:t>
            </w:r>
            <w:r w:rsidR="00DA24D6">
              <w:rPr>
                <w:sz w:val="16"/>
                <w:szCs w:val="16"/>
              </w:rPr>
              <w:t xml:space="preserve">e introducción </w:t>
            </w:r>
            <w:r w:rsidR="00DA24D6" w:rsidRPr="005D781E">
              <w:rPr>
                <w:sz w:val="16"/>
                <w:szCs w:val="16"/>
              </w:rPr>
              <w:t>e</w:t>
            </w:r>
            <w:r w:rsidR="00DA24D6">
              <w:rPr>
                <w:sz w:val="16"/>
                <w:szCs w:val="16"/>
              </w:rPr>
              <w:t>n</w:t>
            </w:r>
            <w:r w:rsidR="00DA24D6" w:rsidRPr="005D781E">
              <w:rPr>
                <w:sz w:val="16"/>
                <w:szCs w:val="16"/>
              </w:rPr>
              <w:t xml:space="preserve"> la arquitectura del sistema</w:t>
            </w:r>
            <w:r w:rsidR="00DA24D6">
              <w:rPr>
                <w:sz w:val="16"/>
                <w:szCs w:val="16"/>
              </w:rPr>
              <w:t xml:space="preserve"> </w:t>
            </w:r>
            <w:r w:rsidRPr="005D781E">
              <w:rPr>
                <w:sz w:val="16"/>
                <w:szCs w:val="16"/>
              </w:rPr>
              <w:t xml:space="preserve">de mejoras </w:t>
            </w:r>
            <w:r w:rsidR="00DA24D6">
              <w:rPr>
                <w:sz w:val="16"/>
                <w:szCs w:val="16"/>
              </w:rPr>
              <w:t>a la capacidad de reacción y</w:t>
            </w:r>
            <w:r w:rsidRPr="005D781E">
              <w:rPr>
                <w:sz w:val="16"/>
                <w:szCs w:val="16"/>
              </w:rPr>
              <w:t xml:space="preserve"> recuperación.</w:t>
            </w:r>
          </w:p>
        </w:tc>
      </w:tr>
      <w:tr w:rsidR="00CF18C3" w:rsidRPr="005D781E" w:rsidTr="000A0481">
        <w:trPr>
          <w:trHeight w:val="670"/>
        </w:trPr>
        <w:tc>
          <w:tcPr>
            <w:tcW w:w="4111" w:type="dxa"/>
            <w:shd w:val="clear" w:color="auto" w:fill="auto"/>
            <w:tcMar>
              <w:top w:w="113" w:type="dxa"/>
              <w:bottom w:w="113" w:type="dxa"/>
            </w:tcMar>
          </w:tcPr>
          <w:p w:rsidR="00CF18C3" w:rsidRPr="005D781E" w:rsidRDefault="00CF18C3" w:rsidP="000A0481">
            <w:pPr>
              <w:rPr>
                <w:sz w:val="16"/>
                <w:szCs w:val="16"/>
              </w:rPr>
            </w:pPr>
            <w:r w:rsidRPr="005D781E">
              <w:rPr>
                <w:sz w:val="16"/>
                <w:szCs w:val="16"/>
              </w:rPr>
              <w:t>Divulgación intencionada o involuntaria de información confidencial.</w:t>
            </w:r>
          </w:p>
        </w:tc>
        <w:tc>
          <w:tcPr>
            <w:tcW w:w="5245" w:type="dxa"/>
            <w:shd w:val="clear" w:color="auto" w:fill="auto"/>
            <w:tcMar>
              <w:top w:w="113" w:type="dxa"/>
              <w:bottom w:w="113" w:type="dxa"/>
            </w:tcMar>
          </w:tcPr>
          <w:p w:rsidR="00CF18C3" w:rsidRPr="005D781E" w:rsidRDefault="00CF18C3" w:rsidP="000A0481">
            <w:pPr>
              <w:rPr>
                <w:sz w:val="16"/>
                <w:szCs w:val="16"/>
              </w:rPr>
            </w:pPr>
            <w:r w:rsidRPr="005D781E">
              <w:rPr>
                <w:sz w:val="16"/>
                <w:szCs w:val="16"/>
              </w:rPr>
              <w:t xml:space="preserve">Programa </w:t>
            </w:r>
            <w:proofErr w:type="gramStart"/>
            <w:r w:rsidRPr="005D781E">
              <w:rPr>
                <w:sz w:val="16"/>
                <w:szCs w:val="16"/>
              </w:rPr>
              <w:t>continuo</w:t>
            </w:r>
            <w:proofErr w:type="gramEnd"/>
            <w:r w:rsidRPr="005D781E">
              <w:rPr>
                <w:sz w:val="16"/>
                <w:szCs w:val="16"/>
              </w:rPr>
              <w:t xml:space="preserve"> de sensibilización destinado al personal;  seguir aplicando los más modernos mecanismos de control del entorno físico y electrónico;  seguir mejorando la vigilancia estratégica;  mantener un alto grado de supervisión de los proveedores de servicios subcontratados.</w:t>
            </w:r>
          </w:p>
        </w:tc>
      </w:tr>
      <w:tr w:rsidR="00CF18C3" w:rsidRPr="005D781E" w:rsidTr="000A0481">
        <w:trPr>
          <w:trHeight w:val="632"/>
        </w:trPr>
        <w:tc>
          <w:tcPr>
            <w:tcW w:w="4111" w:type="dxa"/>
            <w:shd w:val="clear" w:color="auto" w:fill="auto"/>
            <w:tcMar>
              <w:top w:w="113" w:type="dxa"/>
              <w:bottom w:w="113" w:type="dxa"/>
            </w:tcMar>
          </w:tcPr>
          <w:p w:rsidR="00CF18C3" w:rsidRPr="005D781E" w:rsidRDefault="00CF18C3" w:rsidP="000A0481">
            <w:pPr>
              <w:rPr>
                <w:sz w:val="16"/>
                <w:szCs w:val="16"/>
              </w:rPr>
            </w:pPr>
            <w:r w:rsidRPr="005D781E">
              <w:rPr>
                <w:sz w:val="16"/>
                <w:szCs w:val="16"/>
              </w:rPr>
              <w:t>Empeoramiento de la calidad de los textos producidos por las Oficinas durante la tramitación internacional.</w:t>
            </w:r>
          </w:p>
        </w:tc>
        <w:tc>
          <w:tcPr>
            <w:tcW w:w="5245" w:type="dxa"/>
            <w:shd w:val="clear" w:color="auto" w:fill="auto"/>
            <w:tcMar>
              <w:top w:w="113" w:type="dxa"/>
              <w:bottom w:w="113" w:type="dxa"/>
            </w:tcMar>
          </w:tcPr>
          <w:p w:rsidR="00CF18C3" w:rsidRPr="005D781E" w:rsidRDefault="00CF18C3" w:rsidP="000A0481">
            <w:pPr>
              <w:rPr>
                <w:b/>
                <w:i/>
                <w:sz w:val="16"/>
                <w:szCs w:val="16"/>
              </w:rPr>
            </w:pPr>
            <w:r w:rsidRPr="005D781E">
              <w:rPr>
                <w:sz w:val="16"/>
                <w:szCs w:val="16"/>
              </w:rPr>
              <w:t xml:space="preserve">Armonizar las competencias del personal con las necesidades;  seguir fomentando los procedimientos de control de calidad;  prestar apoyo en materia de formación, en particular en relación con las nuevas tecnologías, como XML, </w:t>
            </w:r>
            <w:proofErr w:type="spellStart"/>
            <w:r w:rsidRPr="005D781E">
              <w:rPr>
                <w:sz w:val="16"/>
                <w:szCs w:val="16"/>
              </w:rPr>
              <w:t>ePCT</w:t>
            </w:r>
            <w:proofErr w:type="spellEnd"/>
            <w:r w:rsidRPr="005D781E">
              <w:rPr>
                <w:sz w:val="16"/>
                <w:szCs w:val="16"/>
              </w:rPr>
              <w:t>, etc.</w:t>
            </w:r>
          </w:p>
        </w:tc>
      </w:tr>
    </w:tbl>
    <w:p w:rsidR="00CF18C3" w:rsidRDefault="00CF18C3" w:rsidP="00CF18C3">
      <w:pPr>
        <w:keepNext/>
        <w:keepLines/>
        <w:tabs>
          <w:tab w:val="left" w:pos="567"/>
          <w:tab w:val="left" w:pos="1985"/>
        </w:tabs>
        <w:jc w:val="both"/>
        <w:rPr>
          <w:bCs/>
        </w:rPr>
      </w:pPr>
      <w:r w:rsidRPr="005D781E">
        <w:rPr>
          <w:bCs/>
        </w:rPr>
        <w:lastRenderedPageBreak/>
        <w:t>MARC</w:t>
      </w:r>
      <w:r w:rsidR="00601A3B">
        <w:rPr>
          <w:bCs/>
        </w:rPr>
        <w:t>O DE RESULTADOS</w:t>
      </w:r>
    </w:p>
    <w:p w:rsidR="00601A3B" w:rsidRPr="005D781E" w:rsidRDefault="00601A3B" w:rsidP="00CF18C3">
      <w:pPr>
        <w:keepNext/>
        <w:keepLines/>
        <w:tabs>
          <w:tab w:val="left" w:pos="567"/>
          <w:tab w:val="left" w:pos="1985"/>
        </w:tabs>
        <w:jc w:val="both"/>
        <w:rPr>
          <w:bCs/>
        </w:rPr>
      </w:pPr>
    </w:p>
    <w:tbl>
      <w:tblPr>
        <w:tblW w:w="9244" w:type="dxa"/>
        <w:tblLayout w:type="fixed"/>
        <w:tblCellMar>
          <w:left w:w="30" w:type="dxa"/>
          <w:right w:w="30" w:type="dxa"/>
        </w:tblCellMar>
        <w:tblLook w:val="0000" w:firstRow="0" w:lastRow="0" w:firstColumn="0" w:lastColumn="0" w:noHBand="0" w:noVBand="0"/>
      </w:tblPr>
      <w:tblGrid>
        <w:gridCol w:w="2674"/>
        <w:gridCol w:w="2397"/>
        <w:gridCol w:w="2256"/>
        <w:gridCol w:w="1917"/>
      </w:tblGrid>
      <w:tr w:rsidR="00CF18C3" w:rsidRPr="005D781E" w:rsidTr="00E95213">
        <w:trPr>
          <w:trHeight w:val="470"/>
        </w:trPr>
        <w:tc>
          <w:tcPr>
            <w:tcW w:w="2674" w:type="dxa"/>
            <w:tcBorders>
              <w:top w:val="single" w:sz="6" w:space="0" w:color="auto"/>
              <w:left w:val="single" w:sz="6" w:space="0" w:color="auto"/>
              <w:bottom w:val="single" w:sz="6" w:space="0" w:color="auto"/>
              <w:right w:val="nil"/>
            </w:tcBorders>
            <w:shd w:val="clear" w:color="auto" w:fill="C6D9F1"/>
            <w:vAlign w:val="center"/>
          </w:tcPr>
          <w:p w:rsidR="00CF18C3" w:rsidRPr="005D781E" w:rsidRDefault="00CF18C3" w:rsidP="000A0481">
            <w:pPr>
              <w:keepNext/>
              <w:keepLines/>
              <w:autoSpaceDE w:val="0"/>
              <w:autoSpaceDN w:val="0"/>
              <w:adjustRightInd w:val="0"/>
              <w:jc w:val="center"/>
              <w:rPr>
                <w:b/>
                <w:bCs/>
                <w:sz w:val="18"/>
              </w:rPr>
            </w:pPr>
            <w:r w:rsidRPr="005D781E">
              <w:rPr>
                <w:b/>
                <w:bCs/>
                <w:sz w:val="18"/>
              </w:rPr>
              <w:t>Resultados previstos</w:t>
            </w:r>
          </w:p>
        </w:tc>
        <w:tc>
          <w:tcPr>
            <w:tcW w:w="2397" w:type="dxa"/>
            <w:tcBorders>
              <w:top w:val="single" w:sz="6" w:space="0" w:color="auto"/>
              <w:left w:val="nil"/>
              <w:bottom w:val="single" w:sz="6" w:space="0" w:color="auto"/>
              <w:right w:val="nil"/>
            </w:tcBorders>
            <w:shd w:val="clear" w:color="auto" w:fill="C6D9F1"/>
            <w:vAlign w:val="center"/>
          </w:tcPr>
          <w:p w:rsidR="00CF18C3" w:rsidRPr="005D781E" w:rsidRDefault="00CF18C3" w:rsidP="000A0481">
            <w:pPr>
              <w:keepNext/>
              <w:keepLines/>
              <w:autoSpaceDE w:val="0"/>
              <w:autoSpaceDN w:val="0"/>
              <w:adjustRightInd w:val="0"/>
              <w:jc w:val="center"/>
              <w:rPr>
                <w:b/>
                <w:bCs/>
                <w:sz w:val="18"/>
              </w:rPr>
            </w:pPr>
            <w:r w:rsidRPr="005D781E">
              <w:rPr>
                <w:b/>
                <w:bCs/>
                <w:sz w:val="18"/>
              </w:rPr>
              <w:t>Indicadores de rendimiento</w:t>
            </w:r>
          </w:p>
        </w:tc>
        <w:tc>
          <w:tcPr>
            <w:tcW w:w="2256" w:type="dxa"/>
            <w:tcBorders>
              <w:top w:val="single" w:sz="6" w:space="0" w:color="auto"/>
              <w:left w:val="nil"/>
              <w:bottom w:val="single" w:sz="6" w:space="0" w:color="auto"/>
              <w:right w:val="nil"/>
            </w:tcBorders>
            <w:shd w:val="clear" w:color="auto" w:fill="C6D9F1"/>
            <w:vAlign w:val="center"/>
          </w:tcPr>
          <w:p w:rsidR="00CF18C3" w:rsidRPr="005D781E" w:rsidRDefault="00CF18C3" w:rsidP="000A0481">
            <w:pPr>
              <w:keepNext/>
              <w:keepLines/>
              <w:autoSpaceDE w:val="0"/>
              <w:autoSpaceDN w:val="0"/>
              <w:adjustRightInd w:val="0"/>
              <w:rPr>
                <w:b/>
                <w:bCs/>
                <w:sz w:val="18"/>
              </w:rPr>
            </w:pPr>
            <w:r w:rsidRPr="005D781E">
              <w:rPr>
                <w:b/>
                <w:bCs/>
                <w:sz w:val="18"/>
              </w:rPr>
              <w:t>Referencia</w:t>
            </w:r>
          </w:p>
        </w:tc>
        <w:tc>
          <w:tcPr>
            <w:tcW w:w="1917" w:type="dxa"/>
            <w:tcBorders>
              <w:top w:val="single" w:sz="6" w:space="0" w:color="auto"/>
              <w:left w:val="nil"/>
              <w:bottom w:val="single" w:sz="6" w:space="0" w:color="auto"/>
              <w:right w:val="single" w:sz="6" w:space="0" w:color="auto"/>
            </w:tcBorders>
            <w:shd w:val="clear" w:color="auto" w:fill="C6D9F1"/>
            <w:vAlign w:val="center"/>
          </w:tcPr>
          <w:p w:rsidR="00CF18C3" w:rsidRPr="005D781E" w:rsidRDefault="00CF18C3" w:rsidP="000A0481">
            <w:pPr>
              <w:keepNext/>
              <w:keepLines/>
              <w:autoSpaceDE w:val="0"/>
              <w:autoSpaceDN w:val="0"/>
              <w:adjustRightInd w:val="0"/>
              <w:jc w:val="center"/>
              <w:rPr>
                <w:b/>
                <w:bCs/>
                <w:sz w:val="18"/>
              </w:rPr>
            </w:pPr>
            <w:r w:rsidRPr="005D781E">
              <w:rPr>
                <w:b/>
                <w:bCs/>
                <w:sz w:val="18"/>
              </w:rPr>
              <w:t>Objetivos</w:t>
            </w:r>
          </w:p>
        </w:tc>
      </w:tr>
      <w:tr w:rsidR="00CF18C3" w:rsidRPr="005D781E" w:rsidTr="000A0481">
        <w:trPr>
          <w:trHeight w:val="1358"/>
        </w:trPr>
        <w:tc>
          <w:tcPr>
            <w:tcW w:w="2674" w:type="dxa"/>
            <w:tcBorders>
              <w:top w:val="single" w:sz="6" w:space="0" w:color="auto"/>
              <w:left w:val="single" w:sz="6" w:space="0" w:color="auto"/>
              <w:bottom w:val="nil"/>
              <w:right w:val="nil"/>
            </w:tcBorders>
            <w:shd w:val="solid" w:color="FFFFFF" w:fill="auto"/>
          </w:tcPr>
          <w:p w:rsidR="00CF18C3" w:rsidRPr="005D781E" w:rsidRDefault="00CF18C3" w:rsidP="000A0481">
            <w:pPr>
              <w:keepNext/>
              <w:keepLines/>
              <w:autoSpaceDE w:val="0"/>
              <w:autoSpaceDN w:val="0"/>
              <w:adjustRightInd w:val="0"/>
              <w:ind w:right="487"/>
              <w:rPr>
                <w:sz w:val="16"/>
                <w:szCs w:val="16"/>
              </w:rPr>
            </w:pPr>
          </w:p>
          <w:p w:rsidR="00CF18C3" w:rsidRPr="005D781E" w:rsidRDefault="00CF18C3" w:rsidP="000A0481">
            <w:pPr>
              <w:keepNext/>
              <w:keepLines/>
              <w:autoSpaceDE w:val="0"/>
              <w:autoSpaceDN w:val="0"/>
              <w:adjustRightInd w:val="0"/>
              <w:ind w:right="487"/>
              <w:rPr>
                <w:sz w:val="16"/>
                <w:szCs w:val="16"/>
              </w:rPr>
            </w:pPr>
            <w:r w:rsidRPr="005D781E">
              <w:rPr>
                <w:sz w:val="16"/>
                <w:szCs w:val="16"/>
              </w:rPr>
              <w:t xml:space="preserve">II.1 </w:t>
            </w:r>
            <w:r w:rsidR="00E11D26">
              <w:rPr>
                <w:sz w:val="16"/>
                <w:szCs w:val="16"/>
              </w:rPr>
              <w:t xml:space="preserve"> </w:t>
            </w:r>
            <w:r w:rsidR="006C23D5" w:rsidRPr="00E95213">
              <w:rPr>
                <w:sz w:val="16"/>
                <w:szCs w:val="16"/>
                <w:lang w:val="es-ES_tradnl"/>
              </w:rPr>
              <w:t>Mayor y más eficaz utilización del Sistema del PCT para presentar solicitudes internacionales de patentes</w:t>
            </w:r>
          </w:p>
        </w:tc>
        <w:tc>
          <w:tcPr>
            <w:tcW w:w="2397" w:type="dxa"/>
            <w:tcBorders>
              <w:top w:val="single" w:sz="6" w:space="0" w:color="auto"/>
              <w:left w:val="nil"/>
              <w:bottom w:val="nil"/>
              <w:right w:val="nil"/>
            </w:tcBorders>
            <w:shd w:val="solid" w:color="FFFFFF" w:fill="auto"/>
          </w:tcPr>
          <w:p w:rsidR="00CF18C3" w:rsidRPr="005D781E" w:rsidRDefault="00CF18C3" w:rsidP="000A0481">
            <w:pPr>
              <w:keepNext/>
              <w:keepLines/>
              <w:autoSpaceDE w:val="0"/>
              <w:autoSpaceDN w:val="0"/>
              <w:adjustRightInd w:val="0"/>
              <w:ind w:right="333"/>
              <w:rPr>
                <w:sz w:val="16"/>
                <w:szCs w:val="16"/>
              </w:rPr>
            </w:pPr>
          </w:p>
          <w:p w:rsidR="00CF18C3" w:rsidRPr="005D781E" w:rsidRDefault="00CF18C3" w:rsidP="00DA24D6">
            <w:pPr>
              <w:keepNext/>
              <w:keepLines/>
              <w:autoSpaceDE w:val="0"/>
              <w:autoSpaceDN w:val="0"/>
              <w:adjustRightInd w:val="0"/>
              <w:ind w:right="333"/>
              <w:rPr>
                <w:sz w:val="16"/>
                <w:szCs w:val="16"/>
              </w:rPr>
            </w:pPr>
            <w:r w:rsidRPr="005D781E">
              <w:rPr>
                <w:sz w:val="16"/>
                <w:szCs w:val="16"/>
              </w:rPr>
              <w:t>Nivel de satisfacción de los usuarios respecto de los servicios, específicos del PCT, de asesoramiento jurídico, información, formación y de atención al cliente.</w:t>
            </w:r>
            <w:r w:rsidR="00DA24D6">
              <w:rPr>
                <w:sz w:val="16"/>
                <w:szCs w:val="16"/>
              </w:rPr>
              <w:br/>
            </w:r>
          </w:p>
        </w:tc>
        <w:tc>
          <w:tcPr>
            <w:tcW w:w="2256" w:type="dxa"/>
            <w:tcBorders>
              <w:top w:val="single" w:sz="6" w:space="0" w:color="auto"/>
              <w:left w:val="nil"/>
              <w:bottom w:val="nil"/>
              <w:right w:val="nil"/>
            </w:tcBorders>
            <w:shd w:val="solid" w:color="FFFFFF" w:fill="auto"/>
          </w:tcPr>
          <w:p w:rsidR="00CF18C3" w:rsidRPr="005D781E" w:rsidRDefault="00CF18C3" w:rsidP="000A0481">
            <w:pPr>
              <w:keepNext/>
              <w:keepLines/>
              <w:tabs>
                <w:tab w:val="left" w:pos="1733"/>
              </w:tabs>
              <w:autoSpaceDE w:val="0"/>
              <w:autoSpaceDN w:val="0"/>
              <w:adjustRightInd w:val="0"/>
              <w:ind w:left="59" w:right="321"/>
              <w:rPr>
                <w:sz w:val="16"/>
                <w:szCs w:val="16"/>
              </w:rPr>
            </w:pPr>
          </w:p>
          <w:p w:rsidR="00CF18C3" w:rsidRPr="005D781E" w:rsidRDefault="00CF18C3" w:rsidP="000A0481">
            <w:pPr>
              <w:keepNext/>
              <w:keepLines/>
              <w:tabs>
                <w:tab w:val="left" w:pos="1733"/>
              </w:tabs>
              <w:autoSpaceDE w:val="0"/>
              <w:autoSpaceDN w:val="0"/>
              <w:adjustRightInd w:val="0"/>
              <w:ind w:left="59" w:right="321"/>
              <w:rPr>
                <w:sz w:val="16"/>
                <w:szCs w:val="16"/>
              </w:rPr>
            </w:pPr>
            <w:r w:rsidRPr="005D781E">
              <w:rPr>
                <w:sz w:val="16"/>
                <w:szCs w:val="16"/>
              </w:rPr>
              <w:t>Resultados de las encuestas de 2009 y 2015</w:t>
            </w:r>
          </w:p>
        </w:tc>
        <w:tc>
          <w:tcPr>
            <w:tcW w:w="1917" w:type="dxa"/>
            <w:tcBorders>
              <w:top w:val="single" w:sz="6" w:space="0" w:color="auto"/>
              <w:left w:val="nil"/>
              <w:bottom w:val="nil"/>
              <w:right w:val="single" w:sz="6" w:space="0" w:color="auto"/>
            </w:tcBorders>
            <w:shd w:val="solid" w:color="FFFFFF" w:fill="auto"/>
          </w:tcPr>
          <w:p w:rsidR="00CF18C3" w:rsidRPr="005D781E" w:rsidRDefault="00CF18C3" w:rsidP="000A0481">
            <w:pPr>
              <w:keepNext/>
              <w:keepLines/>
              <w:autoSpaceDE w:val="0"/>
              <w:autoSpaceDN w:val="0"/>
              <w:adjustRightInd w:val="0"/>
              <w:ind w:left="53"/>
              <w:rPr>
                <w:sz w:val="16"/>
                <w:szCs w:val="16"/>
              </w:rPr>
            </w:pPr>
          </w:p>
          <w:p w:rsidR="00CF18C3" w:rsidRPr="005D781E" w:rsidRDefault="00CF18C3" w:rsidP="000A0481">
            <w:pPr>
              <w:keepNext/>
              <w:keepLines/>
              <w:autoSpaceDE w:val="0"/>
              <w:autoSpaceDN w:val="0"/>
              <w:adjustRightInd w:val="0"/>
              <w:ind w:left="53"/>
              <w:rPr>
                <w:sz w:val="16"/>
                <w:szCs w:val="16"/>
              </w:rPr>
            </w:pPr>
            <w:r w:rsidRPr="005D781E">
              <w:rPr>
                <w:sz w:val="16"/>
                <w:szCs w:val="16"/>
              </w:rPr>
              <w:t>Aumento, o al menos mantenimiento, del nivel de satisfacción de los usuarios del PCT.</w:t>
            </w:r>
          </w:p>
        </w:tc>
      </w:tr>
      <w:tr w:rsidR="00CF18C3" w:rsidRPr="005D781E" w:rsidTr="000A0481">
        <w:trPr>
          <w:trHeight w:val="1667"/>
        </w:trPr>
        <w:tc>
          <w:tcPr>
            <w:tcW w:w="2674" w:type="dxa"/>
            <w:tcBorders>
              <w:top w:val="nil"/>
              <w:left w:val="single" w:sz="6" w:space="0" w:color="auto"/>
              <w:bottom w:val="nil"/>
              <w:right w:val="nil"/>
            </w:tcBorders>
            <w:shd w:val="solid" w:color="FFFFFF" w:fill="auto"/>
          </w:tcPr>
          <w:p w:rsidR="00CF18C3" w:rsidRPr="005D781E" w:rsidRDefault="00CF18C3" w:rsidP="000A0481">
            <w:pPr>
              <w:keepNext/>
              <w:keepLines/>
              <w:autoSpaceDE w:val="0"/>
              <w:autoSpaceDN w:val="0"/>
              <w:adjustRightInd w:val="0"/>
              <w:ind w:right="487"/>
              <w:rPr>
                <w:sz w:val="16"/>
                <w:szCs w:val="16"/>
              </w:rPr>
            </w:pPr>
          </w:p>
        </w:tc>
        <w:tc>
          <w:tcPr>
            <w:tcW w:w="2268" w:type="dxa"/>
            <w:tcBorders>
              <w:top w:val="nil"/>
              <w:left w:val="nil"/>
              <w:bottom w:val="nil"/>
              <w:right w:val="nil"/>
            </w:tcBorders>
            <w:shd w:val="solid" w:color="FFFFFF" w:fill="auto"/>
          </w:tcPr>
          <w:p w:rsidR="00CF18C3" w:rsidRPr="005D781E" w:rsidRDefault="00CF18C3" w:rsidP="000A0481">
            <w:pPr>
              <w:keepNext/>
              <w:keepLines/>
              <w:autoSpaceDE w:val="0"/>
              <w:autoSpaceDN w:val="0"/>
              <w:adjustRightInd w:val="0"/>
              <w:ind w:right="333"/>
              <w:rPr>
                <w:sz w:val="16"/>
                <w:szCs w:val="16"/>
              </w:rPr>
            </w:pPr>
            <w:r w:rsidRPr="005D781E">
              <w:rPr>
                <w:sz w:val="16"/>
                <w:szCs w:val="16"/>
              </w:rPr>
              <w:t>Satisfacción de las Oficinas y las administraciones internacionales con las actividades de cooperación en el marco del PCT.</w:t>
            </w:r>
          </w:p>
        </w:tc>
        <w:tc>
          <w:tcPr>
            <w:tcW w:w="2256" w:type="dxa"/>
            <w:tcBorders>
              <w:top w:val="nil"/>
              <w:left w:val="nil"/>
              <w:bottom w:val="nil"/>
              <w:right w:val="nil"/>
            </w:tcBorders>
            <w:shd w:val="solid" w:color="FFFFFF" w:fill="auto"/>
          </w:tcPr>
          <w:p w:rsidR="00CF18C3" w:rsidRPr="005D781E" w:rsidRDefault="00CF18C3" w:rsidP="000A0481">
            <w:pPr>
              <w:keepNext/>
              <w:keepLines/>
              <w:tabs>
                <w:tab w:val="left" w:pos="1733"/>
              </w:tabs>
              <w:autoSpaceDE w:val="0"/>
              <w:autoSpaceDN w:val="0"/>
              <w:adjustRightInd w:val="0"/>
              <w:ind w:left="59" w:right="321"/>
              <w:rPr>
                <w:sz w:val="16"/>
                <w:szCs w:val="16"/>
              </w:rPr>
            </w:pPr>
            <w:r w:rsidRPr="005D781E">
              <w:rPr>
                <w:sz w:val="16"/>
                <w:szCs w:val="16"/>
              </w:rPr>
              <w:t xml:space="preserve">56 (95% de los 59 beneficiarios de actividades de cooperación en el marco del PCT;  85% de los 66 encuestados) (encuesta de 2012).  La encuesta de satisfacción se </w:t>
            </w:r>
            <w:r w:rsidR="00906DF3">
              <w:rPr>
                <w:sz w:val="16"/>
                <w:szCs w:val="16"/>
              </w:rPr>
              <w:t>hace</w:t>
            </w:r>
            <w:r w:rsidRPr="005D781E">
              <w:rPr>
                <w:sz w:val="16"/>
                <w:szCs w:val="16"/>
              </w:rPr>
              <w:t xml:space="preserve"> una vez cada bienio.</w:t>
            </w:r>
          </w:p>
          <w:p w:rsidR="00CF18C3" w:rsidRPr="005D781E" w:rsidRDefault="00CF18C3" w:rsidP="000A0481">
            <w:pPr>
              <w:keepNext/>
              <w:keepLines/>
              <w:tabs>
                <w:tab w:val="left" w:pos="1733"/>
              </w:tabs>
              <w:autoSpaceDE w:val="0"/>
              <w:autoSpaceDN w:val="0"/>
              <w:adjustRightInd w:val="0"/>
              <w:ind w:left="59" w:right="321"/>
              <w:rPr>
                <w:sz w:val="16"/>
                <w:szCs w:val="16"/>
              </w:rPr>
            </w:pPr>
          </w:p>
        </w:tc>
        <w:tc>
          <w:tcPr>
            <w:tcW w:w="1917" w:type="dxa"/>
            <w:tcBorders>
              <w:top w:val="nil"/>
              <w:left w:val="nil"/>
              <w:bottom w:val="nil"/>
              <w:right w:val="single" w:sz="6" w:space="0" w:color="auto"/>
            </w:tcBorders>
            <w:shd w:val="solid" w:color="FFFFFF" w:fill="auto"/>
          </w:tcPr>
          <w:p w:rsidR="00CF18C3" w:rsidRPr="005D781E" w:rsidRDefault="00CF18C3" w:rsidP="000A0481">
            <w:pPr>
              <w:keepNext/>
              <w:keepLines/>
              <w:autoSpaceDE w:val="0"/>
              <w:autoSpaceDN w:val="0"/>
              <w:adjustRightInd w:val="0"/>
              <w:ind w:left="53"/>
              <w:rPr>
                <w:sz w:val="16"/>
                <w:szCs w:val="16"/>
              </w:rPr>
            </w:pPr>
            <w:r w:rsidRPr="005D781E">
              <w:rPr>
                <w:sz w:val="16"/>
                <w:szCs w:val="16"/>
              </w:rPr>
              <w:t>Mantenimiento del nivel de satisfacción registrado en 2015 entre las Oficinas y las Administraciones internacionales.</w:t>
            </w:r>
          </w:p>
        </w:tc>
      </w:tr>
      <w:tr w:rsidR="00CF18C3" w:rsidRPr="005D781E" w:rsidTr="000A0481">
        <w:trPr>
          <w:trHeight w:val="1265"/>
        </w:trPr>
        <w:tc>
          <w:tcPr>
            <w:tcW w:w="2674" w:type="dxa"/>
            <w:tcBorders>
              <w:top w:val="nil"/>
              <w:left w:val="single" w:sz="6" w:space="0" w:color="auto"/>
              <w:bottom w:val="nil"/>
              <w:right w:val="nil"/>
            </w:tcBorders>
            <w:shd w:val="solid" w:color="FFFFFF" w:fill="auto"/>
          </w:tcPr>
          <w:p w:rsidR="00CF18C3" w:rsidRPr="005D781E" w:rsidRDefault="00CF18C3" w:rsidP="000A0481">
            <w:pPr>
              <w:keepNext/>
              <w:keepLines/>
              <w:autoSpaceDE w:val="0"/>
              <w:autoSpaceDN w:val="0"/>
              <w:adjustRightInd w:val="0"/>
              <w:ind w:right="487"/>
              <w:rPr>
                <w:sz w:val="16"/>
                <w:szCs w:val="16"/>
              </w:rPr>
            </w:pPr>
          </w:p>
        </w:tc>
        <w:tc>
          <w:tcPr>
            <w:tcW w:w="2397" w:type="dxa"/>
            <w:tcBorders>
              <w:top w:val="nil"/>
              <w:left w:val="nil"/>
              <w:bottom w:val="nil"/>
              <w:right w:val="nil"/>
            </w:tcBorders>
            <w:shd w:val="solid" w:color="FFFFFF" w:fill="auto"/>
          </w:tcPr>
          <w:p w:rsidR="00CF18C3" w:rsidRPr="005D781E" w:rsidRDefault="00CF18C3" w:rsidP="000A0481">
            <w:pPr>
              <w:keepNext/>
              <w:keepLines/>
              <w:autoSpaceDE w:val="0"/>
              <w:autoSpaceDN w:val="0"/>
              <w:adjustRightInd w:val="0"/>
              <w:ind w:right="333"/>
              <w:rPr>
                <w:sz w:val="16"/>
                <w:szCs w:val="16"/>
              </w:rPr>
            </w:pPr>
            <w:r w:rsidRPr="005D781E">
              <w:rPr>
                <w:sz w:val="16"/>
                <w:szCs w:val="16"/>
              </w:rPr>
              <w:t>Desarrollo continuo del Sistema del PCT, sobre todo gracias a la aplicación de las recomendaciones de la hoja de ruta suscritas por los Estados miembros del PCT.</w:t>
            </w:r>
          </w:p>
          <w:p w:rsidR="00CF18C3" w:rsidRPr="005D781E" w:rsidRDefault="00CF18C3" w:rsidP="000A0481">
            <w:pPr>
              <w:keepNext/>
              <w:keepLines/>
              <w:autoSpaceDE w:val="0"/>
              <w:autoSpaceDN w:val="0"/>
              <w:adjustRightInd w:val="0"/>
              <w:ind w:right="333"/>
              <w:rPr>
                <w:sz w:val="16"/>
                <w:szCs w:val="16"/>
              </w:rPr>
            </w:pPr>
          </w:p>
        </w:tc>
        <w:tc>
          <w:tcPr>
            <w:tcW w:w="2256" w:type="dxa"/>
            <w:tcBorders>
              <w:top w:val="nil"/>
              <w:left w:val="nil"/>
              <w:bottom w:val="nil"/>
              <w:right w:val="nil"/>
            </w:tcBorders>
            <w:shd w:val="solid" w:color="FFFFFF" w:fill="auto"/>
          </w:tcPr>
          <w:p w:rsidR="00CF18C3" w:rsidRPr="005D781E" w:rsidRDefault="00CF18C3" w:rsidP="000A0481">
            <w:pPr>
              <w:keepNext/>
              <w:keepLines/>
              <w:tabs>
                <w:tab w:val="left" w:pos="1733"/>
              </w:tabs>
              <w:autoSpaceDE w:val="0"/>
              <w:autoSpaceDN w:val="0"/>
              <w:adjustRightInd w:val="0"/>
              <w:ind w:left="59" w:right="321"/>
              <w:rPr>
                <w:sz w:val="16"/>
                <w:szCs w:val="16"/>
              </w:rPr>
            </w:pPr>
            <w:r w:rsidRPr="005D781E">
              <w:rPr>
                <w:sz w:val="16"/>
                <w:szCs w:val="16"/>
              </w:rPr>
              <w:t>Decisiones de los órganos pertinentes del PCT hasta el final de 2014 (documento PCT/A/46/6).</w:t>
            </w:r>
          </w:p>
        </w:tc>
        <w:tc>
          <w:tcPr>
            <w:tcW w:w="1917" w:type="dxa"/>
            <w:tcBorders>
              <w:top w:val="nil"/>
              <w:left w:val="nil"/>
              <w:bottom w:val="nil"/>
              <w:right w:val="single" w:sz="6" w:space="0" w:color="auto"/>
            </w:tcBorders>
            <w:shd w:val="solid" w:color="FFFFFF" w:fill="auto"/>
          </w:tcPr>
          <w:p w:rsidR="00CF18C3" w:rsidRPr="005D781E" w:rsidRDefault="00CF18C3" w:rsidP="000A0481">
            <w:pPr>
              <w:keepNext/>
              <w:keepLines/>
              <w:autoSpaceDE w:val="0"/>
              <w:autoSpaceDN w:val="0"/>
              <w:adjustRightInd w:val="0"/>
              <w:ind w:left="53"/>
              <w:rPr>
                <w:sz w:val="16"/>
                <w:szCs w:val="16"/>
              </w:rPr>
            </w:pPr>
            <w:r w:rsidRPr="005D781E">
              <w:rPr>
                <w:sz w:val="16"/>
                <w:szCs w:val="16"/>
              </w:rPr>
              <w:t>Decisiones de los órganos pertinentes del PCT hasta el final de 2017.</w:t>
            </w:r>
          </w:p>
        </w:tc>
      </w:tr>
      <w:tr w:rsidR="00CF18C3" w:rsidRPr="005D781E" w:rsidTr="000A0481">
        <w:trPr>
          <w:trHeight w:val="2559"/>
        </w:trPr>
        <w:tc>
          <w:tcPr>
            <w:tcW w:w="2674" w:type="dxa"/>
            <w:tcBorders>
              <w:top w:val="nil"/>
              <w:left w:val="single" w:sz="6" w:space="0" w:color="auto"/>
              <w:bottom w:val="nil"/>
              <w:right w:val="nil"/>
            </w:tcBorders>
            <w:shd w:val="solid" w:color="FFFFFF" w:fill="auto"/>
          </w:tcPr>
          <w:p w:rsidR="00CF18C3" w:rsidRPr="00E11D26" w:rsidRDefault="00CF18C3" w:rsidP="000A0481">
            <w:pPr>
              <w:keepNext/>
              <w:keepLines/>
              <w:autoSpaceDE w:val="0"/>
              <w:autoSpaceDN w:val="0"/>
              <w:adjustRightInd w:val="0"/>
              <w:ind w:right="487"/>
              <w:rPr>
                <w:sz w:val="16"/>
                <w:szCs w:val="16"/>
              </w:rPr>
            </w:pPr>
          </w:p>
        </w:tc>
        <w:tc>
          <w:tcPr>
            <w:tcW w:w="2397" w:type="dxa"/>
            <w:tcBorders>
              <w:top w:val="nil"/>
              <w:left w:val="nil"/>
              <w:bottom w:val="nil"/>
              <w:right w:val="nil"/>
            </w:tcBorders>
            <w:shd w:val="solid" w:color="FFFFFF" w:fill="auto"/>
          </w:tcPr>
          <w:p w:rsidR="00CF18C3" w:rsidRPr="005D781E" w:rsidRDefault="00CF18C3" w:rsidP="000A0481">
            <w:pPr>
              <w:keepNext/>
              <w:keepLines/>
              <w:autoSpaceDE w:val="0"/>
              <w:autoSpaceDN w:val="0"/>
              <w:adjustRightInd w:val="0"/>
              <w:ind w:right="333"/>
              <w:rPr>
                <w:sz w:val="16"/>
                <w:szCs w:val="16"/>
              </w:rPr>
            </w:pPr>
            <w:r w:rsidRPr="005D781E">
              <w:rPr>
                <w:sz w:val="16"/>
                <w:szCs w:val="16"/>
              </w:rPr>
              <w:t>Mejora de los servicios electrónicos dirigidos a solicitantes, terceros, Oficinas y Administraciones.</w:t>
            </w:r>
          </w:p>
        </w:tc>
        <w:tc>
          <w:tcPr>
            <w:tcW w:w="2256" w:type="dxa"/>
            <w:tcBorders>
              <w:top w:val="nil"/>
              <w:left w:val="nil"/>
              <w:bottom w:val="nil"/>
              <w:right w:val="nil"/>
            </w:tcBorders>
            <w:shd w:val="solid" w:color="FFFFFF" w:fill="auto"/>
          </w:tcPr>
          <w:p w:rsidR="00CF18C3" w:rsidRPr="005D781E" w:rsidRDefault="00CF18C3" w:rsidP="000A0481">
            <w:pPr>
              <w:keepNext/>
              <w:keepLines/>
              <w:tabs>
                <w:tab w:val="left" w:pos="1733"/>
              </w:tabs>
              <w:autoSpaceDE w:val="0"/>
              <w:autoSpaceDN w:val="0"/>
              <w:adjustRightInd w:val="0"/>
              <w:ind w:left="59" w:right="321"/>
              <w:rPr>
                <w:sz w:val="16"/>
                <w:szCs w:val="16"/>
              </w:rPr>
            </w:pPr>
            <w:r w:rsidRPr="005D781E">
              <w:rPr>
                <w:sz w:val="16"/>
                <w:szCs w:val="16"/>
              </w:rPr>
              <w:t>Al final de 2014, en comparación con el final de 2013:</w:t>
            </w:r>
            <w:r w:rsidR="00DA24D6">
              <w:rPr>
                <w:sz w:val="16"/>
                <w:szCs w:val="16"/>
              </w:rPr>
              <w:t xml:space="preserve">  </w:t>
            </w:r>
            <w:r w:rsidRPr="005D781E">
              <w:rPr>
                <w:sz w:val="16"/>
                <w:szCs w:val="16"/>
              </w:rPr>
              <w:t xml:space="preserve">+32% de solicitantes del sector público; </w:t>
            </w:r>
            <w:r w:rsidR="00DA24D6">
              <w:rPr>
                <w:sz w:val="16"/>
                <w:szCs w:val="16"/>
              </w:rPr>
              <w:t xml:space="preserve"> </w:t>
            </w:r>
            <w:r w:rsidRPr="005D781E">
              <w:rPr>
                <w:sz w:val="16"/>
                <w:szCs w:val="16"/>
              </w:rPr>
              <w:t xml:space="preserve">+100% de solicitantes del sector privado; </w:t>
            </w:r>
            <w:r w:rsidR="00DA24D6">
              <w:rPr>
                <w:sz w:val="16"/>
                <w:szCs w:val="16"/>
              </w:rPr>
              <w:t xml:space="preserve"> </w:t>
            </w:r>
            <w:r w:rsidRPr="005D781E">
              <w:rPr>
                <w:sz w:val="16"/>
                <w:szCs w:val="16"/>
              </w:rPr>
              <w:t xml:space="preserve">+25% de terceros que presentan observaciones; </w:t>
            </w:r>
            <w:r w:rsidR="00DA24D6">
              <w:rPr>
                <w:sz w:val="16"/>
                <w:szCs w:val="16"/>
              </w:rPr>
              <w:t xml:space="preserve"> </w:t>
            </w:r>
            <w:r w:rsidRPr="005D781E">
              <w:rPr>
                <w:sz w:val="16"/>
                <w:szCs w:val="16"/>
              </w:rPr>
              <w:t xml:space="preserve">+329% Oficinas receptoras; </w:t>
            </w:r>
          </w:p>
          <w:p w:rsidR="00CF18C3" w:rsidRDefault="00CF18C3" w:rsidP="000A0481">
            <w:pPr>
              <w:keepNext/>
              <w:keepLines/>
              <w:tabs>
                <w:tab w:val="left" w:pos="1733"/>
              </w:tabs>
              <w:autoSpaceDE w:val="0"/>
              <w:autoSpaceDN w:val="0"/>
              <w:adjustRightInd w:val="0"/>
              <w:ind w:left="59" w:right="321"/>
              <w:rPr>
                <w:sz w:val="16"/>
                <w:szCs w:val="16"/>
              </w:rPr>
            </w:pPr>
            <w:r w:rsidRPr="005D781E">
              <w:rPr>
                <w:sz w:val="16"/>
                <w:szCs w:val="16"/>
              </w:rPr>
              <w:t>-73% Administraciones internacionales (la Oficina con mayor n</w:t>
            </w:r>
            <w:r w:rsidR="00DA24D6">
              <w:rPr>
                <w:sz w:val="16"/>
                <w:szCs w:val="16"/>
              </w:rPr>
              <w:t>úmero</w:t>
            </w:r>
            <w:r w:rsidRPr="005D781E">
              <w:rPr>
                <w:sz w:val="16"/>
                <w:szCs w:val="16"/>
              </w:rPr>
              <w:t xml:space="preserve"> de usuarios pasó al siguiente nivel de automatización).</w:t>
            </w:r>
          </w:p>
          <w:p w:rsidR="00E95213" w:rsidRPr="005D781E" w:rsidRDefault="00E95213" w:rsidP="000A0481">
            <w:pPr>
              <w:keepNext/>
              <w:keepLines/>
              <w:tabs>
                <w:tab w:val="left" w:pos="1733"/>
              </w:tabs>
              <w:autoSpaceDE w:val="0"/>
              <w:autoSpaceDN w:val="0"/>
              <w:adjustRightInd w:val="0"/>
              <w:ind w:left="59" w:right="321"/>
              <w:rPr>
                <w:sz w:val="16"/>
                <w:szCs w:val="16"/>
              </w:rPr>
            </w:pPr>
          </w:p>
        </w:tc>
        <w:tc>
          <w:tcPr>
            <w:tcW w:w="1917" w:type="dxa"/>
            <w:tcBorders>
              <w:top w:val="nil"/>
              <w:left w:val="nil"/>
              <w:bottom w:val="nil"/>
              <w:right w:val="single" w:sz="6" w:space="0" w:color="auto"/>
            </w:tcBorders>
            <w:shd w:val="solid" w:color="FFFFFF" w:fill="auto"/>
          </w:tcPr>
          <w:p w:rsidR="00CF18C3" w:rsidRPr="005D781E" w:rsidRDefault="00CF18C3" w:rsidP="000A0481">
            <w:pPr>
              <w:keepNext/>
              <w:keepLines/>
              <w:autoSpaceDE w:val="0"/>
              <w:autoSpaceDN w:val="0"/>
              <w:adjustRightInd w:val="0"/>
              <w:ind w:left="53"/>
              <w:rPr>
                <w:sz w:val="16"/>
                <w:szCs w:val="16"/>
              </w:rPr>
            </w:pPr>
            <w:r w:rsidRPr="005D781E">
              <w:rPr>
                <w:sz w:val="16"/>
                <w:szCs w:val="16"/>
              </w:rPr>
              <w:t xml:space="preserve">Aumento del número de Oficinas que aceptan la presentación electrónica de solicitudes por medio del </w:t>
            </w:r>
            <w:proofErr w:type="spellStart"/>
            <w:r w:rsidRPr="005D781E">
              <w:rPr>
                <w:sz w:val="16"/>
                <w:szCs w:val="16"/>
              </w:rPr>
              <w:t>ePCT</w:t>
            </w:r>
            <w:proofErr w:type="spellEnd"/>
            <w:r w:rsidRPr="005D781E">
              <w:rPr>
                <w:sz w:val="16"/>
                <w:szCs w:val="16"/>
              </w:rPr>
              <w:t xml:space="preserve">;  Oficinas que utilizan el </w:t>
            </w:r>
            <w:proofErr w:type="spellStart"/>
            <w:r w:rsidRPr="005D781E">
              <w:rPr>
                <w:sz w:val="16"/>
                <w:szCs w:val="16"/>
              </w:rPr>
              <w:t>ePCT</w:t>
            </w:r>
            <w:proofErr w:type="spellEnd"/>
            <w:r w:rsidRPr="005D781E">
              <w:rPr>
                <w:sz w:val="16"/>
                <w:szCs w:val="16"/>
              </w:rPr>
              <w:t xml:space="preserve"> o que aceptan documentos transmitidos por solicitantes que utilizan el </w:t>
            </w:r>
            <w:proofErr w:type="spellStart"/>
            <w:r w:rsidRPr="005D781E">
              <w:rPr>
                <w:sz w:val="16"/>
                <w:szCs w:val="16"/>
              </w:rPr>
              <w:t>ePCT</w:t>
            </w:r>
            <w:proofErr w:type="spellEnd"/>
            <w:r w:rsidRPr="005D781E">
              <w:rPr>
                <w:sz w:val="16"/>
                <w:szCs w:val="16"/>
              </w:rPr>
              <w:t xml:space="preserve">;  solicitudes presentadas mediante el </w:t>
            </w:r>
            <w:proofErr w:type="spellStart"/>
            <w:r w:rsidRPr="005D781E">
              <w:rPr>
                <w:sz w:val="16"/>
                <w:szCs w:val="16"/>
              </w:rPr>
              <w:t>ePCT</w:t>
            </w:r>
            <w:proofErr w:type="spellEnd"/>
            <w:r w:rsidRPr="005D781E">
              <w:rPr>
                <w:sz w:val="16"/>
                <w:szCs w:val="16"/>
              </w:rPr>
              <w:t>.</w:t>
            </w:r>
          </w:p>
        </w:tc>
      </w:tr>
      <w:tr w:rsidR="00CF18C3" w:rsidRPr="00BC5F8F" w:rsidTr="000A0481">
        <w:trPr>
          <w:trHeight w:val="717"/>
        </w:trPr>
        <w:tc>
          <w:tcPr>
            <w:tcW w:w="2674" w:type="dxa"/>
            <w:tcBorders>
              <w:top w:val="nil"/>
              <w:left w:val="single" w:sz="6" w:space="0" w:color="auto"/>
              <w:bottom w:val="nil"/>
              <w:right w:val="nil"/>
            </w:tcBorders>
            <w:shd w:val="solid" w:color="FFFFFF" w:fill="auto"/>
          </w:tcPr>
          <w:p w:rsidR="00CF18C3" w:rsidRPr="00E11D26" w:rsidRDefault="00CF18C3" w:rsidP="000A0481">
            <w:pPr>
              <w:tabs>
                <w:tab w:val="left" w:pos="1733"/>
                <w:tab w:val="left" w:pos="2127"/>
                <w:tab w:val="left" w:pos="2268"/>
              </w:tabs>
              <w:autoSpaceDE w:val="0"/>
              <w:autoSpaceDN w:val="0"/>
              <w:adjustRightInd w:val="0"/>
              <w:ind w:right="321"/>
              <w:rPr>
                <w:sz w:val="16"/>
                <w:szCs w:val="16"/>
              </w:rPr>
            </w:pPr>
            <w:r w:rsidRPr="00E11D26">
              <w:rPr>
                <w:sz w:val="16"/>
                <w:szCs w:val="16"/>
              </w:rPr>
              <w:t>II.3.</w:t>
            </w:r>
            <w:r w:rsidR="00E11D26" w:rsidRPr="00E11D26">
              <w:rPr>
                <w:sz w:val="16"/>
                <w:szCs w:val="16"/>
              </w:rPr>
              <w:t xml:space="preserve"> </w:t>
            </w:r>
            <w:r w:rsidRPr="00E11D26">
              <w:rPr>
                <w:sz w:val="16"/>
                <w:szCs w:val="16"/>
              </w:rPr>
              <w:t xml:space="preserve"> </w:t>
            </w:r>
            <w:r w:rsidR="006C23D5" w:rsidRPr="00E95213">
              <w:rPr>
                <w:sz w:val="16"/>
                <w:szCs w:val="16"/>
                <w:lang w:val="es-ES_tradnl"/>
              </w:rPr>
              <w:t>Mejora de la productividad y de la calidad de los servicios en las operaciones del PCT</w:t>
            </w:r>
          </w:p>
        </w:tc>
        <w:tc>
          <w:tcPr>
            <w:tcW w:w="2397" w:type="dxa"/>
            <w:tcBorders>
              <w:top w:val="nil"/>
              <w:left w:val="nil"/>
              <w:bottom w:val="nil"/>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Costo unitario de tramitación de las solicitudes.</w:t>
            </w:r>
          </w:p>
        </w:tc>
        <w:tc>
          <w:tcPr>
            <w:tcW w:w="2256" w:type="dxa"/>
            <w:tcBorders>
              <w:top w:val="nil"/>
              <w:left w:val="nil"/>
              <w:bottom w:val="nil"/>
              <w:right w:val="nil"/>
            </w:tcBorders>
            <w:shd w:val="solid" w:color="FFFFFF" w:fill="auto"/>
          </w:tcPr>
          <w:p w:rsidR="00CF18C3" w:rsidRPr="005D781E" w:rsidRDefault="00CF18C3" w:rsidP="00473C96">
            <w:pPr>
              <w:tabs>
                <w:tab w:val="left" w:pos="1733"/>
              </w:tabs>
              <w:autoSpaceDE w:val="0"/>
              <w:autoSpaceDN w:val="0"/>
              <w:adjustRightInd w:val="0"/>
              <w:ind w:left="59" w:right="321"/>
              <w:rPr>
                <w:sz w:val="16"/>
                <w:szCs w:val="16"/>
              </w:rPr>
            </w:pPr>
            <w:r w:rsidRPr="005D781E">
              <w:rPr>
                <w:sz w:val="16"/>
                <w:szCs w:val="16"/>
              </w:rPr>
              <w:t xml:space="preserve">662 </w:t>
            </w:r>
            <w:r w:rsidR="00473C96">
              <w:rPr>
                <w:sz w:val="16"/>
                <w:szCs w:val="16"/>
              </w:rPr>
              <w:t>francos suizos</w:t>
            </w:r>
            <w:r w:rsidRPr="005D781E">
              <w:rPr>
                <w:sz w:val="16"/>
                <w:szCs w:val="16"/>
              </w:rPr>
              <w:t xml:space="preserve"> (2014)</w:t>
            </w:r>
          </w:p>
        </w:tc>
        <w:tc>
          <w:tcPr>
            <w:tcW w:w="1917" w:type="dxa"/>
            <w:tcBorders>
              <w:top w:val="nil"/>
              <w:left w:val="nil"/>
              <w:bottom w:val="nil"/>
              <w:right w:val="single" w:sz="6" w:space="0" w:color="auto"/>
            </w:tcBorders>
            <w:shd w:val="solid" w:color="FFFFFF" w:fill="auto"/>
          </w:tcPr>
          <w:p w:rsidR="00CF18C3" w:rsidRDefault="00C74E58" w:rsidP="000A0481">
            <w:pPr>
              <w:autoSpaceDE w:val="0"/>
              <w:autoSpaceDN w:val="0"/>
              <w:adjustRightInd w:val="0"/>
              <w:ind w:left="53"/>
              <w:rPr>
                <w:color w:val="000000"/>
                <w:sz w:val="16"/>
                <w:szCs w:val="16"/>
              </w:rPr>
            </w:pPr>
            <w:r w:rsidRPr="00E95213">
              <w:rPr>
                <w:color w:val="000000"/>
                <w:sz w:val="16"/>
                <w:szCs w:val="16"/>
              </w:rPr>
              <w:t>Mant</w:t>
            </w:r>
            <w:r w:rsidR="00E95213">
              <w:rPr>
                <w:color w:val="000000"/>
                <w:sz w:val="16"/>
                <w:szCs w:val="16"/>
              </w:rPr>
              <w:t>e</w:t>
            </w:r>
            <w:r w:rsidRPr="00E95213">
              <w:rPr>
                <w:color w:val="000000"/>
                <w:sz w:val="16"/>
                <w:szCs w:val="16"/>
              </w:rPr>
              <w:t>n</w:t>
            </w:r>
            <w:r w:rsidR="00E95213">
              <w:rPr>
                <w:color w:val="000000"/>
                <w:sz w:val="16"/>
                <w:szCs w:val="16"/>
              </w:rPr>
              <w:t>er el costo unitario pes</w:t>
            </w:r>
            <w:r w:rsidR="00906DF3">
              <w:rPr>
                <w:color w:val="000000"/>
                <w:sz w:val="16"/>
                <w:szCs w:val="16"/>
              </w:rPr>
              <w:t xml:space="preserve">e </w:t>
            </w:r>
            <w:r w:rsidR="00E95213">
              <w:rPr>
                <w:color w:val="000000"/>
                <w:sz w:val="16"/>
                <w:szCs w:val="16"/>
              </w:rPr>
              <w:t xml:space="preserve">a las inversiones previstas para aumentar los niveles de seguridad y </w:t>
            </w:r>
            <w:r w:rsidR="00906DF3">
              <w:rPr>
                <w:color w:val="000000"/>
                <w:sz w:val="16"/>
                <w:szCs w:val="16"/>
              </w:rPr>
              <w:t>de</w:t>
            </w:r>
            <w:r w:rsidR="00E95213">
              <w:rPr>
                <w:color w:val="000000"/>
                <w:sz w:val="16"/>
                <w:szCs w:val="16"/>
              </w:rPr>
              <w:t xml:space="preserve"> capacidad de reacción </w:t>
            </w:r>
            <w:r w:rsidR="00DA24D6">
              <w:rPr>
                <w:color w:val="000000"/>
                <w:sz w:val="16"/>
                <w:szCs w:val="16"/>
              </w:rPr>
              <w:t xml:space="preserve">y recuperación </w:t>
            </w:r>
            <w:r w:rsidR="00906DF3">
              <w:rPr>
                <w:color w:val="000000"/>
                <w:sz w:val="16"/>
                <w:szCs w:val="16"/>
              </w:rPr>
              <w:t>d</w:t>
            </w:r>
            <w:r w:rsidR="00E95213">
              <w:rPr>
                <w:color w:val="000000"/>
                <w:sz w:val="16"/>
                <w:szCs w:val="16"/>
              </w:rPr>
              <w:t xml:space="preserve">el </w:t>
            </w:r>
            <w:r w:rsidRPr="00E95213">
              <w:rPr>
                <w:color w:val="000000"/>
                <w:sz w:val="16"/>
                <w:szCs w:val="16"/>
              </w:rPr>
              <w:t>PCT</w:t>
            </w:r>
            <w:r w:rsidR="00E95213">
              <w:rPr>
                <w:color w:val="000000"/>
                <w:sz w:val="16"/>
                <w:szCs w:val="16"/>
              </w:rPr>
              <w:t>.</w:t>
            </w:r>
          </w:p>
          <w:p w:rsidR="00E95213" w:rsidRPr="00E95213" w:rsidRDefault="00E95213" w:rsidP="000A0481">
            <w:pPr>
              <w:autoSpaceDE w:val="0"/>
              <w:autoSpaceDN w:val="0"/>
              <w:adjustRightInd w:val="0"/>
              <w:ind w:left="53"/>
              <w:rPr>
                <w:sz w:val="16"/>
                <w:szCs w:val="16"/>
              </w:rPr>
            </w:pPr>
          </w:p>
        </w:tc>
      </w:tr>
      <w:tr w:rsidR="00CF18C3" w:rsidRPr="005D781E" w:rsidTr="000A0481">
        <w:trPr>
          <w:trHeight w:val="712"/>
        </w:trPr>
        <w:tc>
          <w:tcPr>
            <w:tcW w:w="2674" w:type="dxa"/>
            <w:tcBorders>
              <w:top w:val="nil"/>
              <w:left w:val="single" w:sz="6" w:space="0" w:color="auto"/>
              <w:bottom w:val="nil"/>
              <w:right w:val="nil"/>
            </w:tcBorders>
            <w:shd w:val="solid" w:color="FFFFFF" w:fill="auto"/>
          </w:tcPr>
          <w:p w:rsidR="00CF18C3" w:rsidRPr="006A3CA4" w:rsidRDefault="00CF18C3" w:rsidP="000A0481">
            <w:pPr>
              <w:autoSpaceDE w:val="0"/>
              <w:autoSpaceDN w:val="0"/>
              <w:adjustRightInd w:val="0"/>
              <w:ind w:right="487"/>
              <w:rPr>
                <w:sz w:val="16"/>
                <w:szCs w:val="16"/>
                <w:lang w:val="es-ES_tradnl"/>
              </w:rPr>
            </w:pPr>
          </w:p>
        </w:tc>
        <w:tc>
          <w:tcPr>
            <w:tcW w:w="2397" w:type="dxa"/>
            <w:tcBorders>
              <w:top w:val="nil"/>
              <w:left w:val="nil"/>
              <w:bottom w:val="nil"/>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Calidad global del examen de forma (incluido el tiempo empleado).</w:t>
            </w:r>
          </w:p>
        </w:tc>
        <w:tc>
          <w:tcPr>
            <w:tcW w:w="2256" w:type="dxa"/>
            <w:tcBorders>
              <w:top w:val="nil"/>
              <w:left w:val="nil"/>
              <w:bottom w:val="nil"/>
              <w:right w:val="nil"/>
            </w:tcBorders>
            <w:shd w:val="solid" w:color="FFFFFF" w:fill="auto"/>
          </w:tcPr>
          <w:p w:rsidR="00CF18C3" w:rsidRPr="005D781E" w:rsidRDefault="00CF18C3" w:rsidP="000A0481">
            <w:pPr>
              <w:tabs>
                <w:tab w:val="left" w:pos="1733"/>
              </w:tabs>
              <w:autoSpaceDE w:val="0"/>
              <w:autoSpaceDN w:val="0"/>
              <w:adjustRightInd w:val="0"/>
              <w:ind w:left="59" w:right="321"/>
              <w:rPr>
                <w:sz w:val="16"/>
                <w:szCs w:val="16"/>
              </w:rPr>
            </w:pPr>
            <w:r w:rsidRPr="005D781E">
              <w:rPr>
                <w:sz w:val="16"/>
                <w:szCs w:val="16"/>
              </w:rPr>
              <w:t>93,1% (2014)</w:t>
            </w:r>
          </w:p>
        </w:tc>
        <w:tc>
          <w:tcPr>
            <w:tcW w:w="1917" w:type="dxa"/>
            <w:tcBorders>
              <w:top w:val="nil"/>
              <w:left w:val="nil"/>
              <w:bottom w:val="nil"/>
              <w:right w:val="single" w:sz="6" w:space="0" w:color="auto"/>
            </w:tcBorders>
            <w:shd w:val="solid" w:color="FFFFFF" w:fill="auto"/>
          </w:tcPr>
          <w:p w:rsidR="00CF18C3" w:rsidRPr="005D781E" w:rsidRDefault="00CF18C3" w:rsidP="000A0481">
            <w:pPr>
              <w:autoSpaceDE w:val="0"/>
              <w:autoSpaceDN w:val="0"/>
              <w:adjustRightInd w:val="0"/>
              <w:ind w:left="53"/>
              <w:rPr>
                <w:sz w:val="16"/>
                <w:szCs w:val="16"/>
              </w:rPr>
            </w:pPr>
            <w:r w:rsidRPr="005D781E">
              <w:rPr>
                <w:sz w:val="16"/>
                <w:szCs w:val="16"/>
              </w:rPr>
              <w:t>Indicador de mayor calidad.</w:t>
            </w:r>
          </w:p>
        </w:tc>
      </w:tr>
      <w:tr w:rsidR="00CF18C3" w:rsidRPr="005D781E" w:rsidTr="000A0481">
        <w:trPr>
          <w:trHeight w:val="554"/>
        </w:trPr>
        <w:tc>
          <w:tcPr>
            <w:tcW w:w="2674" w:type="dxa"/>
            <w:tcBorders>
              <w:top w:val="nil"/>
              <w:left w:val="single" w:sz="6" w:space="0" w:color="auto"/>
              <w:bottom w:val="nil"/>
              <w:right w:val="nil"/>
            </w:tcBorders>
            <w:shd w:val="solid" w:color="FFFFFF" w:fill="auto"/>
          </w:tcPr>
          <w:p w:rsidR="00CF18C3" w:rsidRPr="005D781E" w:rsidRDefault="00CF18C3" w:rsidP="000A0481">
            <w:pPr>
              <w:autoSpaceDE w:val="0"/>
              <w:autoSpaceDN w:val="0"/>
              <w:adjustRightInd w:val="0"/>
              <w:rPr>
                <w:sz w:val="16"/>
                <w:szCs w:val="16"/>
              </w:rPr>
            </w:pPr>
          </w:p>
        </w:tc>
        <w:tc>
          <w:tcPr>
            <w:tcW w:w="2397" w:type="dxa"/>
            <w:tcBorders>
              <w:top w:val="nil"/>
              <w:left w:val="nil"/>
              <w:bottom w:val="nil"/>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Tiempo necesario para la traducción de los informes</w:t>
            </w:r>
          </w:p>
        </w:tc>
        <w:tc>
          <w:tcPr>
            <w:tcW w:w="2256" w:type="dxa"/>
            <w:tcBorders>
              <w:top w:val="nil"/>
              <w:left w:val="nil"/>
              <w:bottom w:val="nil"/>
              <w:right w:val="nil"/>
            </w:tcBorders>
            <w:shd w:val="solid" w:color="FFFFFF" w:fill="auto"/>
          </w:tcPr>
          <w:p w:rsidR="00CF18C3" w:rsidRPr="005D781E" w:rsidRDefault="00CF18C3" w:rsidP="000A0481">
            <w:pPr>
              <w:tabs>
                <w:tab w:val="left" w:pos="1733"/>
              </w:tabs>
              <w:autoSpaceDE w:val="0"/>
              <w:autoSpaceDN w:val="0"/>
              <w:adjustRightInd w:val="0"/>
              <w:ind w:left="59" w:right="321"/>
              <w:rPr>
                <w:sz w:val="16"/>
                <w:szCs w:val="16"/>
              </w:rPr>
            </w:pPr>
            <w:r w:rsidRPr="005D781E">
              <w:rPr>
                <w:sz w:val="16"/>
                <w:szCs w:val="16"/>
              </w:rPr>
              <w:t>82,5% (2014)</w:t>
            </w:r>
          </w:p>
        </w:tc>
        <w:tc>
          <w:tcPr>
            <w:tcW w:w="1917" w:type="dxa"/>
            <w:tcBorders>
              <w:top w:val="nil"/>
              <w:left w:val="nil"/>
              <w:bottom w:val="nil"/>
              <w:right w:val="single" w:sz="6" w:space="0" w:color="auto"/>
            </w:tcBorders>
            <w:shd w:val="solid" w:color="FFFFFF" w:fill="auto"/>
          </w:tcPr>
          <w:p w:rsidR="00CF18C3" w:rsidRPr="005D781E" w:rsidRDefault="00CF18C3" w:rsidP="000A0481">
            <w:pPr>
              <w:autoSpaceDE w:val="0"/>
              <w:autoSpaceDN w:val="0"/>
              <w:adjustRightInd w:val="0"/>
              <w:ind w:left="53"/>
              <w:rPr>
                <w:sz w:val="16"/>
                <w:szCs w:val="16"/>
              </w:rPr>
            </w:pPr>
            <w:r w:rsidRPr="005D781E">
              <w:rPr>
                <w:sz w:val="16"/>
                <w:szCs w:val="16"/>
              </w:rPr>
              <w:t>Mejora.</w:t>
            </w:r>
          </w:p>
        </w:tc>
      </w:tr>
      <w:tr w:rsidR="00CF18C3" w:rsidRPr="005D781E" w:rsidTr="000A0481">
        <w:trPr>
          <w:trHeight w:val="474"/>
        </w:trPr>
        <w:tc>
          <w:tcPr>
            <w:tcW w:w="2674" w:type="dxa"/>
            <w:tcBorders>
              <w:top w:val="nil"/>
              <w:left w:val="single" w:sz="6" w:space="0" w:color="auto"/>
              <w:bottom w:val="nil"/>
              <w:right w:val="nil"/>
            </w:tcBorders>
            <w:shd w:val="solid" w:color="FFFFFF" w:fill="auto"/>
          </w:tcPr>
          <w:p w:rsidR="00CF18C3" w:rsidRPr="005D781E" w:rsidRDefault="00CF18C3" w:rsidP="000A0481">
            <w:pPr>
              <w:autoSpaceDE w:val="0"/>
              <w:autoSpaceDN w:val="0"/>
              <w:adjustRightInd w:val="0"/>
              <w:rPr>
                <w:sz w:val="16"/>
                <w:szCs w:val="16"/>
              </w:rPr>
            </w:pPr>
          </w:p>
        </w:tc>
        <w:tc>
          <w:tcPr>
            <w:tcW w:w="2397" w:type="dxa"/>
            <w:tcBorders>
              <w:top w:val="nil"/>
              <w:left w:val="nil"/>
              <w:bottom w:val="nil"/>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Calidad de las traducciones.</w:t>
            </w:r>
          </w:p>
        </w:tc>
        <w:tc>
          <w:tcPr>
            <w:tcW w:w="2256" w:type="dxa"/>
            <w:tcBorders>
              <w:top w:val="nil"/>
              <w:left w:val="nil"/>
              <w:bottom w:val="nil"/>
              <w:right w:val="nil"/>
            </w:tcBorders>
            <w:shd w:val="solid" w:color="FFFFFF" w:fill="auto"/>
          </w:tcPr>
          <w:p w:rsidR="00CF18C3" w:rsidRPr="005D781E" w:rsidRDefault="00CF18C3" w:rsidP="000A0481">
            <w:pPr>
              <w:tabs>
                <w:tab w:val="left" w:pos="1733"/>
              </w:tabs>
              <w:autoSpaceDE w:val="0"/>
              <w:autoSpaceDN w:val="0"/>
              <w:adjustRightInd w:val="0"/>
              <w:ind w:left="59" w:right="321"/>
              <w:rPr>
                <w:sz w:val="16"/>
                <w:szCs w:val="16"/>
              </w:rPr>
            </w:pPr>
            <w:r w:rsidRPr="005D781E">
              <w:rPr>
                <w:sz w:val="16"/>
                <w:szCs w:val="16"/>
              </w:rPr>
              <w:t>86% (2014)</w:t>
            </w:r>
          </w:p>
        </w:tc>
        <w:tc>
          <w:tcPr>
            <w:tcW w:w="1917" w:type="dxa"/>
            <w:tcBorders>
              <w:top w:val="nil"/>
              <w:left w:val="nil"/>
              <w:bottom w:val="nil"/>
              <w:right w:val="single" w:sz="6" w:space="0" w:color="auto"/>
            </w:tcBorders>
            <w:shd w:val="solid" w:color="FFFFFF" w:fill="auto"/>
          </w:tcPr>
          <w:p w:rsidR="00CF18C3" w:rsidRPr="005D781E" w:rsidRDefault="00CF18C3" w:rsidP="000A0481">
            <w:pPr>
              <w:autoSpaceDE w:val="0"/>
              <w:autoSpaceDN w:val="0"/>
              <w:adjustRightInd w:val="0"/>
              <w:ind w:left="53"/>
              <w:rPr>
                <w:sz w:val="16"/>
                <w:szCs w:val="16"/>
              </w:rPr>
            </w:pPr>
            <w:r w:rsidRPr="005D781E">
              <w:rPr>
                <w:sz w:val="16"/>
                <w:szCs w:val="16"/>
              </w:rPr>
              <w:t>Mayor calidad.</w:t>
            </w:r>
          </w:p>
        </w:tc>
      </w:tr>
      <w:tr w:rsidR="00CF18C3" w:rsidRPr="005D781E" w:rsidTr="000A0481">
        <w:trPr>
          <w:trHeight w:val="529"/>
        </w:trPr>
        <w:tc>
          <w:tcPr>
            <w:tcW w:w="2674" w:type="dxa"/>
            <w:tcBorders>
              <w:top w:val="nil"/>
              <w:left w:val="single" w:sz="6" w:space="0" w:color="auto"/>
              <w:bottom w:val="nil"/>
              <w:right w:val="nil"/>
            </w:tcBorders>
            <w:shd w:val="solid" w:color="FFFFFF" w:fill="auto"/>
          </w:tcPr>
          <w:p w:rsidR="00CF18C3" w:rsidRPr="005D781E" w:rsidRDefault="00CF18C3" w:rsidP="000A0481">
            <w:pPr>
              <w:autoSpaceDE w:val="0"/>
              <w:autoSpaceDN w:val="0"/>
              <w:adjustRightInd w:val="0"/>
              <w:rPr>
                <w:sz w:val="16"/>
                <w:szCs w:val="16"/>
              </w:rPr>
            </w:pPr>
          </w:p>
        </w:tc>
        <w:tc>
          <w:tcPr>
            <w:tcW w:w="2397" w:type="dxa"/>
            <w:tcBorders>
              <w:top w:val="nil"/>
              <w:left w:val="nil"/>
              <w:bottom w:val="nil"/>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Calidad del desarrollo de programas informáticos.</w:t>
            </w:r>
          </w:p>
        </w:tc>
        <w:tc>
          <w:tcPr>
            <w:tcW w:w="2256" w:type="dxa"/>
            <w:tcBorders>
              <w:top w:val="nil"/>
              <w:left w:val="nil"/>
              <w:bottom w:val="nil"/>
              <w:right w:val="nil"/>
            </w:tcBorders>
            <w:shd w:val="solid" w:color="FFFFFF" w:fill="auto"/>
          </w:tcPr>
          <w:p w:rsidR="00CF18C3" w:rsidRPr="005D781E" w:rsidRDefault="00CF18C3" w:rsidP="000A0481">
            <w:pPr>
              <w:tabs>
                <w:tab w:val="left" w:pos="1733"/>
              </w:tabs>
              <w:autoSpaceDE w:val="0"/>
              <w:autoSpaceDN w:val="0"/>
              <w:adjustRightInd w:val="0"/>
              <w:ind w:left="59" w:right="321"/>
              <w:rPr>
                <w:sz w:val="16"/>
                <w:szCs w:val="16"/>
              </w:rPr>
            </w:pPr>
            <w:r w:rsidRPr="005D781E">
              <w:rPr>
                <w:sz w:val="16"/>
                <w:szCs w:val="16"/>
              </w:rPr>
              <w:t>94,3% (2014)</w:t>
            </w:r>
          </w:p>
        </w:tc>
        <w:tc>
          <w:tcPr>
            <w:tcW w:w="1917" w:type="dxa"/>
            <w:tcBorders>
              <w:top w:val="nil"/>
              <w:left w:val="nil"/>
              <w:bottom w:val="nil"/>
              <w:right w:val="single" w:sz="6" w:space="0" w:color="auto"/>
            </w:tcBorders>
            <w:shd w:val="solid" w:color="FFFFFF" w:fill="auto"/>
          </w:tcPr>
          <w:p w:rsidR="00CF18C3" w:rsidRPr="005D781E" w:rsidRDefault="00CF18C3" w:rsidP="000A0481">
            <w:pPr>
              <w:autoSpaceDE w:val="0"/>
              <w:autoSpaceDN w:val="0"/>
              <w:adjustRightInd w:val="0"/>
              <w:ind w:left="53"/>
              <w:rPr>
                <w:sz w:val="16"/>
                <w:szCs w:val="16"/>
              </w:rPr>
            </w:pPr>
            <w:r w:rsidRPr="005D781E">
              <w:rPr>
                <w:sz w:val="16"/>
                <w:szCs w:val="16"/>
              </w:rPr>
              <w:t>Mayor calidad.</w:t>
            </w:r>
          </w:p>
        </w:tc>
      </w:tr>
      <w:tr w:rsidR="00CF18C3" w:rsidRPr="005D781E" w:rsidTr="000A0481">
        <w:trPr>
          <w:trHeight w:val="524"/>
        </w:trPr>
        <w:tc>
          <w:tcPr>
            <w:tcW w:w="2674" w:type="dxa"/>
            <w:tcBorders>
              <w:top w:val="nil"/>
              <w:left w:val="single" w:sz="6" w:space="0" w:color="auto"/>
              <w:bottom w:val="single" w:sz="6" w:space="0" w:color="auto"/>
              <w:right w:val="nil"/>
            </w:tcBorders>
            <w:shd w:val="solid" w:color="FFFFFF" w:fill="auto"/>
          </w:tcPr>
          <w:p w:rsidR="00CF18C3" w:rsidRPr="005D781E" w:rsidRDefault="00CF18C3" w:rsidP="000A0481">
            <w:pPr>
              <w:autoSpaceDE w:val="0"/>
              <w:autoSpaceDN w:val="0"/>
              <w:adjustRightInd w:val="0"/>
              <w:rPr>
                <w:sz w:val="16"/>
                <w:szCs w:val="16"/>
              </w:rPr>
            </w:pPr>
          </w:p>
        </w:tc>
        <w:tc>
          <w:tcPr>
            <w:tcW w:w="2397" w:type="dxa"/>
            <w:tcBorders>
              <w:top w:val="nil"/>
              <w:left w:val="nil"/>
              <w:bottom w:val="single" w:sz="6" w:space="0" w:color="auto"/>
              <w:right w:val="nil"/>
            </w:tcBorders>
            <w:shd w:val="solid" w:color="FFFFFF" w:fill="auto"/>
          </w:tcPr>
          <w:p w:rsidR="00CF18C3" w:rsidRPr="005D781E" w:rsidRDefault="00CF18C3" w:rsidP="000A0481">
            <w:pPr>
              <w:autoSpaceDE w:val="0"/>
              <w:autoSpaceDN w:val="0"/>
              <w:adjustRightInd w:val="0"/>
              <w:ind w:right="333"/>
              <w:rPr>
                <w:sz w:val="16"/>
                <w:szCs w:val="16"/>
              </w:rPr>
            </w:pPr>
            <w:r w:rsidRPr="005D781E">
              <w:rPr>
                <w:sz w:val="16"/>
                <w:szCs w:val="16"/>
              </w:rPr>
              <w:t>Niveles de los servicios prestados por los sistemas de información.</w:t>
            </w:r>
          </w:p>
        </w:tc>
        <w:tc>
          <w:tcPr>
            <w:tcW w:w="2256" w:type="dxa"/>
            <w:tcBorders>
              <w:top w:val="nil"/>
              <w:left w:val="nil"/>
              <w:bottom w:val="single" w:sz="6" w:space="0" w:color="auto"/>
              <w:right w:val="nil"/>
            </w:tcBorders>
            <w:shd w:val="solid" w:color="FFFFFF" w:fill="auto"/>
          </w:tcPr>
          <w:p w:rsidR="00CF18C3" w:rsidRPr="005D781E" w:rsidRDefault="00CF18C3" w:rsidP="000A0481">
            <w:pPr>
              <w:tabs>
                <w:tab w:val="left" w:pos="1733"/>
              </w:tabs>
              <w:autoSpaceDE w:val="0"/>
              <w:autoSpaceDN w:val="0"/>
              <w:adjustRightInd w:val="0"/>
              <w:ind w:left="59" w:right="321"/>
              <w:rPr>
                <w:sz w:val="16"/>
                <w:szCs w:val="16"/>
              </w:rPr>
            </w:pPr>
            <w:r w:rsidRPr="005D781E">
              <w:rPr>
                <w:sz w:val="16"/>
                <w:szCs w:val="16"/>
              </w:rPr>
              <w:t>95,3% (2014)</w:t>
            </w:r>
          </w:p>
        </w:tc>
        <w:tc>
          <w:tcPr>
            <w:tcW w:w="1917" w:type="dxa"/>
            <w:tcBorders>
              <w:top w:val="nil"/>
              <w:left w:val="nil"/>
              <w:bottom w:val="single" w:sz="6" w:space="0" w:color="auto"/>
              <w:right w:val="single" w:sz="6" w:space="0" w:color="auto"/>
            </w:tcBorders>
            <w:shd w:val="solid" w:color="FFFFFF" w:fill="auto"/>
          </w:tcPr>
          <w:p w:rsidR="00CF18C3" w:rsidRDefault="00CF18C3" w:rsidP="000A0481">
            <w:pPr>
              <w:autoSpaceDE w:val="0"/>
              <w:autoSpaceDN w:val="0"/>
              <w:adjustRightInd w:val="0"/>
              <w:ind w:left="53"/>
              <w:rPr>
                <w:sz w:val="16"/>
                <w:szCs w:val="16"/>
              </w:rPr>
            </w:pPr>
            <w:r w:rsidRPr="005D781E">
              <w:rPr>
                <w:sz w:val="16"/>
                <w:szCs w:val="16"/>
              </w:rPr>
              <w:t>Niveles más elevados de los servicios prestados por los sistemas de información.</w:t>
            </w:r>
          </w:p>
          <w:p w:rsidR="00906DF3" w:rsidRPr="005D781E" w:rsidRDefault="00906DF3" w:rsidP="000A0481">
            <w:pPr>
              <w:autoSpaceDE w:val="0"/>
              <w:autoSpaceDN w:val="0"/>
              <w:adjustRightInd w:val="0"/>
              <w:ind w:left="53"/>
              <w:rPr>
                <w:sz w:val="16"/>
                <w:szCs w:val="16"/>
              </w:rPr>
            </w:pPr>
          </w:p>
        </w:tc>
      </w:tr>
    </w:tbl>
    <w:p w:rsidR="00CF18C3" w:rsidRPr="005D781E" w:rsidRDefault="00CF18C3" w:rsidP="00CF18C3">
      <w:pPr>
        <w:tabs>
          <w:tab w:val="left" w:pos="567"/>
          <w:tab w:val="left" w:pos="1985"/>
        </w:tabs>
        <w:jc w:val="both"/>
        <w:rPr>
          <w:bCs/>
          <w:sz w:val="16"/>
          <w:szCs w:val="16"/>
        </w:rPr>
      </w:pPr>
    </w:p>
    <w:p w:rsidR="00C74E58" w:rsidRDefault="00C74E58" w:rsidP="00906DF3">
      <w:pPr>
        <w:rPr>
          <w:szCs w:val="22"/>
        </w:rPr>
      </w:pPr>
      <w:r>
        <w:rPr>
          <w:szCs w:val="22"/>
        </w:rPr>
        <w:br w:type="page"/>
      </w:r>
    </w:p>
    <w:p w:rsidR="00C74E58" w:rsidRPr="003F17D8" w:rsidRDefault="00DA4879" w:rsidP="003F17D8">
      <w:pPr>
        <w:keepNext/>
        <w:keepLines/>
        <w:tabs>
          <w:tab w:val="left" w:pos="567"/>
          <w:tab w:val="left" w:pos="1985"/>
        </w:tabs>
        <w:jc w:val="both"/>
        <w:rPr>
          <w:bCs/>
          <w:szCs w:val="16"/>
        </w:rPr>
      </w:pPr>
      <w:r w:rsidRPr="003F17D8">
        <w:rPr>
          <w:bCs/>
          <w:szCs w:val="16"/>
        </w:rPr>
        <w:lastRenderedPageBreak/>
        <w:t>RECURSOS PARA EL PROGRAMA 5</w:t>
      </w:r>
    </w:p>
    <w:p w:rsidR="00C74E58" w:rsidRPr="003F17D8" w:rsidRDefault="00C74E58" w:rsidP="003F17D8">
      <w:pPr>
        <w:keepNext/>
        <w:keepLines/>
        <w:tabs>
          <w:tab w:val="left" w:pos="567"/>
          <w:tab w:val="left" w:pos="1985"/>
        </w:tabs>
        <w:jc w:val="both"/>
        <w:rPr>
          <w:bCs/>
          <w:szCs w:val="16"/>
        </w:rPr>
      </w:pPr>
    </w:p>
    <w:p w:rsidR="00C74E58" w:rsidRPr="003F17D8" w:rsidRDefault="003F17D8" w:rsidP="003F17D8">
      <w:pPr>
        <w:numPr>
          <w:ilvl w:val="0"/>
          <w:numId w:val="18"/>
        </w:numPr>
        <w:jc w:val="both"/>
        <w:rPr>
          <w:bCs/>
          <w:sz w:val="20"/>
        </w:rPr>
      </w:pPr>
      <w:r w:rsidRPr="00EB43D0">
        <w:rPr>
          <w:bCs/>
          <w:sz w:val="20"/>
          <w:lang w:val="es-ES_tradnl"/>
        </w:rPr>
        <w:t xml:space="preserve">El incremento </w:t>
      </w:r>
      <w:r w:rsidR="0042698A">
        <w:rPr>
          <w:bCs/>
          <w:sz w:val="20"/>
          <w:lang w:val="es-ES_tradnl"/>
        </w:rPr>
        <w:t xml:space="preserve">en la dotación global </w:t>
      </w:r>
      <w:r w:rsidRPr="00EB43D0">
        <w:rPr>
          <w:bCs/>
          <w:sz w:val="20"/>
          <w:lang w:val="es-ES_tradnl"/>
        </w:rPr>
        <w:t xml:space="preserve">de recursos </w:t>
      </w:r>
      <w:r w:rsidR="0042698A">
        <w:rPr>
          <w:bCs/>
          <w:sz w:val="20"/>
          <w:lang w:val="es-ES_tradnl"/>
        </w:rPr>
        <w:t xml:space="preserve">para </w:t>
      </w:r>
      <w:r w:rsidRPr="00EB43D0">
        <w:rPr>
          <w:bCs/>
          <w:sz w:val="20"/>
          <w:lang w:val="es-ES_tradnl"/>
        </w:rPr>
        <w:t>el programa 5 se debe a:  i) un aumento de</w:t>
      </w:r>
      <w:r w:rsidR="00DA24D6">
        <w:rPr>
          <w:bCs/>
          <w:sz w:val="20"/>
          <w:lang w:val="es-ES_tradnl"/>
        </w:rPr>
        <w:t> </w:t>
      </w:r>
      <w:r w:rsidRPr="00EB43D0">
        <w:rPr>
          <w:bCs/>
          <w:sz w:val="20"/>
          <w:lang w:val="es-ES_tradnl"/>
        </w:rPr>
        <w:t xml:space="preserve">4,2 millones de francos suizos en concepto de costos de traducción del PCT en los </w:t>
      </w:r>
      <w:r w:rsidR="00ED0A05">
        <w:rPr>
          <w:bCs/>
          <w:sz w:val="20"/>
          <w:lang w:val="es-ES_tradnl"/>
        </w:rPr>
        <w:t>recursos no relativos</w:t>
      </w:r>
      <w:r w:rsidRPr="00EB43D0">
        <w:rPr>
          <w:bCs/>
          <w:sz w:val="20"/>
          <w:lang w:val="es-ES_tradnl"/>
        </w:rPr>
        <w:t xml:space="preserve"> a personal;  ii) una asignación de 1,4 millones de francos suizos para </w:t>
      </w:r>
      <w:r w:rsidR="00DA24D6">
        <w:rPr>
          <w:bCs/>
          <w:sz w:val="20"/>
          <w:lang w:val="es-ES_tradnl"/>
        </w:rPr>
        <w:t>reforzar</w:t>
      </w:r>
      <w:r w:rsidRPr="00EB43D0">
        <w:rPr>
          <w:bCs/>
          <w:sz w:val="20"/>
          <w:lang w:val="es-ES_tradnl"/>
        </w:rPr>
        <w:t xml:space="preserve"> la capacidad de reacción </w:t>
      </w:r>
      <w:r w:rsidR="00DA24D6">
        <w:rPr>
          <w:bCs/>
          <w:sz w:val="20"/>
          <w:lang w:val="es-ES_tradnl"/>
        </w:rPr>
        <w:t xml:space="preserve">y recuperación </w:t>
      </w:r>
      <w:r w:rsidRPr="00EB43D0">
        <w:rPr>
          <w:bCs/>
          <w:sz w:val="20"/>
          <w:lang w:val="es-ES_tradnl"/>
        </w:rPr>
        <w:t>del PCT (</w:t>
      </w:r>
      <w:r w:rsidR="00ED0A05">
        <w:rPr>
          <w:bCs/>
          <w:sz w:val="20"/>
          <w:lang w:val="es-ES_tradnl"/>
        </w:rPr>
        <w:t>recursos no relativos</w:t>
      </w:r>
      <w:r w:rsidRPr="00EB43D0">
        <w:rPr>
          <w:bCs/>
          <w:sz w:val="20"/>
          <w:lang w:val="es-ES_tradnl"/>
        </w:rPr>
        <w:t xml:space="preserve"> a personal);  y iii) el aumento de los gastos de personal como consecuencia del cambio en la metodología de cálculo del costo de los recursos de</w:t>
      </w:r>
      <w:r>
        <w:rPr>
          <w:bCs/>
          <w:sz w:val="20"/>
          <w:lang w:val="es-ES_tradnl"/>
        </w:rPr>
        <w:t xml:space="preserve"> personal en </w:t>
      </w:r>
      <w:r w:rsidRPr="00EB43D0">
        <w:rPr>
          <w:bCs/>
          <w:sz w:val="20"/>
          <w:lang w:val="es-ES_tradnl"/>
        </w:rPr>
        <w:t>2016/17, basada en costos reales.  Estos incrementos se re</w:t>
      </w:r>
      <w:r w:rsidR="00DA24D6">
        <w:rPr>
          <w:bCs/>
          <w:sz w:val="20"/>
          <w:lang w:val="es-ES_tradnl"/>
        </w:rPr>
        <w:t>flejan en el resultado previsto </w:t>
      </w:r>
      <w:r w:rsidRPr="00EB43D0">
        <w:rPr>
          <w:bCs/>
          <w:sz w:val="20"/>
          <w:lang w:val="es-ES_tradnl"/>
        </w:rPr>
        <w:t>II.3.</w:t>
      </w:r>
      <w:r w:rsidR="00C74E58" w:rsidRPr="003F17D8">
        <w:rPr>
          <w:bCs/>
          <w:sz w:val="20"/>
        </w:rPr>
        <w:t xml:space="preserve">  </w:t>
      </w:r>
    </w:p>
    <w:p w:rsidR="00C74E58" w:rsidRPr="003F17D8" w:rsidRDefault="00C74E58" w:rsidP="003F17D8">
      <w:pPr>
        <w:keepNext/>
        <w:keepLines/>
        <w:tabs>
          <w:tab w:val="left" w:pos="567"/>
          <w:tab w:val="left" w:pos="1985"/>
        </w:tabs>
        <w:jc w:val="both"/>
        <w:rPr>
          <w:bCs/>
          <w:sz w:val="20"/>
        </w:rPr>
      </w:pPr>
    </w:p>
    <w:p w:rsidR="00C74E58" w:rsidRPr="003F17D8" w:rsidRDefault="003F17D8" w:rsidP="003F17D8">
      <w:pPr>
        <w:numPr>
          <w:ilvl w:val="0"/>
          <w:numId w:val="18"/>
        </w:numPr>
        <w:jc w:val="both"/>
        <w:rPr>
          <w:bCs/>
          <w:sz w:val="20"/>
        </w:rPr>
      </w:pPr>
      <w:r w:rsidRPr="00EB43D0">
        <w:rPr>
          <w:bCs/>
          <w:sz w:val="20"/>
          <w:lang w:val="es-ES_tradnl"/>
        </w:rPr>
        <w:t>El aumento de los recursos destinados al resultado previsto II.1 se debe a la fusión de los resultados previstos II.1 y II.2 en el bienio 2016/17.</w:t>
      </w:r>
    </w:p>
    <w:p w:rsidR="00C74E58" w:rsidRPr="003F17D8" w:rsidRDefault="00C74E58" w:rsidP="00C74E58">
      <w:pPr>
        <w:pStyle w:val="ListParagraph"/>
        <w:rPr>
          <w:rFonts w:ascii="Arial" w:hAnsi="Arial" w:cs="Arial"/>
          <w:bCs/>
          <w:sz w:val="20"/>
          <w:szCs w:val="20"/>
          <w:lang w:val="es-ES"/>
        </w:rPr>
      </w:pPr>
    </w:p>
    <w:p w:rsidR="00C74E58" w:rsidRPr="005D524D" w:rsidRDefault="005D524D" w:rsidP="00C74E58">
      <w:pPr>
        <w:numPr>
          <w:ilvl w:val="0"/>
          <w:numId w:val="18"/>
        </w:numPr>
        <w:jc w:val="both"/>
        <w:rPr>
          <w:bCs/>
          <w:sz w:val="20"/>
        </w:rPr>
      </w:pPr>
      <w:r w:rsidRPr="00EB43D0">
        <w:rPr>
          <w:bCs/>
          <w:sz w:val="20"/>
          <w:lang w:val="es-ES_tradnl"/>
        </w:rPr>
        <w:t>El descenso de los recursos destinados al resultado previsto IV.2 en 2016/17, en comparación con el presupuesto de 2014/</w:t>
      </w:r>
      <w:r w:rsidR="00ED0A05">
        <w:rPr>
          <w:bCs/>
          <w:sz w:val="20"/>
          <w:lang w:val="es-ES_tradnl"/>
        </w:rPr>
        <w:t>15 tras las</w:t>
      </w:r>
      <w:r w:rsidRPr="00EB43D0">
        <w:rPr>
          <w:bCs/>
          <w:sz w:val="20"/>
          <w:lang w:val="es-ES_tradnl"/>
        </w:rPr>
        <w:t xml:space="preserve"> transferencias, se debe a la finalización de los proyectos de la A.D. sobre P.I. y transferencia de tecnología y los de colaboración abierta y modelos de P.I.</w:t>
      </w:r>
    </w:p>
    <w:p w:rsidR="00C74E58" w:rsidRPr="005D524D" w:rsidRDefault="00C74E58" w:rsidP="00C74E58">
      <w:pPr>
        <w:tabs>
          <w:tab w:val="left" w:pos="567"/>
          <w:tab w:val="left" w:pos="1985"/>
        </w:tabs>
        <w:jc w:val="both"/>
        <w:rPr>
          <w:bCs/>
          <w:szCs w:val="16"/>
        </w:rPr>
      </w:pPr>
    </w:p>
    <w:p w:rsidR="00DA4879" w:rsidRPr="003F17D8" w:rsidRDefault="00DA4879" w:rsidP="00DA4879">
      <w:pPr>
        <w:tabs>
          <w:tab w:val="center" w:pos="4513"/>
          <w:tab w:val="right" w:pos="9027"/>
        </w:tabs>
        <w:autoSpaceDE w:val="0"/>
        <w:autoSpaceDN w:val="0"/>
        <w:jc w:val="center"/>
        <w:rPr>
          <w:b/>
          <w:sz w:val="20"/>
          <w:lang w:val="es-ES_tradnl"/>
        </w:rPr>
      </w:pPr>
      <w:r w:rsidRPr="003F17D8">
        <w:rPr>
          <w:b/>
          <w:sz w:val="20"/>
          <w:lang w:val="es-ES_tradnl"/>
        </w:rPr>
        <w:t>Programa 5</w:t>
      </w:r>
      <w:proofErr w:type="gramStart"/>
      <w:r w:rsidRPr="003F17D8">
        <w:rPr>
          <w:b/>
          <w:sz w:val="20"/>
          <w:lang w:val="es-ES_tradnl"/>
        </w:rPr>
        <w:t>:  Recursos</w:t>
      </w:r>
      <w:proofErr w:type="gramEnd"/>
      <w:r w:rsidRPr="003F17D8">
        <w:rPr>
          <w:b/>
          <w:sz w:val="20"/>
          <w:lang w:val="es-ES_tradnl"/>
        </w:rPr>
        <w:t xml:space="preserve"> por resultado</w:t>
      </w:r>
    </w:p>
    <w:p w:rsidR="00C74E58" w:rsidRPr="003F17D8" w:rsidRDefault="00DA4879" w:rsidP="00DA4879">
      <w:pPr>
        <w:keepNext/>
        <w:keepLines/>
        <w:autoSpaceDE w:val="0"/>
        <w:autoSpaceDN w:val="0"/>
        <w:jc w:val="center"/>
        <w:rPr>
          <w:i/>
          <w:sz w:val="20"/>
          <w:highlight w:val="lightGray"/>
          <w:lang w:val="es-ES_tradnl"/>
        </w:rPr>
      </w:pPr>
      <w:r w:rsidRPr="003F17D8">
        <w:rPr>
          <w:i/>
          <w:sz w:val="20"/>
          <w:lang w:val="es-ES_tradnl"/>
        </w:rPr>
        <w:t>(</w:t>
      </w:r>
      <w:proofErr w:type="gramStart"/>
      <w:r w:rsidRPr="003F17D8">
        <w:rPr>
          <w:i/>
          <w:sz w:val="20"/>
          <w:lang w:val="es-ES_tradnl"/>
        </w:rPr>
        <w:t>en</w:t>
      </w:r>
      <w:proofErr w:type="gramEnd"/>
      <w:r w:rsidRPr="003F17D8">
        <w:rPr>
          <w:i/>
          <w:sz w:val="20"/>
          <w:lang w:val="es-ES_tradnl"/>
        </w:rPr>
        <w:t xml:space="preserve"> miles de francos suizos)</w:t>
      </w:r>
    </w:p>
    <w:p w:rsidR="00C74E58" w:rsidRPr="00DA4879" w:rsidRDefault="00C74E58" w:rsidP="00C74E58">
      <w:pPr>
        <w:keepNext/>
        <w:keepLines/>
        <w:autoSpaceDE w:val="0"/>
        <w:autoSpaceDN w:val="0"/>
        <w:jc w:val="center"/>
        <w:rPr>
          <w:i/>
          <w:sz w:val="20"/>
          <w:highlight w:val="lightGray"/>
          <w:lang w:val="es-ES_tradnl"/>
        </w:rPr>
      </w:pPr>
    </w:p>
    <w:p w:rsidR="00C74E58" w:rsidRPr="00C74E58" w:rsidRDefault="00510672" w:rsidP="00C74E58">
      <w:pPr>
        <w:keepNext/>
        <w:keepLines/>
        <w:autoSpaceDE w:val="0"/>
        <w:autoSpaceDN w:val="0"/>
        <w:jc w:val="center"/>
        <w:rPr>
          <w:i/>
          <w:sz w:val="20"/>
          <w:highlight w:val="lightGray"/>
        </w:rPr>
      </w:pPr>
      <w:r w:rsidRPr="00510672">
        <w:rPr>
          <w:noProof/>
          <w:lang w:val="en-US" w:eastAsia="en-US"/>
        </w:rPr>
        <w:drawing>
          <wp:inline distT="0" distB="0" distL="0" distR="0">
            <wp:extent cx="5676900" cy="213614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76900" cy="2136140"/>
                    </a:xfrm>
                    <a:prstGeom prst="rect">
                      <a:avLst/>
                    </a:prstGeom>
                    <a:noFill/>
                    <a:ln>
                      <a:noFill/>
                    </a:ln>
                  </pic:spPr>
                </pic:pic>
              </a:graphicData>
            </a:graphic>
          </wp:inline>
        </w:drawing>
      </w:r>
    </w:p>
    <w:p w:rsidR="00C74E58" w:rsidRPr="00C74E58" w:rsidRDefault="00C74E58" w:rsidP="00C74E58">
      <w:pPr>
        <w:autoSpaceDE w:val="0"/>
        <w:autoSpaceDN w:val="0"/>
        <w:jc w:val="center"/>
        <w:rPr>
          <w:i/>
          <w:sz w:val="20"/>
          <w:highlight w:val="lightGray"/>
        </w:rPr>
      </w:pPr>
    </w:p>
    <w:p w:rsidR="00C74E58" w:rsidRPr="00C74E58" w:rsidRDefault="00C74E58" w:rsidP="00C74E58">
      <w:pPr>
        <w:autoSpaceDE w:val="0"/>
        <w:autoSpaceDN w:val="0"/>
        <w:jc w:val="center"/>
        <w:rPr>
          <w:i/>
          <w:sz w:val="20"/>
          <w:highlight w:val="lightGray"/>
        </w:rPr>
      </w:pPr>
    </w:p>
    <w:p w:rsidR="00DA4879" w:rsidRPr="005D524D" w:rsidRDefault="00DA4879" w:rsidP="00DA4879">
      <w:pPr>
        <w:keepNext/>
        <w:keepLines/>
        <w:tabs>
          <w:tab w:val="center" w:pos="4513"/>
          <w:tab w:val="right" w:pos="9027"/>
        </w:tabs>
        <w:autoSpaceDE w:val="0"/>
        <w:autoSpaceDN w:val="0"/>
        <w:jc w:val="center"/>
        <w:rPr>
          <w:b/>
          <w:sz w:val="20"/>
          <w:lang w:val="es-ES_tradnl"/>
        </w:rPr>
      </w:pPr>
      <w:r w:rsidRPr="005D524D">
        <w:rPr>
          <w:b/>
          <w:sz w:val="20"/>
          <w:lang w:val="es-ES_tradnl"/>
        </w:rPr>
        <w:lastRenderedPageBreak/>
        <w:t>Programa 5</w:t>
      </w:r>
      <w:proofErr w:type="gramStart"/>
      <w:r w:rsidRPr="005D524D">
        <w:rPr>
          <w:b/>
          <w:sz w:val="20"/>
          <w:lang w:val="es-ES_tradnl"/>
        </w:rPr>
        <w:t>:  Recursos</w:t>
      </w:r>
      <w:proofErr w:type="gramEnd"/>
      <w:r w:rsidRPr="005D524D">
        <w:rPr>
          <w:b/>
          <w:sz w:val="20"/>
          <w:lang w:val="es-ES_tradnl"/>
        </w:rPr>
        <w:t xml:space="preserve"> por objeto de gasto</w:t>
      </w:r>
    </w:p>
    <w:p w:rsidR="00C74E58" w:rsidRPr="005D524D" w:rsidRDefault="00DA4879" w:rsidP="00DA4879">
      <w:pPr>
        <w:keepNext/>
        <w:keepLines/>
        <w:autoSpaceDE w:val="0"/>
        <w:autoSpaceDN w:val="0"/>
        <w:jc w:val="center"/>
        <w:rPr>
          <w:i/>
          <w:sz w:val="20"/>
          <w:highlight w:val="lightGray"/>
          <w:lang w:val="es-ES_tradnl"/>
        </w:rPr>
      </w:pPr>
      <w:r w:rsidRPr="005D524D">
        <w:rPr>
          <w:i/>
          <w:sz w:val="20"/>
          <w:lang w:val="es-ES_tradnl"/>
        </w:rPr>
        <w:t>(</w:t>
      </w:r>
      <w:proofErr w:type="gramStart"/>
      <w:r w:rsidRPr="005D524D">
        <w:rPr>
          <w:i/>
          <w:sz w:val="20"/>
          <w:lang w:val="es-ES_tradnl"/>
        </w:rPr>
        <w:t>en</w:t>
      </w:r>
      <w:proofErr w:type="gramEnd"/>
      <w:r w:rsidRPr="005D524D">
        <w:rPr>
          <w:i/>
          <w:sz w:val="20"/>
          <w:lang w:val="es-ES_tradnl"/>
        </w:rPr>
        <w:t xml:space="preserve"> miles de francos suizos)</w:t>
      </w:r>
    </w:p>
    <w:p w:rsidR="00C74E58" w:rsidRPr="005D524D" w:rsidRDefault="00C74E58" w:rsidP="00C74E58">
      <w:pPr>
        <w:keepNext/>
        <w:keepLines/>
        <w:autoSpaceDE w:val="0"/>
        <w:autoSpaceDN w:val="0"/>
        <w:jc w:val="center"/>
        <w:rPr>
          <w:i/>
          <w:sz w:val="20"/>
          <w:highlight w:val="lightGray"/>
          <w:lang w:val="es-ES_tradnl"/>
        </w:rPr>
      </w:pPr>
    </w:p>
    <w:p w:rsidR="00C74E58" w:rsidRPr="009B4A78" w:rsidRDefault="00835617" w:rsidP="00C74E58">
      <w:pPr>
        <w:tabs>
          <w:tab w:val="left" w:pos="567"/>
          <w:tab w:val="left" w:pos="1985"/>
        </w:tabs>
        <w:jc w:val="center"/>
        <w:rPr>
          <w:bCs/>
          <w:sz w:val="20"/>
          <w:szCs w:val="16"/>
        </w:rPr>
      </w:pPr>
      <w:r>
        <w:rPr>
          <w:noProof/>
          <w:lang w:val="en-US" w:eastAsia="en-US"/>
        </w:rPr>
        <w:drawing>
          <wp:inline distT="0" distB="0" distL="0" distR="0" wp14:anchorId="58DB9D70" wp14:editId="7C33AFDE">
            <wp:extent cx="5940425" cy="6041971"/>
            <wp:effectExtent l="0" t="0" r="3175"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0425" cy="6041971"/>
                    </a:xfrm>
                    <a:prstGeom prst="rect">
                      <a:avLst/>
                    </a:prstGeom>
                    <a:noFill/>
                    <a:ln>
                      <a:noFill/>
                    </a:ln>
                  </pic:spPr>
                </pic:pic>
              </a:graphicData>
            </a:graphic>
          </wp:inline>
        </w:drawing>
      </w:r>
    </w:p>
    <w:p w:rsidR="00C74E58" w:rsidRPr="009B4A78" w:rsidRDefault="00C74E58" w:rsidP="00C74E58">
      <w:pPr>
        <w:tabs>
          <w:tab w:val="left" w:pos="567"/>
          <w:tab w:val="left" w:pos="1985"/>
        </w:tabs>
        <w:jc w:val="both"/>
        <w:rPr>
          <w:bCs/>
          <w:sz w:val="20"/>
          <w:szCs w:val="16"/>
        </w:rPr>
      </w:pPr>
    </w:p>
    <w:p w:rsidR="00C74E58" w:rsidRDefault="00C74E58">
      <w:pPr>
        <w:rPr>
          <w:szCs w:val="22"/>
        </w:rPr>
      </w:pPr>
      <w:r>
        <w:rPr>
          <w:szCs w:val="22"/>
        </w:rPr>
        <w:br w:type="page"/>
      </w:r>
    </w:p>
    <w:p w:rsidR="00C74E58" w:rsidRPr="00F4741E" w:rsidRDefault="00B8795A" w:rsidP="00B8795A">
      <w:pPr>
        <w:pStyle w:val="StyleStyleHeading3ComplexItalicLatin12pt"/>
        <w:rPr>
          <w:lang w:val="es-ES"/>
        </w:rPr>
      </w:pPr>
      <w:bookmarkStart w:id="34" w:name="_Toc420681137"/>
      <w:r w:rsidRPr="00F4741E">
        <w:rPr>
          <w:lang w:val="es-ES"/>
        </w:rPr>
        <w:lastRenderedPageBreak/>
        <w:t>PROGRAMA 6</w:t>
      </w:r>
      <w:r w:rsidRPr="00F4741E">
        <w:rPr>
          <w:lang w:val="es-ES"/>
        </w:rPr>
        <w:tab/>
        <w:t>SISTEMAS DE MADRID Y DE LISBOA</w:t>
      </w:r>
      <w:bookmarkEnd w:id="34"/>
    </w:p>
    <w:p w:rsidR="00C74E58" w:rsidRPr="00755F79" w:rsidRDefault="00C74E58" w:rsidP="00C74E58">
      <w:pPr>
        <w:jc w:val="both"/>
        <w:rPr>
          <w:b/>
          <w:sz w:val="20"/>
        </w:rPr>
      </w:pPr>
    </w:p>
    <w:p w:rsidR="00C74E58" w:rsidRPr="00755F79" w:rsidRDefault="00C74E58" w:rsidP="00C74E58">
      <w:pPr>
        <w:jc w:val="both"/>
        <w:rPr>
          <w:b/>
          <w:sz w:val="20"/>
        </w:rPr>
      </w:pPr>
    </w:p>
    <w:p w:rsidR="00C74E58" w:rsidRPr="00755F79" w:rsidRDefault="00C74E58" w:rsidP="00C74E58">
      <w:pPr>
        <w:jc w:val="both"/>
        <w:rPr>
          <w:b/>
        </w:rPr>
      </w:pPr>
      <w:r w:rsidRPr="00755F79">
        <w:rPr>
          <w:b/>
        </w:rPr>
        <w:t>A.</w:t>
      </w:r>
      <w:r w:rsidRPr="00755F79">
        <w:tab/>
      </w:r>
      <w:r w:rsidRPr="00755F79">
        <w:rPr>
          <w:b/>
        </w:rPr>
        <w:t>SISTEMA DE MADRID</w:t>
      </w:r>
    </w:p>
    <w:p w:rsidR="00C74E58" w:rsidRPr="00755F79" w:rsidRDefault="00C74E58" w:rsidP="00C74E58">
      <w:pPr>
        <w:jc w:val="both"/>
      </w:pPr>
    </w:p>
    <w:p w:rsidR="00C74E58" w:rsidRPr="00755F79" w:rsidRDefault="00C74E58" w:rsidP="00C74E58">
      <w:pPr>
        <w:jc w:val="both"/>
      </w:pPr>
      <w:r w:rsidRPr="00755F79">
        <w:t>CONTEXTO DE PLANIFICACIÓN</w:t>
      </w:r>
    </w:p>
    <w:p w:rsidR="00C74E58" w:rsidRPr="00755F79" w:rsidRDefault="00C74E58" w:rsidP="00C74E58">
      <w:pPr>
        <w:jc w:val="both"/>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En el bienio 2016/17, el Sistema de Madrid tendrá que hacer frente a los siguientes desafíos:  i) realizar una estimación precisa del número de solicitudes de registro que serán presentadas en virtud del Sistema, habida cuenta de que la economía mundial continúa siendo frágil; ii) ser capaz de absorber el aumento probable del número de adhesiones de nuevos países;  iii) perfeccionar su funcionamiento para ofrecer un servicio mejor a los usuarios del sector privado y también a las Oficinas, incluidas las de los nuevos países miembros;  iv), mejora de la coherencia, la previsibilidad y calidad global de la labor de la Oficina Internacional de la forma más eficaz posible en función de los costos;  y v) determinar, aprovechar y sacar el mayor partido posible de las oportunidades que ofrece el mayor nivel de automatización en todos los aspectos del procedimiento internacional. </w:t>
      </w:r>
    </w:p>
    <w:p w:rsidR="00C74E58" w:rsidRPr="00755F79" w:rsidRDefault="00C74E58" w:rsidP="00C74E58">
      <w:pPr>
        <w:jc w:val="both"/>
        <w:rPr>
          <w:sz w:val="20"/>
        </w:rPr>
      </w:pPr>
    </w:p>
    <w:p w:rsidR="00C74E58" w:rsidRPr="00755F79" w:rsidRDefault="00C74E58" w:rsidP="00C74E58">
      <w:pPr>
        <w:jc w:val="both"/>
        <w:rPr>
          <w:sz w:val="20"/>
        </w:rPr>
      </w:pPr>
    </w:p>
    <w:p w:rsidR="00C74E58" w:rsidRPr="00755F79" w:rsidRDefault="00C74E58" w:rsidP="00C74E58">
      <w:pPr>
        <w:jc w:val="both"/>
      </w:pPr>
      <w:r w:rsidRPr="00755F79">
        <w:t>ESTRATEGIAS DE EJECUCIÓN</w:t>
      </w:r>
    </w:p>
    <w:p w:rsidR="00C74E58" w:rsidRPr="00755F79" w:rsidRDefault="00C74E58" w:rsidP="00C74E58">
      <w:pPr>
        <w:jc w:val="both"/>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La Oficina Internacional se mantendrá en contacto con los nuevos miembros potenciales en las primeras etapas del proceso de adhesión a los fines de ofrecerles orientación sobre la labor preparatoria necesaria, como determinar a quién incumbe efectuar los cambios, consideraciones en materia  legislativa, organizativa e institucional, cuestiones de procedimiento y funcionamiento, automatización de las TT.II. y cambios en la comunidad de usuarios.  La Oficina Internacional prestará también apoyo operativo y orientación a los nuevos miembros en las etapas inmediatamente posteriores a la entrada en vigor del Protocolo de Madrid.  Dada la cantidad de trabajo que será necesario efectuar con probabilidad y de la necesidad de examinar las cuestiones desde varios ángulos, la Oficina Internacional recurrirá a las Oficinas de la OMPI en el exterior, las oficinas nacionales y regionales y otras partes interesadas importantes a fin de llevar esos esfuerzos a buen puerto.</w:t>
      </w:r>
    </w:p>
    <w:p w:rsidR="00C74E58" w:rsidRPr="00755F79" w:rsidRDefault="00C74E58" w:rsidP="00C74E58">
      <w:pPr>
        <w:pStyle w:val="ListParagraph"/>
        <w:tabs>
          <w:tab w:val="left" w:pos="567"/>
        </w:tabs>
        <w:ind w:left="0"/>
        <w:jc w:val="both"/>
        <w:rPr>
          <w:rFonts w:ascii="Arial" w:hAnsi="Arial" w:cs="Arial"/>
          <w:sz w:val="20"/>
          <w:szCs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Se respaldarán, además, las iniciativas emprendidas a principios de 2014 para mejorar la tramitación de las solicitudes internacionales presentadas en virtud del Sistema de Madrid así como la gestión del Registro Internacional.  Se consolidarán los progresos esenciales que se han realizado en los ámbitos de la planificación del volumen de trabajo y de los recursos, los servicios a los clientes y la formación del personal de modo que redunde en beneficio concreto de los usuarios del sector privado y de las Oficinas.  A medida que vayan perfeccionándose esos aspectos de la labor, empezará a prestarse cada vez más atención a la calidad, lo que entraña resultados más coherentes y previsibles en los exámenes gracias a una mejora de la documentación de examen y del control de los procedimientos.  Paralelamente se realizarán esfuerzos especiales para que el proceso de clasificación de la Oficina Internacional sea más eficaz, progresando en el desarrollo de una plataforma impecable para los productos y servicios de Niza y la base de datos Gestor de Productos y Servicios de Madrid</w:t>
      </w:r>
      <w:r w:rsidRPr="00755F79">
        <w:rPr>
          <w:rFonts w:ascii="Arial" w:eastAsia="MS Mincho" w:hAnsi="Arial" w:cs="Arial"/>
          <w:sz w:val="20"/>
          <w:szCs w:val="20"/>
          <w:lang w:val="es-ES"/>
        </w:rPr>
        <w:t xml:space="preserve"> (MSG) a fin de que las prácticas de clasificación de todas las Oficinas interesadas sean más transparentes</w:t>
      </w:r>
      <w:r w:rsidRPr="00755F79">
        <w:rPr>
          <w:rFonts w:ascii="Arial" w:hAnsi="Arial" w:cs="Arial"/>
          <w:sz w:val="20"/>
          <w:szCs w:val="20"/>
          <w:lang w:val="es-ES"/>
        </w:rPr>
        <w:t xml:space="preserve">.  </w:t>
      </w:r>
    </w:p>
    <w:p w:rsidR="00C74E58" w:rsidRPr="00755F79" w:rsidRDefault="00C74E58" w:rsidP="00C74E58">
      <w:pPr>
        <w:pStyle w:val="ListParagraph"/>
        <w:tabs>
          <w:tab w:val="left" w:pos="567"/>
        </w:tabs>
        <w:ind w:left="0"/>
        <w:jc w:val="both"/>
        <w:rPr>
          <w:rFonts w:ascii="Arial" w:hAnsi="Arial" w:cs="Arial"/>
          <w:sz w:val="20"/>
          <w:szCs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En la esfera de la promoción, se dará mayor importancia a la investigación de mercado y los planes de comercialización y sensibilización que estén en sintonía con las necesidades y el perfil específicos de usuarios locales potenciales.  En el sitio web de la Oficina Internacional se ofrecerá </w:t>
      </w:r>
      <w:proofErr w:type="gramStart"/>
      <w:r w:rsidRPr="00755F79">
        <w:rPr>
          <w:rFonts w:ascii="Arial" w:hAnsi="Arial" w:cs="Arial"/>
          <w:sz w:val="20"/>
          <w:szCs w:val="20"/>
          <w:lang w:val="es-ES"/>
        </w:rPr>
        <w:t xml:space="preserve">información adicional y de mejor calidad </w:t>
      </w:r>
      <w:r w:rsidR="00ED369F">
        <w:rPr>
          <w:rFonts w:ascii="Arial" w:hAnsi="Arial" w:cs="Arial"/>
          <w:sz w:val="20"/>
          <w:szCs w:val="20"/>
          <w:lang w:val="es-ES"/>
        </w:rPr>
        <w:t>sobre</w:t>
      </w:r>
      <w:r w:rsidRPr="00755F79">
        <w:rPr>
          <w:rFonts w:ascii="Arial" w:hAnsi="Arial" w:cs="Arial"/>
          <w:sz w:val="20"/>
          <w:szCs w:val="20"/>
          <w:lang w:val="es-ES"/>
        </w:rPr>
        <w:t xml:space="preserve"> el Sistema de Madrid, incluidas</w:t>
      </w:r>
      <w:proofErr w:type="gramEnd"/>
      <w:r w:rsidRPr="00755F79">
        <w:rPr>
          <w:rFonts w:ascii="Arial" w:hAnsi="Arial" w:cs="Arial"/>
          <w:sz w:val="20"/>
          <w:szCs w:val="20"/>
          <w:lang w:val="es-ES"/>
        </w:rPr>
        <w:t xml:space="preserve"> las prácticas de examen tanto en la Oficina Internacional como en las Partes Contratantes designadas, respondiendo así a las necesidades de los nuevos usuarios y los usuarios con mayor experiencia.  Se racionalizarán las herramientas </w:t>
      </w:r>
      <w:r w:rsidR="00510672">
        <w:rPr>
          <w:rFonts w:ascii="Arial" w:hAnsi="Arial" w:cs="Arial"/>
          <w:sz w:val="20"/>
          <w:szCs w:val="20"/>
          <w:lang w:val="es-ES"/>
        </w:rPr>
        <w:t xml:space="preserve">disponibles en Internet, que permiten que los propietarios de marcas </w:t>
      </w:r>
      <w:r w:rsidRPr="00755F79">
        <w:rPr>
          <w:rFonts w:ascii="Arial" w:hAnsi="Arial" w:cs="Arial"/>
          <w:sz w:val="20"/>
          <w:szCs w:val="20"/>
          <w:lang w:val="es-ES"/>
        </w:rPr>
        <w:t>gestion</w:t>
      </w:r>
      <w:r w:rsidR="00510672">
        <w:rPr>
          <w:rFonts w:ascii="Arial" w:hAnsi="Arial" w:cs="Arial"/>
          <w:sz w:val="20"/>
          <w:szCs w:val="20"/>
          <w:lang w:val="es-ES"/>
        </w:rPr>
        <w:t>en</w:t>
      </w:r>
      <w:r w:rsidRPr="00755F79">
        <w:rPr>
          <w:rFonts w:ascii="Arial" w:hAnsi="Arial" w:cs="Arial"/>
          <w:sz w:val="20"/>
          <w:szCs w:val="20"/>
          <w:lang w:val="es-ES"/>
        </w:rPr>
        <w:t xml:space="preserve"> </w:t>
      </w:r>
      <w:r w:rsidR="00510672">
        <w:rPr>
          <w:rFonts w:ascii="Arial" w:hAnsi="Arial" w:cs="Arial"/>
          <w:sz w:val="20"/>
          <w:szCs w:val="20"/>
          <w:lang w:val="es-ES"/>
        </w:rPr>
        <w:t>sus</w:t>
      </w:r>
      <w:r w:rsidRPr="00755F79">
        <w:rPr>
          <w:rFonts w:ascii="Arial" w:hAnsi="Arial" w:cs="Arial"/>
          <w:sz w:val="20"/>
          <w:szCs w:val="20"/>
          <w:lang w:val="es-ES"/>
        </w:rPr>
        <w:t xml:space="preserve"> carteras de marcas</w:t>
      </w:r>
      <w:r w:rsidR="00510672">
        <w:rPr>
          <w:rFonts w:ascii="Arial" w:hAnsi="Arial" w:cs="Arial"/>
          <w:sz w:val="20"/>
          <w:szCs w:val="20"/>
          <w:lang w:val="es-ES"/>
        </w:rPr>
        <w:t>, con el fin de que</w:t>
      </w:r>
      <w:r w:rsidRPr="00755F79">
        <w:rPr>
          <w:rFonts w:ascii="Arial" w:hAnsi="Arial" w:cs="Arial"/>
          <w:sz w:val="20"/>
          <w:szCs w:val="20"/>
          <w:lang w:val="es-ES"/>
        </w:rPr>
        <w:t xml:space="preserve"> form</w:t>
      </w:r>
      <w:r w:rsidR="00510672">
        <w:rPr>
          <w:rFonts w:ascii="Arial" w:hAnsi="Arial" w:cs="Arial"/>
          <w:sz w:val="20"/>
          <w:szCs w:val="20"/>
          <w:lang w:val="es-ES"/>
        </w:rPr>
        <w:t>en</w:t>
      </w:r>
      <w:r w:rsidRPr="00755F79">
        <w:rPr>
          <w:rFonts w:ascii="Arial" w:hAnsi="Arial" w:cs="Arial"/>
          <w:sz w:val="20"/>
          <w:szCs w:val="20"/>
          <w:lang w:val="es-ES"/>
        </w:rPr>
        <w:t xml:space="preserve"> parte de un marco electrónico integrado, de modo que los usuarios </w:t>
      </w:r>
      <w:r w:rsidR="00510672">
        <w:rPr>
          <w:rFonts w:ascii="Arial" w:hAnsi="Arial" w:cs="Arial"/>
          <w:sz w:val="20"/>
          <w:szCs w:val="20"/>
          <w:lang w:val="es-ES"/>
        </w:rPr>
        <w:t>puedan, sin dificultad,</w:t>
      </w:r>
      <w:r w:rsidRPr="00755F79">
        <w:rPr>
          <w:rFonts w:ascii="Arial" w:hAnsi="Arial" w:cs="Arial"/>
          <w:sz w:val="20"/>
          <w:szCs w:val="20"/>
          <w:lang w:val="es-ES"/>
        </w:rPr>
        <w:t xml:space="preserve"> realizar búsquedas, presentar solicitudes de registro y supervisar y administrar sus marcas en línea.</w:t>
      </w:r>
    </w:p>
    <w:p w:rsidR="00C74E58" w:rsidRPr="00755F79" w:rsidRDefault="00C74E58" w:rsidP="00C74E58">
      <w:pPr>
        <w:pStyle w:val="ListParagraph"/>
        <w:tabs>
          <w:tab w:val="left" w:pos="567"/>
        </w:tabs>
        <w:ind w:left="0"/>
        <w:jc w:val="both"/>
        <w:rPr>
          <w:rFonts w:ascii="Arial" w:hAnsi="Arial" w:cs="Arial"/>
          <w:sz w:val="20"/>
          <w:szCs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Con la rápida expansión de su alcance geográfico, el Sistema de Madrid deberá servir los intereses de tod</w:t>
      </w:r>
      <w:r w:rsidR="00510672">
        <w:rPr>
          <w:rFonts w:ascii="Arial" w:hAnsi="Arial" w:cs="Arial"/>
          <w:sz w:val="20"/>
          <w:szCs w:val="20"/>
          <w:lang w:val="es-ES"/>
        </w:rPr>
        <w:t>a</w:t>
      </w:r>
      <w:r w:rsidRPr="00755F79">
        <w:rPr>
          <w:rFonts w:ascii="Arial" w:hAnsi="Arial" w:cs="Arial"/>
          <w:sz w:val="20"/>
          <w:szCs w:val="20"/>
          <w:lang w:val="es-ES"/>
        </w:rPr>
        <w:t>s l</w:t>
      </w:r>
      <w:r w:rsidR="00510672">
        <w:rPr>
          <w:rFonts w:ascii="Arial" w:hAnsi="Arial" w:cs="Arial"/>
          <w:sz w:val="20"/>
          <w:szCs w:val="20"/>
          <w:lang w:val="es-ES"/>
        </w:rPr>
        <w:t>a</w:t>
      </w:r>
      <w:r w:rsidRPr="00755F79">
        <w:rPr>
          <w:rFonts w:ascii="Arial" w:hAnsi="Arial" w:cs="Arial"/>
          <w:sz w:val="20"/>
          <w:szCs w:val="20"/>
          <w:lang w:val="es-ES"/>
        </w:rPr>
        <w:t xml:space="preserve">s </w:t>
      </w:r>
      <w:r w:rsidR="00510672">
        <w:rPr>
          <w:rFonts w:ascii="Arial" w:hAnsi="Arial" w:cs="Arial"/>
          <w:sz w:val="20"/>
          <w:szCs w:val="20"/>
          <w:lang w:val="es-ES"/>
        </w:rPr>
        <w:t>partes interesadas</w:t>
      </w:r>
      <w:r w:rsidRPr="00755F79">
        <w:rPr>
          <w:rFonts w:ascii="Arial" w:hAnsi="Arial" w:cs="Arial"/>
          <w:sz w:val="20"/>
          <w:szCs w:val="20"/>
          <w:lang w:val="es-ES"/>
        </w:rPr>
        <w:t xml:space="preserve"> por igual a los fines de explotar al máximo su potencial en el nuevo entorno.  El Grupo de Trabajo sobre el Desarrollo Jurídico del Sistema de Madrid estudiará la forma de velar por que el marco jurídico evolucione a la par de las necesidades cambiantes.</w:t>
      </w:r>
    </w:p>
    <w:p w:rsidR="00C74E58" w:rsidRPr="00755F79" w:rsidRDefault="00C74E58" w:rsidP="00C74E58">
      <w:pPr>
        <w:pStyle w:val="ListParagraph"/>
        <w:tabs>
          <w:tab w:val="left" w:pos="567"/>
        </w:tabs>
        <w:ind w:left="0"/>
        <w:jc w:val="both"/>
        <w:rPr>
          <w:rFonts w:ascii="Arial" w:hAnsi="Arial" w:cs="Arial"/>
          <w:sz w:val="20"/>
          <w:szCs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szCs w:val="20"/>
          <w:lang w:val="es-ES"/>
        </w:rPr>
      </w:pPr>
      <w:r w:rsidRPr="00755F79">
        <w:rPr>
          <w:rFonts w:ascii="Arial" w:hAnsi="Arial" w:cs="Arial"/>
          <w:sz w:val="20"/>
          <w:szCs w:val="20"/>
          <w:lang w:val="es-ES"/>
        </w:rPr>
        <w:t xml:space="preserve">A medida que vayan presentándose oportunidades de aplicar mejor las tecnologías de la información y la comunicación, la Oficina Internacional adoptará una serie de políticas en materia de </w:t>
      </w:r>
      <w:r w:rsidRPr="00755F79">
        <w:rPr>
          <w:rFonts w:ascii="Arial" w:hAnsi="Arial" w:cs="Arial"/>
          <w:sz w:val="20"/>
          <w:szCs w:val="20"/>
          <w:lang w:val="es-ES"/>
        </w:rPr>
        <w:lastRenderedPageBreak/>
        <w:t>aplicación a los fines de responder a las expectativas de unas y otras partes interesadas en el Sistema de Madrid, incluidas las Oficinas, los solicitantes, los titulares de derechos y los profesionales de la P.I., en el marco de los esfuerzos encaminados a trabajar en un entorno totalmente electrónico.  Con esas políticas se garantizará que las partes interesadas puedan acceder al Registro Internacional en línea y de forma simultánea, en tiempo real y en régimen de autoservicio.  Se prestará mucha atención a la necesidad de prestar mejores servicios en línea que ofrezcan servicios y un funcionamiento idénticos a todas las partes interesadas, sea cual sea su ubicación geográfica.</w:t>
      </w:r>
    </w:p>
    <w:p w:rsidR="00C74E58" w:rsidRDefault="00C74E58" w:rsidP="00C74E58">
      <w:pPr>
        <w:jc w:val="both"/>
        <w:rPr>
          <w:b/>
          <w:sz w:val="20"/>
        </w:rPr>
      </w:pPr>
    </w:p>
    <w:p w:rsidR="00C74E58" w:rsidRPr="00755F79" w:rsidRDefault="00C74E58" w:rsidP="00C74E58">
      <w:pPr>
        <w:jc w:val="both"/>
        <w:rPr>
          <w:b/>
          <w:sz w:val="20"/>
        </w:rPr>
      </w:pPr>
    </w:p>
    <w:p w:rsidR="00C74E58" w:rsidRPr="00755F79" w:rsidRDefault="00C74E58" w:rsidP="00C74E58">
      <w:pPr>
        <w:jc w:val="both"/>
        <w:rPr>
          <w:b/>
        </w:rPr>
      </w:pPr>
      <w:r w:rsidRPr="00755F79">
        <w:rPr>
          <w:b/>
        </w:rPr>
        <w:t>B.</w:t>
      </w:r>
      <w:r w:rsidRPr="00755F79">
        <w:rPr>
          <w:b/>
        </w:rPr>
        <w:tab/>
        <w:t>SISTEMA DE LISBOA</w:t>
      </w:r>
    </w:p>
    <w:p w:rsidR="00C74E58" w:rsidRPr="00755F79" w:rsidRDefault="00C74E58" w:rsidP="00C74E58">
      <w:pPr>
        <w:jc w:val="both"/>
      </w:pPr>
    </w:p>
    <w:p w:rsidR="00C74E58" w:rsidRPr="00755F79" w:rsidRDefault="00C74E58" w:rsidP="00C74E58">
      <w:pPr>
        <w:jc w:val="both"/>
      </w:pPr>
      <w:r w:rsidRPr="00755F79">
        <w:t>CONTEXTO DE PLANIFICACIÓN</w:t>
      </w:r>
    </w:p>
    <w:p w:rsidR="00C74E58" w:rsidRPr="00755F79" w:rsidRDefault="00C74E58" w:rsidP="00C74E58">
      <w:pPr>
        <w:jc w:val="both"/>
        <w:rPr>
          <w:sz w:val="20"/>
        </w:rPr>
      </w:pPr>
    </w:p>
    <w:p w:rsidR="00C74E58" w:rsidRPr="00755F79" w:rsidRDefault="00C74E58" w:rsidP="00171EF4">
      <w:pPr>
        <w:pStyle w:val="ListParagraph"/>
        <w:numPr>
          <w:ilvl w:val="0"/>
          <w:numId w:val="20"/>
        </w:numPr>
        <w:tabs>
          <w:tab w:val="left" w:pos="567"/>
        </w:tabs>
        <w:ind w:left="0" w:firstLine="0"/>
        <w:contextualSpacing w:val="0"/>
        <w:jc w:val="both"/>
        <w:rPr>
          <w:rFonts w:ascii="Arial" w:hAnsi="Arial" w:cs="Arial"/>
          <w:sz w:val="20"/>
          <w:lang w:val="es-ES"/>
        </w:rPr>
      </w:pPr>
      <w:r w:rsidRPr="00755F79">
        <w:rPr>
          <w:rFonts w:ascii="Arial" w:hAnsi="Arial" w:cs="Arial"/>
          <w:sz w:val="20"/>
          <w:lang w:val="es-ES"/>
        </w:rPr>
        <w:t>En lo que respecta al Sistema de Lisboa, la prioridad recaerá en administrar de forma eficaz el Registro Internacional de Denominaciones de Origen, así como los preparativos para la posible entrada en vigor de</w:t>
      </w:r>
      <w:r w:rsidR="00171EF4">
        <w:rPr>
          <w:rFonts w:ascii="Arial" w:hAnsi="Arial" w:cs="Arial"/>
          <w:sz w:val="20"/>
          <w:lang w:val="es-ES"/>
        </w:rPr>
        <w:t xml:space="preserve"> </w:t>
      </w:r>
      <w:r w:rsidRPr="00755F79">
        <w:rPr>
          <w:rFonts w:ascii="Arial" w:hAnsi="Arial" w:cs="Arial"/>
          <w:sz w:val="20"/>
          <w:lang w:val="es-ES"/>
        </w:rPr>
        <w:t>l</w:t>
      </w:r>
      <w:r w:rsidR="00171EF4">
        <w:rPr>
          <w:rFonts w:ascii="Arial" w:hAnsi="Arial" w:cs="Arial"/>
          <w:sz w:val="20"/>
          <w:lang w:val="es-ES"/>
        </w:rPr>
        <w:t>a</w:t>
      </w:r>
      <w:r w:rsidRPr="00755F79">
        <w:rPr>
          <w:rFonts w:ascii="Arial" w:hAnsi="Arial" w:cs="Arial"/>
          <w:sz w:val="20"/>
          <w:lang w:val="es-ES"/>
        </w:rPr>
        <w:t xml:space="preserve"> </w:t>
      </w:r>
      <w:r w:rsidRPr="00755F79">
        <w:rPr>
          <w:lang w:val="es-ES_tradnl"/>
        </w:rPr>
        <w:t>pro</w:t>
      </w:r>
      <w:r w:rsidR="00171EF4">
        <w:rPr>
          <w:lang w:val="es-ES_tradnl"/>
        </w:rPr>
        <w:t>puesta</w:t>
      </w:r>
      <w:r w:rsidRPr="00755F79">
        <w:rPr>
          <w:lang w:val="es-ES_tradnl"/>
        </w:rPr>
        <w:t xml:space="preserve"> de nueva Acta del Arreglo de Lisboa relativo a las Denominaciones de Origen y las Indicaciones Geográficas</w:t>
      </w:r>
      <w:r w:rsidR="00171EF4">
        <w:rPr>
          <w:rFonts w:ascii="Arial" w:hAnsi="Arial" w:cs="Arial"/>
          <w:sz w:val="20"/>
          <w:lang w:val="es-ES"/>
        </w:rPr>
        <w:t xml:space="preserve"> (“la n</w:t>
      </w:r>
      <w:r w:rsidRPr="00755F79">
        <w:rPr>
          <w:rFonts w:ascii="Arial" w:hAnsi="Arial" w:cs="Arial"/>
          <w:sz w:val="20"/>
          <w:lang w:val="es-ES"/>
        </w:rPr>
        <w:t>ueva Acta”), lo que entraña llevar a cabo actividades de información y promoción a ese respecto.</w:t>
      </w:r>
    </w:p>
    <w:p w:rsidR="00C74E58" w:rsidRPr="00755F79" w:rsidRDefault="00C74E58" w:rsidP="00C74E58">
      <w:pPr>
        <w:jc w:val="both"/>
        <w:rPr>
          <w:sz w:val="20"/>
        </w:rPr>
      </w:pPr>
    </w:p>
    <w:p w:rsidR="00C74E58" w:rsidRPr="00755F79" w:rsidRDefault="00C74E58" w:rsidP="00C74E58">
      <w:pPr>
        <w:jc w:val="both"/>
        <w:rPr>
          <w:sz w:val="20"/>
        </w:rPr>
      </w:pPr>
    </w:p>
    <w:p w:rsidR="00C74E58" w:rsidRPr="00755F79" w:rsidRDefault="00C74E58" w:rsidP="00C74E58">
      <w:pPr>
        <w:jc w:val="both"/>
      </w:pPr>
      <w:r w:rsidRPr="00755F79">
        <w:t>ESTRATEGIAS DE EJECUCIÓN</w:t>
      </w:r>
    </w:p>
    <w:p w:rsidR="00C74E58" w:rsidRPr="00755F79" w:rsidRDefault="00C74E58" w:rsidP="00C74E58">
      <w:pPr>
        <w:jc w:val="both"/>
        <w:rPr>
          <w:sz w:val="20"/>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lang w:val="es-ES"/>
        </w:rPr>
      </w:pPr>
      <w:r w:rsidRPr="00755F79">
        <w:rPr>
          <w:rFonts w:ascii="Arial" w:hAnsi="Arial" w:cs="Arial"/>
          <w:sz w:val="20"/>
          <w:lang w:val="es-ES"/>
        </w:rPr>
        <w:t>La nueva Acta preparará el terreno para un considerable aumento de los miembros de la Unión de Lisboa.  Aun cuando es difícil prever el índice de adhesión, es posible que la nueva Acta entre ya en vigor en el transcurso del bienio o poco después. Por consiguiente, habida cuenta de que la nueva Acta coexistirá con el Arreglo de Lisboa vigente hasta que todos los Estados parte en el Arreglo de Lisboa vigente se hayan adherido a la nueva Acta, es menester prepararse para la adopción de un reglamento común para ambos instrumentos.</w:t>
      </w:r>
    </w:p>
    <w:p w:rsidR="00C74E58" w:rsidRPr="00755F79" w:rsidRDefault="00C74E58" w:rsidP="00C74E58">
      <w:pPr>
        <w:pStyle w:val="ListParagraph"/>
        <w:tabs>
          <w:tab w:val="left" w:pos="567"/>
        </w:tabs>
        <w:ind w:left="0"/>
        <w:jc w:val="both"/>
        <w:rPr>
          <w:rFonts w:ascii="Arial" w:hAnsi="Arial" w:cs="Arial"/>
          <w:sz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lang w:val="es-ES"/>
        </w:rPr>
      </w:pPr>
      <w:r w:rsidRPr="00755F79">
        <w:rPr>
          <w:rFonts w:ascii="Arial" w:hAnsi="Arial" w:cs="Arial"/>
          <w:sz w:val="20"/>
          <w:lang w:val="es-ES"/>
        </w:rPr>
        <w:t xml:space="preserve">La preparación del futuro reglamento común será  una oportunidad también para pasar revista a fondo los procedimientos administrativos vigentes y para consolidar la notificación y la publicación electrónicas  a los fines de maximizar la eficacia. </w:t>
      </w:r>
    </w:p>
    <w:p w:rsidR="00C74E58" w:rsidRPr="00755F79" w:rsidRDefault="00C74E58" w:rsidP="00C74E58">
      <w:pPr>
        <w:pStyle w:val="ListParagraph"/>
        <w:tabs>
          <w:tab w:val="left" w:pos="567"/>
        </w:tabs>
        <w:ind w:left="0"/>
        <w:jc w:val="both"/>
        <w:rPr>
          <w:rFonts w:ascii="Arial" w:hAnsi="Arial" w:cs="Arial"/>
          <w:sz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lang w:val="es-ES"/>
        </w:rPr>
      </w:pPr>
      <w:r w:rsidRPr="00755F79">
        <w:rPr>
          <w:rFonts w:ascii="Arial" w:hAnsi="Arial" w:cs="Arial"/>
          <w:sz w:val="20"/>
          <w:lang w:val="es-ES"/>
        </w:rPr>
        <w:t>Además, se prestará asistencia técnica a los Estados miembros y organizaciones regionales correspondientes, en particular, a los países en desarrollo y los PMA, interesados en adherirse al Sistema de Lisboa.  En este contexto cabe también señalar que se llevarán a cabo actividades de sensibilización y actividades de formación adicionales para fomentar todavía más el uso del Sistema.</w:t>
      </w:r>
    </w:p>
    <w:p w:rsidR="00C74E58" w:rsidRPr="00755F79" w:rsidRDefault="00C74E58" w:rsidP="00C74E58">
      <w:pPr>
        <w:pStyle w:val="ListParagraph"/>
        <w:rPr>
          <w:rFonts w:ascii="Arial" w:hAnsi="Arial" w:cs="Arial"/>
          <w:sz w:val="20"/>
          <w:lang w:val="es-ES"/>
        </w:rPr>
      </w:pPr>
    </w:p>
    <w:p w:rsidR="00C74E58" w:rsidRPr="00755F79" w:rsidRDefault="00C74E58" w:rsidP="00C74E58">
      <w:pPr>
        <w:pStyle w:val="ListParagraph"/>
        <w:numPr>
          <w:ilvl w:val="0"/>
          <w:numId w:val="20"/>
        </w:numPr>
        <w:tabs>
          <w:tab w:val="left" w:pos="567"/>
        </w:tabs>
        <w:ind w:left="0" w:firstLine="0"/>
        <w:contextualSpacing w:val="0"/>
        <w:jc w:val="both"/>
        <w:rPr>
          <w:rFonts w:ascii="Arial" w:hAnsi="Arial" w:cs="Arial"/>
          <w:sz w:val="20"/>
          <w:lang w:val="es-ES"/>
        </w:rPr>
      </w:pPr>
      <w:r w:rsidRPr="00755F79">
        <w:rPr>
          <w:rFonts w:ascii="Arial" w:hAnsi="Arial" w:cs="Arial"/>
          <w:sz w:val="20"/>
          <w:lang w:val="es-ES"/>
        </w:rPr>
        <w:t>El número medio de solicitudes internacionales y otras peticiones de inscripción en el Registro Internacional en virtud del Sistema de Lisboa, desde 1967, ha sido de aproximadamente 25 transacciones de esa índole por año, aunque con grandes fluctuacio</w:t>
      </w:r>
      <w:r>
        <w:rPr>
          <w:rFonts w:ascii="Arial" w:hAnsi="Arial" w:cs="Arial"/>
          <w:sz w:val="20"/>
          <w:lang w:val="es-ES"/>
        </w:rPr>
        <w:t>nes entre años (por ejemplo, en </w:t>
      </w:r>
      <w:r w:rsidRPr="00755F79">
        <w:rPr>
          <w:rFonts w:ascii="Arial" w:hAnsi="Arial" w:cs="Arial"/>
          <w:sz w:val="20"/>
          <w:lang w:val="es-ES"/>
        </w:rPr>
        <w:t>2009 se efectuaron siete transacciones y, en 2007, 596).  El número de transacciones aumentó de forma considerable en 2014 (121) y se prevé que en 2015 sea también superior al promedio.  Habida cuenta de la posible entrada en vigor de la nueva Acta y de las adhesiones, se estima que en los años por venir continuarán aumentando las actividades de registro.</w:t>
      </w:r>
    </w:p>
    <w:p w:rsidR="00742732" w:rsidRDefault="00742732" w:rsidP="00C74E58">
      <w:pPr>
        <w:jc w:val="both"/>
      </w:pPr>
    </w:p>
    <w:p w:rsidR="00742732" w:rsidRPr="00171EF4" w:rsidRDefault="00171EF4" w:rsidP="00171EF4">
      <w:pPr>
        <w:numPr>
          <w:ilvl w:val="0"/>
          <w:numId w:val="20"/>
        </w:numPr>
        <w:ind w:left="540" w:hanging="540"/>
        <w:jc w:val="both"/>
        <w:rPr>
          <w:sz w:val="20"/>
        </w:rPr>
      </w:pPr>
      <w:r w:rsidRPr="00171EF4">
        <w:rPr>
          <w:sz w:val="20"/>
        </w:rPr>
        <w:t>El p</w:t>
      </w:r>
      <w:r w:rsidR="00742732" w:rsidRPr="00171EF4">
        <w:rPr>
          <w:sz w:val="20"/>
        </w:rPr>
        <w:t>rogram</w:t>
      </w:r>
      <w:r>
        <w:rPr>
          <w:sz w:val="20"/>
        </w:rPr>
        <w:t>a</w:t>
      </w:r>
      <w:r w:rsidR="00742732" w:rsidRPr="00171EF4">
        <w:rPr>
          <w:sz w:val="20"/>
        </w:rPr>
        <w:t xml:space="preserve"> 6 </w:t>
      </w:r>
      <w:r w:rsidR="00ED369F" w:rsidRPr="00C37CCD">
        <w:rPr>
          <w:sz w:val="20"/>
        </w:rPr>
        <w:t>colabora</w:t>
      </w:r>
      <w:r w:rsidR="00ED369F">
        <w:rPr>
          <w:sz w:val="20"/>
        </w:rPr>
        <w:t xml:space="preserve"> principalmente con los programas siguientes</w:t>
      </w:r>
      <w:r w:rsidR="00742732" w:rsidRPr="00171EF4">
        <w:rPr>
          <w:sz w:val="20"/>
        </w:rPr>
        <w:t xml:space="preserve">: </w:t>
      </w:r>
    </w:p>
    <w:p w:rsidR="00742732" w:rsidRPr="006A3CA4" w:rsidRDefault="00742732" w:rsidP="00C74E58">
      <w:pPr>
        <w:jc w:val="both"/>
        <w:rPr>
          <w:lang w:val="es-ES_tradnl"/>
        </w:rPr>
      </w:pPr>
    </w:p>
    <w:p w:rsidR="00C74E58" w:rsidRPr="00755F79" w:rsidRDefault="00C74E58" w:rsidP="00C74E58">
      <w:pPr>
        <w:jc w:val="both"/>
      </w:pPr>
      <w:r w:rsidRPr="00755F79">
        <w:rPr>
          <w:noProof/>
          <w:lang w:val="en-US" w:eastAsia="en-US"/>
        </w:rPr>
        <w:drawing>
          <wp:inline distT="0" distB="0" distL="0" distR="0" wp14:anchorId="65EEE436" wp14:editId="18B5E288">
            <wp:extent cx="5943600" cy="1478280"/>
            <wp:effectExtent l="0" t="0" r="0" b="0"/>
            <wp:docPr id="18" name="Diagram 1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C74E58" w:rsidRPr="00755F79" w:rsidRDefault="00C74E58" w:rsidP="00C74E58">
      <w:pPr>
        <w:jc w:val="both"/>
        <w:rPr>
          <w:sz w:val="20"/>
        </w:rPr>
      </w:pPr>
    </w:p>
    <w:p w:rsidR="00C74E58" w:rsidRPr="00755F79" w:rsidRDefault="00C74E58" w:rsidP="00C74E58">
      <w:pPr>
        <w:jc w:val="both"/>
        <w:rPr>
          <w:sz w:val="20"/>
        </w:rPr>
      </w:pPr>
    </w:p>
    <w:p w:rsidR="00C74E58" w:rsidRPr="00755F79" w:rsidRDefault="00C74E58" w:rsidP="00C74E58">
      <w:pPr>
        <w:keepNext/>
        <w:keepLines/>
      </w:pPr>
      <w:r w:rsidRPr="00755F79">
        <w:lastRenderedPageBreak/>
        <w:t>PRINCIPALES RIESGOS Y ESTRATEGIAS DE MITIGACIÓN</w:t>
      </w:r>
    </w:p>
    <w:p w:rsidR="00C74E58" w:rsidRPr="00755F79" w:rsidRDefault="00C74E58" w:rsidP="00C74E58">
      <w:pPr>
        <w:keepNext/>
        <w:keepLines/>
        <w:rPr>
          <w:rFonts w:eastAsia="Times New Roman"/>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387"/>
      </w:tblGrid>
      <w:tr w:rsidR="00C74E58" w:rsidRPr="00755F79" w:rsidTr="000A0481">
        <w:trPr>
          <w:trHeight w:val="478"/>
        </w:trPr>
        <w:tc>
          <w:tcPr>
            <w:tcW w:w="4111" w:type="dxa"/>
            <w:tcBorders>
              <w:top w:val="single" w:sz="4" w:space="0" w:color="auto"/>
              <w:left w:val="single" w:sz="4" w:space="0" w:color="auto"/>
              <w:bottom w:val="single" w:sz="4" w:space="0" w:color="auto"/>
              <w:right w:val="nil"/>
            </w:tcBorders>
            <w:shd w:val="clear" w:color="auto" w:fill="C6D9F1" w:themeFill="text2" w:themeFillTint="33"/>
            <w:vAlign w:val="center"/>
          </w:tcPr>
          <w:p w:rsidR="00C74E58" w:rsidRPr="00755F79" w:rsidRDefault="00C74E58" w:rsidP="000A0481">
            <w:pPr>
              <w:keepNext/>
              <w:keepLines/>
              <w:jc w:val="center"/>
              <w:rPr>
                <w:rFonts w:eastAsia="Times New Roman"/>
                <w:b/>
                <w:bCs/>
                <w:sz w:val="18"/>
                <w:szCs w:val="18"/>
              </w:rPr>
            </w:pPr>
            <w:r w:rsidRPr="00755F79">
              <w:rPr>
                <w:rFonts w:eastAsia="Times New Roman"/>
                <w:b/>
                <w:bCs/>
                <w:sz w:val="18"/>
                <w:szCs w:val="18"/>
              </w:rPr>
              <w:t>Riesgo</w:t>
            </w:r>
          </w:p>
        </w:tc>
        <w:tc>
          <w:tcPr>
            <w:tcW w:w="5387" w:type="dxa"/>
            <w:tcBorders>
              <w:top w:val="single" w:sz="4" w:space="0" w:color="auto"/>
              <w:left w:val="nil"/>
              <w:bottom w:val="single" w:sz="4" w:space="0" w:color="auto"/>
              <w:right w:val="single" w:sz="4" w:space="0" w:color="auto"/>
            </w:tcBorders>
            <w:shd w:val="clear" w:color="auto" w:fill="C6D9F1" w:themeFill="text2" w:themeFillTint="33"/>
            <w:vAlign w:val="center"/>
          </w:tcPr>
          <w:p w:rsidR="00C74E58" w:rsidRPr="00755F79" w:rsidRDefault="00C74E58" w:rsidP="000A0481">
            <w:pPr>
              <w:keepNext/>
              <w:keepLines/>
              <w:jc w:val="center"/>
              <w:rPr>
                <w:rFonts w:eastAsia="Times New Roman"/>
                <w:b/>
                <w:bCs/>
                <w:sz w:val="18"/>
                <w:szCs w:val="18"/>
              </w:rPr>
            </w:pPr>
            <w:r w:rsidRPr="00755F79">
              <w:rPr>
                <w:rFonts w:eastAsia="Times New Roman"/>
                <w:b/>
                <w:bCs/>
                <w:sz w:val="18"/>
                <w:szCs w:val="18"/>
              </w:rPr>
              <w:t>Mitigación</w:t>
            </w:r>
          </w:p>
        </w:tc>
      </w:tr>
      <w:tr w:rsidR="00C74E58" w:rsidRPr="00755F79" w:rsidTr="000A0481">
        <w:trPr>
          <w:trHeight w:val="211"/>
        </w:trPr>
        <w:tc>
          <w:tcPr>
            <w:tcW w:w="4111" w:type="dxa"/>
            <w:tcBorders>
              <w:top w:val="single" w:sz="4" w:space="0" w:color="auto"/>
              <w:left w:val="single" w:sz="4" w:space="0" w:color="auto"/>
              <w:bottom w:val="nil"/>
              <w:right w:val="nil"/>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El Sistema de Madrid podría ser considerado una opción menos interesante que la vía nacional con respecto a determinadas partes Contratantes designadas.</w:t>
            </w:r>
          </w:p>
        </w:tc>
        <w:tc>
          <w:tcPr>
            <w:tcW w:w="5387" w:type="dxa"/>
            <w:tcBorders>
              <w:top w:val="single" w:sz="4" w:space="0" w:color="auto"/>
              <w:left w:val="nil"/>
              <w:bottom w:val="nil"/>
              <w:right w:val="single" w:sz="4" w:space="0" w:color="auto"/>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Aumentar la eficacia del Sistema de Madrid realizando ajustes jurídicos y prácticos para que se puedan proteger las marcas en todas las Partes Contratantes designadas.</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Promover nuevas adhesiones en regiones y países clave.</w:t>
            </w:r>
          </w:p>
        </w:tc>
      </w:tr>
      <w:tr w:rsidR="00C74E58" w:rsidRPr="00755F79" w:rsidTr="000A0481">
        <w:trPr>
          <w:trHeight w:val="211"/>
        </w:trPr>
        <w:tc>
          <w:tcPr>
            <w:tcW w:w="4111" w:type="dxa"/>
            <w:tcBorders>
              <w:top w:val="nil"/>
              <w:left w:val="single" w:sz="4" w:space="0" w:color="auto"/>
              <w:bottom w:val="nil"/>
              <w:right w:val="nil"/>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La calidad de los servicios que presta la Oficina Internacional no responde a las expectativas de los clientes.</w:t>
            </w:r>
          </w:p>
        </w:tc>
        <w:tc>
          <w:tcPr>
            <w:tcW w:w="5387" w:type="dxa"/>
            <w:tcBorders>
              <w:top w:val="nil"/>
              <w:left w:val="nil"/>
              <w:bottom w:val="nil"/>
              <w:right w:val="single" w:sz="4" w:space="0" w:color="auto"/>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Velar por que el personal responda mejor a las necesidades, mejorar la coherencia de las prácticas operacionales y su ajuste  al marco jurídico;  continuar reforzando los procedimientos de control de la calidad y prestando apoyo para actividades de formación.</w:t>
            </w:r>
          </w:p>
        </w:tc>
      </w:tr>
      <w:tr w:rsidR="00C74E58" w:rsidRPr="00755F79" w:rsidTr="000A0481">
        <w:trPr>
          <w:trHeight w:val="211"/>
        </w:trPr>
        <w:tc>
          <w:tcPr>
            <w:tcW w:w="4111" w:type="dxa"/>
            <w:tcBorders>
              <w:top w:val="nil"/>
              <w:left w:val="single" w:sz="4" w:space="0" w:color="auto"/>
              <w:bottom w:val="single" w:sz="4" w:space="0" w:color="auto"/>
              <w:right w:val="nil"/>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Indisponibilidad prolongada de las actividades que realiza la Oficina Internacional.</w:t>
            </w:r>
          </w:p>
        </w:tc>
        <w:tc>
          <w:tcPr>
            <w:tcW w:w="5387" w:type="dxa"/>
            <w:tcBorders>
              <w:top w:val="nil"/>
              <w:left w:val="nil"/>
              <w:bottom w:val="single" w:sz="4" w:space="0" w:color="auto"/>
              <w:right w:val="single" w:sz="4" w:space="0" w:color="auto"/>
            </w:tcBorders>
            <w:shd w:val="clear" w:color="auto" w:fill="auto"/>
            <w:tcMar>
              <w:top w:w="113" w:type="dxa"/>
              <w:bottom w:w="113" w:type="dxa"/>
            </w:tcMar>
          </w:tcPr>
          <w:p w:rsidR="00C74E58" w:rsidRPr="00755F79" w:rsidRDefault="00C74E58" w:rsidP="000A0481">
            <w:pPr>
              <w:rPr>
                <w:rFonts w:eastAsia="Times New Roman"/>
                <w:sz w:val="16"/>
                <w:szCs w:val="16"/>
              </w:rPr>
            </w:pPr>
            <w:r w:rsidRPr="00755F79">
              <w:rPr>
                <w:rFonts w:eastAsia="Times New Roman"/>
                <w:sz w:val="16"/>
                <w:szCs w:val="16"/>
              </w:rPr>
              <w:t>Consolidar el plan de continuidad de las actividades de la Oficina Internacional.</w:t>
            </w:r>
          </w:p>
        </w:tc>
      </w:tr>
    </w:tbl>
    <w:p w:rsidR="00C74E58" w:rsidRPr="00755F79" w:rsidRDefault="00C74E58" w:rsidP="00C74E58">
      <w:pPr>
        <w:rPr>
          <w:rFonts w:eastAsia="Times New Roman"/>
        </w:rPr>
      </w:pPr>
    </w:p>
    <w:p w:rsidR="00C74E58" w:rsidRPr="00755F79" w:rsidRDefault="00C74E58" w:rsidP="00C74E58">
      <w:pPr>
        <w:rPr>
          <w:rFonts w:eastAsia="Times New Roman"/>
        </w:rPr>
      </w:pPr>
    </w:p>
    <w:p w:rsidR="00C74E58" w:rsidRPr="00755F79" w:rsidRDefault="00C74E58" w:rsidP="00C74E58">
      <w:pPr>
        <w:rPr>
          <w:rFonts w:eastAsia="Times New Roman"/>
        </w:rPr>
      </w:pPr>
      <w:r w:rsidRPr="00755F79">
        <w:rPr>
          <w:rFonts w:eastAsia="Times New Roman"/>
        </w:rPr>
        <w:t>MARCO DE RESULTADOS</w:t>
      </w:r>
    </w:p>
    <w:p w:rsidR="00C74E58" w:rsidRPr="00755F79" w:rsidRDefault="00C74E58" w:rsidP="00C74E58">
      <w:pPr>
        <w:rPr>
          <w:rFonts w:eastAsia="Times New Roman"/>
        </w:rPr>
      </w:pPr>
    </w:p>
    <w:tbl>
      <w:tblPr>
        <w:tblW w:w="9371" w:type="dxa"/>
        <w:tblInd w:w="93" w:type="dxa"/>
        <w:tblLook w:val="04A0" w:firstRow="1" w:lastRow="0" w:firstColumn="1" w:lastColumn="0" w:noHBand="0" w:noVBand="1"/>
      </w:tblPr>
      <w:tblGrid>
        <w:gridCol w:w="2060"/>
        <w:gridCol w:w="2500"/>
        <w:gridCol w:w="2620"/>
        <w:gridCol w:w="2191"/>
      </w:tblGrid>
      <w:tr w:rsidR="00C74E58" w:rsidRPr="00755F79" w:rsidTr="000A0481">
        <w:trPr>
          <w:trHeight w:val="518"/>
          <w:tblHeader/>
        </w:trPr>
        <w:tc>
          <w:tcPr>
            <w:tcW w:w="206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C74E58" w:rsidRPr="00755F79" w:rsidRDefault="00C74E58" w:rsidP="000A0481">
            <w:pPr>
              <w:jc w:val="center"/>
              <w:rPr>
                <w:rFonts w:eastAsia="Times New Roman"/>
                <w:b/>
                <w:bCs/>
                <w:sz w:val="18"/>
                <w:szCs w:val="18"/>
              </w:rPr>
            </w:pPr>
            <w:r w:rsidRPr="00755F79">
              <w:rPr>
                <w:rFonts w:eastAsia="Times New Roman"/>
                <w:b/>
                <w:bCs/>
                <w:sz w:val="18"/>
                <w:szCs w:val="18"/>
              </w:rPr>
              <w:t>Resultados previstos</w:t>
            </w:r>
          </w:p>
        </w:tc>
        <w:tc>
          <w:tcPr>
            <w:tcW w:w="2500" w:type="dxa"/>
            <w:tcBorders>
              <w:top w:val="single" w:sz="4" w:space="0" w:color="auto"/>
              <w:left w:val="nil"/>
              <w:bottom w:val="single" w:sz="4" w:space="0" w:color="auto"/>
              <w:right w:val="nil"/>
            </w:tcBorders>
            <w:shd w:val="clear" w:color="auto" w:fill="C6D9F1" w:themeFill="text2" w:themeFillTint="33"/>
            <w:vAlign w:val="center"/>
            <w:hideMark/>
          </w:tcPr>
          <w:p w:rsidR="00C74E58" w:rsidRPr="00755F79" w:rsidRDefault="00C74E58" w:rsidP="000A0481">
            <w:pPr>
              <w:jc w:val="center"/>
              <w:rPr>
                <w:rFonts w:eastAsia="Times New Roman"/>
                <w:b/>
                <w:bCs/>
                <w:sz w:val="18"/>
                <w:szCs w:val="18"/>
              </w:rPr>
            </w:pPr>
            <w:r w:rsidRPr="00755F79">
              <w:rPr>
                <w:rFonts w:eastAsia="Times New Roman"/>
                <w:b/>
                <w:bCs/>
                <w:sz w:val="18"/>
                <w:szCs w:val="18"/>
              </w:rPr>
              <w:t>Indicadores de rendimiento</w:t>
            </w:r>
          </w:p>
        </w:tc>
        <w:tc>
          <w:tcPr>
            <w:tcW w:w="2620" w:type="dxa"/>
            <w:tcBorders>
              <w:top w:val="single" w:sz="4" w:space="0" w:color="auto"/>
              <w:left w:val="nil"/>
              <w:bottom w:val="single" w:sz="4" w:space="0" w:color="auto"/>
              <w:right w:val="nil"/>
            </w:tcBorders>
            <w:shd w:val="clear" w:color="auto" w:fill="C6D9F1" w:themeFill="text2" w:themeFillTint="33"/>
            <w:vAlign w:val="center"/>
            <w:hideMark/>
          </w:tcPr>
          <w:p w:rsidR="00C74E58" w:rsidRPr="00755F79" w:rsidRDefault="00C74E58" w:rsidP="000A0481">
            <w:pPr>
              <w:jc w:val="center"/>
              <w:rPr>
                <w:rFonts w:eastAsia="Times New Roman"/>
                <w:b/>
                <w:bCs/>
                <w:sz w:val="18"/>
                <w:szCs w:val="18"/>
              </w:rPr>
            </w:pPr>
            <w:r w:rsidRPr="00755F79">
              <w:rPr>
                <w:rFonts w:eastAsia="Times New Roman"/>
                <w:b/>
                <w:bCs/>
                <w:sz w:val="18"/>
                <w:szCs w:val="18"/>
              </w:rPr>
              <w:t>Referencia</w:t>
            </w:r>
          </w:p>
        </w:tc>
        <w:tc>
          <w:tcPr>
            <w:tcW w:w="2191"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C74E58" w:rsidRPr="00755F79" w:rsidRDefault="00C74E58" w:rsidP="000A0481">
            <w:pPr>
              <w:jc w:val="center"/>
              <w:rPr>
                <w:rFonts w:eastAsia="Times New Roman"/>
                <w:b/>
                <w:bCs/>
                <w:sz w:val="18"/>
                <w:szCs w:val="18"/>
              </w:rPr>
            </w:pPr>
            <w:r w:rsidRPr="00755F79">
              <w:rPr>
                <w:rFonts w:eastAsia="Times New Roman"/>
                <w:b/>
                <w:bCs/>
                <w:sz w:val="18"/>
                <w:szCs w:val="18"/>
              </w:rPr>
              <w:t>Objetivos</w:t>
            </w:r>
          </w:p>
        </w:tc>
      </w:tr>
      <w:tr w:rsidR="00C74E58" w:rsidRPr="00755F79" w:rsidTr="000A0481">
        <w:trPr>
          <w:trHeight w:val="1304"/>
        </w:trPr>
        <w:tc>
          <w:tcPr>
            <w:tcW w:w="2060" w:type="dxa"/>
            <w:tcBorders>
              <w:top w:val="nil"/>
              <w:left w:val="single" w:sz="4" w:space="0" w:color="auto"/>
              <w:bottom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br/>
              <w:t>II.</w:t>
            </w:r>
            <w:r w:rsidRPr="00BE77EA">
              <w:rPr>
                <w:rFonts w:eastAsia="Times New Roman"/>
                <w:sz w:val="16"/>
                <w:szCs w:val="16"/>
              </w:rPr>
              <w:t>6</w:t>
            </w:r>
            <w:r w:rsidR="006C2BFB" w:rsidRPr="00BE77EA">
              <w:rPr>
                <w:rFonts w:eastAsia="Times New Roman"/>
                <w:sz w:val="16"/>
                <w:szCs w:val="16"/>
              </w:rPr>
              <w:t xml:space="preserve"> </w:t>
            </w:r>
            <w:r w:rsidRPr="00BE77EA">
              <w:rPr>
                <w:rFonts w:eastAsia="Times New Roman"/>
                <w:sz w:val="16"/>
                <w:szCs w:val="16"/>
              </w:rPr>
              <w:t xml:space="preserve"> </w:t>
            </w:r>
            <w:r w:rsidR="006C23D5" w:rsidRPr="00171EF4">
              <w:rPr>
                <w:sz w:val="16"/>
                <w:szCs w:val="16"/>
                <w:lang w:val="es-ES_tradnl"/>
              </w:rPr>
              <w:t>Mayor y más eficaz utilización de los Sistemas de Madrid y de Lisboa, entre otros, por los países en desarrollo y los PMA</w:t>
            </w:r>
          </w:p>
        </w:tc>
        <w:tc>
          <w:tcPr>
            <w:tcW w:w="2500" w:type="dxa"/>
            <w:tcBorders>
              <w:top w:val="nil"/>
              <w:left w:val="nil"/>
              <w:bottom w:val="nil"/>
              <w:right w:val="nil"/>
            </w:tcBorders>
            <w:shd w:val="clear" w:color="000000" w:fill="FFFFFF"/>
            <w:hideMark/>
          </w:tcPr>
          <w:p w:rsidR="00C74E58" w:rsidRPr="00755F79" w:rsidRDefault="00C74E58" w:rsidP="0042698A">
            <w:pPr>
              <w:ind w:firstLineChars="200" w:firstLine="320"/>
              <w:rPr>
                <w:rFonts w:eastAsia="Times New Roman"/>
                <w:sz w:val="16"/>
                <w:szCs w:val="16"/>
              </w:rPr>
            </w:pPr>
            <w:r w:rsidRPr="00755F79">
              <w:rPr>
                <w:rFonts w:eastAsia="Times New Roman"/>
                <w:sz w:val="16"/>
                <w:szCs w:val="16"/>
              </w:rPr>
              <w:br/>
              <w:t>N</w:t>
            </w:r>
            <w:r w:rsidR="0042698A">
              <w:rPr>
                <w:rFonts w:eastAsia="Times New Roman"/>
                <w:sz w:val="16"/>
                <w:szCs w:val="16"/>
              </w:rPr>
              <w:t>º</w:t>
            </w:r>
            <w:r w:rsidRPr="00755F79">
              <w:rPr>
                <w:rFonts w:eastAsia="Times New Roman"/>
                <w:sz w:val="16"/>
                <w:szCs w:val="16"/>
              </w:rPr>
              <w:t xml:space="preserve"> total de miembros de la Unión de Madrid </w:t>
            </w:r>
            <w:r w:rsidRPr="00755F79">
              <w:rPr>
                <w:rFonts w:eastAsia="Times New Roman"/>
                <w:sz w:val="16"/>
                <w:szCs w:val="16"/>
              </w:rPr>
              <w:br/>
            </w:r>
            <w:r w:rsidRPr="00755F79">
              <w:rPr>
                <w:rFonts w:eastAsia="Times New Roman"/>
                <w:sz w:val="16"/>
                <w:szCs w:val="16"/>
              </w:rPr>
              <w:br/>
              <w:t>Cuota de mercado (es decir, vía nacional, en contraposición al Sistema de Madrid)</w:t>
            </w:r>
            <w:r w:rsidR="0042698A">
              <w:rPr>
                <w:rFonts w:eastAsia="Times New Roman"/>
                <w:sz w:val="16"/>
                <w:szCs w:val="16"/>
              </w:rPr>
              <w:br/>
            </w:r>
          </w:p>
        </w:tc>
        <w:tc>
          <w:tcPr>
            <w:tcW w:w="262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br/>
              <w:t>95 miembros (al 15 de abril de 2015)</w:t>
            </w:r>
            <w:r w:rsidRPr="00755F79">
              <w:rPr>
                <w:rFonts w:eastAsia="Times New Roman"/>
                <w:sz w:val="16"/>
                <w:szCs w:val="16"/>
              </w:rPr>
              <w:br/>
            </w:r>
            <w:r w:rsidRPr="00755F79">
              <w:rPr>
                <w:rFonts w:eastAsia="Times New Roman"/>
                <w:sz w:val="16"/>
                <w:szCs w:val="16"/>
              </w:rPr>
              <w:br/>
              <w:t xml:space="preserve">Cuota de mercado del 63,4% (al 31 de dic. de 2012) </w:t>
            </w:r>
          </w:p>
        </w:tc>
        <w:tc>
          <w:tcPr>
            <w:tcW w:w="2191" w:type="dxa"/>
            <w:tcBorders>
              <w:top w:val="nil"/>
              <w:left w:val="nil"/>
              <w:bottom w:val="nil"/>
              <w:right w:val="single" w:sz="4" w:space="0" w:color="auto"/>
            </w:tcBorders>
            <w:shd w:val="clear" w:color="000000" w:fill="FFFFFF"/>
            <w:hideMark/>
          </w:tcPr>
          <w:p w:rsidR="00C74E58" w:rsidRPr="00755F79" w:rsidRDefault="00C74E58" w:rsidP="000A0481">
            <w:pPr>
              <w:ind w:firstLineChars="200" w:firstLine="320"/>
              <w:rPr>
                <w:rFonts w:eastAsia="Times New Roman"/>
                <w:sz w:val="16"/>
                <w:szCs w:val="16"/>
              </w:rPr>
            </w:pPr>
            <w:r w:rsidRPr="00755F79">
              <w:rPr>
                <w:rFonts w:eastAsia="Times New Roman"/>
                <w:sz w:val="16"/>
                <w:szCs w:val="16"/>
              </w:rPr>
              <w:br/>
              <w:t>103</w:t>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t>Aumento de la cuota de mercado</w:t>
            </w:r>
          </w:p>
        </w:tc>
      </w:tr>
      <w:tr w:rsidR="00C74E58" w:rsidRPr="00755F79" w:rsidTr="00742732">
        <w:trPr>
          <w:trHeight w:val="441"/>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p>
        </w:tc>
        <w:tc>
          <w:tcPr>
            <w:tcW w:w="2500" w:type="dxa"/>
            <w:tcBorders>
              <w:top w:val="nil"/>
              <w:left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Índice de presentación de solicitudes</w:t>
            </w:r>
          </w:p>
        </w:tc>
        <w:tc>
          <w:tcPr>
            <w:tcW w:w="2620" w:type="dxa"/>
            <w:tcBorders>
              <w:top w:val="nil"/>
              <w:left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47.885  solicitudes</w:t>
            </w:r>
          </w:p>
          <w:p w:rsidR="00C74E58" w:rsidRPr="00755F79" w:rsidRDefault="00C74E58" w:rsidP="000A0481">
            <w:pPr>
              <w:rPr>
                <w:rFonts w:eastAsia="Times New Roman"/>
                <w:sz w:val="16"/>
                <w:szCs w:val="16"/>
              </w:rPr>
            </w:pPr>
            <w:r w:rsidRPr="00755F79">
              <w:rPr>
                <w:rFonts w:eastAsia="Times New Roman"/>
                <w:sz w:val="16"/>
                <w:szCs w:val="16"/>
              </w:rPr>
              <w:t>Índice de presentación del 2,3% (al 31 de diciembre de 2014)</w:t>
            </w:r>
          </w:p>
        </w:tc>
        <w:tc>
          <w:tcPr>
            <w:tcW w:w="2191" w:type="dxa"/>
            <w:tcBorders>
              <w:top w:val="nil"/>
              <w:left w:val="nil"/>
              <w:right w:val="single" w:sz="4" w:space="0" w:color="auto"/>
            </w:tcBorders>
            <w:shd w:val="clear" w:color="000000" w:fill="FFFFFF"/>
            <w:hideMark/>
          </w:tcPr>
          <w:p w:rsidR="00C74E58" w:rsidRDefault="00C74E58" w:rsidP="000A0481">
            <w:pPr>
              <w:rPr>
                <w:rFonts w:eastAsia="Times New Roman"/>
                <w:sz w:val="16"/>
                <w:szCs w:val="16"/>
              </w:rPr>
            </w:pPr>
            <w:r w:rsidRPr="00755F79">
              <w:rPr>
                <w:rFonts w:eastAsia="Times New Roman"/>
                <w:sz w:val="16"/>
                <w:szCs w:val="16"/>
              </w:rPr>
              <w:t xml:space="preserve">2016: + 4,6% del índice de presentación </w:t>
            </w:r>
            <w:r w:rsidRPr="00755F79">
              <w:rPr>
                <w:rFonts w:eastAsia="Times New Roman"/>
                <w:sz w:val="16"/>
                <w:szCs w:val="16"/>
              </w:rPr>
              <w:br/>
              <w:t>2017: + 2,3% del índice de presentación</w:t>
            </w:r>
          </w:p>
          <w:p w:rsidR="00C74E58" w:rsidRPr="00755F79" w:rsidRDefault="00C74E58" w:rsidP="000A0481">
            <w:pPr>
              <w:rPr>
                <w:rFonts w:eastAsia="Times New Roman"/>
                <w:sz w:val="16"/>
                <w:szCs w:val="16"/>
              </w:rPr>
            </w:pPr>
          </w:p>
        </w:tc>
      </w:tr>
      <w:tr w:rsidR="00C74E58" w:rsidRPr="00755F79" w:rsidTr="00742732">
        <w:trPr>
          <w:trHeight w:val="630"/>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Registros</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Renovaciones</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p>
          <w:p w:rsidR="00C74E58" w:rsidRPr="00755F79" w:rsidRDefault="00C74E58" w:rsidP="0042698A">
            <w:pPr>
              <w:rPr>
                <w:rFonts w:eastAsia="Times New Roman"/>
                <w:sz w:val="16"/>
                <w:szCs w:val="16"/>
              </w:rPr>
            </w:pPr>
            <w:r w:rsidRPr="00755F79">
              <w:rPr>
                <w:rFonts w:eastAsia="Times New Roman"/>
                <w:sz w:val="16"/>
                <w:szCs w:val="16"/>
              </w:rPr>
              <w:t>N</w:t>
            </w:r>
            <w:r w:rsidR="0042698A">
              <w:rPr>
                <w:rFonts w:eastAsia="Times New Roman"/>
                <w:sz w:val="16"/>
                <w:szCs w:val="16"/>
              </w:rPr>
              <w:t>º</w:t>
            </w:r>
            <w:r w:rsidRPr="00755F79">
              <w:rPr>
                <w:rFonts w:eastAsia="Times New Roman"/>
                <w:sz w:val="16"/>
                <w:szCs w:val="16"/>
              </w:rPr>
              <w:t xml:space="preserve"> total de registros </w:t>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r w:rsidR="0042698A">
              <w:rPr>
                <w:rFonts w:eastAsia="Times New Roman"/>
                <w:sz w:val="16"/>
                <w:szCs w:val="16"/>
              </w:rPr>
              <w:t>Nº</w:t>
            </w:r>
            <w:r w:rsidRPr="00755F79">
              <w:rPr>
                <w:rFonts w:eastAsia="Times New Roman"/>
                <w:sz w:val="16"/>
                <w:szCs w:val="16"/>
              </w:rPr>
              <w:t xml:space="preserve"> total de designaciones</w:t>
            </w:r>
          </w:p>
        </w:tc>
        <w:tc>
          <w:tcPr>
            <w:tcW w:w="2620" w:type="dxa"/>
            <w:tcBorders>
              <w:top w:val="nil"/>
              <w:left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42.430 (2014)</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25.729 (2014)</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 xml:space="preserve">594.477 registros </w:t>
            </w:r>
          </w:p>
          <w:p w:rsidR="00C74E58" w:rsidRPr="00755F79" w:rsidRDefault="00C74E58" w:rsidP="000A0481">
            <w:pPr>
              <w:rPr>
                <w:rFonts w:eastAsia="Times New Roman"/>
                <w:sz w:val="16"/>
                <w:szCs w:val="16"/>
              </w:rPr>
            </w:pPr>
            <w:r w:rsidRPr="00755F79">
              <w:rPr>
                <w:rFonts w:eastAsia="Times New Roman"/>
                <w:sz w:val="16"/>
                <w:szCs w:val="16"/>
              </w:rPr>
              <w:t>(al 31 de diciembre de 2014)</w:t>
            </w:r>
            <w:r w:rsidRPr="00755F79">
              <w:rPr>
                <w:rFonts w:eastAsia="Times New Roman"/>
                <w:sz w:val="16"/>
                <w:szCs w:val="16"/>
              </w:rPr>
              <w:br/>
            </w:r>
            <w:r w:rsidRPr="00755F79">
              <w:rPr>
                <w:rFonts w:eastAsia="Times New Roman"/>
                <w:sz w:val="16"/>
                <w:szCs w:val="16"/>
              </w:rPr>
              <w:br/>
              <w:t xml:space="preserve">5,61 millones de designaciones </w:t>
            </w:r>
          </w:p>
          <w:p w:rsidR="00C74E58" w:rsidRPr="00755F79" w:rsidRDefault="00C74E58" w:rsidP="000A0481">
            <w:pPr>
              <w:rPr>
                <w:rFonts w:eastAsia="Times New Roman"/>
                <w:sz w:val="16"/>
                <w:szCs w:val="16"/>
              </w:rPr>
            </w:pPr>
            <w:r w:rsidRPr="00755F79">
              <w:rPr>
                <w:rFonts w:eastAsia="Times New Roman"/>
                <w:sz w:val="16"/>
                <w:szCs w:val="16"/>
              </w:rPr>
              <w:t>(al 31 de diciembre de 2014)</w:t>
            </w:r>
          </w:p>
        </w:tc>
        <w:tc>
          <w:tcPr>
            <w:tcW w:w="2191" w:type="dxa"/>
            <w:tcBorders>
              <w:top w:val="nil"/>
              <w:left w:val="nil"/>
              <w:right w:val="single" w:sz="4" w:space="0" w:color="auto"/>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47.387 (2016)</w:t>
            </w:r>
          </w:p>
          <w:p w:rsidR="00C74E58" w:rsidRPr="00755F79" w:rsidRDefault="00C74E58" w:rsidP="000A0481">
            <w:pPr>
              <w:rPr>
                <w:rFonts w:eastAsia="Times New Roman"/>
                <w:sz w:val="16"/>
                <w:szCs w:val="16"/>
              </w:rPr>
            </w:pPr>
            <w:r w:rsidRPr="00755F79">
              <w:rPr>
                <w:rFonts w:eastAsia="Times New Roman"/>
                <w:sz w:val="16"/>
                <w:szCs w:val="16"/>
              </w:rPr>
              <w:t>48.652 (2017)</w:t>
            </w:r>
          </w:p>
          <w:p w:rsidR="00C74E58" w:rsidRPr="00755F79" w:rsidRDefault="00C74E58" w:rsidP="000A0481">
            <w:pPr>
              <w:rPr>
                <w:rFonts w:eastAsia="Times New Roman"/>
                <w:sz w:val="16"/>
                <w:szCs w:val="16"/>
              </w:rPr>
            </w:pPr>
            <w:r w:rsidRPr="00755F79">
              <w:rPr>
                <w:rFonts w:eastAsia="Times New Roman"/>
                <w:sz w:val="16"/>
                <w:szCs w:val="16"/>
              </w:rPr>
              <w:t>29.850 (2016)</w:t>
            </w:r>
          </w:p>
          <w:p w:rsidR="00C74E58" w:rsidRPr="00755F79" w:rsidRDefault="00C74E58" w:rsidP="000A0481">
            <w:pPr>
              <w:rPr>
                <w:rFonts w:eastAsia="Times New Roman"/>
                <w:sz w:val="16"/>
                <w:szCs w:val="16"/>
              </w:rPr>
            </w:pPr>
            <w:r w:rsidRPr="00755F79">
              <w:rPr>
                <w:rFonts w:eastAsia="Times New Roman"/>
                <w:sz w:val="16"/>
                <w:szCs w:val="16"/>
              </w:rPr>
              <w:t>31.020 (2017)</w:t>
            </w:r>
          </w:p>
          <w:p w:rsidR="00C74E58" w:rsidRPr="00755F79"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2016: 630.000 registros</w:t>
            </w:r>
            <w:r w:rsidRPr="00755F79">
              <w:rPr>
                <w:rFonts w:eastAsia="Times New Roman"/>
                <w:sz w:val="16"/>
                <w:szCs w:val="16"/>
              </w:rPr>
              <w:br/>
              <w:t>2017: 650.000 registros</w:t>
            </w:r>
            <w:r w:rsidRPr="00755F79">
              <w:rPr>
                <w:rFonts w:eastAsia="Times New Roman"/>
                <w:sz w:val="16"/>
                <w:szCs w:val="16"/>
              </w:rPr>
              <w:br/>
            </w:r>
            <w:r w:rsidRPr="00755F79">
              <w:rPr>
                <w:rFonts w:eastAsia="Times New Roman"/>
                <w:sz w:val="16"/>
                <w:szCs w:val="16"/>
              </w:rPr>
              <w:br/>
              <w:t xml:space="preserve">2016: 5,68 millones de designaciones </w:t>
            </w:r>
            <w:r w:rsidRPr="00755F79">
              <w:rPr>
                <w:rFonts w:eastAsia="Times New Roman"/>
                <w:sz w:val="16"/>
                <w:szCs w:val="16"/>
              </w:rPr>
              <w:br/>
              <w:t>2017: 5,7 millones de designaciones</w:t>
            </w:r>
            <w:r w:rsidR="00483C77">
              <w:rPr>
                <w:rFonts w:eastAsia="Times New Roman"/>
                <w:sz w:val="16"/>
                <w:szCs w:val="16"/>
              </w:rPr>
              <w:br/>
            </w:r>
          </w:p>
        </w:tc>
      </w:tr>
      <w:tr w:rsidR="00C74E58" w:rsidRPr="00755F79" w:rsidTr="00742732">
        <w:trPr>
          <w:trHeight w:val="1260"/>
        </w:trPr>
        <w:tc>
          <w:tcPr>
            <w:tcW w:w="2060" w:type="dxa"/>
            <w:tcBorders>
              <w:left w:val="single" w:sz="4" w:space="0" w:color="auto"/>
              <w:bottom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Índice de irregularidades (Artículos 12 y 13)</w:t>
            </w:r>
          </w:p>
        </w:tc>
        <w:tc>
          <w:tcPr>
            <w:tcW w:w="2620" w:type="dxa"/>
            <w:tcBorders>
              <w:left w:val="nil"/>
              <w:bottom w:val="nil"/>
              <w:right w:val="nil"/>
            </w:tcBorders>
            <w:shd w:val="clear" w:color="000000" w:fill="FFFFFF"/>
            <w:hideMark/>
          </w:tcPr>
          <w:p w:rsidR="00C74E58" w:rsidRPr="00755F79" w:rsidRDefault="00C74E58" w:rsidP="00483C77">
            <w:pPr>
              <w:rPr>
                <w:rFonts w:eastAsia="Times New Roman"/>
                <w:sz w:val="16"/>
                <w:szCs w:val="16"/>
              </w:rPr>
            </w:pPr>
            <w:r w:rsidRPr="00755F79">
              <w:rPr>
                <w:rFonts w:eastAsia="Times New Roman"/>
                <w:sz w:val="16"/>
                <w:szCs w:val="16"/>
              </w:rPr>
              <w:t xml:space="preserve">Índice de irregularidades del 36% </w:t>
            </w:r>
          </w:p>
          <w:p w:rsidR="00C74E58" w:rsidRPr="00755F79" w:rsidRDefault="00C74E58" w:rsidP="00483C77">
            <w:pPr>
              <w:rPr>
                <w:rFonts w:eastAsia="Times New Roman"/>
                <w:sz w:val="16"/>
                <w:szCs w:val="16"/>
              </w:rPr>
            </w:pPr>
            <w:r w:rsidRPr="00755F79">
              <w:rPr>
                <w:rFonts w:eastAsia="Times New Roman"/>
                <w:sz w:val="16"/>
                <w:szCs w:val="16"/>
              </w:rPr>
              <w:t>(al 31 de diciembre de 2014)</w:t>
            </w:r>
            <w:r w:rsidRPr="00755F79">
              <w:rPr>
                <w:rFonts w:eastAsia="Times New Roman"/>
                <w:sz w:val="16"/>
                <w:szCs w:val="16"/>
              </w:rPr>
              <w:br/>
            </w:r>
            <w:r w:rsidRPr="00755F79">
              <w:rPr>
                <w:rFonts w:eastAsia="Times New Roman"/>
                <w:sz w:val="16"/>
                <w:szCs w:val="16"/>
              </w:rPr>
              <w:br/>
              <w:t>Términos válidos en la base de datos sobre productos y servicios del Sistema de Madrid (MGS) (en inglés) 67.050 (mayo de  2015)</w:t>
            </w:r>
            <w:r w:rsidR="00483C77">
              <w:rPr>
                <w:rFonts w:eastAsia="Times New Roman"/>
                <w:sz w:val="16"/>
                <w:szCs w:val="16"/>
              </w:rPr>
              <w:br/>
            </w:r>
          </w:p>
        </w:tc>
        <w:tc>
          <w:tcPr>
            <w:tcW w:w="2191" w:type="dxa"/>
            <w:tcBorders>
              <w:left w:val="nil"/>
              <w:bottom w:val="nil"/>
              <w:right w:val="single" w:sz="4" w:space="0" w:color="auto"/>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Disminución</w:t>
            </w:r>
          </w:p>
          <w:p w:rsidR="00C74E58" w:rsidRPr="00755F79" w:rsidRDefault="00C74E58" w:rsidP="000A0481">
            <w:pPr>
              <w:rPr>
                <w:rFonts w:eastAsia="Times New Roman"/>
                <w:sz w:val="16"/>
                <w:szCs w:val="16"/>
              </w:rPr>
            </w:pPr>
          </w:p>
          <w:p w:rsidR="00C74E58" w:rsidRDefault="00C74E58" w:rsidP="000A0481">
            <w:pPr>
              <w:rPr>
                <w:rFonts w:eastAsia="Times New Roman"/>
                <w:sz w:val="16"/>
                <w:szCs w:val="16"/>
              </w:rPr>
            </w:pPr>
          </w:p>
          <w:p w:rsidR="00C74E58" w:rsidRPr="00755F79" w:rsidRDefault="00C74E58" w:rsidP="000A0481">
            <w:pPr>
              <w:rPr>
                <w:rFonts w:eastAsia="Times New Roman"/>
                <w:sz w:val="16"/>
                <w:szCs w:val="16"/>
              </w:rPr>
            </w:pPr>
            <w:r w:rsidRPr="00755F79">
              <w:rPr>
                <w:rFonts w:eastAsia="Times New Roman"/>
                <w:sz w:val="16"/>
                <w:szCs w:val="16"/>
              </w:rPr>
              <w:t>80.000</w:t>
            </w:r>
          </w:p>
        </w:tc>
      </w:tr>
      <w:tr w:rsidR="00C74E58" w:rsidRPr="00755F79" w:rsidTr="00892617">
        <w:trPr>
          <w:trHeight w:val="729"/>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Mejoras del funcionamiento del Sistema de Madrid</w:t>
            </w:r>
          </w:p>
        </w:tc>
        <w:tc>
          <w:tcPr>
            <w:tcW w:w="2620" w:type="dxa"/>
            <w:tcBorders>
              <w:top w:val="nil"/>
              <w:left w:val="nil"/>
              <w:right w:val="nil"/>
            </w:tcBorders>
            <w:shd w:val="clear" w:color="000000" w:fill="FFFFFF"/>
            <w:hideMark/>
          </w:tcPr>
          <w:p w:rsidR="00C74E58" w:rsidRDefault="00C74E58" w:rsidP="00483C77">
            <w:pPr>
              <w:rPr>
                <w:rFonts w:eastAsia="Times New Roman"/>
                <w:sz w:val="16"/>
                <w:szCs w:val="16"/>
              </w:rPr>
            </w:pPr>
            <w:r w:rsidRPr="00755F79">
              <w:rPr>
                <w:rFonts w:eastAsia="Times New Roman"/>
                <w:sz w:val="16"/>
                <w:szCs w:val="16"/>
              </w:rPr>
              <w:t>Reglamento Común e Instrucciones Administrativas en vigor al 31 de diciembre de 2014</w:t>
            </w:r>
          </w:p>
          <w:p w:rsidR="00C74E58" w:rsidRPr="00755F79" w:rsidRDefault="00C74E58" w:rsidP="000A0481">
            <w:pPr>
              <w:ind w:left="117"/>
              <w:rPr>
                <w:rFonts w:eastAsia="Times New Roman"/>
                <w:sz w:val="16"/>
                <w:szCs w:val="16"/>
              </w:rPr>
            </w:pPr>
          </w:p>
        </w:tc>
        <w:tc>
          <w:tcPr>
            <w:tcW w:w="2191" w:type="dxa"/>
            <w:tcBorders>
              <w:top w:val="nil"/>
              <w:left w:val="nil"/>
              <w:right w:val="single" w:sz="4" w:space="0" w:color="auto"/>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Modificación del Reglamento y las Instrucciones</w:t>
            </w:r>
            <w:r w:rsidR="00483C77">
              <w:rPr>
                <w:rFonts w:eastAsia="Times New Roman"/>
                <w:sz w:val="16"/>
                <w:szCs w:val="16"/>
              </w:rPr>
              <w:br/>
            </w:r>
          </w:p>
        </w:tc>
      </w:tr>
      <w:tr w:rsidR="00C74E58" w:rsidRPr="00755F79" w:rsidTr="00892617">
        <w:trPr>
          <w:trHeight w:val="711"/>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Expansión del alcance geográfico del Sistema de Lisboa</w:t>
            </w:r>
          </w:p>
        </w:tc>
        <w:tc>
          <w:tcPr>
            <w:tcW w:w="262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N</w:t>
            </w:r>
            <w:r w:rsidR="0042698A">
              <w:rPr>
                <w:rFonts w:eastAsia="Times New Roman"/>
                <w:sz w:val="16"/>
                <w:szCs w:val="16"/>
              </w:rPr>
              <w:t>º</w:t>
            </w:r>
            <w:r w:rsidRPr="00755F79">
              <w:rPr>
                <w:rFonts w:eastAsia="Times New Roman"/>
                <w:sz w:val="16"/>
                <w:szCs w:val="16"/>
              </w:rPr>
              <w:t xml:space="preserve"> de Partes Contratantes de la nueva Acta a finales de 2015</w:t>
            </w:r>
          </w:p>
        </w:tc>
        <w:tc>
          <w:tcPr>
            <w:tcW w:w="2191" w:type="dxa"/>
            <w:tcBorders>
              <w:top w:val="nil"/>
              <w:left w:val="nil"/>
              <w:right w:val="single" w:sz="4" w:space="0" w:color="auto"/>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Hasta 5 Partes Contratantes de la n</w:t>
            </w:r>
            <w:r w:rsidR="006C2BFB">
              <w:rPr>
                <w:rFonts w:eastAsia="Times New Roman"/>
                <w:sz w:val="16"/>
                <w:szCs w:val="16"/>
              </w:rPr>
              <w:t xml:space="preserve">ueva Acta antes de </w:t>
            </w:r>
            <w:r w:rsidR="0042698A">
              <w:rPr>
                <w:rFonts w:eastAsia="Times New Roman"/>
                <w:sz w:val="16"/>
                <w:szCs w:val="16"/>
              </w:rPr>
              <w:t>fin d</w:t>
            </w:r>
            <w:r w:rsidR="006C2BFB">
              <w:rPr>
                <w:rFonts w:eastAsia="Times New Roman"/>
                <w:sz w:val="16"/>
                <w:szCs w:val="16"/>
              </w:rPr>
              <w:t>e </w:t>
            </w:r>
            <w:r w:rsidRPr="00755F79">
              <w:rPr>
                <w:rFonts w:eastAsia="Times New Roman"/>
                <w:sz w:val="16"/>
                <w:szCs w:val="16"/>
              </w:rPr>
              <w:t>2017</w:t>
            </w:r>
          </w:p>
        </w:tc>
      </w:tr>
      <w:tr w:rsidR="00C74E58" w:rsidRPr="00755F79" w:rsidTr="00892617">
        <w:trPr>
          <w:trHeight w:val="333"/>
        </w:trPr>
        <w:tc>
          <w:tcPr>
            <w:tcW w:w="2060" w:type="dxa"/>
            <w:tcBorders>
              <w:left w:val="single" w:sz="4" w:space="0" w:color="auto"/>
              <w:bottom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left w:val="nil"/>
              <w:bottom w:val="single" w:sz="4" w:space="0" w:color="auto"/>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Porcentaje de participantes en las actividades del sistema de Lisboa que están satisfechos y manifiestan haber mejorado sus conocimientos tras haber participado en las actividades.</w:t>
            </w:r>
            <w:r w:rsidR="00473C96">
              <w:rPr>
                <w:rFonts w:eastAsia="Times New Roman"/>
                <w:sz w:val="16"/>
                <w:szCs w:val="16"/>
              </w:rPr>
              <w:br/>
            </w:r>
            <w:r w:rsidRPr="00755F79">
              <w:rPr>
                <w:rFonts w:eastAsia="Times New Roman"/>
                <w:sz w:val="16"/>
                <w:szCs w:val="16"/>
              </w:rPr>
              <w:t xml:space="preserve"> </w:t>
            </w:r>
          </w:p>
        </w:tc>
        <w:tc>
          <w:tcPr>
            <w:tcW w:w="2620" w:type="dxa"/>
            <w:tcBorders>
              <w:left w:val="nil"/>
              <w:bottom w:val="single" w:sz="4" w:space="0" w:color="auto"/>
              <w:right w:val="nil"/>
            </w:tcBorders>
            <w:shd w:val="clear" w:color="000000" w:fill="FFFFFF"/>
            <w:hideMark/>
          </w:tcPr>
          <w:p w:rsidR="00C74E58" w:rsidRPr="00755F79" w:rsidRDefault="00C74E58" w:rsidP="00483C77">
            <w:pPr>
              <w:rPr>
                <w:rFonts w:eastAsia="Times New Roman"/>
                <w:sz w:val="16"/>
                <w:szCs w:val="16"/>
              </w:rPr>
            </w:pPr>
            <w:r w:rsidRPr="00755F79">
              <w:rPr>
                <w:rFonts w:eastAsia="Times New Roman"/>
                <w:sz w:val="16"/>
                <w:szCs w:val="16"/>
              </w:rPr>
              <w:t>84% de participantes satisfechos (2014) en 5 eventos</w:t>
            </w:r>
          </w:p>
        </w:tc>
        <w:tc>
          <w:tcPr>
            <w:tcW w:w="2191" w:type="dxa"/>
            <w:tcBorders>
              <w:left w:val="nil"/>
              <w:bottom w:val="single" w:sz="4" w:space="0" w:color="auto"/>
              <w:right w:val="single" w:sz="4" w:space="0" w:color="auto"/>
            </w:tcBorders>
            <w:shd w:val="clear" w:color="000000" w:fill="FFFFFF"/>
            <w:hideMark/>
          </w:tcPr>
          <w:p w:rsidR="00C74E58" w:rsidRPr="00755F79" w:rsidRDefault="00C74E58" w:rsidP="00483C77">
            <w:pPr>
              <w:rPr>
                <w:rFonts w:eastAsia="Times New Roman"/>
                <w:sz w:val="16"/>
                <w:szCs w:val="16"/>
              </w:rPr>
            </w:pPr>
            <w:r w:rsidRPr="00755F79">
              <w:rPr>
                <w:rFonts w:eastAsia="Times New Roman"/>
                <w:sz w:val="16"/>
                <w:szCs w:val="16"/>
              </w:rPr>
              <w:t>85% de los participantes satisfechos</w:t>
            </w:r>
          </w:p>
        </w:tc>
      </w:tr>
      <w:tr w:rsidR="00C74E58" w:rsidRPr="00755F79" w:rsidTr="00892617">
        <w:trPr>
          <w:trHeight w:val="1561"/>
        </w:trPr>
        <w:tc>
          <w:tcPr>
            <w:tcW w:w="2060" w:type="dxa"/>
            <w:tcBorders>
              <w:top w:val="single" w:sz="4" w:space="0" w:color="auto"/>
              <w:left w:val="single" w:sz="4" w:space="0" w:color="auto"/>
              <w:bottom w:val="nil"/>
              <w:right w:val="nil"/>
            </w:tcBorders>
            <w:shd w:val="clear" w:color="000000" w:fill="FFFFFF"/>
            <w:tcMar>
              <w:top w:w="85" w:type="dxa"/>
            </w:tcMar>
            <w:hideMark/>
          </w:tcPr>
          <w:p w:rsidR="00C74E58" w:rsidRPr="00755F79" w:rsidRDefault="00C74E58" w:rsidP="000A0481">
            <w:pPr>
              <w:rPr>
                <w:rFonts w:eastAsia="Times New Roman"/>
                <w:sz w:val="16"/>
                <w:szCs w:val="16"/>
              </w:rPr>
            </w:pPr>
            <w:r w:rsidRPr="00755F79">
              <w:rPr>
                <w:rFonts w:eastAsia="Times New Roman"/>
                <w:sz w:val="16"/>
                <w:szCs w:val="16"/>
              </w:rPr>
              <w:lastRenderedPageBreak/>
              <w:t> </w:t>
            </w:r>
          </w:p>
        </w:tc>
        <w:tc>
          <w:tcPr>
            <w:tcW w:w="2500" w:type="dxa"/>
            <w:tcBorders>
              <w:top w:val="single" w:sz="4" w:space="0" w:color="auto"/>
              <w:left w:val="nil"/>
              <w:bottom w:val="nil"/>
              <w:right w:val="nil"/>
            </w:tcBorders>
            <w:shd w:val="clear" w:color="000000" w:fill="FFFFFF"/>
            <w:tcMar>
              <w:top w:w="85" w:type="dxa"/>
            </w:tcMar>
            <w:hideMark/>
          </w:tcPr>
          <w:p w:rsidR="00C74E58" w:rsidRPr="00755F79" w:rsidRDefault="00C74E58" w:rsidP="0042698A">
            <w:pPr>
              <w:rPr>
                <w:rFonts w:eastAsia="Times New Roman"/>
                <w:sz w:val="16"/>
                <w:szCs w:val="16"/>
              </w:rPr>
            </w:pPr>
            <w:r w:rsidRPr="00755F79">
              <w:rPr>
                <w:rFonts w:eastAsia="Times New Roman"/>
                <w:sz w:val="16"/>
                <w:szCs w:val="16"/>
              </w:rPr>
              <w:t>N</w:t>
            </w:r>
            <w:r w:rsidR="0042698A">
              <w:rPr>
                <w:rFonts w:eastAsia="Times New Roman"/>
                <w:sz w:val="16"/>
                <w:szCs w:val="16"/>
              </w:rPr>
              <w:t>º</w:t>
            </w:r>
            <w:r w:rsidRPr="00755F79">
              <w:rPr>
                <w:rFonts w:eastAsia="Times New Roman"/>
                <w:sz w:val="16"/>
                <w:szCs w:val="16"/>
              </w:rPr>
              <w:t xml:space="preserve"> de solicitudes internacionales y otras transacciones</w:t>
            </w:r>
            <w:r w:rsidR="00171EF4">
              <w:rPr>
                <w:rFonts w:eastAsia="Times New Roman"/>
                <w:sz w:val="16"/>
                <w:szCs w:val="16"/>
              </w:rPr>
              <w:t xml:space="preserve"> (Lisboa)</w:t>
            </w:r>
          </w:p>
        </w:tc>
        <w:tc>
          <w:tcPr>
            <w:tcW w:w="2620" w:type="dxa"/>
            <w:tcBorders>
              <w:top w:val="single" w:sz="4" w:space="0" w:color="auto"/>
              <w:left w:val="nil"/>
              <w:bottom w:val="nil"/>
              <w:right w:val="nil"/>
            </w:tcBorders>
            <w:shd w:val="clear" w:color="000000" w:fill="FFFFFF"/>
            <w:tcMar>
              <w:top w:w="85" w:type="dxa"/>
            </w:tcMar>
            <w:hideMark/>
          </w:tcPr>
          <w:p w:rsidR="00C74E58" w:rsidRPr="00755F79" w:rsidRDefault="00C74E58" w:rsidP="0042698A">
            <w:pPr>
              <w:rPr>
                <w:rFonts w:eastAsia="Times New Roman"/>
                <w:sz w:val="16"/>
                <w:szCs w:val="16"/>
              </w:rPr>
            </w:pPr>
            <w:r w:rsidRPr="00755F79">
              <w:rPr>
                <w:rFonts w:eastAsia="Times New Roman"/>
                <w:sz w:val="16"/>
                <w:szCs w:val="16"/>
              </w:rPr>
              <w:t>121 transacciones en 2014:</w:t>
            </w:r>
            <w:r w:rsidRPr="00755F79">
              <w:rPr>
                <w:rFonts w:eastAsia="Times New Roman"/>
                <w:sz w:val="16"/>
                <w:szCs w:val="16"/>
              </w:rPr>
              <w:br/>
              <w:t xml:space="preserve">- 80 solicitudes internacionales </w:t>
            </w:r>
            <w:r w:rsidRPr="00755F79">
              <w:rPr>
                <w:rFonts w:eastAsia="Times New Roman"/>
                <w:sz w:val="16"/>
                <w:szCs w:val="16"/>
              </w:rPr>
              <w:br/>
              <w:t>- 26 declaraciones de concesión de  protección</w:t>
            </w:r>
            <w:r w:rsidRPr="00755F79">
              <w:rPr>
                <w:rFonts w:eastAsia="Times New Roman"/>
                <w:sz w:val="16"/>
                <w:szCs w:val="16"/>
              </w:rPr>
              <w:br/>
              <w:t>- 15 declaraciones de denegación</w:t>
            </w:r>
          </w:p>
        </w:tc>
        <w:tc>
          <w:tcPr>
            <w:tcW w:w="2191" w:type="dxa"/>
            <w:tcBorders>
              <w:top w:val="single" w:sz="4" w:space="0" w:color="auto"/>
              <w:left w:val="nil"/>
              <w:bottom w:val="nil"/>
              <w:right w:val="single" w:sz="4" w:space="0" w:color="auto"/>
            </w:tcBorders>
            <w:shd w:val="clear" w:color="000000" w:fill="FFFFFF"/>
            <w:tcMar>
              <w:top w:w="85" w:type="dxa"/>
            </w:tcMar>
            <w:hideMark/>
          </w:tcPr>
          <w:p w:rsidR="00C74E58" w:rsidRPr="00755F79" w:rsidRDefault="00C74E58" w:rsidP="000A0481">
            <w:pPr>
              <w:ind w:left="107"/>
              <w:rPr>
                <w:rFonts w:eastAsia="Times New Roman"/>
                <w:sz w:val="16"/>
                <w:szCs w:val="16"/>
              </w:rPr>
            </w:pPr>
            <w:r w:rsidRPr="00755F79">
              <w:rPr>
                <w:rFonts w:eastAsia="Times New Roman"/>
                <w:sz w:val="16"/>
                <w:szCs w:val="16"/>
              </w:rPr>
              <w:t>100 transacciones en 2016/17</w:t>
            </w:r>
            <w:r w:rsidRPr="00755F79">
              <w:rPr>
                <w:rFonts w:eastAsia="Times New Roman"/>
                <w:sz w:val="16"/>
                <w:szCs w:val="16"/>
              </w:rPr>
              <w:br/>
              <w:t xml:space="preserve">- 20 nuevas solicitudes internacionales </w:t>
            </w:r>
            <w:r w:rsidRPr="00755F79">
              <w:rPr>
                <w:rFonts w:eastAsia="Times New Roman"/>
                <w:sz w:val="16"/>
                <w:szCs w:val="16"/>
              </w:rPr>
              <w:br/>
              <w:t>- 60 declaraciones de concesión de  protección</w:t>
            </w:r>
            <w:r w:rsidRPr="00755F79">
              <w:rPr>
                <w:rFonts w:eastAsia="Times New Roman"/>
                <w:sz w:val="16"/>
                <w:szCs w:val="16"/>
              </w:rPr>
              <w:br/>
              <w:t>- 20 declaraciones de denegación</w:t>
            </w:r>
          </w:p>
        </w:tc>
      </w:tr>
      <w:tr w:rsidR="00C74E58" w:rsidRPr="00755F79" w:rsidTr="000A0481">
        <w:trPr>
          <w:trHeight w:val="1170"/>
        </w:trPr>
        <w:tc>
          <w:tcPr>
            <w:tcW w:w="2060" w:type="dxa"/>
            <w:tcBorders>
              <w:top w:val="nil"/>
              <w:left w:val="single" w:sz="4" w:space="0" w:color="auto"/>
              <w:bottom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N</w:t>
            </w:r>
            <w:r w:rsidR="0042698A">
              <w:rPr>
                <w:rFonts w:eastAsia="Times New Roman"/>
                <w:sz w:val="16"/>
                <w:szCs w:val="16"/>
              </w:rPr>
              <w:t>º</w:t>
            </w:r>
            <w:r>
              <w:rPr>
                <w:rFonts w:eastAsia="Times New Roman"/>
                <w:sz w:val="16"/>
                <w:szCs w:val="16"/>
              </w:rPr>
              <w:t xml:space="preserve"> </w:t>
            </w:r>
            <w:r w:rsidRPr="00755F79">
              <w:rPr>
                <w:rFonts w:eastAsia="Times New Roman"/>
                <w:sz w:val="16"/>
                <w:szCs w:val="16"/>
              </w:rPr>
              <w:t>de registros internacionales de países en desarrollo y PMA en vigor en virtud del Sistema de Lisboa (con respecto al n</w:t>
            </w:r>
            <w:r w:rsidR="0042698A">
              <w:rPr>
                <w:rFonts w:eastAsia="Times New Roman"/>
                <w:sz w:val="16"/>
                <w:szCs w:val="16"/>
              </w:rPr>
              <w:t>º</w:t>
            </w:r>
            <w:r w:rsidRPr="00755F79">
              <w:rPr>
                <w:rFonts w:eastAsia="Times New Roman"/>
                <w:sz w:val="16"/>
                <w:szCs w:val="16"/>
              </w:rPr>
              <w:t xml:space="preserve"> total)</w:t>
            </w:r>
          </w:p>
        </w:tc>
        <w:tc>
          <w:tcPr>
            <w:tcW w:w="262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78 (de 896)  (marzo de 2015)</w:t>
            </w:r>
          </w:p>
        </w:tc>
        <w:tc>
          <w:tcPr>
            <w:tcW w:w="2191" w:type="dxa"/>
            <w:tcBorders>
              <w:top w:val="nil"/>
              <w:left w:val="nil"/>
              <w:bottom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90 (de  950)</w:t>
            </w:r>
          </w:p>
        </w:tc>
      </w:tr>
      <w:tr w:rsidR="00C74E58" w:rsidRPr="00755F79" w:rsidTr="000A0481">
        <w:trPr>
          <w:trHeight w:val="621"/>
        </w:trPr>
        <w:tc>
          <w:tcPr>
            <w:tcW w:w="2060" w:type="dxa"/>
            <w:tcBorders>
              <w:top w:val="nil"/>
              <w:left w:val="single" w:sz="4" w:space="0" w:color="auto"/>
              <w:bottom w:val="nil"/>
              <w:right w:val="nil"/>
            </w:tcBorders>
            <w:shd w:val="clear" w:color="000000" w:fill="FFFFFF"/>
            <w:hideMark/>
          </w:tcPr>
          <w:p w:rsidR="00C74E58" w:rsidRPr="00755F79" w:rsidRDefault="006C23D5" w:rsidP="000A0481">
            <w:pPr>
              <w:rPr>
                <w:rFonts w:eastAsia="Times New Roman"/>
                <w:sz w:val="16"/>
                <w:szCs w:val="16"/>
              </w:rPr>
            </w:pPr>
            <w:r>
              <w:rPr>
                <w:rFonts w:eastAsia="Times New Roman"/>
                <w:sz w:val="16"/>
                <w:szCs w:val="16"/>
              </w:rPr>
              <w:t xml:space="preserve">II.7 </w:t>
            </w:r>
            <w:r w:rsidR="00C74E58" w:rsidRPr="00755F79">
              <w:rPr>
                <w:rFonts w:eastAsia="Times New Roman"/>
                <w:sz w:val="16"/>
                <w:szCs w:val="16"/>
              </w:rPr>
              <w:t xml:space="preserve"> </w:t>
            </w:r>
            <w:r w:rsidRPr="00171EF4">
              <w:rPr>
                <w:sz w:val="16"/>
                <w:szCs w:val="16"/>
                <w:lang w:val="es-ES_tradnl"/>
              </w:rPr>
              <w:t>Mejora de la productividad y de la calidad de los servicios en las operaciones los Sistemas de Madrid y de Lisboa</w:t>
            </w:r>
          </w:p>
        </w:tc>
        <w:tc>
          <w:tcPr>
            <w:tcW w:w="250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Satisfacción del cliente</w:t>
            </w:r>
          </w:p>
        </w:tc>
        <w:tc>
          <w:tcPr>
            <w:tcW w:w="262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Índice de prestación de servicios en 2014 (39)</w:t>
            </w:r>
          </w:p>
        </w:tc>
        <w:tc>
          <w:tcPr>
            <w:tcW w:w="2191" w:type="dxa"/>
            <w:tcBorders>
              <w:top w:val="nil"/>
              <w:left w:val="nil"/>
              <w:bottom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Mejora del índice</w:t>
            </w:r>
          </w:p>
        </w:tc>
      </w:tr>
      <w:tr w:rsidR="00C74E58" w:rsidRPr="00755F79" w:rsidTr="000A0481">
        <w:trPr>
          <w:trHeight w:val="486"/>
        </w:trPr>
        <w:tc>
          <w:tcPr>
            <w:tcW w:w="2060" w:type="dxa"/>
            <w:tcBorders>
              <w:top w:val="nil"/>
              <w:left w:val="single" w:sz="4" w:space="0" w:color="auto"/>
              <w:bottom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Costo unitario</w:t>
            </w:r>
          </w:p>
        </w:tc>
        <w:tc>
          <w:tcPr>
            <w:tcW w:w="2620" w:type="dxa"/>
            <w:tcBorders>
              <w:top w:val="nil"/>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 xml:space="preserve">Costo de registro/renovación: </w:t>
            </w:r>
          </w:p>
          <w:p w:rsidR="00C74E58" w:rsidRPr="00755F79" w:rsidRDefault="00C74E58" w:rsidP="0042698A">
            <w:pPr>
              <w:rPr>
                <w:rFonts w:eastAsia="Times New Roman"/>
                <w:sz w:val="16"/>
                <w:szCs w:val="16"/>
              </w:rPr>
            </w:pPr>
            <w:r w:rsidRPr="00755F79">
              <w:rPr>
                <w:rFonts w:eastAsia="Times New Roman"/>
                <w:sz w:val="16"/>
                <w:szCs w:val="16"/>
              </w:rPr>
              <w:t>837 CHF</w:t>
            </w:r>
            <w:r w:rsidRPr="00755F79">
              <w:rPr>
                <w:rFonts w:eastAsia="Times New Roman"/>
                <w:sz w:val="16"/>
                <w:szCs w:val="16"/>
              </w:rPr>
              <w:br/>
              <w:t xml:space="preserve">Costo unitario </w:t>
            </w:r>
            <w:r w:rsidRPr="00171EF4">
              <w:rPr>
                <w:rFonts w:eastAsia="Times New Roman"/>
                <w:sz w:val="16"/>
                <w:szCs w:val="16"/>
              </w:rPr>
              <w:t>inscripción: 320</w:t>
            </w:r>
            <w:r w:rsidRPr="00755F79">
              <w:rPr>
                <w:rFonts w:eastAsia="Times New Roman"/>
                <w:sz w:val="16"/>
                <w:szCs w:val="16"/>
              </w:rPr>
              <w:t xml:space="preserve"> CHF</w:t>
            </w:r>
            <w:r w:rsidR="0042698A">
              <w:rPr>
                <w:rFonts w:eastAsia="Times New Roman"/>
                <w:sz w:val="16"/>
                <w:szCs w:val="16"/>
              </w:rPr>
              <w:br/>
            </w:r>
          </w:p>
        </w:tc>
        <w:tc>
          <w:tcPr>
            <w:tcW w:w="2191" w:type="dxa"/>
            <w:tcBorders>
              <w:top w:val="nil"/>
              <w:left w:val="nil"/>
              <w:bottom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Reducción en ambas categorías de costos unitarios</w:t>
            </w:r>
          </w:p>
        </w:tc>
      </w:tr>
      <w:tr w:rsidR="00C74E58" w:rsidRPr="00755F79" w:rsidTr="00742732">
        <w:trPr>
          <w:trHeight w:val="1521"/>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Puntualidad de las transacciones</w:t>
            </w:r>
          </w:p>
          <w:p w:rsidR="00C74E58" w:rsidRPr="00755F79" w:rsidRDefault="00C74E58" w:rsidP="000A0481">
            <w:pPr>
              <w:ind w:left="97"/>
              <w:rPr>
                <w:rFonts w:eastAsia="Times New Roman"/>
                <w:sz w:val="16"/>
                <w:szCs w:val="16"/>
              </w:rPr>
            </w:pPr>
            <w:r w:rsidRPr="00755F79">
              <w:rPr>
                <w:rFonts w:eastAsia="Times New Roman"/>
                <w:sz w:val="16"/>
                <w:szCs w:val="16"/>
              </w:rPr>
              <w:t>(</w:t>
            </w:r>
            <w:proofErr w:type="gramStart"/>
            <w:r w:rsidRPr="00755F79">
              <w:rPr>
                <w:rFonts w:eastAsia="Times New Roman"/>
                <w:sz w:val="16"/>
                <w:szCs w:val="16"/>
              </w:rPr>
              <w:t>días</w:t>
            </w:r>
            <w:proofErr w:type="gramEnd"/>
            <w:r w:rsidRPr="00755F79">
              <w:rPr>
                <w:rFonts w:eastAsia="Times New Roman"/>
                <w:sz w:val="16"/>
                <w:szCs w:val="16"/>
              </w:rPr>
              <w:t>).</w:t>
            </w:r>
          </w:p>
        </w:tc>
        <w:tc>
          <w:tcPr>
            <w:tcW w:w="262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 xml:space="preserve">Solicitudes: 70 </w:t>
            </w:r>
            <w:r w:rsidRPr="00755F79">
              <w:rPr>
                <w:rFonts w:eastAsia="Times New Roman"/>
                <w:sz w:val="16"/>
                <w:szCs w:val="16"/>
              </w:rPr>
              <w:br/>
              <w:t xml:space="preserve">Renovaciones: 63 </w:t>
            </w:r>
            <w:r w:rsidRPr="00755F79">
              <w:rPr>
                <w:rFonts w:eastAsia="Times New Roman"/>
                <w:sz w:val="16"/>
                <w:szCs w:val="16"/>
              </w:rPr>
              <w:br/>
              <w:t>Designaciones posteriores: 56</w:t>
            </w:r>
            <w:r w:rsidRPr="00755F79">
              <w:rPr>
                <w:rFonts w:eastAsia="Times New Roman"/>
                <w:sz w:val="16"/>
                <w:szCs w:val="16"/>
              </w:rPr>
              <w:br/>
              <w:t>Decisiones:12</w:t>
            </w:r>
            <w:r w:rsidRPr="00755F79">
              <w:rPr>
                <w:rFonts w:eastAsia="Times New Roman"/>
                <w:sz w:val="16"/>
                <w:szCs w:val="16"/>
              </w:rPr>
              <w:br/>
              <w:t>Modificaciones:79</w:t>
            </w:r>
            <w:r w:rsidRPr="00755F79">
              <w:rPr>
                <w:rFonts w:eastAsia="Times New Roman"/>
                <w:sz w:val="16"/>
                <w:szCs w:val="16"/>
              </w:rPr>
              <w:br/>
              <w:t>Correcciones 232</w:t>
            </w:r>
            <w:r w:rsidRPr="00755F79">
              <w:rPr>
                <w:rFonts w:eastAsia="Times New Roman"/>
                <w:sz w:val="16"/>
                <w:szCs w:val="16"/>
              </w:rPr>
              <w:br/>
              <w:t>(al 31 de diciembre de,2014)</w:t>
            </w:r>
          </w:p>
        </w:tc>
        <w:tc>
          <w:tcPr>
            <w:tcW w:w="2191" w:type="dxa"/>
            <w:tcBorders>
              <w:top w:val="nil"/>
              <w:left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 xml:space="preserve">Mejoras en todas las transacciones </w:t>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r w:rsidRPr="00755F79">
              <w:rPr>
                <w:rFonts w:eastAsia="Times New Roman"/>
                <w:sz w:val="16"/>
                <w:szCs w:val="16"/>
              </w:rPr>
              <w:br/>
            </w:r>
          </w:p>
        </w:tc>
      </w:tr>
      <w:tr w:rsidR="00C74E58" w:rsidRPr="00755F79" w:rsidTr="00742732">
        <w:trPr>
          <w:trHeight w:val="360"/>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Calidad</w:t>
            </w:r>
          </w:p>
        </w:tc>
        <w:tc>
          <w:tcPr>
            <w:tcW w:w="262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Por determinar.</w:t>
            </w:r>
          </w:p>
        </w:tc>
        <w:tc>
          <w:tcPr>
            <w:tcW w:w="2191" w:type="dxa"/>
            <w:tcBorders>
              <w:top w:val="nil"/>
              <w:left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Por determinar.</w:t>
            </w:r>
          </w:p>
        </w:tc>
      </w:tr>
      <w:tr w:rsidR="00C74E58" w:rsidRPr="00755F79" w:rsidTr="00742732">
        <w:trPr>
          <w:trHeight w:val="3150"/>
        </w:trPr>
        <w:tc>
          <w:tcPr>
            <w:tcW w:w="2060" w:type="dxa"/>
            <w:tcBorders>
              <w:left w:val="single" w:sz="4" w:space="0" w:color="auto"/>
              <w:bottom w:val="nil"/>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Mejor funcionamiento del Registro de Madrid, también de los procesos y procedimientos electrónicos</w:t>
            </w:r>
          </w:p>
        </w:tc>
        <w:tc>
          <w:tcPr>
            <w:tcW w:w="2620" w:type="dxa"/>
            <w:tcBorders>
              <w:left w:val="nil"/>
              <w:bottom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 xml:space="preserve">70% de los documentos se recibe electrónicamente </w:t>
            </w:r>
            <w:r w:rsidRPr="00755F79">
              <w:rPr>
                <w:rFonts w:eastAsia="Times New Roman"/>
                <w:sz w:val="16"/>
                <w:szCs w:val="16"/>
              </w:rPr>
              <w:br/>
            </w:r>
            <w:r w:rsidR="00A47448">
              <w:rPr>
                <w:rFonts w:eastAsia="Times New Roman"/>
                <w:sz w:val="16"/>
                <w:szCs w:val="16"/>
              </w:rPr>
              <w:br/>
            </w:r>
            <w:r w:rsidRPr="00755F79">
              <w:rPr>
                <w:rFonts w:eastAsia="Times New Roman"/>
                <w:sz w:val="16"/>
                <w:szCs w:val="16"/>
              </w:rPr>
              <w:br/>
              <w:t xml:space="preserve">220.000 notificaciones por correo-e </w:t>
            </w:r>
            <w:r w:rsidRPr="00755F79">
              <w:rPr>
                <w:rFonts w:eastAsia="Times New Roman"/>
                <w:sz w:val="16"/>
                <w:szCs w:val="16"/>
              </w:rPr>
              <w:br/>
            </w:r>
            <w:r w:rsidRPr="00755F79">
              <w:rPr>
                <w:rFonts w:eastAsia="Times New Roman"/>
                <w:sz w:val="16"/>
                <w:szCs w:val="16"/>
              </w:rPr>
              <w:br/>
              <w:t xml:space="preserve">1800 clientes del MPM </w:t>
            </w:r>
            <w:r w:rsidRPr="00755F79">
              <w:rPr>
                <w:rFonts w:eastAsia="Times New Roman"/>
                <w:sz w:val="16"/>
                <w:szCs w:val="16"/>
              </w:rPr>
              <w:br/>
            </w:r>
            <w:r w:rsidRPr="00755F79">
              <w:rPr>
                <w:rFonts w:eastAsia="Times New Roman"/>
                <w:sz w:val="16"/>
                <w:szCs w:val="16"/>
              </w:rPr>
              <w:br/>
              <w:t>17 oficinas que envían solicitudes en XML</w:t>
            </w:r>
            <w:r w:rsidRPr="00755F79">
              <w:rPr>
                <w:rFonts w:eastAsia="Times New Roman"/>
                <w:sz w:val="16"/>
                <w:szCs w:val="16"/>
              </w:rPr>
              <w:br/>
            </w:r>
            <w:r w:rsidRPr="00755F79">
              <w:rPr>
                <w:rFonts w:eastAsia="Times New Roman"/>
                <w:sz w:val="16"/>
                <w:szCs w:val="16"/>
              </w:rPr>
              <w:br/>
              <w:t>1 Formulario web inteligente</w:t>
            </w:r>
            <w:r w:rsidR="00A47448">
              <w:rPr>
                <w:rFonts w:eastAsia="Times New Roman"/>
                <w:sz w:val="16"/>
                <w:szCs w:val="16"/>
              </w:rPr>
              <w:br/>
            </w:r>
            <w:r w:rsidRPr="00755F79">
              <w:rPr>
                <w:rFonts w:eastAsia="Times New Roman"/>
                <w:sz w:val="16"/>
                <w:szCs w:val="16"/>
              </w:rPr>
              <w:t xml:space="preserve"> </w:t>
            </w:r>
            <w:r w:rsidRPr="00755F79">
              <w:rPr>
                <w:rFonts w:eastAsia="Times New Roman"/>
                <w:sz w:val="16"/>
                <w:szCs w:val="16"/>
              </w:rPr>
              <w:br/>
            </w:r>
            <w:r w:rsidRPr="00755F79">
              <w:rPr>
                <w:rFonts w:eastAsia="Times New Roman"/>
                <w:sz w:val="16"/>
                <w:szCs w:val="16"/>
              </w:rPr>
              <w:br/>
              <w:t>Se reciben</w:t>
            </w:r>
            <w:r w:rsidR="00A47448">
              <w:rPr>
                <w:rFonts w:eastAsia="Times New Roman"/>
                <w:sz w:val="16"/>
                <w:szCs w:val="16"/>
              </w:rPr>
              <w:t xml:space="preserve"> 690.000 documentos </w:t>
            </w:r>
            <w:r w:rsidR="00A47448">
              <w:rPr>
                <w:rFonts w:eastAsia="Times New Roman"/>
                <w:sz w:val="16"/>
                <w:szCs w:val="16"/>
              </w:rPr>
              <w:br/>
            </w:r>
            <w:r w:rsidRPr="00755F79">
              <w:rPr>
                <w:rFonts w:eastAsia="Times New Roman"/>
                <w:sz w:val="16"/>
                <w:szCs w:val="16"/>
              </w:rPr>
              <w:br/>
              <w:t xml:space="preserve">Se envían 1.750.000 documentos </w:t>
            </w:r>
            <w:r w:rsidRPr="00755F79">
              <w:rPr>
                <w:rFonts w:eastAsia="Times New Roman"/>
                <w:sz w:val="16"/>
                <w:szCs w:val="16"/>
              </w:rPr>
              <w:br/>
            </w:r>
          </w:p>
        </w:tc>
        <w:tc>
          <w:tcPr>
            <w:tcW w:w="2191" w:type="dxa"/>
            <w:tcBorders>
              <w:left w:val="nil"/>
              <w:bottom w:val="nil"/>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75% de los documentos se recibe electrónicamente</w:t>
            </w:r>
            <w:r w:rsidRPr="00755F79">
              <w:rPr>
                <w:rFonts w:eastAsia="Times New Roman"/>
                <w:sz w:val="16"/>
                <w:szCs w:val="16"/>
              </w:rPr>
              <w:br/>
            </w:r>
            <w:r w:rsidRPr="00755F79">
              <w:rPr>
                <w:rFonts w:eastAsia="Times New Roman"/>
                <w:sz w:val="16"/>
                <w:szCs w:val="16"/>
              </w:rPr>
              <w:br/>
              <w:t>250.000 notificaciones por correo-e</w:t>
            </w:r>
            <w:r w:rsidRPr="00755F79">
              <w:rPr>
                <w:rFonts w:eastAsia="Times New Roman"/>
                <w:sz w:val="16"/>
                <w:szCs w:val="16"/>
              </w:rPr>
              <w:br/>
            </w:r>
            <w:r w:rsidRPr="00755F79">
              <w:rPr>
                <w:rFonts w:eastAsia="Times New Roman"/>
                <w:sz w:val="16"/>
                <w:szCs w:val="16"/>
              </w:rPr>
              <w:br/>
              <w:t xml:space="preserve">2000 clientes del MPM </w:t>
            </w:r>
            <w:r w:rsidRPr="00755F79">
              <w:rPr>
                <w:rFonts w:eastAsia="Times New Roman"/>
                <w:sz w:val="16"/>
                <w:szCs w:val="16"/>
              </w:rPr>
              <w:br/>
            </w:r>
            <w:r w:rsidRPr="00755F79">
              <w:rPr>
                <w:rFonts w:eastAsia="Times New Roman"/>
                <w:sz w:val="16"/>
                <w:szCs w:val="16"/>
              </w:rPr>
              <w:br/>
              <w:t>20 oficinas que envían solicitudes en XML</w:t>
            </w:r>
            <w:r w:rsidRPr="00755F79">
              <w:rPr>
                <w:rFonts w:eastAsia="Times New Roman"/>
                <w:sz w:val="16"/>
                <w:szCs w:val="16"/>
              </w:rPr>
              <w:br/>
            </w:r>
            <w:r w:rsidRPr="00755F79">
              <w:rPr>
                <w:rFonts w:eastAsia="Times New Roman"/>
                <w:sz w:val="16"/>
                <w:szCs w:val="16"/>
              </w:rPr>
              <w:br/>
              <w:t>6 Formularios web  inteligentes</w:t>
            </w:r>
            <w:r w:rsidRPr="00755F79">
              <w:rPr>
                <w:rFonts w:eastAsia="Times New Roman"/>
                <w:sz w:val="16"/>
                <w:szCs w:val="16"/>
              </w:rPr>
              <w:br/>
            </w:r>
            <w:r w:rsidRPr="00755F79">
              <w:rPr>
                <w:rFonts w:eastAsia="Times New Roman"/>
                <w:sz w:val="16"/>
                <w:szCs w:val="16"/>
              </w:rPr>
              <w:br/>
              <w:t xml:space="preserve">Se reciben 750.000 documentos </w:t>
            </w:r>
            <w:r w:rsidRPr="00755F79">
              <w:rPr>
                <w:rFonts w:eastAsia="Times New Roman"/>
                <w:sz w:val="16"/>
                <w:szCs w:val="16"/>
              </w:rPr>
              <w:br/>
            </w:r>
            <w:r w:rsidRPr="00755F79">
              <w:rPr>
                <w:rFonts w:eastAsia="Times New Roman"/>
                <w:sz w:val="16"/>
                <w:szCs w:val="16"/>
              </w:rPr>
              <w:br/>
              <w:t>Se envían 2.000.000 documentos</w:t>
            </w:r>
          </w:p>
        </w:tc>
      </w:tr>
      <w:tr w:rsidR="00C74E58" w:rsidRPr="00755F79" w:rsidTr="006C2BFB">
        <w:trPr>
          <w:trHeight w:val="1224"/>
        </w:trPr>
        <w:tc>
          <w:tcPr>
            <w:tcW w:w="2060" w:type="dxa"/>
            <w:tcBorders>
              <w:top w:val="nil"/>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Prestación estable de servicios auxiliares de TT.II. del Sistema de Madrid,, que van perfeccionándose</w:t>
            </w:r>
          </w:p>
        </w:tc>
        <w:tc>
          <w:tcPr>
            <w:tcW w:w="2620" w:type="dxa"/>
            <w:tcBorders>
              <w:top w:val="nil"/>
              <w:left w:val="nil"/>
              <w:right w:val="nil"/>
            </w:tcBorders>
            <w:shd w:val="clear" w:color="000000" w:fill="FFFFFF"/>
            <w:hideMark/>
          </w:tcPr>
          <w:p w:rsidR="00C74E58" w:rsidRPr="00755F79" w:rsidRDefault="0042698A" w:rsidP="0042698A">
            <w:pPr>
              <w:rPr>
                <w:rFonts w:eastAsia="Times New Roman"/>
                <w:sz w:val="16"/>
                <w:szCs w:val="16"/>
              </w:rPr>
            </w:pPr>
            <w:r>
              <w:rPr>
                <w:rFonts w:eastAsia="Times New Roman"/>
                <w:sz w:val="16"/>
                <w:szCs w:val="16"/>
              </w:rPr>
              <w:t>Sin</w:t>
            </w:r>
            <w:r w:rsidR="00C74E58" w:rsidRPr="00755F79">
              <w:rPr>
                <w:rFonts w:eastAsia="Times New Roman"/>
                <w:sz w:val="16"/>
                <w:szCs w:val="16"/>
              </w:rPr>
              <w:t xml:space="preserve"> incidentes de interrupción de servicios </w:t>
            </w:r>
            <w:r w:rsidR="00C74E58" w:rsidRPr="00755F79">
              <w:rPr>
                <w:rFonts w:eastAsia="Times New Roman"/>
                <w:sz w:val="16"/>
                <w:szCs w:val="16"/>
              </w:rPr>
              <w:br/>
              <w:t>(n</w:t>
            </w:r>
            <w:r>
              <w:rPr>
                <w:rFonts w:eastAsia="Times New Roman"/>
                <w:sz w:val="16"/>
                <w:szCs w:val="16"/>
              </w:rPr>
              <w:t>º</w:t>
            </w:r>
            <w:r w:rsidR="00C74E58" w:rsidRPr="00755F79">
              <w:rPr>
                <w:rFonts w:eastAsia="Times New Roman"/>
                <w:sz w:val="16"/>
                <w:szCs w:val="16"/>
              </w:rPr>
              <w:t xml:space="preserve"> de incidentes de TIC)</w:t>
            </w:r>
            <w:r w:rsidR="00C74E58" w:rsidRPr="00755F79">
              <w:rPr>
                <w:rFonts w:eastAsia="Times New Roman"/>
                <w:sz w:val="16"/>
                <w:szCs w:val="16"/>
              </w:rPr>
              <w:br/>
            </w:r>
            <w:r w:rsidR="00A47448">
              <w:rPr>
                <w:rFonts w:eastAsia="Times New Roman"/>
                <w:sz w:val="16"/>
                <w:szCs w:val="16"/>
              </w:rPr>
              <w:br/>
            </w:r>
            <w:r w:rsidR="00C74E58" w:rsidRPr="00755F79">
              <w:rPr>
                <w:rFonts w:eastAsia="Times New Roman"/>
                <w:sz w:val="16"/>
                <w:szCs w:val="16"/>
              </w:rPr>
              <w:br/>
              <w:t>Mejoras introducidas y aplicadas a tiempo</w:t>
            </w:r>
            <w:r w:rsidR="00A47448">
              <w:rPr>
                <w:rFonts w:eastAsia="Times New Roman"/>
                <w:sz w:val="16"/>
                <w:szCs w:val="16"/>
              </w:rPr>
              <w:br/>
            </w:r>
          </w:p>
        </w:tc>
        <w:tc>
          <w:tcPr>
            <w:tcW w:w="2191" w:type="dxa"/>
            <w:tcBorders>
              <w:top w:val="nil"/>
              <w:left w:val="nil"/>
              <w:right w:val="single" w:sz="4" w:space="0" w:color="auto"/>
            </w:tcBorders>
            <w:shd w:val="clear" w:color="000000" w:fill="FFFFFF"/>
            <w:hideMark/>
          </w:tcPr>
          <w:p w:rsidR="00C74E58" w:rsidRPr="00755F79" w:rsidRDefault="00C74E58" w:rsidP="00473C96">
            <w:pPr>
              <w:ind w:left="107"/>
              <w:rPr>
                <w:rFonts w:eastAsia="Times New Roman"/>
                <w:sz w:val="16"/>
                <w:szCs w:val="16"/>
              </w:rPr>
            </w:pPr>
            <w:r w:rsidRPr="00755F79">
              <w:rPr>
                <w:rFonts w:eastAsia="Times New Roman"/>
                <w:sz w:val="16"/>
                <w:szCs w:val="16"/>
              </w:rPr>
              <w:t xml:space="preserve">No de incidentes de interrupción de servicios </w:t>
            </w:r>
            <w:r w:rsidRPr="00755F79">
              <w:rPr>
                <w:rFonts w:eastAsia="Times New Roman"/>
                <w:sz w:val="16"/>
                <w:szCs w:val="16"/>
              </w:rPr>
              <w:br/>
              <w:t>(n</w:t>
            </w:r>
            <w:r w:rsidR="00473C96">
              <w:rPr>
                <w:rFonts w:eastAsia="Times New Roman"/>
                <w:sz w:val="16"/>
                <w:szCs w:val="16"/>
              </w:rPr>
              <w:t>º</w:t>
            </w:r>
            <w:r w:rsidRPr="00755F79">
              <w:rPr>
                <w:rFonts w:eastAsia="Times New Roman"/>
                <w:sz w:val="16"/>
                <w:szCs w:val="16"/>
              </w:rPr>
              <w:t xml:space="preserve"> de incidentes de TIC))</w:t>
            </w:r>
            <w:r w:rsidRPr="00755F79">
              <w:rPr>
                <w:rFonts w:eastAsia="Times New Roman"/>
                <w:sz w:val="16"/>
                <w:szCs w:val="16"/>
              </w:rPr>
              <w:br/>
            </w:r>
            <w:r w:rsidRPr="00755F79">
              <w:rPr>
                <w:rFonts w:eastAsia="Times New Roman"/>
                <w:sz w:val="16"/>
                <w:szCs w:val="16"/>
              </w:rPr>
              <w:br/>
              <w:t>Mejoras introducidas y aplicadas a tiempo</w:t>
            </w:r>
          </w:p>
        </w:tc>
      </w:tr>
      <w:tr w:rsidR="00C74E58" w:rsidRPr="00755F79" w:rsidTr="006C2BFB">
        <w:trPr>
          <w:trHeight w:val="461"/>
        </w:trPr>
        <w:tc>
          <w:tcPr>
            <w:tcW w:w="2060" w:type="dxa"/>
            <w:tcBorders>
              <w:top w:val="nil"/>
              <w:left w:val="single" w:sz="4" w:space="0" w:color="auto"/>
              <w:bottom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bottom w:val="single" w:sz="4" w:space="0" w:color="auto"/>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3 versiones de M-IRIS  y 3 versiones de presentación-e de Madrid (IRPI) en funcionamiento</w:t>
            </w:r>
          </w:p>
        </w:tc>
        <w:tc>
          <w:tcPr>
            <w:tcW w:w="2620" w:type="dxa"/>
            <w:tcBorders>
              <w:top w:val="nil"/>
              <w:left w:val="nil"/>
              <w:bottom w:val="single" w:sz="4" w:space="0" w:color="auto"/>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M-IRIS en funcionamiento</w:t>
            </w:r>
            <w:r w:rsidRPr="00755F79">
              <w:rPr>
                <w:rFonts w:eastAsia="Times New Roman"/>
                <w:sz w:val="16"/>
                <w:szCs w:val="16"/>
              </w:rPr>
              <w:br/>
            </w:r>
            <w:r w:rsidR="00A47448">
              <w:rPr>
                <w:rFonts w:eastAsia="Times New Roman"/>
                <w:sz w:val="16"/>
                <w:szCs w:val="16"/>
              </w:rPr>
              <w:br/>
            </w:r>
            <w:r w:rsidRPr="00755F79">
              <w:rPr>
                <w:rFonts w:eastAsia="Times New Roman"/>
                <w:sz w:val="16"/>
                <w:szCs w:val="16"/>
              </w:rPr>
              <w:br/>
              <w:t>Presentación-e del Sistema de Madrid  en funcionamiento</w:t>
            </w:r>
            <w:r w:rsidRPr="00755F79">
              <w:rPr>
                <w:rFonts w:eastAsia="Times New Roman"/>
                <w:sz w:val="16"/>
                <w:szCs w:val="16"/>
              </w:rPr>
              <w:br/>
            </w:r>
            <w:r w:rsidRPr="00755F79">
              <w:rPr>
                <w:rFonts w:eastAsia="Times New Roman"/>
                <w:sz w:val="16"/>
                <w:szCs w:val="16"/>
              </w:rPr>
              <w:br/>
              <w:t xml:space="preserve">Funcionamiento de la presentación-e del Sistema de </w:t>
            </w:r>
            <w:r w:rsidR="003B0DF0">
              <w:rPr>
                <w:rFonts w:eastAsia="Times New Roman"/>
                <w:sz w:val="16"/>
                <w:szCs w:val="16"/>
              </w:rPr>
              <w:t>La Haya</w:t>
            </w:r>
            <w:r w:rsidR="00473C96">
              <w:rPr>
                <w:rFonts w:eastAsia="Times New Roman"/>
                <w:sz w:val="16"/>
                <w:szCs w:val="16"/>
              </w:rPr>
              <w:br/>
            </w:r>
          </w:p>
        </w:tc>
        <w:tc>
          <w:tcPr>
            <w:tcW w:w="2191" w:type="dxa"/>
            <w:tcBorders>
              <w:top w:val="nil"/>
              <w:left w:val="nil"/>
              <w:bottom w:val="single" w:sz="4" w:space="0" w:color="auto"/>
              <w:right w:val="single" w:sz="4" w:space="0" w:color="auto"/>
            </w:tcBorders>
            <w:shd w:val="clear" w:color="000000" w:fill="FFFFFF"/>
            <w:hideMark/>
          </w:tcPr>
          <w:p w:rsidR="00C74E58" w:rsidRPr="00755F79" w:rsidRDefault="0042698A" w:rsidP="000A0481">
            <w:pPr>
              <w:ind w:left="107"/>
              <w:rPr>
                <w:rFonts w:eastAsia="Times New Roman"/>
                <w:sz w:val="16"/>
                <w:szCs w:val="16"/>
              </w:rPr>
            </w:pPr>
            <w:r>
              <w:rPr>
                <w:rFonts w:eastAsia="Times New Roman"/>
                <w:sz w:val="16"/>
                <w:szCs w:val="16"/>
              </w:rPr>
              <w:t>3 nuevas versiones de M</w:t>
            </w:r>
            <w:r>
              <w:rPr>
                <w:rFonts w:eastAsia="Times New Roman"/>
                <w:sz w:val="16"/>
                <w:szCs w:val="16"/>
              </w:rPr>
              <w:noBreakHyphen/>
            </w:r>
            <w:r w:rsidR="00C74E58" w:rsidRPr="00755F79">
              <w:rPr>
                <w:rFonts w:eastAsia="Times New Roman"/>
                <w:sz w:val="16"/>
                <w:szCs w:val="16"/>
              </w:rPr>
              <w:t>IRIS/D-IRIS</w:t>
            </w:r>
            <w:r w:rsidR="00C74E58" w:rsidRPr="00755F79">
              <w:rPr>
                <w:rFonts w:eastAsia="Times New Roman"/>
                <w:sz w:val="16"/>
                <w:szCs w:val="16"/>
              </w:rPr>
              <w:br/>
            </w:r>
            <w:r w:rsidR="00C74E58" w:rsidRPr="00755F79">
              <w:rPr>
                <w:rFonts w:eastAsia="Times New Roman"/>
                <w:sz w:val="16"/>
                <w:szCs w:val="16"/>
              </w:rPr>
              <w:br/>
              <w:t xml:space="preserve">3 nuevas versiones de presentación-e de los Sistemas de Madrid y </w:t>
            </w:r>
            <w:r w:rsidR="003B0DF0">
              <w:rPr>
                <w:rFonts w:eastAsia="Times New Roman"/>
                <w:sz w:val="16"/>
                <w:szCs w:val="16"/>
              </w:rPr>
              <w:t>La Haya</w:t>
            </w:r>
            <w:r w:rsidR="00C74E58" w:rsidRPr="00755F79">
              <w:rPr>
                <w:rFonts w:eastAsia="Times New Roman"/>
                <w:sz w:val="16"/>
                <w:szCs w:val="16"/>
              </w:rPr>
              <w:t xml:space="preserve"> </w:t>
            </w:r>
          </w:p>
        </w:tc>
      </w:tr>
      <w:tr w:rsidR="00C74E58" w:rsidRPr="00755F79" w:rsidTr="006C2BFB">
        <w:trPr>
          <w:trHeight w:val="729"/>
        </w:trPr>
        <w:tc>
          <w:tcPr>
            <w:tcW w:w="2060" w:type="dxa"/>
            <w:tcBorders>
              <w:top w:val="single" w:sz="4" w:space="0" w:color="auto"/>
              <w:left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lastRenderedPageBreak/>
              <w:t> </w:t>
            </w:r>
          </w:p>
        </w:tc>
        <w:tc>
          <w:tcPr>
            <w:tcW w:w="2500" w:type="dxa"/>
            <w:tcBorders>
              <w:top w:val="single" w:sz="4" w:space="0" w:color="auto"/>
              <w:left w:val="nil"/>
              <w:right w:val="nil"/>
            </w:tcBorders>
            <w:shd w:val="clear" w:color="000000" w:fill="FFFFFF"/>
            <w:hideMark/>
          </w:tcPr>
          <w:p w:rsidR="00C74E58" w:rsidRPr="00755F79" w:rsidRDefault="00A47448" w:rsidP="0042698A">
            <w:pPr>
              <w:rPr>
                <w:rFonts w:eastAsia="Times New Roman"/>
                <w:sz w:val="16"/>
                <w:szCs w:val="16"/>
              </w:rPr>
            </w:pPr>
            <w:r>
              <w:rPr>
                <w:rFonts w:eastAsia="Times New Roman"/>
                <w:sz w:val="16"/>
                <w:szCs w:val="16"/>
              </w:rPr>
              <w:br/>
            </w:r>
            <w:r w:rsidR="00C74E58" w:rsidRPr="00755F79">
              <w:rPr>
                <w:rFonts w:eastAsia="Times New Roman"/>
                <w:sz w:val="16"/>
                <w:szCs w:val="16"/>
              </w:rPr>
              <w:t xml:space="preserve">Adopción de disposiciones para simplificar el marco jurídico del Sistema de  Lisboa </w:t>
            </w:r>
          </w:p>
        </w:tc>
        <w:tc>
          <w:tcPr>
            <w:tcW w:w="2620" w:type="dxa"/>
            <w:tcBorders>
              <w:top w:val="single" w:sz="4" w:space="0" w:color="auto"/>
              <w:left w:val="nil"/>
              <w:right w:val="nil"/>
            </w:tcBorders>
            <w:shd w:val="clear" w:color="000000" w:fill="FFFFFF"/>
            <w:hideMark/>
          </w:tcPr>
          <w:p w:rsidR="00C74E58" w:rsidRPr="00755F79" w:rsidRDefault="00A47448" w:rsidP="000A0481">
            <w:pPr>
              <w:ind w:left="117"/>
              <w:rPr>
                <w:rFonts w:eastAsia="Times New Roman"/>
                <w:sz w:val="16"/>
                <w:szCs w:val="16"/>
              </w:rPr>
            </w:pPr>
            <w:r>
              <w:rPr>
                <w:rFonts w:eastAsia="Times New Roman"/>
                <w:sz w:val="16"/>
                <w:szCs w:val="16"/>
              </w:rPr>
              <w:br/>
            </w:r>
            <w:r w:rsidR="00C74E58" w:rsidRPr="00755F79">
              <w:rPr>
                <w:rFonts w:eastAsia="Times New Roman"/>
                <w:sz w:val="16"/>
                <w:szCs w:val="16"/>
              </w:rPr>
              <w:t>Marco jurídico vigente y marco jurídico de la nueva Acta de mayo de 2015</w:t>
            </w:r>
          </w:p>
        </w:tc>
        <w:tc>
          <w:tcPr>
            <w:tcW w:w="2191" w:type="dxa"/>
            <w:tcBorders>
              <w:top w:val="single" w:sz="4" w:space="0" w:color="auto"/>
              <w:left w:val="nil"/>
              <w:right w:val="single" w:sz="4" w:space="0" w:color="auto"/>
            </w:tcBorders>
            <w:shd w:val="clear" w:color="000000" w:fill="FFFFFF"/>
            <w:hideMark/>
          </w:tcPr>
          <w:p w:rsidR="00C74E58" w:rsidRPr="00755F79" w:rsidRDefault="00A47448" w:rsidP="00473C96">
            <w:pPr>
              <w:ind w:left="107"/>
              <w:rPr>
                <w:rFonts w:eastAsia="Times New Roman"/>
                <w:sz w:val="16"/>
                <w:szCs w:val="16"/>
              </w:rPr>
            </w:pPr>
            <w:r>
              <w:rPr>
                <w:rFonts w:eastAsia="Times New Roman"/>
                <w:sz w:val="16"/>
                <w:szCs w:val="16"/>
              </w:rPr>
              <w:br/>
            </w:r>
            <w:r w:rsidR="00C74E58" w:rsidRPr="00755F79">
              <w:rPr>
                <w:rFonts w:eastAsia="Times New Roman"/>
                <w:sz w:val="16"/>
                <w:szCs w:val="16"/>
              </w:rPr>
              <w:t>Adopción de un reglamento común del Arreglo de Lisboa y la nueva Acta</w:t>
            </w:r>
          </w:p>
        </w:tc>
      </w:tr>
      <w:tr w:rsidR="00C74E58" w:rsidRPr="00755F79" w:rsidTr="006C2BFB">
        <w:trPr>
          <w:trHeight w:val="1017"/>
        </w:trPr>
        <w:tc>
          <w:tcPr>
            <w:tcW w:w="2060" w:type="dxa"/>
            <w:tcBorders>
              <w:left w:val="single" w:sz="4" w:space="0" w:color="auto"/>
              <w:bottom w:val="nil"/>
              <w:right w:val="nil"/>
            </w:tcBorders>
            <w:shd w:val="clear" w:color="000000" w:fill="FFFFFF"/>
            <w:tcMar>
              <w:top w:w="85" w:type="dxa"/>
            </w:tcMar>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left w:val="nil"/>
              <w:bottom w:val="nil"/>
              <w:right w:val="nil"/>
            </w:tcBorders>
            <w:shd w:val="clear" w:color="000000" w:fill="FFFFFF"/>
            <w:tcMar>
              <w:top w:w="85" w:type="dxa"/>
            </w:tcMar>
            <w:hideMark/>
          </w:tcPr>
          <w:p w:rsidR="00C74E58" w:rsidRPr="00755F79" w:rsidRDefault="00C74E58" w:rsidP="0042698A">
            <w:pPr>
              <w:rPr>
                <w:rFonts w:eastAsia="Times New Roman"/>
                <w:sz w:val="16"/>
                <w:szCs w:val="16"/>
              </w:rPr>
            </w:pPr>
            <w:r w:rsidRPr="00755F79">
              <w:rPr>
                <w:rFonts w:eastAsia="Times New Roman"/>
                <w:sz w:val="16"/>
                <w:szCs w:val="16"/>
              </w:rPr>
              <w:t>Mayor uso de los medios electrónicos para la presentación y tramitación de solicitudes internacionales y otras transacciones</w:t>
            </w:r>
          </w:p>
        </w:tc>
        <w:tc>
          <w:tcPr>
            <w:tcW w:w="2620" w:type="dxa"/>
            <w:tcBorders>
              <w:left w:val="nil"/>
              <w:bottom w:val="nil"/>
              <w:right w:val="nil"/>
            </w:tcBorders>
            <w:shd w:val="clear" w:color="000000" w:fill="FFFFFF"/>
            <w:tcMar>
              <w:top w:w="85" w:type="dxa"/>
            </w:tcMar>
            <w:hideMark/>
          </w:tcPr>
          <w:p w:rsidR="00C74E58" w:rsidRPr="00755F79" w:rsidRDefault="00C74E58" w:rsidP="000A0481">
            <w:pPr>
              <w:ind w:left="117"/>
              <w:rPr>
                <w:rFonts w:eastAsia="Times New Roman"/>
                <w:sz w:val="16"/>
                <w:szCs w:val="16"/>
              </w:rPr>
            </w:pPr>
            <w:r w:rsidRPr="00755F79">
              <w:rPr>
                <w:rFonts w:eastAsia="Times New Roman"/>
                <w:sz w:val="16"/>
                <w:szCs w:val="16"/>
              </w:rPr>
              <w:t xml:space="preserve">Herramienta actual de introducción de datos </w:t>
            </w:r>
            <w:r w:rsidRPr="00755F79">
              <w:rPr>
                <w:rFonts w:eastAsia="Times New Roman"/>
                <w:sz w:val="16"/>
                <w:szCs w:val="16"/>
              </w:rPr>
              <w:br/>
            </w:r>
            <w:r w:rsidRPr="00755F79">
              <w:rPr>
                <w:rFonts w:eastAsia="Times New Roman"/>
                <w:sz w:val="16"/>
                <w:szCs w:val="16"/>
              </w:rPr>
              <w:br/>
              <w:t>Boletín y base de datos actuales</w:t>
            </w:r>
          </w:p>
        </w:tc>
        <w:tc>
          <w:tcPr>
            <w:tcW w:w="2191" w:type="dxa"/>
            <w:tcBorders>
              <w:left w:val="nil"/>
              <w:bottom w:val="nil"/>
              <w:right w:val="single" w:sz="4" w:space="0" w:color="auto"/>
            </w:tcBorders>
            <w:shd w:val="clear" w:color="000000" w:fill="FFFFFF"/>
            <w:tcMar>
              <w:top w:w="85" w:type="dxa"/>
            </w:tcMar>
            <w:hideMark/>
          </w:tcPr>
          <w:p w:rsidR="00C74E58" w:rsidRPr="00755F79" w:rsidRDefault="00C74E58" w:rsidP="000A0481">
            <w:pPr>
              <w:ind w:left="107"/>
              <w:rPr>
                <w:rFonts w:eastAsia="Times New Roman"/>
                <w:sz w:val="16"/>
                <w:szCs w:val="16"/>
              </w:rPr>
            </w:pPr>
            <w:r w:rsidRPr="00755F79">
              <w:rPr>
                <w:rFonts w:eastAsia="Times New Roman"/>
                <w:sz w:val="16"/>
                <w:szCs w:val="16"/>
              </w:rPr>
              <w:t xml:space="preserve">Herramienta mejorada de introducción de datos </w:t>
            </w:r>
            <w:r w:rsidRPr="00755F79">
              <w:rPr>
                <w:rFonts w:eastAsia="Times New Roman"/>
                <w:sz w:val="16"/>
                <w:szCs w:val="16"/>
              </w:rPr>
              <w:br/>
            </w:r>
          </w:p>
          <w:p w:rsidR="00C74E58" w:rsidRPr="00755F79" w:rsidRDefault="00C74E58" w:rsidP="000A0481">
            <w:pPr>
              <w:ind w:left="107"/>
              <w:rPr>
                <w:rFonts w:eastAsia="Times New Roman"/>
                <w:sz w:val="16"/>
                <w:szCs w:val="16"/>
              </w:rPr>
            </w:pPr>
            <w:r w:rsidRPr="00755F79">
              <w:rPr>
                <w:rFonts w:eastAsia="Times New Roman"/>
                <w:sz w:val="16"/>
                <w:szCs w:val="16"/>
              </w:rPr>
              <w:t>Integración del boletín en la base de datos Lisboa  Express</w:t>
            </w:r>
            <w:r w:rsidR="00A47448">
              <w:rPr>
                <w:rFonts w:eastAsia="Times New Roman"/>
                <w:sz w:val="16"/>
                <w:szCs w:val="16"/>
              </w:rPr>
              <w:br/>
            </w:r>
          </w:p>
        </w:tc>
      </w:tr>
      <w:tr w:rsidR="00C74E58" w:rsidRPr="00755F79" w:rsidTr="000A0481">
        <w:trPr>
          <w:trHeight w:val="693"/>
        </w:trPr>
        <w:tc>
          <w:tcPr>
            <w:tcW w:w="2060" w:type="dxa"/>
            <w:tcBorders>
              <w:top w:val="nil"/>
              <w:left w:val="single" w:sz="4" w:space="0" w:color="auto"/>
              <w:bottom w:val="single" w:sz="4" w:space="0" w:color="auto"/>
              <w:right w:val="nil"/>
            </w:tcBorders>
            <w:shd w:val="clear" w:color="000000" w:fill="FFFFFF"/>
            <w:hideMark/>
          </w:tcPr>
          <w:p w:rsidR="00C74E58" w:rsidRPr="00755F79" w:rsidRDefault="00C74E58" w:rsidP="000A0481">
            <w:pPr>
              <w:rPr>
                <w:rFonts w:eastAsia="Times New Roman"/>
                <w:sz w:val="16"/>
                <w:szCs w:val="16"/>
              </w:rPr>
            </w:pPr>
            <w:r w:rsidRPr="00755F79">
              <w:rPr>
                <w:rFonts w:eastAsia="Times New Roman"/>
                <w:sz w:val="16"/>
                <w:szCs w:val="16"/>
              </w:rPr>
              <w:t> </w:t>
            </w:r>
          </w:p>
        </w:tc>
        <w:tc>
          <w:tcPr>
            <w:tcW w:w="2500" w:type="dxa"/>
            <w:tcBorders>
              <w:top w:val="nil"/>
              <w:left w:val="nil"/>
              <w:bottom w:val="single" w:sz="4" w:space="0" w:color="auto"/>
              <w:right w:val="nil"/>
            </w:tcBorders>
            <w:shd w:val="clear" w:color="000000" w:fill="FFFFFF"/>
            <w:hideMark/>
          </w:tcPr>
          <w:p w:rsidR="00C74E58" w:rsidRPr="00755F79" w:rsidRDefault="00C74E58" w:rsidP="0042698A">
            <w:pPr>
              <w:rPr>
                <w:rFonts w:eastAsia="Times New Roman"/>
                <w:sz w:val="16"/>
                <w:szCs w:val="16"/>
              </w:rPr>
            </w:pPr>
            <w:r w:rsidRPr="00755F79">
              <w:rPr>
                <w:rFonts w:eastAsia="Times New Roman"/>
                <w:sz w:val="16"/>
                <w:szCs w:val="16"/>
              </w:rPr>
              <w:t>Mejores servicios electrónicos respecto del Registro de Lisboa y el Artículo 6</w:t>
            </w:r>
            <w:r w:rsidRPr="00755F79">
              <w:rPr>
                <w:rFonts w:eastAsia="Times New Roman"/>
                <w:i/>
                <w:sz w:val="16"/>
                <w:szCs w:val="16"/>
              </w:rPr>
              <w:t>ter</w:t>
            </w:r>
          </w:p>
        </w:tc>
        <w:tc>
          <w:tcPr>
            <w:tcW w:w="2620" w:type="dxa"/>
            <w:tcBorders>
              <w:top w:val="nil"/>
              <w:left w:val="nil"/>
              <w:bottom w:val="single" w:sz="4" w:space="0" w:color="auto"/>
              <w:right w:val="nil"/>
            </w:tcBorders>
            <w:shd w:val="clear" w:color="000000" w:fill="FFFFFF"/>
            <w:hideMark/>
          </w:tcPr>
          <w:p w:rsidR="00C74E58" w:rsidRPr="00755F79" w:rsidRDefault="00C74E58" w:rsidP="000A0481">
            <w:pPr>
              <w:ind w:left="117"/>
              <w:rPr>
                <w:rFonts w:eastAsia="Times New Roman"/>
                <w:sz w:val="16"/>
                <w:szCs w:val="16"/>
              </w:rPr>
            </w:pPr>
            <w:r w:rsidRPr="00755F79">
              <w:rPr>
                <w:rFonts w:eastAsia="Times New Roman"/>
                <w:sz w:val="16"/>
                <w:szCs w:val="16"/>
              </w:rPr>
              <w:t>Simple  adopción de un registro electrónico</w:t>
            </w:r>
          </w:p>
        </w:tc>
        <w:tc>
          <w:tcPr>
            <w:tcW w:w="2191" w:type="dxa"/>
            <w:tcBorders>
              <w:top w:val="nil"/>
              <w:left w:val="nil"/>
              <w:bottom w:val="single" w:sz="4" w:space="0" w:color="auto"/>
              <w:right w:val="single" w:sz="4" w:space="0" w:color="auto"/>
            </w:tcBorders>
            <w:shd w:val="clear" w:color="000000" w:fill="FFFFFF"/>
            <w:hideMark/>
          </w:tcPr>
          <w:p w:rsidR="00C74E58" w:rsidRPr="00755F79" w:rsidRDefault="00C74E58" w:rsidP="000A0481">
            <w:pPr>
              <w:ind w:left="107"/>
              <w:rPr>
                <w:rFonts w:eastAsia="Times New Roman"/>
                <w:sz w:val="16"/>
                <w:szCs w:val="16"/>
              </w:rPr>
            </w:pPr>
            <w:r w:rsidRPr="00755F79">
              <w:rPr>
                <w:rFonts w:eastAsia="Times New Roman"/>
                <w:sz w:val="16"/>
                <w:szCs w:val="16"/>
              </w:rPr>
              <w:t xml:space="preserve">Formularios electrónicos de presentación de solicitudes por Internet </w:t>
            </w:r>
          </w:p>
        </w:tc>
      </w:tr>
    </w:tbl>
    <w:p w:rsidR="00C74E58" w:rsidRPr="00755F79" w:rsidRDefault="00C74E58" w:rsidP="00C74E58">
      <w:pPr>
        <w:rPr>
          <w:rFonts w:eastAsia="Times New Roman"/>
          <w:sz w:val="20"/>
        </w:rPr>
      </w:pPr>
    </w:p>
    <w:p w:rsidR="00C74E58" w:rsidRPr="00755F79" w:rsidRDefault="00C74E58" w:rsidP="00C74E58">
      <w:pPr>
        <w:rPr>
          <w:rFonts w:eastAsia="Times New Roman"/>
          <w:sz w:val="20"/>
        </w:rPr>
      </w:pPr>
    </w:p>
    <w:p w:rsidR="00C74E58" w:rsidRPr="00755F79" w:rsidRDefault="005D524D" w:rsidP="00C74E58">
      <w:pPr>
        <w:keepNext/>
        <w:jc w:val="both"/>
        <w:rPr>
          <w:bCs/>
          <w:iCs/>
          <w:caps/>
          <w:szCs w:val="28"/>
        </w:rPr>
      </w:pPr>
      <w:r>
        <w:rPr>
          <w:bCs/>
          <w:iCs/>
          <w:caps/>
          <w:szCs w:val="28"/>
        </w:rPr>
        <w:t>RECURSOS PARA EL PROGRAMA 6</w:t>
      </w:r>
    </w:p>
    <w:p w:rsidR="00742732" w:rsidRPr="00DB4F15" w:rsidRDefault="00742732" w:rsidP="00742732">
      <w:pPr>
        <w:keepNext/>
        <w:jc w:val="both"/>
        <w:rPr>
          <w:bCs/>
          <w:iCs/>
          <w:caps/>
          <w:sz w:val="20"/>
          <w:szCs w:val="28"/>
        </w:rPr>
      </w:pPr>
    </w:p>
    <w:p w:rsidR="00742732" w:rsidRPr="005D524D" w:rsidRDefault="005D524D" w:rsidP="00742732">
      <w:pPr>
        <w:pStyle w:val="ListParagraph"/>
        <w:numPr>
          <w:ilvl w:val="0"/>
          <w:numId w:val="20"/>
        </w:numPr>
        <w:tabs>
          <w:tab w:val="left" w:pos="567"/>
        </w:tabs>
        <w:ind w:left="0" w:firstLine="0"/>
        <w:contextualSpacing w:val="0"/>
        <w:jc w:val="both"/>
        <w:rPr>
          <w:rFonts w:ascii="Arial" w:eastAsia="SimSun" w:hAnsi="Arial" w:cs="Arial"/>
          <w:bCs/>
          <w:iCs/>
          <w:sz w:val="20"/>
          <w:szCs w:val="28"/>
        </w:rPr>
      </w:pPr>
      <w:r w:rsidRPr="00EB43D0">
        <w:rPr>
          <w:rFonts w:ascii="Arial" w:hAnsi="Arial" w:cs="Arial"/>
          <w:caps/>
          <w:sz w:val="20"/>
          <w:szCs w:val="20"/>
          <w:lang w:val="es-ES_tradnl"/>
        </w:rPr>
        <w:t>e</w:t>
      </w:r>
      <w:r w:rsidR="0042698A">
        <w:rPr>
          <w:rFonts w:ascii="Arial" w:hAnsi="Arial" w:cs="Arial"/>
          <w:sz w:val="20"/>
          <w:szCs w:val="20"/>
          <w:lang w:val="es-ES_tradnl"/>
        </w:rPr>
        <w:t>l aumento en la dotación de</w:t>
      </w:r>
      <w:r w:rsidRPr="00EB43D0">
        <w:rPr>
          <w:rFonts w:ascii="Arial" w:hAnsi="Arial" w:cs="Arial"/>
          <w:sz w:val="20"/>
          <w:szCs w:val="20"/>
          <w:lang w:val="es-ES_tradnl"/>
        </w:rPr>
        <w:t xml:space="preserve"> recursos de este programa se debe al número creciente de miembros del  Sistema de Madrid y al </w:t>
      </w:r>
      <w:r w:rsidRPr="005D524D">
        <w:rPr>
          <w:rFonts w:ascii="Arial" w:hAnsi="Arial" w:cs="Arial"/>
          <w:sz w:val="20"/>
          <w:szCs w:val="20"/>
          <w:lang w:val="es-ES_tradnl"/>
        </w:rPr>
        <w:t>consecuente aumento previsto de la demanda de servicios y de asignaciones para potenciar la eficacia operativa del Sistema.  El aumento queda reflejado en el resultado previsto II.7.</w:t>
      </w:r>
    </w:p>
    <w:p w:rsidR="00C74E58" w:rsidRPr="005D524D" w:rsidRDefault="00C74E58" w:rsidP="00C74E58">
      <w:pPr>
        <w:keepNext/>
        <w:jc w:val="both"/>
        <w:rPr>
          <w:bCs/>
          <w:iCs/>
          <w:caps/>
          <w:szCs w:val="28"/>
          <w:lang w:val="en-US"/>
        </w:rPr>
      </w:pPr>
    </w:p>
    <w:p w:rsidR="00C74E58" w:rsidRPr="005D524D" w:rsidRDefault="00C74E58" w:rsidP="00C74E58">
      <w:pPr>
        <w:keepNext/>
        <w:jc w:val="center"/>
        <w:rPr>
          <w:b/>
          <w:bCs/>
          <w:iCs/>
          <w:sz w:val="20"/>
          <w:szCs w:val="28"/>
        </w:rPr>
      </w:pPr>
      <w:r w:rsidRPr="005D524D">
        <w:rPr>
          <w:b/>
          <w:bCs/>
          <w:iCs/>
          <w:sz w:val="20"/>
          <w:szCs w:val="28"/>
        </w:rPr>
        <w:t>Programa 6</w:t>
      </w:r>
      <w:proofErr w:type="gramStart"/>
      <w:r w:rsidRPr="005D524D">
        <w:rPr>
          <w:b/>
          <w:bCs/>
          <w:iCs/>
          <w:sz w:val="20"/>
          <w:szCs w:val="28"/>
        </w:rPr>
        <w:t>:  Recursos</w:t>
      </w:r>
      <w:proofErr w:type="gramEnd"/>
      <w:r w:rsidRPr="005D524D">
        <w:rPr>
          <w:b/>
          <w:bCs/>
          <w:iCs/>
          <w:sz w:val="20"/>
          <w:szCs w:val="28"/>
        </w:rPr>
        <w:t xml:space="preserve"> por resultado</w:t>
      </w:r>
    </w:p>
    <w:p w:rsidR="00C74E58" w:rsidRPr="005D524D" w:rsidRDefault="00C74E58" w:rsidP="00C74E58">
      <w:pPr>
        <w:keepNext/>
        <w:jc w:val="center"/>
        <w:rPr>
          <w:bCs/>
          <w:i/>
          <w:iCs/>
          <w:sz w:val="20"/>
          <w:szCs w:val="28"/>
        </w:rPr>
      </w:pPr>
      <w:r w:rsidRPr="005D524D">
        <w:rPr>
          <w:bCs/>
          <w:i/>
          <w:iCs/>
          <w:sz w:val="20"/>
          <w:szCs w:val="28"/>
        </w:rPr>
        <w:t>(</w:t>
      </w:r>
      <w:proofErr w:type="gramStart"/>
      <w:r w:rsidRPr="005D524D">
        <w:rPr>
          <w:bCs/>
          <w:i/>
          <w:iCs/>
          <w:sz w:val="20"/>
          <w:szCs w:val="28"/>
        </w:rPr>
        <w:t>en</w:t>
      </w:r>
      <w:proofErr w:type="gramEnd"/>
      <w:r w:rsidRPr="005D524D">
        <w:rPr>
          <w:bCs/>
          <w:i/>
          <w:iCs/>
          <w:sz w:val="20"/>
          <w:szCs w:val="28"/>
        </w:rPr>
        <w:t xml:space="preserve"> miles de francos suizos)</w:t>
      </w:r>
    </w:p>
    <w:p w:rsidR="00C74E58" w:rsidRPr="00755F79" w:rsidRDefault="00C74E58" w:rsidP="00C74E58">
      <w:pPr>
        <w:keepNext/>
        <w:jc w:val="center"/>
        <w:rPr>
          <w:bCs/>
          <w:i/>
          <w:iCs/>
          <w:sz w:val="20"/>
        </w:rPr>
      </w:pPr>
    </w:p>
    <w:p w:rsidR="00C74E58" w:rsidRPr="00755F79" w:rsidRDefault="00171EF4" w:rsidP="00C74E58">
      <w:pPr>
        <w:keepNext/>
        <w:tabs>
          <w:tab w:val="left" w:pos="0"/>
        </w:tabs>
        <w:jc w:val="center"/>
        <w:rPr>
          <w:bCs/>
          <w:i/>
          <w:iCs/>
          <w:sz w:val="20"/>
        </w:rPr>
      </w:pPr>
      <w:r w:rsidRPr="00171EF4">
        <w:rPr>
          <w:noProof/>
          <w:lang w:val="en-US" w:eastAsia="en-US"/>
        </w:rPr>
        <w:drawing>
          <wp:inline distT="0" distB="0" distL="0" distR="0">
            <wp:extent cx="5742305" cy="15652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42305" cy="1565275"/>
                    </a:xfrm>
                    <a:prstGeom prst="rect">
                      <a:avLst/>
                    </a:prstGeom>
                    <a:noFill/>
                    <a:ln>
                      <a:noFill/>
                    </a:ln>
                  </pic:spPr>
                </pic:pic>
              </a:graphicData>
            </a:graphic>
          </wp:inline>
        </w:drawing>
      </w:r>
    </w:p>
    <w:p w:rsidR="00C74E58" w:rsidRPr="00171EF4" w:rsidRDefault="00C74E58" w:rsidP="00C74E58">
      <w:pPr>
        <w:jc w:val="center"/>
        <w:rPr>
          <w:bCs/>
          <w:iCs/>
          <w:sz w:val="20"/>
        </w:rPr>
      </w:pPr>
    </w:p>
    <w:p w:rsidR="00C74E58" w:rsidRPr="00F9567D" w:rsidRDefault="00C74E58" w:rsidP="00C74E58">
      <w:pPr>
        <w:keepNext/>
        <w:jc w:val="center"/>
        <w:rPr>
          <w:b/>
          <w:bCs/>
          <w:iCs/>
          <w:sz w:val="20"/>
          <w:szCs w:val="28"/>
        </w:rPr>
      </w:pPr>
      <w:r w:rsidRPr="00F9567D">
        <w:rPr>
          <w:b/>
          <w:bCs/>
          <w:iCs/>
          <w:sz w:val="20"/>
          <w:szCs w:val="28"/>
        </w:rPr>
        <w:lastRenderedPageBreak/>
        <w:t>Programa 6</w:t>
      </w:r>
      <w:proofErr w:type="gramStart"/>
      <w:r w:rsidRPr="00F9567D">
        <w:rPr>
          <w:b/>
          <w:bCs/>
          <w:iCs/>
          <w:sz w:val="20"/>
          <w:szCs w:val="28"/>
        </w:rPr>
        <w:t>:  Recursos</w:t>
      </w:r>
      <w:proofErr w:type="gramEnd"/>
      <w:r w:rsidRPr="00F9567D">
        <w:rPr>
          <w:b/>
          <w:bCs/>
          <w:iCs/>
          <w:sz w:val="20"/>
          <w:szCs w:val="28"/>
        </w:rPr>
        <w:t xml:space="preserve"> por objeto de gasto</w:t>
      </w:r>
    </w:p>
    <w:p w:rsidR="00C74E58" w:rsidRPr="00F9567D" w:rsidRDefault="00C74E58" w:rsidP="00C74E58">
      <w:pPr>
        <w:keepNext/>
        <w:jc w:val="center"/>
        <w:rPr>
          <w:bCs/>
          <w:i/>
          <w:iCs/>
          <w:sz w:val="20"/>
          <w:szCs w:val="28"/>
        </w:rPr>
      </w:pPr>
      <w:r w:rsidRPr="00F9567D">
        <w:rPr>
          <w:bCs/>
          <w:i/>
          <w:iCs/>
          <w:sz w:val="20"/>
          <w:szCs w:val="28"/>
        </w:rPr>
        <w:t>(</w:t>
      </w:r>
      <w:proofErr w:type="gramStart"/>
      <w:r w:rsidRPr="00F9567D">
        <w:rPr>
          <w:bCs/>
          <w:i/>
          <w:iCs/>
          <w:sz w:val="20"/>
          <w:szCs w:val="28"/>
        </w:rPr>
        <w:t>en</w:t>
      </w:r>
      <w:proofErr w:type="gramEnd"/>
      <w:r w:rsidRPr="00F9567D">
        <w:rPr>
          <w:bCs/>
          <w:i/>
          <w:iCs/>
          <w:sz w:val="20"/>
          <w:szCs w:val="28"/>
        </w:rPr>
        <w:t xml:space="preserve"> miles de francos suizos)</w:t>
      </w:r>
    </w:p>
    <w:p w:rsidR="00C74E58" w:rsidRPr="00F9567D" w:rsidRDefault="00C74E58" w:rsidP="00C74E58">
      <w:pPr>
        <w:keepNext/>
        <w:jc w:val="center"/>
        <w:rPr>
          <w:bCs/>
          <w:i/>
          <w:iCs/>
          <w:sz w:val="20"/>
          <w:szCs w:val="28"/>
        </w:rPr>
      </w:pPr>
    </w:p>
    <w:p w:rsidR="00C74E58" w:rsidRPr="00755F79" w:rsidRDefault="00835617" w:rsidP="00C74E58">
      <w:pPr>
        <w:jc w:val="center"/>
        <w:rPr>
          <w:bCs/>
          <w:iCs/>
          <w:sz w:val="20"/>
        </w:rPr>
      </w:pPr>
      <w:r>
        <w:rPr>
          <w:noProof/>
          <w:lang w:val="en-US" w:eastAsia="en-US"/>
        </w:rPr>
        <w:drawing>
          <wp:inline distT="0" distB="0" distL="0" distR="0" wp14:anchorId="0F160D90" wp14:editId="5C130163">
            <wp:extent cx="5940425" cy="6089570"/>
            <wp:effectExtent l="0" t="0" r="3175" b="6985"/>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0425" cy="6089570"/>
                    </a:xfrm>
                    <a:prstGeom prst="rect">
                      <a:avLst/>
                    </a:prstGeom>
                    <a:noFill/>
                    <a:ln>
                      <a:noFill/>
                    </a:ln>
                  </pic:spPr>
                </pic:pic>
              </a:graphicData>
            </a:graphic>
          </wp:inline>
        </w:drawing>
      </w:r>
    </w:p>
    <w:p w:rsidR="00C74E58" w:rsidRPr="00755F79" w:rsidRDefault="00C74E58" w:rsidP="00C74E58">
      <w:pPr>
        <w:rPr>
          <w:bCs/>
          <w:iCs/>
          <w:sz w:val="20"/>
        </w:rPr>
      </w:pPr>
    </w:p>
    <w:p w:rsidR="00C74E58" w:rsidRPr="00755F79" w:rsidRDefault="00C74E58" w:rsidP="00C74E58">
      <w:pPr>
        <w:rPr>
          <w:bCs/>
          <w:iCs/>
          <w:sz w:val="20"/>
        </w:rPr>
      </w:pPr>
    </w:p>
    <w:p w:rsidR="00C74E58" w:rsidRPr="00755F79" w:rsidRDefault="00C74E58" w:rsidP="00C74E58">
      <w:pPr>
        <w:rPr>
          <w:bCs/>
          <w:iCs/>
          <w:sz w:val="20"/>
        </w:rPr>
      </w:pPr>
    </w:p>
    <w:p w:rsidR="00A77E09" w:rsidRDefault="00A77E09">
      <w:pPr>
        <w:rPr>
          <w:szCs w:val="22"/>
        </w:rPr>
      </w:pPr>
      <w:r>
        <w:rPr>
          <w:szCs w:val="22"/>
        </w:rPr>
        <w:br w:type="page"/>
      </w:r>
    </w:p>
    <w:p w:rsidR="00A77E09" w:rsidRPr="007E7499" w:rsidRDefault="00B8795A" w:rsidP="00A77E09">
      <w:pPr>
        <w:pStyle w:val="StyleStyleHeading3ComplexItalicLatin12pt"/>
        <w:keepNext w:val="0"/>
        <w:widowControl w:val="0"/>
        <w:rPr>
          <w:lang w:val="es-ES"/>
        </w:rPr>
      </w:pPr>
      <w:bookmarkStart w:id="35" w:name="_Toc420681138"/>
      <w:r w:rsidRPr="007E7499">
        <w:rPr>
          <w:caps w:val="0"/>
          <w:lang w:val="es-ES"/>
        </w:rPr>
        <w:lastRenderedPageBreak/>
        <w:t>PROGRAMA 31</w:t>
      </w:r>
      <w:r w:rsidRPr="007E7499">
        <w:rPr>
          <w:b w:val="0"/>
          <w:caps w:val="0"/>
          <w:lang w:val="es-ES"/>
        </w:rPr>
        <w:tab/>
      </w:r>
      <w:r w:rsidRPr="007E7499">
        <w:rPr>
          <w:caps w:val="0"/>
          <w:lang w:val="es-ES"/>
        </w:rPr>
        <w:t>SISTEMA DE LA HAYA</w:t>
      </w:r>
      <w:bookmarkEnd w:id="35"/>
    </w:p>
    <w:p w:rsidR="00A77E09" w:rsidRPr="00DA4879" w:rsidRDefault="00A77E09" w:rsidP="00A77E09">
      <w:pPr>
        <w:widowControl w:val="0"/>
        <w:tabs>
          <w:tab w:val="left" w:pos="2268"/>
        </w:tabs>
        <w:ind w:left="2268" w:hanging="2268"/>
        <w:rPr>
          <w:sz w:val="20"/>
        </w:rPr>
      </w:pPr>
    </w:p>
    <w:p w:rsidR="00A77E09" w:rsidRPr="00DA4879" w:rsidRDefault="00A77E09" w:rsidP="00A77E09">
      <w:pPr>
        <w:widowControl w:val="0"/>
        <w:tabs>
          <w:tab w:val="left" w:pos="2268"/>
        </w:tabs>
        <w:ind w:left="2268" w:hanging="2268"/>
        <w:rPr>
          <w:sz w:val="20"/>
        </w:rPr>
      </w:pPr>
    </w:p>
    <w:p w:rsidR="00A77E09" w:rsidRPr="007E7499" w:rsidRDefault="00A77E09" w:rsidP="00DA4879">
      <w:pPr>
        <w:pStyle w:val="BodyTextIndent"/>
        <w:widowControl w:val="0"/>
        <w:spacing w:after="0"/>
        <w:ind w:left="1985" w:hanging="1985"/>
        <w:jc w:val="both"/>
        <w:rPr>
          <w:szCs w:val="22"/>
        </w:rPr>
      </w:pPr>
      <w:r w:rsidRPr="007E7499">
        <w:rPr>
          <w:szCs w:val="22"/>
        </w:rPr>
        <w:t>CONTEXTO DE PLANIFICACIÓN</w:t>
      </w:r>
    </w:p>
    <w:p w:rsidR="00A77E09" w:rsidRPr="007E7499" w:rsidRDefault="00A77E09" w:rsidP="00A77E09">
      <w:pPr>
        <w:widowControl w:val="0"/>
        <w:rPr>
          <w:sz w:val="20"/>
        </w:rPr>
      </w:pPr>
    </w:p>
    <w:p w:rsidR="00A77E09" w:rsidRPr="007E7499" w:rsidRDefault="00A77E09" w:rsidP="00A77E09">
      <w:pPr>
        <w:widowControl w:val="0"/>
        <w:numPr>
          <w:ilvl w:val="0"/>
          <w:numId w:val="21"/>
        </w:numPr>
        <w:jc w:val="both"/>
        <w:rPr>
          <w:sz w:val="20"/>
        </w:rPr>
      </w:pPr>
      <w:r w:rsidRPr="007E7499">
        <w:rPr>
          <w:sz w:val="20"/>
        </w:rPr>
        <w:t xml:space="preserve">Los esfuerzos encaminados a ampliar el alcance geográfico del Sistema de la Haya promoviendo la adhesión al Acta de Ginebra de 1999 del Arreglo de </w:t>
      </w:r>
      <w:r w:rsidR="003B0DF0">
        <w:rPr>
          <w:sz w:val="20"/>
        </w:rPr>
        <w:t>La Haya</w:t>
      </w:r>
      <w:r w:rsidRPr="007E7499">
        <w:rPr>
          <w:sz w:val="20"/>
        </w:rPr>
        <w:t xml:space="preserve"> comenzaron a dar frutos durante el bienio 2014/15, con la adhesión o la espera de una pronta adhesión de ciertos países pertenecientes a algunas de las principales zonas comerciales del mundo.  Por más que sean nuevos en el Sistema de </w:t>
      </w:r>
      <w:r w:rsidR="003B0DF0">
        <w:rPr>
          <w:sz w:val="20"/>
        </w:rPr>
        <w:t>La Haya</w:t>
      </w:r>
      <w:r w:rsidRPr="007E7499">
        <w:rPr>
          <w:sz w:val="20"/>
        </w:rPr>
        <w:t>, estos se encuentran entre los países en los que más solicitudes de registro de dibujos y modelos industriales se presentan y es probable que su incorporación estimule la adhesión de más países.  Por consiguiente, durante el bienio 2016/17 se espera que se produzca un aumento considerable del número de solicitudes internacionales.  Además, varias características del Acta de 1999 se elaboraron precisamente en vista de la incorporación de algunos de los países que se espera que se adhieran, en especial teniendo en cuenta los minuciosos exámenes de la novedad que llevan a cabo sus oficinas.  Estas características se encuentran entre las más complejas y todavía no se han puesto a prueba en la práctica.</w:t>
      </w:r>
    </w:p>
    <w:p w:rsidR="00A77E09" w:rsidRPr="007E7499" w:rsidRDefault="00A77E09" w:rsidP="00A77E09">
      <w:pPr>
        <w:widowControl w:val="0"/>
        <w:jc w:val="both"/>
        <w:rPr>
          <w:sz w:val="20"/>
        </w:rPr>
      </w:pPr>
    </w:p>
    <w:p w:rsidR="00A77E09" w:rsidRPr="007E7499" w:rsidRDefault="00A77E09" w:rsidP="00A77E09">
      <w:pPr>
        <w:widowControl w:val="0"/>
        <w:numPr>
          <w:ilvl w:val="0"/>
          <w:numId w:val="21"/>
        </w:numPr>
        <w:jc w:val="both"/>
        <w:rPr>
          <w:sz w:val="20"/>
        </w:rPr>
      </w:pPr>
      <w:r w:rsidRPr="007E7499">
        <w:rPr>
          <w:sz w:val="20"/>
        </w:rPr>
        <w:t>A la luz de lo antedicho, los desafíos para el bienio 2016/17 consistirán en hacer frente al crecimiento previsto, aplicar con éxito las características del Acta de Ginebra que aún no se han puesto en práctica y velar por que el sistema siga siendo atractivo para los usuarios.</w:t>
      </w:r>
    </w:p>
    <w:p w:rsidR="00A77E09" w:rsidRPr="007E7499" w:rsidRDefault="00A77E09" w:rsidP="00A77E09">
      <w:pPr>
        <w:widowControl w:val="0"/>
        <w:jc w:val="both"/>
        <w:rPr>
          <w:sz w:val="20"/>
        </w:rPr>
      </w:pPr>
    </w:p>
    <w:p w:rsidR="00A77E09" w:rsidRPr="007E7499" w:rsidRDefault="00A77E09" w:rsidP="00A77E09">
      <w:pPr>
        <w:widowControl w:val="0"/>
        <w:rPr>
          <w:sz w:val="20"/>
        </w:rPr>
      </w:pPr>
    </w:p>
    <w:p w:rsidR="00A77E09" w:rsidRPr="007E7499" w:rsidRDefault="00DA4879" w:rsidP="00A77E09">
      <w:pPr>
        <w:widowControl w:val="0"/>
        <w:tabs>
          <w:tab w:val="left" w:pos="567"/>
          <w:tab w:val="left" w:pos="1985"/>
        </w:tabs>
        <w:jc w:val="both"/>
        <w:rPr>
          <w:bCs/>
          <w:szCs w:val="22"/>
        </w:rPr>
      </w:pPr>
      <w:r>
        <w:rPr>
          <w:bCs/>
          <w:szCs w:val="22"/>
        </w:rPr>
        <w:t>ESTRATEGIAS DE EJECUCIÓN</w:t>
      </w:r>
    </w:p>
    <w:p w:rsidR="00A77E09" w:rsidRPr="007E7499" w:rsidRDefault="00A77E09" w:rsidP="00A77E09">
      <w:pPr>
        <w:widowControl w:val="0"/>
        <w:tabs>
          <w:tab w:val="left" w:pos="567"/>
          <w:tab w:val="left" w:pos="1985"/>
        </w:tabs>
        <w:jc w:val="both"/>
        <w:rPr>
          <w:bCs/>
          <w:sz w:val="20"/>
        </w:rPr>
      </w:pPr>
    </w:p>
    <w:p w:rsidR="00A77E09" w:rsidRPr="007E7499" w:rsidRDefault="00A77E09" w:rsidP="00A77E09">
      <w:pPr>
        <w:widowControl w:val="0"/>
        <w:numPr>
          <w:ilvl w:val="0"/>
          <w:numId w:val="21"/>
        </w:numPr>
        <w:tabs>
          <w:tab w:val="clear" w:pos="680"/>
          <w:tab w:val="num" w:pos="709"/>
        </w:tabs>
        <w:jc w:val="both"/>
        <w:rPr>
          <w:sz w:val="20"/>
        </w:rPr>
      </w:pPr>
      <w:r w:rsidRPr="007E7499">
        <w:rPr>
          <w:sz w:val="20"/>
        </w:rPr>
        <w:t xml:space="preserve">La intención de la OMPI es que el Sistema de </w:t>
      </w:r>
      <w:r w:rsidR="003B0DF0">
        <w:rPr>
          <w:sz w:val="20"/>
        </w:rPr>
        <w:t>La Haya</w:t>
      </w:r>
      <w:r w:rsidRPr="007E7499">
        <w:rPr>
          <w:sz w:val="20"/>
        </w:rPr>
        <w:t xml:space="preserve"> sea el sistema preferido para el registro de dibujos y modelos.  Para lograrlo, la OMPI aumentará la sensibilización acerca del Sistema de </w:t>
      </w:r>
      <w:r w:rsidR="003B0DF0">
        <w:rPr>
          <w:sz w:val="20"/>
        </w:rPr>
        <w:t>La Haya</w:t>
      </w:r>
      <w:r w:rsidRPr="007E7499">
        <w:rPr>
          <w:sz w:val="20"/>
        </w:rPr>
        <w:t xml:space="preserve"> y promoverá una ampliación y mejora de su uso, perfeccionando al mismo tiempo la gestión, ante el aumento de la complejidad y del volumen de trabajo.</w:t>
      </w:r>
    </w:p>
    <w:p w:rsidR="00A77E09" w:rsidRPr="007E7499" w:rsidRDefault="00A77E09" w:rsidP="00A77E09">
      <w:pPr>
        <w:widowControl w:val="0"/>
        <w:jc w:val="both"/>
        <w:rPr>
          <w:sz w:val="20"/>
        </w:rPr>
      </w:pPr>
    </w:p>
    <w:p w:rsidR="00A77E09" w:rsidRPr="007E7499" w:rsidRDefault="00A77E09" w:rsidP="00A77E09">
      <w:pPr>
        <w:widowControl w:val="0"/>
        <w:numPr>
          <w:ilvl w:val="0"/>
          <w:numId w:val="21"/>
        </w:numPr>
        <w:jc w:val="both"/>
        <w:rPr>
          <w:sz w:val="20"/>
        </w:rPr>
      </w:pPr>
      <w:r w:rsidRPr="007E7499">
        <w:rPr>
          <w:sz w:val="20"/>
        </w:rPr>
        <w:t>Se tomarán medidas coordinadas que abordarán tres frentes: la visibilidad, el alcance geográfico y el desarrollo del sistema.</w:t>
      </w:r>
    </w:p>
    <w:p w:rsidR="00A77E09" w:rsidRPr="007E7499" w:rsidRDefault="00A77E09" w:rsidP="00A77E09">
      <w:pPr>
        <w:widowControl w:val="0"/>
        <w:tabs>
          <w:tab w:val="left" w:pos="1134"/>
        </w:tabs>
        <w:ind w:left="709"/>
        <w:jc w:val="both"/>
        <w:rPr>
          <w:sz w:val="20"/>
        </w:rPr>
      </w:pPr>
    </w:p>
    <w:p w:rsidR="00A77E09" w:rsidRPr="007E7499" w:rsidRDefault="00A77E09" w:rsidP="00A77E09">
      <w:pPr>
        <w:pStyle w:val="ListParagraph"/>
        <w:widowControl w:val="0"/>
        <w:numPr>
          <w:ilvl w:val="0"/>
          <w:numId w:val="22"/>
        </w:numPr>
        <w:tabs>
          <w:tab w:val="left" w:pos="1134"/>
        </w:tabs>
        <w:ind w:left="709" w:firstLine="0"/>
        <w:jc w:val="both"/>
        <w:rPr>
          <w:rFonts w:ascii="Arial" w:hAnsi="Arial" w:cs="Arial"/>
          <w:sz w:val="20"/>
          <w:lang w:val="es-ES"/>
        </w:rPr>
      </w:pPr>
      <w:r w:rsidRPr="007E7499">
        <w:rPr>
          <w:rFonts w:ascii="Arial" w:hAnsi="Arial" w:cs="Arial"/>
          <w:b/>
          <w:sz w:val="20"/>
          <w:lang w:val="es-ES"/>
        </w:rPr>
        <w:t>Visibilidad</w:t>
      </w:r>
      <w:proofErr w:type="gramStart"/>
      <w:r w:rsidRPr="007E7499">
        <w:rPr>
          <w:rFonts w:ascii="Arial" w:hAnsi="Arial" w:cs="Arial"/>
          <w:sz w:val="20"/>
          <w:lang w:val="es-ES"/>
        </w:rPr>
        <w:t xml:space="preserve">: </w:t>
      </w:r>
      <w:r w:rsidR="00E316DE">
        <w:rPr>
          <w:rFonts w:ascii="Arial" w:hAnsi="Arial" w:cs="Arial"/>
          <w:sz w:val="20"/>
          <w:lang w:val="es-ES"/>
        </w:rPr>
        <w:t xml:space="preserve"> </w:t>
      </w:r>
      <w:r w:rsidRPr="007E7499">
        <w:rPr>
          <w:rFonts w:ascii="Arial" w:hAnsi="Arial" w:cs="Arial"/>
          <w:sz w:val="20"/>
          <w:lang w:val="es-ES"/>
        </w:rPr>
        <w:t>se</w:t>
      </w:r>
      <w:proofErr w:type="gramEnd"/>
      <w:r w:rsidRPr="007E7499">
        <w:rPr>
          <w:rFonts w:ascii="Arial" w:hAnsi="Arial" w:cs="Arial"/>
          <w:sz w:val="20"/>
          <w:lang w:val="es-ES"/>
        </w:rPr>
        <w:t xml:space="preserve"> seguirá promoviendo el sistema entre los miembros actuales, entre los que aún existe un margen de mejora importante.  Asimismo, se va a comenzar a promover el sistema entre los países cuya adhesión sea inminente, a fin de fomentar su uso inmediato tras la adhesión.</w:t>
      </w:r>
    </w:p>
    <w:p w:rsidR="00A77E09" w:rsidRPr="007E7499" w:rsidRDefault="00A77E09" w:rsidP="00A77E09">
      <w:pPr>
        <w:widowControl w:val="0"/>
        <w:tabs>
          <w:tab w:val="left" w:pos="540"/>
          <w:tab w:val="left" w:pos="1276"/>
        </w:tabs>
        <w:ind w:left="709"/>
        <w:jc w:val="both"/>
        <w:rPr>
          <w:sz w:val="20"/>
        </w:rPr>
      </w:pPr>
    </w:p>
    <w:p w:rsidR="00A77E09" w:rsidRPr="007E7499" w:rsidRDefault="00A77E09" w:rsidP="00A77E09">
      <w:pPr>
        <w:pStyle w:val="ListParagraph"/>
        <w:widowControl w:val="0"/>
        <w:numPr>
          <w:ilvl w:val="0"/>
          <w:numId w:val="22"/>
        </w:numPr>
        <w:tabs>
          <w:tab w:val="left" w:pos="1134"/>
        </w:tabs>
        <w:ind w:left="709" w:firstLine="0"/>
        <w:jc w:val="both"/>
        <w:rPr>
          <w:rFonts w:ascii="Arial" w:hAnsi="Arial" w:cs="Arial"/>
          <w:sz w:val="20"/>
          <w:lang w:val="es-ES"/>
        </w:rPr>
      </w:pPr>
      <w:r w:rsidRPr="007E7499">
        <w:rPr>
          <w:rFonts w:ascii="Arial" w:hAnsi="Arial" w:cs="Arial"/>
          <w:b/>
          <w:sz w:val="20"/>
          <w:lang w:val="es-ES"/>
        </w:rPr>
        <w:t>Alcance geográfico</w:t>
      </w:r>
      <w:proofErr w:type="gramStart"/>
      <w:r w:rsidRPr="007E7499">
        <w:rPr>
          <w:rFonts w:ascii="Arial" w:hAnsi="Arial" w:cs="Arial"/>
          <w:sz w:val="20"/>
          <w:lang w:val="es-ES"/>
        </w:rPr>
        <w:t xml:space="preserve">: </w:t>
      </w:r>
      <w:r w:rsidR="00E316DE">
        <w:rPr>
          <w:rFonts w:ascii="Arial" w:hAnsi="Arial" w:cs="Arial"/>
          <w:sz w:val="20"/>
          <w:lang w:val="es-ES"/>
        </w:rPr>
        <w:t xml:space="preserve"> </w:t>
      </w:r>
      <w:r w:rsidRPr="007E7499">
        <w:rPr>
          <w:rFonts w:ascii="Arial" w:hAnsi="Arial" w:cs="Arial"/>
          <w:sz w:val="20"/>
          <w:lang w:val="es-ES"/>
        </w:rPr>
        <w:t>proseguirán</w:t>
      </w:r>
      <w:proofErr w:type="gramEnd"/>
      <w:r w:rsidRPr="007E7499">
        <w:rPr>
          <w:rFonts w:ascii="Arial" w:hAnsi="Arial" w:cs="Arial"/>
          <w:sz w:val="20"/>
          <w:lang w:val="es-ES"/>
        </w:rPr>
        <w:t xml:space="preserve"> las iniciativas de promoción y asistencia técnica para fomentar la expansión del Sistema de </w:t>
      </w:r>
      <w:r w:rsidR="003B0DF0">
        <w:rPr>
          <w:rFonts w:ascii="Arial" w:hAnsi="Arial" w:cs="Arial"/>
          <w:sz w:val="20"/>
          <w:lang w:val="es-ES"/>
        </w:rPr>
        <w:t>La Haya</w:t>
      </w:r>
      <w:r w:rsidRPr="007E7499">
        <w:rPr>
          <w:rFonts w:ascii="Arial" w:hAnsi="Arial" w:cs="Arial"/>
          <w:sz w:val="20"/>
          <w:lang w:val="es-ES"/>
        </w:rPr>
        <w:t xml:space="preserve"> mediante nuevas adhesiones al Acta de Ginebra, en cooperación con los programas pertinentes.  Se dará prioridad a los países cuya adhesión pueda hacer que el sistema resulte más atractivo para los usuarios o que se produzcan nuevas adhesiones.</w:t>
      </w:r>
    </w:p>
    <w:p w:rsidR="00A77E09" w:rsidRPr="007E7499" w:rsidRDefault="00A77E09" w:rsidP="00A77E09">
      <w:pPr>
        <w:widowControl w:val="0"/>
        <w:tabs>
          <w:tab w:val="left" w:pos="540"/>
          <w:tab w:val="left" w:pos="1276"/>
        </w:tabs>
        <w:ind w:left="709"/>
        <w:jc w:val="both"/>
        <w:rPr>
          <w:sz w:val="20"/>
        </w:rPr>
      </w:pPr>
    </w:p>
    <w:p w:rsidR="00A77E09" w:rsidRDefault="00A77E09" w:rsidP="00A77E09">
      <w:pPr>
        <w:pStyle w:val="ListParagraph"/>
        <w:widowControl w:val="0"/>
        <w:numPr>
          <w:ilvl w:val="0"/>
          <w:numId w:val="22"/>
        </w:numPr>
        <w:tabs>
          <w:tab w:val="left" w:pos="1134"/>
        </w:tabs>
        <w:ind w:left="709" w:firstLine="0"/>
        <w:jc w:val="both"/>
        <w:rPr>
          <w:rFonts w:ascii="Arial" w:hAnsi="Arial" w:cs="Arial"/>
          <w:sz w:val="20"/>
          <w:lang w:val="es-ES"/>
        </w:rPr>
      </w:pPr>
      <w:r w:rsidRPr="007E7499">
        <w:rPr>
          <w:rFonts w:ascii="Arial" w:hAnsi="Arial" w:cs="Arial"/>
          <w:b/>
          <w:sz w:val="20"/>
          <w:lang w:val="es-ES"/>
        </w:rPr>
        <w:t>Desarrollo del sistema</w:t>
      </w:r>
      <w:proofErr w:type="gramStart"/>
      <w:r w:rsidRPr="007E7499">
        <w:rPr>
          <w:rFonts w:ascii="Arial" w:hAnsi="Arial" w:cs="Arial"/>
          <w:sz w:val="20"/>
          <w:lang w:val="es-ES"/>
        </w:rPr>
        <w:t xml:space="preserve">: </w:t>
      </w:r>
      <w:r w:rsidR="00E316DE">
        <w:rPr>
          <w:rFonts w:ascii="Arial" w:hAnsi="Arial" w:cs="Arial"/>
          <w:sz w:val="20"/>
          <w:lang w:val="es-ES"/>
        </w:rPr>
        <w:t xml:space="preserve"> </w:t>
      </w:r>
      <w:r w:rsidRPr="007E7499">
        <w:rPr>
          <w:rFonts w:ascii="Arial" w:hAnsi="Arial" w:cs="Arial"/>
          <w:sz w:val="20"/>
          <w:lang w:val="es-ES"/>
        </w:rPr>
        <w:t>a</w:t>
      </w:r>
      <w:proofErr w:type="gramEnd"/>
      <w:r w:rsidRPr="007E7499">
        <w:rPr>
          <w:rFonts w:ascii="Arial" w:hAnsi="Arial" w:cs="Arial"/>
          <w:sz w:val="20"/>
          <w:lang w:val="es-ES"/>
        </w:rPr>
        <w:t xml:space="preserve"> la par de la expansión del sistema será necesario perfeccionar los servicios de apoyo en materia de T.I. para lograr mayores niveles de productividad mediante un aumento de la eficiencia, y para satisfacer las expectativas de varias partes interesadas en el Sistema de </w:t>
      </w:r>
      <w:r w:rsidR="003B0DF0">
        <w:rPr>
          <w:rFonts w:ascii="Arial" w:hAnsi="Arial" w:cs="Arial"/>
          <w:sz w:val="20"/>
          <w:lang w:val="es-ES"/>
        </w:rPr>
        <w:t>La Haya</w:t>
      </w:r>
      <w:r w:rsidRPr="007E7499">
        <w:rPr>
          <w:rFonts w:ascii="Arial" w:hAnsi="Arial" w:cs="Arial"/>
          <w:sz w:val="20"/>
          <w:lang w:val="es-ES"/>
        </w:rPr>
        <w:t>, sobre todo la posibilidad de interactuar en un entorno seguro con el Registro Internacional en línea, en tiempo real, de manera autónoma.  Se concederá especial atención a la prestación de mejores servicios en línea que ofrezcan los mismos servicios y prestaciones a todas las partes interesadas, independientemente de su ubicación geográfica.  Asimismo, será preciso seguir desarrollando el marco jurídico con el fin de que siga el ritmo de las necesidades de los usuarios y de los sistemas jurídicos de las nuevas Partes Contratantes.  Por último, con miras a simplificar los procedimientos, resulta fundamental que el sistema gire en torno al Acta de 1999, y con ese fin deberán proseguirse los esfuerzos destinados a cesar la aplicación del Acta de Londres de 1934.</w:t>
      </w:r>
    </w:p>
    <w:p w:rsidR="00A77E09" w:rsidRDefault="00A77E09">
      <w:pPr>
        <w:rPr>
          <w:sz w:val="20"/>
        </w:rPr>
      </w:pPr>
      <w:r>
        <w:rPr>
          <w:sz w:val="20"/>
        </w:rPr>
        <w:br w:type="page"/>
      </w:r>
    </w:p>
    <w:p w:rsidR="00A77E09" w:rsidRDefault="00A77E09" w:rsidP="00A77E09">
      <w:pPr>
        <w:widowControl w:val="0"/>
        <w:tabs>
          <w:tab w:val="left" w:pos="1134"/>
        </w:tabs>
        <w:jc w:val="both"/>
        <w:rPr>
          <w:sz w:val="20"/>
        </w:rPr>
      </w:pPr>
    </w:p>
    <w:p w:rsidR="00A77E09" w:rsidRPr="00171EF4" w:rsidRDefault="00171EF4" w:rsidP="00171EF4">
      <w:pPr>
        <w:numPr>
          <w:ilvl w:val="0"/>
          <w:numId w:val="21"/>
        </w:numPr>
        <w:jc w:val="both"/>
        <w:rPr>
          <w:sz w:val="20"/>
        </w:rPr>
      </w:pPr>
      <w:r w:rsidRPr="00171EF4">
        <w:rPr>
          <w:sz w:val="20"/>
        </w:rPr>
        <w:t>El p</w:t>
      </w:r>
      <w:r w:rsidR="00A77E09" w:rsidRPr="00171EF4">
        <w:rPr>
          <w:sz w:val="20"/>
        </w:rPr>
        <w:t>rogram</w:t>
      </w:r>
      <w:r w:rsidRPr="00171EF4">
        <w:rPr>
          <w:sz w:val="20"/>
        </w:rPr>
        <w:t>a</w:t>
      </w:r>
      <w:r w:rsidR="00A77E09" w:rsidRPr="00171EF4">
        <w:rPr>
          <w:sz w:val="20"/>
        </w:rPr>
        <w:t xml:space="preserve"> 31 </w:t>
      </w:r>
      <w:r w:rsidR="00ED369F" w:rsidRPr="00C37CCD">
        <w:rPr>
          <w:sz w:val="20"/>
        </w:rPr>
        <w:t>colabora</w:t>
      </w:r>
      <w:r w:rsidR="00ED369F">
        <w:rPr>
          <w:sz w:val="20"/>
        </w:rPr>
        <w:t xml:space="preserve"> principalmente con los programas siguientes</w:t>
      </w:r>
      <w:r w:rsidR="00A77E09" w:rsidRPr="00171EF4">
        <w:rPr>
          <w:sz w:val="20"/>
        </w:rPr>
        <w:t xml:space="preserve">: </w:t>
      </w:r>
    </w:p>
    <w:p w:rsidR="00A77E09" w:rsidRPr="006A3CA4" w:rsidRDefault="00A77E09" w:rsidP="00A77E09">
      <w:pPr>
        <w:widowControl w:val="0"/>
        <w:tabs>
          <w:tab w:val="left" w:pos="1134"/>
        </w:tabs>
        <w:jc w:val="both"/>
        <w:rPr>
          <w:sz w:val="20"/>
          <w:lang w:val="es-ES_tradnl"/>
        </w:rPr>
      </w:pPr>
    </w:p>
    <w:p w:rsidR="00A77E09" w:rsidRPr="006A3CA4" w:rsidRDefault="00A77E09" w:rsidP="00A77E09">
      <w:pPr>
        <w:widowControl w:val="0"/>
        <w:jc w:val="both"/>
        <w:rPr>
          <w:sz w:val="20"/>
          <w:lang w:val="es-ES_tradnl"/>
        </w:rPr>
      </w:pPr>
      <w:r w:rsidRPr="007E7499">
        <w:rPr>
          <w:noProof/>
          <w:lang w:val="en-US" w:eastAsia="en-US"/>
        </w:rPr>
        <w:drawing>
          <wp:anchor distT="0" distB="0" distL="114300" distR="114300" simplePos="0" relativeHeight="251661312" behindDoc="0" locked="0" layoutInCell="1" allowOverlap="1" wp14:anchorId="60291605" wp14:editId="233E9C9A">
            <wp:simplePos x="0" y="0"/>
            <wp:positionH relativeFrom="column">
              <wp:posOffset>-1905</wp:posOffset>
            </wp:positionH>
            <wp:positionV relativeFrom="paragraph">
              <wp:posOffset>292100</wp:posOffset>
            </wp:positionV>
            <wp:extent cx="5486400" cy="1657350"/>
            <wp:effectExtent l="0" t="19050" r="0" b="0"/>
            <wp:wrapTopAndBottom/>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0" r:lo="rId81" r:qs="rId82" r:cs="rId83"/>
              </a:graphicData>
            </a:graphic>
            <wp14:sizeRelH relativeFrom="page">
              <wp14:pctWidth>0</wp14:pctWidth>
            </wp14:sizeRelH>
            <wp14:sizeRelV relativeFrom="page">
              <wp14:pctHeight>0</wp14:pctHeight>
            </wp14:sizeRelV>
          </wp:anchor>
        </w:drawing>
      </w:r>
    </w:p>
    <w:p w:rsidR="00A77E09" w:rsidRPr="006A3CA4" w:rsidRDefault="00A77E09" w:rsidP="00A77E09">
      <w:pPr>
        <w:widowControl w:val="0"/>
        <w:jc w:val="both"/>
        <w:rPr>
          <w:lang w:val="es-ES_tradnl"/>
        </w:rPr>
      </w:pPr>
    </w:p>
    <w:p w:rsidR="00A77E09" w:rsidRPr="006A3CA4" w:rsidRDefault="00A77E09" w:rsidP="00A77E09">
      <w:pPr>
        <w:widowControl w:val="0"/>
        <w:jc w:val="both"/>
        <w:rPr>
          <w:lang w:val="es-ES_tradnl"/>
        </w:rPr>
      </w:pPr>
    </w:p>
    <w:p w:rsidR="00A77E09" w:rsidRPr="007E7499" w:rsidRDefault="00A77E09" w:rsidP="00A77E09">
      <w:pPr>
        <w:widowControl w:val="0"/>
        <w:jc w:val="both"/>
      </w:pPr>
      <w:r w:rsidRPr="007E7499">
        <w:t>PRINCIPALES RIESGOS Y ESTRATEGIAS DE MITIGACIÓN</w:t>
      </w:r>
    </w:p>
    <w:p w:rsidR="00A77E09" w:rsidRPr="007E7499" w:rsidRDefault="00A77E09" w:rsidP="00A77E09">
      <w:pPr>
        <w:widowControl w:val="0"/>
        <w:jc w:val="both"/>
        <w:rPr>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A77E09" w:rsidRPr="007E7499" w:rsidTr="000A0481">
        <w:trPr>
          <w:trHeight w:val="503"/>
        </w:trPr>
        <w:tc>
          <w:tcPr>
            <w:tcW w:w="4253" w:type="dxa"/>
            <w:tcBorders>
              <w:top w:val="single" w:sz="4" w:space="0" w:color="auto"/>
              <w:bottom w:val="single" w:sz="4" w:space="0" w:color="auto"/>
            </w:tcBorders>
            <w:shd w:val="clear" w:color="auto" w:fill="C6D9F1" w:themeFill="text2" w:themeFillTint="33"/>
            <w:vAlign w:val="center"/>
          </w:tcPr>
          <w:p w:rsidR="00A77E09" w:rsidRPr="007E7499" w:rsidRDefault="00A77E09" w:rsidP="000A0481">
            <w:pPr>
              <w:widowControl w:val="0"/>
              <w:jc w:val="center"/>
              <w:rPr>
                <w:b/>
                <w:bCs/>
                <w:sz w:val="18"/>
                <w:szCs w:val="18"/>
              </w:rPr>
            </w:pPr>
            <w:r w:rsidRPr="007E7499">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A77E09" w:rsidRPr="007E7499" w:rsidRDefault="00A77E09" w:rsidP="000A0481">
            <w:pPr>
              <w:widowControl w:val="0"/>
              <w:jc w:val="center"/>
              <w:rPr>
                <w:b/>
                <w:bCs/>
                <w:sz w:val="18"/>
                <w:szCs w:val="18"/>
              </w:rPr>
            </w:pPr>
            <w:r w:rsidRPr="007E7499">
              <w:rPr>
                <w:b/>
                <w:bCs/>
                <w:sz w:val="18"/>
                <w:szCs w:val="18"/>
              </w:rPr>
              <w:t>Mitigación</w:t>
            </w:r>
          </w:p>
        </w:tc>
      </w:tr>
      <w:tr w:rsidR="00A77E09" w:rsidRPr="007E7499" w:rsidTr="000A0481">
        <w:trPr>
          <w:trHeight w:val="71"/>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A77E09" w:rsidRPr="007E7499" w:rsidRDefault="00A77E09" w:rsidP="000A0481">
            <w:pPr>
              <w:widowControl w:val="0"/>
              <w:rPr>
                <w:sz w:val="16"/>
                <w:szCs w:val="16"/>
              </w:rPr>
            </w:pPr>
            <w:r w:rsidRPr="007E7499">
              <w:rPr>
                <w:sz w:val="16"/>
                <w:szCs w:val="16"/>
              </w:rPr>
              <w:t>Disminución del grado de satisfacción de los usuarios debido a las dificultades que plantea el aumento del número de solicitudes presentadas y de peticiones de información y a la creciente complejidad del sistema como consecuencia de la ejecución de funciones relativas al examen de la novedad en determinadas oficinas designadas.</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A77E09" w:rsidRPr="007E7499" w:rsidRDefault="00A77E09" w:rsidP="000A0481">
            <w:pPr>
              <w:widowControl w:val="0"/>
              <w:rPr>
                <w:sz w:val="16"/>
                <w:szCs w:val="16"/>
              </w:rPr>
            </w:pPr>
            <w:r w:rsidRPr="007E7499">
              <w:rPr>
                <w:sz w:val="16"/>
                <w:szCs w:val="16"/>
              </w:rPr>
              <w:t>Potenciación de la eficiencia y efectividad en todos los aspectos de la administración del sistema;  fomento de las prácticas más extendidas y de la convergencia entre las oficinas concernidas;  adopción de soluciones de T.I. para asistir a los usuarios y examinadores de las oficinas y de la Oficina Internacional.</w:t>
            </w:r>
          </w:p>
        </w:tc>
      </w:tr>
    </w:tbl>
    <w:p w:rsidR="00A77E09" w:rsidRPr="007E7499" w:rsidRDefault="00A77E09" w:rsidP="00A77E09">
      <w:pPr>
        <w:widowControl w:val="0"/>
        <w:rPr>
          <w:szCs w:val="22"/>
        </w:rPr>
      </w:pPr>
    </w:p>
    <w:p w:rsidR="00A77E09" w:rsidRPr="007E7499" w:rsidRDefault="00A77E09" w:rsidP="00A77E09">
      <w:pPr>
        <w:widowControl w:val="0"/>
        <w:rPr>
          <w:szCs w:val="22"/>
        </w:rPr>
      </w:pPr>
    </w:p>
    <w:p w:rsidR="00A77E09" w:rsidRPr="007E7499" w:rsidRDefault="00A77E09" w:rsidP="00A77E09">
      <w:pPr>
        <w:widowControl w:val="0"/>
        <w:jc w:val="both"/>
      </w:pPr>
      <w:r w:rsidRPr="007E7499">
        <w:t>MARCO DE RESULTADOS</w:t>
      </w:r>
    </w:p>
    <w:p w:rsidR="00A77E09" w:rsidRPr="007E7499" w:rsidRDefault="00A77E09" w:rsidP="00A77E09">
      <w:pPr>
        <w:widowControl w:val="0"/>
        <w:jc w:val="both"/>
        <w:rPr>
          <w:sz w:val="20"/>
        </w:rPr>
      </w:pPr>
    </w:p>
    <w:tbl>
      <w:tblPr>
        <w:tblW w:w="9195" w:type="dxa"/>
        <w:tblInd w:w="93" w:type="dxa"/>
        <w:tblLook w:val="04A0" w:firstRow="1" w:lastRow="0" w:firstColumn="1" w:lastColumn="0" w:noHBand="0" w:noVBand="1"/>
      </w:tblPr>
      <w:tblGrid>
        <w:gridCol w:w="2340"/>
        <w:gridCol w:w="2340"/>
        <w:gridCol w:w="2340"/>
        <w:gridCol w:w="2175"/>
      </w:tblGrid>
      <w:tr w:rsidR="00A77E09" w:rsidRPr="007E7499" w:rsidTr="000A0481">
        <w:trPr>
          <w:trHeight w:val="554"/>
          <w:tblHeader/>
        </w:trPr>
        <w:tc>
          <w:tcPr>
            <w:tcW w:w="234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A77E09" w:rsidRPr="007E7499" w:rsidRDefault="00A77E09" w:rsidP="000A0481">
            <w:pPr>
              <w:widowControl w:val="0"/>
              <w:jc w:val="center"/>
              <w:rPr>
                <w:b/>
                <w:bCs/>
                <w:sz w:val="18"/>
                <w:szCs w:val="18"/>
              </w:rPr>
            </w:pPr>
            <w:r w:rsidRPr="007E7499">
              <w:rPr>
                <w:b/>
                <w:bCs/>
                <w:sz w:val="18"/>
                <w:szCs w:val="18"/>
              </w:rPr>
              <w:t xml:space="preserve">Resultados previstos </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A77E09" w:rsidRPr="007E7499" w:rsidRDefault="00A77E09" w:rsidP="000A0481">
            <w:pPr>
              <w:widowControl w:val="0"/>
              <w:jc w:val="center"/>
              <w:rPr>
                <w:b/>
                <w:bCs/>
                <w:sz w:val="18"/>
                <w:szCs w:val="18"/>
              </w:rPr>
            </w:pPr>
            <w:r w:rsidRPr="007E7499">
              <w:rPr>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A77E09" w:rsidRPr="007E7499" w:rsidRDefault="00A77E09" w:rsidP="000A0481">
            <w:pPr>
              <w:widowControl w:val="0"/>
              <w:jc w:val="center"/>
              <w:rPr>
                <w:b/>
                <w:bCs/>
                <w:sz w:val="18"/>
                <w:szCs w:val="18"/>
              </w:rPr>
            </w:pPr>
            <w:r w:rsidRPr="007E7499">
              <w:rPr>
                <w:b/>
                <w:bCs/>
                <w:sz w:val="18"/>
                <w:szCs w:val="18"/>
              </w:rPr>
              <w:t>Referencia</w:t>
            </w:r>
          </w:p>
        </w:tc>
        <w:tc>
          <w:tcPr>
            <w:tcW w:w="2175"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A77E09" w:rsidRPr="007E7499" w:rsidRDefault="00A77E09" w:rsidP="000A0481">
            <w:pPr>
              <w:widowControl w:val="0"/>
              <w:jc w:val="center"/>
              <w:rPr>
                <w:b/>
                <w:bCs/>
                <w:sz w:val="18"/>
                <w:szCs w:val="18"/>
              </w:rPr>
            </w:pPr>
            <w:r w:rsidRPr="007E7499">
              <w:rPr>
                <w:b/>
                <w:bCs/>
                <w:sz w:val="18"/>
                <w:szCs w:val="18"/>
              </w:rPr>
              <w:t>Objetivos</w:t>
            </w:r>
          </w:p>
        </w:tc>
      </w:tr>
      <w:tr w:rsidR="00A77E09" w:rsidRPr="007E7499" w:rsidTr="000A0481">
        <w:trPr>
          <w:trHeight w:val="644"/>
        </w:trPr>
        <w:tc>
          <w:tcPr>
            <w:tcW w:w="2340" w:type="dxa"/>
            <w:tcBorders>
              <w:top w:val="nil"/>
              <w:left w:val="single" w:sz="4" w:space="0" w:color="auto"/>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II.4. </w:t>
            </w:r>
            <w:r w:rsidR="00E11D26">
              <w:rPr>
                <w:sz w:val="16"/>
                <w:szCs w:val="16"/>
              </w:rPr>
              <w:t xml:space="preserve"> </w:t>
            </w:r>
            <w:r w:rsidR="006C23D5" w:rsidRPr="00DE56AC">
              <w:rPr>
                <w:sz w:val="16"/>
                <w:szCs w:val="16"/>
                <w:lang w:val="es-ES_tradnl"/>
              </w:rPr>
              <w:t>Mayor y más eficaz utilización del Sistema de La Haya, entre otros, por los países en desarrollo y los PMA</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Número de miembros del Acta de Ginebra (1999).</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49 Partes Contratantes a partir del 13 de febrero de 2015. </w:t>
            </w:r>
          </w:p>
        </w:tc>
        <w:tc>
          <w:tcPr>
            <w:tcW w:w="2175" w:type="dxa"/>
            <w:tcBorders>
              <w:top w:val="nil"/>
              <w:left w:val="nil"/>
              <w:bottom w:val="nil"/>
              <w:right w:val="single" w:sz="4" w:space="0" w:color="auto"/>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60 Partes Contratantes.</w:t>
            </w:r>
          </w:p>
        </w:tc>
      </w:tr>
      <w:tr w:rsidR="00A77E09" w:rsidRPr="007E7499" w:rsidTr="000A0481">
        <w:trPr>
          <w:trHeight w:val="1076"/>
        </w:trPr>
        <w:tc>
          <w:tcPr>
            <w:tcW w:w="2340" w:type="dxa"/>
            <w:tcBorders>
              <w:top w:val="nil"/>
              <w:left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top w:val="nil"/>
              <w:left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Porcentaje de oficinas que proporcionan información a los usuarios sobre el Sistema de </w:t>
            </w:r>
            <w:r w:rsidR="003B0DF0">
              <w:rPr>
                <w:sz w:val="16"/>
                <w:szCs w:val="16"/>
              </w:rPr>
              <w:t>La Haya</w:t>
            </w:r>
            <w:r w:rsidRPr="007E7499">
              <w:rPr>
                <w:sz w:val="16"/>
                <w:szCs w:val="16"/>
              </w:rPr>
              <w:t>.</w:t>
            </w:r>
          </w:p>
        </w:tc>
        <w:tc>
          <w:tcPr>
            <w:tcW w:w="2340" w:type="dxa"/>
            <w:tcBorders>
              <w:top w:val="nil"/>
              <w:left w:val="nil"/>
              <w:right w:val="nil"/>
            </w:tcBorders>
            <w:shd w:val="clear" w:color="auto" w:fill="auto"/>
            <w:tcMar>
              <w:top w:w="85" w:type="dxa"/>
            </w:tcMar>
            <w:hideMark/>
          </w:tcPr>
          <w:p w:rsidR="00A77E09" w:rsidRPr="007E7499" w:rsidRDefault="00A77E09" w:rsidP="000A0481">
            <w:pPr>
              <w:widowControl w:val="0"/>
              <w:rPr>
                <w:sz w:val="16"/>
                <w:szCs w:val="16"/>
              </w:rPr>
            </w:pPr>
            <w:r w:rsidRPr="007E7499">
              <w:rPr>
                <w:sz w:val="16"/>
                <w:szCs w:val="16"/>
              </w:rPr>
              <w:t xml:space="preserve">38 oficinas nacionales o regionales proporcionan información adecuada sobre el Sistema de </w:t>
            </w:r>
            <w:r w:rsidR="003B0DF0">
              <w:rPr>
                <w:sz w:val="16"/>
                <w:szCs w:val="16"/>
              </w:rPr>
              <w:t>La Haya</w:t>
            </w:r>
            <w:r w:rsidRPr="007E7499">
              <w:rPr>
                <w:sz w:val="16"/>
                <w:szCs w:val="16"/>
              </w:rPr>
              <w:t xml:space="preserve">.  Diez oficinas no disponen de sitio web. </w:t>
            </w:r>
          </w:p>
        </w:tc>
        <w:tc>
          <w:tcPr>
            <w:tcW w:w="2175" w:type="dxa"/>
            <w:tcBorders>
              <w:top w:val="nil"/>
              <w:left w:val="nil"/>
              <w:right w:val="single" w:sz="4" w:space="0" w:color="auto"/>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Porcentaje de oficinas que proporcionan información sobre el Sistema de La Haya.</w:t>
            </w:r>
          </w:p>
        </w:tc>
      </w:tr>
      <w:tr w:rsidR="00A77E09" w:rsidRPr="007E7499" w:rsidTr="00A77E09">
        <w:trPr>
          <w:trHeight w:val="1913"/>
        </w:trPr>
        <w:tc>
          <w:tcPr>
            <w:tcW w:w="2340" w:type="dxa"/>
            <w:tcBorders>
              <w:top w:val="nil"/>
              <w:left w:val="single" w:sz="4" w:space="0" w:color="auto"/>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top w:val="nil"/>
              <w:left w:val="nil"/>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Solicitudes de registro y renovaciones en virtud del Sistema de La Haya.</w:t>
            </w:r>
          </w:p>
        </w:tc>
        <w:tc>
          <w:tcPr>
            <w:tcW w:w="2340" w:type="dxa"/>
            <w:tcBorders>
              <w:top w:val="nil"/>
              <w:left w:val="nil"/>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2.924 solicitudes </w:t>
            </w:r>
          </w:p>
          <w:p w:rsidR="00A77E09" w:rsidRPr="007E7499" w:rsidRDefault="00A77E09" w:rsidP="000A0481">
            <w:pPr>
              <w:widowControl w:val="0"/>
              <w:rPr>
                <w:sz w:val="16"/>
                <w:szCs w:val="16"/>
              </w:rPr>
            </w:pPr>
            <w:r w:rsidRPr="007E7499">
              <w:rPr>
                <w:sz w:val="16"/>
                <w:szCs w:val="16"/>
              </w:rPr>
              <w:t xml:space="preserve">14.441 dibujos y modelos contenidos </w:t>
            </w:r>
          </w:p>
          <w:p w:rsidR="00A77E09" w:rsidRPr="007E7499" w:rsidRDefault="00A77E09" w:rsidP="000A0481">
            <w:pPr>
              <w:widowControl w:val="0"/>
              <w:rPr>
                <w:sz w:val="16"/>
                <w:szCs w:val="16"/>
              </w:rPr>
            </w:pPr>
            <w:r w:rsidRPr="007E7499">
              <w:rPr>
                <w:sz w:val="16"/>
                <w:szCs w:val="16"/>
              </w:rPr>
              <w:t xml:space="preserve">2.703 renovaciones </w:t>
            </w:r>
          </w:p>
          <w:p w:rsidR="00A77E09" w:rsidRPr="007E7499" w:rsidRDefault="00A77E09" w:rsidP="000A0481">
            <w:pPr>
              <w:widowControl w:val="0"/>
              <w:rPr>
                <w:sz w:val="16"/>
                <w:szCs w:val="16"/>
              </w:rPr>
            </w:pPr>
            <w:r w:rsidRPr="007E7499">
              <w:rPr>
                <w:sz w:val="16"/>
                <w:szCs w:val="16"/>
              </w:rPr>
              <w:t>(2014).</w:t>
            </w:r>
          </w:p>
        </w:tc>
        <w:tc>
          <w:tcPr>
            <w:tcW w:w="2175" w:type="dxa"/>
            <w:tcBorders>
              <w:top w:val="nil"/>
              <w:left w:val="nil"/>
              <w:bottom w:val="single" w:sz="4" w:space="0" w:color="auto"/>
              <w:right w:val="single" w:sz="4" w:space="0" w:color="auto"/>
            </w:tcBorders>
            <w:shd w:val="clear" w:color="000000" w:fill="FFFFFF"/>
            <w:tcMar>
              <w:top w:w="85" w:type="dxa"/>
            </w:tcMar>
            <w:hideMark/>
          </w:tcPr>
          <w:p w:rsidR="00A77E09" w:rsidRPr="007E7499" w:rsidRDefault="00A77E09" w:rsidP="000A0481">
            <w:pPr>
              <w:widowControl w:val="0"/>
              <w:autoSpaceDE w:val="0"/>
              <w:autoSpaceDN w:val="0"/>
              <w:adjustRightInd w:val="0"/>
              <w:rPr>
                <w:rFonts w:eastAsia="MS Mincho"/>
                <w:sz w:val="16"/>
                <w:szCs w:val="16"/>
              </w:rPr>
            </w:pPr>
            <w:r w:rsidRPr="007E7499">
              <w:rPr>
                <w:sz w:val="16"/>
                <w:szCs w:val="16"/>
                <w:u w:val="single"/>
              </w:rPr>
              <w:t>2016</w:t>
            </w:r>
            <w:r w:rsidRPr="007E7499">
              <w:rPr>
                <w:sz w:val="16"/>
                <w:szCs w:val="16"/>
              </w:rPr>
              <w:br/>
              <w:t>Solicitudes 4.940</w:t>
            </w:r>
            <w:r w:rsidRPr="007E7499">
              <w:rPr>
                <w:sz w:val="16"/>
                <w:szCs w:val="16"/>
              </w:rPr>
              <w:br/>
            </w:r>
            <w:r w:rsidRPr="007E7499">
              <w:rPr>
                <w:rFonts w:eastAsia="MS Mincho"/>
                <w:sz w:val="16"/>
                <w:szCs w:val="16"/>
              </w:rPr>
              <w:t>Dibujos y modelos</w:t>
            </w:r>
          </w:p>
          <w:p w:rsidR="00A77E09" w:rsidRPr="007E7499" w:rsidRDefault="00A77E09" w:rsidP="000A0481">
            <w:pPr>
              <w:widowControl w:val="0"/>
              <w:rPr>
                <w:sz w:val="16"/>
                <w:szCs w:val="16"/>
              </w:rPr>
            </w:pPr>
            <w:r w:rsidRPr="007E7499">
              <w:rPr>
                <w:rFonts w:eastAsia="MS Mincho"/>
                <w:sz w:val="16"/>
                <w:szCs w:val="16"/>
              </w:rPr>
              <w:t xml:space="preserve">contenidos </w:t>
            </w:r>
            <w:r w:rsidRPr="007E7499">
              <w:rPr>
                <w:sz w:val="16"/>
                <w:szCs w:val="16"/>
              </w:rPr>
              <w:t>22.730</w:t>
            </w:r>
            <w:r w:rsidRPr="007E7499">
              <w:rPr>
                <w:sz w:val="16"/>
                <w:szCs w:val="16"/>
              </w:rPr>
              <w:br/>
              <w:t xml:space="preserve">Renovaciones  2.830  </w:t>
            </w:r>
          </w:p>
          <w:p w:rsidR="00A77E09" w:rsidRPr="007E7499" w:rsidRDefault="00DE56AC" w:rsidP="00DE56AC">
            <w:pPr>
              <w:widowControl w:val="0"/>
              <w:autoSpaceDE w:val="0"/>
              <w:autoSpaceDN w:val="0"/>
              <w:adjustRightInd w:val="0"/>
              <w:rPr>
                <w:rFonts w:eastAsia="MS Mincho"/>
                <w:sz w:val="16"/>
                <w:szCs w:val="16"/>
              </w:rPr>
            </w:pPr>
            <w:r>
              <w:rPr>
                <w:sz w:val="16"/>
                <w:szCs w:val="16"/>
              </w:rPr>
              <w:t>(-1,</w:t>
            </w:r>
            <w:r w:rsidR="00A77E09" w:rsidRPr="007E7499">
              <w:rPr>
                <w:sz w:val="16"/>
                <w:szCs w:val="16"/>
              </w:rPr>
              <w:t>0%).</w:t>
            </w:r>
            <w:r w:rsidR="00A77E09" w:rsidRPr="007E7499">
              <w:rPr>
                <w:sz w:val="16"/>
                <w:szCs w:val="16"/>
              </w:rPr>
              <w:br/>
            </w:r>
            <w:r w:rsidR="00A77E09" w:rsidRPr="007E7499">
              <w:rPr>
                <w:sz w:val="16"/>
                <w:szCs w:val="16"/>
              </w:rPr>
              <w:br/>
            </w:r>
            <w:r w:rsidR="00A77E09" w:rsidRPr="007E7499">
              <w:rPr>
                <w:sz w:val="16"/>
                <w:szCs w:val="16"/>
                <w:u w:val="single"/>
              </w:rPr>
              <w:t>2017</w:t>
            </w:r>
            <w:r w:rsidR="00A77E09" w:rsidRPr="007E7499">
              <w:rPr>
                <w:sz w:val="16"/>
                <w:szCs w:val="16"/>
              </w:rPr>
              <w:br/>
              <w:t>Solicitudes 5.710</w:t>
            </w:r>
            <w:r w:rsidR="00A77E09" w:rsidRPr="007E7499">
              <w:rPr>
                <w:sz w:val="16"/>
                <w:szCs w:val="16"/>
              </w:rPr>
              <w:br/>
            </w:r>
            <w:r w:rsidR="00A77E09" w:rsidRPr="007E7499">
              <w:rPr>
                <w:rFonts w:eastAsia="MS Mincho"/>
                <w:sz w:val="16"/>
                <w:szCs w:val="16"/>
              </w:rPr>
              <w:t xml:space="preserve">Dibujos y modelos contenidos </w:t>
            </w:r>
            <w:r>
              <w:rPr>
                <w:sz w:val="16"/>
                <w:szCs w:val="16"/>
              </w:rPr>
              <w:t>26.140</w:t>
            </w:r>
            <w:r>
              <w:rPr>
                <w:sz w:val="16"/>
                <w:szCs w:val="16"/>
              </w:rPr>
              <w:br/>
              <w:t>Renovaciones  2.940 (+ </w:t>
            </w:r>
            <w:r w:rsidR="00A77E09" w:rsidRPr="007E7499">
              <w:rPr>
                <w:sz w:val="16"/>
                <w:szCs w:val="16"/>
              </w:rPr>
              <w:t>3</w:t>
            </w:r>
            <w:r>
              <w:rPr>
                <w:sz w:val="16"/>
                <w:szCs w:val="16"/>
              </w:rPr>
              <w:t>,</w:t>
            </w:r>
            <w:r w:rsidR="00A77E09" w:rsidRPr="007E7499">
              <w:rPr>
                <w:sz w:val="16"/>
                <w:szCs w:val="16"/>
              </w:rPr>
              <w:t>9%).</w:t>
            </w:r>
            <w:r>
              <w:rPr>
                <w:sz w:val="16"/>
                <w:szCs w:val="16"/>
              </w:rPr>
              <w:br/>
            </w:r>
          </w:p>
        </w:tc>
      </w:tr>
      <w:tr w:rsidR="00A77E09" w:rsidRPr="007E7499" w:rsidTr="00A77E09">
        <w:trPr>
          <w:trHeight w:val="546"/>
        </w:trPr>
        <w:tc>
          <w:tcPr>
            <w:tcW w:w="2340" w:type="dxa"/>
            <w:tcBorders>
              <w:top w:val="single" w:sz="4" w:space="0" w:color="auto"/>
              <w:left w:val="single" w:sz="4" w:space="0" w:color="auto"/>
              <w:right w:val="nil"/>
            </w:tcBorders>
            <w:shd w:val="clear" w:color="000000" w:fill="FFFFFF"/>
            <w:tcMar>
              <w:top w:w="85" w:type="dxa"/>
            </w:tcMar>
            <w:hideMark/>
          </w:tcPr>
          <w:p w:rsidR="00A77E09" w:rsidRPr="007E7499" w:rsidRDefault="006C23D5" w:rsidP="000A0481">
            <w:pPr>
              <w:keepNext/>
              <w:widowControl w:val="0"/>
              <w:rPr>
                <w:sz w:val="16"/>
                <w:szCs w:val="16"/>
              </w:rPr>
            </w:pPr>
            <w:r>
              <w:rPr>
                <w:sz w:val="16"/>
                <w:szCs w:val="16"/>
              </w:rPr>
              <w:lastRenderedPageBreak/>
              <w:t xml:space="preserve">II.5  </w:t>
            </w:r>
            <w:r w:rsidRPr="00ED369F">
              <w:rPr>
                <w:sz w:val="16"/>
                <w:szCs w:val="16"/>
                <w:lang w:val="es-ES_tradnl"/>
              </w:rPr>
              <w:t>Mejora de la productividad y de la calidad de los servicios en las operaciones del Sistema de La Haya</w:t>
            </w:r>
          </w:p>
        </w:tc>
        <w:tc>
          <w:tcPr>
            <w:tcW w:w="2340" w:type="dxa"/>
            <w:tcBorders>
              <w:top w:val="single" w:sz="4" w:space="0" w:color="auto"/>
              <w:left w:val="nil"/>
              <w:right w:val="nil"/>
            </w:tcBorders>
            <w:shd w:val="clear" w:color="000000" w:fill="FFFFFF"/>
            <w:tcMar>
              <w:top w:w="85" w:type="dxa"/>
            </w:tcMar>
            <w:hideMark/>
          </w:tcPr>
          <w:p w:rsidR="00A77E09" w:rsidRPr="007E7499" w:rsidRDefault="00A77E09" w:rsidP="000A0481">
            <w:pPr>
              <w:keepNext/>
              <w:widowControl w:val="0"/>
              <w:rPr>
                <w:sz w:val="16"/>
                <w:szCs w:val="16"/>
              </w:rPr>
            </w:pPr>
            <w:r w:rsidRPr="007E7499">
              <w:rPr>
                <w:sz w:val="16"/>
                <w:szCs w:val="16"/>
              </w:rPr>
              <w:t>Predominio del Acta de Ginebra (1999) en el Sistema de La Haya.</w:t>
            </w:r>
          </w:p>
        </w:tc>
        <w:tc>
          <w:tcPr>
            <w:tcW w:w="2340" w:type="dxa"/>
            <w:tcBorders>
              <w:top w:val="single" w:sz="4" w:space="0" w:color="auto"/>
              <w:left w:val="nil"/>
              <w:right w:val="nil"/>
            </w:tcBorders>
            <w:shd w:val="clear" w:color="000000" w:fill="FFFFFF"/>
            <w:tcMar>
              <w:top w:w="85" w:type="dxa"/>
            </w:tcMar>
            <w:hideMark/>
          </w:tcPr>
          <w:p w:rsidR="00A77E09" w:rsidRPr="007E7499" w:rsidRDefault="00A77E09" w:rsidP="000A0481">
            <w:pPr>
              <w:keepNext/>
              <w:widowControl w:val="0"/>
              <w:rPr>
                <w:sz w:val="16"/>
                <w:szCs w:val="16"/>
              </w:rPr>
            </w:pPr>
            <w:r w:rsidRPr="007E7499">
              <w:rPr>
                <w:sz w:val="16"/>
                <w:szCs w:val="16"/>
              </w:rPr>
              <w:t>10 comunicaciones de consentimiento para cesar la aplicación del Acta de 1934 (todavía faltan 3). 4 Partes Contratantes obligadas únicamente por el Acta de 1960 (que no son miembros de una organización intergubernamental parte en el Acta de 1999).</w:t>
            </w:r>
          </w:p>
        </w:tc>
        <w:tc>
          <w:tcPr>
            <w:tcW w:w="2175" w:type="dxa"/>
            <w:tcBorders>
              <w:top w:val="single" w:sz="4" w:space="0" w:color="auto"/>
              <w:left w:val="nil"/>
              <w:right w:val="single" w:sz="4" w:space="0" w:color="auto"/>
            </w:tcBorders>
            <w:shd w:val="clear" w:color="000000" w:fill="FFFFFF"/>
            <w:tcMar>
              <w:top w:w="85" w:type="dxa"/>
            </w:tcMar>
            <w:hideMark/>
          </w:tcPr>
          <w:p w:rsidR="00A77E09" w:rsidRPr="007E7499" w:rsidRDefault="00A77E09" w:rsidP="000A0481">
            <w:pPr>
              <w:keepNext/>
              <w:widowControl w:val="0"/>
              <w:rPr>
                <w:sz w:val="16"/>
                <w:szCs w:val="16"/>
              </w:rPr>
            </w:pPr>
            <w:r w:rsidRPr="007E7499">
              <w:rPr>
                <w:sz w:val="16"/>
                <w:szCs w:val="16"/>
              </w:rPr>
              <w:t>Todas las (13) comunicaciones de consentimiento para cesar la aplicación recibidas.  Todas las Partes Contratantes obligadas por el Acta de 1999 (o miembros de una organización intergubernamental parte en el Acta de 1999).</w:t>
            </w:r>
          </w:p>
        </w:tc>
      </w:tr>
      <w:tr w:rsidR="00A77E09" w:rsidRPr="007E7499" w:rsidTr="00A77E09">
        <w:trPr>
          <w:trHeight w:val="761"/>
        </w:trPr>
        <w:tc>
          <w:tcPr>
            <w:tcW w:w="2340" w:type="dxa"/>
            <w:tcBorders>
              <w:left w:val="single" w:sz="4" w:space="0" w:color="auto"/>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left w:val="nil"/>
              <w:bottom w:val="nil"/>
              <w:right w:val="nil"/>
            </w:tcBorders>
            <w:shd w:val="clear" w:color="auto" w:fill="auto"/>
            <w:tcMar>
              <w:top w:w="85" w:type="dxa"/>
            </w:tcMar>
            <w:hideMark/>
          </w:tcPr>
          <w:p w:rsidR="00A77E09" w:rsidRPr="007E7499" w:rsidRDefault="00A77E09" w:rsidP="000A0481">
            <w:pPr>
              <w:widowControl w:val="0"/>
              <w:rPr>
                <w:sz w:val="16"/>
                <w:szCs w:val="16"/>
              </w:rPr>
            </w:pPr>
            <w:r w:rsidRPr="007E7499">
              <w:rPr>
                <w:sz w:val="16"/>
                <w:szCs w:val="16"/>
              </w:rPr>
              <w:t xml:space="preserve">Procesos y procedimientos adaptados a la evolución geográfica y jurídica del sistema. </w:t>
            </w:r>
          </w:p>
        </w:tc>
        <w:tc>
          <w:tcPr>
            <w:tcW w:w="2340" w:type="dxa"/>
            <w:tcBorders>
              <w:left w:val="nil"/>
              <w:bottom w:val="nil"/>
              <w:right w:val="nil"/>
            </w:tcBorders>
            <w:shd w:val="clear" w:color="auto" w:fill="auto"/>
            <w:tcMar>
              <w:top w:w="85" w:type="dxa"/>
            </w:tcMar>
            <w:hideMark/>
          </w:tcPr>
          <w:p w:rsidR="00A77E09" w:rsidRPr="007E7499" w:rsidRDefault="00A77E09" w:rsidP="000A0481">
            <w:pPr>
              <w:widowControl w:val="0"/>
              <w:rPr>
                <w:sz w:val="16"/>
                <w:szCs w:val="16"/>
              </w:rPr>
            </w:pPr>
            <w:r w:rsidRPr="007E7499">
              <w:rPr>
                <w:sz w:val="16"/>
                <w:szCs w:val="16"/>
              </w:rPr>
              <w:t>Procesos y procedimientos adaptados.</w:t>
            </w:r>
          </w:p>
        </w:tc>
        <w:tc>
          <w:tcPr>
            <w:tcW w:w="2175" w:type="dxa"/>
            <w:tcBorders>
              <w:left w:val="nil"/>
              <w:bottom w:val="nil"/>
              <w:right w:val="single" w:sz="4" w:space="0" w:color="auto"/>
            </w:tcBorders>
            <w:shd w:val="clear" w:color="auto" w:fill="auto"/>
            <w:tcMar>
              <w:top w:w="85" w:type="dxa"/>
            </w:tcMar>
            <w:hideMark/>
          </w:tcPr>
          <w:p w:rsidR="00A77E09" w:rsidRPr="007E7499" w:rsidRDefault="00A77E09" w:rsidP="000A0481">
            <w:pPr>
              <w:widowControl w:val="0"/>
              <w:rPr>
                <w:sz w:val="16"/>
                <w:szCs w:val="16"/>
              </w:rPr>
            </w:pPr>
            <w:r w:rsidRPr="007E7499">
              <w:rPr>
                <w:sz w:val="16"/>
                <w:szCs w:val="16"/>
              </w:rPr>
              <w:t>Procesos y procedimientos adaptados.</w:t>
            </w:r>
          </w:p>
        </w:tc>
      </w:tr>
      <w:tr w:rsidR="00A77E09" w:rsidRPr="007E7499" w:rsidTr="000A0481">
        <w:trPr>
          <w:trHeight w:val="1861"/>
        </w:trPr>
        <w:tc>
          <w:tcPr>
            <w:tcW w:w="2340" w:type="dxa"/>
            <w:tcBorders>
              <w:top w:val="nil"/>
              <w:left w:val="single" w:sz="4" w:space="0" w:color="auto"/>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Avances en la mejora del marco jurídico.</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Modificaciones en el Reglamento (en vigor el 1/1/2015) y en las Instrucciones Administrativas (en vigor el 1/7/2014) para adaptar el Sistema de </w:t>
            </w:r>
            <w:r w:rsidR="003B0DF0">
              <w:rPr>
                <w:sz w:val="16"/>
                <w:szCs w:val="16"/>
              </w:rPr>
              <w:t>La Haya</w:t>
            </w:r>
            <w:r w:rsidRPr="007E7499">
              <w:rPr>
                <w:sz w:val="16"/>
                <w:szCs w:val="16"/>
              </w:rPr>
              <w:t xml:space="preserve"> a su expansión geográfica a nuevas y futuras Partes Contratantes con sistemas de examen.</w:t>
            </w:r>
          </w:p>
        </w:tc>
        <w:tc>
          <w:tcPr>
            <w:tcW w:w="2175" w:type="dxa"/>
            <w:tcBorders>
              <w:top w:val="nil"/>
              <w:left w:val="nil"/>
              <w:bottom w:val="nil"/>
              <w:right w:val="single" w:sz="4" w:space="0" w:color="auto"/>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Actualización del marco jurídico para seguir el ritmo de la evolución en el  sector de los dibujos y modelos en todo el mundo.</w:t>
            </w:r>
          </w:p>
        </w:tc>
      </w:tr>
      <w:tr w:rsidR="00A77E09" w:rsidRPr="007E7499" w:rsidTr="000A0481">
        <w:trPr>
          <w:trHeight w:val="824"/>
        </w:trPr>
        <w:tc>
          <w:tcPr>
            <w:tcW w:w="2340" w:type="dxa"/>
            <w:tcBorders>
              <w:top w:val="nil"/>
              <w:left w:val="single" w:sz="4" w:space="0" w:color="auto"/>
              <w:right w:val="nil"/>
            </w:tcBorders>
            <w:shd w:val="clear" w:color="000000" w:fill="FFFFFF"/>
            <w:tcMar>
              <w:top w:w="85" w:type="dxa"/>
            </w:tcMar>
          </w:tcPr>
          <w:p w:rsidR="00A77E09" w:rsidRPr="007E7499" w:rsidRDefault="00A77E09" w:rsidP="000A0481">
            <w:pPr>
              <w:widowControl w:val="0"/>
              <w:rPr>
                <w:sz w:val="16"/>
                <w:szCs w:val="16"/>
              </w:rPr>
            </w:pPr>
          </w:p>
        </w:tc>
        <w:tc>
          <w:tcPr>
            <w:tcW w:w="2340" w:type="dxa"/>
            <w:tcBorders>
              <w:top w:val="nil"/>
              <w:left w:val="nil"/>
              <w:right w:val="nil"/>
            </w:tcBorders>
            <w:shd w:val="clear" w:color="000000" w:fill="FFFFFF"/>
            <w:tcMar>
              <w:top w:w="85" w:type="dxa"/>
            </w:tcMar>
          </w:tcPr>
          <w:p w:rsidR="00A77E09" w:rsidRPr="007E7499" w:rsidRDefault="00A77E09" w:rsidP="000A0481">
            <w:pPr>
              <w:widowControl w:val="0"/>
              <w:rPr>
                <w:sz w:val="16"/>
                <w:szCs w:val="16"/>
              </w:rPr>
            </w:pPr>
            <w:r w:rsidRPr="007E7499">
              <w:rPr>
                <w:sz w:val="16"/>
                <w:szCs w:val="16"/>
              </w:rPr>
              <w:t xml:space="preserve">Mejora del funcionamiento del Registro de </w:t>
            </w:r>
            <w:r w:rsidR="003B0DF0">
              <w:rPr>
                <w:sz w:val="16"/>
                <w:szCs w:val="16"/>
              </w:rPr>
              <w:t>La Haya</w:t>
            </w:r>
            <w:r w:rsidRPr="007E7499">
              <w:rPr>
                <w:sz w:val="16"/>
                <w:szCs w:val="16"/>
              </w:rPr>
              <w:t xml:space="preserve">, incluidos los procesos y procedimientos electrónicos. </w:t>
            </w:r>
          </w:p>
        </w:tc>
        <w:tc>
          <w:tcPr>
            <w:tcW w:w="2340" w:type="dxa"/>
            <w:tcBorders>
              <w:top w:val="nil"/>
              <w:left w:val="nil"/>
              <w:right w:val="nil"/>
            </w:tcBorders>
            <w:shd w:val="clear" w:color="000000" w:fill="FFFFFF"/>
            <w:tcMar>
              <w:top w:w="85" w:type="dxa"/>
            </w:tcMar>
          </w:tcPr>
          <w:p w:rsidR="00A77E09" w:rsidRPr="007E7499" w:rsidRDefault="00A77E09" w:rsidP="000A0481">
            <w:pPr>
              <w:widowControl w:val="0"/>
              <w:rPr>
                <w:sz w:val="16"/>
                <w:szCs w:val="16"/>
              </w:rPr>
            </w:pPr>
            <w:r w:rsidRPr="007E7499">
              <w:rPr>
                <w:sz w:val="16"/>
                <w:szCs w:val="16"/>
              </w:rPr>
              <w:t>2 interfaces electrónicas del Sistema de la Haya.</w:t>
            </w:r>
          </w:p>
        </w:tc>
        <w:tc>
          <w:tcPr>
            <w:tcW w:w="2175" w:type="dxa"/>
            <w:tcBorders>
              <w:top w:val="nil"/>
              <w:left w:val="nil"/>
              <w:right w:val="single" w:sz="4" w:space="0" w:color="auto"/>
            </w:tcBorders>
            <w:shd w:val="clear" w:color="000000" w:fill="FFFFFF"/>
            <w:tcMar>
              <w:top w:w="85" w:type="dxa"/>
            </w:tcMar>
          </w:tcPr>
          <w:p w:rsidR="00A77E09" w:rsidRPr="007E7499" w:rsidRDefault="00A77E09" w:rsidP="000A0481">
            <w:pPr>
              <w:widowControl w:val="0"/>
              <w:rPr>
                <w:sz w:val="16"/>
                <w:szCs w:val="16"/>
              </w:rPr>
            </w:pPr>
            <w:r w:rsidRPr="007E7499">
              <w:rPr>
                <w:sz w:val="16"/>
                <w:szCs w:val="16"/>
              </w:rPr>
              <w:t>6 interfaces electrónicas del Sistema de la Haya.</w:t>
            </w:r>
          </w:p>
        </w:tc>
      </w:tr>
      <w:tr w:rsidR="00A77E09" w:rsidRPr="007E7499" w:rsidTr="000A0481">
        <w:trPr>
          <w:trHeight w:val="827"/>
        </w:trPr>
        <w:tc>
          <w:tcPr>
            <w:tcW w:w="2340" w:type="dxa"/>
            <w:tcBorders>
              <w:left w:val="single" w:sz="4" w:space="0" w:color="auto"/>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left w:val="nil"/>
              <w:bottom w:val="nil"/>
              <w:right w:val="nil"/>
            </w:tcBorders>
            <w:shd w:val="clear" w:color="000000" w:fill="FFFFFF"/>
            <w:tcMar>
              <w:top w:w="85" w:type="dxa"/>
            </w:tcMar>
            <w:hideMark/>
          </w:tcPr>
          <w:p w:rsidR="00A77E09" w:rsidRPr="007E7499" w:rsidRDefault="00DF7167" w:rsidP="00DF7167">
            <w:pPr>
              <w:widowControl w:val="0"/>
              <w:rPr>
                <w:sz w:val="16"/>
                <w:szCs w:val="16"/>
              </w:rPr>
            </w:pPr>
            <w:r>
              <w:rPr>
                <w:sz w:val="16"/>
                <w:szCs w:val="16"/>
              </w:rPr>
              <w:t>Prestación estable</w:t>
            </w:r>
            <w:r w:rsidR="00A77E09" w:rsidRPr="007E7499">
              <w:rPr>
                <w:sz w:val="16"/>
                <w:szCs w:val="16"/>
              </w:rPr>
              <w:t xml:space="preserve"> de las funciones auxiliares de gestión  de los servicios informáticos del Sistema de </w:t>
            </w:r>
            <w:r w:rsidR="00473C96" w:rsidRPr="007E7499">
              <w:rPr>
                <w:sz w:val="16"/>
                <w:szCs w:val="16"/>
              </w:rPr>
              <w:t xml:space="preserve">La </w:t>
            </w:r>
            <w:r w:rsidR="00A77E09" w:rsidRPr="007E7499">
              <w:rPr>
                <w:sz w:val="16"/>
                <w:szCs w:val="16"/>
              </w:rPr>
              <w:t xml:space="preserve">Haya </w:t>
            </w:r>
          </w:p>
        </w:tc>
        <w:tc>
          <w:tcPr>
            <w:tcW w:w="2340" w:type="dxa"/>
            <w:tcBorders>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Servicio sin interrupciones. Mejoras logradas y puestas en marcha a tiempo.</w:t>
            </w:r>
          </w:p>
        </w:tc>
        <w:tc>
          <w:tcPr>
            <w:tcW w:w="2175" w:type="dxa"/>
            <w:tcBorders>
              <w:left w:val="nil"/>
              <w:bottom w:val="nil"/>
              <w:right w:val="single" w:sz="4" w:space="0" w:color="auto"/>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Servicio sin interrupciones. Mejoras logradas y puestas en marcha a tiempo.</w:t>
            </w:r>
          </w:p>
        </w:tc>
      </w:tr>
      <w:tr w:rsidR="00A77E09" w:rsidRPr="007E7499" w:rsidTr="000A0481">
        <w:trPr>
          <w:trHeight w:val="1619"/>
        </w:trPr>
        <w:tc>
          <w:tcPr>
            <w:tcW w:w="2340" w:type="dxa"/>
            <w:tcBorders>
              <w:top w:val="nil"/>
              <w:left w:val="single" w:sz="4" w:space="0" w:color="auto"/>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Flexibilidad de los datos inscritos en el Registro Internacional.</w:t>
            </w:r>
          </w:p>
        </w:tc>
        <w:tc>
          <w:tcPr>
            <w:tcW w:w="2340" w:type="dxa"/>
            <w:tcBorders>
              <w:top w:val="nil"/>
              <w:left w:val="nil"/>
              <w:bottom w:val="nil"/>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De conformidad con las modificaciones introducidas en el marco jurídico del Sistema de </w:t>
            </w:r>
            <w:r w:rsidR="003B0DF0">
              <w:rPr>
                <w:sz w:val="16"/>
                <w:szCs w:val="16"/>
              </w:rPr>
              <w:t>La Haya</w:t>
            </w:r>
            <w:r w:rsidRPr="007E7499">
              <w:rPr>
                <w:sz w:val="16"/>
                <w:szCs w:val="16"/>
              </w:rPr>
              <w:t xml:space="preserve">, mayor flexibilidad respecto de los contenidos opcionales de las solicitudes internacionales que se indican e inscriben en el Registro Internacional. </w:t>
            </w:r>
          </w:p>
        </w:tc>
        <w:tc>
          <w:tcPr>
            <w:tcW w:w="2175" w:type="dxa"/>
            <w:tcBorders>
              <w:top w:val="nil"/>
              <w:left w:val="nil"/>
              <w:bottom w:val="nil"/>
              <w:right w:val="single" w:sz="4" w:space="0" w:color="auto"/>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Flexibilidad de los datos inscritos en el Registro Internacional, y especificación posible de contenidos opcionales adicionales inscritos en el Registro Internacional.</w:t>
            </w:r>
          </w:p>
        </w:tc>
      </w:tr>
      <w:tr w:rsidR="00473C96" w:rsidRPr="007E7499" w:rsidTr="009D26E1">
        <w:trPr>
          <w:trHeight w:val="401"/>
        </w:trPr>
        <w:tc>
          <w:tcPr>
            <w:tcW w:w="2340" w:type="dxa"/>
            <w:tcBorders>
              <w:top w:val="nil"/>
              <w:left w:val="single" w:sz="4" w:space="0" w:color="auto"/>
              <w:right w:val="nil"/>
            </w:tcBorders>
            <w:shd w:val="clear" w:color="000000" w:fill="FFFFFF"/>
            <w:tcMar>
              <w:top w:w="85" w:type="dxa"/>
            </w:tcMar>
            <w:hideMark/>
          </w:tcPr>
          <w:p w:rsidR="00473C96" w:rsidRPr="007E7499" w:rsidRDefault="00473C96" w:rsidP="009D26E1">
            <w:pPr>
              <w:widowControl w:val="0"/>
              <w:rPr>
                <w:sz w:val="16"/>
                <w:szCs w:val="16"/>
              </w:rPr>
            </w:pPr>
            <w:r w:rsidRPr="007E7499">
              <w:rPr>
                <w:sz w:val="16"/>
                <w:szCs w:val="16"/>
              </w:rPr>
              <w:t> </w:t>
            </w:r>
          </w:p>
        </w:tc>
        <w:tc>
          <w:tcPr>
            <w:tcW w:w="2340" w:type="dxa"/>
            <w:tcBorders>
              <w:top w:val="nil"/>
              <w:left w:val="nil"/>
              <w:right w:val="nil"/>
            </w:tcBorders>
            <w:shd w:val="clear" w:color="auto" w:fill="auto"/>
            <w:tcMar>
              <w:top w:w="85" w:type="dxa"/>
            </w:tcMar>
            <w:hideMark/>
          </w:tcPr>
          <w:p w:rsidR="00473C96" w:rsidRPr="007E7499" w:rsidRDefault="00473C96" w:rsidP="009D26E1">
            <w:pPr>
              <w:widowControl w:val="0"/>
              <w:rPr>
                <w:sz w:val="16"/>
                <w:szCs w:val="16"/>
              </w:rPr>
            </w:pPr>
          </w:p>
        </w:tc>
        <w:tc>
          <w:tcPr>
            <w:tcW w:w="2340" w:type="dxa"/>
            <w:tcBorders>
              <w:top w:val="nil"/>
              <w:left w:val="nil"/>
              <w:right w:val="nil"/>
            </w:tcBorders>
            <w:shd w:val="clear" w:color="auto" w:fill="auto"/>
            <w:tcMar>
              <w:top w:w="85" w:type="dxa"/>
            </w:tcMar>
            <w:hideMark/>
          </w:tcPr>
          <w:p w:rsidR="00473C96" w:rsidRPr="007E7499" w:rsidRDefault="00473C96" w:rsidP="009D26E1">
            <w:pPr>
              <w:widowControl w:val="0"/>
              <w:rPr>
                <w:sz w:val="16"/>
                <w:szCs w:val="16"/>
              </w:rPr>
            </w:pPr>
            <w:r w:rsidRPr="007E7499">
              <w:rPr>
                <w:sz w:val="16"/>
                <w:szCs w:val="16"/>
              </w:rPr>
              <w:t>Incapacidad de registrar información detallada sobre los dibujos y modelos.</w:t>
            </w:r>
          </w:p>
        </w:tc>
        <w:tc>
          <w:tcPr>
            <w:tcW w:w="2175" w:type="dxa"/>
            <w:tcBorders>
              <w:top w:val="nil"/>
              <w:left w:val="nil"/>
              <w:right w:val="single" w:sz="4" w:space="0" w:color="auto"/>
            </w:tcBorders>
            <w:shd w:val="clear" w:color="auto" w:fill="auto"/>
            <w:tcMar>
              <w:top w:w="85" w:type="dxa"/>
            </w:tcMar>
            <w:hideMark/>
          </w:tcPr>
          <w:p w:rsidR="00473C96" w:rsidRPr="007E7499" w:rsidRDefault="00473C96" w:rsidP="009D26E1">
            <w:pPr>
              <w:widowControl w:val="0"/>
              <w:rPr>
                <w:sz w:val="16"/>
                <w:szCs w:val="16"/>
              </w:rPr>
            </w:pPr>
            <w:r w:rsidRPr="007E7499">
              <w:rPr>
                <w:sz w:val="16"/>
                <w:szCs w:val="16"/>
              </w:rPr>
              <w:t>Capacidad de registrar información detallada sobre los dibujos y modelos.</w:t>
            </w:r>
          </w:p>
        </w:tc>
      </w:tr>
      <w:tr w:rsidR="00A77E09" w:rsidRPr="007E7499" w:rsidTr="000A0481">
        <w:trPr>
          <w:trHeight w:val="1473"/>
        </w:trPr>
        <w:tc>
          <w:tcPr>
            <w:tcW w:w="2340" w:type="dxa"/>
            <w:tcBorders>
              <w:top w:val="nil"/>
              <w:left w:val="single" w:sz="4" w:space="0" w:color="auto"/>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p>
        </w:tc>
        <w:tc>
          <w:tcPr>
            <w:tcW w:w="2340" w:type="dxa"/>
            <w:tcBorders>
              <w:top w:val="nil"/>
              <w:left w:val="nil"/>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 xml:space="preserve">3 versiones instaladas de DIRIS y 3 versiones instaladas del sistema de presentación electrónica de solicitudes del Sistema de </w:t>
            </w:r>
            <w:r w:rsidR="003B0DF0">
              <w:rPr>
                <w:sz w:val="16"/>
                <w:szCs w:val="16"/>
              </w:rPr>
              <w:t>La Haya</w:t>
            </w:r>
            <w:r w:rsidRPr="007E7499">
              <w:rPr>
                <w:sz w:val="16"/>
                <w:szCs w:val="16"/>
              </w:rPr>
              <w:t>.</w:t>
            </w:r>
          </w:p>
        </w:tc>
        <w:tc>
          <w:tcPr>
            <w:tcW w:w="2340" w:type="dxa"/>
            <w:tcBorders>
              <w:top w:val="nil"/>
              <w:left w:val="nil"/>
              <w:bottom w:val="single" w:sz="4" w:space="0" w:color="auto"/>
              <w:right w:val="nil"/>
            </w:tcBorders>
            <w:shd w:val="clear" w:color="000000" w:fill="FFFFFF"/>
            <w:tcMar>
              <w:top w:w="85" w:type="dxa"/>
            </w:tcMar>
            <w:hideMark/>
          </w:tcPr>
          <w:p w:rsidR="00A77E09" w:rsidRPr="007E7499" w:rsidRDefault="00A77E09" w:rsidP="000A0481">
            <w:pPr>
              <w:widowControl w:val="0"/>
              <w:rPr>
                <w:sz w:val="16"/>
                <w:szCs w:val="16"/>
              </w:rPr>
            </w:pPr>
            <w:r w:rsidRPr="007E7499">
              <w:rPr>
                <w:sz w:val="16"/>
                <w:szCs w:val="16"/>
              </w:rPr>
              <w:t>DIRIS no instalado, sistema de presentación electrónica HPM en producción, la base de datos actual no refleja el nivel de detalle esperado, el sistema de presentación electrónica no admite la respuesta electrónica de cartas de irregularidad.</w:t>
            </w:r>
          </w:p>
        </w:tc>
        <w:tc>
          <w:tcPr>
            <w:tcW w:w="2175" w:type="dxa"/>
            <w:tcBorders>
              <w:top w:val="nil"/>
              <w:left w:val="nil"/>
              <w:bottom w:val="single" w:sz="4" w:space="0" w:color="auto"/>
              <w:right w:val="single" w:sz="4" w:space="0" w:color="auto"/>
            </w:tcBorders>
            <w:shd w:val="clear" w:color="000000" w:fill="FFFFFF"/>
            <w:tcMar>
              <w:top w:w="85" w:type="dxa"/>
            </w:tcMar>
            <w:hideMark/>
          </w:tcPr>
          <w:p w:rsidR="00A77E09" w:rsidRPr="007E7499" w:rsidRDefault="00A77E09" w:rsidP="00DE56AC">
            <w:pPr>
              <w:widowControl w:val="0"/>
              <w:rPr>
                <w:sz w:val="16"/>
                <w:szCs w:val="16"/>
              </w:rPr>
            </w:pPr>
            <w:r w:rsidRPr="007E7499">
              <w:rPr>
                <w:sz w:val="16"/>
                <w:szCs w:val="16"/>
              </w:rPr>
              <w:t xml:space="preserve">3 nuevas versiones instaladas de DIRIS y 3 versiones actualizadas instaladas del sistema de presentación electrónica de solicitudes del Sistema de </w:t>
            </w:r>
            <w:r w:rsidR="003B0DF0">
              <w:rPr>
                <w:sz w:val="16"/>
                <w:szCs w:val="16"/>
              </w:rPr>
              <w:t>La Haya</w:t>
            </w:r>
            <w:r w:rsidRPr="007E7499">
              <w:rPr>
                <w:sz w:val="16"/>
                <w:szCs w:val="16"/>
              </w:rPr>
              <w:t>, posibilidad de responder de manera electrónica a las cartas de irregularidad, y diseño revisado de una base</w:t>
            </w:r>
            <w:r w:rsidR="00DE56AC">
              <w:rPr>
                <w:sz w:val="16"/>
                <w:szCs w:val="16"/>
              </w:rPr>
              <w:t xml:space="preserve"> lógica</w:t>
            </w:r>
            <w:r w:rsidRPr="007E7499">
              <w:rPr>
                <w:sz w:val="16"/>
                <w:szCs w:val="16"/>
              </w:rPr>
              <w:t xml:space="preserve"> de datos. </w:t>
            </w:r>
            <w:r w:rsidR="00DE56AC">
              <w:rPr>
                <w:sz w:val="16"/>
                <w:szCs w:val="16"/>
              </w:rPr>
              <w:br/>
            </w:r>
          </w:p>
        </w:tc>
      </w:tr>
    </w:tbl>
    <w:p w:rsidR="00A77E09" w:rsidRPr="007E7499" w:rsidRDefault="00A77E09" w:rsidP="00A77E09">
      <w:pPr>
        <w:widowControl w:val="0"/>
        <w:jc w:val="both"/>
        <w:rPr>
          <w:sz w:val="20"/>
        </w:rPr>
      </w:pPr>
    </w:p>
    <w:p w:rsidR="00A77E09" w:rsidRPr="007E7499" w:rsidRDefault="00A77E09" w:rsidP="00A77E09">
      <w:pPr>
        <w:widowControl w:val="0"/>
        <w:jc w:val="both"/>
        <w:rPr>
          <w:sz w:val="20"/>
        </w:rPr>
      </w:pPr>
    </w:p>
    <w:p w:rsidR="00A77E09" w:rsidRDefault="00A77E09">
      <w:pPr>
        <w:rPr>
          <w:sz w:val="20"/>
        </w:rPr>
      </w:pPr>
      <w:r>
        <w:rPr>
          <w:sz w:val="20"/>
        </w:rPr>
        <w:br w:type="page"/>
      </w:r>
    </w:p>
    <w:p w:rsidR="00A77E09" w:rsidRPr="00AC5C67" w:rsidRDefault="00A77E09" w:rsidP="00A77E09">
      <w:pPr>
        <w:widowControl w:val="0"/>
        <w:jc w:val="both"/>
        <w:rPr>
          <w:szCs w:val="22"/>
        </w:rPr>
      </w:pPr>
      <w:r w:rsidRPr="00AC5C67">
        <w:rPr>
          <w:szCs w:val="22"/>
        </w:rPr>
        <w:lastRenderedPageBreak/>
        <w:t>RECURSOS PARA EL PROGRAMA 31</w:t>
      </w:r>
    </w:p>
    <w:p w:rsidR="00A77E09" w:rsidRPr="007E7499" w:rsidRDefault="00A77E09" w:rsidP="00A77E09">
      <w:pPr>
        <w:widowControl w:val="0"/>
        <w:jc w:val="both"/>
        <w:rPr>
          <w:sz w:val="20"/>
        </w:rPr>
      </w:pPr>
    </w:p>
    <w:p w:rsidR="00A77E09" w:rsidRPr="00F9567D" w:rsidRDefault="0042698A" w:rsidP="00A77E09">
      <w:pPr>
        <w:numPr>
          <w:ilvl w:val="0"/>
          <w:numId w:val="21"/>
        </w:numPr>
        <w:jc w:val="both"/>
        <w:rPr>
          <w:sz w:val="20"/>
        </w:rPr>
      </w:pPr>
      <w:r>
        <w:rPr>
          <w:sz w:val="20"/>
          <w:lang w:val="es-ES_tradnl"/>
        </w:rPr>
        <w:t xml:space="preserve">La dotación global </w:t>
      </w:r>
      <w:r w:rsidR="00F9567D" w:rsidRPr="00EB43D0">
        <w:rPr>
          <w:sz w:val="20"/>
          <w:lang w:val="es-ES_tradnl"/>
        </w:rPr>
        <w:t xml:space="preserve">de recursos </w:t>
      </w:r>
      <w:r>
        <w:rPr>
          <w:sz w:val="20"/>
          <w:lang w:val="es-ES_tradnl"/>
        </w:rPr>
        <w:t xml:space="preserve">para el </w:t>
      </w:r>
      <w:r w:rsidR="00F9567D" w:rsidRPr="00EB43D0">
        <w:rPr>
          <w:sz w:val="20"/>
          <w:lang w:val="es-ES_tradnl"/>
        </w:rPr>
        <w:t xml:space="preserve">Sistema de </w:t>
      </w:r>
      <w:r w:rsidR="003B0DF0">
        <w:rPr>
          <w:sz w:val="20"/>
          <w:lang w:val="es-ES_tradnl"/>
        </w:rPr>
        <w:t>La Haya</w:t>
      </w:r>
      <w:r w:rsidR="00F9567D" w:rsidRPr="00EB43D0">
        <w:rPr>
          <w:sz w:val="20"/>
          <w:lang w:val="es-ES_tradnl"/>
        </w:rPr>
        <w:t xml:space="preserve"> evidencia un ligero descenso en 2016/17 con respecto al presupuesto de 2014/</w:t>
      </w:r>
      <w:r w:rsidR="00ED0A05">
        <w:rPr>
          <w:sz w:val="20"/>
          <w:lang w:val="es-ES_tradnl"/>
        </w:rPr>
        <w:t>15 tras las</w:t>
      </w:r>
      <w:r w:rsidR="00F9567D" w:rsidRPr="00EB43D0">
        <w:rPr>
          <w:sz w:val="20"/>
          <w:lang w:val="es-ES_tradnl"/>
        </w:rPr>
        <w:t xml:space="preserve"> transferencias.  La disminución de los recursos de personal se debe al cambio en la metodología de cálculo del costo de los recursos de personal en 2016/17, basada en costos reales.  Los </w:t>
      </w:r>
      <w:r w:rsidR="00ED0A05">
        <w:rPr>
          <w:sz w:val="20"/>
          <w:lang w:val="es-ES_tradnl"/>
        </w:rPr>
        <w:t>recursos no relativos</w:t>
      </w:r>
      <w:r w:rsidR="00F9567D" w:rsidRPr="00EB43D0">
        <w:rPr>
          <w:sz w:val="20"/>
          <w:lang w:val="es-ES_tradnl"/>
        </w:rPr>
        <w:t xml:space="preserve"> a personal del programa se han reajustado en función de las pautas de gasto registradas en 2014/15.</w:t>
      </w:r>
    </w:p>
    <w:p w:rsidR="00A77E09" w:rsidRPr="00DE56AC" w:rsidRDefault="00A77E09" w:rsidP="00A77E09">
      <w:pPr>
        <w:jc w:val="both"/>
        <w:rPr>
          <w:sz w:val="20"/>
        </w:rPr>
      </w:pPr>
    </w:p>
    <w:p w:rsidR="00A77E09" w:rsidRPr="00F9567D" w:rsidRDefault="00A77E09" w:rsidP="00A77E09">
      <w:pPr>
        <w:jc w:val="both"/>
        <w:rPr>
          <w:sz w:val="20"/>
        </w:rPr>
      </w:pPr>
    </w:p>
    <w:p w:rsidR="009121C1" w:rsidRPr="00F9567D" w:rsidRDefault="009121C1" w:rsidP="009121C1">
      <w:pPr>
        <w:tabs>
          <w:tab w:val="left" w:pos="1427"/>
        </w:tabs>
        <w:jc w:val="center"/>
        <w:rPr>
          <w:sz w:val="20"/>
          <w:lang w:val="es-ES_tradnl"/>
        </w:rPr>
      </w:pPr>
      <w:r w:rsidRPr="00F9567D">
        <w:rPr>
          <w:b/>
          <w:sz w:val="20"/>
          <w:lang w:val="es-ES_tradnl"/>
        </w:rPr>
        <w:t>Programa 31</w:t>
      </w:r>
      <w:proofErr w:type="gramStart"/>
      <w:r w:rsidRPr="00F9567D">
        <w:rPr>
          <w:b/>
          <w:sz w:val="20"/>
          <w:lang w:val="es-ES_tradnl"/>
        </w:rPr>
        <w:t>:  Recursos</w:t>
      </w:r>
      <w:proofErr w:type="gramEnd"/>
      <w:r w:rsidRPr="00F9567D">
        <w:rPr>
          <w:b/>
          <w:sz w:val="20"/>
          <w:lang w:val="es-ES_tradnl"/>
        </w:rPr>
        <w:t xml:space="preserve"> por resultado</w:t>
      </w:r>
    </w:p>
    <w:p w:rsidR="00A77E09" w:rsidRPr="00F9567D" w:rsidRDefault="009121C1" w:rsidP="009121C1">
      <w:pPr>
        <w:tabs>
          <w:tab w:val="left" w:pos="1427"/>
        </w:tabs>
        <w:jc w:val="center"/>
        <w:rPr>
          <w:i/>
          <w:sz w:val="20"/>
          <w:szCs w:val="24"/>
          <w:lang w:val="es-ES_tradnl"/>
        </w:rPr>
      </w:pPr>
      <w:r w:rsidRPr="00F9567D">
        <w:rPr>
          <w:i/>
          <w:sz w:val="20"/>
          <w:szCs w:val="24"/>
          <w:lang w:val="es-ES_tradnl"/>
        </w:rPr>
        <w:t>(</w:t>
      </w:r>
      <w:proofErr w:type="gramStart"/>
      <w:r w:rsidRPr="00F9567D">
        <w:rPr>
          <w:i/>
          <w:sz w:val="20"/>
          <w:szCs w:val="24"/>
          <w:lang w:val="es-ES_tradnl"/>
        </w:rPr>
        <w:t>en</w:t>
      </w:r>
      <w:proofErr w:type="gramEnd"/>
      <w:r w:rsidRPr="00F9567D">
        <w:rPr>
          <w:i/>
          <w:sz w:val="20"/>
          <w:szCs w:val="24"/>
          <w:lang w:val="es-ES_tradnl"/>
        </w:rPr>
        <w:t xml:space="preserve"> miles de francos suizos)</w:t>
      </w:r>
    </w:p>
    <w:p w:rsidR="00A77E09" w:rsidRPr="009121C1" w:rsidRDefault="00A77E09" w:rsidP="00A77E09">
      <w:pPr>
        <w:tabs>
          <w:tab w:val="left" w:pos="1427"/>
        </w:tabs>
        <w:jc w:val="center"/>
        <w:rPr>
          <w:i/>
          <w:sz w:val="20"/>
          <w:szCs w:val="24"/>
          <w:highlight w:val="lightGray"/>
          <w:lang w:val="es-ES_tradnl"/>
        </w:rPr>
      </w:pPr>
    </w:p>
    <w:p w:rsidR="00A77E09" w:rsidRPr="00A77E09" w:rsidRDefault="00DE56AC" w:rsidP="00A77E09">
      <w:pPr>
        <w:tabs>
          <w:tab w:val="left" w:pos="1427"/>
        </w:tabs>
        <w:jc w:val="center"/>
        <w:rPr>
          <w:i/>
          <w:sz w:val="20"/>
          <w:szCs w:val="24"/>
          <w:highlight w:val="lightGray"/>
        </w:rPr>
      </w:pPr>
      <w:r w:rsidRPr="00DE56AC">
        <w:rPr>
          <w:noProof/>
          <w:lang w:val="en-US" w:eastAsia="en-US"/>
        </w:rPr>
        <w:drawing>
          <wp:inline distT="0" distB="0" distL="0" distR="0">
            <wp:extent cx="5676900" cy="160909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676900" cy="1609090"/>
                    </a:xfrm>
                    <a:prstGeom prst="rect">
                      <a:avLst/>
                    </a:prstGeom>
                    <a:noFill/>
                    <a:ln>
                      <a:noFill/>
                    </a:ln>
                  </pic:spPr>
                </pic:pic>
              </a:graphicData>
            </a:graphic>
          </wp:inline>
        </w:drawing>
      </w:r>
    </w:p>
    <w:p w:rsidR="00A77E09" w:rsidRPr="00A77E09" w:rsidRDefault="00A77E09" w:rsidP="00A77E09">
      <w:pPr>
        <w:tabs>
          <w:tab w:val="left" w:pos="1427"/>
        </w:tabs>
        <w:jc w:val="center"/>
        <w:rPr>
          <w:i/>
          <w:sz w:val="20"/>
          <w:szCs w:val="24"/>
          <w:highlight w:val="lightGray"/>
        </w:rPr>
      </w:pPr>
    </w:p>
    <w:p w:rsidR="00A77E09" w:rsidRPr="00A77E09" w:rsidRDefault="00A77E09" w:rsidP="00A77E09">
      <w:pPr>
        <w:tabs>
          <w:tab w:val="left" w:pos="1427"/>
        </w:tabs>
        <w:jc w:val="center"/>
        <w:rPr>
          <w:i/>
          <w:sz w:val="20"/>
          <w:szCs w:val="24"/>
          <w:highlight w:val="lightGray"/>
        </w:rPr>
      </w:pPr>
    </w:p>
    <w:p w:rsidR="009121C1" w:rsidRPr="00F9567D" w:rsidRDefault="009121C1" w:rsidP="00DA5DA3">
      <w:pPr>
        <w:keepNext/>
        <w:keepLines/>
        <w:tabs>
          <w:tab w:val="left" w:pos="-2268"/>
        </w:tabs>
        <w:jc w:val="center"/>
        <w:rPr>
          <w:sz w:val="20"/>
          <w:lang w:val="es-ES_tradnl"/>
        </w:rPr>
      </w:pPr>
      <w:r w:rsidRPr="00F9567D">
        <w:rPr>
          <w:b/>
          <w:sz w:val="20"/>
          <w:lang w:val="es-ES_tradnl"/>
        </w:rPr>
        <w:lastRenderedPageBreak/>
        <w:t>Programa 31</w:t>
      </w:r>
      <w:proofErr w:type="gramStart"/>
      <w:r w:rsidRPr="00F9567D">
        <w:rPr>
          <w:b/>
          <w:sz w:val="20"/>
          <w:lang w:val="es-ES_tradnl"/>
        </w:rPr>
        <w:t>:  Recursos</w:t>
      </w:r>
      <w:proofErr w:type="gramEnd"/>
      <w:r w:rsidRPr="00F9567D">
        <w:rPr>
          <w:b/>
          <w:sz w:val="20"/>
          <w:lang w:val="es-ES_tradnl"/>
        </w:rPr>
        <w:t xml:space="preserve"> por objeto de gasto</w:t>
      </w:r>
    </w:p>
    <w:p w:rsidR="00A77E09" w:rsidRPr="00F9567D" w:rsidRDefault="009121C1" w:rsidP="009121C1">
      <w:pPr>
        <w:keepNext/>
        <w:keepLines/>
        <w:tabs>
          <w:tab w:val="left" w:pos="1427"/>
        </w:tabs>
        <w:jc w:val="center"/>
        <w:rPr>
          <w:i/>
          <w:sz w:val="20"/>
          <w:szCs w:val="24"/>
          <w:highlight w:val="lightGray"/>
          <w:lang w:val="es-ES_tradnl"/>
        </w:rPr>
      </w:pPr>
      <w:r w:rsidRPr="00F9567D">
        <w:rPr>
          <w:i/>
          <w:sz w:val="20"/>
          <w:szCs w:val="24"/>
          <w:lang w:val="es-ES_tradnl"/>
        </w:rPr>
        <w:t>(</w:t>
      </w:r>
      <w:proofErr w:type="gramStart"/>
      <w:r w:rsidRPr="00F9567D">
        <w:rPr>
          <w:i/>
          <w:sz w:val="20"/>
          <w:szCs w:val="24"/>
          <w:lang w:val="es-ES_tradnl"/>
        </w:rPr>
        <w:t>en</w:t>
      </w:r>
      <w:proofErr w:type="gramEnd"/>
      <w:r w:rsidRPr="00F9567D">
        <w:rPr>
          <w:i/>
          <w:sz w:val="20"/>
          <w:szCs w:val="24"/>
          <w:lang w:val="es-ES_tradnl"/>
        </w:rPr>
        <w:t xml:space="preserve"> miles de francos suizos)</w:t>
      </w:r>
    </w:p>
    <w:p w:rsidR="00A77E09" w:rsidRPr="00F9567D" w:rsidRDefault="00A77E09" w:rsidP="00A77E09">
      <w:pPr>
        <w:keepNext/>
        <w:keepLines/>
        <w:tabs>
          <w:tab w:val="left" w:pos="1427"/>
        </w:tabs>
        <w:jc w:val="center"/>
        <w:rPr>
          <w:i/>
          <w:sz w:val="20"/>
          <w:szCs w:val="24"/>
          <w:highlight w:val="lightGray"/>
          <w:lang w:val="es-ES_tradnl"/>
        </w:rPr>
      </w:pPr>
    </w:p>
    <w:p w:rsidR="00A77E09" w:rsidRPr="003D1AF3" w:rsidRDefault="00835617" w:rsidP="00A77E09">
      <w:pPr>
        <w:keepNext/>
        <w:keepLines/>
        <w:tabs>
          <w:tab w:val="left" w:pos="1427"/>
        </w:tabs>
        <w:jc w:val="center"/>
        <w:rPr>
          <w:i/>
          <w:sz w:val="20"/>
          <w:szCs w:val="24"/>
        </w:rPr>
      </w:pPr>
      <w:r>
        <w:rPr>
          <w:noProof/>
          <w:lang w:val="en-US" w:eastAsia="en-US"/>
        </w:rPr>
        <w:drawing>
          <wp:inline distT="0" distB="0" distL="0" distR="0" wp14:anchorId="26061F44" wp14:editId="53EA3D35">
            <wp:extent cx="5940425" cy="6118130"/>
            <wp:effectExtent l="0" t="0" r="3175"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A77E09" w:rsidRPr="003D1AF3" w:rsidRDefault="00A77E09" w:rsidP="00A77E09">
      <w:pPr>
        <w:tabs>
          <w:tab w:val="left" w:pos="1427"/>
        </w:tabs>
        <w:jc w:val="center"/>
        <w:rPr>
          <w:i/>
          <w:sz w:val="20"/>
          <w:szCs w:val="24"/>
        </w:rPr>
      </w:pPr>
    </w:p>
    <w:p w:rsidR="00A77E09" w:rsidRPr="0091583C" w:rsidRDefault="00A77E09" w:rsidP="00A77E09">
      <w:pPr>
        <w:jc w:val="both"/>
        <w:rPr>
          <w:sz w:val="20"/>
        </w:rPr>
      </w:pPr>
    </w:p>
    <w:p w:rsidR="00A77E09" w:rsidRPr="007E7499" w:rsidRDefault="00A77E09" w:rsidP="00A77E09">
      <w:pPr>
        <w:widowControl w:val="0"/>
        <w:jc w:val="both"/>
        <w:rPr>
          <w:sz w:val="20"/>
        </w:rPr>
      </w:pPr>
    </w:p>
    <w:p w:rsidR="003D73BE" w:rsidRDefault="003D73BE">
      <w:pPr>
        <w:rPr>
          <w:szCs w:val="22"/>
        </w:rPr>
      </w:pPr>
      <w:r>
        <w:rPr>
          <w:szCs w:val="22"/>
        </w:rPr>
        <w:br w:type="page"/>
      </w:r>
    </w:p>
    <w:p w:rsidR="00E362B6" w:rsidRPr="00F4741E" w:rsidRDefault="00E362B6" w:rsidP="00B8795A">
      <w:pPr>
        <w:pStyle w:val="StyleStyleHeading3ComplexItalicLatin12pt"/>
        <w:rPr>
          <w:lang w:val="es-ES"/>
        </w:rPr>
      </w:pPr>
      <w:bookmarkStart w:id="36" w:name="_Toc420681139"/>
      <w:r w:rsidRPr="00F4741E">
        <w:rPr>
          <w:lang w:val="es-ES"/>
        </w:rPr>
        <w:lastRenderedPageBreak/>
        <w:t>PROGRAMA 7</w:t>
      </w:r>
      <w:r w:rsidRPr="00F4741E">
        <w:rPr>
          <w:lang w:val="es-ES"/>
        </w:rPr>
        <w:tab/>
        <w:t>CENTRO DE ARBITRAJE Y MEDIACIÓN DE LA OMPI</w:t>
      </w:r>
      <w:bookmarkEnd w:id="36"/>
    </w:p>
    <w:p w:rsidR="00E362B6" w:rsidRPr="00041B7B" w:rsidRDefault="00E362B6" w:rsidP="00B8795A"/>
    <w:p w:rsidR="00E362B6" w:rsidRPr="00041B7B" w:rsidRDefault="00E362B6" w:rsidP="00E362B6">
      <w:pPr>
        <w:rPr>
          <w:sz w:val="20"/>
        </w:rPr>
      </w:pPr>
    </w:p>
    <w:p w:rsidR="00E362B6" w:rsidRPr="00041B7B" w:rsidRDefault="00E362B6" w:rsidP="003E6776">
      <w:pPr>
        <w:pStyle w:val="BodyText"/>
        <w:spacing w:after="0"/>
        <w:jc w:val="both"/>
        <w:rPr>
          <w:szCs w:val="22"/>
        </w:rPr>
      </w:pPr>
      <w:r w:rsidRPr="00041B7B">
        <w:rPr>
          <w:szCs w:val="22"/>
        </w:rPr>
        <w:t>CONTEXTO DE PLANIFICACIÓN</w:t>
      </w:r>
    </w:p>
    <w:p w:rsidR="00E362B6" w:rsidRPr="00041B7B" w:rsidRDefault="00E362B6" w:rsidP="003E6776">
      <w:pPr>
        <w:jc w:val="both"/>
        <w:rPr>
          <w:sz w:val="20"/>
        </w:rPr>
      </w:pPr>
    </w:p>
    <w:p w:rsidR="00E362B6" w:rsidRPr="00ED369F" w:rsidRDefault="00E362B6" w:rsidP="00E362B6">
      <w:pPr>
        <w:pStyle w:val="BodyText"/>
        <w:widowControl w:val="0"/>
        <w:numPr>
          <w:ilvl w:val="1"/>
          <w:numId w:val="23"/>
        </w:numPr>
        <w:tabs>
          <w:tab w:val="left" w:pos="567"/>
        </w:tabs>
        <w:spacing w:after="0"/>
        <w:ind w:firstLine="0"/>
        <w:jc w:val="both"/>
        <w:rPr>
          <w:rFonts w:eastAsiaTheme="minorEastAsia"/>
          <w:sz w:val="20"/>
          <w:lang w:eastAsia="ja-JP"/>
        </w:rPr>
      </w:pPr>
      <w:r w:rsidRPr="00ED369F">
        <w:rPr>
          <w:rFonts w:eastAsiaTheme="minorEastAsia"/>
          <w:sz w:val="20"/>
          <w:lang w:eastAsia="ja-JP"/>
        </w:rPr>
        <w:t>En el marco de una economía impulsada por la P.I., las partes interesadas han de integrar la gestión de los conflictos en sus procesos institucionales (por ejemplo, el desarrollo de nuevas tecnologías), así como aplicar prácticas contractuales y políticas de observancia más amplias.  Comprender los riesgos que conlleva la solución de controversias puede ayudar a reducir al mínimo las perturbaciones que tales controversias pueden ocasionar en la explotación de los derechos de P.I.</w:t>
      </w:r>
    </w:p>
    <w:p w:rsidR="00E362B6" w:rsidRPr="00ED369F" w:rsidRDefault="00E362B6" w:rsidP="00E362B6">
      <w:pPr>
        <w:tabs>
          <w:tab w:val="left" w:pos="567"/>
        </w:tabs>
        <w:jc w:val="both"/>
        <w:rPr>
          <w:rFonts w:eastAsiaTheme="minorEastAsia"/>
          <w:sz w:val="20"/>
          <w:lang w:eastAsia="ja-JP"/>
        </w:rPr>
      </w:pPr>
    </w:p>
    <w:p w:rsidR="00E362B6" w:rsidRPr="00ED369F" w:rsidRDefault="00E362B6" w:rsidP="00E362B6">
      <w:pPr>
        <w:pStyle w:val="BodyText"/>
        <w:widowControl w:val="0"/>
        <w:numPr>
          <w:ilvl w:val="1"/>
          <w:numId w:val="23"/>
        </w:numPr>
        <w:tabs>
          <w:tab w:val="left" w:pos="567"/>
          <w:tab w:val="left" w:pos="854"/>
        </w:tabs>
        <w:spacing w:after="0"/>
        <w:ind w:firstLine="0"/>
        <w:jc w:val="both"/>
        <w:rPr>
          <w:rFonts w:eastAsiaTheme="minorEastAsia"/>
          <w:sz w:val="20"/>
          <w:lang w:eastAsia="ja-JP"/>
        </w:rPr>
      </w:pPr>
      <w:r w:rsidRPr="00ED369F">
        <w:rPr>
          <w:rFonts w:eastAsiaTheme="minorEastAsia"/>
          <w:sz w:val="20"/>
          <w:lang w:eastAsia="ja-JP"/>
        </w:rPr>
        <w:t xml:space="preserve">Los tribunales y las autoridades de P.I. tienden a ofrecer soluciones formales de carácter territorial que surgen de procedimientos basados en derechos de aplicación generalizada, pero en la medida en que la creación y el uso de la P.I. tienen cada vez mayor carácter internacional, los titulares y los usuarios de los derechos recurren cada vez con más frecuencia a mecanismos de solución de controversias aplicables en el plano internacional.  En cuanto que centro mundial de recursos, el Centro de Arbitraje y Mediación de la OMPI contribuye a tales esfuerzos aumentando la sensibilización en esta materia y, en su calidad de proveedor de servicios, ofreciendo instrumentos de administración de controversias a partir de las cláusulas y los reglamentos elaborados por la OMPI.  Entre los beneficiarios potenciales de este servicio se incluyen entidades privadas y autoridades públicas interesadas en utilizar las opciones que ofrece la solución extrajudicial de controversias. </w:t>
      </w:r>
    </w:p>
    <w:p w:rsidR="00E362B6" w:rsidRPr="00ED369F" w:rsidRDefault="00E362B6" w:rsidP="003E6776">
      <w:pPr>
        <w:pStyle w:val="BodyText"/>
        <w:tabs>
          <w:tab w:val="left" w:pos="567"/>
          <w:tab w:val="left" w:pos="876"/>
        </w:tabs>
        <w:spacing w:after="0"/>
        <w:jc w:val="both"/>
        <w:rPr>
          <w:rFonts w:eastAsiaTheme="minorEastAsia"/>
          <w:sz w:val="20"/>
          <w:lang w:eastAsia="ja-JP"/>
        </w:rPr>
      </w:pPr>
    </w:p>
    <w:p w:rsidR="00E362B6" w:rsidRPr="00ED369F" w:rsidRDefault="00E362B6" w:rsidP="003E6776">
      <w:pPr>
        <w:pStyle w:val="BodyText"/>
        <w:widowControl w:val="0"/>
        <w:numPr>
          <w:ilvl w:val="1"/>
          <w:numId w:val="23"/>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El Centro de Arbitraje y Mediación de la OMPI desarrolla y mantiene marcos de solución extrajudicial de controversias de P.I.  Al mismo tiempo, por motivos comerciales y políticos, son varios los proveedores de servicios de solución extrajudicial de controversias, privados y públicos, que compiten en la facilitación de tales mecanismos.</w:t>
      </w:r>
    </w:p>
    <w:p w:rsidR="00E362B6" w:rsidRPr="00041B7B" w:rsidRDefault="00E362B6" w:rsidP="003E6776">
      <w:pPr>
        <w:pStyle w:val="BodyText"/>
        <w:tabs>
          <w:tab w:val="left" w:pos="567"/>
          <w:tab w:val="left" w:pos="876"/>
        </w:tabs>
        <w:spacing w:after="0"/>
        <w:jc w:val="both"/>
        <w:rPr>
          <w:rFonts w:eastAsiaTheme="minorEastAsia"/>
          <w:lang w:eastAsia="ja-JP"/>
        </w:rPr>
      </w:pPr>
    </w:p>
    <w:p w:rsidR="00E362B6" w:rsidRPr="00ED369F" w:rsidRDefault="00E362B6" w:rsidP="003E6776">
      <w:pPr>
        <w:pStyle w:val="BodyText"/>
        <w:widowControl w:val="0"/>
        <w:numPr>
          <w:ilvl w:val="1"/>
          <w:numId w:val="23"/>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Un ejemplo de la capacidad potencial de los mecanismos de solución extrajudicial de controversias en materia de P.I. es la Política Uniforme de Solución de Controversias en materia de Nombres de Dominio (Política Uniforme), impulsada por la OMPI.  En el marco de este mecanismo, de alcance mundial y disponible en Internet, que constituye una alternativa a los procedimientos judiciales para hacer frente a los abusos contra las marcas en el Sistema de Nombres de Dominio de Internet (DNS), el Centro de Arbitraje y Mediación de la OMPI ha tramitado más de 30.000 demandas a lo largo de 2014.  El entorno del DNS va a ser objeto de importantes cambios, que se traducirán en un gran aumento del número de dominios genéricos de nivel superior (</w:t>
      </w:r>
      <w:proofErr w:type="spellStart"/>
      <w:r w:rsidRPr="00ED369F">
        <w:rPr>
          <w:rFonts w:eastAsiaTheme="minorEastAsia"/>
          <w:sz w:val="20"/>
          <w:lang w:eastAsia="ja-JP"/>
        </w:rPr>
        <w:t>gTLD</w:t>
      </w:r>
      <w:proofErr w:type="spellEnd"/>
      <w:r w:rsidRPr="00ED369F">
        <w:rPr>
          <w:rFonts w:eastAsiaTheme="minorEastAsia"/>
          <w:sz w:val="20"/>
          <w:lang w:eastAsia="ja-JP"/>
        </w:rPr>
        <w:t xml:space="preserve">) y en la introducción de </w:t>
      </w:r>
      <w:proofErr w:type="spellStart"/>
      <w:r w:rsidRPr="00ED369F">
        <w:rPr>
          <w:rFonts w:eastAsiaTheme="minorEastAsia"/>
          <w:sz w:val="20"/>
          <w:lang w:eastAsia="ja-JP"/>
        </w:rPr>
        <w:t>gTLD</w:t>
      </w:r>
      <w:proofErr w:type="spellEnd"/>
      <w:r w:rsidRPr="00ED369F">
        <w:rPr>
          <w:rFonts w:eastAsiaTheme="minorEastAsia"/>
          <w:sz w:val="20"/>
          <w:lang w:eastAsia="ja-JP"/>
        </w:rPr>
        <w:t xml:space="preserve"> y nombres de dominio internacionalizados (caracteres no latinos).</w:t>
      </w:r>
    </w:p>
    <w:p w:rsidR="00E362B6" w:rsidRPr="00ED369F" w:rsidRDefault="00E362B6" w:rsidP="003E6776">
      <w:pPr>
        <w:pStyle w:val="BodyText"/>
        <w:tabs>
          <w:tab w:val="left" w:pos="567"/>
          <w:tab w:val="left" w:pos="876"/>
        </w:tabs>
        <w:spacing w:after="0"/>
        <w:jc w:val="both"/>
        <w:rPr>
          <w:rFonts w:eastAsiaTheme="minorEastAsia"/>
          <w:sz w:val="20"/>
          <w:lang w:eastAsia="ja-JP"/>
        </w:rPr>
      </w:pPr>
    </w:p>
    <w:p w:rsidR="00E362B6" w:rsidRPr="00ED369F" w:rsidRDefault="00E362B6" w:rsidP="003E6776">
      <w:pPr>
        <w:pStyle w:val="BodyText"/>
        <w:widowControl w:val="0"/>
        <w:numPr>
          <w:ilvl w:val="1"/>
          <w:numId w:val="23"/>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Con el fin de reducir las consecuencias adversas de estas condiciones inciertas en la P.I., el Centro de Arbitraje y Mediación de la OMPI sigue desempeñando una función dinámica de supervisión de soluciones que será objeto de aprobación por parte de la Corporación para la Asignación de Nombres y Números de Internet (ICANN).  En este sentido, los cambios sustanciales que se produzcan en la demanda de la Política Uniforme podrían incidir en este servicio de la OMPI.</w:t>
      </w:r>
    </w:p>
    <w:p w:rsidR="00E362B6" w:rsidRPr="00ED369F" w:rsidRDefault="00E362B6" w:rsidP="003E6776">
      <w:pPr>
        <w:pStyle w:val="BodyText"/>
        <w:tabs>
          <w:tab w:val="left" w:pos="567"/>
          <w:tab w:val="left" w:pos="876"/>
        </w:tabs>
        <w:spacing w:after="0"/>
        <w:jc w:val="both"/>
        <w:rPr>
          <w:rFonts w:eastAsiaTheme="minorEastAsia"/>
          <w:sz w:val="20"/>
          <w:lang w:eastAsia="ja-JP"/>
        </w:rPr>
      </w:pPr>
    </w:p>
    <w:p w:rsidR="00E362B6" w:rsidRPr="00ED369F" w:rsidRDefault="00E362B6" w:rsidP="003E6776">
      <w:pPr>
        <w:pStyle w:val="BodyText"/>
        <w:widowControl w:val="0"/>
        <w:numPr>
          <w:ilvl w:val="1"/>
          <w:numId w:val="23"/>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El Centro de Arbitraje y Mediación de la OMPI brinda asistencia a los dominios de nivel superior correspondientes a códigos de países (</w:t>
      </w:r>
      <w:proofErr w:type="spellStart"/>
      <w:r w:rsidRPr="00ED369F">
        <w:rPr>
          <w:rFonts w:eastAsiaTheme="minorEastAsia"/>
          <w:sz w:val="20"/>
          <w:lang w:eastAsia="ja-JP"/>
        </w:rPr>
        <w:t>ccTLD</w:t>
      </w:r>
      <w:proofErr w:type="spellEnd"/>
      <w:r w:rsidRPr="00ED369F">
        <w:rPr>
          <w:rFonts w:eastAsiaTheme="minorEastAsia"/>
          <w:sz w:val="20"/>
          <w:lang w:eastAsia="ja-JP"/>
        </w:rPr>
        <w:t>) en el establecimiento de las mejores prácticas de registro y los mecanismos más eficaces de solución de controversias.  De manera más general, en el ámbito de la solución extrajudicial de controversias en materia de P.I., las autoridades nacionales de P.I. recurren al Centro de Arbitraje y Mediación de la OMPI para obtener información sobre la elaboración de mecanismos facultativos de solución extrajudicial de controversias que complementen los procedimientos administrativos con los que cuentan.  El Centro de Arbitraje y Mediación de la OMPI organiza asimismo programas de formación para funcionarios, profesionales y estudiantes de la P.I., en algunos casos por Internet.  Esas actividades de formación y fortalecimiento de las capacidades, realizadas en sintonía con las recomendaciones 1 y 6 de la A.D., contribuirán a la aplicación de la recomendación 10 de la A.D., velando por que los países en desarrollo y los PMA perfeccionen su capacidad institucional para resolver de forma eficiente, justa y costoeficaz las controversias en materia de P.I.</w:t>
      </w:r>
    </w:p>
    <w:p w:rsidR="00E362B6" w:rsidRPr="00ED369F" w:rsidRDefault="00E362B6" w:rsidP="00E362B6">
      <w:pPr>
        <w:tabs>
          <w:tab w:val="left" w:pos="567"/>
        </w:tabs>
        <w:jc w:val="both"/>
        <w:rPr>
          <w:sz w:val="20"/>
        </w:rPr>
      </w:pPr>
    </w:p>
    <w:p w:rsidR="00E362B6" w:rsidRPr="00ED369F" w:rsidRDefault="00E362B6" w:rsidP="00E362B6">
      <w:pPr>
        <w:tabs>
          <w:tab w:val="left" w:pos="567"/>
        </w:tabs>
        <w:jc w:val="both"/>
        <w:rPr>
          <w:sz w:val="20"/>
        </w:rPr>
      </w:pPr>
    </w:p>
    <w:p w:rsidR="00E362B6" w:rsidRPr="00041B7B" w:rsidRDefault="00E362B6" w:rsidP="00ED369F">
      <w:pPr>
        <w:keepNext/>
        <w:keepLines/>
        <w:tabs>
          <w:tab w:val="left" w:pos="567"/>
          <w:tab w:val="left" w:pos="1985"/>
        </w:tabs>
        <w:jc w:val="both"/>
        <w:rPr>
          <w:bCs/>
        </w:rPr>
      </w:pPr>
      <w:r w:rsidRPr="00041B7B">
        <w:rPr>
          <w:bCs/>
        </w:rPr>
        <w:lastRenderedPageBreak/>
        <w:t>ESTRATEGIAS DE EJECUCIÓN</w:t>
      </w:r>
    </w:p>
    <w:p w:rsidR="00E362B6" w:rsidRPr="00041B7B" w:rsidRDefault="00E362B6" w:rsidP="00ED369F">
      <w:pPr>
        <w:keepNext/>
        <w:keepLines/>
        <w:tabs>
          <w:tab w:val="left" w:pos="567"/>
        </w:tabs>
        <w:jc w:val="both"/>
        <w:rPr>
          <w:sz w:val="20"/>
        </w:rPr>
      </w:pPr>
    </w:p>
    <w:p w:rsidR="00E362B6" w:rsidRPr="00ED369F" w:rsidRDefault="00E362B6" w:rsidP="00ED369F">
      <w:pPr>
        <w:pStyle w:val="BodyText"/>
        <w:keepNext/>
        <w:keepLines/>
        <w:widowControl w:val="0"/>
        <w:numPr>
          <w:ilvl w:val="1"/>
          <w:numId w:val="23"/>
        </w:numPr>
        <w:tabs>
          <w:tab w:val="left" w:pos="567"/>
          <w:tab w:val="left" w:pos="876"/>
        </w:tabs>
        <w:spacing w:after="0"/>
        <w:ind w:firstLine="0"/>
        <w:jc w:val="both"/>
        <w:rPr>
          <w:rFonts w:eastAsiaTheme="minorEastAsia"/>
          <w:sz w:val="20"/>
          <w:lang w:eastAsia="ja-JP"/>
        </w:rPr>
      </w:pPr>
      <w:r w:rsidRPr="00ED369F">
        <w:rPr>
          <w:rFonts w:eastAsiaTheme="minorEastAsia"/>
          <w:sz w:val="20"/>
          <w:lang w:eastAsia="ja-JP"/>
        </w:rPr>
        <w:t>A la luz de lo antedicho, el Centro de Arbitraje y Mediación de la OMPI pondrá en práctica las siguientes estrategias:</w:t>
      </w:r>
    </w:p>
    <w:p w:rsidR="00E362B6" w:rsidRPr="009121C1" w:rsidRDefault="00E362B6" w:rsidP="00ED369F">
      <w:pPr>
        <w:keepNext/>
        <w:keepLines/>
        <w:tabs>
          <w:tab w:val="left" w:pos="567"/>
        </w:tabs>
        <w:jc w:val="both"/>
        <w:rPr>
          <w:szCs w:val="22"/>
        </w:rPr>
      </w:pPr>
    </w:p>
    <w:p w:rsidR="00E362B6" w:rsidRPr="00ED369F" w:rsidRDefault="00E362B6" w:rsidP="00ED369F">
      <w:pPr>
        <w:pStyle w:val="BodyText"/>
        <w:keepNext/>
        <w:keepLines/>
        <w:widowControl w:val="0"/>
        <w:numPr>
          <w:ilvl w:val="2"/>
          <w:numId w:val="23"/>
        </w:numPr>
        <w:tabs>
          <w:tab w:val="left" w:pos="567"/>
          <w:tab w:val="left" w:pos="1134"/>
        </w:tabs>
        <w:spacing w:after="0"/>
        <w:ind w:left="567" w:firstLine="0"/>
        <w:jc w:val="both"/>
        <w:rPr>
          <w:position w:val="1"/>
          <w:sz w:val="20"/>
        </w:rPr>
      </w:pPr>
      <w:r w:rsidRPr="00ED369F">
        <w:rPr>
          <w:sz w:val="20"/>
        </w:rPr>
        <w:t xml:space="preserve">Mejorar la sensibilización de las partes interesadas acerca de las opciones disponibles respecto de la solución extrajudicial de controversias en materia de P.I.  </w:t>
      </w:r>
    </w:p>
    <w:p w:rsidR="00E362B6" w:rsidRPr="00ED369F" w:rsidRDefault="00E362B6" w:rsidP="009121C1">
      <w:pPr>
        <w:pStyle w:val="BodyText"/>
        <w:tabs>
          <w:tab w:val="left" w:pos="567"/>
          <w:tab w:val="left" w:pos="1080"/>
          <w:tab w:val="left" w:pos="1330"/>
        </w:tabs>
        <w:spacing w:after="0"/>
        <w:ind w:left="1077" w:hanging="510"/>
        <w:jc w:val="both"/>
        <w:rPr>
          <w:position w:val="1"/>
          <w:sz w:val="20"/>
        </w:rPr>
      </w:pPr>
    </w:p>
    <w:p w:rsidR="00E362B6" w:rsidRPr="00ED369F" w:rsidRDefault="00E362B6" w:rsidP="00E362B6">
      <w:pPr>
        <w:pStyle w:val="BodyText"/>
        <w:widowControl w:val="0"/>
        <w:numPr>
          <w:ilvl w:val="2"/>
          <w:numId w:val="23"/>
        </w:numPr>
        <w:tabs>
          <w:tab w:val="left" w:pos="567"/>
          <w:tab w:val="left" w:pos="1134"/>
        </w:tabs>
        <w:spacing w:after="0"/>
        <w:ind w:left="567" w:firstLine="0"/>
        <w:jc w:val="both"/>
        <w:rPr>
          <w:position w:val="1"/>
          <w:sz w:val="20"/>
        </w:rPr>
      </w:pPr>
      <w:r w:rsidRPr="00ED369F">
        <w:rPr>
          <w:position w:val="1"/>
          <w:sz w:val="20"/>
        </w:rPr>
        <w:t>Fomentar el interés en los servicios de solución de controversias que presta el Centro de Arbitraje y Mediación de la OMPI, adaptando sus procedimientos y la infraestructura de tramitación de las demandas a las necesidades de los usuarios, en constante evolución, entre otras cosas por medio de soluciones en las que se utilicen las T.I.</w:t>
      </w:r>
    </w:p>
    <w:p w:rsidR="00E362B6" w:rsidRPr="00ED369F" w:rsidRDefault="00E362B6" w:rsidP="00E362B6">
      <w:pPr>
        <w:tabs>
          <w:tab w:val="left" w:pos="567"/>
          <w:tab w:val="left" w:pos="1080"/>
        </w:tabs>
        <w:ind w:left="1080" w:hanging="513"/>
        <w:jc w:val="both"/>
        <w:rPr>
          <w:sz w:val="20"/>
        </w:rPr>
      </w:pPr>
    </w:p>
    <w:p w:rsidR="00E362B6" w:rsidRPr="00ED369F" w:rsidRDefault="00E362B6" w:rsidP="00E362B6">
      <w:pPr>
        <w:pStyle w:val="BodyText"/>
        <w:widowControl w:val="0"/>
        <w:numPr>
          <w:ilvl w:val="2"/>
          <w:numId w:val="23"/>
        </w:numPr>
        <w:tabs>
          <w:tab w:val="left" w:pos="567"/>
          <w:tab w:val="left" w:pos="1134"/>
        </w:tabs>
        <w:spacing w:after="0"/>
        <w:ind w:left="567" w:firstLine="0"/>
        <w:jc w:val="both"/>
        <w:rPr>
          <w:position w:val="1"/>
          <w:sz w:val="20"/>
        </w:rPr>
      </w:pPr>
      <w:r w:rsidRPr="00ED369F">
        <w:rPr>
          <w:sz w:val="20"/>
        </w:rPr>
        <w:t>Colaborar con los titulares de derechos de P.I., los usuarios, las oficinas y demás entidades de P.I. para establecer procedimientos específicamente adaptados a las características particulares de las controversias que se plantean con frecuencia en sus respectivos ámbitos de actividad.</w:t>
      </w:r>
    </w:p>
    <w:p w:rsidR="00E362B6" w:rsidRPr="00ED369F" w:rsidRDefault="00E362B6" w:rsidP="003E6776">
      <w:pPr>
        <w:tabs>
          <w:tab w:val="left" w:pos="567"/>
        </w:tabs>
        <w:jc w:val="both"/>
        <w:rPr>
          <w:sz w:val="20"/>
        </w:rPr>
      </w:pPr>
    </w:p>
    <w:p w:rsidR="003E6776" w:rsidRPr="00DE56AC" w:rsidRDefault="00DE56AC" w:rsidP="003E6776">
      <w:pPr>
        <w:pStyle w:val="BodyText"/>
        <w:widowControl w:val="0"/>
        <w:numPr>
          <w:ilvl w:val="1"/>
          <w:numId w:val="23"/>
        </w:numPr>
        <w:tabs>
          <w:tab w:val="left" w:pos="567"/>
          <w:tab w:val="left" w:pos="876"/>
        </w:tabs>
        <w:spacing w:after="0"/>
        <w:ind w:firstLine="0"/>
        <w:jc w:val="both"/>
        <w:rPr>
          <w:rFonts w:eastAsiaTheme="minorEastAsia"/>
          <w:lang w:eastAsia="ja-JP"/>
        </w:rPr>
      </w:pPr>
      <w:r>
        <w:rPr>
          <w:rFonts w:eastAsiaTheme="minorEastAsia"/>
          <w:sz w:val="20"/>
          <w:lang w:eastAsia="ja-JP"/>
        </w:rPr>
        <w:t>El p</w:t>
      </w:r>
      <w:r w:rsidR="003E6776" w:rsidRPr="00DE56AC">
        <w:rPr>
          <w:rFonts w:eastAsiaTheme="minorEastAsia"/>
          <w:sz w:val="20"/>
          <w:lang w:eastAsia="ja-JP"/>
        </w:rPr>
        <w:t>rogram</w:t>
      </w:r>
      <w:r>
        <w:rPr>
          <w:rFonts w:eastAsiaTheme="minorEastAsia"/>
          <w:sz w:val="20"/>
          <w:lang w:eastAsia="ja-JP"/>
        </w:rPr>
        <w:t>a</w:t>
      </w:r>
      <w:r w:rsidR="003E6776" w:rsidRPr="00DE56AC">
        <w:rPr>
          <w:rFonts w:eastAsiaTheme="minorEastAsia"/>
          <w:sz w:val="20"/>
          <w:lang w:eastAsia="ja-JP"/>
        </w:rPr>
        <w:t xml:space="preserve"> 7 </w:t>
      </w:r>
      <w:r w:rsidR="00ED369F" w:rsidRPr="00C37CCD">
        <w:rPr>
          <w:sz w:val="20"/>
        </w:rPr>
        <w:t>colabora</w:t>
      </w:r>
      <w:r w:rsidR="00ED369F">
        <w:rPr>
          <w:sz w:val="20"/>
        </w:rPr>
        <w:t xml:space="preserve"> principalmente con los programas siguientes</w:t>
      </w:r>
      <w:r w:rsidR="003E6776" w:rsidRPr="00DE56AC">
        <w:rPr>
          <w:rFonts w:eastAsiaTheme="minorEastAsia"/>
          <w:sz w:val="20"/>
          <w:lang w:eastAsia="ja-JP"/>
        </w:rPr>
        <w:t>:</w:t>
      </w:r>
    </w:p>
    <w:p w:rsidR="003E6776" w:rsidRPr="00DE56AC" w:rsidRDefault="003E6776" w:rsidP="003E6776">
      <w:pPr>
        <w:pStyle w:val="BodyText"/>
        <w:widowControl w:val="0"/>
        <w:tabs>
          <w:tab w:val="left" w:pos="567"/>
          <w:tab w:val="left" w:pos="876"/>
        </w:tabs>
        <w:spacing w:after="0"/>
        <w:jc w:val="both"/>
        <w:rPr>
          <w:rFonts w:eastAsiaTheme="minorEastAsia"/>
          <w:lang w:eastAsia="ja-JP"/>
        </w:rPr>
      </w:pPr>
    </w:p>
    <w:p w:rsidR="00E362B6" w:rsidRPr="00041B7B" w:rsidRDefault="00E362B6" w:rsidP="00E362B6">
      <w:pPr>
        <w:pStyle w:val="BodyText"/>
        <w:tabs>
          <w:tab w:val="left" w:pos="1377"/>
        </w:tabs>
        <w:jc w:val="both"/>
        <w:rPr>
          <w:position w:val="1"/>
          <w:szCs w:val="22"/>
        </w:rPr>
      </w:pPr>
      <w:r w:rsidRPr="00041B7B">
        <w:rPr>
          <w:rFonts w:eastAsia="Times New Roman"/>
          <w:noProof/>
          <w:lang w:val="en-US" w:eastAsia="en-US"/>
        </w:rPr>
        <w:drawing>
          <wp:inline distT="0" distB="0" distL="0" distR="0" wp14:anchorId="5C3AFB5C" wp14:editId="5DC9E1D8">
            <wp:extent cx="5956300" cy="2709975"/>
            <wp:effectExtent l="0" t="38100" r="0" b="0"/>
            <wp:docPr id="24" name="Diagram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rsidR="00E362B6" w:rsidRPr="00041B7B" w:rsidRDefault="00E362B6" w:rsidP="00E362B6">
      <w:pPr>
        <w:pStyle w:val="BodyText"/>
        <w:tabs>
          <w:tab w:val="left" w:pos="1377"/>
        </w:tabs>
        <w:jc w:val="both"/>
        <w:rPr>
          <w:szCs w:val="22"/>
        </w:rPr>
      </w:pPr>
    </w:p>
    <w:p w:rsidR="000A0481" w:rsidRDefault="000A0481">
      <w:r>
        <w:br w:type="page"/>
      </w:r>
    </w:p>
    <w:p w:rsidR="00E362B6" w:rsidRPr="00041B7B" w:rsidRDefault="00E362B6" w:rsidP="00E362B6">
      <w:pPr>
        <w:tabs>
          <w:tab w:val="left" w:pos="567"/>
          <w:tab w:val="left" w:pos="1985"/>
        </w:tabs>
        <w:jc w:val="both"/>
        <w:rPr>
          <w:bCs/>
        </w:rPr>
      </w:pPr>
      <w:r w:rsidRPr="00041B7B">
        <w:lastRenderedPageBreak/>
        <w:t>PRINCIPALES RIESGOS Y ESTRATEGIAS DE MITIGACIÓN</w:t>
      </w:r>
    </w:p>
    <w:p w:rsidR="00E362B6" w:rsidRPr="00041B7B" w:rsidRDefault="00E362B6" w:rsidP="00E362B6">
      <w:pPr>
        <w:pStyle w:val="BodyText"/>
        <w:rPr>
          <w:w w:val="95"/>
        </w:rPr>
      </w:pPr>
    </w:p>
    <w:tbl>
      <w:tblPr>
        <w:tblW w:w="939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81"/>
      </w:tblGrid>
      <w:tr w:rsidR="00E362B6" w:rsidRPr="00041B7B" w:rsidTr="00DE56AC">
        <w:trPr>
          <w:trHeight w:val="577"/>
        </w:trPr>
        <w:tc>
          <w:tcPr>
            <w:tcW w:w="4111" w:type="dxa"/>
            <w:tcBorders>
              <w:top w:val="single" w:sz="4" w:space="0" w:color="auto"/>
              <w:bottom w:val="single" w:sz="4" w:space="0" w:color="auto"/>
            </w:tcBorders>
            <w:shd w:val="clear" w:color="auto" w:fill="C6D9F1"/>
            <w:vAlign w:val="center"/>
          </w:tcPr>
          <w:p w:rsidR="00E362B6" w:rsidRPr="00041B7B" w:rsidRDefault="00E362B6" w:rsidP="000A0481">
            <w:pPr>
              <w:jc w:val="center"/>
              <w:rPr>
                <w:b/>
                <w:bCs/>
                <w:sz w:val="18"/>
                <w:szCs w:val="18"/>
              </w:rPr>
            </w:pPr>
            <w:r w:rsidRPr="00041B7B">
              <w:rPr>
                <w:b/>
                <w:bCs/>
                <w:sz w:val="18"/>
                <w:szCs w:val="18"/>
              </w:rPr>
              <w:t>Riesgo</w:t>
            </w:r>
          </w:p>
        </w:tc>
        <w:tc>
          <w:tcPr>
            <w:tcW w:w="5281" w:type="dxa"/>
            <w:tcBorders>
              <w:top w:val="single" w:sz="4" w:space="0" w:color="auto"/>
              <w:bottom w:val="single" w:sz="4" w:space="0" w:color="auto"/>
            </w:tcBorders>
            <w:shd w:val="clear" w:color="auto" w:fill="C6D9F1"/>
            <w:vAlign w:val="center"/>
          </w:tcPr>
          <w:p w:rsidR="00E362B6" w:rsidRPr="00041B7B" w:rsidRDefault="00E362B6" w:rsidP="000A0481">
            <w:pPr>
              <w:jc w:val="center"/>
              <w:rPr>
                <w:b/>
                <w:bCs/>
                <w:sz w:val="18"/>
                <w:szCs w:val="18"/>
              </w:rPr>
            </w:pPr>
            <w:r w:rsidRPr="00041B7B">
              <w:rPr>
                <w:b/>
                <w:bCs/>
                <w:sz w:val="18"/>
                <w:szCs w:val="18"/>
              </w:rPr>
              <w:t>Mitigación</w:t>
            </w:r>
          </w:p>
        </w:tc>
      </w:tr>
      <w:tr w:rsidR="00E362B6" w:rsidRPr="00041B7B" w:rsidTr="000A0481">
        <w:trPr>
          <w:trHeight w:val="1140"/>
        </w:trPr>
        <w:tc>
          <w:tcPr>
            <w:tcW w:w="4111" w:type="dxa"/>
            <w:tcBorders>
              <w:top w:val="single" w:sz="4" w:space="0" w:color="auto"/>
            </w:tcBorders>
            <w:shd w:val="clear" w:color="auto" w:fill="auto"/>
            <w:tcMar>
              <w:top w:w="113" w:type="dxa"/>
              <w:bottom w:w="113" w:type="dxa"/>
            </w:tcMar>
          </w:tcPr>
          <w:p w:rsidR="00E362B6" w:rsidRPr="00041B7B" w:rsidRDefault="00E362B6" w:rsidP="000A0481">
            <w:pPr>
              <w:rPr>
                <w:sz w:val="16"/>
                <w:szCs w:val="16"/>
              </w:rPr>
            </w:pPr>
            <w:r w:rsidRPr="00041B7B">
              <w:rPr>
                <w:sz w:val="16"/>
                <w:szCs w:val="16"/>
              </w:rPr>
              <w:t>Menor reconocimiento de los servicios de arbitraje y mediación de la OMPI en el mercado.</w:t>
            </w:r>
          </w:p>
          <w:p w:rsidR="00E362B6" w:rsidRPr="00041B7B" w:rsidRDefault="00E362B6" w:rsidP="000A0481">
            <w:pPr>
              <w:rPr>
                <w:sz w:val="16"/>
                <w:szCs w:val="16"/>
              </w:rPr>
            </w:pPr>
          </w:p>
        </w:tc>
        <w:tc>
          <w:tcPr>
            <w:tcW w:w="5281" w:type="dxa"/>
            <w:tcBorders>
              <w:top w:val="single" w:sz="4" w:space="0" w:color="auto"/>
            </w:tcBorders>
            <w:shd w:val="clear" w:color="auto" w:fill="auto"/>
            <w:tcMar>
              <w:top w:w="113" w:type="dxa"/>
              <w:bottom w:w="113" w:type="dxa"/>
            </w:tcMar>
          </w:tcPr>
          <w:p w:rsidR="00E362B6" w:rsidRPr="00041B7B" w:rsidRDefault="00E362B6" w:rsidP="000A0481">
            <w:pPr>
              <w:rPr>
                <w:sz w:val="16"/>
                <w:szCs w:val="16"/>
              </w:rPr>
            </w:pPr>
            <w:r w:rsidRPr="00041B7B">
              <w:rPr>
                <w:sz w:val="16"/>
                <w:szCs w:val="16"/>
              </w:rPr>
              <w:t xml:space="preserve">Aprovechar la posición del Centro en cuanto que especialista de solución extrajudicial de controversias de P.I. en el plano internacional; colaborar más estrechamente con el PCT y otros programas;  participar en actividades mediante los árbitros y mediadores de la OMPI;  establecer con más regularidad alianzas con asociaciones de P.I. y cuestiones conexas;  aprovechar al máximo la presencia del Centro en Singapur para aumentar la actividad en la región;  aprovechar los trabajos de investigación recientes sobre las prácticas y expectativas de los usuarios;  perfeccionar la infraestructura de comercialización. </w:t>
            </w:r>
          </w:p>
        </w:tc>
      </w:tr>
      <w:tr w:rsidR="00E362B6" w:rsidRPr="00041B7B" w:rsidTr="000A0481">
        <w:trPr>
          <w:trHeight w:val="1188"/>
        </w:trPr>
        <w:tc>
          <w:tcPr>
            <w:tcW w:w="4111" w:type="dxa"/>
            <w:shd w:val="clear" w:color="auto" w:fill="auto"/>
            <w:tcMar>
              <w:top w:w="113" w:type="dxa"/>
              <w:bottom w:w="113" w:type="dxa"/>
            </w:tcMar>
          </w:tcPr>
          <w:p w:rsidR="00E362B6" w:rsidRPr="00041B7B" w:rsidRDefault="00E362B6" w:rsidP="000A0481">
            <w:pPr>
              <w:rPr>
                <w:sz w:val="16"/>
                <w:szCs w:val="16"/>
              </w:rPr>
            </w:pPr>
            <w:r w:rsidRPr="00041B7B">
              <w:rPr>
                <w:sz w:val="16"/>
                <w:szCs w:val="16"/>
              </w:rPr>
              <w:t>Disminución de la presentación de demandas en virtud de la Política Uniforme, lo que afectaría a la influencia de la OMPI en la política relativa al DNS y al estatus del Centro en la solución extrajudicial de controversias con respecto al DNS.</w:t>
            </w:r>
          </w:p>
          <w:p w:rsidR="00E362B6" w:rsidRPr="00041B7B" w:rsidRDefault="00E362B6" w:rsidP="000A0481">
            <w:pPr>
              <w:rPr>
                <w:sz w:val="16"/>
                <w:szCs w:val="16"/>
              </w:rPr>
            </w:pPr>
          </w:p>
          <w:p w:rsidR="00E362B6" w:rsidRPr="00041B7B" w:rsidRDefault="00E362B6" w:rsidP="000A0481">
            <w:pPr>
              <w:rPr>
                <w:b/>
                <w:i/>
                <w:sz w:val="16"/>
                <w:szCs w:val="16"/>
              </w:rPr>
            </w:pPr>
          </w:p>
        </w:tc>
        <w:tc>
          <w:tcPr>
            <w:tcW w:w="5281" w:type="dxa"/>
            <w:shd w:val="clear" w:color="auto" w:fill="auto"/>
            <w:tcMar>
              <w:top w:w="113" w:type="dxa"/>
              <w:bottom w:w="113" w:type="dxa"/>
            </w:tcMar>
          </w:tcPr>
          <w:p w:rsidR="00E362B6" w:rsidRPr="00041B7B" w:rsidRDefault="00E362B6" w:rsidP="000A0481">
            <w:pPr>
              <w:rPr>
                <w:sz w:val="16"/>
                <w:szCs w:val="16"/>
              </w:rPr>
            </w:pPr>
            <w:r w:rsidRPr="00041B7B">
              <w:rPr>
                <w:sz w:val="16"/>
                <w:szCs w:val="16"/>
              </w:rPr>
              <w:t>Aumentar la facilidad de uso;  ajustar los procedimientos de la Política Uniforme (cuando lo admita la ICANN);  supervisar continuamente el procedimiento uniforme de suspensión rápida;  participar en el examen de la Política Uniforme por parte de la ICANN;  establecer con más regularidad alianzas con las asociaciones de P.I. y cuestiones conexas;  priorizar los recursos para la administración de procedimientos y la elaboración de políticas para encontrar un equilibrio entre “permanecer en el mercado” y aportar un valor específico de la OMPI.</w:t>
            </w:r>
          </w:p>
        </w:tc>
      </w:tr>
    </w:tbl>
    <w:p w:rsidR="00E362B6" w:rsidRPr="00041B7B" w:rsidRDefault="00E362B6" w:rsidP="00E362B6"/>
    <w:p w:rsidR="00E362B6" w:rsidRPr="00041B7B" w:rsidRDefault="00E362B6" w:rsidP="00E362B6"/>
    <w:p w:rsidR="00E362B6" w:rsidRDefault="00E362B6" w:rsidP="000A0481">
      <w:pPr>
        <w:pStyle w:val="BodyText"/>
        <w:keepNext/>
        <w:keepLines/>
        <w:spacing w:after="0"/>
        <w:rPr>
          <w:rFonts w:eastAsia="Times New Roman"/>
          <w:lang w:val="en-US" w:eastAsia="en-US"/>
        </w:rPr>
      </w:pPr>
      <w:r w:rsidRPr="000A0481">
        <w:rPr>
          <w:rFonts w:eastAsia="Times New Roman"/>
          <w:lang w:val="en-US" w:eastAsia="en-US"/>
        </w:rPr>
        <w:t>MARCO DE RESULTADOS</w:t>
      </w:r>
    </w:p>
    <w:p w:rsidR="000A0481" w:rsidRPr="000A0481" w:rsidRDefault="000A0481" w:rsidP="000A0481">
      <w:pPr>
        <w:rPr>
          <w:lang w:val="en-US" w:eastAsia="en-US"/>
        </w:rPr>
      </w:pPr>
    </w:p>
    <w:tbl>
      <w:tblPr>
        <w:tblW w:w="9229" w:type="dxa"/>
        <w:tblInd w:w="93" w:type="dxa"/>
        <w:tblLook w:val="04A0" w:firstRow="1" w:lastRow="0" w:firstColumn="1" w:lastColumn="0" w:noHBand="0" w:noVBand="1"/>
      </w:tblPr>
      <w:tblGrid>
        <w:gridCol w:w="2425"/>
        <w:gridCol w:w="2552"/>
        <w:gridCol w:w="2223"/>
        <w:gridCol w:w="2029"/>
      </w:tblGrid>
      <w:tr w:rsidR="00E362B6" w:rsidRPr="00041B7B" w:rsidTr="00DE56AC">
        <w:trPr>
          <w:trHeight w:val="615"/>
          <w:tblHeader/>
        </w:trPr>
        <w:tc>
          <w:tcPr>
            <w:tcW w:w="2425" w:type="dxa"/>
            <w:tcBorders>
              <w:top w:val="single" w:sz="4" w:space="0" w:color="auto"/>
              <w:left w:val="single" w:sz="4" w:space="0" w:color="auto"/>
              <w:bottom w:val="single" w:sz="4" w:space="0" w:color="auto"/>
              <w:right w:val="nil"/>
            </w:tcBorders>
            <w:shd w:val="clear" w:color="auto" w:fill="C6D9F1"/>
            <w:noWrap/>
            <w:vAlign w:val="center"/>
            <w:hideMark/>
          </w:tcPr>
          <w:p w:rsidR="00E362B6" w:rsidRPr="00041B7B" w:rsidRDefault="00E362B6" w:rsidP="000A0481">
            <w:pPr>
              <w:jc w:val="center"/>
              <w:rPr>
                <w:rFonts w:eastAsia="Times New Roman"/>
                <w:b/>
                <w:bCs/>
                <w:sz w:val="18"/>
              </w:rPr>
            </w:pPr>
            <w:r w:rsidRPr="00041B7B">
              <w:rPr>
                <w:rFonts w:eastAsia="Times New Roman"/>
                <w:b/>
                <w:bCs/>
                <w:sz w:val="18"/>
              </w:rPr>
              <w:t>Resultados previstos</w:t>
            </w:r>
          </w:p>
        </w:tc>
        <w:tc>
          <w:tcPr>
            <w:tcW w:w="2552" w:type="dxa"/>
            <w:tcBorders>
              <w:top w:val="single" w:sz="4" w:space="0" w:color="auto"/>
              <w:left w:val="nil"/>
              <w:bottom w:val="single" w:sz="4" w:space="0" w:color="auto"/>
              <w:right w:val="nil"/>
            </w:tcBorders>
            <w:shd w:val="clear" w:color="auto" w:fill="C6D9F1"/>
            <w:noWrap/>
            <w:vAlign w:val="center"/>
            <w:hideMark/>
          </w:tcPr>
          <w:p w:rsidR="00E362B6" w:rsidRPr="00041B7B" w:rsidRDefault="00E362B6" w:rsidP="000A0481">
            <w:pPr>
              <w:jc w:val="center"/>
              <w:rPr>
                <w:rFonts w:eastAsia="Times New Roman"/>
                <w:b/>
                <w:bCs/>
                <w:sz w:val="18"/>
              </w:rPr>
            </w:pPr>
            <w:r w:rsidRPr="00041B7B">
              <w:rPr>
                <w:rFonts w:eastAsia="Times New Roman"/>
                <w:b/>
                <w:bCs/>
                <w:sz w:val="18"/>
              </w:rPr>
              <w:t>Indicadores de rendimiento</w:t>
            </w:r>
          </w:p>
        </w:tc>
        <w:tc>
          <w:tcPr>
            <w:tcW w:w="2223" w:type="dxa"/>
            <w:tcBorders>
              <w:top w:val="single" w:sz="4" w:space="0" w:color="auto"/>
              <w:left w:val="nil"/>
              <w:bottom w:val="single" w:sz="4" w:space="0" w:color="auto"/>
              <w:right w:val="nil"/>
            </w:tcBorders>
            <w:shd w:val="clear" w:color="auto" w:fill="C6D9F1"/>
            <w:noWrap/>
            <w:vAlign w:val="center"/>
            <w:hideMark/>
          </w:tcPr>
          <w:p w:rsidR="00E362B6" w:rsidRPr="00041B7B" w:rsidRDefault="00E362B6" w:rsidP="000A0481">
            <w:pPr>
              <w:jc w:val="center"/>
              <w:rPr>
                <w:rFonts w:eastAsia="Times New Roman"/>
                <w:b/>
                <w:bCs/>
                <w:sz w:val="18"/>
              </w:rPr>
            </w:pPr>
            <w:r w:rsidRPr="00041B7B">
              <w:rPr>
                <w:rFonts w:eastAsia="Times New Roman"/>
                <w:b/>
                <w:bCs/>
                <w:sz w:val="18"/>
              </w:rPr>
              <w:t>Referencia</w:t>
            </w:r>
          </w:p>
        </w:tc>
        <w:tc>
          <w:tcPr>
            <w:tcW w:w="2029" w:type="dxa"/>
            <w:tcBorders>
              <w:top w:val="single" w:sz="4" w:space="0" w:color="auto"/>
              <w:left w:val="nil"/>
              <w:bottom w:val="single" w:sz="4" w:space="0" w:color="auto"/>
              <w:right w:val="single" w:sz="4" w:space="0" w:color="auto"/>
            </w:tcBorders>
            <w:shd w:val="clear" w:color="auto" w:fill="C6D9F1"/>
            <w:noWrap/>
            <w:vAlign w:val="center"/>
            <w:hideMark/>
          </w:tcPr>
          <w:p w:rsidR="00E362B6" w:rsidRPr="00041B7B" w:rsidRDefault="00E362B6" w:rsidP="000A0481">
            <w:pPr>
              <w:jc w:val="center"/>
              <w:rPr>
                <w:rFonts w:eastAsia="Times New Roman"/>
                <w:b/>
                <w:bCs/>
                <w:sz w:val="18"/>
              </w:rPr>
            </w:pPr>
            <w:r w:rsidRPr="00041B7B">
              <w:rPr>
                <w:rFonts w:eastAsia="Times New Roman"/>
                <w:b/>
                <w:bCs/>
                <w:sz w:val="18"/>
              </w:rPr>
              <w:t>Objetivos</w:t>
            </w:r>
          </w:p>
        </w:tc>
      </w:tr>
      <w:tr w:rsidR="00E362B6" w:rsidRPr="00041B7B" w:rsidTr="000A0481">
        <w:trPr>
          <w:trHeight w:val="3561"/>
        </w:trPr>
        <w:tc>
          <w:tcPr>
            <w:tcW w:w="2425" w:type="dxa"/>
            <w:vMerge w:val="restart"/>
            <w:tcBorders>
              <w:top w:val="nil"/>
              <w:left w:val="single" w:sz="4" w:space="0" w:color="auto"/>
              <w:bottom w:val="nil"/>
              <w:right w:val="nil"/>
            </w:tcBorders>
            <w:shd w:val="clear" w:color="000000" w:fill="FFFFFF"/>
            <w:hideMark/>
          </w:tcPr>
          <w:p w:rsidR="00E362B6" w:rsidRPr="00041B7B" w:rsidRDefault="00E362B6" w:rsidP="000A0481">
            <w:pPr>
              <w:tabs>
                <w:tab w:val="left" w:pos="2175"/>
                <w:tab w:val="left" w:pos="2209"/>
              </w:tabs>
              <w:ind w:right="175"/>
              <w:rPr>
                <w:rFonts w:eastAsia="Times New Roman"/>
                <w:sz w:val="16"/>
                <w:szCs w:val="16"/>
              </w:rPr>
            </w:pPr>
          </w:p>
          <w:p w:rsidR="00E362B6" w:rsidRPr="00041B7B" w:rsidRDefault="003E6776" w:rsidP="000A0481">
            <w:pPr>
              <w:tabs>
                <w:tab w:val="left" w:pos="2175"/>
                <w:tab w:val="left" w:pos="2209"/>
              </w:tabs>
              <w:ind w:right="175"/>
              <w:rPr>
                <w:rFonts w:eastAsia="Times New Roman"/>
                <w:sz w:val="16"/>
                <w:szCs w:val="16"/>
              </w:rPr>
            </w:pPr>
            <w:r>
              <w:rPr>
                <w:rFonts w:eastAsia="Times New Roman"/>
                <w:sz w:val="16"/>
                <w:szCs w:val="16"/>
              </w:rPr>
              <w:t>II.8</w:t>
            </w:r>
            <w:r w:rsidR="00E362B6" w:rsidRPr="00041B7B">
              <w:rPr>
                <w:rFonts w:eastAsia="Times New Roman"/>
                <w:sz w:val="16"/>
                <w:szCs w:val="16"/>
              </w:rPr>
              <w:t xml:space="preserve">  </w:t>
            </w:r>
            <w:r w:rsidR="006C23D5" w:rsidRPr="00DE56AC">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tc>
        <w:tc>
          <w:tcPr>
            <w:tcW w:w="2552" w:type="dxa"/>
            <w:tcBorders>
              <w:top w:val="nil"/>
              <w:left w:val="nil"/>
              <w:right w:val="nil"/>
            </w:tcBorders>
            <w:shd w:val="clear" w:color="000000" w:fill="FFFFFF"/>
            <w:hideMark/>
          </w:tcPr>
          <w:p w:rsidR="00E362B6" w:rsidRPr="00041B7B" w:rsidRDefault="00E362B6" w:rsidP="000A0481">
            <w:pPr>
              <w:ind w:right="176"/>
              <w:rPr>
                <w:rFonts w:eastAsia="Times New Roman"/>
                <w:sz w:val="16"/>
                <w:szCs w:val="16"/>
              </w:rPr>
            </w:pPr>
          </w:p>
          <w:p w:rsidR="00E362B6" w:rsidRPr="00041B7B" w:rsidRDefault="00E362B6" w:rsidP="000A0481">
            <w:pPr>
              <w:ind w:right="176"/>
              <w:rPr>
                <w:rFonts w:eastAsia="Times New Roman"/>
                <w:sz w:val="16"/>
                <w:szCs w:val="16"/>
              </w:rPr>
            </w:pPr>
            <w:r w:rsidRPr="00041B7B">
              <w:rPr>
                <w:rFonts w:eastAsia="Times New Roman"/>
                <w:sz w:val="16"/>
                <w:szCs w:val="16"/>
              </w:rPr>
              <w:t xml:space="preserve">Mayor uso de los servicios y cláusulas de solución extrajudicial de controversias en las transacciones y los registros de P.I., entre otros medios, valiéndose de los procedimientos de la OMPI. </w:t>
            </w:r>
          </w:p>
        </w:tc>
        <w:tc>
          <w:tcPr>
            <w:tcW w:w="2223" w:type="dxa"/>
            <w:tcBorders>
              <w:top w:val="nil"/>
              <w:left w:val="nil"/>
              <w:right w:val="nil"/>
            </w:tcBorders>
            <w:shd w:val="clear" w:color="000000" w:fill="FFFFFF"/>
            <w:hideMark/>
          </w:tcPr>
          <w:p w:rsidR="00E362B6" w:rsidRPr="00041B7B" w:rsidRDefault="00E362B6" w:rsidP="000A0481">
            <w:pPr>
              <w:ind w:right="273"/>
              <w:rPr>
                <w:rFonts w:eastAsia="Times New Roman"/>
                <w:sz w:val="16"/>
                <w:szCs w:val="16"/>
              </w:rPr>
            </w:pPr>
          </w:p>
          <w:p w:rsidR="00E362B6" w:rsidRPr="00041B7B" w:rsidRDefault="00E362B6" w:rsidP="000A0481">
            <w:pPr>
              <w:ind w:right="273"/>
              <w:rPr>
                <w:rFonts w:eastAsia="Times New Roman"/>
                <w:sz w:val="16"/>
                <w:szCs w:val="16"/>
              </w:rPr>
            </w:pPr>
            <w:r w:rsidRPr="00041B7B">
              <w:rPr>
                <w:rFonts w:eastAsia="Times New Roman"/>
                <w:sz w:val="16"/>
                <w:szCs w:val="16"/>
              </w:rPr>
              <w:t>393 controversias y 148 buenos oficios (en total al final de 2014).</w:t>
            </w:r>
            <w:r w:rsidRPr="00041B7B">
              <w:rPr>
                <w:rFonts w:eastAsia="Times New Roman"/>
                <w:sz w:val="16"/>
                <w:szCs w:val="16"/>
              </w:rPr>
              <w:br/>
            </w:r>
            <w:r w:rsidRPr="00041B7B">
              <w:rPr>
                <w:rFonts w:eastAsia="Times New Roman"/>
                <w:sz w:val="16"/>
                <w:szCs w:val="16"/>
              </w:rPr>
              <w:br/>
              <w:t>4.000 consultas recibidas (2012/13).</w:t>
            </w:r>
            <w:r w:rsidRPr="00041B7B">
              <w:rPr>
                <w:rFonts w:eastAsia="Times New Roman"/>
                <w:sz w:val="16"/>
                <w:szCs w:val="16"/>
              </w:rPr>
              <w:br/>
            </w:r>
            <w:r w:rsidRPr="00041B7B">
              <w:rPr>
                <w:rFonts w:eastAsia="Times New Roman"/>
                <w:sz w:val="16"/>
                <w:szCs w:val="16"/>
              </w:rPr>
              <w:br/>
              <w:t>1.553 millones de visitas al sitio web (2014).</w:t>
            </w:r>
            <w:r w:rsidRPr="00041B7B">
              <w:rPr>
                <w:rFonts w:eastAsia="Times New Roman"/>
                <w:sz w:val="16"/>
                <w:szCs w:val="16"/>
              </w:rPr>
              <w:br/>
            </w:r>
            <w:r w:rsidRPr="00041B7B">
              <w:rPr>
                <w:rFonts w:eastAsia="Times New Roman"/>
                <w:sz w:val="16"/>
                <w:szCs w:val="16"/>
              </w:rPr>
              <w:br/>
              <w:t>408 participantes en actividades del Centro (2012/13).</w:t>
            </w:r>
            <w:r w:rsidRPr="00041B7B">
              <w:rPr>
                <w:rFonts w:eastAsia="Times New Roman"/>
                <w:sz w:val="16"/>
                <w:szCs w:val="16"/>
              </w:rPr>
              <w:br/>
            </w:r>
            <w:r w:rsidRPr="00041B7B">
              <w:rPr>
                <w:rFonts w:eastAsia="Times New Roman"/>
                <w:sz w:val="16"/>
                <w:szCs w:val="16"/>
              </w:rPr>
              <w:br/>
              <w:t>4.000 participantes en actividades en las que estuvo representado el Centro (2012/13).</w:t>
            </w:r>
          </w:p>
        </w:tc>
        <w:tc>
          <w:tcPr>
            <w:tcW w:w="2029" w:type="dxa"/>
            <w:tcBorders>
              <w:top w:val="nil"/>
              <w:left w:val="nil"/>
              <w:right w:val="single" w:sz="4" w:space="0" w:color="auto"/>
            </w:tcBorders>
            <w:shd w:val="clear" w:color="000000" w:fill="FFFFFF"/>
            <w:hideMark/>
          </w:tcPr>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r w:rsidRPr="00041B7B">
              <w:rPr>
                <w:rFonts w:eastAsia="Times New Roman"/>
                <w:sz w:val="16"/>
                <w:szCs w:val="16"/>
              </w:rPr>
              <w:t>Otras 40 controversias y buenos oficios.</w:t>
            </w: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r w:rsidRPr="00041B7B">
              <w:rPr>
                <w:rFonts w:eastAsia="Times New Roman"/>
                <w:sz w:val="16"/>
                <w:szCs w:val="16"/>
              </w:rPr>
              <w:t>Otras 4.000 consultas.</w:t>
            </w: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r w:rsidRPr="00041B7B">
              <w:rPr>
                <w:rFonts w:eastAsia="Times New Roman"/>
                <w:sz w:val="16"/>
                <w:szCs w:val="16"/>
              </w:rPr>
              <w:t xml:space="preserve"> </w:t>
            </w:r>
          </w:p>
          <w:p w:rsidR="00E362B6" w:rsidRPr="00041B7B" w:rsidRDefault="00E362B6" w:rsidP="000A0481">
            <w:pPr>
              <w:ind w:right="34"/>
              <w:rPr>
                <w:rFonts w:eastAsia="Times New Roman"/>
                <w:sz w:val="16"/>
                <w:szCs w:val="16"/>
              </w:rPr>
            </w:pPr>
            <w:r w:rsidRPr="00041B7B">
              <w:rPr>
                <w:rFonts w:eastAsia="Times New Roman"/>
                <w:sz w:val="16"/>
                <w:szCs w:val="16"/>
              </w:rPr>
              <w:t xml:space="preserve">1,5 millones de visitas adicionales al sitio web. </w:t>
            </w:r>
          </w:p>
          <w:p w:rsidR="00E362B6" w:rsidRPr="00041B7B" w:rsidRDefault="00E362B6" w:rsidP="000A0481">
            <w:pPr>
              <w:ind w:right="34"/>
              <w:rPr>
                <w:rFonts w:eastAsia="Times New Roman"/>
                <w:sz w:val="16"/>
                <w:szCs w:val="16"/>
              </w:rPr>
            </w:pPr>
            <w:r w:rsidRPr="00041B7B">
              <w:rPr>
                <w:rFonts w:eastAsia="Times New Roman"/>
                <w:sz w:val="16"/>
                <w:szCs w:val="16"/>
              </w:rPr>
              <w:br/>
            </w:r>
            <w:r w:rsidRPr="00041B7B">
              <w:rPr>
                <w:rFonts w:eastAsia="Times New Roman"/>
                <w:sz w:val="16"/>
                <w:szCs w:val="16"/>
              </w:rPr>
              <w:br/>
              <w:t>250 participantes en actividades del Centro.</w:t>
            </w: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r w:rsidRPr="00041B7B">
              <w:rPr>
                <w:rFonts w:eastAsia="Times New Roman"/>
                <w:sz w:val="16"/>
                <w:szCs w:val="16"/>
              </w:rPr>
              <w:br/>
              <w:t>6.000 participantes en actividades en las que estuvo representado el Centro.</w:t>
            </w:r>
          </w:p>
          <w:p w:rsidR="00E362B6" w:rsidRPr="00041B7B" w:rsidRDefault="00E362B6" w:rsidP="000A0481">
            <w:pPr>
              <w:ind w:right="34"/>
              <w:rPr>
                <w:rFonts w:eastAsia="Times New Roman"/>
                <w:sz w:val="16"/>
                <w:szCs w:val="16"/>
              </w:rPr>
            </w:pPr>
          </w:p>
        </w:tc>
      </w:tr>
      <w:tr w:rsidR="00E362B6" w:rsidRPr="00041B7B" w:rsidTr="000A0481">
        <w:trPr>
          <w:trHeight w:val="1818"/>
        </w:trPr>
        <w:tc>
          <w:tcPr>
            <w:tcW w:w="2425" w:type="dxa"/>
            <w:vMerge/>
            <w:tcBorders>
              <w:top w:val="nil"/>
              <w:left w:val="single" w:sz="4" w:space="0" w:color="auto"/>
              <w:bottom w:val="single" w:sz="4" w:space="0" w:color="auto"/>
              <w:right w:val="nil"/>
            </w:tcBorders>
            <w:vAlign w:val="center"/>
            <w:hideMark/>
          </w:tcPr>
          <w:p w:rsidR="00E362B6" w:rsidRPr="00041B7B" w:rsidRDefault="00E362B6" w:rsidP="000A0481">
            <w:pPr>
              <w:tabs>
                <w:tab w:val="left" w:pos="2175"/>
                <w:tab w:val="left" w:pos="2209"/>
              </w:tabs>
              <w:ind w:right="175"/>
              <w:rPr>
                <w:rFonts w:eastAsia="Times New Roman"/>
                <w:sz w:val="16"/>
                <w:szCs w:val="16"/>
              </w:rPr>
            </w:pPr>
          </w:p>
        </w:tc>
        <w:tc>
          <w:tcPr>
            <w:tcW w:w="2552" w:type="dxa"/>
            <w:tcBorders>
              <w:top w:val="nil"/>
              <w:left w:val="nil"/>
              <w:bottom w:val="single" w:sz="4" w:space="0" w:color="auto"/>
              <w:right w:val="nil"/>
            </w:tcBorders>
            <w:shd w:val="clear" w:color="000000" w:fill="FFFFFF"/>
            <w:hideMark/>
          </w:tcPr>
          <w:p w:rsidR="00E362B6" w:rsidRPr="00041B7B" w:rsidRDefault="00E362B6" w:rsidP="000A0481">
            <w:pPr>
              <w:ind w:right="176"/>
              <w:rPr>
                <w:rFonts w:eastAsia="Times New Roman"/>
                <w:sz w:val="16"/>
                <w:szCs w:val="16"/>
              </w:rPr>
            </w:pPr>
            <w:r w:rsidRPr="00041B7B">
              <w:rPr>
                <w:rFonts w:eastAsia="Times New Roman"/>
                <w:sz w:val="16"/>
                <w:szCs w:val="16"/>
              </w:rPr>
              <w:t>Políticas de solución extrajudicial de controversias en cuya elaboración y aplicación ha participado el Centro.</w:t>
            </w:r>
          </w:p>
        </w:tc>
        <w:tc>
          <w:tcPr>
            <w:tcW w:w="2223" w:type="dxa"/>
            <w:tcBorders>
              <w:top w:val="nil"/>
              <w:left w:val="nil"/>
              <w:bottom w:val="single" w:sz="4" w:space="0" w:color="auto"/>
              <w:right w:val="nil"/>
            </w:tcBorders>
            <w:shd w:val="clear" w:color="000000" w:fill="FFFFFF"/>
            <w:hideMark/>
          </w:tcPr>
          <w:p w:rsidR="00E362B6" w:rsidRPr="00041B7B" w:rsidRDefault="00E362B6" w:rsidP="000A0481">
            <w:pPr>
              <w:ind w:right="273"/>
              <w:rPr>
                <w:rFonts w:eastAsia="Times New Roman"/>
                <w:sz w:val="16"/>
                <w:szCs w:val="16"/>
              </w:rPr>
            </w:pPr>
            <w:r w:rsidRPr="00041B7B">
              <w:rPr>
                <w:rFonts w:eastAsia="Times New Roman"/>
                <w:sz w:val="16"/>
                <w:szCs w:val="16"/>
              </w:rPr>
              <w:t xml:space="preserve">15 regímenes especiales adoptados (AEF, AGICOA, DGIPR, DNDA, EGEDA, ETSI, cine y medios de comunicación, ICOM, IMPI, INPI-Brasil, IPAG, IPOPHL, </w:t>
            </w:r>
            <w:proofErr w:type="gramStart"/>
            <w:r w:rsidRPr="00041B7B">
              <w:rPr>
                <w:rFonts w:eastAsia="Times New Roman"/>
                <w:sz w:val="16"/>
                <w:szCs w:val="16"/>
              </w:rPr>
              <w:t>IPOS(</w:t>
            </w:r>
            <w:proofErr w:type="gramEnd"/>
            <w:r w:rsidRPr="00041B7B">
              <w:rPr>
                <w:rFonts w:eastAsia="Times New Roman"/>
                <w:sz w:val="16"/>
                <w:szCs w:val="16"/>
              </w:rPr>
              <w:t>M), IPOS(ED), ITPGRFA) (en total al final de 2014).</w:t>
            </w:r>
            <w:r w:rsidR="00DE56AC">
              <w:rPr>
                <w:rFonts w:eastAsia="Times New Roman"/>
                <w:sz w:val="16"/>
                <w:szCs w:val="16"/>
              </w:rPr>
              <w:br/>
            </w:r>
          </w:p>
        </w:tc>
        <w:tc>
          <w:tcPr>
            <w:tcW w:w="2029" w:type="dxa"/>
            <w:tcBorders>
              <w:top w:val="nil"/>
              <w:left w:val="nil"/>
              <w:bottom w:val="single" w:sz="4" w:space="0" w:color="auto"/>
              <w:right w:val="single" w:sz="4" w:space="0" w:color="auto"/>
            </w:tcBorders>
            <w:shd w:val="clear" w:color="000000" w:fill="FFFFFF"/>
            <w:hideMark/>
          </w:tcPr>
          <w:p w:rsidR="00E362B6" w:rsidRPr="00041B7B" w:rsidRDefault="00E362B6" w:rsidP="000A0481">
            <w:pPr>
              <w:ind w:right="34"/>
              <w:rPr>
                <w:rFonts w:eastAsia="Times New Roman"/>
                <w:sz w:val="16"/>
                <w:szCs w:val="16"/>
              </w:rPr>
            </w:pPr>
            <w:r w:rsidRPr="00041B7B">
              <w:rPr>
                <w:rFonts w:eastAsia="Times New Roman"/>
                <w:sz w:val="16"/>
                <w:szCs w:val="16"/>
              </w:rPr>
              <w:t>De uno a tres nuevos regímenes especiales.</w:t>
            </w:r>
          </w:p>
        </w:tc>
      </w:tr>
      <w:tr w:rsidR="00E362B6" w:rsidRPr="00041B7B" w:rsidTr="000A0481">
        <w:trPr>
          <w:trHeight w:val="1844"/>
        </w:trPr>
        <w:tc>
          <w:tcPr>
            <w:tcW w:w="2425" w:type="dxa"/>
            <w:vMerge w:val="restart"/>
            <w:tcBorders>
              <w:top w:val="single" w:sz="4" w:space="0" w:color="auto"/>
              <w:left w:val="single" w:sz="4" w:space="0" w:color="auto"/>
              <w:bottom w:val="single" w:sz="4" w:space="0" w:color="000000"/>
              <w:right w:val="nil"/>
            </w:tcBorders>
            <w:shd w:val="clear" w:color="000000" w:fill="FFFFFF"/>
            <w:hideMark/>
          </w:tcPr>
          <w:p w:rsidR="00E362B6" w:rsidRPr="00041B7B" w:rsidRDefault="00DE56AC" w:rsidP="000A0481">
            <w:pPr>
              <w:tabs>
                <w:tab w:val="left" w:pos="2175"/>
                <w:tab w:val="left" w:pos="2209"/>
              </w:tabs>
              <w:ind w:right="175"/>
              <w:rPr>
                <w:rFonts w:eastAsia="Times New Roman"/>
                <w:sz w:val="16"/>
                <w:szCs w:val="16"/>
              </w:rPr>
            </w:pPr>
            <w:r>
              <w:rPr>
                <w:rFonts w:eastAsia="Times New Roman"/>
                <w:sz w:val="16"/>
                <w:szCs w:val="16"/>
              </w:rPr>
              <w:lastRenderedPageBreak/>
              <w:br/>
            </w:r>
            <w:r w:rsidR="006C23D5">
              <w:rPr>
                <w:rFonts w:eastAsia="Times New Roman"/>
                <w:sz w:val="16"/>
                <w:szCs w:val="16"/>
              </w:rPr>
              <w:t xml:space="preserve">II.9  </w:t>
            </w:r>
            <w:r w:rsidR="006C23D5" w:rsidRPr="00ED369F">
              <w:rPr>
                <w:sz w:val="16"/>
                <w:szCs w:val="16"/>
                <w:lang w:val="es-ES_tradnl"/>
              </w:rPr>
              <w:t xml:space="preserve">Protección eficaz de la propiedad intelectual en los </w:t>
            </w:r>
            <w:proofErr w:type="spellStart"/>
            <w:r w:rsidR="006C23D5" w:rsidRPr="00ED369F">
              <w:rPr>
                <w:sz w:val="16"/>
                <w:szCs w:val="16"/>
                <w:lang w:val="es-ES_tradnl"/>
              </w:rPr>
              <w:t>gTLD</w:t>
            </w:r>
            <w:proofErr w:type="spellEnd"/>
            <w:r w:rsidR="006C23D5" w:rsidRPr="00ED369F">
              <w:rPr>
                <w:sz w:val="16"/>
                <w:szCs w:val="16"/>
                <w:lang w:val="es-ES_tradnl"/>
              </w:rPr>
              <w:t xml:space="preserve"> y los </w:t>
            </w:r>
            <w:proofErr w:type="spellStart"/>
            <w:r w:rsidR="006C23D5" w:rsidRPr="00ED369F">
              <w:rPr>
                <w:sz w:val="16"/>
                <w:szCs w:val="16"/>
                <w:lang w:val="es-ES_tradnl"/>
              </w:rPr>
              <w:t>ccTLD</w:t>
            </w:r>
            <w:proofErr w:type="spellEnd"/>
          </w:p>
        </w:tc>
        <w:tc>
          <w:tcPr>
            <w:tcW w:w="2552" w:type="dxa"/>
            <w:tcBorders>
              <w:top w:val="single" w:sz="4" w:space="0" w:color="auto"/>
              <w:left w:val="nil"/>
              <w:bottom w:val="nil"/>
              <w:right w:val="nil"/>
            </w:tcBorders>
            <w:shd w:val="clear" w:color="000000" w:fill="FFFFFF"/>
            <w:hideMark/>
          </w:tcPr>
          <w:p w:rsidR="00E362B6" w:rsidRPr="00041B7B" w:rsidRDefault="00DE56AC" w:rsidP="000A0481">
            <w:pPr>
              <w:ind w:right="176"/>
              <w:rPr>
                <w:rFonts w:eastAsia="Times New Roman"/>
                <w:sz w:val="16"/>
                <w:szCs w:val="16"/>
              </w:rPr>
            </w:pPr>
            <w:r>
              <w:rPr>
                <w:rFonts w:eastAsia="Times New Roman"/>
                <w:sz w:val="16"/>
                <w:szCs w:val="16"/>
              </w:rPr>
              <w:br/>
            </w:r>
            <w:r w:rsidR="00E362B6" w:rsidRPr="00041B7B">
              <w:rPr>
                <w:rFonts w:eastAsia="Times New Roman"/>
                <w:sz w:val="16"/>
                <w:szCs w:val="16"/>
              </w:rPr>
              <w:t xml:space="preserve">Número de procedimientos relativos a los </w:t>
            </w:r>
            <w:proofErr w:type="spellStart"/>
            <w:r w:rsidR="00E362B6" w:rsidRPr="00041B7B">
              <w:rPr>
                <w:rFonts w:eastAsia="Times New Roman"/>
                <w:sz w:val="16"/>
                <w:szCs w:val="16"/>
              </w:rPr>
              <w:t>gTLD</w:t>
            </w:r>
            <w:proofErr w:type="spellEnd"/>
            <w:r w:rsidR="00E362B6" w:rsidRPr="00041B7B">
              <w:rPr>
                <w:rFonts w:eastAsia="Times New Roman"/>
                <w:sz w:val="16"/>
                <w:szCs w:val="16"/>
              </w:rPr>
              <w:t xml:space="preserve"> y los </w:t>
            </w:r>
            <w:proofErr w:type="spellStart"/>
            <w:r w:rsidR="00E362B6" w:rsidRPr="00041B7B">
              <w:rPr>
                <w:rFonts w:eastAsia="Times New Roman"/>
                <w:sz w:val="16"/>
                <w:szCs w:val="16"/>
              </w:rPr>
              <w:t>ccTLD</w:t>
            </w:r>
            <w:proofErr w:type="spellEnd"/>
            <w:r w:rsidR="00E362B6" w:rsidRPr="00041B7B">
              <w:rPr>
                <w:rFonts w:eastAsia="Times New Roman"/>
                <w:sz w:val="16"/>
                <w:szCs w:val="16"/>
              </w:rPr>
              <w:t xml:space="preserve"> administrados por el Centro en virtud de la Política Uniforme.</w:t>
            </w:r>
          </w:p>
        </w:tc>
        <w:tc>
          <w:tcPr>
            <w:tcW w:w="2223" w:type="dxa"/>
            <w:tcBorders>
              <w:top w:val="single" w:sz="4" w:space="0" w:color="auto"/>
              <w:left w:val="nil"/>
              <w:bottom w:val="nil"/>
              <w:right w:val="nil"/>
            </w:tcBorders>
            <w:shd w:val="clear" w:color="000000" w:fill="FFFFFF"/>
            <w:hideMark/>
          </w:tcPr>
          <w:p w:rsidR="00E362B6" w:rsidRPr="00041B7B" w:rsidRDefault="00DE56AC" w:rsidP="000A0481">
            <w:pPr>
              <w:ind w:right="273"/>
              <w:rPr>
                <w:rFonts w:eastAsia="Times New Roman"/>
                <w:sz w:val="16"/>
                <w:szCs w:val="16"/>
              </w:rPr>
            </w:pPr>
            <w:r>
              <w:rPr>
                <w:rFonts w:eastAsia="Times New Roman"/>
                <w:sz w:val="16"/>
                <w:szCs w:val="16"/>
              </w:rPr>
              <w:br/>
            </w:r>
            <w:r w:rsidR="00E362B6" w:rsidRPr="00041B7B">
              <w:rPr>
                <w:rFonts w:eastAsia="Times New Roman"/>
                <w:sz w:val="16"/>
                <w:szCs w:val="16"/>
              </w:rPr>
              <w:t xml:space="preserve">27.189 procedimientos relativos a los </w:t>
            </w:r>
            <w:proofErr w:type="spellStart"/>
            <w:r w:rsidR="00E362B6" w:rsidRPr="00041B7B">
              <w:rPr>
                <w:rFonts w:eastAsia="Times New Roman"/>
                <w:sz w:val="16"/>
                <w:szCs w:val="16"/>
              </w:rPr>
              <w:t>gTLD</w:t>
            </w:r>
            <w:proofErr w:type="spellEnd"/>
            <w:r w:rsidR="00E362B6" w:rsidRPr="00041B7B">
              <w:rPr>
                <w:rFonts w:eastAsia="Times New Roman"/>
                <w:sz w:val="16"/>
                <w:szCs w:val="16"/>
              </w:rPr>
              <w:t xml:space="preserve"> administrados por el Centro (en total al final de 2014).</w:t>
            </w:r>
            <w:r w:rsidR="00E362B6" w:rsidRPr="00041B7B">
              <w:rPr>
                <w:rFonts w:eastAsia="Times New Roman"/>
                <w:sz w:val="16"/>
                <w:szCs w:val="16"/>
              </w:rPr>
              <w:br/>
            </w:r>
            <w:r w:rsidR="00E362B6" w:rsidRPr="00041B7B">
              <w:rPr>
                <w:rFonts w:eastAsia="Times New Roman"/>
                <w:sz w:val="16"/>
                <w:szCs w:val="16"/>
              </w:rPr>
              <w:br/>
              <w:t xml:space="preserve">3.144 procedimientos relativos a los </w:t>
            </w:r>
            <w:proofErr w:type="spellStart"/>
            <w:r w:rsidR="00E362B6" w:rsidRPr="00041B7B">
              <w:rPr>
                <w:rFonts w:eastAsia="Times New Roman"/>
                <w:sz w:val="16"/>
                <w:szCs w:val="16"/>
              </w:rPr>
              <w:t>ccTLD</w:t>
            </w:r>
            <w:proofErr w:type="spellEnd"/>
            <w:r w:rsidR="00E362B6" w:rsidRPr="00041B7B">
              <w:rPr>
                <w:rFonts w:eastAsia="Times New Roman"/>
                <w:sz w:val="16"/>
                <w:szCs w:val="16"/>
              </w:rPr>
              <w:t xml:space="preserve"> administrados por el Centro (en total al final de 2014).</w:t>
            </w:r>
            <w:r w:rsidR="00A47448">
              <w:rPr>
                <w:rFonts w:eastAsia="Times New Roman"/>
                <w:sz w:val="16"/>
                <w:szCs w:val="16"/>
              </w:rPr>
              <w:br/>
            </w:r>
          </w:p>
        </w:tc>
        <w:tc>
          <w:tcPr>
            <w:tcW w:w="2029" w:type="dxa"/>
            <w:tcBorders>
              <w:top w:val="single" w:sz="4" w:space="0" w:color="auto"/>
              <w:left w:val="nil"/>
              <w:bottom w:val="nil"/>
              <w:right w:val="single" w:sz="4" w:space="0" w:color="auto"/>
            </w:tcBorders>
            <w:shd w:val="clear" w:color="000000" w:fill="FFFFFF"/>
            <w:hideMark/>
          </w:tcPr>
          <w:p w:rsidR="00E362B6" w:rsidRPr="00041B7B" w:rsidRDefault="00DE56AC" w:rsidP="000A0481">
            <w:pPr>
              <w:ind w:right="34"/>
              <w:rPr>
                <w:rFonts w:eastAsia="Times New Roman"/>
                <w:sz w:val="16"/>
                <w:szCs w:val="16"/>
              </w:rPr>
            </w:pPr>
            <w:r>
              <w:rPr>
                <w:rFonts w:eastAsia="Times New Roman"/>
                <w:sz w:val="16"/>
                <w:szCs w:val="16"/>
              </w:rPr>
              <w:br/>
            </w:r>
            <w:r w:rsidR="00E362B6" w:rsidRPr="00041B7B">
              <w:rPr>
                <w:rFonts w:eastAsia="Times New Roman"/>
                <w:sz w:val="16"/>
                <w:szCs w:val="16"/>
              </w:rPr>
              <w:t xml:space="preserve">Otras 3.000 demandas relativas a los </w:t>
            </w:r>
            <w:proofErr w:type="spellStart"/>
            <w:r w:rsidR="00E362B6" w:rsidRPr="00041B7B">
              <w:rPr>
                <w:rFonts w:eastAsia="Times New Roman"/>
                <w:sz w:val="16"/>
                <w:szCs w:val="16"/>
              </w:rPr>
              <w:t>gTLD</w:t>
            </w:r>
            <w:proofErr w:type="spellEnd"/>
            <w:r w:rsidR="00E362B6" w:rsidRPr="00041B7B">
              <w:rPr>
                <w:rFonts w:eastAsia="Times New Roman"/>
                <w:sz w:val="16"/>
                <w:szCs w:val="16"/>
              </w:rPr>
              <w:t>.</w:t>
            </w: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p>
          <w:p w:rsidR="00E362B6" w:rsidRPr="00041B7B" w:rsidRDefault="00E362B6" w:rsidP="000A0481">
            <w:pPr>
              <w:ind w:right="34"/>
              <w:rPr>
                <w:rFonts w:eastAsia="Times New Roman"/>
                <w:sz w:val="16"/>
                <w:szCs w:val="16"/>
              </w:rPr>
            </w:pPr>
            <w:r w:rsidRPr="00041B7B">
              <w:rPr>
                <w:rFonts w:eastAsia="Times New Roman"/>
                <w:sz w:val="16"/>
                <w:szCs w:val="16"/>
              </w:rPr>
              <w:t xml:space="preserve">Otras 350 demandas relacionadas únicamente con los </w:t>
            </w:r>
            <w:proofErr w:type="spellStart"/>
            <w:r w:rsidRPr="00041B7B">
              <w:rPr>
                <w:rFonts w:eastAsia="Times New Roman"/>
                <w:sz w:val="16"/>
                <w:szCs w:val="16"/>
              </w:rPr>
              <w:t>ccTLD</w:t>
            </w:r>
            <w:proofErr w:type="spellEnd"/>
            <w:r w:rsidRPr="00041B7B">
              <w:rPr>
                <w:rFonts w:eastAsia="Times New Roman"/>
                <w:sz w:val="16"/>
                <w:szCs w:val="16"/>
              </w:rPr>
              <w:t>.</w:t>
            </w:r>
          </w:p>
        </w:tc>
      </w:tr>
      <w:tr w:rsidR="00E362B6" w:rsidRPr="00041B7B" w:rsidTr="000A0481">
        <w:trPr>
          <w:trHeight w:val="2123"/>
        </w:trPr>
        <w:tc>
          <w:tcPr>
            <w:tcW w:w="2425" w:type="dxa"/>
            <w:vMerge/>
            <w:tcBorders>
              <w:top w:val="single" w:sz="4" w:space="0" w:color="000000"/>
              <w:left w:val="single" w:sz="4" w:space="0" w:color="auto"/>
              <w:bottom w:val="single" w:sz="4" w:space="0" w:color="000000"/>
              <w:right w:val="nil"/>
            </w:tcBorders>
            <w:vAlign w:val="center"/>
            <w:hideMark/>
          </w:tcPr>
          <w:p w:rsidR="00E362B6" w:rsidRPr="00041B7B" w:rsidRDefault="00E362B6" w:rsidP="000A0481">
            <w:pPr>
              <w:rPr>
                <w:rFonts w:eastAsia="Times New Roman"/>
                <w:sz w:val="16"/>
                <w:szCs w:val="16"/>
              </w:rPr>
            </w:pPr>
          </w:p>
        </w:tc>
        <w:tc>
          <w:tcPr>
            <w:tcW w:w="2552" w:type="dxa"/>
            <w:tcBorders>
              <w:top w:val="nil"/>
              <w:left w:val="nil"/>
              <w:bottom w:val="single" w:sz="4" w:space="0" w:color="auto"/>
              <w:right w:val="nil"/>
            </w:tcBorders>
            <w:shd w:val="clear" w:color="000000" w:fill="FFFFFF"/>
            <w:hideMark/>
          </w:tcPr>
          <w:p w:rsidR="00E362B6" w:rsidRPr="00041B7B" w:rsidRDefault="00E362B6" w:rsidP="000A0481">
            <w:pPr>
              <w:ind w:right="176"/>
              <w:rPr>
                <w:rFonts w:eastAsia="Times New Roman"/>
                <w:sz w:val="16"/>
                <w:szCs w:val="16"/>
              </w:rPr>
            </w:pPr>
            <w:r w:rsidRPr="00041B7B">
              <w:rPr>
                <w:rFonts w:eastAsia="Times New Roman"/>
                <w:sz w:val="16"/>
                <w:szCs w:val="16"/>
              </w:rPr>
              <w:t>Políticas de solución de controversias en el Sistema de Nombres de Dominio en cuya elaboración y aplicación ha participado el Centro.</w:t>
            </w:r>
          </w:p>
        </w:tc>
        <w:tc>
          <w:tcPr>
            <w:tcW w:w="2223" w:type="dxa"/>
            <w:tcBorders>
              <w:top w:val="nil"/>
              <w:left w:val="nil"/>
              <w:bottom w:val="single" w:sz="4" w:space="0" w:color="auto"/>
              <w:right w:val="nil"/>
            </w:tcBorders>
            <w:shd w:val="clear" w:color="000000" w:fill="FFFFFF"/>
            <w:hideMark/>
          </w:tcPr>
          <w:p w:rsidR="00E362B6" w:rsidRPr="00041B7B" w:rsidRDefault="00E362B6" w:rsidP="000A0481">
            <w:pPr>
              <w:ind w:right="273"/>
              <w:rPr>
                <w:rFonts w:eastAsia="Times New Roman"/>
                <w:sz w:val="16"/>
                <w:szCs w:val="16"/>
              </w:rPr>
            </w:pPr>
            <w:r w:rsidRPr="00041B7B">
              <w:rPr>
                <w:rFonts w:eastAsia="Times New Roman"/>
                <w:sz w:val="16"/>
                <w:szCs w:val="16"/>
              </w:rPr>
              <w:t>Política Uniforme, Política de solución de controversias para la etapa previa a la adjudicación, Procedimiento de solución de controversias en relación con las marcas en la etapa posterior a la adjudicación (en total al final de 2014).</w:t>
            </w:r>
            <w:r w:rsidRPr="00041B7B">
              <w:rPr>
                <w:rFonts w:eastAsia="Times New Roman"/>
                <w:sz w:val="16"/>
                <w:szCs w:val="16"/>
              </w:rPr>
              <w:br/>
            </w:r>
            <w:r w:rsidRPr="00041B7B">
              <w:rPr>
                <w:rFonts w:eastAsia="Times New Roman"/>
                <w:sz w:val="16"/>
                <w:szCs w:val="16"/>
              </w:rPr>
              <w:br/>
              <w:t xml:space="preserve">72 administradores de </w:t>
            </w:r>
            <w:proofErr w:type="spellStart"/>
            <w:r w:rsidRPr="00041B7B">
              <w:rPr>
                <w:rFonts w:eastAsia="Times New Roman"/>
                <w:sz w:val="16"/>
                <w:szCs w:val="16"/>
              </w:rPr>
              <w:t>ccTLD</w:t>
            </w:r>
            <w:proofErr w:type="spellEnd"/>
            <w:r w:rsidRPr="00041B7B">
              <w:rPr>
                <w:rFonts w:eastAsia="Times New Roman"/>
                <w:sz w:val="16"/>
                <w:szCs w:val="16"/>
              </w:rPr>
              <w:t xml:space="preserve"> (en total al final de 2014).</w:t>
            </w:r>
            <w:r w:rsidR="00DE56AC">
              <w:rPr>
                <w:rFonts w:eastAsia="Times New Roman"/>
                <w:sz w:val="16"/>
                <w:szCs w:val="16"/>
              </w:rPr>
              <w:br/>
            </w:r>
          </w:p>
        </w:tc>
        <w:tc>
          <w:tcPr>
            <w:tcW w:w="2029" w:type="dxa"/>
            <w:tcBorders>
              <w:top w:val="nil"/>
              <w:left w:val="nil"/>
              <w:bottom w:val="single" w:sz="4" w:space="0" w:color="auto"/>
              <w:right w:val="single" w:sz="4" w:space="0" w:color="auto"/>
            </w:tcBorders>
            <w:shd w:val="clear" w:color="000000" w:fill="FFFFFF"/>
            <w:hideMark/>
          </w:tcPr>
          <w:p w:rsidR="00E362B6" w:rsidRPr="00041B7B" w:rsidRDefault="00E362B6" w:rsidP="000A0481">
            <w:pPr>
              <w:ind w:right="34"/>
              <w:rPr>
                <w:rFonts w:eastAsia="Times New Roman"/>
                <w:sz w:val="16"/>
                <w:szCs w:val="16"/>
              </w:rPr>
            </w:pPr>
            <w:r w:rsidRPr="00041B7B">
              <w:rPr>
                <w:rFonts w:eastAsia="Times New Roman"/>
                <w:sz w:val="16"/>
                <w:szCs w:val="16"/>
              </w:rPr>
              <w:t>Aplicación en el Sistema de Nombres de Dominio de las recomendaciones de la OMPI en materia de política y procedimientos.</w:t>
            </w:r>
            <w:r w:rsidRPr="00041B7B">
              <w:rPr>
                <w:rFonts w:eastAsia="Times New Roman"/>
                <w:sz w:val="16"/>
                <w:szCs w:val="16"/>
              </w:rPr>
              <w:br/>
            </w:r>
            <w:r w:rsidRPr="00041B7B">
              <w:rPr>
                <w:rFonts w:eastAsia="Times New Roman"/>
                <w:sz w:val="16"/>
                <w:szCs w:val="16"/>
              </w:rPr>
              <w:br/>
              <w:t xml:space="preserve">De dos a cuatro nuevos administradores de </w:t>
            </w:r>
            <w:proofErr w:type="spellStart"/>
            <w:r w:rsidRPr="00041B7B">
              <w:rPr>
                <w:rFonts w:eastAsia="Times New Roman"/>
                <w:sz w:val="16"/>
                <w:szCs w:val="16"/>
              </w:rPr>
              <w:t>ccTLD</w:t>
            </w:r>
            <w:proofErr w:type="spellEnd"/>
            <w:r w:rsidRPr="00041B7B">
              <w:rPr>
                <w:rFonts w:eastAsia="Times New Roman"/>
                <w:sz w:val="16"/>
                <w:szCs w:val="16"/>
              </w:rPr>
              <w:t>.</w:t>
            </w:r>
          </w:p>
        </w:tc>
      </w:tr>
    </w:tbl>
    <w:p w:rsidR="00E362B6" w:rsidRPr="00041B7B" w:rsidRDefault="00E362B6" w:rsidP="00E362B6">
      <w:pPr>
        <w:pStyle w:val="BodyText"/>
        <w:rPr>
          <w:w w:val="95"/>
        </w:rPr>
      </w:pPr>
    </w:p>
    <w:p w:rsidR="000A0481" w:rsidRPr="003E6776" w:rsidRDefault="009121C1" w:rsidP="003E6776">
      <w:pPr>
        <w:keepNext/>
        <w:keepLines/>
      </w:pPr>
      <w:r w:rsidRPr="003E6776">
        <w:t>RECURSOS PARA EL PROGRAMA 7</w:t>
      </w:r>
    </w:p>
    <w:p w:rsidR="000A0481" w:rsidRPr="00F9567D" w:rsidRDefault="000A0481" w:rsidP="00F9567D">
      <w:pPr>
        <w:keepNext/>
        <w:keepLines/>
      </w:pPr>
    </w:p>
    <w:p w:rsidR="000A0481" w:rsidRPr="00F9567D" w:rsidRDefault="00F9567D" w:rsidP="00F9567D">
      <w:pPr>
        <w:widowControl w:val="0"/>
        <w:numPr>
          <w:ilvl w:val="1"/>
          <w:numId w:val="23"/>
        </w:numPr>
        <w:tabs>
          <w:tab w:val="left" w:pos="567"/>
          <w:tab w:val="left" w:pos="876"/>
        </w:tabs>
        <w:ind w:firstLine="0"/>
        <w:jc w:val="both"/>
        <w:rPr>
          <w:rFonts w:eastAsia="Arial"/>
          <w:sz w:val="20"/>
        </w:rPr>
      </w:pPr>
      <w:r w:rsidRPr="00EB43D0">
        <w:rPr>
          <w:rFonts w:eastAsia="Arial"/>
          <w:sz w:val="20"/>
          <w:lang w:val="es-ES_tradnl"/>
        </w:rPr>
        <w:t xml:space="preserve">Se observa un leve aumento </w:t>
      </w:r>
      <w:r w:rsidR="00F57A93">
        <w:rPr>
          <w:rFonts w:eastAsia="Arial"/>
          <w:sz w:val="20"/>
          <w:lang w:val="es-ES_tradnl"/>
        </w:rPr>
        <w:t xml:space="preserve">en la dotación global </w:t>
      </w:r>
      <w:r w:rsidRPr="00EB43D0">
        <w:rPr>
          <w:rFonts w:eastAsia="Arial"/>
          <w:sz w:val="20"/>
          <w:lang w:val="es-ES_tradnl"/>
        </w:rPr>
        <w:t xml:space="preserve">de recursos </w:t>
      </w:r>
      <w:r w:rsidR="00F57A93">
        <w:rPr>
          <w:rFonts w:eastAsia="Arial"/>
          <w:sz w:val="20"/>
          <w:lang w:val="es-ES_tradnl"/>
        </w:rPr>
        <w:t>para el</w:t>
      </w:r>
      <w:r w:rsidRPr="00EB43D0">
        <w:rPr>
          <w:rFonts w:eastAsia="Arial"/>
          <w:sz w:val="20"/>
          <w:lang w:val="es-ES_tradnl"/>
        </w:rPr>
        <w:t xml:space="preserve"> programa en 2016/17 en relación con el presupuesto de </w:t>
      </w:r>
      <w:r w:rsidRPr="00EB43D0">
        <w:rPr>
          <w:rFonts w:eastAsia="Arial"/>
          <w:sz w:val="20"/>
          <w:lang w:val="es-ES_tradnl" w:eastAsia="ja-JP"/>
        </w:rPr>
        <w:t>2014/</w:t>
      </w:r>
      <w:r w:rsidR="00ED0A05">
        <w:rPr>
          <w:rFonts w:eastAsia="Arial"/>
          <w:sz w:val="20"/>
          <w:lang w:val="es-ES_tradnl" w:eastAsia="ja-JP"/>
        </w:rPr>
        <w:t>15 tras las</w:t>
      </w:r>
      <w:r w:rsidRPr="00EB43D0">
        <w:rPr>
          <w:rFonts w:eastAsia="Arial"/>
          <w:sz w:val="20"/>
          <w:lang w:val="es-ES_tradnl"/>
        </w:rPr>
        <w:t xml:space="preserve"> transferencias</w:t>
      </w:r>
      <w:r w:rsidRPr="00EB43D0">
        <w:rPr>
          <w:rFonts w:eastAsia="Arial"/>
          <w:sz w:val="20"/>
          <w:lang w:val="es-ES_tradnl" w:eastAsia="ja-JP"/>
        </w:rPr>
        <w:t xml:space="preserve">.  </w:t>
      </w:r>
      <w:r w:rsidRPr="00EB43D0">
        <w:rPr>
          <w:rFonts w:eastAsia="Arial"/>
          <w:sz w:val="20"/>
          <w:lang w:val="es-ES_tradnl"/>
        </w:rPr>
        <w:t>Esto se debe al cambio efectuado en la metodología de cálculo del costo de los recursos de personal en 2016/17, basada en  costos reales</w:t>
      </w:r>
      <w:r w:rsidRPr="00EB43D0">
        <w:rPr>
          <w:rFonts w:eastAsia="Arial"/>
          <w:sz w:val="20"/>
          <w:lang w:val="es-ES_tradnl" w:eastAsia="ja-JP"/>
        </w:rPr>
        <w:t>.</w:t>
      </w:r>
    </w:p>
    <w:p w:rsidR="000A0481" w:rsidRPr="00F9567D" w:rsidRDefault="000A0481" w:rsidP="000A0481">
      <w:pPr>
        <w:rPr>
          <w:rFonts w:eastAsia="Arial"/>
          <w:sz w:val="20"/>
          <w:lang w:eastAsia="en-US"/>
        </w:rPr>
      </w:pPr>
    </w:p>
    <w:p w:rsidR="000A0481" w:rsidRPr="00F9567D" w:rsidRDefault="00F9567D" w:rsidP="00F9567D">
      <w:pPr>
        <w:widowControl w:val="0"/>
        <w:numPr>
          <w:ilvl w:val="1"/>
          <w:numId w:val="23"/>
        </w:numPr>
        <w:tabs>
          <w:tab w:val="left" w:pos="567"/>
          <w:tab w:val="left" w:pos="876"/>
        </w:tabs>
        <w:ind w:firstLine="0"/>
        <w:jc w:val="both"/>
        <w:rPr>
          <w:rFonts w:eastAsia="Arial"/>
          <w:sz w:val="20"/>
        </w:rPr>
      </w:pPr>
      <w:r w:rsidRPr="00EB43D0">
        <w:rPr>
          <w:rFonts w:eastAsia="Arial"/>
          <w:sz w:val="20"/>
          <w:lang w:val="es-ES_tradnl"/>
        </w:rPr>
        <w:t xml:space="preserve">La transferencia de recursos del resultado previsto </w:t>
      </w:r>
      <w:r w:rsidRPr="00EB43D0">
        <w:rPr>
          <w:rFonts w:eastAsia="Arial"/>
          <w:sz w:val="20"/>
          <w:lang w:val="es-ES_tradnl" w:eastAsia="ja-JP"/>
        </w:rPr>
        <w:t xml:space="preserve">II.9 </w:t>
      </w:r>
      <w:r w:rsidRPr="00EB43D0">
        <w:rPr>
          <w:rFonts w:eastAsia="Arial"/>
          <w:sz w:val="20"/>
          <w:lang w:val="es-ES_tradnl"/>
        </w:rPr>
        <w:t>al II.8 pone de relieve la mayor atención que se otorga al fomento del uso de los mecanismos extrajudiciales de solución de controversias en respuesta a peticiones de los Estados miembros</w:t>
      </w:r>
      <w:r w:rsidRPr="00EB43D0">
        <w:rPr>
          <w:rFonts w:eastAsia="Arial"/>
          <w:sz w:val="20"/>
          <w:lang w:val="es-ES_tradnl" w:eastAsia="ja-JP"/>
        </w:rPr>
        <w:t>.</w:t>
      </w:r>
    </w:p>
    <w:p w:rsidR="000A0481" w:rsidRPr="00F9567D" w:rsidRDefault="000A0481" w:rsidP="000A0481">
      <w:pPr>
        <w:keepNext/>
        <w:keepLines/>
        <w:jc w:val="center"/>
        <w:rPr>
          <w:b/>
          <w:sz w:val="20"/>
        </w:rPr>
      </w:pPr>
    </w:p>
    <w:p w:rsidR="000A0481" w:rsidRPr="00F9567D" w:rsidRDefault="000A0481" w:rsidP="000A0481">
      <w:pPr>
        <w:keepNext/>
        <w:keepLines/>
        <w:jc w:val="center"/>
        <w:rPr>
          <w:b/>
          <w:sz w:val="20"/>
        </w:rPr>
      </w:pPr>
    </w:p>
    <w:p w:rsidR="009121C1" w:rsidRPr="00F9567D" w:rsidRDefault="009121C1" w:rsidP="009121C1">
      <w:pPr>
        <w:keepNext/>
        <w:keepLines/>
        <w:jc w:val="center"/>
        <w:rPr>
          <w:b/>
          <w:sz w:val="20"/>
          <w:lang w:val="es-ES_tradnl"/>
        </w:rPr>
      </w:pPr>
      <w:r w:rsidRPr="00F9567D">
        <w:rPr>
          <w:b/>
          <w:sz w:val="20"/>
          <w:lang w:val="es-ES_tradnl"/>
        </w:rPr>
        <w:t>Programa 7</w:t>
      </w:r>
      <w:proofErr w:type="gramStart"/>
      <w:r w:rsidRPr="00F9567D">
        <w:rPr>
          <w:b/>
          <w:sz w:val="20"/>
          <w:lang w:val="es-ES_tradnl"/>
        </w:rPr>
        <w:t>:  Recursos</w:t>
      </w:r>
      <w:proofErr w:type="gramEnd"/>
      <w:r w:rsidRPr="00F9567D">
        <w:rPr>
          <w:b/>
          <w:sz w:val="20"/>
          <w:lang w:val="es-ES_tradnl"/>
        </w:rPr>
        <w:t xml:space="preserve"> por resultado</w:t>
      </w:r>
    </w:p>
    <w:p w:rsidR="000A0481" w:rsidRPr="00F9567D" w:rsidRDefault="009121C1" w:rsidP="009121C1">
      <w:pPr>
        <w:keepNext/>
        <w:keepLines/>
        <w:jc w:val="center"/>
        <w:rPr>
          <w:i/>
          <w:sz w:val="20"/>
          <w:highlight w:val="lightGray"/>
          <w:lang w:val="es-ES_tradnl"/>
        </w:rPr>
      </w:pPr>
      <w:r w:rsidRPr="00F9567D">
        <w:rPr>
          <w:i/>
          <w:sz w:val="20"/>
          <w:lang w:val="es-ES_tradnl"/>
        </w:rPr>
        <w:t>(</w:t>
      </w:r>
      <w:proofErr w:type="gramStart"/>
      <w:r w:rsidRPr="00F9567D">
        <w:rPr>
          <w:i/>
          <w:sz w:val="20"/>
          <w:lang w:val="es-ES_tradnl"/>
        </w:rPr>
        <w:t>en</w:t>
      </w:r>
      <w:proofErr w:type="gramEnd"/>
      <w:r w:rsidRPr="00F9567D">
        <w:rPr>
          <w:i/>
          <w:sz w:val="20"/>
          <w:lang w:val="es-ES_tradnl"/>
        </w:rPr>
        <w:t xml:space="preserve"> miles de francos suizos)</w:t>
      </w:r>
    </w:p>
    <w:p w:rsidR="000A0481" w:rsidRPr="009121C1" w:rsidRDefault="000A0481" w:rsidP="000A0481">
      <w:pPr>
        <w:keepNext/>
        <w:keepLines/>
        <w:jc w:val="center"/>
        <w:rPr>
          <w:i/>
          <w:sz w:val="20"/>
          <w:highlight w:val="lightGray"/>
          <w:lang w:val="es-ES_tradnl"/>
        </w:rPr>
      </w:pPr>
    </w:p>
    <w:p w:rsidR="000A0481" w:rsidRPr="000A0481" w:rsidRDefault="00DE56AC" w:rsidP="000A0481">
      <w:pPr>
        <w:keepNext/>
        <w:keepLines/>
        <w:tabs>
          <w:tab w:val="left" w:pos="9214"/>
        </w:tabs>
        <w:ind w:left="-284" w:firstLine="284"/>
        <w:jc w:val="center"/>
        <w:rPr>
          <w:i/>
          <w:sz w:val="20"/>
          <w:highlight w:val="lightGray"/>
        </w:rPr>
      </w:pPr>
      <w:r w:rsidRPr="00DE56AC">
        <w:rPr>
          <w:noProof/>
          <w:lang w:val="en-US" w:eastAsia="en-US"/>
        </w:rPr>
        <w:drawing>
          <wp:inline distT="0" distB="0" distL="0" distR="0">
            <wp:extent cx="5676900" cy="179959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76900" cy="1799590"/>
                    </a:xfrm>
                    <a:prstGeom prst="rect">
                      <a:avLst/>
                    </a:prstGeom>
                    <a:noFill/>
                    <a:ln>
                      <a:noFill/>
                    </a:ln>
                  </pic:spPr>
                </pic:pic>
              </a:graphicData>
            </a:graphic>
          </wp:inline>
        </w:drawing>
      </w:r>
    </w:p>
    <w:p w:rsidR="000A0481" w:rsidRPr="000A0481" w:rsidRDefault="000A0481" w:rsidP="000A0481">
      <w:pPr>
        <w:jc w:val="center"/>
        <w:rPr>
          <w:i/>
          <w:sz w:val="20"/>
          <w:highlight w:val="lightGray"/>
        </w:rPr>
      </w:pPr>
    </w:p>
    <w:p w:rsidR="000A0481" w:rsidRPr="000A0481" w:rsidRDefault="000A0481" w:rsidP="000A0481">
      <w:pPr>
        <w:jc w:val="center"/>
        <w:rPr>
          <w:b/>
          <w:sz w:val="20"/>
          <w:highlight w:val="lightGray"/>
        </w:rPr>
      </w:pPr>
    </w:p>
    <w:p w:rsidR="009121C1" w:rsidRPr="00497DA7" w:rsidRDefault="009121C1" w:rsidP="005012AC">
      <w:pPr>
        <w:keepNext/>
        <w:keepLines/>
        <w:tabs>
          <w:tab w:val="left" w:pos="-1560"/>
        </w:tabs>
        <w:jc w:val="center"/>
        <w:rPr>
          <w:b/>
          <w:sz w:val="20"/>
          <w:lang w:val="es-ES_tradnl"/>
        </w:rPr>
      </w:pPr>
      <w:r w:rsidRPr="00497DA7">
        <w:rPr>
          <w:b/>
          <w:sz w:val="20"/>
          <w:lang w:val="es-ES_tradnl"/>
        </w:rPr>
        <w:lastRenderedPageBreak/>
        <w:t>Programa 7</w:t>
      </w:r>
      <w:proofErr w:type="gramStart"/>
      <w:r w:rsidRPr="00497DA7">
        <w:rPr>
          <w:b/>
          <w:sz w:val="20"/>
          <w:lang w:val="es-ES_tradnl"/>
        </w:rPr>
        <w:t>:  Recursos</w:t>
      </w:r>
      <w:proofErr w:type="gramEnd"/>
      <w:r w:rsidRPr="00497DA7">
        <w:rPr>
          <w:b/>
          <w:sz w:val="20"/>
          <w:lang w:val="es-ES_tradnl"/>
        </w:rPr>
        <w:t xml:space="preserve"> por objeto de gasto</w:t>
      </w:r>
    </w:p>
    <w:p w:rsidR="000A0481" w:rsidRPr="00497DA7" w:rsidRDefault="009121C1" w:rsidP="009121C1">
      <w:pPr>
        <w:keepNext/>
        <w:keepLines/>
        <w:jc w:val="center"/>
        <w:rPr>
          <w:i/>
          <w:sz w:val="20"/>
          <w:highlight w:val="lightGray"/>
          <w:lang w:val="es-ES_tradnl"/>
        </w:rPr>
      </w:pPr>
      <w:r w:rsidRPr="00497DA7">
        <w:rPr>
          <w:i/>
          <w:sz w:val="20"/>
          <w:lang w:val="es-ES_tradnl"/>
        </w:rPr>
        <w:t>(</w:t>
      </w:r>
      <w:proofErr w:type="gramStart"/>
      <w:r w:rsidRPr="00497DA7">
        <w:rPr>
          <w:i/>
          <w:sz w:val="20"/>
          <w:lang w:val="es-ES_tradnl"/>
        </w:rPr>
        <w:t>en</w:t>
      </w:r>
      <w:proofErr w:type="gramEnd"/>
      <w:r w:rsidRPr="00497DA7">
        <w:rPr>
          <w:i/>
          <w:sz w:val="20"/>
          <w:lang w:val="es-ES_tradnl"/>
        </w:rPr>
        <w:t xml:space="preserve"> miles de francos suizos)</w:t>
      </w:r>
    </w:p>
    <w:p w:rsidR="000A0481" w:rsidRPr="00497DA7" w:rsidRDefault="000A0481" w:rsidP="000A0481">
      <w:pPr>
        <w:keepNext/>
        <w:keepLines/>
        <w:jc w:val="center"/>
        <w:rPr>
          <w:i/>
          <w:sz w:val="20"/>
          <w:highlight w:val="lightGray"/>
          <w:lang w:val="es-ES_tradnl"/>
        </w:rPr>
      </w:pPr>
    </w:p>
    <w:p w:rsidR="000A0481" w:rsidRPr="009B4A78" w:rsidRDefault="00835617" w:rsidP="000A0481">
      <w:pPr>
        <w:jc w:val="center"/>
        <w:rPr>
          <w:rFonts w:eastAsia="Arial"/>
          <w:sz w:val="18"/>
        </w:rPr>
      </w:pPr>
      <w:r>
        <w:rPr>
          <w:noProof/>
          <w:lang w:val="en-US" w:eastAsia="en-US"/>
        </w:rPr>
        <w:drawing>
          <wp:inline distT="0" distB="0" distL="0" distR="0" wp14:anchorId="769CD915" wp14:editId="7A40E925">
            <wp:extent cx="5940425" cy="6108610"/>
            <wp:effectExtent l="0" t="0" r="3175" b="6985"/>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6108610"/>
                    </a:xfrm>
                    <a:prstGeom prst="rect">
                      <a:avLst/>
                    </a:prstGeom>
                    <a:noFill/>
                    <a:ln>
                      <a:noFill/>
                    </a:ln>
                  </pic:spPr>
                </pic:pic>
              </a:graphicData>
            </a:graphic>
          </wp:inline>
        </w:drawing>
      </w:r>
    </w:p>
    <w:p w:rsidR="00272D37" w:rsidRDefault="00272D37" w:rsidP="002E3E28">
      <w:pPr>
        <w:rPr>
          <w:szCs w:val="22"/>
        </w:rPr>
      </w:pPr>
    </w:p>
    <w:p w:rsidR="000A0481" w:rsidRDefault="000A0481">
      <w:pPr>
        <w:rPr>
          <w:szCs w:val="22"/>
        </w:rPr>
      </w:pPr>
      <w:r>
        <w:rPr>
          <w:szCs w:val="22"/>
        </w:rPr>
        <w:br w:type="page"/>
      </w:r>
    </w:p>
    <w:p w:rsidR="000A0481" w:rsidRPr="00473C96" w:rsidRDefault="009121C1" w:rsidP="00DE56AC">
      <w:pPr>
        <w:pStyle w:val="StyleHeading3ComplexItalic"/>
        <w:tabs>
          <w:tab w:val="clear" w:pos="1985"/>
          <w:tab w:val="left" w:pos="3119"/>
        </w:tabs>
        <w:ind w:left="3119" w:hanging="3119"/>
        <w:rPr>
          <w:rStyle w:val="StyleStyleHeading3ComplexItalicLatin12ptChar"/>
          <w:rFonts w:eastAsia="SimSun"/>
          <w:b/>
          <w:lang w:val="es-ES_tradnl"/>
        </w:rPr>
      </w:pPr>
      <w:bookmarkStart w:id="37" w:name="_Toc367350581"/>
      <w:bookmarkStart w:id="38" w:name="_Toc419283250"/>
      <w:bookmarkStart w:id="39" w:name="_Toc420681140"/>
      <w:r w:rsidRPr="00473C96">
        <w:rPr>
          <w:rStyle w:val="StyleStyleHeading3ComplexItalicLatin12ptChar"/>
          <w:rFonts w:eastAsia="SimSun"/>
          <w:b/>
          <w:lang w:val="es-ES_tradnl"/>
        </w:rPr>
        <w:lastRenderedPageBreak/>
        <w:t>META ESTRATÉGICA III</w:t>
      </w:r>
      <w:r w:rsidR="000A0481" w:rsidRPr="00473C96">
        <w:rPr>
          <w:rStyle w:val="StyleStyleHeading3ComplexItalicLatin12ptChar"/>
          <w:rFonts w:eastAsia="SimSun"/>
          <w:b/>
          <w:lang w:val="es-ES_tradnl"/>
        </w:rPr>
        <w:tab/>
      </w:r>
      <w:bookmarkEnd w:id="37"/>
      <w:bookmarkEnd w:id="38"/>
      <w:r w:rsidRPr="00473C96">
        <w:rPr>
          <w:rStyle w:val="StyleStyleHeading3ComplexItalicLatin12ptChar"/>
          <w:rFonts w:eastAsia="SimSun"/>
          <w:b/>
          <w:lang w:val="es-ES_tradnl"/>
        </w:rPr>
        <w:t>FACILITAR EL USO DE LA P.I. EN ARAS DEL DESARROLLO</w:t>
      </w:r>
      <w:bookmarkEnd w:id="39"/>
    </w:p>
    <w:p w:rsidR="000A0481" w:rsidRPr="00A371EF" w:rsidRDefault="000A0481" w:rsidP="009121C1">
      <w:pPr>
        <w:tabs>
          <w:tab w:val="left" w:pos="1701"/>
        </w:tabs>
        <w:ind w:left="1701" w:hanging="1701"/>
        <w:rPr>
          <w:bCs/>
          <w:caps/>
          <w:szCs w:val="22"/>
          <w:highlight w:val="lightGray"/>
          <w:lang w:val="es-ES_tradnl"/>
        </w:rPr>
      </w:pPr>
    </w:p>
    <w:p w:rsidR="000A0481" w:rsidRPr="00A371EF" w:rsidRDefault="000A0481" w:rsidP="009121C1">
      <w:pPr>
        <w:tabs>
          <w:tab w:val="left" w:pos="1701"/>
        </w:tabs>
        <w:ind w:left="1701" w:hanging="1701"/>
        <w:rPr>
          <w:bCs/>
          <w:caps/>
          <w:szCs w:val="22"/>
          <w:highlight w:val="lightGray"/>
          <w:lang w:val="es-ES_tradnl"/>
        </w:rPr>
      </w:pPr>
    </w:p>
    <w:p w:rsidR="002976D3" w:rsidRPr="00A371EF" w:rsidRDefault="002976D3" w:rsidP="002976D3">
      <w:pPr>
        <w:jc w:val="both"/>
        <w:rPr>
          <w:sz w:val="20"/>
          <w:highlight w:val="lightGray"/>
        </w:rPr>
      </w:pPr>
      <w:r w:rsidRPr="00A371EF">
        <w:rPr>
          <w:sz w:val="20"/>
        </w:rPr>
        <w:t>La meta de facilitar el uso de la P.I. en aras del desarrollo social, cultural y económico es lo que impulsa las múltiples actividades de la OMPI de asistencia técnica y fortalecimiento de capacidades, de cuya ejecución se ocupan varios programas en cada sector de la Organización.   Común denominador de todas esas actividades, el enfoque a mediano plazo de esta meta estratégica intersectorial es prestar asistencia a los países en desarrollo, los países menos adelantados (PMA) y los países con economías en transición para que utilicen eficazmente el sistema de propiedad intelectual en función de su propio contexto.</w:t>
      </w:r>
    </w:p>
    <w:p w:rsidR="002976D3" w:rsidRPr="00A371EF" w:rsidRDefault="002976D3" w:rsidP="002976D3">
      <w:pPr>
        <w:jc w:val="both"/>
        <w:rPr>
          <w:sz w:val="20"/>
          <w:highlight w:val="lightGray"/>
        </w:rPr>
      </w:pPr>
    </w:p>
    <w:p w:rsidR="000A0481" w:rsidRPr="00DE56AC" w:rsidRDefault="002976D3" w:rsidP="002976D3">
      <w:pPr>
        <w:autoSpaceDE w:val="0"/>
        <w:autoSpaceDN w:val="0"/>
        <w:adjustRightInd w:val="0"/>
        <w:jc w:val="both"/>
        <w:rPr>
          <w:iCs/>
          <w:sz w:val="20"/>
          <w:highlight w:val="lightGray"/>
          <w:lang w:val="es-ES_tradnl"/>
        </w:rPr>
      </w:pPr>
      <w:r w:rsidRPr="00DE56AC">
        <w:rPr>
          <w:iCs/>
          <w:sz w:val="20"/>
        </w:rPr>
        <w:t>La Agenda de la OMPI para el Desarrollo desempeña un papel central a la hora de garantizar que todas las actividades de la OMPI contribuyan a esta meta estratégica.</w:t>
      </w:r>
    </w:p>
    <w:p w:rsidR="000A0481" w:rsidRPr="00A371EF" w:rsidRDefault="000A0481" w:rsidP="000A0481">
      <w:pPr>
        <w:tabs>
          <w:tab w:val="left" w:pos="1701"/>
        </w:tabs>
        <w:ind w:left="1701" w:hanging="1701"/>
        <w:jc w:val="center"/>
        <w:rPr>
          <w:b/>
          <w:bCs/>
          <w:caps/>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6"/>
        <w:gridCol w:w="3174"/>
        <w:gridCol w:w="2833"/>
      </w:tblGrid>
      <w:tr w:rsidR="00290055" w:rsidRPr="00290055" w:rsidTr="001F608E">
        <w:trPr>
          <w:cantSplit/>
          <w:tblHeader/>
        </w:trPr>
        <w:tc>
          <w:tcPr>
            <w:tcW w:w="1768" w:type="pct"/>
            <w:tcBorders>
              <w:top w:val="single" w:sz="4" w:space="0" w:color="auto"/>
              <w:bottom w:val="single" w:sz="4" w:space="0" w:color="auto"/>
            </w:tcBorders>
            <w:shd w:val="clear" w:color="auto" w:fill="C6D9F1" w:themeFill="text2" w:themeFillTint="33"/>
            <w:tcMar>
              <w:top w:w="85" w:type="dxa"/>
              <w:bottom w:w="28" w:type="dxa"/>
            </w:tcMar>
            <w:vAlign w:val="center"/>
          </w:tcPr>
          <w:p w:rsidR="007F6A26" w:rsidRPr="00290055" w:rsidRDefault="007F6A26" w:rsidP="001F608E">
            <w:pPr>
              <w:spacing w:after="120"/>
              <w:jc w:val="center"/>
              <w:rPr>
                <w:b/>
                <w:bCs/>
                <w:sz w:val="16"/>
                <w:szCs w:val="16"/>
              </w:rPr>
            </w:pPr>
            <w:r w:rsidRPr="00290055">
              <w:rPr>
                <w:b/>
                <w:bCs/>
                <w:sz w:val="16"/>
                <w:szCs w:val="16"/>
              </w:rPr>
              <w:t>Resultados previstos</w:t>
            </w:r>
          </w:p>
        </w:tc>
        <w:tc>
          <w:tcPr>
            <w:tcW w:w="1708" w:type="pct"/>
            <w:tcBorders>
              <w:top w:val="single" w:sz="4" w:space="0" w:color="auto"/>
              <w:bottom w:val="single" w:sz="4" w:space="0" w:color="auto"/>
            </w:tcBorders>
            <w:shd w:val="clear" w:color="auto" w:fill="C6D9F1" w:themeFill="text2" w:themeFillTint="33"/>
            <w:tcMar>
              <w:top w:w="85" w:type="dxa"/>
              <w:bottom w:w="28" w:type="dxa"/>
            </w:tcMar>
            <w:vAlign w:val="center"/>
          </w:tcPr>
          <w:p w:rsidR="007F6A26" w:rsidRPr="00290055" w:rsidRDefault="007F6A26" w:rsidP="001F608E">
            <w:pPr>
              <w:spacing w:after="120"/>
              <w:jc w:val="center"/>
              <w:rPr>
                <w:b/>
                <w:bCs/>
                <w:sz w:val="16"/>
                <w:szCs w:val="16"/>
              </w:rPr>
            </w:pPr>
            <w:r w:rsidRPr="00290055">
              <w:rPr>
                <w:b/>
                <w:bCs/>
                <w:sz w:val="16"/>
                <w:szCs w:val="16"/>
              </w:rPr>
              <w:t>Indicadores de rendimiento</w:t>
            </w:r>
          </w:p>
        </w:tc>
        <w:tc>
          <w:tcPr>
            <w:tcW w:w="1524" w:type="pct"/>
            <w:tcBorders>
              <w:top w:val="single" w:sz="4" w:space="0" w:color="auto"/>
              <w:bottom w:val="single" w:sz="4" w:space="0" w:color="auto"/>
            </w:tcBorders>
            <w:shd w:val="clear" w:color="auto" w:fill="C6D9F1" w:themeFill="text2" w:themeFillTint="33"/>
            <w:tcMar>
              <w:top w:w="85" w:type="dxa"/>
              <w:bottom w:w="28" w:type="dxa"/>
            </w:tcMar>
            <w:vAlign w:val="center"/>
          </w:tcPr>
          <w:p w:rsidR="007F6A26" w:rsidRPr="00290055" w:rsidRDefault="007F6A26" w:rsidP="001F608E">
            <w:pPr>
              <w:spacing w:after="120"/>
              <w:ind w:left="85"/>
              <w:jc w:val="center"/>
              <w:rPr>
                <w:b/>
                <w:bCs/>
                <w:sz w:val="16"/>
                <w:szCs w:val="16"/>
              </w:rPr>
            </w:pPr>
            <w:r w:rsidRPr="00290055">
              <w:rPr>
                <w:b/>
                <w:bCs/>
                <w:sz w:val="16"/>
                <w:szCs w:val="16"/>
              </w:rPr>
              <w:t>Programas responsables</w:t>
            </w:r>
          </w:p>
        </w:tc>
      </w:tr>
      <w:tr w:rsidR="00290055" w:rsidRPr="00290055" w:rsidTr="001F608E">
        <w:trPr>
          <w:cantSplit/>
        </w:trPr>
        <w:tc>
          <w:tcPr>
            <w:tcW w:w="1768" w:type="pct"/>
            <w:tcBorders>
              <w:top w:val="single" w:sz="4" w:space="0" w:color="auto"/>
            </w:tcBorders>
            <w:shd w:val="clear" w:color="auto" w:fill="auto"/>
            <w:tcMar>
              <w:top w:w="85" w:type="dxa"/>
              <w:bottom w:w="28" w:type="dxa"/>
            </w:tcMar>
          </w:tcPr>
          <w:p w:rsidR="007F6A26" w:rsidRPr="00DE56AC" w:rsidRDefault="007F6A26" w:rsidP="001F608E">
            <w:pPr>
              <w:rPr>
                <w:sz w:val="16"/>
                <w:szCs w:val="16"/>
              </w:rPr>
            </w:pPr>
            <w:r w:rsidRPr="00DE56AC">
              <w:rPr>
                <w:sz w:val="16"/>
                <w:szCs w:val="16"/>
              </w:rPr>
              <w:t xml:space="preserve">III.1  </w:t>
            </w:r>
            <w:r w:rsidR="006C23D5" w:rsidRPr="00DE56AC">
              <w:rPr>
                <w:sz w:val="16"/>
                <w:szCs w:val="16"/>
                <w:lang w:val="es-ES_tradnl"/>
              </w:rPr>
              <w:t>Estrategias y planes nacionales de innovación y de P.I. que estén en sintonía con los objetivos nacionales de desarrollo</w:t>
            </w:r>
          </w:p>
        </w:tc>
        <w:tc>
          <w:tcPr>
            <w:tcW w:w="1708" w:type="pct"/>
            <w:tcBorders>
              <w:top w:val="single" w:sz="4" w:space="0" w:color="auto"/>
            </w:tcBorders>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países que están en proceso de formular estrategias nacionales de P.I.</w:t>
            </w:r>
          </w:p>
        </w:tc>
        <w:tc>
          <w:tcPr>
            <w:tcW w:w="1524" w:type="pct"/>
            <w:tcBorders>
              <w:top w:val="single" w:sz="4" w:space="0" w:color="auto"/>
            </w:tcBorders>
            <w:shd w:val="clear" w:color="auto" w:fill="FFFFFF"/>
            <w:tcMar>
              <w:top w:w="85" w:type="dxa"/>
              <w:bottom w:w="28" w:type="dxa"/>
            </w:tcMar>
          </w:tcPr>
          <w:p w:rsidR="007F6A26" w:rsidRPr="00290055" w:rsidRDefault="007F6A26" w:rsidP="001F608E">
            <w:pPr>
              <w:ind w:left="551"/>
              <w:rPr>
                <w:sz w:val="16"/>
                <w:szCs w:val="16"/>
              </w:rPr>
            </w:pPr>
            <w:r w:rsidRPr="00290055">
              <w:rPr>
                <w:sz w:val="16"/>
                <w:szCs w:val="16"/>
                <w:lang w:bidi="th-TH"/>
              </w:rPr>
              <w:t>Programa 9</w:t>
            </w:r>
          </w:p>
        </w:tc>
      </w:tr>
      <w:tr w:rsidR="00290055" w:rsidRPr="00290055" w:rsidTr="001F608E">
        <w:trPr>
          <w:cantSplit/>
          <w:trHeight w:val="556"/>
        </w:trPr>
        <w:tc>
          <w:tcPr>
            <w:tcW w:w="1768" w:type="pct"/>
            <w:shd w:val="clear" w:color="auto" w:fill="auto"/>
            <w:tcMar>
              <w:top w:w="85" w:type="dxa"/>
              <w:bottom w:w="28" w:type="dxa"/>
            </w:tcMar>
          </w:tcPr>
          <w:p w:rsidR="007F6A26" w:rsidRPr="00DE56AC"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países que adopta</w:t>
            </w:r>
            <w:r w:rsidR="00F57A93">
              <w:rPr>
                <w:sz w:val="16"/>
                <w:szCs w:val="16"/>
              </w:rPr>
              <w:t>n</w:t>
            </w:r>
            <w:r w:rsidRPr="00290055">
              <w:rPr>
                <w:sz w:val="16"/>
                <w:szCs w:val="16"/>
              </w:rPr>
              <w:t xml:space="preserve"> estrategias nacionales de innovación y P.I.</w:t>
            </w:r>
          </w:p>
        </w:tc>
        <w:tc>
          <w:tcPr>
            <w:tcW w:w="1524" w:type="pct"/>
            <w:shd w:val="clear" w:color="auto" w:fill="FFFFFF"/>
            <w:tcMar>
              <w:top w:w="85" w:type="dxa"/>
              <w:bottom w:w="28" w:type="dxa"/>
            </w:tcMar>
          </w:tcPr>
          <w:p w:rsidR="007F6A26" w:rsidRPr="00290055" w:rsidRDefault="007F6A26" w:rsidP="001F608E">
            <w:pPr>
              <w:ind w:left="551"/>
              <w:rPr>
                <w:sz w:val="16"/>
                <w:szCs w:val="16"/>
              </w:rPr>
            </w:pPr>
            <w:r w:rsidRPr="00290055">
              <w:rPr>
                <w:sz w:val="16"/>
                <w:szCs w:val="16"/>
                <w:lang w:bidi="th-TH"/>
              </w:rPr>
              <w:t>Programa 9</w:t>
            </w:r>
          </w:p>
        </w:tc>
      </w:tr>
      <w:tr w:rsidR="00290055" w:rsidRPr="00290055" w:rsidTr="001F608E">
        <w:trPr>
          <w:cantSplit/>
          <w:trHeight w:val="556"/>
        </w:trPr>
        <w:tc>
          <w:tcPr>
            <w:tcW w:w="1768" w:type="pct"/>
            <w:shd w:val="clear" w:color="auto" w:fill="auto"/>
            <w:tcMar>
              <w:top w:w="85" w:type="dxa"/>
              <w:bottom w:w="28" w:type="dxa"/>
            </w:tcMar>
          </w:tcPr>
          <w:p w:rsidR="007F6A26" w:rsidRPr="00DE56AC"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países que están en vías de aplicar estrategias nacionales de innovación y de P.I. y planes de desarrollo de la P.I.</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9</w:t>
            </w:r>
          </w:p>
        </w:tc>
      </w:tr>
      <w:tr w:rsidR="00290055" w:rsidRPr="00290055" w:rsidTr="001F608E">
        <w:trPr>
          <w:cantSplit/>
          <w:trHeight w:val="368"/>
        </w:trPr>
        <w:tc>
          <w:tcPr>
            <w:tcW w:w="1768" w:type="pct"/>
            <w:shd w:val="clear" w:color="auto" w:fill="auto"/>
            <w:tcMar>
              <w:top w:w="85" w:type="dxa"/>
              <w:bottom w:w="28" w:type="dxa"/>
            </w:tcMar>
          </w:tcPr>
          <w:p w:rsidR="007F6A26" w:rsidRPr="00DE56AC"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países que elabora</w:t>
            </w:r>
            <w:r w:rsidR="00F57A93">
              <w:rPr>
                <w:sz w:val="16"/>
                <w:szCs w:val="16"/>
              </w:rPr>
              <w:t>n</w:t>
            </w:r>
            <w:r w:rsidRPr="00290055">
              <w:rPr>
                <w:sz w:val="16"/>
                <w:szCs w:val="16"/>
              </w:rPr>
              <w:t xml:space="preserve"> estrategias o planes nacionales de P.I. combinados con metas nacionales de desarrollo. </w:t>
            </w:r>
          </w:p>
        </w:tc>
        <w:tc>
          <w:tcPr>
            <w:tcW w:w="1524" w:type="pct"/>
            <w:shd w:val="clear" w:color="auto" w:fill="FFFFFF"/>
            <w:tcMar>
              <w:top w:w="85" w:type="dxa"/>
              <w:bottom w:w="28" w:type="dxa"/>
            </w:tcMar>
          </w:tcPr>
          <w:p w:rsidR="007F6A26" w:rsidRPr="00290055" w:rsidRDefault="007F6A26" w:rsidP="001F608E">
            <w:pPr>
              <w:ind w:left="551"/>
              <w:rPr>
                <w:sz w:val="16"/>
                <w:szCs w:val="16"/>
              </w:rPr>
            </w:pPr>
            <w:r w:rsidRPr="00290055">
              <w:rPr>
                <w:sz w:val="16"/>
                <w:szCs w:val="16"/>
                <w:lang w:bidi="th-TH"/>
              </w:rPr>
              <w:t>Programa 10</w:t>
            </w:r>
          </w:p>
        </w:tc>
      </w:tr>
      <w:tr w:rsidR="00290055" w:rsidRPr="00290055" w:rsidTr="001F608E">
        <w:trPr>
          <w:cantSplit/>
          <w:trHeight w:val="362"/>
        </w:trPr>
        <w:tc>
          <w:tcPr>
            <w:tcW w:w="1768" w:type="pct"/>
            <w:shd w:val="clear" w:color="auto" w:fill="auto"/>
            <w:tcMar>
              <w:top w:w="85" w:type="dxa"/>
              <w:bottom w:w="28" w:type="dxa"/>
            </w:tcMar>
          </w:tcPr>
          <w:p w:rsidR="007F6A26" w:rsidRPr="00DE56AC"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estrategias nacionales de P.I. para fomentar la creatividad, incluida la innovación.</w:t>
            </w:r>
          </w:p>
        </w:tc>
        <w:tc>
          <w:tcPr>
            <w:tcW w:w="1524" w:type="pct"/>
            <w:shd w:val="clear" w:color="auto" w:fill="FFFFFF"/>
            <w:tcMar>
              <w:top w:w="85" w:type="dxa"/>
              <w:bottom w:w="28" w:type="dxa"/>
            </w:tcMar>
          </w:tcPr>
          <w:p w:rsidR="007F6A26" w:rsidRPr="00290055" w:rsidRDefault="007F6A26" w:rsidP="001F608E">
            <w:pPr>
              <w:ind w:left="569"/>
              <w:rPr>
                <w:sz w:val="16"/>
                <w:szCs w:val="16"/>
                <w:lang w:bidi="th-TH"/>
              </w:rPr>
            </w:pPr>
            <w:r w:rsidRPr="00290055">
              <w:rPr>
                <w:sz w:val="16"/>
                <w:szCs w:val="16"/>
                <w:lang w:bidi="th-TH"/>
              </w:rPr>
              <w:t>Programa 30</w:t>
            </w:r>
          </w:p>
        </w:tc>
      </w:tr>
      <w:tr w:rsidR="00290055" w:rsidRPr="00290055" w:rsidTr="007F6A26">
        <w:trPr>
          <w:cantSplit/>
          <w:trHeight w:val="1314"/>
        </w:trPr>
        <w:tc>
          <w:tcPr>
            <w:tcW w:w="1768" w:type="pct"/>
            <w:shd w:val="clear" w:color="auto" w:fill="auto"/>
            <w:tcMar>
              <w:top w:w="85" w:type="dxa"/>
              <w:bottom w:w="28" w:type="dxa"/>
            </w:tcMar>
          </w:tcPr>
          <w:p w:rsidR="007F6A26" w:rsidRPr="00DE56AC" w:rsidRDefault="007F6A26" w:rsidP="001F608E">
            <w:pPr>
              <w:rPr>
                <w:sz w:val="16"/>
                <w:szCs w:val="16"/>
              </w:rPr>
            </w:pPr>
            <w:r w:rsidRPr="00DE56AC">
              <w:rPr>
                <w:sz w:val="16"/>
                <w:szCs w:val="16"/>
              </w:rPr>
              <w:t xml:space="preserve">III.2  </w:t>
            </w:r>
            <w:r w:rsidR="006C23D5" w:rsidRPr="00DE56AC">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1708" w:type="pct"/>
            <w:shd w:val="clear" w:color="auto" w:fill="auto"/>
            <w:tcMar>
              <w:top w:w="85" w:type="dxa"/>
              <w:bottom w:w="28" w:type="dxa"/>
            </w:tcMar>
          </w:tcPr>
          <w:p w:rsidR="007F6A26" w:rsidRPr="00290055" w:rsidRDefault="003959A6" w:rsidP="001F608E">
            <w:pPr>
              <w:rPr>
                <w:sz w:val="16"/>
                <w:szCs w:val="16"/>
              </w:rPr>
            </w:pPr>
            <w:r w:rsidRPr="008E4709">
              <w:rPr>
                <w:sz w:val="16"/>
                <w:szCs w:val="16"/>
              </w:rPr>
              <w:t>N</w:t>
            </w:r>
            <w:r w:rsidR="00F57A93">
              <w:rPr>
                <w:sz w:val="16"/>
                <w:szCs w:val="16"/>
              </w:rPr>
              <w:t>º</w:t>
            </w:r>
            <w:r w:rsidRPr="008E4709">
              <w:rPr>
                <w:sz w:val="16"/>
                <w:szCs w:val="16"/>
              </w:rPr>
              <w:t xml:space="preserve"> de organismos de gestión colectiva que solicitan acreditación “TAG” (sigla en inglés de “transparencia, rendimiento de cuentas y gobernanza”).</w:t>
            </w:r>
          </w:p>
          <w:p w:rsidR="007F6A26" w:rsidRPr="00290055" w:rsidRDefault="007F6A26" w:rsidP="001F608E">
            <w:pPr>
              <w:rPr>
                <w:sz w:val="16"/>
                <w:szCs w:val="16"/>
              </w:rPr>
            </w:pPr>
          </w:p>
          <w:p w:rsidR="007F6A26" w:rsidRPr="00290055" w:rsidRDefault="007F6A26" w:rsidP="00DE56AC">
            <w:pPr>
              <w:rPr>
                <w:sz w:val="16"/>
                <w:szCs w:val="16"/>
              </w:rPr>
            </w:pPr>
            <w:r w:rsidRPr="00290055">
              <w:rPr>
                <w:sz w:val="16"/>
                <w:szCs w:val="16"/>
              </w:rPr>
              <w:t xml:space="preserve">Porcentaje de </w:t>
            </w:r>
            <w:r w:rsidR="00DE56AC">
              <w:rPr>
                <w:sz w:val="16"/>
                <w:szCs w:val="16"/>
              </w:rPr>
              <w:t>participantes</w:t>
            </w:r>
            <w:r w:rsidRPr="00290055">
              <w:rPr>
                <w:sz w:val="16"/>
                <w:szCs w:val="16"/>
              </w:rPr>
              <w:t xml:space="preserve"> que informan favorablemente acerca de los programas de fortalecimiento de capacidades en materia de gestión colectiva.</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 xml:space="preserve">Programa 3 </w:t>
            </w:r>
          </w:p>
          <w:p w:rsidR="007F6A26" w:rsidRPr="00290055" w:rsidRDefault="007F6A26" w:rsidP="001F608E">
            <w:pPr>
              <w:ind w:left="551"/>
              <w:rPr>
                <w:sz w:val="16"/>
                <w:szCs w:val="16"/>
                <w:lang w:bidi="th-TH"/>
              </w:rPr>
            </w:pPr>
          </w:p>
          <w:p w:rsidR="007F6A26" w:rsidRDefault="007F6A26" w:rsidP="001F608E">
            <w:pPr>
              <w:ind w:left="551"/>
              <w:rPr>
                <w:sz w:val="16"/>
                <w:szCs w:val="16"/>
                <w:lang w:bidi="th-TH"/>
              </w:rPr>
            </w:pPr>
          </w:p>
          <w:p w:rsidR="00DE56AC" w:rsidRDefault="00DE56AC" w:rsidP="001F608E">
            <w:pPr>
              <w:ind w:left="551"/>
              <w:rPr>
                <w:sz w:val="16"/>
                <w:szCs w:val="16"/>
                <w:lang w:bidi="th-TH"/>
              </w:rPr>
            </w:pPr>
          </w:p>
          <w:p w:rsidR="00DE56AC" w:rsidRPr="00290055" w:rsidRDefault="00DE56AC" w:rsidP="001F608E">
            <w:pPr>
              <w:ind w:left="551"/>
              <w:rPr>
                <w:sz w:val="16"/>
                <w:szCs w:val="16"/>
                <w:lang w:bidi="th-TH"/>
              </w:rPr>
            </w:pPr>
          </w:p>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1F608E">
        <w:trPr>
          <w:cantSplit/>
          <w:trHeight w:val="54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visitas al portal sobre la infraestructura de derecho de autor.</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7F6A26">
        <w:trPr>
          <w:cantSplit/>
          <w:trHeight w:val="522"/>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editor</w:t>
            </w:r>
            <w:r w:rsidR="00F57A93">
              <w:rPr>
                <w:sz w:val="16"/>
                <w:szCs w:val="16"/>
              </w:rPr>
              <w:t>ial</w:t>
            </w:r>
            <w:r w:rsidRPr="00290055">
              <w:rPr>
                <w:sz w:val="16"/>
                <w:szCs w:val="16"/>
              </w:rPr>
              <w:t>es que firman la Carta de la edición accesible del ABC (la Carta).</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7F6A26">
        <w:trPr>
          <w:cantSplit/>
          <w:trHeight w:val="666"/>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libros en formatos accesibles que se prestan a las personas con dificultades para acceder al texto impreso.</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en reuniones y talleres de creación de capacidad sobre cuestiones de derecho de autor que expresaron satisfacción al respecto.</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3959A6" w:rsidP="00F57A93">
            <w:pPr>
              <w:rPr>
                <w:sz w:val="16"/>
                <w:szCs w:val="16"/>
              </w:rPr>
            </w:pPr>
            <w:r w:rsidRPr="008E4709">
              <w:rPr>
                <w:sz w:val="16"/>
                <w:szCs w:val="16"/>
              </w:rPr>
              <w:t xml:space="preserve">Porcentaje de participantes en talleres de creación de capacidad sobre cuestiones de derecho de autor que informaron de la utilidad práctica de los conocimientos adquiridos </w:t>
            </w:r>
            <w:r w:rsidR="00F57A93">
              <w:rPr>
                <w:sz w:val="16"/>
                <w:szCs w:val="16"/>
              </w:rPr>
              <w:t>9</w:t>
            </w:r>
            <w:r w:rsidRPr="008E4709">
              <w:rPr>
                <w:sz w:val="16"/>
                <w:szCs w:val="16"/>
              </w:rPr>
              <w:t xml:space="preserve"> meses después del taller.</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con mayores conocimientos y competencias en la ejecución de actividades de formación en sus respectivos países.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tabs>
                <w:tab w:val="left" w:pos="2043"/>
              </w:tabs>
              <w:ind w:right="199"/>
              <w:rPr>
                <w:sz w:val="16"/>
                <w:szCs w:val="16"/>
              </w:rPr>
            </w:pPr>
            <w:r w:rsidRPr="00290055">
              <w:rPr>
                <w:sz w:val="16"/>
                <w:szCs w:val="16"/>
              </w:rPr>
              <w:t>Porcentaje de participantes en actividades de la OMPI que informan de que han aumentado su capacidad para comprender y utilizar principios, sistemas y herramientas de P.I. para la protección de los CC.TT. y las ECT, y para la gestión de la relación entre la P.I. y los RR.GG.</w:t>
            </w:r>
          </w:p>
          <w:p w:rsidR="007F6A26" w:rsidRPr="00290055" w:rsidRDefault="007F6A26" w:rsidP="001F608E">
            <w:pPr>
              <w:rPr>
                <w:sz w:val="16"/>
                <w:szCs w:val="16"/>
              </w:rPr>
            </w:pP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4</w:t>
            </w:r>
          </w:p>
        </w:tc>
      </w:tr>
      <w:tr w:rsidR="00290055" w:rsidRPr="00290055" w:rsidTr="001F608E">
        <w:trPr>
          <w:cantSplit/>
          <w:trHeight w:val="55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en actividades de la OMPI que se muestran satisfechos del contenido y la organización de dichos actos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9</w:t>
            </w:r>
          </w:p>
        </w:tc>
      </w:tr>
      <w:tr w:rsidR="00290055" w:rsidRPr="00290055" w:rsidTr="001F608E">
        <w:trPr>
          <w:cantSplit/>
          <w:trHeight w:val="554"/>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en talleres de la OMPI que aplican las capacidades adquiridas en su labor/empresa</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9</w:t>
            </w:r>
          </w:p>
        </w:tc>
      </w:tr>
      <w:tr w:rsidR="00290055" w:rsidRPr="00290055" w:rsidTr="001F608E">
        <w:trPr>
          <w:cantSplit/>
          <w:trHeight w:val="532"/>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expertos nacionales y regionales de P.I. que participan como expertos en las actividades de la OMPI.</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9</w:t>
            </w:r>
          </w:p>
        </w:tc>
      </w:tr>
      <w:tr w:rsidR="00290055" w:rsidRPr="00290055" w:rsidTr="001F608E">
        <w:trPr>
          <w:cantSplit/>
          <w:trHeight w:val="547"/>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países en transición que han establecido programas o cursos anuales de formación en P.I. para los profesionales de la P.I.</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10</w:t>
            </w:r>
          </w:p>
        </w:tc>
      </w:tr>
      <w:tr w:rsidR="00290055" w:rsidRPr="00290055" w:rsidTr="001F608E">
        <w:trPr>
          <w:cantSplit/>
          <w:trHeight w:val="538"/>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profesionales de P.I. y funcionarios de oficinas de P.I. que han recibido formación y utilizan en su trabajo las nuevas aptitudes adquiridas.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10</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en actividades de formación y supervisores satisfechos con los programas de formación desarrollados a partir de ejercicios de evaluación de las necesidades de formación.</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453"/>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que utilizan sus conocimientos y competencias reforzados en varios ámbitos de la P.I.</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acuerdos y alianzas de cooperación establecidos conforme a la nueva visión de la Academia.</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588"/>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nuevas academias nacionales creadas en el marco del proyecto que han pasado a ser sostenibles.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588"/>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Nuevos cursos y programas de P.I. mejorados en las instituciones de enseñanza.</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551"/>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Mejor equilibrio en la distribución geográfica de los cursos de verano.</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11</w:t>
            </w:r>
          </w:p>
        </w:tc>
      </w:tr>
      <w:tr w:rsidR="00290055" w:rsidRPr="00290055" w:rsidTr="001F608E">
        <w:trPr>
          <w:cantSplit/>
          <w:trHeight w:val="726"/>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que han recibido formación que expresan satisfacción con la utilidad y pertinencia de la formación impartida para el ejercicio de sus funciones profesionales.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17</w:t>
            </w:r>
          </w:p>
        </w:tc>
      </w:tr>
      <w:tr w:rsidR="00290055" w:rsidRPr="00290055" w:rsidTr="001F608E">
        <w:trPr>
          <w:cantSplit/>
          <w:trHeight w:val="492"/>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F57A93">
            <w:pPr>
              <w:rPr>
                <w:sz w:val="16"/>
                <w:szCs w:val="16"/>
              </w:rPr>
            </w:pPr>
            <w:r w:rsidRPr="00290055">
              <w:rPr>
                <w:sz w:val="16"/>
                <w:szCs w:val="16"/>
              </w:rPr>
              <w:t>N</w:t>
            </w:r>
            <w:r w:rsidR="00F57A93">
              <w:rPr>
                <w:sz w:val="16"/>
                <w:szCs w:val="16"/>
              </w:rPr>
              <w:t>º</w:t>
            </w:r>
            <w:r w:rsidRPr="00290055">
              <w:rPr>
                <w:sz w:val="16"/>
                <w:szCs w:val="16"/>
              </w:rPr>
              <w:t xml:space="preserve"> de acuerdos de acogida de científicos de países en desarrollo.</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18</w:t>
            </w:r>
          </w:p>
        </w:tc>
      </w:tr>
      <w:tr w:rsidR="00290055" w:rsidRPr="00290055" w:rsidTr="001F608E">
        <w:trPr>
          <w:cantSplit/>
          <w:trHeight w:val="492"/>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Porcentaje de participantes del módulo de enseñanza a distancia sobre la P.I. y la salud que afirman utilizar la P.I. en pro del desarrollo mediante la transferencia de conocimientos y la creación de capacidades.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18</w:t>
            </w:r>
          </w:p>
        </w:tc>
      </w:tr>
      <w:tr w:rsidR="00290055" w:rsidRPr="00290055" w:rsidTr="001F608E">
        <w:trPr>
          <w:cantSplit/>
          <w:trHeight w:val="800"/>
        </w:trPr>
        <w:tc>
          <w:tcPr>
            <w:tcW w:w="1768" w:type="pct"/>
            <w:shd w:val="clear" w:color="auto" w:fill="auto"/>
            <w:tcMar>
              <w:top w:w="85" w:type="dxa"/>
              <w:bottom w:w="28" w:type="dxa"/>
            </w:tcMar>
          </w:tcPr>
          <w:p w:rsidR="007F6A26" w:rsidRPr="00290055"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p>
          <w:p w:rsidR="007F6A26" w:rsidRPr="00290055" w:rsidRDefault="007F6A26" w:rsidP="001F608E">
            <w:pPr>
              <w:rPr>
                <w:sz w:val="16"/>
                <w:szCs w:val="16"/>
              </w:rPr>
            </w:pPr>
            <w:r w:rsidRPr="00290055">
              <w:rPr>
                <w:sz w:val="16"/>
                <w:szCs w:val="16"/>
              </w:rPr>
              <w:t>Porcentaje de encargados de la adopción de políticas, funcionarios gubernamentales, profesionales de la P.I. y otros grupos destinatarios, incluidas las universidades, organismos de gestión colectiva y periodistas con un mayor conocimiento de las políticas de P.I. y sobre cómo utilizar con eficacia la P.I. en pro del desarrollo.</w:t>
            </w:r>
          </w:p>
          <w:p w:rsidR="007F6A26" w:rsidRPr="00290055" w:rsidRDefault="007F6A26" w:rsidP="001F608E">
            <w:pPr>
              <w:rPr>
                <w:sz w:val="16"/>
                <w:szCs w:val="16"/>
              </w:rPr>
            </w:pPr>
          </w:p>
          <w:p w:rsidR="007F6A26" w:rsidRPr="00290055" w:rsidRDefault="007F6A26" w:rsidP="001F608E">
            <w:pPr>
              <w:rPr>
                <w:sz w:val="16"/>
                <w:szCs w:val="16"/>
              </w:rPr>
            </w:pPr>
            <w:r w:rsidRPr="00290055">
              <w:rPr>
                <w:sz w:val="16"/>
                <w:szCs w:val="16"/>
              </w:rPr>
              <w:t>Porcentaje de profesionales de la P.I. formados que utilizan en su trabajo las nuevas aptitudes adquiridas</w:t>
            </w:r>
          </w:p>
          <w:p w:rsidR="007F6A26" w:rsidRPr="00290055" w:rsidRDefault="007F6A26" w:rsidP="001F608E">
            <w:pPr>
              <w:rPr>
                <w:sz w:val="16"/>
                <w:szCs w:val="16"/>
              </w:rPr>
            </w:pPr>
          </w:p>
        </w:tc>
        <w:tc>
          <w:tcPr>
            <w:tcW w:w="1524" w:type="pct"/>
            <w:shd w:val="clear" w:color="auto" w:fill="FFFFFF"/>
            <w:tcMar>
              <w:top w:w="85" w:type="dxa"/>
              <w:bottom w:w="28" w:type="dxa"/>
            </w:tcMar>
          </w:tcPr>
          <w:p w:rsidR="007F6A26" w:rsidRPr="00290055" w:rsidRDefault="00DE56AC" w:rsidP="001F608E">
            <w:pPr>
              <w:ind w:left="551"/>
              <w:rPr>
                <w:sz w:val="16"/>
                <w:szCs w:val="16"/>
                <w:lang w:bidi="th-TH"/>
              </w:rPr>
            </w:pPr>
            <w:r>
              <w:rPr>
                <w:sz w:val="16"/>
                <w:szCs w:val="16"/>
                <w:lang w:bidi="th-TH"/>
              </w:rPr>
              <w:br/>
            </w:r>
            <w:r w:rsidR="007F6A26" w:rsidRPr="00290055">
              <w:rPr>
                <w:sz w:val="16"/>
                <w:szCs w:val="16"/>
                <w:lang w:bidi="th-TH"/>
              </w:rPr>
              <w:t>Programa 20</w:t>
            </w: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p>
          <w:p w:rsidR="007F6A26" w:rsidRDefault="007F6A26" w:rsidP="001F608E">
            <w:pPr>
              <w:ind w:left="551"/>
              <w:rPr>
                <w:sz w:val="16"/>
                <w:szCs w:val="16"/>
                <w:lang w:bidi="th-TH"/>
              </w:rPr>
            </w:pPr>
          </w:p>
          <w:p w:rsidR="00713077" w:rsidRDefault="00713077" w:rsidP="001F608E">
            <w:pPr>
              <w:ind w:left="551"/>
              <w:rPr>
                <w:sz w:val="16"/>
                <w:szCs w:val="16"/>
                <w:lang w:bidi="th-TH"/>
              </w:rPr>
            </w:pPr>
          </w:p>
          <w:p w:rsidR="00713077" w:rsidRDefault="00713077" w:rsidP="001F608E">
            <w:pPr>
              <w:ind w:left="551"/>
              <w:rPr>
                <w:sz w:val="16"/>
                <w:szCs w:val="16"/>
                <w:lang w:bidi="th-TH"/>
              </w:rPr>
            </w:pPr>
          </w:p>
          <w:p w:rsidR="00713077" w:rsidRDefault="00713077" w:rsidP="001F608E">
            <w:pPr>
              <w:ind w:left="551"/>
              <w:rPr>
                <w:sz w:val="16"/>
                <w:szCs w:val="16"/>
                <w:lang w:bidi="th-TH"/>
              </w:rPr>
            </w:pPr>
          </w:p>
          <w:p w:rsidR="00713077" w:rsidRPr="00290055" w:rsidRDefault="00713077" w:rsidP="001F608E">
            <w:pPr>
              <w:ind w:left="551"/>
              <w:rPr>
                <w:sz w:val="16"/>
                <w:szCs w:val="16"/>
                <w:lang w:bidi="th-TH"/>
              </w:rPr>
            </w:pP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r w:rsidRPr="00290055">
              <w:rPr>
                <w:sz w:val="16"/>
                <w:szCs w:val="16"/>
                <w:lang w:bidi="th-TH"/>
              </w:rPr>
              <w:t>Programa 30</w:t>
            </w:r>
          </w:p>
        </w:tc>
      </w:tr>
      <w:tr w:rsidR="00290055" w:rsidRPr="00290055" w:rsidTr="001F608E">
        <w:trPr>
          <w:cantSplit/>
          <w:trHeight w:val="544"/>
        </w:trPr>
        <w:tc>
          <w:tcPr>
            <w:tcW w:w="1768" w:type="pct"/>
            <w:shd w:val="clear" w:color="auto" w:fill="auto"/>
            <w:tcMar>
              <w:top w:w="85" w:type="dxa"/>
              <w:bottom w:w="28" w:type="dxa"/>
            </w:tcMar>
          </w:tcPr>
          <w:p w:rsidR="007F6A26" w:rsidRPr="00713077" w:rsidRDefault="007F6A26" w:rsidP="001F608E">
            <w:pPr>
              <w:rPr>
                <w:sz w:val="16"/>
                <w:szCs w:val="16"/>
              </w:rPr>
            </w:pPr>
            <w:r w:rsidRPr="00713077">
              <w:rPr>
                <w:sz w:val="16"/>
                <w:szCs w:val="16"/>
              </w:rPr>
              <w:t xml:space="preserve">III.3  </w:t>
            </w:r>
            <w:r w:rsidR="006C23D5" w:rsidRPr="00713077">
              <w:rPr>
                <w:sz w:val="16"/>
                <w:szCs w:val="16"/>
                <w:lang w:val="es-ES_tradnl"/>
              </w:rPr>
              <w:t>Incorporación de las recomendaciones de la Agenda para el Desarrollo en la labor de la OMPI</w:t>
            </w: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 xml:space="preserve">Principios de desarrollo incluidos en las recomendaciones de la A.D. integrados en la labor de los programas de la OMPI. </w:t>
            </w:r>
          </w:p>
          <w:p w:rsidR="007F6A26" w:rsidRPr="00290055" w:rsidRDefault="007F6A26" w:rsidP="001F608E">
            <w:pPr>
              <w:rPr>
                <w:sz w:val="16"/>
                <w:szCs w:val="16"/>
              </w:rPr>
            </w:pPr>
          </w:p>
          <w:p w:rsidR="007F6A26" w:rsidRPr="00290055" w:rsidRDefault="007F6A26" w:rsidP="001F608E">
            <w:pPr>
              <w:rPr>
                <w:sz w:val="16"/>
                <w:szCs w:val="16"/>
              </w:rPr>
            </w:pPr>
            <w:r w:rsidRPr="00290055">
              <w:rPr>
                <w:sz w:val="16"/>
                <w:szCs w:val="16"/>
              </w:rPr>
              <w:t>Seguimiento de la aplicación de las recomendaciones del examen independiente de la A.D.</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8</w:t>
            </w: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p>
          <w:p w:rsidR="007F6A26" w:rsidRPr="00290055" w:rsidRDefault="007F6A26" w:rsidP="001F608E">
            <w:pPr>
              <w:ind w:left="551"/>
              <w:rPr>
                <w:sz w:val="16"/>
                <w:szCs w:val="16"/>
                <w:lang w:bidi="th-TH"/>
              </w:rPr>
            </w:pPr>
            <w:r w:rsidRPr="00290055">
              <w:rPr>
                <w:sz w:val="16"/>
                <w:szCs w:val="16"/>
                <w:lang w:bidi="th-TH"/>
              </w:rPr>
              <w:t>Programa 8</w:t>
            </w:r>
          </w:p>
          <w:p w:rsidR="007F6A26" w:rsidRPr="00290055" w:rsidRDefault="007F6A26" w:rsidP="001F608E">
            <w:pPr>
              <w:ind w:left="551"/>
              <w:rPr>
                <w:sz w:val="16"/>
                <w:szCs w:val="16"/>
                <w:lang w:bidi="th-TH"/>
              </w:rPr>
            </w:pPr>
          </w:p>
        </w:tc>
      </w:tr>
      <w:tr w:rsidR="00290055" w:rsidRPr="00290055" w:rsidTr="001F608E">
        <w:trPr>
          <w:cantSplit/>
          <w:trHeight w:val="547"/>
        </w:trPr>
        <w:tc>
          <w:tcPr>
            <w:tcW w:w="1768" w:type="pct"/>
            <w:shd w:val="clear" w:color="auto" w:fill="auto"/>
            <w:tcMar>
              <w:top w:w="85" w:type="dxa"/>
              <w:bottom w:w="28" w:type="dxa"/>
            </w:tcMar>
          </w:tcPr>
          <w:p w:rsidR="007F6A26" w:rsidRPr="00713077" w:rsidRDefault="007F6A26" w:rsidP="001F608E">
            <w:pPr>
              <w:rPr>
                <w:sz w:val="16"/>
                <w:szCs w:val="16"/>
              </w:rPr>
            </w:pPr>
          </w:p>
        </w:tc>
        <w:tc>
          <w:tcPr>
            <w:tcW w:w="1708" w:type="pct"/>
            <w:shd w:val="clear" w:color="auto" w:fill="auto"/>
            <w:tcMar>
              <w:top w:w="85" w:type="dxa"/>
              <w:bottom w:w="28" w:type="dxa"/>
            </w:tcMar>
          </w:tcPr>
          <w:p w:rsidR="007F6A26" w:rsidRPr="00290055" w:rsidRDefault="007F6A26" w:rsidP="001F608E">
            <w:pPr>
              <w:rPr>
                <w:sz w:val="16"/>
                <w:szCs w:val="16"/>
              </w:rPr>
            </w:pPr>
            <w:r w:rsidRPr="00290055">
              <w:rPr>
                <w:sz w:val="16"/>
                <w:szCs w:val="16"/>
              </w:rPr>
              <w:t>Mecanismo mejorado para el desarrollo, la aplicación, supervisión, evaluación y presentación de informes sobre los nuevos proyectos y actividades de la A.D.</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8</w:t>
            </w:r>
          </w:p>
        </w:tc>
      </w:tr>
      <w:tr w:rsidR="00290055" w:rsidRPr="00290055" w:rsidTr="001F608E">
        <w:trPr>
          <w:cantSplit/>
          <w:trHeight w:val="708"/>
        </w:trPr>
        <w:tc>
          <w:tcPr>
            <w:tcW w:w="1768" w:type="pct"/>
            <w:shd w:val="clear" w:color="auto" w:fill="auto"/>
            <w:tcMar>
              <w:top w:w="85" w:type="dxa"/>
              <w:bottom w:w="28" w:type="dxa"/>
            </w:tcMar>
          </w:tcPr>
          <w:p w:rsidR="007F6A26" w:rsidRPr="00713077" w:rsidRDefault="007F6A26" w:rsidP="001F608E">
            <w:pPr>
              <w:keepNext/>
              <w:keepLines/>
              <w:tabs>
                <w:tab w:val="right" w:pos="2835"/>
              </w:tabs>
              <w:spacing w:after="60"/>
              <w:rPr>
                <w:sz w:val="15"/>
                <w:szCs w:val="15"/>
              </w:rPr>
            </w:pPr>
            <w:r w:rsidRPr="00713077">
              <w:rPr>
                <w:sz w:val="16"/>
                <w:szCs w:val="16"/>
              </w:rPr>
              <w:t xml:space="preserve">III.4  </w:t>
            </w:r>
            <w:r w:rsidR="006C23D5" w:rsidRPr="00713077">
              <w:rPr>
                <w:sz w:val="16"/>
                <w:szCs w:val="16"/>
                <w:lang w:val="es-ES_tradnl"/>
              </w:rPr>
              <w:t>Fortalecimiento de los mecanismos y de los programas de cooperación conforme a las necesidades de los países en desarrollo y los PMA</w:t>
            </w:r>
          </w:p>
          <w:p w:rsidR="007F6A26" w:rsidRPr="00713077" w:rsidRDefault="007F6A26" w:rsidP="001F608E">
            <w:pPr>
              <w:keepNext/>
              <w:keepLines/>
              <w:rPr>
                <w:sz w:val="16"/>
                <w:szCs w:val="16"/>
              </w:rPr>
            </w:pPr>
          </w:p>
        </w:tc>
        <w:tc>
          <w:tcPr>
            <w:tcW w:w="1708" w:type="pct"/>
            <w:shd w:val="clear" w:color="auto" w:fill="auto"/>
            <w:tcMar>
              <w:top w:w="85" w:type="dxa"/>
              <w:bottom w:w="28" w:type="dxa"/>
            </w:tcMar>
          </w:tcPr>
          <w:p w:rsidR="007F6A26" w:rsidRPr="00290055" w:rsidRDefault="007F6A26" w:rsidP="00F57A93">
            <w:pPr>
              <w:keepNext/>
              <w:keepLines/>
              <w:rPr>
                <w:sz w:val="16"/>
                <w:szCs w:val="16"/>
              </w:rPr>
            </w:pPr>
            <w:r w:rsidRPr="00290055">
              <w:rPr>
                <w:sz w:val="16"/>
                <w:szCs w:val="16"/>
              </w:rPr>
              <w:t>N</w:t>
            </w:r>
            <w:r w:rsidR="00F57A93">
              <w:rPr>
                <w:sz w:val="16"/>
                <w:szCs w:val="16"/>
              </w:rPr>
              <w:t>º</w:t>
            </w:r>
            <w:r w:rsidRPr="00290055">
              <w:rPr>
                <w:sz w:val="16"/>
                <w:szCs w:val="16"/>
              </w:rPr>
              <w:t xml:space="preserve"> de acuerdos, proyectos, programas y alianzas de cooperación nacionales, subregionales y regionales</w:t>
            </w:r>
            <w:r w:rsidR="00F57A93">
              <w:rPr>
                <w:sz w:val="16"/>
                <w:szCs w:val="16"/>
              </w:rPr>
              <w:t xml:space="preserve"> </w:t>
            </w:r>
            <w:r w:rsidRPr="00290055">
              <w:rPr>
                <w:sz w:val="16"/>
                <w:szCs w:val="16"/>
              </w:rPr>
              <w:t>/</w:t>
            </w:r>
            <w:r w:rsidR="00F57A93">
              <w:rPr>
                <w:sz w:val="16"/>
                <w:szCs w:val="16"/>
              </w:rPr>
              <w:t xml:space="preserve"> </w:t>
            </w:r>
            <w:r w:rsidRPr="00290055">
              <w:rPr>
                <w:sz w:val="16"/>
                <w:szCs w:val="16"/>
              </w:rPr>
              <w:t>interregionales para fomentar el uso eficaz de los sistemas de P.I. mediante el intercambio de las mejores prácticas.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9</w:t>
            </w:r>
          </w:p>
        </w:tc>
      </w:tr>
      <w:tr w:rsidR="00290055" w:rsidRPr="00290055" w:rsidTr="001F608E">
        <w:trPr>
          <w:cantSplit/>
          <w:trHeight w:val="310"/>
        </w:trPr>
        <w:tc>
          <w:tcPr>
            <w:tcW w:w="1768" w:type="pct"/>
            <w:shd w:val="clear" w:color="auto" w:fill="auto"/>
            <w:tcMar>
              <w:top w:w="85" w:type="dxa"/>
              <w:bottom w:w="28" w:type="dxa"/>
            </w:tcMar>
          </w:tcPr>
          <w:p w:rsidR="007F6A26" w:rsidRPr="00713077" w:rsidRDefault="007F6A26" w:rsidP="001F608E">
            <w:pPr>
              <w:keepNext/>
              <w:keepLines/>
              <w:rPr>
                <w:sz w:val="16"/>
                <w:szCs w:val="16"/>
              </w:rPr>
            </w:pPr>
          </w:p>
        </w:tc>
        <w:tc>
          <w:tcPr>
            <w:tcW w:w="1708" w:type="pct"/>
            <w:shd w:val="clear" w:color="auto" w:fill="auto"/>
            <w:tcMar>
              <w:top w:w="85" w:type="dxa"/>
              <w:bottom w:w="28" w:type="dxa"/>
            </w:tcMar>
          </w:tcPr>
          <w:p w:rsidR="007F6A26" w:rsidRPr="00290055" w:rsidRDefault="007F6A26" w:rsidP="00F57A93">
            <w:pPr>
              <w:keepNext/>
              <w:keepLines/>
              <w:rPr>
                <w:sz w:val="16"/>
                <w:szCs w:val="16"/>
              </w:rPr>
            </w:pPr>
            <w:r w:rsidRPr="00290055">
              <w:rPr>
                <w:sz w:val="16"/>
                <w:szCs w:val="16"/>
              </w:rPr>
              <w:t>N</w:t>
            </w:r>
            <w:r w:rsidR="00F57A93">
              <w:rPr>
                <w:sz w:val="16"/>
                <w:szCs w:val="16"/>
              </w:rPr>
              <w:t>º</w:t>
            </w:r>
            <w:r w:rsidRPr="00290055">
              <w:rPr>
                <w:sz w:val="16"/>
                <w:szCs w:val="16"/>
              </w:rPr>
              <w:t xml:space="preserve"> de alianzas establecidas.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10</w:t>
            </w:r>
          </w:p>
        </w:tc>
      </w:tr>
      <w:tr w:rsidR="00290055" w:rsidRPr="00290055" w:rsidTr="001F608E">
        <w:trPr>
          <w:cantSplit/>
          <w:trHeight w:val="652"/>
        </w:trPr>
        <w:tc>
          <w:tcPr>
            <w:tcW w:w="1768" w:type="pct"/>
            <w:shd w:val="clear" w:color="auto" w:fill="auto"/>
            <w:tcMar>
              <w:top w:w="85" w:type="dxa"/>
              <w:bottom w:w="28" w:type="dxa"/>
            </w:tcMar>
          </w:tcPr>
          <w:p w:rsidR="007F6A26" w:rsidRPr="00713077" w:rsidRDefault="007F6A26" w:rsidP="001F608E">
            <w:pPr>
              <w:keepNext/>
              <w:keepLines/>
              <w:rPr>
                <w:sz w:val="16"/>
                <w:szCs w:val="16"/>
              </w:rPr>
            </w:pPr>
            <w:r w:rsidRPr="00713077">
              <w:rPr>
                <w:sz w:val="16"/>
                <w:szCs w:val="16"/>
              </w:rPr>
              <w:t xml:space="preserve">III.5 </w:t>
            </w:r>
            <w:r w:rsidR="006C23D5" w:rsidRPr="00713077">
              <w:rPr>
                <w:sz w:val="16"/>
                <w:szCs w:val="16"/>
              </w:rPr>
              <w:t xml:space="preserve"> </w:t>
            </w:r>
            <w:r w:rsidR="006C23D5" w:rsidRPr="00713077">
              <w:rPr>
                <w:sz w:val="16"/>
                <w:szCs w:val="16"/>
                <w:lang w:val="es-ES_tradnl"/>
              </w:rPr>
              <w:t>Mejor comprensión de la Agenda para el Desarrollo por los Estados miembros, las OIG, la sociedad civil y demás partes interesadas</w:t>
            </w:r>
          </w:p>
        </w:tc>
        <w:tc>
          <w:tcPr>
            <w:tcW w:w="1708" w:type="pct"/>
            <w:shd w:val="clear" w:color="auto" w:fill="auto"/>
            <w:tcMar>
              <w:top w:w="85" w:type="dxa"/>
              <w:bottom w:w="28" w:type="dxa"/>
            </w:tcMar>
          </w:tcPr>
          <w:p w:rsidR="007F6A26" w:rsidRPr="00290055" w:rsidRDefault="007F6A26" w:rsidP="001F608E">
            <w:pPr>
              <w:keepNext/>
              <w:keepLines/>
              <w:rPr>
                <w:sz w:val="16"/>
                <w:szCs w:val="16"/>
              </w:rPr>
            </w:pPr>
            <w:r w:rsidRPr="00290055">
              <w:rPr>
                <w:sz w:val="16"/>
                <w:szCs w:val="16"/>
              </w:rPr>
              <w:t>Las actividades de asistencia técnica llevadas a cabo por la OMPI reflejan la dimensión de la A.D. y los resultados de los proyectos de la A.D.</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8</w:t>
            </w:r>
          </w:p>
        </w:tc>
      </w:tr>
      <w:tr w:rsidR="00290055" w:rsidRPr="00290055" w:rsidTr="001F608E">
        <w:trPr>
          <w:cantSplit/>
          <w:trHeight w:val="652"/>
        </w:trPr>
        <w:tc>
          <w:tcPr>
            <w:tcW w:w="1768" w:type="pct"/>
            <w:shd w:val="clear" w:color="auto" w:fill="auto"/>
            <w:tcMar>
              <w:top w:w="85" w:type="dxa"/>
              <w:bottom w:w="28" w:type="dxa"/>
            </w:tcMar>
          </w:tcPr>
          <w:p w:rsidR="007F6A26" w:rsidRPr="00713077" w:rsidRDefault="007F6A26" w:rsidP="001F608E">
            <w:pPr>
              <w:keepNext/>
              <w:keepLines/>
              <w:rPr>
                <w:sz w:val="16"/>
                <w:szCs w:val="16"/>
              </w:rPr>
            </w:pPr>
          </w:p>
        </w:tc>
        <w:tc>
          <w:tcPr>
            <w:tcW w:w="1708" w:type="pct"/>
            <w:shd w:val="clear" w:color="auto" w:fill="auto"/>
            <w:tcMar>
              <w:top w:w="85" w:type="dxa"/>
              <w:bottom w:w="28" w:type="dxa"/>
            </w:tcMar>
          </w:tcPr>
          <w:p w:rsidR="007F6A26" w:rsidRPr="00290055" w:rsidRDefault="007F6A26" w:rsidP="001F608E">
            <w:pPr>
              <w:keepNext/>
              <w:keepLines/>
              <w:rPr>
                <w:sz w:val="16"/>
                <w:szCs w:val="16"/>
              </w:rPr>
            </w:pPr>
            <w:r w:rsidRPr="00290055">
              <w:rPr>
                <w:sz w:val="16"/>
                <w:szCs w:val="16"/>
              </w:rPr>
              <w:t>Porcentaje de participantes satisfechos en actividades sobre la A.D. destinadas a los Estados miembros, la sociedad civil, las organizaciones intergubernamentales y los sectores interesados.</w:t>
            </w:r>
          </w:p>
        </w:tc>
        <w:tc>
          <w:tcPr>
            <w:tcW w:w="1524" w:type="pct"/>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8</w:t>
            </w:r>
          </w:p>
        </w:tc>
      </w:tr>
      <w:tr w:rsidR="00290055" w:rsidRPr="00290055" w:rsidTr="001F608E">
        <w:trPr>
          <w:cantSplit/>
          <w:trHeight w:val="652"/>
        </w:trPr>
        <w:tc>
          <w:tcPr>
            <w:tcW w:w="1768" w:type="pct"/>
            <w:shd w:val="clear" w:color="auto" w:fill="auto"/>
            <w:tcMar>
              <w:top w:w="85" w:type="dxa"/>
              <w:bottom w:w="28" w:type="dxa"/>
            </w:tcMar>
          </w:tcPr>
          <w:p w:rsidR="007F6A26" w:rsidRPr="00713077" w:rsidRDefault="007F6A26" w:rsidP="001F608E">
            <w:pPr>
              <w:keepNext/>
              <w:keepLines/>
              <w:rPr>
                <w:sz w:val="16"/>
                <w:szCs w:val="16"/>
              </w:rPr>
            </w:pPr>
            <w:r w:rsidRPr="00713077">
              <w:rPr>
                <w:sz w:val="16"/>
                <w:szCs w:val="16"/>
              </w:rPr>
              <w:t xml:space="preserve">III.6 </w:t>
            </w:r>
            <w:r w:rsidR="006C23D5" w:rsidRPr="00713077">
              <w:rPr>
                <w:sz w:val="16"/>
                <w:szCs w:val="16"/>
              </w:rPr>
              <w:t xml:space="preserve"> </w:t>
            </w:r>
            <w:r w:rsidR="006C23D5" w:rsidRPr="00713077">
              <w:rPr>
                <w:sz w:val="16"/>
                <w:szCs w:val="16"/>
                <w:lang w:val="es-ES_tradnl"/>
              </w:rPr>
              <w:t>Mayor capacidad de las pymes para utilizar con éxito la P.I. con el fin de apoyar la innovación</w:t>
            </w:r>
          </w:p>
        </w:tc>
        <w:tc>
          <w:tcPr>
            <w:tcW w:w="1708" w:type="pct"/>
            <w:shd w:val="clear" w:color="auto" w:fill="auto"/>
            <w:tcMar>
              <w:top w:w="85" w:type="dxa"/>
              <w:bottom w:w="28" w:type="dxa"/>
            </w:tcMar>
          </w:tcPr>
          <w:p w:rsidR="007F6A26" w:rsidRPr="00290055" w:rsidRDefault="007F6A26" w:rsidP="001F608E">
            <w:pPr>
              <w:keepNext/>
              <w:keepLines/>
              <w:rPr>
                <w:sz w:val="16"/>
                <w:szCs w:val="16"/>
              </w:rPr>
            </w:pPr>
            <w:r w:rsidRPr="00290055">
              <w:rPr>
                <w:sz w:val="16"/>
                <w:szCs w:val="16"/>
              </w:rPr>
              <w:t>Porcentaje de participantes en programas de formación destinados a instituciones de apoyo a las pymes que manifiestan satisfacción con el contenido y la organización de esos eventos</w:t>
            </w:r>
          </w:p>
        </w:tc>
        <w:tc>
          <w:tcPr>
            <w:tcW w:w="1524" w:type="pct"/>
            <w:shd w:val="clear" w:color="auto" w:fill="FFFFFF"/>
            <w:tcMar>
              <w:top w:w="85" w:type="dxa"/>
              <w:bottom w:w="28" w:type="dxa"/>
            </w:tcMar>
          </w:tcPr>
          <w:p w:rsidR="007F6A26" w:rsidRPr="00290055" w:rsidRDefault="007F6A26" w:rsidP="001F608E">
            <w:pPr>
              <w:ind w:left="569"/>
              <w:rPr>
                <w:sz w:val="16"/>
                <w:szCs w:val="16"/>
                <w:lang w:bidi="th-TH"/>
              </w:rPr>
            </w:pPr>
            <w:r w:rsidRPr="00290055">
              <w:rPr>
                <w:sz w:val="16"/>
                <w:szCs w:val="16"/>
                <w:lang w:bidi="th-TH"/>
              </w:rPr>
              <w:t>Programa 30</w:t>
            </w:r>
          </w:p>
        </w:tc>
      </w:tr>
      <w:tr w:rsidR="00290055" w:rsidRPr="00290055" w:rsidTr="001F608E">
        <w:trPr>
          <w:cantSplit/>
          <w:trHeight w:val="418"/>
        </w:trPr>
        <w:tc>
          <w:tcPr>
            <w:tcW w:w="1768" w:type="pct"/>
            <w:shd w:val="clear" w:color="auto" w:fill="auto"/>
            <w:tcMar>
              <w:top w:w="85" w:type="dxa"/>
              <w:bottom w:w="28" w:type="dxa"/>
            </w:tcMar>
          </w:tcPr>
          <w:p w:rsidR="007F6A26" w:rsidRPr="00713077" w:rsidRDefault="007F6A26" w:rsidP="001F608E">
            <w:pPr>
              <w:keepNext/>
              <w:keepLines/>
              <w:rPr>
                <w:sz w:val="16"/>
                <w:szCs w:val="16"/>
              </w:rPr>
            </w:pPr>
          </w:p>
        </w:tc>
        <w:tc>
          <w:tcPr>
            <w:tcW w:w="1708" w:type="pct"/>
            <w:tcBorders>
              <w:bottom w:val="nil"/>
            </w:tcBorders>
            <w:shd w:val="clear" w:color="auto" w:fill="auto"/>
            <w:tcMar>
              <w:top w:w="85" w:type="dxa"/>
              <w:bottom w:w="28" w:type="dxa"/>
            </w:tcMar>
          </w:tcPr>
          <w:p w:rsidR="007F6A26" w:rsidRPr="00290055" w:rsidRDefault="007F6A26" w:rsidP="001F608E">
            <w:pPr>
              <w:keepNext/>
              <w:keepLines/>
              <w:rPr>
                <w:sz w:val="16"/>
                <w:szCs w:val="16"/>
              </w:rPr>
            </w:pPr>
            <w:r w:rsidRPr="00290055">
              <w:rPr>
                <w:sz w:val="16"/>
                <w:szCs w:val="16"/>
              </w:rPr>
              <w:t>Porcentaje de instituciones de apoyo a las pymes que, tras haber recibido formación, suministran información y prestan servicios de asesoramiento sobre gestión de activos de P.I.</w:t>
            </w:r>
          </w:p>
        </w:tc>
        <w:tc>
          <w:tcPr>
            <w:tcW w:w="1524" w:type="pct"/>
            <w:tcBorders>
              <w:bottom w:val="nil"/>
            </w:tcBorders>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30</w:t>
            </w:r>
          </w:p>
        </w:tc>
      </w:tr>
      <w:tr w:rsidR="00290055" w:rsidRPr="00290055" w:rsidTr="001F608E">
        <w:trPr>
          <w:cantSplit/>
          <w:trHeight w:val="418"/>
        </w:trPr>
        <w:tc>
          <w:tcPr>
            <w:tcW w:w="1768" w:type="pct"/>
            <w:shd w:val="clear" w:color="auto" w:fill="auto"/>
            <w:tcMar>
              <w:top w:w="85" w:type="dxa"/>
              <w:bottom w:w="28" w:type="dxa"/>
            </w:tcMar>
          </w:tcPr>
          <w:p w:rsidR="007F6A26" w:rsidRPr="00290055" w:rsidRDefault="007F6A26" w:rsidP="001F608E">
            <w:pPr>
              <w:keepNext/>
              <w:keepLines/>
              <w:rPr>
                <w:sz w:val="16"/>
                <w:szCs w:val="16"/>
              </w:rPr>
            </w:pPr>
          </w:p>
        </w:tc>
        <w:tc>
          <w:tcPr>
            <w:tcW w:w="1708" w:type="pct"/>
            <w:tcBorders>
              <w:top w:val="nil"/>
              <w:bottom w:val="single" w:sz="4" w:space="0" w:color="auto"/>
            </w:tcBorders>
            <w:shd w:val="clear" w:color="auto" w:fill="auto"/>
            <w:tcMar>
              <w:top w:w="85" w:type="dxa"/>
              <w:bottom w:w="28" w:type="dxa"/>
            </w:tcMar>
          </w:tcPr>
          <w:p w:rsidR="007F6A26" w:rsidRPr="00290055" w:rsidRDefault="007F6A26" w:rsidP="001F608E">
            <w:pPr>
              <w:keepNext/>
              <w:keepLines/>
              <w:rPr>
                <w:sz w:val="16"/>
                <w:szCs w:val="16"/>
              </w:rPr>
            </w:pPr>
            <w:r w:rsidRPr="00290055">
              <w:rPr>
                <w:sz w:val="16"/>
                <w:szCs w:val="16"/>
              </w:rPr>
              <w:t>N</w:t>
            </w:r>
            <w:r w:rsidR="00F57A93">
              <w:rPr>
                <w:sz w:val="16"/>
                <w:szCs w:val="16"/>
              </w:rPr>
              <w:t>º</w:t>
            </w:r>
            <w:r w:rsidRPr="00290055">
              <w:rPr>
                <w:sz w:val="16"/>
                <w:szCs w:val="16"/>
              </w:rPr>
              <w:t xml:space="preserve"> de países que han establecido o mejorado los programas de formación en P.I. destinados a las pymes.</w:t>
            </w:r>
          </w:p>
          <w:p w:rsidR="007F6A26" w:rsidRPr="00290055" w:rsidRDefault="007F6A26" w:rsidP="001F608E">
            <w:pPr>
              <w:keepNext/>
              <w:keepLines/>
              <w:rPr>
                <w:sz w:val="16"/>
                <w:szCs w:val="16"/>
              </w:rPr>
            </w:pPr>
          </w:p>
        </w:tc>
        <w:tc>
          <w:tcPr>
            <w:tcW w:w="1524" w:type="pct"/>
            <w:tcBorders>
              <w:top w:val="nil"/>
              <w:bottom w:val="single" w:sz="4" w:space="0" w:color="auto"/>
            </w:tcBorders>
            <w:shd w:val="clear" w:color="auto" w:fill="FFFFFF"/>
            <w:tcMar>
              <w:top w:w="85" w:type="dxa"/>
              <w:bottom w:w="28" w:type="dxa"/>
            </w:tcMar>
          </w:tcPr>
          <w:p w:rsidR="007F6A26" w:rsidRPr="00290055" w:rsidRDefault="007F6A26" w:rsidP="001F608E">
            <w:pPr>
              <w:ind w:left="551"/>
              <w:rPr>
                <w:sz w:val="16"/>
                <w:szCs w:val="16"/>
                <w:lang w:bidi="th-TH"/>
              </w:rPr>
            </w:pPr>
            <w:r w:rsidRPr="00290055">
              <w:rPr>
                <w:sz w:val="16"/>
                <w:szCs w:val="16"/>
                <w:lang w:bidi="th-TH"/>
              </w:rPr>
              <w:t>Programa 30</w:t>
            </w:r>
          </w:p>
          <w:p w:rsidR="007F6A26" w:rsidRPr="00290055" w:rsidRDefault="007F6A26" w:rsidP="001F608E">
            <w:pPr>
              <w:ind w:left="551"/>
              <w:rPr>
                <w:sz w:val="16"/>
                <w:szCs w:val="16"/>
                <w:lang w:bidi="th-TH"/>
              </w:rPr>
            </w:pPr>
          </w:p>
        </w:tc>
      </w:tr>
    </w:tbl>
    <w:p w:rsidR="007F6A26" w:rsidRPr="000F58A9" w:rsidRDefault="007F6A26" w:rsidP="007F6A26">
      <w:pPr>
        <w:rPr>
          <w:sz w:val="20"/>
        </w:rPr>
      </w:pPr>
    </w:p>
    <w:p w:rsidR="000A0481" w:rsidRDefault="000A0481">
      <w:pPr>
        <w:rPr>
          <w:szCs w:val="22"/>
        </w:rPr>
      </w:pPr>
      <w:r>
        <w:rPr>
          <w:szCs w:val="22"/>
        </w:rPr>
        <w:br w:type="page"/>
      </w:r>
    </w:p>
    <w:p w:rsidR="000A0481" w:rsidRPr="00F4741E" w:rsidRDefault="001E30CF" w:rsidP="00B8795A">
      <w:pPr>
        <w:pStyle w:val="StyleStyleHeading3ComplexItalicLatin12pt"/>
        <w:rPr>
          <w:lang w:val="es-ES"/>
        </w:rPr>
      </w:pPr>
      <w:bookmarkStart w:id="40" w:name="_Toc418668571"/>
      <w:bookmarkStart w:id="41" w:name="_Toc420681141"/>
      <w:r>
        <w:rPr>
          <w:lang w:val="es-ES"/>
        </w:rPr>
        <w:lastRenderedPageBreak/>
        <w:t>PROGRAMA 8</w:t>
      </w:r>
      <w:r w:rsidR="000A0481" w:rsidRPr="00F4741E">
        <w:rPr>
          <w:lang w:val="es-ES"/>
        </w:rPr>
        <w:tab/>
        <w:t>COORDINACIÓN DE LA AGENDA PARA EL DESARROLLO</w:t>
      </w:r>
      <w:bookmarkEnd w:id="40"/>
      <w:bookmarkEnd w:id="41"/>
    </w:p>
    <w:p w:rsidR="000A0481" w:rsidRPr="00371284" w:rsidRDefault="000A0481" w:rsidP="000A0481">
      <w:pPr>
        <w:autoSpaceDE w:val="0"/>
        <w:autoSpaceDN w:val="0"/>
        <w:adjustRightInd w:val="0"/>
        <w:rPr>
          <w:sz w:val="20"/>
        </w:rPr>
      </w:pPr>
    </w:p>
    <w:p w:rsidR="000A0481" w:rsidRPr="00371284" w:rsidRDefault="000A0481" w:rsidP="000A0481">
      <w:pPr>
        <w:autoSpaceDE w:val="0"/>
        <w:autoSpaceDN w:val="0"/>
        <w:adjustRightInd w:val="0"/>
        <w:rPr>
          <w:sz w:val="20"/>
        </w:rPr>
      </w:pPr>
    </w:p>
    <w:p w:rsidR="000A0481" w:rsidRPr="00371284" w:rsidRDefault="000A0481" w:rsidP="000A0481">
      <w:pPr>
        <w:autoSpaceDE w:val="0"/>
        <w:autoSpaceDN w:val="0"/>
        <w:adjustRightInd w:val="0"/>
      </w:pPr>
      <w:r w:rsidRPr="00371284">
        <w:t>CONTEXTO DE PLANIFICACIÓN</w:t>
      </w:r>
    </w:p>
    <w:p w:rsidR="000A0481" w:rsidRPr="00371284" w:rsidRDefault="000A0481" w:rsidP="000A0481">
      <w:pPr>
        <w:pStyle w:val="ListParagraph"/>
        <w:tabs>
          <w:tab w:val="left" w:pos="567"/>
        </w:tabs>
        <w:autoSpaceDE w:val="0"/>
        <w:autoSpaceDN w:val="0"/>
        <w:adjustRightInd w:val="0"/>
        <w:ind w:left="0"/>
        <w:jc w:val="both"/>
        <w:rPr>
          <w:rFonts w:ascii="Arial" w:hAnsi="Arial" w:cs="Arial"/>
          <w:sz w:val="20"/>
          <w:lang w:val="es-ES"/>
        </w:rPr>
      </w:pPr>
    </w:p>
    <w:p w:rsidR="000A0481" w:rsidRPr="00371284" w:rsidRDefault="000A0481" w:rsidP="000A0481">
      <w:pPr>
        <w:pStyle w:val="ListParagraph"/>
        <w:numPr>
          <w:ilvl w:val="1"/>
          <w:numId w:val="24"/>
        </w:numPr>
        <w:tabs>
          <w:tab w:val="left" w:pos="567"/>
          <w:tab w:val="left" w:pos="709"/>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La creciente influencia que ejerce la Agenda para el Desarrollo (A.D.) en las actividades de la Organización y las consiguientes necesidades y demandas de los Estados miembros serán el motor que impulsará las actividades del programa en el bienio 2016/2017.  En los bienios anteriores se </w:t>
      </w:r>
      <w:r w:rsidR="00DB14B1">
        <w:rPr>
          <w:rFonts w:ascii="Arial" w:hAnsi="Arial" w:cs="Arial"/>
          <w:sz w:val="20"/>
          <w:szCs w:val="20"/>
          <w:lang w:val="es-ES"/>
        </w:rPr>
        <w:t>han logrado</w:t>
      </w:r>
      <w:r w:rsidRPr="00371284">
        <w:rPr>
          <w:rFonts w:ascii="Arial" w:hAnsi="Arial" w:cs="Arial"/>
          <w:sz w:val="20"/>
          <w:szCs w:val="20"/>
          <w:lang w:val="es-ES"/>
        </w:rPr>
        <w:t xml:space="preserve"> avances significativos en la aplicación de las recomendaciones de la A.D., </w:t>
      </w:r>
      <w:r w:rsidR="00DB14B1">
        <w:rPr>
          <w:rFonts w:ascii="Arial" w:hAnsi="Arial" w:cs="Arial"/>
          <w:sz w:val="20"/>
          <w:szCs w:val="20"/>
          <w:lang w:val="es-ES"/>
        </w:rPr>
        <w:t>principalmente</w:t>
      </w:r>
      <w:r w:rsidRPr="00371284">
        <w:rPr>
          <w:rFonts w:ascii="Arial" w:hAnsi="Arial" w:cs="Arial"/>
          <w:sz w:val="20"/>
          <w:szCs w:val="20"/>
          <w:lang w:val="es-ES"/>
        </w:rPr>
        <w:t xml:space="preserve"> en la ejecución de proyectos de la A.D. que aplicaban una metodología de gestión de proyectos más perfeccionada, que incluía la supervisión y evaluación sistemáticas de la integración de las actividades terminadas de todos los proyectos de la A.D. en las actividades ordinarias de la Organización, en la aplicación de los mecanismos de coordinación y de las modalidades de supervisión, evaluación y presentación de informes (el ‘mecanismo de coordinación’), aprobados por los Estados miembros en forma de informes sobre la marcha de los trabajos y de evaluación, en la realización del examen independiente de la aplicación de las recomendaciones de la A.D., y en la consecución de una mayor participación de los Estados miembros, principalmente, de los países en desarrollo y los PMA.</w:t>
      </w:r>
    </w:p>
    <w:p w:rsidR="000A0481" w:rsidRPr="00371284" w:rsidRDefault="000A0481" w:rsidP="000A0481">
      <w:pPr>
        <w:pStyle w:val="ListParagraph"/>
        <w:tabs>
          <w:tab w:val="left" w:pos="567"/>
        </w:tabs>
        <w:autoSpaceDE w:val="0"/>
        <w:autoSpaceDN w:val="0"/>
        <w:adjustRightInd w:val="0"/>
        <w:ind w:left="0"/>
        <w:jc w:val="both"/>
        <w:rPr>
          <w:rFonts w:ascii="Arial" w:hAnsi="Arial" w:cs="Arial"/>
          <w:sz w:val="20"/>
          <w:szCs w:val="20"/>
          <w:lang w:val="es-ES"/>
        </w:rPr>
      </w:pPr>
    </w:p>
    <w:p w:rsidR="000A0481" w:rsidRPr="00371284" w:rsidRDefault="000A0481" w:rsidP="000A0481">
      <w:pPr>
        <w:pStyle w:val="ListParagraph"/>
        <w:numPr>
          <w:ilvl w:val="1"/>
          <w:numId w:val="24"/>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La continuación de la labor de incorporación de la A.D. y la consecución de sus objetivos seguirán orientando la creciente labor de la Organización en el ámbito del desarrollo durante el bienio.</w:t>
      </w:r>
    </w:p>
    <w:p w:rsidR="000A0481" w:rsidRPr="00371284" w:rsidRDefault="000A0481" w:rsidP="000A0481">
      <w:pPr>
        <w:pStyle w:val="ListParagraph"/>
        <w:ind w:left="0"/>
        <w:jc w:val="both"/>
        <w:rPr>
          <w:rFonts w:ascii="Arial" w:hAnsi="Arial" w:cs="Arial"/>
          <w:sz w:val="20"/>
          <w:szCs w:val="20"/>
          <w:lang w:val="es-ES"/>
        </w:rPr>
      </w:pPr>
    </w:p>
    <w:p w:rsidR="000A0481" w:rsidRPr="00371284" w:rsidRDefault="000A0481" w:rsidP="000A0481">
      <w:pPr>
        <w:pStyle w:val="ListParagraph"/>
        <w:ind w:left="0"/>
        <w:jc w:val="both"/>
        <w:rPr>
          <w:rFonts w:ascii="Arial" w:hAnsi="Arial" w:cs="Arial"/>
          <w:sz w:val="20"/>
          <w:szCs w:val="20"/>
          <w:lang w:val="es-ES"/>
        </w:rPr>
      </w:pPr>
    </w:p>
    <w:p w:rsidR="000A0481" w:rsidRPr="00371284" w:rsidRDefault="000A0481" w:rsidP="000A0481">
      <w:pPr>
        <w:tabs>
          <w:tab w:val="left" w:pos="567"/>
        </w:tabs>
        <w:jc w:val="both"/>
      </w:pPr>
      <w:r w:rsidRPr="00371284">
        <w:t>ESTRATEGIAS DE EJECUCIÓN</w:t>
      </w:r>
    </w:p>
    <w:p w:rsidR="000A0481" w:rsidRPr="00371284" w:rsidRDefault="000A0481" w:rsidP="000A0481">
      <w:pPr>
        <w:tabs>
          <w:tab w:val="left" w:pos="567"/>
        </w:tabs>
        <w:jc w:val="both"/>
      </w:pPr>
    </w:p>
    <w:p w:rsidR="000A0481" w:rsidRPr="00371284" w:rsidRDefault="000A0481" w:rsidP="000A0481">
      <w:pPr>
        <w:pStyle w:val="ListParagraph"/>
        <w:numPr>
          <w:ilvl w:val="1"/>
          <w:numId w:val="24"/>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El programa permitirá que se sigan integrando de manera adecuada, rápida y duradera las recomendaciones y los principios de la A.D. en todos los aspectos de la labor de la Organización relacionada con el desarrollo.  Con ese fin, se seguirá coordinando y facilitando el trabajo de otros programas con miras a aplicar las recomendaciones de la A.D.  </w:t>
      </w:r>
      <w:r w:rsidR="00DB14B1">
        <w:rPr>
          <w:rFonts w:ascii="Arial" w:hAnsi="Arial" w:cs="Arial"/>
          <w:sz w:val="20"/>
          <w:szCs w:val="20"/>
          <w:lang w:val="es-ES"/>
        </w:rPr>
        <w:t xml:space="preserve">El programa facilitará la implementación de las </w:t>
      </w:r>
      <w:r w:rsidRPr="00371284">
        <w:rPr>
          <w:rFonts w:ascii="Arial" w:hAnsi="Arial" w:cs="Arial"/>
          <w:sz w:val="20"/>
          <w:szCs w:val="20"/>
          <w:lang w:val="es-ES"/>
        </w:rPr>
        <w:t xml:space="preserve">decisiones de la Asamblea General de la OMPI y del Comité de Desarrollo y Propiedad Intelectual (CDIP), a través de una coordinación activa que abarque todos los sectores de la OMPI y una colaboración dinámica con los Estados miembros.  A este respecto, el programa apoyará </w:t>
      </w:r>
      <w:r w:rsidR="00DB14B1">
        <w:rPr>
          <w:rFonts w:ascii="Arial" w:hAnsi="Arial" w:cs="Arial"/>
          <w:sz w:val="20"/>
          <w:szCs w:val="20"/>
          <w:lang w:val="es-ES"/>
        </w:rPr>
        <w:t xml:space="preserve">los </w:t>
      </w:r>
      <w:r w:rsidRPr="00371284">
        <w:rPr>
          <w:rFonts w:ascii="Arial" w:hAnsi="Arial" w:cs="Arial"/>
          <w:sz w:val="20"/>
          <w:szCs w:val="20"/>
          <w:lang w:val="es-ES"/>
        </w:rPr>
        <w:t xml:space="preserve">nuevos proyectos y actividades </w:t>
      </w:r>
      <w:r w:rsidR="00DB14B1">
        <w:rPr>
          <w:rFonts w:ascii="Arial" w:hAnsi="Arial" w:cs="Arial"/>
          <w:sz w:val="20"/>
          <w:szCs w:val="20"/>
          <w:lang w:val="es-ES"/>
        </w:rPr>
        <w:t>que propongan</w:t>
      </w:r>
      <w:r w:rsidRPr="00371284">
        <w:rPr>
          <w:rFonts w:ascii="Arial" w:hAnsi="Arial" w:cs="Arial"/>
          <w:sz w:val="20"/>
          <w:szCs w:val="20"/>
          <w:lang w:val="es-ES"/>
        </w:rPr>
        <w:t xml:space="preserve"> los Estados miembros</w:t>
      </w:r>
      <w:r w:rsidR="00DB14B1">
        <w:rPr>
          <w:rFonts w:ascii="Arial" w:hAnsi="Arial" w:cs="Arial"/>
          <w:sz w:val="20"/>
          <w:szCs w:val="20"/>
          <w:lang w:val="es-ES"/>
        </w:rPr>
        <w:t>, así como su ejecución en la Organización por los programas de que se trate</w:t>
      </w:r>
      <w:r w:rsidRPr="00371284">
        <w:rPr>
          <w:rFonts w:ascii="Arial" w:hAnsi="Arial" w:cs="Arial"/>
          <w:sz w:val="20"/>
          <w:szCs w:val="20"/>
          <w:lang w:val="es-ES"/>
        </w:rPr>
        <w:t xml:space="preserve">.  </w:t>
      </w:r>
    </w:p>
    <w:p w:rsidR="000A0481" w:rsidRPr="00371284" w:rsidRDefault="000A0481" w:rsidP="000A0481">
      <w:pPr>
        <w:tabs>
          <w:tab w:val="left" w:pos="567"/>
        </w:tabs>
        <w:autoSpaceDE w:val="0"/>
        <w:autoSpaceDN w:val="0"/>
        <w:adjustRightInd w:val="0"/>
        <w:jc w:val="both"/>
        <w:rPr>
          <w:sz w:val="20"/>
        </w:rPr>
      </w:pPr>
    </w:p>
    <w:p w:rsidR="000A0481" w:rsidRPr="00371284" w:rsidRDefault="000A0481" w:rsidP="000A0481">
      <w:pPr>
        <w:pStyle w:val="ListParagraph"/>
        <w:numPr>
          <w:ilvl w:val="1"/>
          <w:numId w:val="24"/>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Se seguirá apoyando la labor del CDIP, en particular, propiciando procesos de negociación entre los Estados miembros; elaborando estrategias para la aplicación de las recomendaciones de la A.D.; coordinando la gestión y la aplicación, seguimiento, evaluación y presentación de informes de los proyectos de la A.D. efectivas, así como las actividades relacionadas con la A.D. que ya se han integrado; la aplicación de las recomendaciones y de las actividades resultantes del examen independiente, y el apoyo a la divulgación de información y a la sensibilización sobre asuntos relacionados con la A.D.   Los proyectos de la A.D., incluidas las fases subsiguientes de proyectos en curso, aprobados por el CDIP seguirán siendo enteramente financiados con arreglo al procedimiento presupuestario aplicado a los proyectos que se expone en el documento A/48/5/Rev., aprobado por los Estados miembros en 2010.</w:t>
      </w:r>
    </w:p>
    <w:p w:rsidR="000A0481" w:rsidRPr="00371284" w:rsidRDefault="000A0481" w:rsidP="000A0481">
      <w:pPr>
        <w:tabs>
          <w:tab w:val="left" w:pos="567"/>
        </w:tabs>
        <w:autoSpaceDE w:val="0"/>
        <w:autoSpaceDN w:val="0"/>
        <w:adjustRightInd w:val="0"/>
        <w:jc w:val="both"/>
        <w:rPr>
          <w:sz w:val="20"/>
        </w:rPr>
      </w:pPr>
    </w:p>
    <w:p w:rsidR="000A0481" w:rsidRPr="00371284" w:rsidRDefault="000A0481" w:rsidP="000A0481">
      <w:pPr>
        <w:pStyle w:val="ListParagraph"/>
        <w:numPr>
          <w:ilvl w:val="1"/>
          <w:numId w:val="24"/>
        </w:numPr>
        <w:tabs>
          <w:tab w:val="left" w:pos="567"/>
        </w:tabs>
        <w:autoSpaceDE w:val="0"/>
        <w:autoSpaceDN w:val="0"/>
        <w:adjustRightInd w:val="0"/>
        <w:jc w:val="both"/>
        <w:rPr>
          <w:rFonts w:ascii="Arial" w:hAnsi="Arial" w:cs="Arial"/>
          <w:sz w:val="20"/>
          <w:szCs w:val="20"/>
          <w:lang w:val="es-ES"/>
        </w:rPr>
      </w:pPr>
      <w:r w:rsidRPr="00371284">
        <w:rPr>
          <w:rFonts w:ascii="Arial" w:hAnsi="Arial" w:cs="Arial"/>
          <w:sz w:val="20"/>
          <w:szCs w:val="20"/>
          <w:lang w:val="es-ES"/>
        </w:rPr>
        <w:t xml:space="preserve">Durante el bienio 2016/2017 se celebrará una Conferencia Internacional sobre P.I. y Desarrollo.  Asimismo, en el marco del programa se seguirán facilitando </w:t>
      </w:r>
      <w:r w:rsidR="00DB14B1">
        <w:rPr>
          <w:rFonts w:ascii="Arial" w:hAnsi="Arial" w:cs="Arial"/>
          <w:sz w:val="20"/>
          <w:szCs w:val="20"/>
          <w:lang w:val="es-ES"/>
        </w:rPr>
        <w:t>el debate y la ejecución de toda nueva actividad</w:t>
      </w:r>
      <w:r w:rsidRPr="00371284">
        <w:rPr>
          <w:rFonts w:ascii="Arial" w:hAnsi="Arial" w:cs="Arial"/>
          <w:sz w:val="20"/>
          <w:szCs w:val="20"/>
          <w:lang w:val="es-ES"/>
        </w:rPr>
        <w:t xml:space="preserve"> relacionada con la P.I. y el desarrollo, </w:t>
      </w:r>
      <w:r w:rsidR="00DB14B1">
        <w:rPr>
          <w:rFonts w:ascii="Arial" w:hAnsi="Arial" w:cs="Arial"/>
          <w:sz w:val="20"/>
          <w:szCs w:val="20"/>
          <w:lang w:val="es-ES"/>
        </w:rPr>
        <w:t>según lo s</w:t>
      </w:r>
      <w:r w:rsidRPr="00371284">
        <w:rPr>
          <w:rFonts w:ascii="Arial" w:hAnsi="Arial" w:cs="Arial"/>
          <w:sz w:val="20"/>
          <w:szCs w:val="20"/>
          <w:lang w:val="es-ES"/>
        </w:rPr>
        <w:t>olicit</w:t>
      </w:r>
      <w:r w:rsidR="00DB14B1">
        <w:rPr>
          <w:rFonts w:ascii="Arial" w:hAnsi="Arial" w:cs="Arial"/>
          <w:sz w:val="20"/>
          <w:szCs w:val="20"/>
          <w:lang w:val="es-ES"/>
        </w:rPr>
        <w:t>en</w:t>
      </w:r>
      <w:r w:rsidRPr="00371284">
        <w:rPr>
          <w:rFonts w:ascii="Arial" w:hAnsi="Arial" w:cs="Arial"/>
          <w:sz w:val="20"/>
          <w:szCs w:val="20"/>
          <w:lang w:val="es-ES"/>
        </w:rPr>
        <w:t xml:space="preserve"> el CDIP y la Asamblea General</w:t>
      </w:r>
      <w:r w:rsidR="00DB14B1">
        <w:rPr>
          <w:rFonts w:ascii="Arial" w:hAnsi="Arial" w:cs="Arial"/>
          <w:sz w:val="20"/>
          <w:szCs w:val="20"/>
          <w:lang w:val="es-ES"/>
        </w:rPr>
        <w:t xml:space="preserve"> de la OMPI</w:t>
      </w:r>
      <w:r w:rsidRPr="00371284">
        <w:rPr>
          <w:rFonts w:ascii="Arial" w:hAnsi="Arial" w:cs="Arial"/>
          <w:sz w:val="20"/>
          <w:szCs w:val="20"/>
          <w:lang w:val="es-ES"/>
        </w:rPr>
        <w:t xml:space="preserve">. </w:t>
      </w:r>
    </w:p>
    <w:p w:rsidR="000A0481" w:rsidRPr="00371284" w:rsidRDefault="000A0481" w:rsidP="000A0481">
      <w:pPr>
        <w:tabs>
          <w:tab w:val="left" w:pos="567"/>
        </w:tabs>
        <w:autoSpaceDE w:val="0"/>
        <w:autoSpaceDN w:val="0"/>
        <w:adjustRightInd w:val="0"/>
        <w:jc w:val="both"/>
      </w:pPr>
    </w:p>
    <w:p w:rsidR="000A0481" w:rsidRPr="00371284" w:rsidRDefault="000A0481" w:rsidP="000A0481">
      <w:pPr>
        <w:tabs>
          <w:tab w:val="left" w:pos="567"/>
        </w:tabs>
        <w:autoSpaceDE w:val="0"/>
        <w:autoSpaceDN w:val="0"/>
        <w:adjustRightInd w:val="0"/>
        <w:jc w:val="both"/>
      </w:pPr>
    </w:p>
    <w:p w:rsidR="000A0481" w:rsidRPr="00371284" w:rsidRDefault="000A0481" w:rsidP="000A0481">
      <w:pPr>
        <w:keepNext/>
      </w:pPr>
      <w:r w:rsidRPr="00371284">
        <w:t>PRINCIPALES RIESGOS Y ESTRATEGIAS DE MITIGACIÓN</w:t>
      </w:r>
    </w:p>
    <w:p w:rsidR="000A0481" w:rsidRPr="00371284" w:rsidRDefault="000A0481" w:rsidP="000A0481">
      <w:pPr>
        <w:keepNext/>
        <w:autoSpaceDE w:val="0"/>
        <w:autoSpaceDN w:val="0"/>
        <w:adjustRightInd w:val="0"/>
        <w:rPr>
          <w:rFonts w:eastAsia="Times New Roman"/>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0A0481" w:rsidRPr="00371284" w:rsidTr="00DB14B1">
        <w:trPr>
          <w:trHeight w:val="577"/>
        </w:trPr>
        <w:tc>
          <w:tcPr>
            <w:tcW w:w="4111" w:type="dxa"/>
            <w:tcBorders>
              <w:top w:val="single" w:sz="4" w:space="0" w:color="auto"/>
              <w:bottom w:val="single" w:sz="4" w:space="0" w:color="auto"/>
            </w:tcBorders>
            <w:shd w:val="clear" w:color="auto" w:fill="C6D9F1"/>
            <w:vAlign w:val="center"/>
          </w:tcPr>
          <w:p w:rsidR="000A0481" w:rsidRPr="00371284" w:rsidRDefault="000A0481" w:rsidP="000A0481">
            <w:pPr>
              <w:keepNext/>
              <w:jc w:val="center"/>
              <w:rPr>
                <w:rFonts w:eastAsia="Times New Roman"/>
                <w:b/>
                <w:bCs/>
                <w:sz w:val="18"/>
                <w:szCs w:val="18"/>
              </w:rPr>
            </w:pPr>
            <w:r w:rsidRPr="00371284">
              <w:rPr>
                <w:rFonts w:eastAsia="Times New Roman"/>
                <w:b/>
                <w:bCs/>
                <w:sz w:val="18"/>
                <w:szCs w:val="18"/>
              </w:rPr>
              <w:t>Riesgo</w:t>
            </w:r>
          </w:p>
        </w:tc>
        <w:tc>
          <w:tcPr>
            <w:tcW w:w="5103" w:type="dxa"/>
            <w:tcBorders>
              <w:top w:val="single" w:sz="4" w:space="0" w:color="auto"/>
              <w:bottom w:val="single" w:sz="4" w:space="0" w:color="auto"/>
            </w:tcBorders>
            <w:shd w:val="clear" w:color="auto" w:fill="C6D9F1"/>
            <w:vAlign w:val="center"/>
          </w:tcPr>
          <w:p w:rsidR="000A0481" w:rsidRPr="00371284" w:rsidRDefault="000A0481" w:rsidP="000A0481">
            <w:pPr>
              <w:keepNext/>
              <w:jc w:val="center"/>
              <w:rPr>
                <w:rFonts w:eastAsia="Times New Roman"/>
                <w:b/>
                <w:bCs/>
                <w:sz w:val="18"/>
                <w:szCs w:val="18"/>
              </w:rPr>
            </w:pPr>
            <w:r w:rsidRPr="00371284">
              <w:rPr>
                <w:rFonts w:eastAsia="Times New Roman"/>
                <w:b/>
                <w:bCs/>
                <w:sz w:val="18"/>
                <w:szCs w:val="18"/>
              </w:rPr>
              <w:t>Mitigación</w:t>
            </w:r>
          </w:p>
        </w:tc>
      </w:tr>
      <w:tr w:rsidR="000A0481" w:rsidRPr="00371284" w:rsidTr="000A0481">
        <w:trPr>
          <w:trHeight w:val="507"/>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0A0481" w:rsidRPr="00371284" w:rsidRDefault="000A0481" w:rsidP="000A0481">
            <w:pPr>
              <w:rPr>
                <w:rFonts w:eastAsia="Times New Roman"/>
                <w:sz w:val="16"/>
                <w:szCs w:val="16"/>
              </w:rPr>
            </w:pPr>
            <w:r w:rsidRPr="00371284">
              <w:rPr>
                <w:rFonts w:eastAsia="Times New Roman"/>
                <w:sz w:val="16"/>
              </w:rPr>
              <w:t>Opiniones divergentes de los Estados miembros en relación con la incorporación de las recomendaciones de la A.D. en la labor de la OMPI</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0A0481" w:rsidRPr="00371284" w:rsidRDefault="000A0481" w:rsidP="000A0481">
            <w:pPr>
              <w:rPr>
                <w:rFonts w:eastAsia="Times New Roman"/>
                <w:sz w:val="16"/>
                <w:szCs w:val="16"/>
              </w:rPr>
            </w:pPr>
            <w:r w:rsidRPr="00371284">
              <w:rPr>
                <w:rFonts w:eastAsia="Times New Roman"/>
                <w:sz w:val="16"/>
                <w:szCs w:val="16"/>
              </w:rPr>
              <w:t xml:space="preserve">Entablar consultas periódicas con los Estados miembros destinadas a facilitar la convergencia de las opiniones de los Estados miembros sobre la </w:t>
            </w:r>
            <w:r w:rsidRPr="00371284">
              <w:rPr>
                <w:rFonts w:eastAsia="Times New Roman"/>
                <w:sz w:val="16"/>
              </w:rPr>
              <w:t>incorporación</w:t>
            </w:r>
            <w:r w:rsidRPr="00371284">
              <w:rPr>
                <w:rFonts w:eastAsia="Times New Roman"/>
                <w:sz w:val="16"/>
                <w:szCs w:val="16"/>
              </w:rPr>
              <w:t xml:space="preserve"> de las </w:t>
            </w:r>
            <w:r w:rsidRPr="00371284">
              <w:rPr>
                <w:rFonts w:eastAsia="Times New Roman"/>
                <w:sz w:val="16"/>
              </w:rPr>
              <w:t>recomendaciones de la A.D.</w:t>
            </w:r>
          </w:p>
        </w:tc>
      </w:tr>
    </w:tbl>
    <w:p w:rsidR="000A0481" w:rsidRPr="00371284" w:rsidRDefault="000A0481" w:rsidP="000A0481">
      <w:pPr>
        <w:rPr>
          <w:rFonts w:eastAsia="Times New Roman"/>
        </w:rPr>
      </w:pPr>
    </w:p>
    <w:p w:rsidR="000A0481" w:rsidRPr="00371284" w:rsidRDefault="000A0481" w:rsidP="000A0481">
      <w:pPr>
        <w:rPr>
          <w:rFonts w:eastAsia="Times New Roman"/>
        </w:rPr>
      </w:pPr>
    </w:p>
    <w:p w:rsidR="000A0481" w:rsidRPr="00371284" w:rsidRDefault="000A0481" w:rsidP="000A0481">
      <w:pPr>
        <w:keepNext/>
        <w:keepLines/>
        <w:rPr>
          <w:rFonts w:eastAsia="Times New Roman"/>
        </w:rPr>
      </w:pPr>
      <w:r w:rsidRPr="00371284">
        <w:rPr>
          <w:rFonts w:eastAsia="Times New Roman"/>
        </w:rPr>
        <w:lastRenderedPageBreak/>
        <w:t>MARCO DE RESULTADOS</w:t>
      </w:r>
    </w:p>
    <w:p w:rsidR="000A0481" w:rsidRPr="00371284" w:rsidRDefault="000A0481" w:rsidP="000A0481">
      <w:pPr>
        <w:keepNext/>
        <w:keepLines/>
        <w:rPr>
          <w:rFonts w:eastAsia="Times New Roman"/>
        </w:rPr>
      </w:pPr>
    </w:p>
    <w:tbl>
      <w:tblPr>
        <w:tblW w:w="9229" w:type="dxa"/>
        <w:tblInd w:w="93" w:type="dxa"/>
        <w:tblLook w:val="04A0" w:firstRow="1" w:lastRow="0" w:firstColumn="1" w:lastColumn="0" w:noHBand="0" w:noVBand="1"/>
      </w:tblPr>
      <w:tblGrid>
        <w:gridCol w:w="2440"/>
        <w:gridCol w:w="2580"/>
        <w:gridCol w:w="1920"/>
        <w:gridCol w:w="2289"/>
      </w:tblGrid>
      <w:tr w:rsidR="000A0481" w:rsidRPr="00371284" w:rsidTr="00DB14B1">
        <w:trPr>
          <w:trHeight w:val="615"/>
        </w:trPr>
        <w:tc>
          <w:tcPr>
            <w:tcW w:w="2440" w:type="dxa"/>
            <w:tcBorders>
              <w:top w:val="single" w:sz="4" w:space="0" w:color="auto"/>
              <w:left w:val="single" w:sz="4" w:space="0" w:color="auto"/>
              <w:bottom w:val="single" w:sz="4" w:space="0" w:color="auto"/>
              <w:right w:val="nil"/>
            </w:tcBorders>
            <w:shd w:val="clear" w:color="auto" w:fill="C6D9F1"/>
            <w:vAlign w:val="center"/>
            <w:hideMark/>
          </w:tcPr>
          <w:p w:rsidR="000A0481" w:rsidRPr="00371284" w:rsidRDefault="000A0481" w:rsidP="000A0481">
            <w:pPr>
              <w:keepNext/>
              <w:keepLines/>
              <w:jc w:val="center"/>
              <w:rPr>
                <w:rFonts w:eastAsia="Times New Roman"/>
                <w:b/>
                <w:bCs/>
                <w:sz w:val="18"/>
                <w:szCs w:val="18"/>
              </w:rPr>
            </w:pPr>
            <w:r w:rsidRPr="00371284">
              <w:rPr>
                <w:rFonts w:eastAsia="Times New Roman"/>
                <w:b/>
                <w:bCs/>
                <w:sz w:val="18"/>
                <w:szCs w:val="18"/>
              </w:rPr>
              <w:t>Resultados previstos</w:t>
            </w:r>
          </w:p>
        </w:tc>
        <w:tc>
          <w:tcPr>
            <w:tcW w:w="2580" w:type="dxa"/>
            <w:tcBorders>
              <w:top w:val="single" w:sz="4" w:space="0" w:color="auto"/>
              <w:left w:val="nil"/>
              <w:bottom w:val="single" w:sz="4" w:space="0" w:color="auto"/>
              <w:right w:val="nil"/>
            </w:tcBorders>
            <w:shd w:val="clear" w:color="auto" w:fill="C6D9F1"/>
            <w:vAlign w:val="center"/>
            <w:hideMark/>
          </w:tcPr>
          <w:p w:rsidR="000A0481" w:rsidRPr="00371284" w:rsidRDefault="000A0481" w:rsidP="000A0481">
            <w:pPr>
              <w:keepNext/>
              <w:keepLines/>
              <w:jc w:val="center"/>
              <w:rPr>
                <w:rFonts w:eastAsia="Times New Roman"/>
                <w:b/>
                <w:bCs/>
                <w:sz w:val="18"/>
                <w:szCs w:val="18"/>
              </w:rPr>
            </w:pPr>
            <w:r w:rsidRPr="00371284">
              <w:rPr>
                <w:rFonts w:eastAsia="Times New Roman"/>
                <w:b/>
                <w:bCs/>
                <w:sz w:val="18"/>
                <w:szCs w:val="18"/>
              </w:rPr>
              <w:t>Indicadores de rendimiento</w:t>
            </w:r>
          </w:p>
        </w:tc>
        <w:tc>
          <w:tcPr>
            <w:tcW w:w="1920" w:type="dxa"/>
            <w:tcBorders>
              <w:top w:val="single" w:sz="4" w:space="0" w:color="auto"/>
              <w:left w:val="nil"/>
              <w:bottom w:val="single" w:sz="4" w:space="0" w:color="auto"/>
              <w:right w:val="nil"/>
            </w:tcBorders>
            <w:shd w:val="clear" w:color="auto" w:fill="C6D9F1"/>
            <w:vAlign w:val="center"/>
            <w:hideMark/>
          </w:tcPr>
          <w:p w:rsidR="000A0481" w:rsidRPr="00371284" w:rsidRDefault="000A0481" w:rsidP="000A0481">
            <w:pPr>
              <w:keepNext/>
              <w:keepLines/>
              <w:jc w:val="center"/>
              <w:rPr>
                <w:rFonts w:eastAsia="Times New Roman"/>
                <w:b/>
                <w:bCs/>
                <w:sz w:val="18"/>
                <w:szCs w:val="18"/>
              </w:rPr>
            </w:pPr>
            <w:r w:rsidRPr="00371284">
              <w:rPr>
                <w:rFonts w:eastAsia="Times New Roman"/>
                <w:b/>
                <w:bCs/>
                <w:sz w:val="18"/>
                <w:szCs w:val="18"/>
              </w:rPr>
              <w:t>Referencia</w:t>
            </w:r>
          </w:p>
        </w:tc>
        <w:tc>
          <w:tcPr>
            <w:tcW w:w="2289" w:type="dxa"/>
            <w:tcBorders>
              <w:top w:val="single" w:sz="4" w:space="0" w:color="auto"/>
              <w:left w:val="nil"/>
              <w:bottom w:val="single" w:sz="4" w:space="0" w:color="auto"/>
              <w:right w:val="single" w:sz="4" w:space="0" w:color="auto"/>
            </w:tcBorders>
            <w:shd w:val="clear" w:color="auto" w:fill="C6D9F1"/>
            <w:vAlign w:val="center"/>
            <w:hideMark/>
          </w:tcPr>
          <w:p w:rsidR="000A0481" w:rsidRPr="00371284" w:rsidRDefault="000A0481" w:rsidP="000A0481">
            <w:pPr>
              <w:keepNext/>
              <w:keepLines/>
              <w:jc w:val="center"/>
              <w:rPr>
                <w:rFonts w:eastAsia="Times New Roman"/>
                <w:b/>
                <w:bCs/>
                <w:sz w:val="18"/>
                <w:szCs w:val="18"/>
              </w:rPr>
            </w:pPr>
            <w:r w:rsidRPr="00371284">
              <w:rPr>
                <w:rFonts w:eastAsia="Times New Roman"/>
                <w:b/>
                <w:bCs/>
                <w:sz w:val="18"/>
                <w:szCs w:val="18"/>
              </w:rPr>
              <w:t>Objetivos</w:t>
            </w:r>
          </w:p>
        </w:tc>
      </w:tr>
      <w:tr w:rsidR="000A0481" w:rsidRPr="00371284" w:rsidTr="000A0481">
        <w:trPr>
          <w:trHeight w:val="1316"/>
        </w:trPr>
        <w:tc>
          <w:tcPr>
            <w:tcW w:w="2440" w:type="dxa"/>
            <w:tcBorders>
              <w:top w:val="nil"/>
              <w:left w:val="single" w:sz="4" w:space="0" w:color="auto"/>
              <w:bottom w:val="nil"/>
              <w:right w:val="nil"/>
            </w:tcBorders>
            <w:shd w:val="clear" w:color="000000" w:fill="FFFFFF"/>
            <w:hideMark/>
          </w:tcPr>
          <w:p w:rsidR="000A0481" w:rsidRPr="00DB14B1" w:rsidRDefault="000A0481" w:rsidP="000A0481">
            <w:pPr>
              <w:rPr>
                <w:rFonts w:eastAsia="Times New Roman"/>
                <w:sz w:val="16"/>
                <w:szCs w:val="16"/>
              </w:rPr>
            </w:pPr>
            <w:r w:rsidRPr="00DB14B1">
              <w:rPr>
                <w:rFonts w:eastAsia="Times New Roman"/>
                <w:sz w:val="16"/>
                <w:szCs w:val="16"/>
              </w:rPr>
              <w:t xml:space="preserve">III.3  </w:t>
            </w:r>
            <w:r w:rsidR="00B74100" w:rsidRPr="00DB14B1">
              <w:rPr>
                <w:sz w:val="16"/>
                <w:szCs w:val="16"/>
                <w:lang w:val="es-ES_tradnl"/>
              </w:rPr>
              <w:t>Incorporación de las recomendaciones de la Agenda para el Desarrollo en la labor de la OMPI</w:t>
            </w:r>
          </w:p>
        </w:tc>
        <w:tc>
          <w:tcPr>
            <w:tcW w:w="2580" w:type="dxa"/>
            <w:tcBorders>
              <w:top w:val="nil"/>
              <w:left w:val="nil"/>
              <w:bottom w:val="nil"/>
              <w:right w:val="nil"/>
            </w:tcBorders>
            <w:shd w:val="clear" w:color="000000" w:fill="FFFFFF"/>
            <w:hideMark/>
          </w:tcPr>
          <w:p w:rsidR="000A0481" w:rsidRPr="00371284" w:rsidRDefault="000A0481" w:rsidP="000A0481">
            <w:pPr>
              <w:ind w:left="161" w:firstLineChars="99" w:firstLine="158"/>
              <w:rPr>
                <w:rFonts w:eastAsia="Times New Roman"/>
                <w:sz w:val="16"/>
                <w:szCs w:val="16"/>
              </w:rPr>
            </w:pPr>
            <w:r w:rsidRPr="00371284">
              <w:rPr>
                <w:rFonts w:eastAsia="Times New Roman"/>
                <w:sz w:val="16"/>
                <w:szCs w:val="16"/>
              </w:rPr>
              <w:br/>
              <w:t>Los principios relativos al desarrollo incluidos en las recomendaciones de la A.D. se incorporan efectivamente en la labor de los programas de la OMPI</w:t>
            </w:r>
            <w:r w:rsidR="00DB14B1">
              <w:rPr>
                <w:rFonts w:eastAsia="Times New Roman"/>
                <w:sz w:val="16"/>
                <w:szCs w:val="16"/>
              </w:rPr>
              <w:br/>
            </w:r>
          </w:p>
        </w:tc>
        <w:tc>
          <w:tcPr>
            <w:tcW w:w="1920" w:type="dxa"/>
            <w:tcBorders>
              <w:top w:val="nil"/>
              <w:left w:val="nil"/>
              <w:bottom w:val="nil"/>
              <w:right w:val="nil"/>
            </w:tcBorders>
            <w:shd w:val="clear" w:color="000000" w:fill="FFFFFF"/>
            <w:hideMark/>
          </w:tcPr>
          <w:p w:rsidR="000A0481" w:rsidRPr="00371284" w:rsidRDefault="000A0481" w:rsidP="000A0481">
            <w:pPr>
              <w:ind w:left="274" w:firstLineChars="200" w:firstLine="320"/>
              <w:rPr>
                <w:rFonts w:eastAsia="Times New Roman"/>
                <w:sz w:val="16"/>
                <w:szCs w:val="16"/>
              </w:rPr>
            </w:pPr>
            <w:r w:rsidRPr="00371284">
              <w:rPr>
                <w:rFonts w:eastAsia="Times New Roman"/>
                <w:sz w:val="16"/>
                <w:szCs w:val="16"/>
              </w:rPr>
              <w:br/>
            </w: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0A0481" w:rsidRPr="00371284" w:rsidRDefault="000A0481" w:rsidP="000A0481">
            <w:pPr>
              <w:ind w:left="197" w:firstLineChars="76" w:firstLine="122"/>
              <w:rPr>
                <w:rFonts w:eastAsia="Times New Roman"/>
                <w:sz w:val="16"/>
                <w:szCs w:val="16"/>
              </w:rPr>
            </w:pPr>
            <w:r w:rsidRPr="00371284">
              <w:rPr>
                <w:rFonts w:eastAsia="Times New Roman"/>
                <w:sz w:val="16"/>
                <w:szCs w:val="16"/>
              </w:rPr>
              <w:br/>
              <w:t>Mayor integración de los principios incluidos en las 45 recomendaciones de la A.D. en los programas de la OMPI</w:t>
            </w:r>
          </w:p>
        </w:tc>
      </w:tr>
      <w:tr w:rsidR="000A0481" w:rsidRPr="00371284" w:rsidTr="000A0481">
        <w:trPr>
          <w:trHeight w:val="1130"/>
        </w:trPr>
        <w:tc>
          <w:tcPr>
            <w:tcW w:w="2440" w:type="dxa"/>
            <w:tcBorders>
              <w:top w:val="nil"/>
              <w:left w:val="single" w:sz="4" w:space="0" w:color="auto"/>
              <w:bottom w:val="nil"/>
              <w:right w:val="nil"/>
            </w:tcBorders>
            <w:shd w:val="clear" w:color="000000" w:fill="FFFFFF"/>
            <w:hideMark/>
          </w:tcPr>
          <w:p w:rsidR="000A0481" w:rsidRPr="00DB14B1" w:rsidRDefault="000A0481" w:rsidP="000A0481">
            <w:pPr>
              <w:rPr>
                <w:rFonts w:eastAsia="Times New Roman"/>
                <w:sz w:val="16"/>
                <w:szCs w:val="16"/>
              </w:rPr>
            </w:pPr>
            <w:r w:rsidRPr="00DB14B1">
              <w:rPr>
                <w:rFonts w:eastAsia="Times New Roman"/>
                <w:sz w:val="16"/>
                <w:szCs w:val="16"/>
              </w:rPr>
              <w:t> </w:t>
            </w:r>
          </w:p>
        </w:tc>
        <w:tc>
          <w:tcPr>
            <w:tcW w:w="2580" w:type="dxa"/>
            <w:tcBorders>
              <w:top w:val="nil"/>
              <w:left w:val="nil"/>
              <w:bottom w:val="nil"/>
              <w:right w:val="nil"/>
            </w:tcBorders>
            <w:shd w:val="clear" w:color="000000" w:fill="FFFFFF"/>
            <w:hideMark/>
          </w:tcPr>
          <w:p w:rsidR="000A0481" w:rsidRPr="00371284" w:rsidRDefault="000A0481" w:rsidP="000A0481">
            <w:pPr>
              <w:ind w:left="161"/>
              <w:rPr>
                <w:rFonts w:eastAsia="Times New Roman"/>
                <w:sz w:val="16"/>
                <w:szCs w:val="16"/>
              </w:rPr>
            </w:pPr>
            <w:r w:rsidRPr="00371284">
              <w:rPr>
                <w:rFonts w:eastAsia="Times New Roman"/>
                <w:sz w:val="16"/>
                <w:szCs w:val="16"/>
              </w:rPr>
              <w:t xml:space="preserve">Seguimiento adecuado de la aplicación de las  recomendaciones del examen independiente de la aplicación de las recomendaciones de la A.D. </w:t>
            </w:r>
          </w:p>
        </w:tc>
        <w:tc>
          <w:tcPr>
            <w:tcW w:w="1920" w:type="dxa"/>
            <w:tcBorders>
              <w:top w:val="nil"/>
              <w:left w:val="nil"/>
              <w:bottom w:val="nil"/>
              <w:right w:val="nil"/>
            </w:tcBorders>
            <w:shd w:val="clear" w:color="000000" w:fill="FFFFFF"/>
            <w:hideMark/>
          </w:tcPr>
          <w:p w:rsidR="000A0481" w:rsidRPr="00371284" w:rsidRDefault="000A0481" w:rsidP="000A0481">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0A0481" w:rsidRPr="00371284" w:rsidRDefault="000A0481" w:rsidP="000A0481">
            <w:pPr>
              <w:ind w:left="197"/>
              <w:rPr>
                <w:rFonts w:eastAsia="Times New Roman"/>
                <w:sz w:val="16"/>
                <w:szCs w:val="16"/>
              </w:rPr>
            </w:pPr>
            <w:r w:rsidRPr="00371284">
              <w:rPr>
                <w:rFonts w:eastAsia="Times New Roman"/>
                <w:sz w:val="16"/>
                <w:szCs w:val="16"/>
              </w:rPr>
              <w:t>La OMPI pone en marcha un sistema eficaz para supervisar la aplicación de las recomendaciones resultantes del examen</w:t>
            </w:r>
          </w:p>
          <w:p w:rsidR="000A0481" w:rsidRPr="00371284" w:rsidRDefault="000A0481" w:rsidP="000A0481">
            <w:pPr>
              <w:ind w:left="197"/>
              <w:rPr>
                <w:rFonts w:eastAsia="Times New Roman"/>
                <w:sz w:val="16"/>
                <w:szCs w:val="16"/>
              </w:rPr>
            </w:pPr>
          </w:p>
        </w:tc>
      </w:tr>
      <w:tr w:rsidR="000A0481" w:rsidRPr="00371284" w:rsidTr="000A0481">
        <w:trPr>
          <w:trHeight w:val="1557"/>
        </w:trPr>
        <w:tc>
          <w:tcPr>
            <w:tcW w:w="2440" w:type="dxa"/>
            <w:tcBorders>
              <w:top w:val="nil"/>
              <w:left w:val="single" w:sz="4" w:space="0" w:color="auto"/>
              <w:bottom w:val="nil"/>
              <w:right w:val="nil"/>
            </w:tcBorders>
            <w:shd w:val="clear" w:color="000000" w:fill="FFFFFF"/>
            <w:hideMark/>
          </w:tcPr>
          <w:p w:rsidR="000A0481" w:rsidRPr="00DB14B1" w:rsidRDefault="000A0481" w:rsidP="000A0481">
            <w:pPr>
              <w:rPr>
                <w:rFonts w:eastAsia="Times New Roman"/>
                <w:sz w:val="16"/>
                <w:szCs w:val="16"/>
              </w:rPr>
            </w:pPr>
            <w:r w:rsidRPr="00DB14B1">
              <w:rPr>
                <w:rFonts w:eastAsia="Times New Roman"/>
                <w:sz w:val="16"/>
                <w:szCs w:val="16"/>
              </w:rPr>
              <w:t> </w:t>
            </w:r>
          </w:p>
        </w:tc>
        <w:tc>
          <w:tcPr>
            <w:tcW w:w="2580" w:type="dxa"/>
            <w:tcBorders>
              <w:top w:val="nil"/>
              <w:left w:val="nil"/>
              <w:bottom w:val="nil"/>
              <w:right w:val="nil"/>
            </w:tcBorders>
            <w:shd w:val="clear" w:color="000000" w:fill="FFFFFF"/>
            <w:hideMark/>
          </w:tcPr>
          <w:p w:rsidR="000A0481" w:rsidRPr="00371284" w:rsidRDefault="000A0481" w:rsidP="000A0481">
            <w:pPr>
              <w:ind w:left="161"/>
              <w:rPr>
                <w:rFonts w:eastAsia="Times New Roman"/>
                <w:sz w:val="16"/>
                <w:szCs w:val="16"/>
              </w:rPr>
            </w:pPr>
          </w:p>
          <w:p w:rsidR="000A0481" w:rsidRPr="00371284" w:rsidRDefault="000A0481" w:rsidP="00DB14B1">
            <w:pPr>
              <w:ind w:left="161"/>
              <w:rPr>
                <w:rFonts w:eastAsia="Times New Roman"/>
                <w:sz w:val="16"/>
                <w:szCs w:val="16"/>
              </w:rPr>
            </w:pPr>
            <w:r w:rsidRPr="00371284">
              <w:rPr>
                <w:rFonts w:eastAsia="Times New Roman"/>
                <w:sz w:val="16"/>
                <w:szCs w:val="16"/>
              </w:rPr>
              <w:t>Mecanismo mejorado para la elaboración, aplicación, supervisión</w:t>
            </w:r>
            <w:r w:rsidR="00DB14B1">
              <w:rPr>
                <w:rFonts w:eastAsia="Times New Roman"/>
                <w:sz w:val="16"/>
                <w:szCs w:val="16"/>
              </w:rPr>
              <w:t>,</w:t>
            </w:r>
            <w:r w:rsidRPr="00371284">
              <w:rPr>
                <w:rFonts w:eastAsia="Times New Roman"/>
                <w:sz w:val="16"/>
                <w:szCs w:val="16"/>
              </w:rPr>
              <w:t xml:space="preserve"> evaluación</w:t>
            </w:r>
            <w:r w:rsidR="00DB14B1">
              <w:rPr>
                <w:rFonts w:eastAsia="Times New Roman"/>
                <w:sz w:val="16"/>
                <w:szCs w:val="16"/>
              </w:rPr>
              <w:t xml:space="preserve"> y presentación de informes respecto</w:t>
            </w:r>
            <w:r w:rsidRPr="00371284">
              <w:rPr>
                <w:rFonts w:eastAsia="Times New Roman"/>
                <w:sz w:val="16"/>
                <w:szCs w:val="16"/>
              </w:rPr>
              <w:t xml:space="preserve"> de los nuevos proyectos y actividades de la A.D.</w:t>
            </w:r>
          </w:p>
        </w:tc>
        <w:tc>
          <w:tcPr>
            <w:tcW w:w="1920" w:type="dxa"/>
            <w:tcBorders>
              <w:top w:val="nil"/>
              <w:left w:val="nil"/>
              <w:bottom w:val="nil"/>
              <w:right w:val="nil"/>
            </w:tcBorders>
            <w:shd w:val="clear" w:color="000000" w:fill="FFFFFF"/>
            <w:hideMark/>
          </w:tcPr>
          <w:p w:rsidR="000A0481" w:rsidRPr="00371284" w:rsidRDefault="000A0481" w:rsidP="000A0481">
            <w:pPr>
              <w:ind w:left="274"/>
              <w:rPr>
                <w:rFonts w:eastAsia="Times New Roman"/>
                <w:sz w:val="16"/>
                <w:szCs w:val="16"/>
              </w:rPr>
            </w:pPr>
          </w:p>
          <w:p w:rsidR="000A0481" w:rsidRPr="00371284" w:rsidRDefault="000A0481" w:rsidP="000A0481">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(nuevos indicadores de rendimiento)</w:t>
            </w:r>
          </w:p>
        </w:tc>
        <w:tc>
          <w:tcPr>
            <w:tcW w:w="2289" w:type="dxa"/>
            <w:tcBorders>
              <w:top w:val="nil"/>
              <w:left w:val="nil"/>
              <w:bottom w:val="nil"/>
              <w:right w:val="single" w:sz="4" w:space="0" w:color="auto"/>
            </w:tcBorders>
            <w:shd w:val="clear" w:color="000000" w:fill="FFFFFF"/>
            <w:hideMark/>
          </w:tcPr>
          <w:p w:rsidR="000A0481" w:rsidRPr="00371284" w:rsidRDefault="000A0481" w:rsidP="000A0481">
            <w:pPr>
              <w:ind w:left="197"/>
              <w:rPr>
                <w:rFonts w:eastAsia="Times New Roman"/>
                <w:sz w:val="16"/>
                <w:szCs w:val="16"/>
              </w:rPr>
            </w:pPr>
          </w:p>
          <w:p w:rsidR="000A0481" w:rsidRPr="00371284" w:rsidRDefault="000A0481" w:rsidP="000A0481">
            <w:pPr>
              <w:ind w:left="197"/>
              <w:rPr>
                <w:rFonts w:eastAsia="Times New Roman"/>
                <w:sz w:val="16"/>
                <w:szCs w:val="16"/>
              </w:rPr>
            </w:pPr>
            <w:r w:rsidRPr="00371284">
              <w:rPr>
                <w:rFonts w:eastAsia="Times New Roman"/>
                <w:sz w:val="16"/>
                <w:szCs w:val="16"/>
              </w:rPr>
              <w:t>Nuevo mecanismo que tiene en cuenta las recomendaciones resultantes de las evaluaciones de los proyectos de la A.D., examinados durante las sesiones 12ª, 13ª, 14ª y 15ª del CDIP.</w:t>
            </w:r>
          </w:p>
          <w:p w:rsidR="000A0481" w:rsidRPr="00371284" w:rsidRDefault="000A0481" w:rsidP="000A0481">
            <w:pPr>
              <w:ind w:left="197"/>
              <w:rPr>
                <w:rFonts w:eastAsia="Times New Roman"/>
                <w:sz w:val="16"/>
                <w:szCs w:val="16"/>
              </w:rPr>
            </w:pPr>
          </w:p>
        </w:tc>
      </w:tr>
      <w:tr w:rsidR="000A0481" w:rsidRPr="00371284" w:rsidTr="000A0481">
        <w:trPr>
          <w:trHeight w:val="1410"/>
        </w:trPr>
        <w:tc>
          <w:tcPr>
            <w:tcW w:w="2440" w:type="dxa"/>
            <w:tcBorders>
              <w:top w:val="nil"/>
              <w:left w:val="single" w:sz="4" w:space="0" w:color="auto"/>
              <w:bottom w:val="nil"/>
              <w:right w:val="nil"/>
            </w:tcBorders>
            <w:shd w:val="clear" w:color="000000" w:fill="FFFFFF"/>
            <w:hideMark/>
          </w:tcPr>
          <w:p w:rsidR="000A0481" w:rsidRPr="00DB14B1" w:rsidRDefault="000A0481" w:rsidP="000A0481">
            <w:pPr>
              <w:rPr>
                <w:rFonts w:eastAsia="Times New Roman"/>
                <w:sz w:val="16"/>
                <w:szCs w:val="16"/>
              </w:rPr>
            </w:pPr>
            <w:r w:rsidRPr="00DB14B1">
              <w:rPr>
                <w:rFonts w:eastAsia="Times New Roman"/>
                <w:sz w:val="16"/>
                <w:szCs w:val="16"/>
              </w:rPr>
              <w:t xml:space="preserve">III.5 </w:t>
            </w:r>
            <w:r w:rsidR="00B74100" w:rsidRPr="00DB14B1">
              <w:rPr>
                <w:rFonts w:eastAsia="Times New Roman"/>
                <w:sz w:val="16"/>
                <w:szCs w:val="16"/>
              </w:rPr>
              <w:t xml:space="preserve"> </w:t>
            </w:r>
            <w:r w:rsidR="00B74100" w:rsidRPr="00DB14B1">
              <w:rPr>
                <w:sz w:val="16"/>
                <w:szCs w:val="16"/>
                <w:lang w:val="es-ES_tradnl"/>
              </w:rPr>
              <w:t>Mejor comprensión de la Agenda para el Desarrollo por los Estados miembros, las OIG, la sociedad civil y demás partes interesadas</w:t>
            </w:r>
          </w:p>
        </w:tc>
        <w:tc>
          <w:tcPr>
            <w:tcW w:w="2580" w:type="dxa"/>
            <w:tcBorders>
              <w:top w:val="nil"/>
              <w:left w:val="nil"/>
              <w:bottom w:val="nil"/>
              <w:right w:val="nil"/>
            </w:tcBorders>
            <w:shd w:val="clear" w:color="000000" w:fill="FFFFFF"/>
            <w:hideMark/>
          </w:tcPr>
          <w:p w:rsidR="000A0481" w:rsidRPr="00371284" w:rsidRDefault="000A0481" w:rsidP="000A0481">
            <w:pPr>
              <w:ind w:left="161"/>
              <w:rPr>
                <w:rFonts w:eastAsia="Times New Roman"/>
                <w:sz w:val="16"/>
                <w:szCs w:val="16"/>
              </w:rPr>
            </w:pPr>
            <w:r w:rsidRPr="00371284">
              <w:rPr>
                <w:rFonts w:eastAsia="Times New Roman"/>
                <w:sz w:val="16"/>
                <w:szCs w:val="16"/>
              </w:rPr>
              <w:t xml:space="preserve">Las actividades d asistencia técnica realizadas por la OMPI reflejan la dimensión relativa a la Agenda para el Desarrollo y los resultados de los proyectos de la A.D. </w:t>
            </w:r>
          </w:p>
          <w:p w:rsidR="000A0481" w:rsidRPr="00371284" w:rsidRDefault="000A0481" w:rsidP="000A0481">
            <w:pPr>
              <w:ind w:left="161"/>
              <w:rPr>
                <w:rFonts w:eastAsia="Times New Roman"/>
                <w:sz w:val="16"/>
                <w:szCs w:val="16"/>
              </w:rPr>
            </w:pPr>
          </w:p>
        </w:tc>
        <w:tc>
          <w:tcPr>
            <w:tcW w:w="1920" w:type="dxa"/>
            <w:tcBorders>
              <w:top w:val="nil"/>
              <w:left w:val="nil"/>
              <w:bottom w:val="nil"/>
              <w:right w:val="nil"/>
            </w:tcBorders>
            <w:shd w:val="clear" w:color="000000" w:fill="FFFFFF"/>
            <w:hideMark/>
          </w:tcPr>
          <w:p w:rsidR="000A0481" w:rsidRPr="00371284" w:rsidRDefault="000A0481" w:rsidP="000A0481">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.(nuevos indicadores de rendimiento)</w:t>
            </w:r>
          </w:p>
        </w:tc>
        <w:tc>
          <w:tcPr>
            <w:tcW w:w="2289" w:type="dxa"/>
            <w:tcBorders>
              <w:top w:val="nil"/>
              <w:left w:val="nil"/>
              <w:bottom w:val="nil"/>
              <w:right w:val="single" w:sz="4" w:space="0" w:color="auto"/>
            </w:tcBorders>
            <w:shd w:val="clear" w:color="000000" w:fill="FFFFFF"/>
            <w:hideMark/>
          </w:tcPr>
          <w:p w:rsidR="000A0481" w:rsidRPr="00371284" w:rsidRDefault="000A0481" w:rsidP="000A0481">
            <w:pPr>
              <w:ind w:left="197"/>
              <w:rPr>
                <w:rFonts w:eastAsia="Times New Roman"/>
                <w:sz w:val="16"/>
                <w:szCs w:val="16"/>
              </w:rPr>
            </w:pPr>
            <w:r w:rsidRPr="00371284">
              <w:rPr>
                <w:rFonts w:eastAsia="Times New Roman"/>
                <w:sz w:val="16"/>
                <w:szCs w:val="16"/>
              </w:rPr>
              <w:t>Se elabora un sistema que permite que todas las actividades de asistencia técnica se realicen de conformidad con los principios de la A.D.</w:t>
            </w:r>
          </w:p>
        </w:tc>
      </w:tr>
      <w:tr w:rsidR="000A0481" w:rsidRPr="00371284" w:rsidTr="000A0481">
        <w:trPr>
          <w:trHeight w:val="1228"/>
        </w:trPr>
        <w:tc>
          <w:tcPr>
            <w:tcW w:w="2440" w:type="dxa"/>
            <w:tcBorders>
              <w:top w:val="nil"/>
              <w:left w:val="single" w:sz="4" w:space="0" w:color="auto"/>
              <w:bottom w:val="single" w:sz="4" w:space="0" w:color="auto"/>
              <w:right w:val="nil"/>
            </w:tcBorders>
            <w:shd w:val="clear" w:color="000000" w:fill="FFFFFF"/>
            <w:hideMark/>
          </w:tcPr>
          <w:p w:rsidR="000A0481" w:rsidRPr="00371284" w:rsidRDefault="000A0481" w:rsidP="000A0481">
            <w:pPr>
              <w:rPr>
                <w:rFonts w:eastAsia="Times New Roman"/>
                <w:sz w:val="16"/>
                <w:szCs w:val="16"/>
              </w:rPr>
            </w:pPr>
            <w:r w:rsidRPr="00371284">
              <w:rPr>
                <w:rFonts w:eastAsia="Times New Roman"/>
                <w:sz w:val="16"/>
                <w:szCs w:val="16"/>
              </w:rPr>
              <w:t> </w:t>
            </w:r>
          </w:p>
        </w:tc>
        <w:tc>
          <w:tcPr>
            <w:tcW w:w="2580" w:type="dxa"/>
            <w:tcBorders>
              <w:top w:val="nil"/>
              <w:left w:val="nil"/>
              <w:bottom w:val="single" w:sz="4" w:space="0" w:color="auto"/>
              <w:right w:val="nil"/>
            </w:tcBorders>
            <w:shd w:val="clear" w:color="000000" w:fill="FFFFFF"/>
            <w:hideMark/>
          </w:tcPr>
          <w:p w:rsidR="000A0481" w:rsidRPr="00371284" w:rsidRDefault="000A0481" w:rsidP="000A0481">
            <w:pPr>
              <w:ind w:left="161"/>
              <w:rPr>
                <w:rFonts w:eastAsia="Times New Roman"/>
                <w:sz w:val="16"/>
                <w:szCs w:val="16"/>
              </w:rPr>
            </w:pPr>
            <w:r w:rsidRPr="00371284">
              <w:rPr>
                <w:rFonts w:eastAsia="Times New Roman"/>
                <w:sz w:val="16"/>
                <w:szCs w:val="16"/>
              </w:rPr>
              <w:t xml:space="preserve">Porcentaje de satisfacción de los participantes en los eventos de la Agenda para el Desarrollo de la OMPI dirigidos a los Estados miembros, la sociedad civil, las OIG y las partes interesadas </w:t>
            </w:r>
            <w:r w:rsidR="00DB14B1">
              <w:rPr>
                <w:rFonts w:eastAsia="Times New Roman"/>
                <w:sz w:val="16"/>
                <w:szCs w:val="16"/>
              </w:rPr>
              <w:br/>
            </w:r>
          </w:p>
        </w:tc>
        <w:tc>
          <w:tcPr>
            <w:tcW w:w="1920" w:type="dxa"/>
            <w:tcBorders>
              <w:top w:val="nil"/>
              <w:left w:val="nil"/>
              <w:bottom w:val="single" w:sz="4" w:space="0" w:color="auto"/>
              <w:right w:val="nil"/>
            </w:tcBorders>
            <w:shd w:val="clear" w:color="000000" w:fill="FFFFFF"/>
            <w:hideMark/>
          </w:tcPr>
          <w:p w:rsidR="000A0481" w:rsidRPr="00371284" w:rsidRDefault="000A0481" w:rsidP="000A0481">
            <w:pPr>
              <w:ind w:left="274"/>
              <w:rPr>
                <w:rFonts w:eastAsia="Times New Roman"/>
                <w:sz w:val="16"/>
                <w:szCs w:val="16"/>
              </w:rPr>
            </w:pPr>
            <w:proofErr w:type="spellStart"/>
            <w:r w:rsidRPr="00371284">
              <w:rPr>
                <w:rFonts w:eastAsia="Times New Roman"/>
                <w:sz w:val="16"/>
                <w:szCs w:val="16"/>
              </w:rPr>
              <w:t>n.d</w:t>
            </w:r>
            <w:proofErr w:type="spellEnd"/>
            <w:r w:rsidRPr="00371284">
              <w:rPr>
                <w:rFonts w:eastAsia="Times New Roman"/>
                <w:sz w:val="16"/>
                <w:szCs w:val="16"/>
              </w:rPr>
              <w:t>. en 2014 (según el informe sobre el rendimiento de los programas de 2014)</w:t>
            </w:r>
          </w:p>
        </w:tc>
        <w:tc>
          <w:tcPr>
            <w:tcW w:w="2289" w:type="dxa"/>
            <w:tcBorders>
              <w:top w:val="nil"/>
              <w:left w:val="nil"/>
              <w:bottom w:val="single" w:sz="4" w:space="0" w:color="auto"/>
              <w:right w:val="single" w:sz="4" w:space="0" w:color="auto"/>
            </w:tcBorders>
            <w:shd w:val="clear" w:color="000000" w:fill="FFFFFF"/>
            <w:hideMark/>
          </w:tcPr>
          <w:p w:rsidR="000A0481" w:rsidRPr="00371284" w:rsidRDefault="000A0481" w:rsidP="000A0481">
            <w:pPr>
              <w:ind w:left="197"/>
              <w:rPr>
                <w:rFonts w:eastAsia="Times New Roman"/>
                <w:sz w:val="16"/>
                <w:szCs w:val="16"/>
              </w:rPr>
            </w:pPr>
            <w:r w:rsidRPr="00371284">
              <w:rPr>
                <w:rFonts w:eastAsia="Times New Roman"/>
                <w:sz w:val="16"/>
                <w:szCs w:val="16"/>
              </w:rPr>
              <w:t>80%</w:t>
            </w:r>
          </w:p>
        </w:tc>
      </w:tr>
    </w:tbl>
    <w:p w:rsidR="000A0481" w:rsidRPr="00371284" w:rsidRDefault="000A0481" w:rsidP="000A0481">
      <w:pPr>
        <w:rPr>
          <w:sz w:val="20"/>
        </w:rPr>
      </w:pPr>
    </w:p>
    <w:p w:rsidR="000A0481" w:rsidRPr="00371284" w:rsidRDefault="000A0481" w:rsidP="000A0481">
      <w:pPr>
        <w:rPr>
          <w:sz w:val="20"/>
        </w:rPr>
      </w:pPr>
    </w:p>
    <w:p w:rsidR="000A0481" w:rsidRPr="00497DA7" w:rsidRDefault="001F63E6" w:rsidP="000A0481">
      <w:r w:rsidRPr="00497DA7">
        <w:t>RECURSOS PARA EL PROGRAMA 8</w:t>
      </w:r>
    </w:p>
    <w:p w:rsidR="000A0481" w:rsidRPr="00497DA7" w:rsidRDefault="000A0481" w:rsidP="00497DA7">
      <w:pPr>
        <w:jc w:val="both"/>
        <w:rPr>
          <w:sz w:val="20"/>
        </w:rPr>
      </w:pPr>
    </w:p>
    <w:p w:rsidR="000A0481" w:rsidRPr="00497DA7" w:rsidRDefault="00497DA7" w:rsidP="000A0481">
      <w:pPr>
        <w:pStyle w:val="ListParagraph"/>
        <w:numPr>
          <w:ilvl w:val="1"/>
          <w:numId w:val="24"/>
        </w:numPr>
        <w:tabs>
          <w:tab w:val="left" w:pos="567"/>
        </w:tabs>
        <w:autoSpaceDE w:val="0"/>
        <w:autoSpaceDN w:val="0"/>
        <w:adjustRightInd w:val="0"/>
        <w:jc w:val="both"/>
        <w:rPr>
          <w:rFonts w:ascii="Arial" w:hAnsi="Arial" w:cs="Arial"/>
          <w:sz w:val="20"/>
          <w:lang w:val="es-ES"/>
        </w:rPr>
      </w:pPr>
      <w:r w:rsidRPr="00EB43D0">
        <w:rPr>
          <w:rFonts w:ascii="Arial" w:hAnsi="Arial" w:cs="Arial"/>
          <w:sz w:val="20"/>
          <w:szCs w:val="20"/>
          <w:lang w:val="es-ES_tradnl"/>
        </w:rPr>
        <w:t>L</w:t>
      </w:r>
      <w:r w:rsidR="00F57A93">
        <w:rPr>
          <w:rFonts w:ascii="Arial" w:hAnsi="Arial" w:cs="Arial"/>
          <w:sz w:val="20"/>
          <w:szCs w:val="20"/>
          <w:lang w:val="es-ES_tradnl"/>
        </w:rPr>
        <w:t>a dotación global de</w:t>
      </w:r>
      <w:r w:rsidRPr="00EB43D0">
        <w:rPr>
          <w:rFonts w:ascii="Arial" w:hAnsi="Arial" w:cs="Arial"/>
          <w:sz w:val="20"/>
          <w:szCs w:val="20"/>
          <w:lang w:val="es-ES_tradnl"/>
        </w:rPr>
        <w:t xml:space="preserve"> recursos </w:t>
      </w:r>
      <w:r w:rsidR="00F57A93">
        <w:rPr>
          <w:rFonts w:ascii="Arial" w:hAnsi="Arial" w:cs="Arial"/>
          <w:sz w:val="20"/>
          <w:szCs w:val="20"/>
          <w:lang w:val="es-ES_tradnl"/>
        </w:rPr>
        <w:t xml:space="preserve">para </w:t>
      </w:r>
      <w:r w:rsidRPr="00EB43D0">
        <w:rPr>
          <w:rFonts w:ascii="Arial" w:hAnsi="Arial" w:cs="Arial"/>
          <w:sz w:val="20"/>
          <w:szCs w:val="20"/>
          <w:lang w:val="es-ES_tradnl"/>
        </w:rPr>
        <w:t xml:space="preserve">el programa 8 en el bienio 2016/17 se mantiene al mismo nivel que </w:t>
      </w:r>
      <w:r w:rsidR="00F57A93">
        <w:rPr>
          <w:rFonts w:ascii="Arial" w:hAnsi="Arial" w:cs="Arial"/>
          <w:sz w:val="20"/>
          <w:szCs w:val="20"/>
          <w:lang w:val="es-ES_tradnl"/>
        </w:rPr>
        <w:t>en</w:t>
      </w:r>
      <w:r w:rsidRPr="00EB43D0">
        <w:rPr>
          <w:rFonts w:ascii="Arial" w:hAnsi="Arial" w:cs="Arial"/>
          <w:sz w:val="20"/>
          <w:szCs w:val="20"/>
          <w:lang w:val="es-ES_tradnl"/>
        </w:rPr>
        <w:t xml:space="preserve"> el presupuesto de 2014/</w:t>
      </w:r>
      <w:r w:rsidR="00ED0A05">
        <w:rPr>
          <w:rFonts w:ascii="Arial" w:hAnsi="Arial" w:cs="Arial"/>
          <w:sz w:val="20"/>
          <w:szCs w:val="20"/>
          <w:lang w:val="es-ES_tradnl"/>
        </w:rPr>
        <w:t>15 tras las</w:t>
      </w:r>
      <w:r w:rsidRPr="00EB43D0">
        <w:rPr>
          <w:rFonts w:ascii="Arial" w:hAnsi="Arial" w:cs="Arial"/>
          <w:sz w:val="20"/>
          <w:szCs w:val="20"/>
          <w:lang w:val="es-ES_tradnl"/>
        </w:rPr>
        <w:t xml:space="preserve"> transferencias.  Las diferencias en los recursos que se observan en los resultados previstos III.3 y III.5 se deben principalmente al aplazamiento de la Conferencia Internacional sobre P.I. y Desarrollo de 2014/15 a 2016/17, y al especial hincapié que se hace en la actividades de la Agenda para el Desarrollo de la OMPI dirigidas a los Estados miembros, las OIG, la sociedad civil y otras partes interesadas.  Como consecuencia, se destinan más recursos a las actividades a realizar en el marco del resultado previsto III.5.</w:t>
      </w:r>
    </w:p>
    <w:p w:rsidR="000A0481" w:rsidRPr="00497DA7" w:rsidRDefault="000A0481" w:rsidP="000A0481">
      <w:pPr>
        <w:jc w:val="both"/>
        <w:rPr>
          <w:sz w:val="20"/>
        </w:rPr>
      </w:pPr>
    </w:p>
    <w:p w:rsidR="000A0481" w:rsidRPr="00497DA7" w:rsidRDefault="000A0481" w:rsidP="000A0481">
      <w:pPr>
        <w:rPr>
          <w:sz w:val="20"/>
        </w:rPr>
      </w:pPr>
    </w:p>
    <w:p w:rsidR="000A0481" w:rsidRPr="00497DA7" w:rsidRDefault="000A0481" w:rsidP="000A0481">
      <w:pPr>
        <w:pStyle w:val="ListParagraph"/>
        <w:keepNext/>
        <w:keepLines/>
        <w:spacing w:after="240"/>
        <w:jc w:val="center"/>
        <w:rPr>
          <w:rFonts w:ascii="Arial" w:hAnsi="Arial" w:cs="Arial"/>
          <w:b/>
          <w:sz w:val="20"/>
          <w:lang w:val="es-ES_tradnl"/>
        </w:rPr>
      </w:pPr>
      <w:r w:rsidRPr="00497DA7">
        <w:rPr>
          <w:rFonts w:ascii="Arial" w:hAnsi="Arial" w:cs="Arial"/>
          <w:b/>
          <w:sz w:val="20"/>
          <w:lang w:val="es-ES_tradnl"/>
        </w:rPr>
        <w:lastRenderedPageBreak/>
        <w:t>Program</w:t>
      </w:r>
      <w:r w:rsidR="001F63E6" w:rsidRPr="00497DA7">
        <w:rPr>
          <w:rFonts w:ascii="Arial" w:hAnsi="Arial" w:cs="Arial"/>
          <w:b/>
          <w:sz w:val="20"/>
          <w:lang w:val="es-ES_tradnl"/>
        </w:rPr>
        <w:t>a</w:t>
      </w:r>
      <w:r w:rsidRPr="00497DA7">
        <w:rPr>
          <w:rFonts w:ascii="Arial" w:hAnsi="Arial" w:cs="Arial"/>
          <w:b/>
          <w:sz w:val="20"/>
          <w:lang w:val="es-ES_tradnl"/>
        </w:rPr>
        <w:t xml:space="preserve"> 8</w:t>
      </w:r>
      <w:proofErr w:type="gramStart"/>
      <w:r w:rsidRPr="00497DA7">
        <w:rPr>
          <w:rFonts w:ascii="Arial" w:hAnsi="Arial" w:cs="Arial"/>
          <w:b/>
          <w:sz w:val="20"/>
          <w:lang w:val="es-ES_tradnl"/>
        </w:rPr>
        <w:t xml:space="preserve">: </w:t>
      </w:r>
      <w:r w:rsidR="00736AC4">
        <w:rPr>
          <w:rFonts w:ascii="Arial" w:hAnsi="Arial" w:cs="Arial"/>
          <w:b/>
          <w:sz w:val="20"/>
          <w:lang w:val="es-ES_tradnl"/>
        </w:rPr>
        <w:t xml:space="preserve"> </w:t>
      </w:r>
      <w:r w:rsidRPr="00497DA7">
        <w:rPr>
          <w:rFonts w:ascii="Arial" w:hAnsi="Arial" w:cs="Arial"/>
          <w:b/>
          <w:sz w:val="20"/>
          <w:lang w:val="es-ES_tradnl"/>
        </w:rPr>
        <w:t>Re</w:t>
      </w:r>
      <w:r w:rsidR="001F63E6" w:rsidRPr="00497DA7">
        <w:rPr>
          <w:rFonts w:ascii="Arial" w:hAnsi="Arial" w:cs="Arial"/>
          <w:b/>
          <w:sz w:val="20"/>
          <w:lang w:val="es-ES_tradnl"/>
        </w:rPr>
        <w:t>cursos</w:t>
      </w:r>
      <w:proofErr w:type="gramEnd"/>
      <w:r w:rsidR="001F63E6" w:rsidRPr="00497DA7">
        <w:rPr>
          <w:rFonts w:ascii="Arial" w:hAnsi="Arial" w:cs="Arial"/>
          <w:b/>
          <w:sz w:val="20"/>
          <w:lang w:val="es-ES_tradnl"/>
        </w:rPr>
        <w:t xml:space="preserve"> por resultado</w:t>
      </w:r>
    </w:p>
    <w:p w:rsidR="000A0481" w:rsidRPr="00497DA7" w:rsidRDefault="000A0481" w:rsidP="000A0481">
      <w:pPr>
        <w:pStyle w:val="ListParagraph"/>
        <w:keepNext/>
        <w:keepLines/>
        <w:tabs>
          <w:tab w:val="left" w:pos="9072"/>
        </w:tabs>
        <w:spacing w:after="240"/>
        <w:jc w:val="center"/>
        <w:rPr>
          <w:rFonts w:ascii="Arial" w:hAnsi="Arial" w:cs="Arial"/>
          <w:i/>
          <w:sz w:val="20"/>
          <w:lang w:val="es-ES_tradnl"/>
        </w:rPr>
      </w:pPr>
      <w:r w:rsidRPr="00497DA7">
        <w:rPr>
          <w:rFonts w:ascii="Arial" w:hAnsi="Arial" w:cs="Arial"/>
          <w:i/>
          <w:sz w:val="20"/>
          <w:lang w:val="es-ES_tradnl"/>
        </w:rPr>
        <w:t>(</w:t>
      </w:r>
      <w:proofErr w:type="gramStart"/>
      <w:r w:rsidR="001F63E6" w:rsidRPr="00497DA7">
        <w:rPr>
          <w:rFonts w:ascii="Arial" w:hAnsi="Arial" w:cs="Arial"/>
          <w:i/>
          <w:sz w:val="20"/>
          <w:lang w:val="es-ES_tradnl"/>
        </w:rPr>
        <w:t>e</w:t>
      </w:r>
      <w:r w:rsidRPr="00497DA7">
        <w:rPr>
          <w:rFonts w:ascii="Arial" w:hAnsi="Arial" w:cs="Arial"/>
          <w:i/>
          <w:sz w:val="20"/>
          <w:lang w:val="es-ES_tradnl"/>
        </w:rPr>
        <w:t>n</w:t>
      </w:r>
      <w:proofErr w:type="gramEnd"/>
      <w:r w:rsidRPr="00497DA7">
        <w:rPr>
          <w:rFonts w:ascii="Arial" w:hAnsi="Arial" w:cs="Arial"/>
          <w:i/>
          <w:sz w:val="20"/>
          <w:lang w:val="es-ES_tradnl"/>
        </w:rPr>
        <w:t xml:space="preserve"> </w:t>
      </w:r>
      <w:r w:rsidR="001F63E6" w:rsidRPr="00497DA7">
        <w:rPr>
          <w:rFonts w:ascii="Arial" w:hAnsi="Arial" w:cs="Arial"/>
          <w:i/>
          <w:sz w:val="20"/>
          <w:lang w:val="es-ES_tradnl"/>
        </w:rPr>
        <w:t>miles de francos suizos</w:t>
      </w:r>
      <w:r w:rsidRPr="00497DA7">
        <w:rPr>
          <w:rFonts w:ascii="Arial" w:hAnsi="Arial" w:cs="Arial"/>
          <w:i/>
          <w:sz w:val="20"/>
          <w:lang w:val="es-ES_tradnl"/>
        </w:rPr>
        <w:t>)</w:t>
      </w:r>
    </w:p>
    <w:p w:rsidR="000A0481" w:rsidRPr="00497DA7" w:rsidRDefault="000A0481" w:rsidP="000A0481">
      <w:pPr>
        <w:pStyle w:val="ListParagraph"/>
        <w:keepNext/>
        <w:keepLines/>
        <w:spacing w:after="240"/>
        <w:ind w:left="284" w:firstLine="436"/>
        <w:jc w:val="center"/>
        <w:rPr>
          <w:rFonts w:ascii="Arial" w:hAnsi="Arial" w:cs="Arial"/>
          <w:i/>
          <w:sz w:val="20"/>
          <w:lang w:val="es-ES_tradnl"/>
        </w:rPr>
      </w:pPr>
    </w:p>
    <w:p w:rsidR="000A0481" w:rsidRPr="000A0481" w:rsidRDefault="00DB14B1" w:rsidP="000A0481">
      <w:pPr>
        <w:pStyle w:val="ListParagraph"/>
        <w:keepNext/>
        <w:keepLines/>
        <w:tabs>
          <w:tab w:val="left" w:pos="9072"/>
        </w:tabs>
        <w:spacing w:after="240"/>
        <w:ind w:left="0"/>
        <w:jc w:val="center"/>
        <w:rPr>
          <w:rFonts w:ascii="Arial" w:hAnsi="Arial" w:cs="Arial"/>
          <w:i/>
          <w:sz w:val="20"/>
          <w:highlight w:val="lightGray"/>
        </w:rPr>
      </w:pPr>
      <w:r w:rsidRPr="00DB14B1">
        <w:rPr>
          <w:noProof/>
          <w:lang w:eastAsia="en-US"/>
        </w:rPr>
        <w:drawing>
          <wp:inline distT="0" distB="0" distL="0" distR="0">
            <wp:extent cx="5486400" cy="1616710"/>
            <wp:effectExtent l="0" t="0" r="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86400" cy="1616710"/>
                    </a:xfrm>
                    <a:prstGeom prst="rect">
                      <a:avLst/>
                    </a:prstGeom>
                    <a:noFill/>
                    <a:ln>
                      <a:noFill/>
                    </a:ln>
                  </pic:spPr>
                </pic:pic>
              </a:graphicData>
            </a:graphic>
          </wp:inline>
        </w:drawing>
      </w:r>
    </w:p>
    <w:p w:rsidR="000A0481" w:rsidRPr="000A0481" w:rsidRDefault="000A0481" w:rsidP="000A0481">
      <w:pPr>
        <w:pStyle w:val="ListParagraph"/>
        <w:spacing w:after="240"/>
        <w:jc w:val="center"/>
        <w:rPr>
          <w:rFonts w:ascii="Arial" w:hAnsi="Arial" w:cs="Arial"/>
          <w:i/>
          <w:sz w:val="20"/>
          <w:highlight w:val="lightGray"/>
        </w:rPr>
      </w:pPr>
    </w:p>
    <w:p w:rsidR="000A0481" w:rsidRPr="00736AC4" w:rsidRDefault="000A0481" w:rsidP="001F63E6">
      <w:pPr>
        <w:pStyle w:val="ListParagraph"/>
        <w:spacing w:after="240"/>
        <w:ind w:left="0"/>
        <w:jc w:val="center"/>
        <w:rPr>
          <w:rFonts w:ascii="Arial" w:hAnsi="Arial" w:cs="Arial"/>
          <w:sz w:val="20"/>
          <w:highlight w:val="lightGray"/>
        </w:rPr>
      </w:pPr>
    </w:p>
    <w:p w:rsidR="001F63E6" w:rsidRPr="00736AC4" w:rsidRDefault="001F63E6" w:rsidP="00DA5DA3">
      <w:pPr>
        <w:pStyle w:val="ListParagraph"/>
        <w:keepNext/>
        <w:keepLines/>
        <w:spacing w:after="240"/>
        <w:ind w:left="0"/>
        <w:jc w:val="center"/>
        <w:rPr>
          <w:rFonts w:ascii="Arial" w:hAnsi="Arial" w:cs="Arial"/>
          <w:b/>
          <w:sz w:val="20"/>
          <w:lang w:val="es-ES_tradnl"/>
        </w:rPr>
      </w:pPr>
      <w:r w:rsidRPr="00736AC4">
        <w:rPr>
          <w:rFonts w:ascii="Arial" w:hAnsi="Arial" w:cs="Arial"/>
          <w:b/>
          <w:sz w:val="20"/>
          <w:lang w:val="es-ES_tradnl"/>
        </w:rPr>
        <w:t>Programa 8</w:t>
      </w:r>
      <w:proofErr w:type="gramStart"/>
      <w:r w:rsidR="005012AC">
        <w:rPr>
          <w:rFonts w:ascii="Arial" w:hAnsi="Arial" w:cs="Arial"/>
          <w:b/>
          <w:sz w:val="20"/>
          <w:lang w:val="es-ES_tradnl"/>
        </w:rPr>
        <w:t>:  Recursos</w:t>
      </w:r>
      <w:proofErr w:type="gramEnd"/>
      <w:r w:rsidR="005012AC">
        <w:rPr>
          <w:rFonts w:ascii="Arial" w:hAnsi="Arial" w:cs="Arial"/>
          <w:b/>
          <w:sz w:val="20"/>
          <w:lang w:val="es-ES_tradnl"/>
        </w:rPr>
        <w:t xml:space="preserve"> por objeto de gasto</w:t>
      </w:r>
    </w:p>
    <w:p w:rsidR="000A0481" w:rsidRPr="001F63E6" w:rsidRDefault="001F63E6" w:rsidP="00DA5DA3">
      <w:pPr>
        <w:pStyle w:val="ListParagraph"/>
        <w:keepNext/>
        <w:keepLines/>
        <w:spacing w:after="240"/>
        <w:ind w:left="0"/>
        <w:jc w:val="center"/>
        <w:rPr>
          <w:rFonts w:ascii="Arial" w:hAnsi="Arial" w:cs="Arial"/>
          <w:i/>
          <w:sz w:val="20"/>
          <w:highlight w:val="lightGray"/>
          <w:lang w:val="es-ES_tradnl"/>
        </w:rPr>
      </w:pPr>
      <w:r w:rsidRPr="00736AC4">
        <w:rPr>
          <w:rFonts w:ascii="Arial" w:hAnsi="Arial" w:cs="Arial"/>
          <w:i/>
          <w:sz w:val="20"/>
          <w:lang w:val="es-ES_tradnl"/>
        </w:rPr>
        <w:t>(</w:t>
      </w:r>
      <w:proofErr w:type="gramStart"/>
      <w:r w:rsidRPr="00736AC4">
        <w:rPr>
          <w:rFonts w:ascii="Arial" w:hAnsi="Arial" w:cs="Arial"/>
          <w:i/>
          <w:sz w:val="20"/>
          <w:lang w:val="es-ES_tradnl"/>
        </w:rPr>
        <w:t>en</w:t>
      </w:r>
      <w:proofErr w:type="gramEnd"/>
      <w:r w:rsidRPr="00736AC4">
        <w:rPr>
          <w:rFonts w:ascii="Arial" w:hAnsi="Arial" w:cs="Arial"/>
          <w:i/>
          <w:sz w:val="20"/>
          <w:lang w:val="es-ES_tradnl"/>
        </w:rPr>
        <w:t xml:space="preserve"> miles de francos suizos</w:t>
      </w:r>
      <w:r w:rsidRPr="00452A7E">
        <w:rPr>
          <w:rFonts w:ascii="Arial" w:hAnsi="Arial" w:cs="Arial"/>
          <w:i/>
          <w:color w:val="808080"/>
          <w:sz w:val="20"/>
          <w:lang w:val="es-ES_tradnl"/>
        </w:rPr>
        <w:t>)</w:t>
      </w:r>
    </w:p>
    <w:p w:rsidR="000A0481" w:rsidRPr="001F63E6" w:rsidRDefault="000A0481" w:rsidP="001F63E6">
      <w:pPr>
        <w:pStyle w:val="ListParagraph"/>
        <w:keepNext/>
        <w:keepLines/>
        <w:ind w:left="0"/>
        <w:jc w:val="center"/>
        <w:rPr>
          <w:rFonts w:ascii="Arial" w:hAnsi="Arial" w:cs="Arial"/>
          <w:sz w:val="20"/>
          <w:highlight w:val="lightGray"/>
          <w:lang w:val="es-ES_tradnl"/>
        </w:rPr>
      </w:pPr>
    </w:p>
    <w:p w:rsidR="000A0481" w:rsidRPr="009B4A78" w:rsidRDefault="00835617" w:rsidP="000A0481">
      <w:pPr>
        <w:jc w:val="center"/>
        <w:rPr>
          <w:sz w:val="20"/>
        </w:rPr>
      </w:pPr>
      <w:r>
        <w:rPr>
          <w:noProof/>
          <w:lang w:val="en-US" w:eastAsia="en-US"/>
        </w:rPr>
        <w:drawing>
          <wp:inline distT="0" distB="0" distL="0" distR="0" wp14:anchorId="1AE6E3AC" wp14:editId="26B8F89B">
            <wp:extent cx="5940425" cy="6080050"/>
            <wp:effectExtent l="0" t="0" r="3175"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0425" cy="6080050"/>
                    </a:xfrm>
                    <a:prstGeom prst="rect">
                      <a:avLst/>
                    </a:prstGeom>
                    <a:noFill/>
                    <a:ln>
                      <a:noFill/>
                    </a:ln>
                  </pic:spPr>
                </pic:pic>
              </a:graphicData>
            </a:graphic>
          </wp:inline>
        </w:drawing>
      </w:r>
    </w:p>
    <w:p w:rsidR="000A0481" w:rsidRDefault="000A0481" w:rsidP="000A0481">
      <w:pPr>
        <w:rPr>
          <w:sz w:val="20"/>
        </w:rPr>
      </w:pPr>
    </w:p>
    <w:p w:rsidR="000A0481" w:rsidRDefault="000A0481">
      <w:pPr>
        <w:rPr>
          <w:szCs w:val="22"/>
        </w:rPr>
      </w:pPr>
      <w:r>
        <w:rPr>
          <w:szCs w:val="22"/>
        </w:rPr>
        <w:br w:type="page"/>
      </w:r>
    </w:p>
    <w:p w:rsidR="000A0481" w:rsidRPr="00B8795A" w:rsidRDefault="000A0481" w:rsidP="00B8795A">
      <w:pPr>
        <w:pStyle w:val="StyleStyleHeading3ComplexItalicLatin12pt"/>
        <w:ind w:left="1985" w:hanging="1985"/>
        <w:rPr>
          <w:lang w:val="es-ES"/>
        </w:rPr>
      </w:pPr>
      <w:bookmarkStart w:id="42" w:name="_Toc420681142"/>
      <w:r w:rsidRPr="00B8795A">
        <w:rPr>
          <w:lang w:val="es-ES"/>
        </w:rPr>
        <w:lastRenderedPageBreak/>
        <w:t>PROGRAMA 9</w:t>
      </w:r>
      <w:r w:rsidRPr="00B8795A">
        <w:rPr>
          <w:lang w:val="es-ES"/>
        </w:rPr>
        <w:tab/>
        <w:t>PAÍSES AFRICANOS, ÁRABES, DE AMÉRICA LATINA Y EL CARIBE,</w:t>
      </w:r>
      <w:r w:rsidR="00B8795A" w:rsidRPr="00B8795A">
        <w:rPr>
          <w:lang w:val="es-ES"/>
        </w:rPr>
        <w:t xml:space="preserve"> </w:t>
      </w:r>
      <w:r w:rsidRPr="00B8795A">
        <w:rPr>
          <w:lang w:val="es-ES"/>
        </w:rPr>
        <w:t>DE ASIA Y EL PACÍFICO, Y PAÍSES MENOS ADEL</w:t>
      </w:r>
      <w:r w:rsidR="00DA31CA">
        <w:rPr>
          <w:lang w:val="es-ES"/>
        </w:rPr>
        <w:t>ANTADOS</w:t>
      </w:r>
      <w:bookmarkEnd w:id="42"/>
    </w:p>
    <w:p w:rsidR="000A0481" w:rsidRPr="0037163B" w:rsidRDefault="000A0481" w:rsidP="000A0481">
      <w:pPr>
        <w:widowControl w:val="0"/>
        <w:jc w:val="both"/>
        <w:rPr>
          <w:bCs/>
        </w:rPr>
      </w:pPr>
    </w:p>
    <w:p w:rsidR="000A0481" w:rsidRPr="0037163B" w:rsidRDefault="000A0481" w:rsidP="000A0481">
      <w:pPr>
        <w:widowControl w:val="0"/>
        <w:jc w:val="both"/>
        <w:rPr>
          <w:bCs/>
        </w:rPr>
      </w:pPr>
    </w:p>
    <w:p w:rsidR="000A0481" w:rsidRPr="0037163B" w:rsidRDefault="000A0481" w:rsidP="000A0481">
      <w:pPr>
        <w:pStyle w:val="ListParagraph"/>
        <w:widowControl w:val="0"/>
        <w:tabs>
          <w:tab w:val="left" w:pos="709"/>
        </w:tabs>
        <w:spacing w:after="240"/>
        <w:ind w:left="0"/>
        <w:jc w:val="both"/>
        <w:rPr>
          <w:rFonts w:ascii="Arial" w:hAnsi="Arial" w:cs="Arial"/>
          <w:bCs/>
          <w:lang w:val="es-ES"/>
        </w:rPr>
      </w:pPr>
      <w:r w:rsidRPr="0037163B">
        <w:rPr>
          <w:rFonts w:ascii="Arial" w:hAnsi="Arial" w:cs="Arial"/>
          <w:bCs/>
          <w:lang w:val="es-ES"/>
        </w:rPr>
        <w:t>CONTEXTO DE PLANIFICACIÓN</w:t>
      </w:r>
    </w:p>
    <w:p w:rsidR="000A0481" w:rsidRDefault="000A0481" w:rsidP="000A0481">
      <w:pPr>
        <w:pStyle w:val="ListParagraph"/>
        <w:widowControl w:val="0"/>
        <w:tabs>
          <w:tab w:val="left" w:pos="709"/>
        </w:tabs>
        <w:spacing w:after="240"/>
        <w:ind w:left="0"/>
        <w:jc w:val="both"/>
        <w:rPr>
          <w:rFonts w:ascii="Arial" w:hAnsi="Arial" w:cs="Arial"/>
          <w:bCs/>
          <w:lang w:val="es-ES"/>
        </w:rPr>
      </w:pPr>
    </w:p>
    <w:p w:rsidR="000A0481" w:rsidRPr="0037163B" w:rsidRDefault="000A0481" w:rsidP="000A0481">
      <w:pPr>
        <w:pStyle w:val="ListParagraph"/>
        <w:widowControl w:val="0"/>
        <w:numPr>
          <w:ilvl w:val="0"/>
          <w:numId w:val="25"/>
        </w:numPr>
        <w:tabs>
          <w:tab w:val="left" w:pos="709"/>
        </w:tabs>
        <w:jc w:val="both"/>
        <w:rPr>
          <w:rFonts w:ascii="Arial" w:hAnsi="Arial" w:cs="Arial"/>
          <w:sz w:val="20"/>
          <w:lang w:val="es-ES"/>
        </w:rPr>
      </w:pPr>
      <w:r w:rsidRPr="0037163B">
        <w:rPr>
          <w:rFonts w:ascii="Arial" w:hAnsi="Arial" w:cs="Arial"/>
          <w:sz w:val="20"/>
          <w:lang w:val="es-ES"/>
        </w:rPr>
        <w:t>De conformidad con la meta estratégica III de la OMPI, el elemento fundamental del programa 9 sigue siendo la facilitación del uso de la P.I. para la promoción del desarrollo económico, social y cultural en los países en desarrollo y los PMA, contribuyendo así al logro de los objetivos de la Agenda para el Desarrollo después de</w:t>
      </w:r>
      <w:r w:rsidR="002E578C">
        <w:rPr>
          <w:rFonts w:ascii="Arial" w:hAnsi="Arial" w:cs="Arial"/>
          <w:sz w:val="20"/>
          <w:lang w:val="es-ES"/>
        </w:rPr>
        <w:t xml:space="preserve">l </w:t>
      </w:r>
      <w:r w:rsidRPr="0037163B">
        <w:rPr>
          <w:rFonts w:ascii="Arial" w:hAnsi="Arial" w:cs="Arial"/>
          <w:sz w:val="20"/>
          <w:lang w:val="es-ES"/>
        </w:rPr>
        <w:t>2015 y los Objetivos de Desarrollo Sostenible</w:t>
      </w:r>
      <w:r w:rsidR="002E578C">
        <w:rPr>
          <w:rFonts w:ascii="Arial" w:hAnsi="Arial" w:cs="Arial"/>
          <w:sz w:val="20"/>
          <w:lang w:val="es-ES"/>
        </w:rPr>
        <w:t xml:space="preserve"> (ODS)</w:t>
      </w:r>
      <w:r w:rsidRPr="0037163B">
        <w:rPr>
          <w:rFonts w:ascii="Arial" w:hAnsi="Arial" w:cs="Arial"/>
          <w:sz w:val="20"/>
          <w:lang w:val="es-ES"/>
        </w:rPr>
        <w:t>.  Por consiguiente, el objetivo central de este programa es propiciar el uso eficaz de la P.I. en pro del desarrollo en los Estados miembros de África, la región árabe, Asia y el Pacífico, y los países de América Latina y el Caribe.</w:t>
      </w:r>
    </w:p>
    <w:p w:rsidR="000A0481" w:rsidRPr="0037163B" w:rsidRDefault="000A0481" w:rsidP="000A0481">
      <w:pPr>
        <w:pStyle w:val="ListParagraph"/>
        <w:widowControl w:val="0"/>
        <w:tabs>
          <w:tab w:val="left" w:pos="709"/>
        </w:tabs>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jc w:val="both"/>
        <w:rPr>
          <w:rFonts w:ascii="Arial" w:hAnsi="Arial" w:cs="Arial"/>
          <w:sz w:val="20"/>
          <w:lang w:val="es-ES"/>
        </w:rPr>
      </w:pPr>
      <w:r w:rsidRPr="0037163B">
        <w:rPr>
          <w:rFonts w:ascii="Arial" w:hAnsi="Arial" w:cs="Arial"/>
          <w:sz w:val="20"/>
          <w:lang w:val="es-ES"/>
        </w:rPr>
        <w:t>El programa tiene por finalidad reforzar la capacidad de los países para utilizar el sistema P.I. como factor coadyuvante al logro de sus metas nacionales de desarrollo, potenciar su participación en la economía del conocimiento y la innovación a nivel mundial, en sintonía con las recomendaciones pertinentes de la Agenda para el Desarrollo (A.D.), y ayudarlos a elaborar y poner en marcha políticas nacionales de P.I. integrales, coherentes y debidamente coordinadas.</w:t>
      </w:r>
    </w:p>
    <w:p w:rsidR="000A0481" w:rsidRPr="0037163B" w:rsidRDefault="000A0481" w:rsidP="000A0481">
      <w:pPr>
        <w:pStyle w:val="ListParagraph"/>
        <w:widowControl w:val="0"/>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jc w:val="both"/>
        <w:rPr>
          <w:rFonts w:ascii="Arial" w:hAnsi="Arial" w:cs="Arial"/>
          <w:sz w:val="20"/>
          <w:lang w:val="es-ES"/>
        </w:rPr>
      </w:pPr>
      <w:r w:rsidRPr="0037163B">
        <w:rPr>
          <w:rFonts w:ascii="Arial" w:hAnsi="Arial" w:cs="Arial"/>
          <w:sz w:val="20"/>
          <w:lang w:val="es-ES"/>
        </w:rPr>
        <w:t>Para alcanzar esos objetivos será preciso superar varios desafíos importantes</w:t>
      </w:r>
      <w:r w:rsidR="00DB14B1">
        <w:rPr>
          <w:rFonts w:ascii="Arial" w:hAnsi="Arial" w:cs="Arial"/>
          <w:sz w:val="20"/>
          <w:lang w:val="es-ES"/>
        </w:rPr>
        <w:t>.  Se trata de</w:t>
      </w:r>
      <w:r w:rsidRPr="0037163B">
        <w:rPr>
          <w:rFonts w:ascii="Arial" w:hAnsi="Arial" w:cs="Arial"/>
          <w:sz w:val="20"/>
          <w:lang w:val="es-ES"/>
        </w:rPr>
        <w:t>:  a)</w:t>
      </w:r>
      <w:r w:rsidR="00DB14B1">
        <w:rPr>
          <w:rFonts w:ascii="Arial" w:hAnsi="Arial" w:cs="Arial"/>
          <w:sz w:val="20"/>
          <w:lang w:val="es-ES"/>
        </w:rPr>
        <w:t> </w:t>
      </w:r>
      <w:r w:rsidRPr="0037163B">
        <w:rPr>
          <w:rFonts w:ascii="Arial" w:hAnsi="Arial" w:cs="Arial"/>
          <w:sz w:val="20"/>
          <w:lang w:val="es-ES"/>
        </w:rPr>
        <w:t>recursos limitados;  b) la diversidad de los sistemas sociales, económicos, culturales, políticos y jurídicos;  c) las diferentes etapas de desarrollo en que se halla cada país;  d) la gran cantidad y diversidad de partes interesadas con diferentes necesidades en lo tocante a capacidades, competencias y conocimientos;  d) la necesidad y demanda en continuo aumento de servicios relacionados con el desarrollo, así como de otros servicios de la OMPI;  y e) la dificultad de traducir la noción de una P.I. favorable al desarrollo en resultados concretos</w:t>
      </w:r>
      <w:r w:rsidR="00DB14B1">
        <w:rPr>
          <w:rFonts w:ascii="Arial" w:hAnsi="Arial" w:cs="Arial"/>
          <w:sz w:val="20"/>
          <w:lang w:val="es-ES"/>
        </w:rPr>
        <w:t xml:space="preserve"> y sostenibles</w:t>
      </w:r>
      <w:r w:rsidRPr="0037163B">
        <w:rPr>
          <w:rFonts w:ascii="Arial" w:hAnsi="Arial" w:cs="Arial"/>
          <w:sz w:val="20"/>
          <w:lang w:val="es-ES"/>
        </w:rPr>
        <w:t xml:space="preserve"> con ventajas tangibles.  Estos desafíos se ponen de manifiesto en la heterogeneidad de los sistemas nacionales de P.I., en particular en lo que atañe a los marcos institucionales de P.I. y la capacidad de los países de absorber la cooperación técnica.</w:t>
      </w:r>
    </w:p>
    <w:p w:rsidR="000A0481" w:rsidRPr="0037163B" w:rsidRDefault="000A0481" w:rsidP="000A0481">
      <w:pPr>
        <w:pStyle w:val="ListParagraph"/>
        <w:widowControl w:val="0"/>
        <w:tabs>
          <w:tab w:val="left" w:pos="709"/>
        </w:tabs>
        <w:ind w:left="0"/>
        <w:jc w:val="both"/>
        <w:rPr>
          <w:rFonts w:ascii="Arial" w:hAnsi="Arial" w:cs="Arial"/>
          <w:lang w:val="es-ES"/>
        </w:rPr>
      </w:pPr>
    </w:p>
    <w:p w:rsidR="000A0481" w:rsidRPr="0037163B" w:rsidRDefault="000A0481" w:rsidP="000A0481">
      <w:pPr>
        <w:pStyle w:val="ListParagraph"/>
        <w:widowControl w:val="0"/>
        <w:numPr>
          <w:ilvl w:val="0"/>
          <w:numId w:val="25"/>
        </w:numPr>
        <w:tabs>
          <w:tab w:val="left" w:pos="709"/>
        </w:tabs>
        <w:jc w:val="both"/>
        <w:rPr>
          <w:rFonts w:ascii="Arial" w:hAnsi="Arial" w:cs="Arial"/>
          <w:sz w:val="20"/>
          <w:lang w:val="es-ES"/>
        </w:rPr>
      </w:pPr>
      <w:r w:rsidRPr="0037163B">
        <w:rPr>
          <w:rFonts w:ascii="Arial" w:hAnsi="Arial" w:cs="Arial"/>
          <w:sz w:val="20"/>
          <w:lang w:val="es-ES"/>
        </w:rPr>
        <w:t>La concepción, planificación y puesta en marcha de las actividades de cooperación técnica en el marco de este programa se basan e inspiran en las recomendaciones pertinentes de la A.D., en particular las recomendaciones enunciadas en la Categoría A sobre la asistencia técnica y el fortalecimiento de la capacidad de la OMPI.</w:t>
      </w:r>
    </w:p>
    <w:p w:rsidR="000A0481" w:rsidRPr="0037163B" w:rsidRDefault="000A0481" w:rsidP="000A0481">
      <w:pPr>
        <w:pStyle w:val="ListParagraph"/>
        <w:widowControl w:val="0"/>
        <w:tabs>
          <w:tab w:val="left" w:pos="709"/>
        </w:tabs>
        <w:spacing w:after="240"/>
        <w:ind w:left="0"/>
        <w:jc w:val="both"/>
        <w:rPr>
          <w:rFonts w:ascii="Arial" w:hAnsi="Arial" w:cs="Arial"/>
          <w:bCs/>
          <w:lang w:val="es-ES"/>
        </w:rPr>
      </w:pPr>
    </w:p>
    <w:p w:rsidR="000A0481" w:rsidRPr="0037163B" w:rsidRDefault="000A0481" w:rsidP="000A0481">
      <w:pPr>
        <w:pStyle w:val="ListParagraph"/>
        <w:widowControl w:val="0"/>
        <w:tabs>
          <w:tab w:val="left" w:pos="709"/>
        </w:tabs>
        <w:spacing w:after="240"/>
        <w:ind w:left="0"/>
        <w:jc w:val="both"/>
        <w:rPr>
          <w:rFonts w:ascii="Arial" w:hAnsi="Arial" w:cs="Arial"/>
          <w:bCs/>
          <w:lang w:val="es-ES"/>
        </w:rPr>
      </w:pPr>
    </w:p>
    <w:p w:rsidR="000A0481" w:rsidRPr="0037163B" w:rsidRDefault="000A0481" w:rsidP="000A0481">
      <w:pPr>
        <w:pStyle w:val="ListParagraph"/>
        <w:widowControl w:val="0"/>
        <w:tabs>
          <w:tab w:val="left" w:pos="709"/>
        </w:tabs>
        <w:spacing w:after="240"/>
        <w:ind w:left="0"/>
        <w:jc w:val="both"/>
        <w:rPr>
          <w:rFonts w:ascii="Arial" w:hAnsi="Arial" w:cs="Arial"/>
          <w:bCs/>
          <w:lang w:val="es-ES"/>
        </w:rPr>
      </w:pPr>
      <w:r w:rsidRPr="0037163B">
        <w:rPr>
          <w:rFonts w:ascii="Arial" w:hAnsi="Arial" w:cs="Arial"/>
          <w:bCs/>
          <w:lang w:val="es-ES"/>
        </w:rPr>
        <w:t>ESTRATEGIAS DE EJECUCIÓN</w:t>
      </w:r>
    </w:p>
    <w:p w:rsidR="00C37CCD" w:rsidRPr="0037163B" w:rsidRDefault="00C37CCD" w:rsidP="000A0481">
      <w:pPr>
        <w:pStyle w:val="ListParagraph"/>
        <w:widowControl w:val="0"/>
        <w:tabs>
          <w:tab w:val="left" w:pos="709"/>
        </w:tabs>
        <w:spacing w:after="240"/>
        <w:ind w:left="0"/>
        <w:jc w:val="both"/>
        <w:rPr>
          <w:rFonts w:ascii="Arial" w:hAnsi="Arial" w:cs="Arial"/>
          <w:bCs/>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b/>
          <w:sz w:val="20"/>
          <w:lang w:val="es-ES"/>
        </w:rPr>
      </w:pPr>
      <w:r w:rsidRPr="0037163B">
        <w:rPr>
          <w:rFonts w:ascii="Arial" w:hAnsi="Arial" w:cs="Arial"/>
          <w:sz w:val="20"/>
          <w:lang w:val="es-ES"/>
        </w:rPr>
        <w:t>Para lograr los objetivos mencionados, se otorgará prioridad en el próximo bienio a mejorar la ejecución por parte de la Organización, mediante la coordinación estrecha con otros programas y en consulta constante con los Estados miembros beneficiarios.</w:t>
      </w:r>
    </w:p>
    <w:p w:rsidR="000A0481" w:rsidRPr="0037163B" w:rsidRDefault="000A0481" w:rsidP="000A0481">
      <w:pPr>
        <w:pStyle w:val="ListParagraph"/>
        <w:widowControl w:val="0"/>
        <w:tabs>
          <w:tab w:val="left" w:pos="709"/>
        </w:tabs>
        <w:spacing w:after="240"/>
        <w:ind w:left="0"/>
        <w:jc w:val="both"/>
        <w:rPr>
          <w:rFonts w:ascii="Arial" w:hAnsi="Arial" w:cs="Arial"/>
          <w:b/>
          <w:sz w:val="20"/>
          <w:lang w:val="es-ES"/>
        </w:rPr>
      </w:pPr>
    </w:p>
    <w:p w:rsidR="000A0481" w:rsidRPr="0037163B" w:rsidRDefault="00C37CCD" w:rsidP="000A0481">
      <w:pPr>
        <w:pStyle w:val="ListParagraph"/>
        <w:widowControl w:val="0"/>
        <w:numPr>
          <w:ilvl w:val="0"/>
          <w:numId w:val="25"/>
        </w:numPr>
        <w:tabs>
          <w:tab w:val="left" w:pos="709"/>
        </w:tabs>
        <w:spacing w:after="240"/>
        <w:jc w:val="both"/>
        <w:rPr>
          <w:rFonts w:ascii="Arial" w:hAnsi="Arial" w:cs="Arial"/>
          <w:b/>
          <w:bCs/>
          <w:sz w:val="20"/>
          <w:lang w:val="es-ES"/>
        </w:rPr>
      </w:pPr>
      <w:r>
        <w:rPr>
          <w:rFonts w:ascii="Arial" w:hAnsi="Arial" w:cs="Arial"/>
          <w:b/>
          <w:sz w:val="20"/>
          <w:lang w:val="es-ES"/>
        </w:rPr>
        <w:t>Estrategias nacionales de P.I.</w:t>
      </w:r>
      <w:r w:rsidR="000A0481" w:rsidRPr="0037163B">
        <w:rPr>
          <w:rFonts w:ascii="Arial" w:hAnsi="Arial" w:cs="Arial"/>
          <w:sz w:val="20"/>
          <w:lang w:val="es-ES"/>
        </w:rPr>
        <w:t xml:space="preserve">  Las estrategias nacionales de P.I. que se elaboren y adopten deberán atender las necesidades específicas de cada país y se elaborarán en el marco de un proceso de consulta nacional incluyente en el que participen, entre otros actores, funcionarios gubernamentales, legisladores, y representantes del sector privado, de las universidades y la sociedad civil.  El requisito básico para el éxito de este proceso es el compromiso del gobierno al más alto nivel, tanto para fines de financiación como de apoyo político.  La metodología para la elaboración de la estrategia de P.I., definida en el marco de un proyecto de la A.D., servirá de base y modelo para la consecución de este objetivo.  La finalidad es aumentar durante el bienio el número de países que posean estrategias personalizadas de P.I.</w:t>
      </w:r>
    </w:p>
    <w:p w:rsidR="000A0481" w:rsidRPr="0037163B" w:rsidRDefault="000A0481" w:rsidP="000A0481">
      <w:pPr>
        <w:pStyle w:val="ListParagraph"/>
        <w:widowControl w:val="0"/>
        <w:tabs>
          <w:tab w:val="left" w:pos="709"/>
        </w:tabs>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b/>
          <w:sz w:val="20"/>
          <w:lang w:val="es-ES"/>
        </w:rPr>
        <w:t xml:space="preserve">Planes nacionales. </w:t>
      </w:r>
      <w:r w:rsidRPr="0037163B">
        <w:rPr>
          <w:rFonts w:ascii="Arial" w:hAnsi="Arial" w:cs="Arial"/>
          <w:sz w:val="20"/>
          <w:lang w:val="es-ES"/>
        </w:rPr>
        <w:t xml:space="preserve"> El proceso de adopción de estrategias de P.I. es generalmente largo y hasta la fecha solo un número reducido de países lo ha llevado a cabo en su totalidad.  En los países en que el proceso sigue en curso, los planes nacionales siguen siendo la principal herramienta para la prestación de asistencia técnica.  Los planes nacionales, elaborados y supervisados por las Oficinas Regionales en la sede sobre la base de las necesidades y realidades de los países beneficiarios, han sido concebidos para cubrir un periodo mínimo de dos años e incluyen todos los proyectos y actividades </w:t>
      </w:r>
      <w:r w:rsidR="00C37CCD">
        <w:rPr>
          <w:rFonts w:ascii="Arial" w:hAnsi="Arial" w:cs="Arial"/>
          <w:sz w:val="20"/>
          <w:lang w:val="es-ES"/>
        </w:rPr>
        <w:t xml:space="preserve">relacionados con la P.I. </w:t>
      </w:r>
      <w:r w:rsidRPr="0037163B">
        <w:rPr>
          <w:rFonts w:ascii="Arial" w:hAnsi="Arial" w:cs="Arial"/>
          <w:sz w:val="20"/>
          <w:lang w:val="es-ES"/>
        </w:rPr>
        <w:t>que se llevarán a cabo en cada país.  Se preparan y aplican en estrecha coordinación con otros programas y las partes interesadas pertinentes en los países beneficiarios.  El objetivo es mejorar la ejecución y la coherencia de la cooperación técnica prestada por la OMPI.</w:t>
      </w:r>
    </w:p>
    <w:p w:rsidR="000A0481" w:rsidRPr="0037163B" w:rsidRDefault="000A0481" w:rsidP="000A0481">
      <w:pPr>
        <w:pStyle w:val="ListParagraph"/>
        <w:widowControl w:val="0"/>
        <w:ind w:left="0"/>
        <w:jc w:val="both"/>
        <w:rPr>
          <w:rFonts w:ascii="Arial" w:hAnsi="Arial" w:cs="Arial"/>
          <w:bCs/>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b/>
          <w:sz w:val="20"/>
          <w:lang w:val="es-ES"/>
        </w:rPr>
        <w:t>Enfoque basado en proyectos</w:t>
      </w:r>
      <w:r w:rsidRPr="0037163B">
        <w:rPr>
          <w:rFonts w:ascii="Arial" w:hAnsi="Arial" w:cs="Arial"/>
          <w:sz w:val="20"/>
          <w:lang w:val="es-ES"/>
        </w:rPr>
        <w:t>.  Con el fin de maximizar la eficacia de las actividades de asistencia técnica, se proporcionará cooperación técnica cada vez más a través de enfoques basados en proyectos, que potencien la experiencia adquirida en años recientes gracias a la aplicación de la A.D. y otros proyectos de desarrollo especiales.</w:t>
      </w:r>
    </w:p>
    <w:p w:rsidR="000A0481" w:rsidRPr="0037163B" w:rsidRDefault="000A0481" w:rsidP="000A0481">
      <w:pPr>
        <w:pStyle w:val="ListParagraph"/>
        <w:widowControl w:val="0"/>
        <w:tabs>
          <w:tab w:val="left" w:pos="709"/>
        </w:tabs>
        <w:ind w:left="0"/>
        <w:jc w:val="both"/>
        <w:rPr>
          <w:rFonts w:ascii="Arial" w:hAnsi="Arial" w:cs="Arial"/>
          <w:bCs/>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b/>
          <w:sz w:val="20"/>
          <w:lang w:val="es-ES"/>
        </w:rPr>
        <w:t>Ámbitos abarcados en las diferentes actividades.</w:t>
      </w:r>
      <w:r w:rsidRPr="0037163B">
        <w:rPr>
          <w:rFonts w:ascii="Arial" w:hAnsi="Arial" w:cs="Arial"/>
          <w:sz w:val="20"/>
          <w:lang w:val="es-ES"/>
        </w:rPr>
        <w:t xml:space="preserve">  El programa permitirá seguir reforzando el desarrollo de las aptitudes humanas y profesionales, facilitará la modernización de la infraestructura de la P.I. y el desarrollo de los marcos jurídicos y reglamentarios de la P.I., teniendo en cuenta los compromisos específicos y los objetivos nacionales de desarrollo de los países beneficiarios, y promoviendo la adhesión a los tratados y convenios administrados por la OMPI.  Para esos compromisos, las Oficina Regionales en la sede, en tanto que coordinadores generales, cumplen la función primordial de asegurar la planificación y consecución eficaz y efectiva de resultados concretos y coherentes en los Estados miembros.</w:t>
      </w:r>
    </w:p>
    <w:p w:rsidR="000A0481" w:rsidRPr="0037163B" w:rsidRDefault="000A0481" w:rsidP="000A0481">
      <w:pPr>
        <w:pStyle w:val="ListParagraph"/>
        <w:widowControl w:val="0"/>
        <w:tabs>
          <w:tab w:val="left" w:pos="709"/>
        </w:tabs>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Se intensificará la labor destinada a los PMA con el fin de responder a las crecientes necesidades tanto individuales como del conjunto de esos países.  Se prestará especial atención al fortalecimiento de la capacidad nacional y tecnológica en materia de P.I. de los PMA para ayudarlos a alcanzar sus objetivos de desarrollo de reducción de la pobreza, crecimiento económico y desarrollo social y cultural.  En particular, la OMPI seguirá apoyando actividades en las esferas prioritarias definidas en los Aportes concretos de la OMPI, adoptados con ocasión de la Cuarta Conferencia de las Naciones Unidas sobre los PMA (PMA IV) y que tienen por objeto contribuir a la aplicación del Programa de Acción de Estambul.</w:t>
      </w:r>
    </w:p>
    <w:p w:rsidR="000A0481" w:rsidRPr="0037163B" w:rsidRDefault="000A0481" w:rsidP="000A0481">
      <w:pPr>
        <w:pStyle w:val="ListParagraph"/>
        <w:widowControl w:val="0"/>
        <w:tabs>
          <w:tab w:val="left" w:pos="709"/>
        </w:tabs>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Habida cuenta de la creciente importancia de la cooperación subregional, regional e interregional, incluida la cooperación Sur-Sur, entre los países en desarrollo, las Oficinas Regionales en la sede desempeñarán un papel preponderante, favoreciendo las modalidades de esta cooperación horizontal.  Este proceso comprenderá la consolidación de las alianzas entre los países y las regiones, especialmente en el contexto de las agrupaciones subregionales y regionales existentes.  El programa permitirá una planificación coherente y la presentación de informes sobre las actividades Sur-Sur a nivel de la Organización y las relaciones con todas las partes interesadas internas y externas.</w:t>
      </w:r>
    </w:p>
    <w:p w:rsidR="000A0481" w:rsidRPr="0037163B" w:rsidRDefault="000A0481" w:rsidP="000A0481">
      <w:pPr>
        <w:pStyle w:val="ListParagraph"/>
        <w:widowControl w:val="0"/>
        <w:tabs>
          <w:tab w:val="left" w:pos="709"/>
        </w:tabs>
        <w:ind w:left="0"/>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Las bases de datos existentes (asistencia técnica en materia de P.I. (IP-TAD), la lista de consultores (ROC) y la base de datos de vinculación para atender las necesidades de desarrollo en materia de P.I. (IP-DMD)) han demostrado su eficacia para supervisar y orientar la labor de la OMPI en materia de cooperación para el desarrollo.  A lo largo del bienio, esas bases de datos se sincronizarán con el sistema de gestión del rendimiento institucional con el fin de automatizar los datos introducidos.  Esto permitirá a los Estados miembros y a otros usuarios tener acceso a la información más reciente sobre las actividades de cooperación para el desarrollo.  Además, se seguirán desarrollando y aplicando nuevas herramientas para facilitar el proceso de elaboración de estrategias de P.I., así como la evaluación de los proyectos de cooperación Sur-Sur.</w:t>
      </w:r>
    </w:p>
    <w:p w:rsidR="000A0481" w:rsidRPr="0037163B" w:rsidRDefault="000A0481" w:rsidP="000A0481">
      <w:pPr>
        <w:pStyle w:val="ListParagraph"/>
        <w:widowControl w:val="0"/>
        <w:tabs>
          <w:tab w:val="left" w:pos="709"/>
        </w:tabs>
        <w:ind w:left="0"/>
        <w:jc w:val="both"/>
        <w:rPr>
          <w:rFonts w:ascii="Arial" w:hAnsi="Arial" w:cs="Arial"/>
          <w:sz w:val="20"/>
          <w:lang w:val="es-ES"/>
        </w:rPr>
      </w:pPr>
    </w:p>
    <w:p w:rsidR="000A0481"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Se seguirá propiciando la cooperación con los organismos de las NN.UU. y otras organizaciones intergubernamentales e instituciones no gubernamentales para movilizar y agrupar más recursos y conocimientos especializados, con miras a potenciar su impacto.  No se escatimarán esfuerzos para mejorar constantemente la calidad y eficacia de la cooperación técnica, priorizando la obtención de resultados concretos y tangibles, y asegurando la sostenibilidad y continuidad de los programas.</w:t>
      </w:r>
    </w:p>
    <w:p w:rsidR="000A0481" w:rsidRDefault="000A0481" w:rsidP="000A0481">
      <w:pPr>
        <w:pStyle w:val="ListParagraph"/>
        <w:widowControl w:val="0"/>
        <w:ind w:left="0"/>
        <w:rPr>
          <w:rFonts w:ascii="Arial" w:hAnsi="Arial" w:cs="Arial"/>
          <w:lang w:val="es-ES"/>
        </w:rPr>
      </w:pPr>
    </w:p>
    <w:p w:rsidR="00C37CCD" w:rsidRDefault="00C37CCD">
      <w:pPr>
        <w:rPr>
          <w:sz w:val="20"/>
        </w:rPr>
      </w:pPr>
      <w:r>
        <w:rPr>
          <w:sz w:val="20"/>
        </w:rPr>
        <w:br w:type="page"/>
      </w:r>
    </w:p>
    <w:p w:rsidR="00873DF1" w:rsidRPr="00C37CCD" w:rsidRDefault="00C37CCD" w:rsidP="00873DF1">
      <w:pPr>
        <w:numPr>
          <w:ilvl w:val="0"/>
          <w:numId w:val="25"/>
        </w:numPr>
        <w:jc w:val="both"/>
        <w:rPr>
          <w:sz w:val="20"/>
        </w:rPr>
      </w:pPr>
      <w:r>
        <w:rPr>
          <w:sz w:val="20"/>
        </w:rPr>
        <w:lastRenderedPageBreak/>
        <w:t>El p</w:t>
      </w:r>
      <w:r w:rsidRPr="00C37CCD">
        <w:rPr>
          <w:sz w:val="20"/>
        </w:rPr>
        <w:t>rograma</w:t>
      </w:r>
      <w:r w:rsidR="00873DF1" w:rsidRPr="00C37CCD">
        <w:rPr>
          <w:sz w:val="20"/>
        </w:rPr>
        <w:t xml:space="preserve"> 9 colabora</w:t>
      </w:r>
      <w:r>
        <w:rPr>
          <w:sz w:val="20"/>
        </w:rPr>
        <w:t xml:space="preserve"> principalmente con los programas siguientes</w:t>
      </w:r>
      <w:r w:rsidR="00873DF1" w:rsidRPr="00C37CCD">
        <w:rPr>
          <w:sz w:val="20"/>
        </w:rPr>
        <w:t xml:space="preserve">: </w:t>
      </w:r>
    </w:p>
    <w:p w:rsidR="00085C7B" w:rsidRPr="006A3CA4" w:rsidRDefault="00085C7B" w:rsidP="000A0481">
      <w:pPr>
        <w:pStyle w:val="ListParagraph"/>
        <w:widowControl w:val="0"/>
        <w:ind w:left="0"/>
        <w:rPr>
          <w:rFonts w:ascii="Arial" w:hAnsi="Arial" w:cs="Arial"/>
          <w:lang w:val="es-ES_tradnl"/>
        </w:rPr>
      </w:pPr>
    </w:p>
    <w:p w:rsidR="000A0481" w:rsidRPr="0037163B" w:rsidRDefault="00C37CCD" w:rsidP="000A0481">
      <w:pPr>
        <w:widowControl w:val="0"/>
        <w:jc w:val="both"/>
      </w:pPr>
      <w:r>
        <w:rPr>
          <w:rFonts w:eastAsia="Times New Roman"/>
          <w:noProof/>
          <w:lang w:val="en-US" w:eastAsia="en-US"/>
        </w:rPr>
        <w:drawing>
          <wp:inline distT="0" distB="0" distL="0" distR="0" wp14:anchorId="09C4B505" wp14:editId="5A6143CD">
            <wp:extent cx="5940425" cy="2702386"/>
            <wp:effectExtent l="0" t="38100" r="0" b="0"/>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rsidR="000A0481" w:rsidRDefault="000A0481" w:rsidP="000A0481">
      <w:pPr>
        <w:widowControl w:val="0"/>
        <w:rPr>
          <w:bCs/>
          <w:iCs/>
          <w:caps/>
          <w:szCs w:val="28"/>
        </w:rPr>
      </w:pPr>
    </w:p>
    <w:p w:rsidR="00873DF1" w:rsidRPr="0037163B" w:rsidRDefault="00873DF1" w:rsidP="000A0481">
      <w:pPr>
        <w:widowControl w:val="0"/>
        <w:rPr>
          <w:bCs/>
          <w:iCs/>
          <w:caps/>
          <w:szCs w:val="28"/>
        </w:rPr>
      </w:pPr>
    </w:p>
    <w:p w:rsidR="000A0481" w:rsidRPr="0037163B" w:rsidRDefault="000A0481" w:rsidP="000A0481">
      <w:pPr>
        <w:widowControl w:val="0"/>
      </w:pPr>
      <w:r w:rsidRPr="0037163B">
        <w:t>PRINCIPALES RIESGOS Y ESTRATEGIAS DE MITIGACIÓN</w:t>
      </w:r>
    </w:p>
    <w:p w:rsidR="000A0481" w:rsidRPr="0037163B" w:rsidRDefault="000A0481" w:rsidP="000A0481">
      <w:pPr>
        <w:widowControl w:val="0"/>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0A0481" w:rsidRPr="0037163B" w:rsidTr="000A0481">
        <w:trPr>
          <w:trHeight w:val="577"/>
        </w:trPr>
        <w:tc>
          <w:tcPr>
            <w:tcW w:w="4111" w:type="dxa"/>
            <w:tcBorders>
              <w:top w:val="single" w:sz="4" w:space="0" w:color="auto"/>
              <w:bottom w:val="single" w:sz="4" w:space="0" w:color="auto"/>
            </w:tcBorders>
            <w:shd w:val="clear" w:color="auto" w:fill="C6D9F1" w:themeFill="text2" w:themeFillTint="33"/>
            <w:vAlign w:val="center"/>
          </w:tcPr>
          <w:p w:rsidR="000A0481" w:rsidRPr="0037163B" w:rsidRDefault="000A0481" w:rsidP="000A0481">
            <w:pPr>
              <w:widowControl w:val="0"/>
              <w:jc w:val="center"/>
              <w:rPr>
                <w:b/>
                <w:bCs/>
                <w:sz w:val="18"/>
                <w:szCs w:val="18"/>
              </w:rPr>
            </w:pPr>
            <w:r w:rsidRPr="0037163B">
              <w:rPr>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0A0481" w:rsidRPr="0037163B" w:rsidRDefault="000A0481" w:rsidP="000A0481">
            <w:pPr>
              <w:widowControl w:val="0"/>
              <w:jc w:val="center"/>
              <w:rPr>
                <w:b/>
                <w:bCs/>
                <w:sz w:val="18"/>
                <w:szCs w:val="18"/>
              </w:rPr>
            </w:pPr>
            <w:r w:rsidRPr="0037163B">
              <w:rPr>
                <w:b/>
                <w:bCs/>
                <w:sz w:val="18"/>
                <w:szCs w:val="18"/>
              </w:rPr>
              <w:t>Mitigación</w:t>
            </w:r>
          </w:p>
        </w:tc>
      </w:tr>
      <w:tr w:rsidR="000A0481" w:rsidRPr="0037163B" w:rsidTr="000A0481">
        <w:trPr>
          <w:trHeight w:val="259"/>
        </w:trPr>
        <w:tc>
          <w:tcPr>
            <w:tcW w:w="4111" w:type="dxa"/>
            <w:tcBorders>
              <w:top w:val="single" w:sz="4" w:space="0" w:color="auto"/>
            </w:tcBorders>
            <w:shd w:val="clear" w:color="auto" w:fill="auto"/>
            <w:tcMar>
              <w:top w:w="113" w:type="dxa"/>
              <w:bottom w:w="113" w:type="dxa"/>
            </w:tcMar>
          </w:tcPr>
          <w:p w:rsidR="000A0481" w:rsidRPr="0037163B" w:rsidRDefault="000A0481" w:rsidP="000A0481">
            <w:pPr>
              <w:widowControl w:val="0"/>
              <w:rPr>
                <w:sz w:val="16"/>
                <w:szCs w:val="16"/>
              </w:rPr>
            </w:pPr>
            <w:r w:rsidRPr="0037163B">
              <w:rPr>
                <w:sz w:val="16"/>
                <w:szCs w:val="16"/>
              </w:rPr>
              <w:t>Los cambios políticos que provocan cambios en la política de P.I. a nivel nacional pueden afectar la prestación de servicios.</w:t>
            </w:r>
          </w:p>
          <w:p w:rsidR="000A0481" w:rsidRPr="0037163B" w:rsidRDefault="000A0481" w:rsidP="000A0481">
            <w:pPr>
              <w:widowControl w:val="0"/>
              <w:rPr>
                <w:sz w:val="16"/>
                <w:szCs w:val="16"/>
              </w:rPr>
            </w:pPr>
          </w:p>
          <w:p w:rsidR="000A0481" w:rsidRPr="0037163B" w:rsidRDefault="000A0481" w:rsidP="000A0481">
            <w:pPr>
              <w:widowControl w:val="0"/>
              <w:rPr>
                <w:sz w:val="16"/>
                <w:szCs w:val="16"/>
              </w:rPr>
            </w:pPr>
            <w:r w:rsidRPr="0037163B">
              <w:rPr>
                <w:sz w:val="16"/>
                <w:szCs w:val="16"/>
              </w:rPr>
              <w:t>La inestabilidad política en los Estados miembros y la consecuente modificación de la evaluación de los riesgos de seguridad de las NN.UU. pueden provocar retrasos en la prestación de la asistencia técnica.</w:t>
            </w:r>
          </w:p>
        </w:tc>
        <w:tc>
          <w:tcPr>
            <w:tcW w:w="5103" w:type="dxa"/>
            <w:tcBorders>
              <w:top w:val="single" w:sz="4" w:space="0" w:color="auto"/>
            </w:tcBorders>
            <w:shd w:val="clear" w:color="auto" w:fill="auto"/>
            <w:tcMar>
              <w:top w:w="113" w:type="dxa"/>
              <w:bottom w:w="113" w:type="dxa"/>
            </w:tcMar>
          </w:tcPr>
          <w:p w:rsidR="000A0481" w:rsidRPr="0037163B" w:rsidRDefault="000A0481" w:rsidP="000A0481">
            <w:pPr>
              <w:widowControl w:val="0"/>
              <w:rPr>
                <w:sz w:val="16"/>
              </w:rPr>
            </w:pPr>
            <w:r w:rsidRPr="0037163B">
              <w:rPr>
                <w:sz w:val="16"/>
              </w:rPr>
              <w:t>Flexibilidad para hacer los ajustes necesarios en los planes de trabajo de los distintos países.</w:t>
            </w:r>
          </w:p>
          <w:p w:rsidR="000A0481" w:rsidRPr="0037163B" w:rsidRDefault="000A0481" w:rsidP="000A0481">
            <w:pPr>
              <w:widowControl w:val="0"/>
              <w:rPr>
                <w:sz w:val="16"/>
              </w:rPr>
            </w:pPr>
          </w:p>
          <w:p w:rsidR="000A0481" w:rsidRPr="0037163B" w:rsidRDefault="000A0481" w:rsidP="000A0481">
            <w:pPr>
              <w:widowControl w:val="0"/>
              <w:rPr>
                <w:sz w:val="16"/>
              </w:rPr>
            </w:pPr>
          </w:p>
          <w:p w:rsidR="000A0481" w:rsidRPr="0037163B" w:rsidRDefault="000A0481" w:rsidP="000A0481">
            <w:pPr>
              <w:widowControl w:val="0"/>
              <w:rPr>
                <w:sz w:val="16"/>
                <w:szCs w:val="16"/>
              </w:rPr>
            </w:pPr>
            <w:r w:rsidRPr="0037163B">
              <w:rPr>
                <w:sz w:val="16"/>
              </w:rPr>
              <w:t xml:space="preserve">Seguimiento de la situación conjuntamente con la oficina de P.I. y las partes interesadas a fin de elaborar planes alternativos. </w:t>
            </w:r>
          </w:p>
        </w:tc>
      </w:tr>
    </w:tbl>
    <w:p w:rsidR="000A0481" w:rsidRPr="0037163B" w:rsidRDefault="000A0481" w:rsidP="000A0481">
      <w:pPr>
        <w:widowControl w:val="0"/>
        <w:rPr>
          <w:szCs w:val="22"/>
        </w:rPr>
      </w:pPr>
    </w:p>
    <w:p w:rsidR="000A0481" w:rsidRPr="0037163B" w:rsidRDefault="000A0481" w:rsidP="000A0481">
      <w:pPr>
        <w:widowControl w:val="0"/>
        <w:rPr>
          <w:szCs w:val="22"/>
        </w:rPr>
      </w:pPr>
    </w:p>
    <w:p w:rsidR="000A0481" w:rsidRPr="0037163B" w:rsidRDefault="000A0481" w:rsidP="000A0481">
      <w:pPr>
        <w:widowControl w:val="0"/>
        <w:rPr>
          <w:szCs w:val="22"/>
        </w:rPr>
      </w:pPr>
      <w:r w:rsidRPr="0037163B">
        <w:rPr>
          <w:szCs w:val="22"/>
        </w:rPr>
        <w:t>MARCO DE RESULTADOS</w:t>
      </w:r>
    </w:p>
    <w:p w:rsidR="000A0481" w:rsidRPr="0037163B" w:rsidRDefault="000A0481" w:rsidP="000A0481">
      <w:pPr>
        <w:widowControl w:val="0"/>
        <w:rPr>
          <w:szCs w:val="22"/>
        </w:rPr>
      </w:pPr>
    </w:p>
    <w:tbl>
      <w:tblPr>
        <w:tblW w:w="9195" w:type="dxa"/>
        <w:tblInd w:w="93" w:type="dxa"/>
        <w:tblLook w:val="04A0" w:firstRow="1" w:lastRow="0" w:firstColumn="1" w:lastColumn="0" w:noHBand="0" w:noVBand="1"/>
      </w:tblPr>
      <w:tblGrid>
        <w:gridCol w:w="2280"/>
        <w:gridCol w:w="2180"/>
        <w:gridCol w:w="2760"/>
        <w:gridCol w:w="2129"/>
      </w:tblGrid>
      <w:tr w:rsidR="000A0481" w:rsidRPr="0037163B" w:rsidTr="000A0481">
        <w:trPr>
          <w:trHeight w:val="615"/>
          <w:tblHeader/>
        </w:trPr>
        <w:tc>
          <w:tcPr>
            <w:tcW w:w="2280" w:type="dxa"/>
            <w:tcBorders>
              <w:top w:val="single" w:sz="4" w:space="0" w:color="auto"/>
              <w:left w:val="single" w:sz="4" w:space="0" w:color="auto"/>
              <w:bottom w:val="single" w:sz="4" w:space="0" w:color="auto"/>
              <w:right w:val="nil"/>
            </w:tcBorders>
            <w:shd w:val="clear" w:color="000000" w:fill="C5D9F1"/>
            <w:noWrap/>
            <w:tcMar>
              <w:top w:w="85" w:type="dxa"/>
            </w:tcMar>
            <w:vAlign w:val="center"/>
            <w:hideMark/>
          </w:tcPr>
          <w:p w:rsidR="000A0481" w:rsidRPr="0037163B" w:rsidRDefault="000A0481" w:rsidP="000A0481">
            <w:pPr>
              <w:widowControl w:val="0"/>
              <w:jc w:val="center"/>
              <w:rPr>
                <w:b/>
                <w:bCs/>
                <w:sz w:val="18"/>
                <w:szCs w:val="18"/>
              </w:rPr>
            </w:pPr>
            <w:r w:rsidRPr="0037163B">
              <w:rPr>
                <w:b/>
                <w:bCs/>
                <w:sz w:val="18"/>
                <w:szCs w:val="18"/>
              </w:rPr>
              <w:t>Resultados previstos</w:t>
            </w:r>
          </w:p>
        </w:tc>
        <w:tc>
          <w:tcPr>
            <w:tcW w:w="2180" w:type="dxa"/>
            <w:tcBorders>
              <w:top w:val="single" w:sz="4" w:space="0" w:color="auto"/>
              <w:left w:val="nil"/>
              <w:bottom w:val="single" w:sz="4" w:space="0" w:color="auto"/>
              <w:right w:val="nil"/>
            </w:tcBorders>
            <w:shd w:val="clear" w:color="000000" w:fill="C5D9F1"/>
            <w:noWrap/>
            <w:tcMar>
              <w:top w:w="85" w:type="dxa"/>
            </w:tcMar>
            <w:vAlign w:val="center"/>
            <w:hideMark/>
          </w:tcPr>
          <w:p w:rsidR="000A0481" w:rsidRPr="0037163B" w:rsidRDefault="000A0481" w:rsidP="000A0481">
            <w:pPr>
              <w:widowControl w:val="0"/>
              <w:jc w:val="center"/>
              <w:rPr>
                <w:b/>
                <w:bCs/>
                <w:sz w:val="18"/>
                <w:szCs w:val="18"/>
              </w:rPr>
            </w:pPr>
            <w:r w:rsidRPr="0037163B">
              <w:rPr>
                <w:b/>
                <w:bCs/>
                <w:sz w:val="18"/>
                <w:szCs w:val="18"/>
              </w:rPr>
              <w:t>Indicadores de rendimiento</w:t>
            </w:r>
          </w:p>
        </w:tc>
        <w:tc>
          <w:tcPr>
            <w:tcW w:w="2760" w:type="dxa"/>
            <w:tcBorders>
              <w:top w:val="single" w:sz="4" w:space="0" w:color="auto"/>
              <w:left w:val="nil"/>
              <w:bottom w:val="single" w:sz="4" w:space="0" w:color="auto"/>
              <w:right w:val="nil"/>
            </w:tcBorders>
            <w:shd w:val="clear" w:color="000000" w:fill="C5D9F1"/>
            <w:noWrap/>
            <w:tcMar>
              <w:top w:w="85" w:type="dxa"/>
            </w:tcMar>
            <w:vAlign w:val="center"/>
            <w:hideMark/>
          </w:tcPr>
          <w:p w:rsidR="000A0481" w:rsidRPr="0037163B" w:rsidRDefault="000A0481" w:rsidP="000A0481">
            <w:pPr>
              <w:widowControl w:val="0"/>
              <w:jc w:val="center"/>
              <w:rPr>
                <w:b/>
                <w:bCs/>
                <w:sz w:val="18"/>
                <w:szCs w:val="18"/>
              </w:rPr>
            </w:pPr>
            <w:r w:rsidRPr="0037163B">
              <w:rPr>
                <w:b/>
                <w:bCs/>
                <w:sz w:val="18"/>
                <w:szCs w:val="18"/>
              </w:rPr>
              <w:t>Referencia</w:t>
            </w:r>
          </w:p>
        </w:tc>
        <w:tc>
          <w:tcPr>
            <w:tcW w:w="1975" w:type="dxa"/>
            <w:tcBorders>
              <w:top w:val="single" w:sz="4" w:space="0" w:color="auto"/>
              <w:left w:val="nil"/>
              <w:bottom w:val="single" w:sz="4" w:space="0" w:color="auto"/>
              <w:right w:val="single" w:sz="4" w:space="0" w:color="auto"/>
            </w:tcBorders>
            <w:shd w:val="clear" w:color="000000" w:fill="C5D9F1"/>
            <w:noWrap/>
            <w:tcMar>
              <w:top w:w="85" w:type="dxa"/>
            </w:tcMar>
            <w:vAlign w:val="center"/>
            <w:hideMark/>
          </w:tcPr>
          <w:p w:rsidR="000A0481" w:rsidRPr="0037163B" w:rsidRDefault="000A0481" w:rsidP="000A0481">
            <w:pPr>
              <w:widowControl w:val="0"/>
              <w:jc w:val="center"/>
              <w:rPr>
                <w:b/>
                <w:bCs/>
                <w:sz w:val="18"/>
                <w:szCs w:val="18"/>
              </w:rPr>
            </w:pPr>
            <w:r w:rsidRPr="0037163B">
              <w:rPr>
                <w:b/>
                <w:bCs/>
                <w:sz w:val="18"/>
                <w:szCs w:val="18"/>
              </w:rPr>
              <w:t>Objetivos</w:t>
            </w:r>
          </w:p>
        </w:tc>
      </w:tr>
      <w:tr w:rsidR="000A0481" w:rsidRPr="0037163B" w:rsidTr="000A0481">
        <w:trPr>
          <w:trHeight w:val="1255"/>
        </w:trPr>
        <w:tc>
          <w:tcPr>
            <w:tcW w:w="2280" w:type="dxa"/>
            <w:tcBorders>
              <w:top w:val="nil"/>
              <w:left w:val="single" w:sz="4" w:space="0" w:color="auto"/>
              <w:bottom w:val="nil"/>
              <w:right w:val="nil"/>
            </w:tcBorders>
            <w:shd w:val="clear" w:color="000000" w:fill="FFFFFF"/>
            <w:tcMar>
              <w:top w:w="85" w:type="dxa"/>
            </w:tcMar>
            <w:hideMark/>
          </w:tcPr>
          <w:p w:rsidR="000A0481" w:rsidRPr="00D77D77" w:rsidRDefault="000A0481" w:rsidP="000A0481">
            <w:pPr>
              <w:widowControl w:val="0"/>
              <w:rPr>
                <w:sz w:val="16"/>
                <w:szCs w:val="16"/>
              </w:rPr>
            </w:pPr>
            <w:r w:rsidRPr="00D77D77">
              <w:rPr>
                <w:sz w:val="16"/>
                <w:szCs w:val="16"/>
              </w:rPr>
              <w:t xml:space="preserve">I.2 </w:t>
            </w:r>
            <w:r w:rsidR="00214894" w:rsidRPr="00D77D77">
              <w:rPr>
                <w:sz w:val="16"/>
                <w:szCs w:val="16"/>
              </w:rPr>
              <w:t xml:space="preserve"> </w:t>
            </w:r>
            <w:r w:rsidR="00B74100" w:rsidRPr="00D77D77">
              <w:rPr>
                <w:sz w:val="16"/>
                <w:szCs w:val="16"/>
                <w:lang w:val="es-ES_tradnl"/>
              </w:rPr>
              <w:t>Marcos de P.I. adaptados y equilibrados en el ámbito legislativo, regulador y de política</w:t>
            </w:r>
          </w:p>
        </w:tc>
        <w:tc>
          <w:tcPr>
            <w:tcW w:w="2180" w:type="dxa"/>
            <w:tcBorders>
              <w:top w:val="nil"/>
              <w:left w:val="nil"/>
              <w:bottom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Número y porcentaje de países que</w:t>
            </w:r>
          </w:p>
          <w:p w:rsidR="000A0481" w:rsidRPr="0037163B" w:rsidRDefault="000A0481" w:rsidP="000A0481">
            <w:pPr>
              <w:widowControl w:val="0"/>
              <w:rPr>
                <w:sz w:val="16"/>
                <w:szCs w:val="16"/>
              </w:rPr>
            </w:pPr>
            <w:r w:rsidRPr="0037163B">
              <w:rPr>
                <w:sz w:val="16"/>
                <w:szCs w:val="16"/>
              </w:rPr>
              <w:t>han formulado comentarios</w:t>
            </w:r>
          </w:p>
          <w:p w:rsidR="000A0481" w:rsidRPr="0037163B" w:rsidRDefault="000A0481" w:rsidP="000A0481">
            <w:pPr>
              <w:widowControl w:val="0"/>
              <w:rPr>
                <w:sz w:val="16"/>
                <w:szCs w:val="16"/>
              </w:rPr>
            </w:pPr>
            <w:r w:rsidRPr="0037163B">
              <w:rPr>
                <w:sz w:val="16"/>
                <w:szCs w:val="16"/>
              </w:rPr>
              <w:t>positivos sobre el asesoramiento</w:t>
            </w:r>
          </w:p>
          <w:p w:rsidR="000A0481" w:rsidRPr="0037163B" w:rsidRDefault="000A0481" w:rsidP="000A0481">
            <w:pPr>
              <w:widowControl w:val="0"/>
              <w:rPr>
                <w:sz w:val="16"/>
                <w:szCs w:val="16"/>
              </w:rPr>
            </w:pPr>
            <w:r w:rsidRPr="0037163B">
              <w:rPr>
                <w:sz w:val="16"/>
                <w:szCs w:val="16"/>
              </w:rPr>
              <w:t>legislativo y de política de la OMPI</w:t>
            </w:r>
          </w:p>
        </w:tc>
        <w:tc>
          <w:tcPr>
            <w:tcW w:w="2760" w:type="dxa"/>
            <w:tcBorders>
              <w:top w:val="nil"/>
              <w:left w:val="nil"/>
              <w:bottom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El desglose regional se establecerá en coordinación con los programas 1, 2, 3 y 4</w:t>
            </w:r>
          </w:p>
        </w:tc>
        <w:tc>
          <w:tcPr>
            <w:tcW w:w="1975" w:type="dxa"/>
            <w:tcBorders>
              <w:top w:val="nil"/>
              <w:left w:val="nil"/>
              <w:bottom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África (90%)</w:t>
            </w:r>
            <w:r w:rsidRPr="0037163B">
              <w:rPr>
                <w:sz w:val="16"/>
                <w:szCs w:val="16"/>
              </w:rPr>
              <w:br/>
              <w:t>Países árabes (90%)</w:t>
            </w:r>
            <w:r w:rsidRPr="0037163B">
              <w:rPr>
                <w:sz w:val="16"/>
                <w:szCs w:val="16"/>
              </w:rPr>
              <w:br/>
              <w:t>Asia y el Pacífico (90%)</w:t>
            </w:r>
            <w:r w:rsidRPr="0037163B">
              <w:rPr>
                <w:sz w:val="16"/>
                <w:szCs w:val="16"/>
              </w:rPr>
              <w:br/>
              <w:t>América Latina y el Caribe (90%)</w:t>
            </w:r>
          </w:p>
        </w:tc>
      </w:tr>
      <w:tr w:rsidR="000A0481" w:rsidRPr="0037163B" w:rsidTr="00D77D77">
        <w:trPr>
          <w:trHeight w:val="1039"/>
        </w:trPr>
        <w:tc>
          <w:tcPr>
            <w:tcW w:w="2280" w:type="dxa"/>
            <w:tcBorders>
              <w:top w:val="nil"/>
              <w:left w:val="single" w:sz="4" w:space="0" w:color="auto"/>
              <w:right w:val="nil"/>
            </w:tcBorders>
            <w:shd w:val="clear" w:color="000000" w:fill="FFFFFF"/>
            <w:tcMar>
              <w:top w:w="85" w:type="dxa"/>
            </w:tcMar>
            <w:hideMark/>
          </w:tcPr>
          <w:p w:rsidR="000A0481" w:rsidRPr="00D77D77" w:rsidRDefault="000A0481" w:rsidP="000A0481">
            <w:pPr>
              <w:widowControl w:val="0"/>
              <w:rPr>
                <w:sz w:val="16"/>
                <w:szCs w:val="16"/>
              </w:rPr>
            </w:pPr>
            <w:r w:rsidRPr="00D77D77">
              <w:rPr>
                <w:sz w:val="16"/>
                <w:szCs w:val="16"/>
              </w:rPr>
              <w:t xml:space="preserve">III.1 </w:t>
            </w:r>
            <w:r w:rsidR="00B74100" w:rsidRPr="00D77D77">
              <w:rPr>
                <w:sz w:val="16"/>
                <w:szCs w:val="16"/>
              </w:rPr>
              <w:t xml:space="preserve"> </w:t>
            </w:r>
            <w:r w:rsidR="00B74100" w:rsidRPr="00D77D77">
              <w:rPr>
                <w:sz w:val="16"/>
                <w:szCs w:val="16"/>
                <w:lang w:val="es-ES_tradnl"/>
              </w:rPr>
              <w:t>Estrategias y planes nacionales de innovación y de P.I. que estén en sintonía con los objetivos nacionales de desarrollo</w:t>
            </w:r>
          </w:p>
        </w:tc>
        <w:tc>
          <w:tcPr>
            <w:tcW w:w="2180" w:type="dxa"/>
            <w:tcBorders>
              <w:top w:val="nil"/>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Número de países que están elaborando estrategias nacionales de P.I.</w:t>
            </w:r>
          </w:p>
        </w:tc>
        <w:tc>
          <w:tcPr>
            <w:tcW w:w="2760" w:type="dxa"/>
            <w:tcBorders>
              <w:top w:val="nil"/>
              <w:left w:val="nil"/>
              <w:right w:val="nil"/>
            </w:tcBorders>
            <w:shd w:val="clear" w:color="000000" w:fill="FFFFFF"/>
            <w:tcMar>
              <w:top w:w="85" w:type="dxa"/>
            </w:tcMar>
            <w:hideMark/>
          </w:tcPr>
          <w:p w:rsidR="000A0481" w:rsidRPr="0037163B" w:rsidRDefault="000A0481" w:rsidP="00D77D77">
            <w:pPr>
              <w:widowControl w:val="0"/>
              <w:spacing w:after="240"/>
              <w:rPr>
                <w:sz w:val="16"/>
                <w:szCs w:val="16"/>
              </w:rPr>
            </w:pPr>
            <w:r w:rsidRPr="0037163B">
              <w:rPr>
                <w:sz w:val="16"/>
                <w:szCs w:val="16"/>
              </w:rPr>
              <w:t>África (24</w:t>
            </w:r>
            <w:r w:rsidR="00D77D77">
              <w:rPr>
                <w:sz w:val="16"/>
                <w:szCs w:val="16"/>
              </w:rPr>
              <w:t xml:space="preserve"> en total</w:t>
            </w:r>
            <w:r w:rsidRPr="0037163B">
              <w:rPr>
                <w:sz w:val="16"/>
                <w:szCs w:val="16"/>
              </w:rPr>
              <w:t>)</w:t>
            </w:r>
            <w:r w:rsidRPr="0037163B">
              <w:rPr>
                <w:sz w:val="16"/>
                <w:szCs w:val="16"/>
              </w:rPr>
              <w:br/>
              <w:t>Países árabes (4 en 2014)</w:t>
            </w:r>
            <w:r w:rsidRPr="0037163B">
              <w:rPr>
                <w:sz w:val="16"/>
                <w:szCs w:val="16"/>
              </w:rPr>
              <w:br/>
              <w:t>Asia y el Pacífico (14</w:t>
            </w:r>
            <w:r w:rsidR="00D77D77">
              <w:rPr>
                <w:sz w:val="16"/>
                <w:szCs w:val="16"/>
              </w:rPr>
              <w:t xml:space="preserve"> en total</w:t>
            </w:r>
            <w:r w:rsidRPr="0037163B">
              <w:rPr>
                <w:sz w:val="16"/>
                <w:szCs w:val="16"/>
              </w:rPr>
              <w:t>)</w:t>
            </w:r>
            <w:r w:rsidRPr="0037163B">
              <w:rPr>
                <w:sz w:val="16"/>
                <w:szCs w:val="16"/>
              </w:rPr>
              <w:br/>
              <w:t>América Latina y el Caribe (12</w:t>
            </w:r>
            <w:r w:rsidR="00D77D77">
              <w:rPr>
                <w:sz w:val="16"/>
                <w:szCs w:val="16"/>
              </w:rPr>
              <w:t xml:space="preserve"> </w:t>
            </w:r>
            <w:r w:rsidRPr="0037163B">
              <w:rPr>
                <w:sz w:val="16"/>
                <w:szCs w:val="16"/>
              </w:rPr>
              <w:t>en total)</w:t>
            </w:r>
          </w:p>
        </w:tc>
        <w:tc>
          <w:tcPr>
            <w:tcW w:w="1975" w:type="dxa"/>
            <w:tcBorders>
              <w:top w:val="nil"/>
              <w:left w:val="nil"/>
              <w:right w:val="single" w:sz="4" w:space="0" w:color="auto"/>
            </w:tcBorders>
            <w:shd w:val="clear" w:color="000000" w:fill="FFFFFF"/>
            <w:tcMar>
              <w:top w:w="85" w:type="dxa"/>
            </w:tcMar>
            <w:hideMark/>
          </w:tcPr>
          <w:p w:rsidR="000A0481" w:rsidRPr="0037163B" w:rsidRDefault="000A0481" w:rsidP="00D77D77">
            <w:pPr>
              <w:widowControl w:val="0"/>
              <w:spacing w:after="240"/>
              <w:rPr>
                <w:sz w:val="16"/>
                <w:szCs w:val="16"/>
              </w:rPr>
            </w:pPr>
            <w:r w:rsidRPr="0037163B">
              <w:rPr>
                <w:sz w:val="16"/>
                <w:szCs w:val="16"/>
              </w:rPr>
              <w:t xml:space="preserve">África (3 </w:t>
            </w:r>
            <w:r w:rsidR="00D77D77">
              <w:rPr>
                <w:sz w:val="16"/>
                <w:szCs w:val="16"/>
              </w:rPr>
              <w:t>más</w:t>
            </w:r>
            <w:r w:rsidRPr="0037163B">
              <w:rPr>
                <w:sz w:val="16"/>
                <w:szCs w:val="16"/>
              </w:rPr>
              <w:t>)</w:t>
            </w:r>
            <w:r w:rsidRPr="0037163B">
              <w:rPr>
                <w:sz w:val="16"/>
                <w:szCs w:val="16"/>
              </w:rPr>
              <w:br/>
              <w:t>Países árabes (</w:t>
            </w:r>
            <w:r w:rsidR="00D77D77">
              <w:rPr>
                <w:sz w:val="16"/>
                <w:szCs w:val="16"/>
              </w:rPr>
              <w:t>4</w:t>
            </w:r>
            <w:r w:rsidRPr="0037163B">
              <w:rPr>
                <w:sz w:val="16"/>
                <w:szCs w:val="16"/>
              </w:rPr>
              <w:t xml:space="preserve"> </w:t>
            </w:r>
            <w:r w:rsidR="00D77D77">
              <w:rPr>
                <w:sz w:val="16"/>
                <w:szCs w:val="16"/>
              </w:rPr>
              <w:t>más</w:t>
            </w:r>
            <w:r w:rsidRPr="0037163B">
              <w:rPr>
                <w:sz w:val="16"/>
                <w:szCs w:val="16"/>
              </w:rPr>
              <w:t>)</w:t>
            </w:r>
            <w:r w:rsidRPr="0037163B">
              <w:rPr>
                <w:sz w:val="16"/>
                <w:szCs w:val="16"/>
              </w:rPr>
              <w:br/>
              <w:t xml:space="preserve">Asia y el Pacífico (4 </w:t>
            </w:r>
            <w:r w:rsidR="00D77D77">
              <w:rPr>
                <w:sz w:val="16"/>
                <w:szCs w:val="16"/>
              </w:rPr>
              <w:t>más</w:t>
            </w:r>
            <w:r w:rsidRPr="0037163B">
              <w:rPr>
                <w:sz w:val="16"/>
                <w:szCs w:val="16"/>
              </w:rPr>
              <w:t>)</w:t>
            </w:r>
            <w:r w:rsidRPr="0037163B">
              <w:rPr>
                <w:sz w:val="16"/>
                <w:szCs w:val="16"/>
              </w:rPr>
              <w:br/>
              <w:t>América Latina y el Caribe (</w:t>
            </w:r>
            <w:r w:rsidR="00D77D77">
              <w:rPr>
                <w:sz w:val="16"/>
                <w:szCs w:val="16"/>
              </w:rPr>
              <w:t>5 más</w:t>
            </w:r>
            <w:r w:rsidRPr="0037163B">
              <w:rPr>
                <w:sz w:val="16"/>
                <w:szCs w:val="16"/>
              </w:rPr>
              <w:t>)</w:t>
            </w:r>
          </w:p>
        </w:tc>
      </w:tr>
      <w:tr w:rsidR="000A0481" w:rsidRPr="0037163B" w:rsidTr="00873DF1">
        <w:trPr>
          <w:trHeight w:val="1265"/>
        </w:trPr>
        <w:tc>
          <w:tcPr>
            <w:tcW w:w="2280" w:type="dxa"/>
            <w:tcBorders>
              <w:top w:val="nil"/>
              <w:left w:val="single" w:sz="4" w:space="0" w:color="auto"/>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top w:val="nil"/>
              <w:left w:val="nil"/>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Número de países que han adoptado estrategias nacionales de innovación y de P.I.</w:t>
            </w:r>
          </w:p>
        </w:tc>
        <w:tc>
          <w:tcPr>
            <w:tcW w:w="2760" w:type="dxa"/>
            <w:tcBorders>
              <w:top w:val="nil"/>
              <w:left w:val="nil"/>
              <w:bottom w:val="single" w:sz="4" w:space="0" w:color="auto"/>
              <w:right w:val="nil"/>
            </w:tcBorders>
            <w:shd w:val="clear" w:color="000000" w:fill="FFFFFF"/>
            <w:tcMar>
              <w:top w:w="85" w:type="dxa"/>
            </w:tcMar>
            <w:hideMark/>
          </w:tcPr>
          <w:p w:rsidR="000A0481" w:rsidRPr="0037163B" w:rsidRDefault="000A0481" w:rsidP="00245CAF">
            <w:pPr>
              <w:widowControl w:val="0"/>
              <w:spacing w:after="240"/>
              <w:rPr>
                <w:sz w:val="16"/>
                <w:szCs w:val="16"/>
              </w:rPr>
            </w:pPr>
            <w:r w:rsidRPr="0037163B">
              <w:rPr>
                <w:sz w:val="16"/>
                <w:szCs w:val="16"/>
              </w:rPr>
              <w:t>África (</w:t>
            </w:r>
            <w:r w:rsidR="00D77D77">
              <w:rPr>
                <w:sz w:val="16"/>
                <w:szCs w:val="16"/>
              </w:rPr>
              <w:t>21 en total</w:t>
            </w:r>
            <w:r w:rsidRPr="0037163B">
              <w:rPr>
                <w:sz w:val="16"/>
                <w:szCs w:val="16"/>
              </w:rPr>
              <w:t>)</w:t>
            </w:r>
            <w:r w:rsidRPr="0037163B">
              <w:rPr>
                <w:sz w:val="16"/>
                <w:szCs w:val="16"/>
              </w:rPr>
              <w:br/>
              <w:t>Países árabes (</w:t>
            </w:r>
            <w:r w:rsidR="00D77D77">
              <w:rPr>
                <w:sz w:val="16"/>
                <w:szCs w:val="16"/>
              </w:rPr>
              <w:t>2 en total)</w:t>
            </w:r>
            <w:r w:rsidR="00D77D77">
              <w:rPr>
                <w:sz w:val="16"/>
                <w:szCs w:val="16"/>
              </w:rPr>
              <w:br/>
              <w:t>Asia y el Pacífico (8 en total</w:t>
            </w:r>
            <w:r w:rsidRPr="0037163B">
              <w:rPr>
                <w:sz w:val="16"/>
                <w:szCs w:val="16"/>
              </w:rPr>
              <w:t>)</w:t>
            </w:r>
            <w:r w:rsidRPr="0037163B">
              <w:rPr>
                <w:sz w:val="16"/>
                <w:szCs w:val="16"/>
              </w:rPr>
              <w:br/>
              <w:t>América Latina y el Caribe (6</w:t>
            </w:r>
            <w:r w:rsidR="00D77D77">
              <w:rPr>
                <w:sz w:val="16"/>
                <w:szCs w:val="16"/>
              </w:rPr>
              <w:t xml:space="preserve"> en total</w:t>
            </w:r>
            <w:r w:rsidRPr="0037163B">
              <w:rPr>
                <w:sz w:val="16"/>
                <w:szCs w:val="16"/>
              </w:rPr>
              <w:t>)</w:t>
            </w:r>
            <w:r w:rsidRPr="0037163B">
              <w:rPr>
                <w:sz w:val="16"/>
                <w:szCs w:val="16"/>
              </w:rPr>
              <w:br/>
            </w:r>
          </w:p>
        </w:tc>
        <w:tc>
          <w:tcPr>
            <w:tcW w:w="1975" w:type="dxa"/>
            <w:tcBorders>
              <w:top w:val="nil"/>
              <w:left w:val="nil"/>
              <w:bottom w:val="single" w:sz="4" w:space="0" w:color="auto"/>
              <w:right w:val="single" w:sz="4" w:space="0" w:color="auto"/>
            </w:tcBorders>
            <w:shd w:val="clear" w:color="000000" w:fill="FFFFFF"/>
            <w:tcMar>
              <w:top w:w="85" w:type="dxa"/>
            </w:tcMar>
            <w:hideMark/>
          </w:tcPr>
          <w:p w:rsidR="000A0481" w:rsidRPr="0037163B" w:rsidRDefault="000A0481" w:rsidP="00245CAF">
            <w:pPr>
              <w:widowControl w:val="0"/>
              <w:spacing w:after="240"/>
              <w:rPr>
                <w:sz w:val="16"/>
                <w:szCs w:val="16"/>
              </w:rPr>
            </w:pPr>
            <w:r w:rsidRPr="0037163B">
              <w:rPr>
                <w:sz w:val="16"/>
                <w:szCs w:val="16"/>
              </w:rPr>
              <w:t>África (</w:t>
            </w:r>
            <w:r w:rsidR="00245CAF">
              <w:rPr>
                <w:sz w:val="16"/>
                <w:szCs w:val="16"/>
              </w:rPr>
              <w:t>8 más</w:t>
            </w:r>
            <w:r w:rsidRPr="0037163B">
              <w:rPr>
                <w:sz w:val="16"/>
                <w:szCs w:val="16"/>
              </w:rPr>
              <w:t>)</w:t>
            </w:r>
            <w:r w:rsidRPr="0037163B">
              <w:rPr>
                <w:sz w:val="16"/>
                <w:szCs w:val="16"/>
              </w:rPr>
              <w:br/>
              <w:t>Países árabes (2</w:t>
            </w:r>
            <w:r w:rsidR="00245CAF">
              <w:rPr>
                <w:sz w:val="16"/>
                <w:szCs w:val="16"/>
              </w:rPr>
              <w:t xml:space="preserve"> más</w:t>
            </w:r>
            <w:r w:rsidRPr="0037163B">
              <w:rPr>
                <w:sz w:val="16"/>
                <w:szCs w:val="16"/>
              </w:rPr>
              <w:t>)</w:t>
            </w:r>
            <w:r w:rsidRPr="0037163B">
              <w:rPr>
                <w:sz w:val="16"/>
                <w:szCs w:val="16"/>
              </w:rPr>
              <w:br/>
              <w:t>Asia y el Pacífico (7</w:t>
            </w:r>
            <w:r w:rsidR="00245CAF">
              <w:rPr>
                <w:sz w:val="16"/>
                <w:szCs w:val="16"/>
              </w:rPr>
              <w:t xml:space="preserve"> más</w:t>
            </w:r>
            <w:r w:rsidRPr="0037163B">
              <w:rPr>
                <w:sz w:val="16"/>
                <w:szCs w:val="16"/>
              </w:rPr>
              <w:t>)</w:t>
            </w:r>
            <w:r w:rsidRPr="0037163B">
              <w:rPr>
                <w:sz w:val="16"/>
                <w:szCs w:val="16"/>
              </w:rPr>
              <w:br/>
              <w:t>América Latina y el Caribe (</w:t>
            </w:r>
            <w:r w:rsidR="00245CAF">
              <w:rPr>
                <w:sz w:val="16"/>
                <w:szCs w:val="16"/>
              </w:rPr>
              <w:t>2 más</w:t>
            </w:r>
            <w:r w:rsidRPr="0037163B">
              <w:rPr>
                <w:sz w:val="16"/>
                <w:szCs w:val="16"/>
              </w:rPr>
              <w:t>)</w:t>
            </w:r>
          </w:p>
        </w:tc>
      </w:tr>
      <w:tr w:rsidR="000A0481" w:rsidRPr="0037163B" w:rsidTr="00245CAF">
        <w:trPr>
          <w:trHeight w:val="1035"/>
        </w:trPr>
        <w:tc>
          <w:tcPr>
            <w:tcW w:w="2280" w:type="dxa"/>
            <w:tcBorders>
              <w:top w:val="single" w:sz="4" w:space="0" w:color="auto"/>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lastRenderedPageBreak/>
              <w:t> </w:t>
            </w:r>
          </w:p>
        </w:tc>
        <w:tc>
          <w:tcPr>
            <w:tcW w:w="2180" w:type="dxa"/>
            <w:tcBorders>
              <w:top w:val="single" w:sz="4" w:space="0" w:color="auto"/>
              <w:left w:val="nil"/>
              <w:right w:val="nil"/>
            </w:tcBorders>
            <w:shd w:val="clear" w:color="000000" w:fill="FFFFFF"/>
            <w:tcMar>
              <w:top w:w="85" w:type="dxa"/>
            </w:tcMar>
            <w:hideMark/>
          </w:tcPr>
          <w:p w:rsidR="000A0481" w:rsidRPr="0037163B" w:rsidRDefault="000A0481" w:rsidP="00F57A93">
            <w:pPr>
              <w:widowControl w:val="0"/>
              <w:rPr>
                <w:sz w:val="16"/>
                <w:szCs w:val="16"/>
              </w:rPr>
            </w:pPr>
            <w:r w:rsidRPr="0037163B">
              <w:rPr>
                <w:sz w:val="16"/>
                <w:szCs w:val="16"/>
              </w:rPr>
              <w:t>N</w:t>
            </w:r>
            <w:r w:rsidR="00F57A93">
              <w:rPr>
                <w:sz w:val="16"/>
                <w:szCs w:val="16"/>
              </w:rPr>
              <w:t>º</w:t>
            </w:r>
            <w:r w:rsidRPr="0037163B">
              <w:rPr>
                <w:sz w:val="16"/>
                <w:szCs w:val="16"/>
              </w:rPr>
              <w:t xml:space="preserve"> de países que están aplicando estrategias nacionales de innovación y de P.I. y planes de desarrollo de la P.I.</w:t>
            </w:r>
          </w:p>
        </w:tc>
        <w:tc>
          <w:tcPr>
            <w:tcW w:w="2760" w:type="dxa"/>
            <w:tcBorders>
              <w:top w:val="single" w:sz="4" w:space="0" w:color="auto"/>
              <w:left w:val="nil"/>
              <w:right w:val="nil"/>
            </w:tcBorders>
            <w:shd w:val="clear" w:color="000000" w:fill="FFFFFF"/>
            <w:tcMar>
              <w:top w:w="85" w:type="dxa"/>
            </w:tcMar>
            <w:hideMark/>
          </w:tcPr>
          <w:p w:rsidR="000A0481" w:rsidRPr="0037163B" w:rsidRDefault="00245CAF" w:rsidP="00245CAF">
            <w:pPr>
              <w:widowControl w:val="0"/>
              <w:spacing w:after="240"/>
              <w:rPr>
                <w:sz w:val="16"/>
                <w:szCs w:val="16"/>
              </w:rPr>
            </w:pPr>
            <w:r>
              <w:rPr>
                <w:sz w:val="16"/>
                <w:szCs w:val="16"/>
              </w:rPr>
              <w:t>África (21 en total</w:t>
            </w:r>
            <w:r w:rsidR="000A0481" w:rsidRPr="0037163B">
              <w:rPr>
                <w:sz w:val="16"/>
                <w:szCs w:val="16"/>
              </w:rPr>
              <w:t>)</w:t>
            </w:r>
            <w:r w:rsidR="000A0481" w:rsidRPr="0037163B">
              <w:rPr>
                <w:sz w:val="16"/>
                <w:szCs w:val="16"/>
              </w:rPr>
              <w:br/>
              <w:t>Países árabes (2</w:t>
            </w:r>
            <w:r>
              <w:rPr>
                <w:sz w:val="16"/>
                <w:szCs w:val="16"/>
              </w:rPr>
              <w:t xml:space="preserve"> en total</w:t>
            </w:r>
            <w:r w:rsidR="000A0481" w:rsidRPr="0037163B">
              <w:rPr>
                <w:sz w:val="16"/>
                <w:szCs w:val="16"/>
              </w:rPr>
              <w:t>)</w:t>
            </w:r>
            <w:r w:rsidR="000A0481" w:rsidRPr="0037163B">
              <w:rPr>
                <w:sz w:val="16"/>
                <w:szCs w:val="16"/>
              </w:rPr>
              <w:br/>
              <w:t>Asia y el Pacífico (4</w:t>
            </w:r>
            <w:r>
              <w:rPr>
                <w:sz w:val="16"/>
                <w:szCs w:val="16"/>
              </w:rPr>
              <w:t xml:space="preserve"> en total</w:t>
            </w:r>
            <w:r w:rsidR="000A0481" w:rsidRPr="0037163B">
              <w:rPr>
                <w:sz w:val="16"/>
                <w:szCs w:val="16"/>
              </w:rPr>
              <w:t>)</w:t>
            </w:r>
            <w:r w:rsidR="000A0481" w:rsidRPr="0037163B">
              <w:rPr>
                <w:sz w:val="16"/>
                <w:szCs w:val="16"/>
              </w:rPr>
              <w:br/>
              <w:t>América Latina y el Caribe (6</w:t>
            </w:r>
            <w:r>
              <w:rPr>
                <w:sz w:val="16"/>
                <w:szCs w:val="16"/>
              </w:rPr>
              <w:t xml:space="preserve"> en total</w:t>
            </w:r>
            <w:r w:rsidR="000A0481" w:rsidRPr="0037163B">
              <w:rPr>
                <w:sz w:val="16"/>
                <w:szCs w:val="16"/>
              </w:rPr>
              <w:t>)</w:t>
            </w:r>
          </w:p>
        </w:tc>
        <w:tc>
          <w:tcPr>
            <w:tcW w:w="1975" w:type="dxa"/>
            <w:tcBorders>
              <w:top w:val="single" w:sz="4" w:space="0" w:color="auto"/>
              <w:left w:val="nil"/>
              <w:right w:val="single" w:sz="4" w:space="0" w:color="auto"/>
            </w:tcBorders>
            <w:shd w:val="clear" w:color="000000" w:fill="FFFFFF"/>
            <w:tcMar>
              <w:top w:w="85" w:type="dxa"/>
            </w:tcMar>
            <w:hideMark/>
          </w:tcPr>
          <w:p w:rsidR="000A0481" w:rsidRPr="0037163B" w:rsidRDefault="000A0481" w:rsidP="00245CAF">
            <w:pPr>
              <w:widowControl w:val="0"/>
              <w:spacing w:after="240"/>
              <w:rPr>
                <w:sz w:val="16"/>
                <w:szCs w:val="16"/>
              </w:rPr>
            </w:pPr>
            <w:r w:rsidRPr="0037163B">
              <w:rPr>
                <w:sz w:val="16"/>
                <w:szCs w:val="16"/>
              </w:rPr>
              <w:t>África (</w:t>
            </w:r>
            <w:r w:rsidR="00245CAF">
              <w:rPr>
                <w:sz w:val="16"/>
                <w:szCs w:val="16"/>
              </w:rPr>
              <w:t>8 más</w:t>
            </w:r>
            <w:r w:rsidRPr="0037163B">
              <w:rPr>
                <w:sz w:val="16"/>
                <w:szCs w:val="16"/>
              </w:rPr>
              <w:t>)</w:t>
            </w:r>
            <w:r w:rsidRPr="0037163B">
              <w:rPr>
                <w:sz w:val="16"/>
                <w:szCs w:val="16"/>
              </w:rPr>
              <w:br/>
              <w:t>Países árabes (</w:t>
            </w:r>
            <w:r w:rsidR="00245CAF">
              <w:rPr>
                <w:sz w:val="16"/>
                <w:szCs w:val="16"/>
              </w:rPr>
              <w:t>2 más</w:t>
            </w:r>
            <w:r w:rsidRPr="0037163B">
              <w:rPr>
                <w:sz w:val="16"/>
                <w:szCs w:val="16"/>
              </w:rPr>
              <w:t>)</w:t>
            </w:r>
            <w:r w:rsidRPr="0037163B">
              <w:rPr>
                <w:sz w:val="16"/>
                <w:szCs w:val="16"/>
              </w:rPr>
              <w:br/>
              <w:t>Asia y el Pacífico (7</w:t>
            </w:r>
            <w:r w:rsidR="00245CAF">
              <w:rPr>
                <w:sz w:val="16"/>
                <w:szCs w:val="16"/>
              </w:rPr>
              <w:t xml:space="preserve"> más</w:t>
            </w:r>
            <w:r w:rsidRPr="0037163B">
              <w:rPr>
                <w:sz w:val="16"/>
                <w:szCs w:val="16"/>
              </w:rPr>
              <w:t>)</w:t>
            </w:r>
            <w:r w:rsidRPr="0037163B">
              <w:rPr>
                <w:sz w:val="16"/>
                <w:szCs w:val="16"/>
              </w:rPr>
              <w:br/>
              <w:t>América Latina y el Caribe (</w:t>
            </w:r>
            <w:r w:rsidR="00245CAF">
              <w:rPr>
                <w:sz w:val="16"/>
                <w:szCs w:val="16"/>
              </w:rPr>
              <w:t>6 más</w:t>
            </w:r>
            <w:r w:rsidRPr="0037163B">
              <w:rPr>
                <w:sz w:val="16"/>
                <w:szCs w:val="16"/>
              </w:rPr>
              <w:t>)</w:t>
            </w:r>
          </w:p>
        </w:tc>
      </w:tr>
      <w:tr w:rsidR="000A0481" w:rsidRPr="0037163B" w:rsidTr="00873DF1">
        <w:trPr>
          <w:trHeight w:val="1355"/>
        </w:trPr>
        <w:tc>
          <w:tcPr>
            <w:tcW w:w="2280" w:type="dxa"/>
            <w:tcBorders>
              <w:top w:val="nil"/>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III.</w:t>
            </w:r>
            <w:r w:rsidRPr="00245CAF">
              <w:rPr>
                <w:sz w:val="16"/>
                <w:szCs w:val="16"/>
              </w:rPr>
              <w:t xml:space="preserve">2 </w:t>
            </w:r>
            <w:r w:rsidR="001C77D9" w:rsidRPr="00245CAF">
              <w:rPr>
                <w:sz w:val="16"/>
                <w:szCs w:val="16"/>
              </w:rPr>
              <w:t xml:space="preserve"> </w:t>
            </w:r>
            <w:r w:rsidR="006C23D5" w:rsidRPr="00245CAF">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180" w:type="dxa"/>
            <w:tcBorders>
              <w:top w:val="nil"/>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Porcentaje de participantes en actividades de la OMPI que se muestran satisfechos del contenido y la organización de dichos actos.</w:t>
            </w:r>
          </w:p>
        </w:tc>
        <w:tc>
          <w:tcPr>
            <w:tcW w:w="2760" w:type="dxa"/>
            <w:tcBorders>
              <w:top w:val="nil"/>
              <w:left w:val="nil"/>
              <w:right w:val="nil"/>
            </w:tcBorders>
            <w:shd w:val="clear" w:color="000000" w:fill="FFFFFF"/>
            <w:tcMar>
              <w:top w:w="85" w:type="dxa"/>
            </w:tcMar>
            <w:hideMark/>
          </w:tcPr>
          <w:p w:rsidR="000A0481" w:rsidRPr="0037163B" w:rsidRDefault="000A0481" w:rsidP="00245CAF">
            <w:pPr>
              <w:widowControl w:val="0"/>
              <w:rPr>
                <w:sz w:val="16"/>
                <w:szCs w:val="16"/>
              </w:rPr>
            </w:pPr>
            <w:r w:rsidRPr="0037163B">
              <w:rPr>
                <w:sz w:val="16"/>
                <w:szCs w:val="16"/>
              </w:rPr>
              <w:t>África (70%)</w:t>
            </w:r>
            <w:r w:rsidRPr="0037163B">
              <w:rPr>
                <w:sz w:val="16"/>
                <w:szCs w:val="16"/>
              </w:rPr>
              <w:br/>
              <w:t>Países árabes (</w:t>
            </w:r>
            <w:r w:rsidR="00245CAF">
              <w:rPr>
                <w:sz w:val="16"/>
                <w:szCs w:val="16"/>
              </w:rPr>
              <w:t xml:space="preserve">no disponible en 2014; ejecución del sistema en 2015);  </w:t>
            </w:r>
            <w:r w:rsidRPr="0037163B">
              <w:rPr>
                <w:sz w:val="16"/>
                <w:szCs w:val="16"/>
              </w:rPr>
              <w:t>Asia y el Pacífico (</w:t>
            </w:r>
            <w:r w:rsidR="00245CAF">
              <w:rPr>
                <w:sz w:val="16"/>
                <w:szCs w:val="16"/>
              </w:rPr>
              <w:t>92</w:t>
            </w:r>
            <w:r w:rsidRPr="0037163B">
              <w:rPr>
                <w:sz w:val="16"/>
                <w:szCs w:val="16"/>
              </w:rPr>
              <w:t>%)</w:t>
            </w:r>
            <w:r w:rsidR="00245CAF">
              <w:rPr>
                <w:sz w:val="16"/>
                <w:szCs w:val="16"/>
              </w:rPr>
              <w:t xml:space="preserve">;  </w:t>
            </w:r>
            <w:r w:rsidRPr="0037163B">
              <w:rPr>
                <w:sz w:val="16"/>
                <w:szCs w:val="16"/>
              </w:rPr>
              <w:t>América Latina y el Caribe (</w:t>
            </w:r>
            <w:r w:rsidR="00245CAF">
              <w:rPr>
                <w:sz w:val="16"/>
                <w:szCs w:val="16"/>
              </w:rPr>
              <w:t>no disponible en 2014, ejecución del sistema en 2015);  PMA (9</w:t>
            </w:r>
            <w:r w:rsidRPr="0037163B">
              <w:rPr>
                <w:sz w:val="16"/>
                <w:szCs w:val="16"/>
              </w:rPr>
              <w:t>0%)</w:t>
            </w:r>
          </w:p>
        </w:tc>
        <w:tc>
          <w:tcPr>
            <w:tcW w:w="1975" w:type="dxa"/>
            <w:tcBorders>
              <w:top w:val="nil"/>
              <w:left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África (70%)</w:t>
            </w:r>
            <w:r w:rsidRPr="0037163B">
              <w:rPr>
                <w:sz w:val="16"/>
                <w:szCs w:val="16"/>
              </w:rPr>
              <w:br/>
              <w:t>Países árabes (70%)</w:t>
            </w:r>
            <w:r w:rsidRPr="0037163B">
              <w:rPr>
                <w:sz w:val="16"/>
                <w:szCs w:val="16"/>
              </w:rPr>
              <w:br/>
              <w:t>Asia y el Pacífico (70%)</w:t>
            </w:r>
            <w:r w:rsidRPr="0037163B">
              <w:rPr>
                <w:sz w:val="16"/>
                <w:szCs w:val="16"/>
              </w:rPr>
              <w:br/>
              <w:t>América Latina y el Caribe (85%)</w:t>
            </w:r>
            <w:r w:rsidRPr="0037163B">
              <w:rPr>
                <w:sz w:val="16"/>
                <w:szCs w:val="16"/>
              </w:rPr>
              <w:br/>
              <w:t>PMA (70%)</w:t>
            </w:r>
          </w:p>
        </w:tc>
      </w:tr>
      <w:tr w:rsidR="000A0481" w:rsidRPr="0037163B" w:rsidTr="00873DF1">
        <w:trPr>
          <w:trHeight w:val="1176"/>
        </w:trPr>
        <w:tc>
          <w:tcPr>
            <w:tcW w:w="2280" w:type="dxa"/>
            <w:tcBorders>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left w:val="nil"/>
              <w:right w:val="nil"/>
            </w:tcBorders>
            <w:shd w:val="clear" w:color="000000" w:fill="FFFFFF"/>
            <w:tcMar>
              <w:top w:w="85" w:type="dxa"/>
            </w:tcMar>
            <w:hideMark/>
          </w:tcPr>
          <w:p w:rsidR="000A0481" w:rsidRPr="0037163B" w:rsidRDefault="000A0481" w:rsidP="000A0481">
            <w:pPr>
              <w:widowControl w:val="0"/>
              <w:spacing w:after="240"/>
              <w:rPr>
                <w:sz w:val="16"/>
                <w:szCs w:val="16"/>
              </w:rPr>
            </w:pPr>
            <w:r w:rsidRPr="0037163B">
              <w:rPr>
                <w:sz w:val="16"/>
                <w:szCs w:val="16"/>
              </w:rPr>
              <w:t>Porcentaje de participantes en talleres de la OMPI que aplican las capacidades adquiridas en su labor/empresa.</w:t>
            </w:r>
          </w:p>
        </w:tc>
        <w:tc>
          <w:tcPr>
            <w:tcW w:w="2760" w:type="dxa"/>
            <w:tcBorders>
              <w:left w:val="nil"/>
              <w:right w:val="nil"/>
            </w:tcBorders>
            <w:shd w:val="clear" w:color="000000" w:fill="FFFFFF"/>
            <w:tcMar>
              <w:top w:w="85" w:type="dxa"/>
            </w:tcMar>
            <w:hideMark/>
          </w:tcPr>
          <w:p w:rsidR="000A0481" w:rsidRPr="0037163B" w:rsidRDefault="000A0481" w:rsidP="00245CAF">
            <w:pPr>
              <w:widowControl w:val="0"/>
              <w:rPr>
                <w:sz w:val="16"/>
                <w:szCs w:val="16"/>
              </w:rPr>
            </w:pPr>
            <w:r w:rsidRPr="0037163B">
              <w:rPr>
                <w:sz w:val="16"/>
                <w:szCs w:val="16"/>
              </w:rPr>
              <w:t>África (70%)</w:t>
            </w:r>
            <w:r w:rsidRPr="0037163B">
              <w:rPr>
                <w:sz w:val="16"/>
                <w:szCs w:val="16"/>
              </w:rPr>
              <w:br/>
              <w:t>Países árabes (</w:t>
            </w:r>
            <w:r w:rsidR="00245CAF">
              <w:rPr>
                <w:sz w:val="16"/>
                <w:szCs w:val="16"/>
              </w:rPr>
              <w:t>no disponible en 2014, ejecución del sistema en 201</w:t>
            </w:r>
            <w:r w:rsidRPr="0037163B">
              <w:rPr>
                <w:sz w:val="16"/>
                <w:szCs w:val="16"/>
              </w:rPr>
              <w:t>5)</w:t>
            </w:r>
            <w:r w:rsidR="00245CAF">
              <w:rPr>
                <w:sz w:val="16"/>
                <w:szCs w:val="16"/>
              </w:rPr>
              <w:t xml:space="preserve">;  </w:t>
            </w:r>
            <w:r w:rsidRPr="0037163B">
              <w:rPr>
                <w:sz w:val="16"/>
                <w:szCs w:val="16"/>
              </w:rPr>
              <w:t>Asia y el Pacífico (</w:t>
            </w:r>
            <w:r w:rsidR="00245CAF">
              <w:rPr>
                <w:sz w:val="16"/>
                <w:szCs w:val="16"/>
              </w:rPr>
              <w:t>89</w:t>
            </w:r>
            <w:r w:rsidRPr="0037163B">
              <w:rPr>
                <w:sz w:val="16"/>
                <w:szCs w:val="16"/>
              </w:rPr>
              <w:t>%)</w:t>
            </w:r>
            <w:r w:rsidR="00245CAF">
              <w:rPr>
                <w:sz w:val="16"/>
                <w:szCs w:val="16"/>
              </w:rPr>
              <w:t xml:space="preserve">;  </w:t>
            </w:r>
            <w:r w:rsidRPr="0037163B">
              <w:rPr>
                <w:sz w:val="16"/>
                <w:szCs w:val="16"/>
              </w:rPr>
              <w:t>América Latina y el Caribe (</w:t>
            </w:r>
            <w:r w:rsidR="00245CAF">
              <w:rPr>
                <w:sz w:val="16"/>
                <w:szCs w:val="16"/>
              </w:rPr>
              <w:t xml:space="preserve">no disponible en 2014; ejecución del sistema en 2015);  </w:t>
            </w:r>
            <w:r w:rsidRPr="0037163B">
              <w:rPr>
                <w:sz w:val="16"/>
                <w:szCs w:val="16"/>
              </w:rPr>
              <w:t>PMA (</w:t>
            </w:r>
            <w:r w:rsidR="00245CAF">
              <w:rPr>
                <w:sz w:val="16"/>
                <w:szCs w:val="16"/>
              </w:rPr>
              <w:t>95</w:t>
            </w:r>
            <w:r w:rsidRPr="0037163B">
              <w:rPr>
                <w:sz w:val="16"/>
                <w:szCs w:val="16"/>
              </w:rPr>
              <w:t>%).</w:t>
            </w:r>
          </w:p>
        </w:tc>
        <w:tc>
          <w:tcPr>
            <w:tcW w:w="1975" w:type="dxa"/>
            <w:tcBorders>
              <w:left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África (70%)</w:t>
            </w:r>
            <w:r w:rsidRPr="0037163B">
              <w:rPr>
                <w:sz w:val="16"/>
                <w:szCs w:val="16"/>
              </w:rPr>
              <w:br/>
              <w:t>Países árabes (50%)</w:t>
            </w:r>
            <w:r w:rsidRPr="0037163B">
              <w:rPr>
                <w:sz w:val="16"/>
                <w:szCs w:val="16"/>
              </w:rPr>
              <w:br/>
              <w:t>Asia y el Pacífico (70%)</w:t>
            </w:r>
            <w:r w:rsidRPr="0037163B">
              <w:rPr>
                <w:sz w:val="16"/>
                <w:szCs w:val="16"/>
              </w:rPr>
              <w:br/>
              <w:t xml:space="preserve">América Latina y el Caribe (45%) </w:t>
            </w:r>
          </w:p>
          <w:p w:rsidR="000A0481" w:rsidRPr="0037163B" w:rsidRDefault="000A0481" w:rsidP="000A0481">
            <w:pPr>
              <w:widowControl w:val="0"/>
              <w:rPr>
                <w:sz w:val="16"/>
                <w:szCs w:val="16"/>
              </w:rPr>
            </w:pPr>
            <w:r w:rsidRPr="0037163B">
              <w:rPr>
                <w:sz w:val="16"/>
                <w:szCs w:val="16"/>
              </w:rPr>
              <w:t>PMA (50%).</w:t>
            </w:r>
          </w:p>
        </w:tc>
      </w:tr>
      <w:tr w:rsidR="000A0481" w:rsidRPr="0037163B" w:rsidTr="00245CAF">
        <w:trPr>
          <w:trHeight w:val="1181"/>
        </w:trPr>
        <w:tc>
          <w:tcPr>
            <w:tcW w:w="2280" w:type="dxa"/>
            <w:tcBorders>
              <w:left w:val="single" w:sz="4" w:space="0" w:color="auto"/>
              <w:bottom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left w:val="nil"/>
              <w:bottom w:val="nil"/>
              <w:right w:val="nil"/>
            </w:tcBorders>
            <w:shd w:val="clear" w:color="000000" w:fill="FFFFFF"/>
            <w:tcMar>
              <w:top w:w="85" w:type="dxa"/>
            </w:tcMar>
            <w:hideMark/>
          </w:tcPr>
          <w:p w:rsidR="000A0481" w:rsidRPr="0037163B" w:rsidRDefault="000827C6" w:rsidP="000A0481">
            <w:pPr>
              <w:widowControl w:val="0"/>
              <w:rPr>
                <w:sz w:val="16"/>
                <w:szCs w:val="16"/>
              </w:rPr>
            </w:pPr>
            <w:r w:rsidRPr="00290055">
              <w:rPr>
                <w:sz w:val="16"/>
                <w:szCs w:val="16"/>
              </w:rPr>
              <w:t>Porcentaje de expertos nacionales y regionales de P.I. que participan como expertos en las actividades de la OMPI.</w:t>
            </w:r>
          </w:p>
        </w:tc>
        <w:tc>
          <w:tcPr>
            <w:tcW w:w="2760" w:type="dxa"/>
            <w:tcBorders>
              <w:left w:val="nil"/>
              <w:bottom w:val="nil"/>
              <w:right w:val="nil"/>
            </w:tcBorders>
            <w:shd w:val="clear" w:color="000000" w:fill="FFFFFF"/>
            <w:tcMar>
              <w:top w:w="85" w:type="dxa"/>
            </w:tcMar>
            <w:hideMark/>
          </w:tcPr>
          <w:p w:rsidR="000A0481" w:rsidRPr="0037163B" w:rsidRDefault="000A0481" w:rsidP="00245CAF">
            <w:pPr>
              <w:widowControl w:val="0"/>
              <w:rPr>
                <w:sz w:val="16"/>
                <w:szCs w:val="16"/>
              </w:rPr>
            </w:pPr>
            <w:r w:rsidRPr="0037163B">
              <w:rPr>
                <w:sz w:val="16"/>
                <w:szCs w:val="16"/>
              </w:rPr>
              <w:t>África (80%)</w:t>
            </w:r>
            <w:r w:rsidRPr="0037163B">
              <w:rPr>
                <w:sz w:val="16"/>
                <w:szCs w:val="16"/>
              </w:rPr>
              <w:br/>
              <w:t>Países árabes (35%)</w:t>
            </w:r>
            <w:r w:rsidRPr="0037163B">
              <w:rPr>
                <w:sz w:val="16"/>
                <w:szCs w:val="16"/>
              </w:rPr>
              <w:br/>
              <w:t>Asia y el Pacífico (</w:t>
            </w:r>
            <w:r w:rsidR="00245CAF">
              <w:rPr>
                <w:sz w:val="16"/>
                <w:szCs w:val="16"/>
              </w:rPr>
              <w:t>71</w:t>
            </w:r>
            <w:r w:rsidRPr="0037163B">
              <w:rPr>
                <w:sz w:val="16"/>
                <w:szCs w:val="16"/>
              </w:rPr>
              <w:t>%)</w:t>
            </w:r>
            <w:r w:rsidRPr="0037163B">
              <w:rPr>
                <w:sz w:val="16"/>
                <w:szCs w:val="16"/>
              </w:rPr>
              <w:br/>
              <w:t>América Latina y el Caribe (80%)</w:t>
            </w:r>
            <w:r w:rsidRPr="0037163B">
              <w:rPr>
                <w:sz w:val="16"/>
                <w:szCs w:val="16"/>
              </w:rPr>
              <w:br/>
              <w:t>PMA (</w:t>
            </w:r>
            <w:r w:rsidR="00245CAF">
              <w:rPr>
                <w:sz w:val="16"/>
                <w:szCs w:val="16"/>
              </w:rPr>
              <w:t>95</w:t>
            </w:r>
            <w:r w:rsidRPr="0037163B">
              <w:rPr>
                <w:sz w:val="16"/>
                <w:szCs w:val="16"/>
              </w:rPr>
              <w:t>%)</w:t>
            </w:r>
          </w:p>
        </w:tc>
        <w:tc>
          <w:tcPr>
            <w:tcW w:w="1975" w:type="dxa"/>
            <w:tcBorders>
              <w:left w:val="nil"/>
              <w:bottom w:val="nil"/>
              <w:right w:val="single" w:sz="4" w:space="0" w:color="auto"/>
            </w:tcBorders>
            <w:shd w:val="clear" w:color="000000" w:fill="FFFFFF"/>
            <w:tcMar>
              <w:top w:w="85" w:type="dxa"/>
            </w:tcMar>
            <w:hideMark/>
          </w:tcPr>
          <w:p w:rsidR="000A0481" w:rsidRPr="0037163B" w:rsidRDefault="00245CAF" w:rsidP="00245CAF">
            <w:pPr>
              <w:widowControl w:val="0"/>
              <w:rPr>
                <w:sz w:val="16"/>
                <w:szCs w:val="16"/>
              </w:rPr>
            </w:pPr>
            <w:r>
              <w:rPr>
                <w:sz w:val="16"/>
                <w:szCs w:val="16"/>
              </w:rPr>
              <w:t>África (85%)</w:t>
            </w:r>
            <w:r>
              <w:rPr>
                <w:sz w:val="16"/>
                <w:szCs w:val="16"/>
              </w:rPr>
              <w:br/>
              <w:t>Países árabes (55</w:t>
            </w:r>
            <w:r w:rsidR="000A0481" w:rsidRPr="0037163B">
              <w:rPr>
                <w:sz w:val="16"/>
                <w:szCs w:val="16"/>
              </w:rPr>
              <w:t>%)</w:t>
            </w:r>
            <w:r w:rsidR="000A0481" w:rsidRPr="0037163B">
              <w:rPr>
                <w:sz w:val="16"/>
                <w:szCs w:val="16"/>
              </w:rPr>
              <w:br/>
              <w:t>Asia y el Pacífico (40%)</w:t>
            </w:r>
            <w:r w:rsidR="000A0481" w:rsidRPr="0037163B">
              <w:rPr>
                <w:sz w:val="16"/>
                <w:szCs w:val="16"/>
              </w:rPr>
              <w:br/>
              <w:t>América Latina y el Caribe (80%)</w:t>
            </w:r>
            <w:r w:rsidR="000A0481" w:rsidRPr="0037163B">
              <w:rPr>
                <w:sz w:val="16"/>
                <w:szCs w:val="16"/>
              </w:rPr>
              <w:br/>
              <w:t>PMA (70%)</w:t>
            </w:r>
          </w:p>
        </w:tc>
      </w:tr>
      <w:tr w:rsidR="000A0481" w:rsidRPr="0037163B" w:rsidTr="00245CAF">
        <w:trPr>
          <w:trHeight w:val="2009"/>
        </w:trPr>
        <w:tc>
          <w:tcPr>
            <w:tcW w:w="2280" w:type="dxa"/>
            <w:tcBorders>
              <w:top w:val="nil"/>
              <w:left w:val="single" w:sz="4" w:space="0" w:color="auto"/>
              <w:bottom w:val="nil"/>
              <w:right w:val="nil"/>
            </w:tcBorders>
            <w:shd w:val="clear" w:color="000000" w:fill="FFFFFF"/>
            <w:tcMar>
              <w:top w:w="85" w:type="dxa"/>
            </w:tcMar>
            <w:hideMark/>
          </w:tcPr>
          <w:p w:rsidR="000A0481" w:rsidRPr="00245CAF" w:rsidRDefault="000A0481" w:rsidP="000A0481">
            <w:pPr>
              <w:widowControl w:val="0"/>
              <w:rPr>
                <w:sz w:val="16"/>
                <w:szCs w:val="16"/>
              </w:rPr>
            </w:pPr>
            <w:r w:rsidRPr="00245CAF">
              <w:rPr>
                <w:sz w:val="16"/>
                <w:szCs w:val="16"/>
              </w:rPr>
              <w:t xml:space="preserve">III.4 </w:t>
            </w:r>
            <w:r w:rsidR="00A55FC5" w:rsidRPr="00245CAF">
              <w:rPr>
                <w:sz w:val="16"/>
                <w:szCs w:val="16"/>
              </w:rPr>
              <w:t xml:space="preserve"> </w:t>
            </w:r>
            <w:r w:rsidR="005354CF" w:rsidRPr="00245CAF">
              <w:rPr>
                <w:sz w:val="16"/>
                <w:szCs w:val="16"/>
                <w:lang w:val="es-ES_tradnl"/>
              </w:rPr>
              <w:t>Fortalecimiento de los mecanismos y de los programas de cooperación conforme a las necesidades de los países en desarrollo y los PMA</w:t>
            </w:r>
          </w:p>
        </w:tc>
        <w:tc>
          <w:tcPr>
            <w:tcW w:w="2180" w:type="dxa"/>
            <w:tcBorders>
              <w:top w:val="nil"/>
              <w:left w:val="nil"/>
              <w:bottom w:val="nil"/>
              <w:right w:val="nil"/>
            </w:tcBorders>
            <w:shd w:val="clear" w:color="000000" w:fill="FFFFFF"/>
            <w:tcMar>
              <w:top w:w="85" w:type="dxa"/>
            </w:tcMar>
            <w:hideMark/>
          </w:tcPr>
          <w:p w:rsidR="000A0481" w:rsidRPr="0037163B" w:rsidRDefault="000A0481" w:rsidP="00F57A93">
            <w:pPr>
              <w:widowControl w:val="0"/>
              <w:rPr>
                <w:sz w:val="16"/>
                <w:szCs w:val="16"/>
              </w:rPr>
            </w:pPr>
            <w:r w:rsidRPr="0037163B">
              <w:rPr>
                <w:sz w:val="16"/>
                <w:szCs w:val="16"/>
              </w:rPr>
              <w:t>N</w:t>
            </w:r>
            <w:r w:rsidR="00F57A93">
              <w:rPr>
                <w:sz w:val="16"/>
                <w:szCs w:val="16"/>
              </w:rPr>
              <w:t>º</w:t>
            </w:r>
            <w:r w:rsidRPr="0037163B">
              <w:rPr>
                <w:sz w:val="16"/>
                <w:szCs w:val="16"/>
              </w:rPr>
              <w:t xml:space="preserve"> de acuerdos, proyectos, programas nacionales, subregionales, regionales e interregionales de cooperación y alianzas para fomentar el uso eficaz de los sistemas de P.I. mediante el intercambio de prácticas óptimas. </w:t>
            </w:r>
          </w:p>
        </w:tc>
        <w:tc>
          <w:tcPr>
            <w:tcW w:w="2760" w:type="dxa"/>
            <w:tcBorders>
              <w:top w:val="nil"/>
              <w:left w:val="nil"/>
              <w:bottom w:val="nil"/>
              <w:right w:val="nil"/>
            </w:tcBorders>
            <w:shd w:val="clear" w:color="000000" w:fill="FFFFFF"/>
            <w:tcMar>
              <w:top w:w="85" w:type="dxa"/>
            </w:tcMar>
            <w:hideMark/>
          </w:tcPr>
          <w:p w:rsidR="000A0481" w:rsidRPr="0037163B" w:rsidRDefault="000A0481" w:rsidP="00245CAF">
            <w:pPr>
              <w:widowControl w:val="0"/>
              <w:spacing w:after="240"/>
              <w:rPr>
                <w:sz w:val="16"/>
                <w:szCs w:val="16"/>
              </w:rPr>
            </w:pPr>
            <w:r w:rsidRPr="0037163B">
              <w:rPr>
                <w:sz w:val="16"/>
                <w:szCs w:val="16"/>
              </w:rPr>
              <w:t>África (</w:t>
            </w:r>
            <w:r w:rsidR="00245CAF">
              <w:rPr>
                <w:sz w:val="16"/>
                <w:szCs w:val="16"/>
              </w:rPr>
              <w:t>1</w:t>
            </w:r>
            <w:r w:rsidRPr="0037163B">
              <w:rPr>
                <w:sz w:val="16"/>
                <w:szCs w:val="16"/>
              </w:rPr>
              <w:t xml:space="preserve"> en 2014)</w:t>
            </w:r>
            <w:r w:rsidRPr="0037163B">
              <w:rPr>
                <w:sz w:val="16"/>
                <w:szCs w:val="16"/>
              </w:rPr>
              <w:br/>
              <w:t>Países árabes (</w:t>
            </w:r>
            <w:r w:rsidR="00245CAF">
              <w:rPr>
                <w:sz w:val="16"/>
                <w:szCs w:val="16"/>
              </w:rPr>
              <w:t>1 en 201</w:t>
            </w:r>
            <w:r w:rsidRPr="0037163B">
              <w:rPr>
                <w:sz w:val="16"/>
                <w:szCs w:val="16"/>
              </w:rPr>
              <w:t>4)</w:t>
            </w:r>
            <w:r w:rsidRPr="0037163B">
              <w:rPr>
                <w:sz w:val="16"/>
                <w:szCs w:val="16"/>
              </w:rPr>
              <w:br/>
              <w:t>Asia y el Pacífico (</w:t>
            </w:r>
            <w:r w:rsidR="00245CAF">
              <w:rPr>
                <w:sz w:val="16"/>
                <w:szCs w:val="16"/>
              </w:rPr>
              <w:t>2 en 2014</w:t>
            </w:r>
            <w:r w:rsidRPr="0037163B">
              <w:rPr>
                <w:sz w:val="16"/>
                <w:szCs w:val="16"/>
              </w:rPr>
              <w:t>)</w:t>
            </w:r>
            <w:r w:rsidRPr="0037163B">
              <w:rPr>
                <w:sz w:val="16"/>
                <w:szCs w:val="16"/>
              </w:rPr>
              <w:br/>
              <w:t>América Latina y el Caribe (6</w:t>
            </w:r>
            <w:r w:rsidR="00245CAF">
              <w:rPr>
                <w:sz w:val="16"/>
                <w:szCs w:val="16"/>
              </w:rPr>
              <w:t xml:space="preserve"> en 2014</w:t>
            </w:r>
            <w:r w:rsidRPr="0037163B">
              <w:rPr>
                <w:sz w:val="16"/>
                <w:szCs w:val="16"/>
              </w:rPr>
              <w:t>)</w:t>
            </w:r>
            <w:r w:rsidR="00245CAF">
              <w:rPr>
                <w:sz w:val="16"/>
                <w:szCs w:val="16"/>
              </w:rPr>
              <w:t xml:space="preserve">;  </w:t>
            </w:r>
            <w:r w:rsidR="00245CAF">
              <w:rPr>
                <w:sz w:val="16"/>
                <w:szCs w:val="16"/>
              </w:rPr>
              <w:br/>
            </w:r>
            <w:r w:rsidRPr="0037163B">
              <w:rPr>
                <w:sz w:val="16"/>
                <w:szCs w:val="16"/>
              </w:rPr>
              <w:t>PMA:  1 programa regional/subregional, 4 programas nacionales</w:t>
            </w:r>
          </w:p>
        </w:tc>
        <w:tc>
          <w:tcPr>
            <w:tcW w:w="1975" w:type="dxa"/>
            <w:tcBorders>
              <w:top w:val="nil"/>
              <w:left w:val="nil"/>
              <w:bottom w:val="nil"/>
              <w:right w:val="single" w:sz="4" w:space="0" w:color="auto"/>
            </w:tcBorders>
            <w:shd w:val="clear" w:color="000000" w:fill="FFFFFF"/>
            <w:tcMar>
              <w:top w:w="85" w:type="dxa"/>
            </w:tcMar>
            <w:hideMark/>
          </w:tcPr>
          <w:p w:rsidR="000A0481" w:rsidRPr="0037163B" w:rsidRDefault="000A0481" w:rsidP="00245CAF">
            <w:pPr>
              <w:widowControl w:val="0"/>
              <w:spacing w:after="240"/>
              <w:rPr>
                <w:sz w:val="16"/>
                <w:szCs w:val="16"/>
              </w:rPr>
            </w:pPr>
            <w:r w:rsidRPr="0037163B">
              <w:rPr>
                <w:sz w:val="16"/>
                <w:szCs w:val="16"/>
              </w:rPr>
              <w:t xml:space="preserve">África </w:t>
            </w:r>
            <w:r w:rsidR="00245CAF">
              <w:rPr>
                <w:sz w:val="16"/>
                <w:szCs w:val="16"/>
              </w:rPr>
              <w:t xml:space="preserve"> (2 más)</w:t>
            </w:r>
            <w:r w:rsidRPr="0037163B">
              <w:rPr>
                <w:sz w:val="16"/>
                <w:szCs w:val="16"/>
              </w:rPr>
              <w:br/>
              <w:t>Países árabes (</w:t>
            </w:r>
            <w:r w:rsidR="00245CAF">
              <w:rPr>
                <w:sz w:val="16"/>
                <w:szCs w:val="16"/>
              </w:rPr>
              <w:t>2 más</w:t>
            </w:r>
            <w:r w:rsidRPr="0037163B">
              <w:rPr>
                <w:sz w:val="16"/>
                <w:szCs w:val="16"/>
              </w:rPr>
              <w:t>)</w:t>
            </w:r>
            <w:r w:rsidRPr="0037163B">
              <w:rPr>
                <w:sz w:val="16"/>
                <w:szCs w:val="16"/>
              </w:rPr>
              <w:br/>
              <w:t>Asia y el Pacífico (</w:t>
            </w:r>
            <w:r w:rsidR="00245CAF">
              <w:rPr>
                <w:sz w:val="16"/>
                <w:szCs w:val="16"/>
              </w:rPr>
              <w:t>1 más</w:t>
            </w:r>
            <w:r w:rsidRPr="0037163B">
              <w:rPr>
                <w:sz w:val="16"/>
                <w:szCs w:val="16"/>
              </w:rPr>
              <w:t>)</w:t>
            </w:r>
            <w:r w:rsidRPr="0037163B">
              <w:rPr>
                <w:sz w:val="16"/>
                <w:szCs w:val="16"/>
              </w:rPr>
              <w:br/>
              <w:t>América Latina y el Caribe (</w:t>
            </w:r>
            <w:r w:rsidR="00245CAF">
              <w:rPr>
                <w:sz w:val="16"/>
                <w:szCs w:val="16"/>
              </w:rPr>
              <w:t>4 más</w:t>
            </w:r>
            <w:r w:rsidRPr="0037163B">
              <w:rPr>
                <w:sz w:val="16"/>
                <w:szCs w:val="16"/>
              </w:rPr>
              <w:t>)</w:t>
            </w:r>
            <w:r w:rsidRPr="0037163B">
              <w:rPr>
                <w:sz w:val="16"/>
                <w:szCs w:val="16"/>
              </w:rPr>
              <w:br/>
              <w:t>PMA:  3 programas regionales/subregionales 8 programas nacionales</w:t>
            </w:r>
          </w:p>
        </w:tc>
      </w:tr>
      <w:tr w:rsidR="000A0481" w:rsidRPr="0037163B" w:rsidTr="000A0481">
        <w:trPr>
          <w:trHeight w:val="1058"/>
        </w:trPr>
        <w:tc>
          <w:tcPr>
            <w:tcW w:w="2280" w:type="dxa"/>
            <w:tcBorders>
              <w:top w:val="nil"/>
              <w:left w:val="single" w:sz="4" w:space="0" w:color="auto"/>
              <w:bottom w:val="nil"/>
              <w:right w:val="nil"/>
            </w:tcBorders>
            <w:shd w:val="clear" w:color="000000" w:fill="FFFFFF"/>
            <w:tcMar>
              <w:top w:w="85" w:type="dxa"/>
            </w:tcMar>
            <w:hideMark/>
          </w:tcPr>
          <w:p w:rsidR="000A0481" w:rsidRPr="00245CAF" w:rsidRDefault="000A0481" w:rsidP="00B74100">
            <w:pPr>
              <w:widowControl w:val="0"/>
              <w:rPr>
                <w:sz w:val="16"/>
                <w:szCs w:val="16"/>
              </w:rPr>
            </w:pPr>
            <w:r w:rsidRPr="00245CAF">
              <w:rPr>
                <w:sz w:val="16"/>
                <w:szCs w:val="16"/>
              </w:rPr>
              <w:t>IV.2</w:t>
            </w:r>
            <w:r w:rsidR="00B74100" w:rsidRPr="00245CAF">
              <w:rPr>
                <w:sz w:val="16"/>
                <w:szCs w:val="16"/>
              </w:rPr>
              <w:t xml:space="preserve">  </w:t>
            </w:r>
            <w:r w:rsidR="00B74100" w:rsidRPr="00245CAF">
              <w:rPr>
                <w:sz w:val="16"/>
                <w:szCs w:val="16"/>
                <w:lang w:val="es-ES_tradnl"/>
              </w:rPr>
              <w:t>Mejora del acceso y uso de información de P.I. por parte de instituciones de P.I. y el público para fomentar la innovación y la creatividad</w:t>
            </w:r>
          </w:p>
        </w:tc>
        <w:tc>
          <w:tcPr>
            <w:tcW w:w="2180" w:type="dxa"/>
            <w:tcBorders>
              <w:top w:val="nil"/>
              <w:left w:val="nil"/>
              <w:bottom w:val="nil"/>
              <w:right w:val="nil"/>
            </w:tcBorders>
            <w:shd w:val="clear" w:color="000000" w:fill="FFFFFF"/>
            <w:tcMar>
              <w:top w:w="85" w:type="dxa"/>
            </w:tcMar>
            <w:hideMark/>
          </w:tcPr>
          <w:p w:rsidR="000A0481" w:rsidRPr="0037163B" w:rsidRDefault="000A0481" w:rsidP="00F57A93">
            <w:pPr>
              <w:widowControl w:val="0"/>
              <w:rPr>
                <w:sz w:val="16"/>
                <w:szCs w:val="16"/>
              </w:rPr>
            </w:pPr>
            <w:r w:rsidRPr="0037163B">
              <w:rPr>
                <w:sz w:val="16"/>
                <w:szCs w:val="16"/>
              </w:rPr>
              <w:t>N</w:t>
            </w:r>
            <w:r w:rsidR="00F57A93">
              <w:rPr>
                <w:sz w:val="16"/>
                <w:szCs w:val="16"/>
              </w:rPr>
              <w:t>º</w:t>
            </w:r>
            <w:r w:rsidRPr="0037163B">
              <w:rPr>
                <w:sz w:val="16"/>
                <w:szCs w:val="16"/>
              </w:rPr>
              <w:t xml:space="preserve"> de redes nacionales sostenibles de CATI (cifras totales)</w:t>
            </w:r>
          </w:p>
        </w:tc>
        <w:tc>
          <w:tcPr>
            <w:tcW w:w="2760" w:type="dxa"/>
            <w:tcBorders>
              <w:top w:val="nil"/>
              <w:left w:val="nil"/>
              <w:bottom w:val="nil"/>
              <w:right w:val="nil"/>
            </w:tcBorders>
            <w:shd w:val="clear" w:color="000000" w:fill="FFFFFF"/>
            <w:tcMar>
              <w:top w:w="85" w:type="dxa"/>
            </w:tcMar>
            <w:hideMark/>
          </w:tcPr>
          <w:p w:rsidR="000A0481" w:rsidRPr="0037163B" w:rsidRDefault="000A0481" w:rsidP="000A0481">
            <w:pPr>
              <w:widowControl w:val="0"/>
              <w:spacing w:after="240"/>
              <w:rPr>
                <w:sz w:val="16"/>
                <w:szCs w:val="16"/>
              </w:rPr>
            </w:pPr>
            <w:r w:rsidRPr="0037163B">
              <w:rPr>
                <w:sz w:val="16"/>
                <w:szCs w:val="16"/>
              </w:rPr>
              <w:t>África (9)</w:t>
            </w:r>
            <w:r w:rsidRPr="0037163B">
              <w:rPr>
                <w:sz w:val="16"/>
                <w:szCs w:val="16"/>
              </w:rPr>
              <w:br/>
              <w:t>Países árabes (2)</w:t>
            </w:r>
            <w:r w:rsidRPr="0037163B">
              <w:rPr>
                <w:sz w:val="16"/>
                <w:szCs w:val="16"/>
              </w:rPr>
              <w:br/>
              <w:t>Asia y el Pacífico (3)</w:t>
            </w:r>
            <w:r w:rsidRPr="0037163B">
              <w:rPr>
                <w:sz w:val="16"/>
                <w:szCs w:val="16"/>
              </w:rPr>
              <w:br/>
              <w:t>América Latina y el Caribe (5)</w:t>
            </w:r>
            <w:r w:rsidRPr="0037163B">
              <w:rPr>
                <w:sz w:val="16"/>
                <w:szCs w:val="16"/>
              </w:rPr>
              <w:br/>
            </w:r>
          </w:p>
        </w:tc>
        <w:tc>
          <w:tcPr>
            <w:tcW w:w="1975" w:type="dxa"/>
            <w:tcBorders>
              <w:top w:val="nil"/>
              <w:left w:val="nil"/>
              <w:bottom w:val="nil"/>
              <w:right w:val="single" w:sz="4" w:space="0" w:color="auto"/>
            </w:tcBorders>
            <w:shd w:val="clear" w:color="000000" w:fill="FFFFFF"/>
            <w:tcMar>
              <w:top w:w="85" w:type="dxa"/>
            </w:tcMar>
            <w:hideMark/>
          </w:tcPr>
          <w:p w:rsidR="000A0481" w:rsidRPr="0037163B" w:rsidRDefault="000A0481" w:rsidP="000A0481">
            <w:pPr>
              <w:widowControl w:val="0"/>
              <w:spacing w:after="240"/>
              <w:rPr>
                <w:sz w:val="16"/>
                <w:szCs w:val="16"/>
              </w:rPr>
            </w:pPr>
            <w:r w:rsidRPr="0037163B">
              <w:rPr>
                <w:sz w:val="16"/>
                <w:szCs w:val="16"/>
              </w:rPr>
              <w:t>África (11)</w:t>
            </w:r>
            <w:r w:rsidRPr="0037163B">
              <w:rPr>
                <w:sz w:val="16"/>
                <w:szCs w:val="16"/>
              </w:rPr>
              <w:br/>
              <w:t>Países árabes (4)</w:t>
            </w:r>
            <w:r w:rsidRPr="0037163B">
              <w:rPr>
                <w:sz w:val="16"/>
                <w:szCs w:val="16"/>
              </w:rPr>
              <w:br/>
              <w:t>Asia y el Pacífico (5)</w:t>
            </w:r>
            <w:r w:rsidRPr="0037163B">
              <w:rPr>
                <w:sz w:val="16"/>
                <w:szCs w:val="16"/>
              </w:rPr>
              <w:br/>
              <w:t>América Latina y el Caribe (9)</w:t>
            </w:r>
          </w:p>
        </w:tc>
      </w:tr>
      <w:tr w:rsidR="000A0481" w:rsidRPr="0037163B" w:rsidTr="00873DF1">
        <w:trPr>
          <w:trHeight w:val="1436"/>
        </w:trPr>
        <w:tc>
          <w:tcPr>
            <w:tcW w:w="2280" w:type="dxa"/>
            <w:tcBorders>
              <w:top w:val="nil"/>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top w:val="nil"/>
              <w:left w:val="nil"/>
              <w:right w:val="nil"/>
            </w:tcBorders>
            <w:shd w:val="clear" w:color="000000" w:fill="FFFFFF"/>
            <w:tcMar>
              <w:top w:w="85" w:type="dxa"/>
            </w:tcMar>
            <w:hideMark/>
          </w:tcPr>
          <w:p w:rsidR="000A0481" w:rsidRPr="0037163B" w:rsidRDefault="000A0481" w:rsidP="00F57A93">
            <w:pPr>
              <w:widowControl w:val="0"/>
              <w:rPr>
                <w:sz w:val="16"/>
                <w:szCs w:val="16"/>
              </w:rPr>
            </w:pPr>
            <w:r w:rsidRPr="0037163B">
              <w:rPr>
                <w:sz w:val="16"/>
                <w:szCs w:val="16"/>
              </w:rPr>
              <w:t>N</w:t>
            </w:r>
            <w:r w:rsidR="00F57A93">
              <w:rPr>
                <w:sz w:val="16"/>
                <w:szCs w:val="16"/>
              </w:rPr>
              <w:t>º</w:t>
            </w:r>
            <w:r w:rsidRPr="0037163B">
              <w:rPr>
                <w:sz w:val="16"/>
                <w:szCs w:val="16"/>
              </w:rPr>
              <w:t xml:space="preserve"> de organizaciones, comunidades y personas que aplicaron y usaron tecnologías apropiadas como solución para los desafíos de desarrollo identificados en los PMA</w:t>
            </w:r>
          </w:p>
        </w:tc>
        <w:tc>
          <w:tcPr>
            <w:tcW w:w="2760" w:type="dxa"/>
            <w:tcBorders>
              <w:top w:val="nil"/>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Organizaciones en 6 PMA</w:t>
            </w:r>
          </w:p>
        </w:tc>
        <w:tc>
          <w:tcPr>
            <w:tcW w:w="1975" w:type="dxa"/>
            <w:tcBorders>
              <w:top w:val="nil"/>
              <w:left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Organizaciones en otros 3 PMA</w:t>
            </w:r>
          </w:p>
        </w:tc>
      </w:tr>
      <w:tr w:rsidR="000A0481" w:rsidRPr="0037163B" w:rsidTr="00873DF1">
        <w:trPr>
          <w:trHeight w:val="1796"/>
        </w:trPr>
        <w:tc>
          <w:tcPr>
            <w:tcW w:w="2280" w:type="dxa"/>
            <w:tcBorders>
              <w:top w:val="nil"/>
              <w:left w:val="single" w:sz="4" w:space="0" w:color="auto"/>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top w:val="nil"/>
              <w:left w:val="nil"/>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Uso de tecnologías apropiadas en pro del desarrollo mediante informes y búsquedas de patentes,  análisis de las tecnologías, planes operacionales (número de expertos, grupos de expertos nacionales en los PMA)</w:t>
            </w:r>
            <w:r w:rsidR="00245CAF">
              <w:rPr>
                <w:sz w:val="16"/>
                <w:szCs w:val="16"/>
              </w:rPr>
              <w:br/>
            </w:r>
          </w:p>
        </w:tc>
        <w:tc>
          <w:tcPr>
            <w:tcW w:w="2760" w:type="dxa"/>
            <w:tcBorders>
              <w:top w:val="nil"/>
              <w:left w:val="nil"/>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6 en los PMA</w:t>
            </w:r>
          </w:p>
        </w:tc>
        <w:tc>
          <w:tcPr>
            <w:tcW w:w="1975" w:type="dxa"/>
            <w:tcBorders>
              <w:top w:val="nil"/>
              <w:left w:val="nil"/>
              <w:bottom w:val="single" w:sz="4" w:space="0" w:color="auto"/>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Otras 3 en los PMA</w:t>
            </w:r>
          </w:p>
        </w:tc>
      </w:tr>
      <w:tr w:rsidR="000A0481" w:rsidRPr="0037163B" w:rsidTr="00873DF1">
        <w:trPr>
          <w:trHeight w:val="2165"/>
        </w:trPr>
        <w:tc>
          <w:tcPr>
            <w:tcW w:w="2280" w:type="dxa"/>
            <w:tcBorders>
              <w:top w:val="single" w:sz="4" w:space="0" w:color="auto"/>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lastRenderedPageBreak/>
              <w:t> </w:t>
            </w:r>
          </w:p>
        </w:tc>
        <w:tc>
          <w:tcPr>
            <w:tcW w:w="2180" w:type="dxa"/>
            <w:tcBorders>
              <w:top w:val="single" w:sz="4" w:space="0" w:color="auto"/>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Determinación de tecnologías apropiadas comercializadas en los PMA</w:t>
            </w:r>
            <w:r w:rsidRPr="0037163B">
              <w:rPr>
                <w:sz w:val="16"/>
                <w:szCs w:val="16"/>
              </w:rPr>
              <w:br/>
            </w:r>
            <w:r w:rsidRPr="0037163B">
              <w:rPr>
                <w:sz w:val="16"/>
                <w:szCs w:val="16"/>
              </w:rPr>
              <w:br/>
              <w:t>Proyectos reproducidos en otros ámbitos en los PMA</w:t>
            </w:r>
            <w:r w:rsidRPr="0037163B">
              <w:rPr>
                <w:sz w:val="16"/>
                <w:szCs w:val="16"/>
              </w:rPr>
              <w:br/>
            </w:r>
            <w:r w:rsidRPr="0037163B">
              <w:rPr>
                <w:sz w:val="16"/>
                <w:szCs w:val="16"/>
              </w:rPr>
              <w:br/>
              <w:t>Establecimiento de instituciones que sigan trabajando sobre la tecnología apropiada en los PMA</w:t>
            </w:r>
          </w:p>
        </w:tc>
        <w:tc>
          <w:tcPr>
            <w:tcW w:w="2760" w:type="dxa"/>
            <w:tcBorders>
              <w:top w:val="single" w:sz="4" w:space="0" w:color="auto"/>
              <w:left w:val="nil"/>
              <w:right w:val="nil"/>
            </w:tcBorders>
            <w:shd w:val="clear" w:color="000000" w:fill="FFFFFF"/>
            <w:tcMar>
              <w:top w:w="85" w:type="dxa"/>
            </w:tcMar>
            <w:hideMark/>
          </w:tcPr>
          <w:p w:rsidR="000A0481" w:rsidRPr="0037163B" w:rsidRDefault="000A0481" w:rsidP="003D53A9">
            <w:pPr>
              <w:widowControl w:val="0"/>
              <w:rPr>
                <w:sz w:val="16"/>
                <w:szCs w:val="16"/>
              </w:rPr>
            </w:pPr>
            <w:r w:rsidRPr="0037163B">
              <w:rPr>
                <w:sz w:val="16"/>
                <w:szCs w:val="16"/>
              </w:rPr>
              <w:t xml:space="preserve">6 tecnologías apropiadas </w:t>
            </w:r>
            <w:r w:rsidRPr="0037163B">
              <w:rPr>
                <w:sz w:val="16"/>
                <w:szCs w:val="16"/>
              </w:rPr>
              <w:br/>
            </w:r>
            <w:r w:rsidRPr="0037163B">
              <w:rPr>
                <w:sz w:val="16"/>
                <w:szCs w:val="16"/>
              </w:rPr>
              <w:br/>
            </w:r>
            <w:r w:rsidRPr="0037163B">
              <w:rPr>
                <w:sz w:val="16"/>
                <w:szCs w:val="16"/>
              </w:rPr>
              <w:br/>
            </w:r>
            <w:r w:rsidR="00A47448">
              <w:rPr>
                <w:sz w:val="16"/>
                <w:szCs w:val="16"/>
              </w:rPr>
              <w:br/>
            </w:r>
            <w:r w:rsidRPr="0037163B">
              <w:rPr>
                <w:sz w:val="16"/>
                <w:szCs w:val="16"/>
              </w:rPr>
              <w:br/>
            </w:r>
            <w:proofErr w:type="spellStart"/>
            <w:r w:rsidRPr="0037163B">
              <w:rPr>
                <w:sz w:val="16"/>
                <w:szCs w:val="16"/>
              </w:rPr>
              <w:t>n</w:t>
            </w:r>
            <w:r w:rsidR="003D53A9">
              <w:rPr>
                <w:sz w:val="16"/>
                <w:szCs w:val="16"/>
              </w:rPr>
              <w:t>.d</w:t>
            </w:r>
            <w:proofErr w:type="spellEnd"/>
            <w:r w:rsidR="003D53A9">
              <w:rPr>
                <w:sz w:val="16"/>
                <w:szCs w:val="16"/>
              </w:rPr>
              <w:t>.</w:t>
            </w:r>
            <w:r w:rsidRPr="0037163B">
              <w:rPr>
                <w:sz w:val="16"/>
                <w:szCs w:val="16"/>
              </w:rPr>
              <w:br/>
            </w:r>
            <w:r w:rsidRPr="0037163B">
              <w:rPr>
                <w:sz w:val="16"/>
                <w:szCs w:val="16"/>
              </w:rPr>
              <w:br/>
            </w:r>
            <w:r w:rsidRPr="0037163B">
              <w:rPr>
                <w:sz w:val="16"/>
                <w:szCs w:val="16"/>
              </w:rPr>
              <w:br/>
              <w:t>3 instituciones</w:t>
            </w:r>
          </w:p>
        </w:tc>
        <w:tc>
          <w:tcPr>
            <w:tcW w:w="1975" w:type="dxa"/>
            <w:tcBorders>
              <w:top w:val="single" w:sz="4" w:space="0" w:color="auto"/>
              <w:left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Por lo menos otras 3 tecnologías apropiadas</w:t>
            </w:r>
            <w:r w:rsidRPr="0037163B">
              <w:rPr>
                <w:sz w:val="16"/>
                <w:szCs w:val="16"/>
              </w:rPr>
              <w:br/>
            </w:r>
            <w:r w:rsidRPr="0037163B">
              <w:rPr>
                <w:sz w:val="16"/>
                <w:szCs w:val="16"/>
              </w:rPr>
              <w:br/>
            </w:r>
            <w:r w:rsidRPr="0037163B">
              <w:rPr>
                <w:sz w:val="16"/>
                <w:szCs w:val="16"/>
              </w:rPr>
              <w:br/>
            </w:r>
            <w:r w:rsidRPr="0037163B">
              <w:rPr>
                <w:sz w:val="16"/>
                <w:szCs w:val="16"/>
              </w:rPr>
              <w:br/>
              <w:t>1 PMA</w:t>
            </w:r>
            <w:r w:rsidRPr="0037163B">
              <w:rPr>
                <w:sz w:val="16"/>
                <w:szCs w:val="16"/>
              </w:rPr>
              <w:br/>
            </w:r>
            <w:r w:rsidRPr="0037163B">
              <w:rPr>
                <w:sz w:val="16"/>
                <w:szCs w:val="16"/>
              </w:rPr>
              <w:br/>
            </w:r>
            <w:r w:rsidRPr="0037163B">
              <w:rPr>
                <w:sz w:val="16"/>
                <w:szCs w:val="16"/>
              </w:rPr>
              <w:br/>
              <w:t xml:space="preserve">Otras 3 instituciones </w:t>
            </w:r>
          </w:p>
        </w:tc>
      </w:tr>
      <w:tr w:rsidR="000A0481" w:rsidRPr="0037163B" w:rsidTr="00873DF1">
        <w:trPr>
          <w:trHeight w:val="1256"/>
        </w:trPr>
        <w:tc>
          <w:tcPr>
            <w:tcW w:w="2280" w:type="dxa"/>
            <w:tcBorders>
              <w:top w:val="nil"/>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top w:val="nil"/>
              <w:left w:val="nil"/>
              <w:right w:val="nil"/>
            </w:tcBorders>
            <w:shd w:val="clear" w:color="000000" w:fill="FFFFFF"/>
            <w:tcMar>
              <w:top w:w="85" w:type="dxa"/>
            </w:tcMar>
            <w:hideMark/>
          </w:tcPr>
          <w:p w:rsidR="000A0481" w:rsidRPr="0037163B" w:rsidRDefault="000A0481" w:rsidP="000A0481">
            <w:pPr>
              <w:widowControl w:val="0"/>
              <w:spacing w:after="240"/>
              <w:rPr>
                <w:sz w:val="16"/>
                <w:szCs w:val="16"/>
              </w:rPr>
            </w:pPr>
            <w:r w:rsidRPr="0037163B">
              <w:rPr>
                <w:sz w:val="16"/>
                <w:szCs w:val="16"/>
              </w:rPr>
              <w:t>Continuación y ampliación de los programas nacionales de fortalecimiento de capacidad tecnológica sobre las tecnologías apropiadas en los PMA</w:t>
            </w:r>
          </w:p>
        </w:tc>
        <w:tc>
          <w:tcPr>
            <w:tcW w:w="2760" w:type="dxa"/>
            <w:tcBorders>
              <w:top w:val="nil"/>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7 programas</w:t>
            </w:r>
          </w:p>
        </w:tc>
        <w:tc>
          <w:tcPr>
            <w:tcW w:w="1975" w:type="dxa"/>
            <w:tcBorders>
              <w:top w:val="nil"/>
              <w:left w:val="nil"/>
              <w:right w:val="single" w:sz="4" w:space="0" w:color="auto"/>
            </w:tcBorders>
            <w:shd w:val="clear" w:color="000000" w:fill="FFFFFF"/>
            <w:tcMar>
              <w:top w:w="85" w:type="dxa"/>
            </w:tcMar>
            <w:hideMark/>
          </w:tcPr>
          <w:p w:rsidR="000A0481" w:rsidRPr="0037163B" w:rsidRDefault="000A0481" w:rsidP="000A0481">
            <w:pPr>
              <w:widowControl w:val="0"/>
              <w:spacing w:after="240"/>
              <w:rPr>
                <w:sz w:val="16"/>
                <w:szCs w:val="16"/>
              </w:rPr>
            </w:pPr>
            <w:r w:rsidRPr="0037163B">
              <w:rPr>
                <w:sz w:val="16"/>
                <w:szCs w:val="16"/>
              </w:rPr>
              <w:t xml:space="preserve">Otros 6 programas </w:t>
            </w:r>
            <w:r w:rsidRPr="0037163B">
              <w:rPr>
                <w:sz w:val="16"/>
                <w:szCs w:val="16"/>
              </w:rPr>
              <w:br/>
            </w:r>
            <w:r w:rsidRPr="0037163B">
              <w:rPr>
                <w:sz w:val="16"/>
                <w:szCs w:val="16"/>
              </w:rPr>
              <w:br/>
            </w:r>
          </w:p>
        </w:tc>
      </w:tr>
      <w:tr w:rsidR="000A0481" w:rsidRPr="0037163B" w:rsidTr="00873DF1">
        <w:trPr>
          <w:trHeight w:val="1040"/>
        </w:trPr>
        <w:tc>
          <w:tcPr>
            <w:tcW w:w="2280" w:type="dxa"/>
            <w:tcBorders>
              <w:left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w:t>
            </w:r>
          </w:p>
        </w:tc>
        <w:tc>
          <w:tcPr>
            <w:tcW w:w="2180" w:type="dxa"/>
            <w:tcBorders>
              <w:left w:val="nil"/>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Utilización de tecnología apropiada para el desarrollo económico incluida en las políticas y estrategias nacionales de innovación y P.I. en los PMA</w:t>
            </w:r>
          </w:p>
        </w:tc>
        <w:tc>
          <w:tcPr>
            <w:tcW w:w="2760" w:type="dxa"/>
            <w:tcBorders>
              <w:left w:val="nil"/>
              <w:right w:val="nil"/>
            </w:tcBorders>
            <w:shd w:val="clear" w:color="000000" w:fill="FFFFFF"/>
            <w:tcMar>
              <w:top w:w="85" w:type="dxa"/>
            </w:tcMar>
            <w:hideMark/>
          </w:tcPr>
          <w:p w:rsidR="000A0481" w:rsidRPr="0037163B" w:rsidRDefault="003D53A9" w:rsidP="003D53A9">
            <w:pPr>
              <w:widowControl w:val="0"/>
              <w:rPr>
                <w:sz w:val="16"/>
                <w:szCs w:val="16"/>
              </w:rPr>
            </w:pPr>
            <w:proofErr w:type="spellStart"/>
            <w:r>
              <w:rPr>
                <w:sz w:val="16"/>
                <w:szCs w:val="16"/>
              </w:rPr>
              <w:t>n.d</w:t>
            </w:r>
            <w:proofErr w:type="spellEnd"/>
            <w:r>
              <w:rPr>
                <w:sz w:val="16"/>
                <w:szCs w:val="16"/>
              </w:rPr>
              <w:t>.</w:t>
            </w:r>
          </w:p>
        </w:tc>
        <w:tc>
          <w:tcPr>
            <w:tcW w:w="1975" w:type="dxa"/>
            <w:tcBorders>
              <w:left w:val="nil"/>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 xml:space="preserve">1 PMA </w:t>
            </w:r>
          </w:p>
        </w:tc>
      </w:tr>
      <w:tr w:rsidR="000A0481" w:rsidRPr="0037163B" w:rsidTr="00873DF1">
        <w:trPr>
          <w:trHeight w:val="1616"/>
        </w:trPr>
        <w:tc>
          <w:tcPr>
            <w:tcW w:w="2280" w:type="dxa"/>
            <w:tcBorders>
              <w:left w:val="single" w:sz="4" w:space="0" w:color="auto"/>
              <w:bottom w:val="single" w:sz="4" w:space="0" w:color="auto"/>
              <w:right w:val="nil"/>
            </w:tcBorders>
            <w:shd w:val="clear" w:color="000000" w:fill="FFFFFF"/>
            <w:tcMar>
              <w:top w:w="85" w:type="dxa"/>
            </w:tcMar>
            <w:hideMark/>
          </w:tcPr>
          <w:p w:rsidR="000A0481" w:rsidRPr="0080529E" w:rsidRDefault="000A0481" w:rsidP="000A0481">
            <w:pPr>
              <w:widowControl w:val="0"/>
              <w:rPr>
                <w:sz w:val="16"/>
                <w:szCs w:val="16"/>
              </w:rPr>
            </w:pPr>
            <w:r w:rsidRPr="0080529E">
              <w:rPr>
                <w:sz w:val="16"/>
                <w:szCs w:val="16"/>
              </w:rPr>
              <w:t xml:space="preserve">IV.4 </w:t>
            </w:r>
            <w:r w:rsidR="00EF5C0E" w:rsidRPr="0080529E">
              <w:rPr>
                <w:sz w:val="16"/>
                <w:szCs w:val="16"/>
              </w:rPr>
              <w:t xml:space="preserve"> </w:t>
            </w:r>
            <w:r w:rsidR="005354CF" w:rsidRPr="008A366C">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r w:rsidR="008A366C" w:rsidRPr="008A366C">
              <w:rPr>
                <w:sz w:val="16"/>
                <w:szCs w:val="16"/>
                <w:lang w:val="es-ES_tradnl"/>
              </w:rPr>
              <w:br/>
            </w:r>
          </w:p>
        </w:tc>
        <w:tc>
          <w:tcPr>
            <w:tcW w:w="2180" w:type="dxa"/>
            <w:tcBorders>
              <w:left w:val="nil"/>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Media del nivel de los servicios prestados por las Oficinas de P.I. que reciben asistencia (en una escala del 1 al 5).</w:t>
            </w:r>
          </w:p>
        </w:tc>
        <w:tc>
          <w:tcPr>
            <w:tcW w:w="2760" w:type="dxa"/>
            <w:tcBorders>
              <w:left w:val="nil"/>
              <w:bottom w:val="single" w:sz="4" w:space="0" w:color="auto"/>
              <w:right w:val="nil"/>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Media del nivel de los servicios prestados según el PPR 2014:  2,9</w:t>
            </w:r>
          </w:p>
        </w:tc>
        <w:tc>
          <w:tcPr>
            <w:tcW w:w="1975" w:type="dxa"/>
            <w:tcBorders>
              <w:left w:val="nil"/>
              <w:bottom w:val="single" w:sz="4" w:space="0" w:color="auto"/>
              <w:right w:val="single" w:sz="4" w:space="0" w:color="auto"/>
            </w:tcBorders>
            <w:shd w:val="clear" w:color="000000" w:fill="FFFFFF"/>
            <w:tcMar>
              <w:top w:w="85" w:type="dxa"/>
            </w:tcMar>
            <w:hideMark/>
          </w:tcPr>
          <w:p w:rsidR="000A0481" w:rsidRPr="0037163B" w:rsidRDefault="000A0481" w:rsidP="000A0481">
            <w:pPr>
              <w:widowControl w:val="0"/>
              <w:rPr>
                <w:sz w:val="16"/>
                <w:szCs w:val="16"/>
              </w:rPr>
            </w:pPr>
            <w:r w:rsidRPr="0037163B">
              <w:rPr>
                <w:sz w:val="16"/>
                <w:szCs w:val="16"/>
              </w:rPr>
              <w:t>Media de 3,0 (a más tardar a finales de 2017)</w:t>
            </w:r>
          </w:p>
        </w:tc>
      </w:tr>
    </w:tbl>
    <w:p w:rsidR="000A0481" w:rsidRPr="0037163B" w:rsidRDefault="000A0481" w:rsidP="000A0481">
      <w:pPr>
        <w:pStyle w:val="ListParagraph"/>
        <w:widowControl w:val="0"/>
        <w:spacing w:after="240"/>
        <w:ind w:left="0"/>
        <w:jc w:val="both"/>
        <w:rPr>
          <w:rFonts w:ascii="Arial" w:hAnsi="Arial" w:cs="Arial"/>
          <w:lang w:val="es-ES"/>
        </w:rPr>
      </w:pPr>
    </w:p>
    <w:p w:rsidR="000A0481" w:rsidRPr="0037163B" w:rsidRDefault="000A0481" w:rsidP="000A0481">
      <w:pPr>
        <w:pStyle w:val="ListParagraph"/>
        <w:widowControl w:val="0"/>
        <w:spacing w:after="240"/>
        <w:ind w:left="0"/>
        <w:jc w:val="both"/>
        <w:rPr>
          <w:rFonts w:ascii="Arial" w:hAnsi="Arial" w:cs="Arial"/>
          <w:lang w:val="es-ES"/>
        </w:rPr>
      </w:pPr>
    </w:p>
    <w:p w:rsidR="000A0481" w:rsidRPr="0037163B" w:rsidRDefault="000A0481" w:rsidP="000A0481">
      <w:pPr>
        <w:pStyle w:val="ListParagraph"/>
        <w:widowControl w:val="0"/>
        <w:spacing w:after="240"/>
        <w:ind w:left="0"/>
        <w:jc w:val="both"/>
        <w:rPr>
          <w:rFonts w:ascii="Arial" w:hAnsi="Arial" w:cs="Arial"/>
          <w:lang w:val="es-ES"/>
        </w:rPr>
      </w:pPr>
      <w:r w:rsidRPr="0037163B">
        <w:rPr>
          <w:rFonts w:ascii="Arial" w:hAnsi="Arial" w:cs="Arial"/>
          <w:lang w:val="es-ES"/>
        </w:rPr>
        <w:t>RECURSOS PARA EL PROGRAMA 9</w:t>
      </w:r>
    </w:p>
    <w:p w:rsidR="00085C7B" w:rsidRDefault="00085C7B" w:rsidP="000A0481">
      <w:pPr>
        <w:pStyle w:val="ListParagraph"/>
        <w:widowControl w:val="0"/>
        <w:spacing w:after="240"/>
        <w:ind w:left="0"/>
        <w:jc w:val="both"/>
        <w:rPr>
          <w:rFonts w:ascii="Arial" w:hAnsi="Arial" w:cs="Arial"/>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Se puede apreciar un aumento del 4,3% en los recursos no rela</w:t>
      </w:r>
      <w:r w:rsidR="00F57A93">
        <w:rPr>
          <w:rFonts w:ascii="Arial" w:hAnsi="Arial" w:cs="Arial"/>
          <w:sz w:val="20"/>
          <w:lang w:val="es-ES"/>
        </w:rPr>
        <w:t>t</w:t>
      </w:r>
      <w:r w:rsidRPr="0037163B">
        <w:rPr>
          <w:rFonts w:ascii="Arial" w:hAnsi="Arial" w:cs="Arial"/>
          <w:sz w:val="20"/>
          <w:lang w:val="es-ES"/>
        </w:rPr>
        <w:t>i</w:t>
      </w:r>
      <w:r w:rsidR="00F57A93">
        <w:rPr>
          <w:rFonts w:ascii="Arial" w:hAnsi="Arial" w:cs="Arial"/>
          <w:sz w:val="20"/>
          <w:lang w:val="es-ES"/>
        </w:rPr>
        <w:t>v</w:t>
      </w:r>
      <w:r w:rsidRPr="0037163B">
        <w:rPr>
          <w:rFonts w:ascii="Arial" w:hAnsi="Arial" w:cs="Arial"/>
          <w:sz w:val="20"/>
          <w:lang w:val="es-ES"/>
        </w:rPr>
        <w:t>os</w:t>
      </w:r>
      <w:r w:rsidR="00F57A93">
        <w:rPr>
          <w:rFonts w:ascii="Arial" w:hAnsi="Arial" w:cs="Arial"/>
          <w:sz w:val="20"/>
          <w:lang w:val="es-ES"/>
        </w:rPr>
        <w:t xml:space="preserve"> a personal en el p</w:t>
      </w:r>
      <w:r w:rsidRPr="0037163B">
        <w:rPr>
          <w:rFonts w:ascii="Arial" w:hAnsi="Arial" w:cs="Arial"/>
          <w:sz w:val="20"/>
          <w:lang w:val="es-ES"/>
        </w:rPr>
        <w:t xml:space="preserve">rograma 9 en el bienio 2016/17 con respecto al presupuesto de 2014/15, después de las trasferencias.  Esto se debe esencialmente a la asignación de recursos adicionales a la ejecución de dos proyectos A.D., a saber, el proyecto sobre P.I. y el turismo y el proyecto sobre el fortalecimiento de capacidades en el uso de información técnica y científica relativa a las tecnologías apropiadas en los PMA (Fase II).  El aumento se refleja en el resultado </w:t>
      </w:r>
      <w:r w:rsidR="008A366C">
        <w:rPr>
          <w:rFonts w:ascii="Arial" w:hAnsi="Arial" w:cs="Arial"/>
          <w:sz w:val="20"/>
          <w:lang w:val="es-ES"/>
        </w:rPr>
        <w:t xml:space="preserve">previsto </w:t>
      </w:r>
      <w:r w:rsidRPr="0037163B">
        <w:rPr>
          <w:rFonts w:ascii="Arial" w:hAnsi="Arial" w:cs="Arial"/>
          <w:sz w:val="20"/>
          <w:lang w:val="es-ES"/>
        </w:rPr>
        <w:t>III.2.</w:t>
      </w:r>
    </w:p>
    <w:p w:rsidR="000A0481" w:rsidRPr="0037163B" w:rsidRDefault="000A0481" w:rsidP="000A0481">
      <w:pPr>
        <w:pStyle w:val="ListParagraph"/>
        <w:widowControl w:val="0"/>
        <w:tabs>
          <w:tab w:val="left" w:pos="709"/>
        </w:tabs>
        <w:spacing w:after="240"/>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El aumento de los recursos en el resultado</w:t>
      </w:r>
      <w:r w:rsidR="008A366C">
        <w:rPr>
          <w:rFonts w:ascii="Arial" w:hAnsi="Arial" w:cs="Arial"/>
          <w:sz w:val="20"/>
          <w:lang w:val="es-ES"/>
        </w:rPr>
        <w:t xml:space="preserve"> previsto</w:t>
      </w:r>
      <w:r w:rsidRPr="0037163B">
        <w:rPr>
          <w:rFonts w:ascii="Arial" w:hAnsi="Arial" w:cs="Arial"/>
          <w:sz w:val="20"/>
          <w:lang w:val="es-ES"/>
        </w:rPr>
        <w:t xml:space="preserve"> IV.2 se debe a la mayor importancia que se da a la mejora del acceso a la información sobre la P.I. y a su uso por instituciones de P.I. y el público para la promoción de la innovación y la creatividad.  La disminución de los recursos asignados a los resultados</w:t>
      </w:r>
      <w:r w:rsidR="008A366C">
        <w:rPr>
          <w:rFonts w:ascii="Arial" w:hAnsi="Arial" w:cs="Arial"/>
          <w:sz w:val="20"/>
          <w:lang w:val="es-ES"/>
        </w:rPr>
        <w:t xml:space="preserve"> previstos</w:t>
      </w:r>
      <w:r w:rsidRPr="0037163B">
        <w:rPr>
          <w:rFonts w:ascii="Arial" w:hAnsi="Arial" w:cs="Arial"/>
          <w:sz w:val="20"/>
          <w:lang w:val="es-ES"/>
        </w:rPr>
        <w:t xml:space="preserve"> I.2 y IV.4 se debe a que se ha finalizado la integración de las actividades relacionadas con el asesoramiento legislativo y las soluciones operativas para las oficinas de P.I. en los programas 1, 2, 3, 4 y 15, respectivamente.</w:t>
      </w:r>
      <w:r w:rsidR="008A366C">
        <w:rPr>
          <w:rFonts w:ascii="Arial" w:hAnsi="Arial" w:cs="Arial"/>
          <w:sz w:val="20"/>
          <w:lang w:val="es-ES"/>
        </w:rPr>
        <w:t xml:space="preserve">  Los recursos vinculados con el resultado previsto III.3, de este programa, reflejan los esfuerzos desplegados por la Oficina del Director General Adjunto, encargado del Sector de Desarrollo, en relación con actividades del programa 8.</w:t>
      </w:r>
    </w:p>
    <w:p w:rsidR="000A0481" w:rsidRPr="0037163B" w:rsidRDefault="000A0481" w:rsidP="000A0481">
      <w:pPr>
        <w:pStyle w:val="ListParagraph"/>
        <w:widowControl w:val="0"/>
        <w:spacing w:after="240"/>
        <w:ind w:left="0"/>
        <w:jc w:val="both"/>
        <w:rPr>
          <w:rFonts w:ascii="Arial" w:hAnsi="Arial" w:cs="Arial"/>
          <w:sz w:val="20"/>
          <w:lang w:val="es-ES"/>
        </w:rPr>
      </w:pPr>
    </w:p>
    <w:p w:rsidR="000A0481" w:rsidRPr="0037163B" w:rsidRDefault="000A0481" w:rsidP="000A0481">
      <w:pPr>
        <w:pStyle w:val="ListParagraph"/>
        <w:widowControl w:val="0"/>
        <w:numPr>
          <w:ilvl w:val="0"/>
          <w:numId w:val="25"/>
        </w:numPr>
        <w:tabs>
          <w:tab w:val="left" w:pos="709"/>
        </w:tabs>
        <w:spacing w:after="240"/>
        <w:jc w:val="both"/>
        <w:rPr>
          <w:rFonts w:ascii="Arial" w:hAnsi="Arial" w:cs="Arial"/>
          <w:sz w:val="20"/>
          <w:lang w:val="es-ES"/>
        </w:rPr>
      </w:pPr>
      <w:r w:rsidRPr="0037163B">
        <w:rPr>
          <w:rFonts w:ascii="Arial" w:hAnsi="Arial" w:cs="Arial"/>
          <w:sz w:val="20"/>
          <w:lang w:val="es-ES"/>
        </w:rPr>
        <w:t xml:space="preserve">Se observa un descenso en </w:t>
      </w:r>
      <w:r w:rsidR="008A366C">
        <w:rPr>
          <w:rFonts w:ascii="Arial" w:hAnsi="Arial" w:cs="Arial"/>
          <w:sz w:val="20"/>
          <w:lang w:val="es-ES"/>
        </w:rPr>
        <w:t>los recursos</w:t>
      </w:r>
      <w:r w:rsidRPr="0037163B">
        <w:rPr>
          <w:rFonts w:ascii="Arial" w:hAnsi="Arial" w:cs="Arial"/>
          <w:sz w:val="20"/>
          <w:lang w:val="es-ES"/>
        </w:rPr>
        <w:t xml:space="preserve"> para el personal temporal en 2016/17 con respecto al presupuesto 2014/15</w:t>
      </w:r>
      <w:r w:rsidR="008A366C">
        <w:rPr>
          <w:rFonts w:ascii="Arial" w:hAnsi="Arial" w:cs="Arial"/>
          <w:sz w:val="20"/>
          <w:lang w:val="es-ES"/>
        </w:rPr>
        <w:t xml:space="preserve"> tras</w:t>
      </w:r>
      <w:r w:rsidRPr="0037163B">
        <w:rPr>
          <w:rFonts w:ascii="Arial" w:hAnsi="Arial" w:cs="Arial"/>
          <w:sz w:val="20"/>
          <w:lang w:val="es-ES"/>
        </w:rPr>
        <w:t xml:space="preserve"> las transferencias, debido a la regularización</w:t>
      </w:r>
      <w:r w:rsidR="008A366C">
        <w:rPr>
          <w:rFonts w:ascii="Arial" w:hAnsi="Arial" w:cs="Arial"/>
          <w:sz w:val="20"/>
          <w:lang w:val="es-ES"/>
        </w:rPr>
        <w:t>, en 2014/15,</w:t>
      </w:r>
      <w:r w:rsidRPr="0037163B">
        <w:rPr>
          <w:rFonts w:ascii="Arial" w:hAnsi="Arial" w:cs="Arial"/>
          <w:sz w:val="20"/>
          <w:lang w:val="es-ES"/>
        </w:rPr>
        <w:t xml:space="preserve"> de personal temporal con muchos años de servicio.  </w:t>
      </w:r>
      <w:r w:rsidR="00ED369F">
        <w:rPr>
          <w:rFonts w:ascii="Arial" w:hAnsi="Arial" w:cs="Arial"/>
          <w:sz w:val="20"/>
          <w:lang w:val="es-ES"/>
        </w:rPr>
        <w:t>La disminución de los recursos de personal refleja la culminación de varios proyectos de la A.D. en bienios anteriores</w:t>
      </w:r>
      <w:r w:rsidRPr="0037163B">
        <w:rPr>
          <w:rFonts w:ascii="Arial" w:hAnsi="Arial" w:cs="Arial"/>
          <w:sz w:val="20"/>
          <w:lang w:val="es-ES"/>
        </w:rPr>
        <w:t>.</w:t>
      </w:r>
    </w:p>
    <w:p w:rsidR="000A0481" w:rsidRPr="0037163B" w:rsidRDefault="000A0481" w:rsidP="000A0481">
      <w:pPr>
        <w:pStyle w:val="ListParagraph"/>
        <w:widowControl w:val="0"/>
        <w:spacing w:after="240"/>
        <w:ind w:left="0"/>
        <w:jc w:val="both"/>
        <w:rPr>
          <w:rFonts w:ascii="Arial" w:hAnsi="Arial" w:cs="Arial"/>
          <w:sz w:val="20"/>
          <w:lang w:val="es-ES"/>
        </w:rPr>
      </w:pPr>
    </w:p>
    <w:p w:rsidR="000A0481" w:rsidRPr="0037163B" w:rsidRDefault="000A0481" w:rsidP="000A0481">
      <w:pPr>
        <w:pStyle w:val="ListParagraph"/>
        <w:spacing w:after="240"/>
        <w:ind w:left="0"/>
        <w:rPr>
          <w:rFonts w:ascii="Arial" w:hAnsi="Arial" w:cs="Arial"/>
          <w:bCs/>
          <w:lang w:val="es-ES"/>
        </w:rPr>
      </w:pPr>
    </w:p>
    <w:p w:rsidR="000A0481" w:rsidRPr="0037163B" w:rsidRDefault="00810833" w:rsidP="000A0481">
      <w:pPr>
        <w:pStyle w:val="ListParagraph"/>
        <w:keepNext/>
        <w:spacing w:after="240"/>
        <w:ind w:left="0"/>
        <w:jc w:val="center"/>
        <w:rPr>
          <w:rFonts w:ascii="Arial" w:hAnsi="Arial" w:cs="Arial"/>
          <w:b/>
          <w:sz w:val="20"/>
          <w:lang w:val="es-ES"/>
        </w:rPr>
      </w:pPr>
      <w:r>
        <w:rPr>
          <w:rFonts w:ascii="Arial" w:hAnsi="Arial" w:cs="Arial"/>
          <w:b/>
          <w:sz w:val="20"/>
          <w:lang w:val="es-ES"/>
        </w:rPr>
        <w:t xml:space="preserve">Programa </w:t>
      </w:r>
      <w:r w:rsidR="000A0481" w:rsidRPr="0037163B">
        <w:rPr>
          <w:rFonts w:ascii="Arial" w:hAnsi="Arial" w:cs="Arial"/>
          <w:b/>
          <w:sz w:val="20"/>
          <w:lang w:val="es-ES"/>
        </w:rPr>
        <w:t>9</w:t>
      </w:r>
      <w:proofErr w:type="gramStart"/>
      <w:r w:rsidR="000A0481" w:rsidRPr="0037163B">
        <w:rPr>
          <w:rFonts w:ascii="Arial" w:hAnsi="Arial" w:cs="Arial"/>
          <w:b/>
          <w:sz w:val="20"/>
          <w:lang w:val="es-ES"/>
        </w:rPr>
        <w:t>:  Recursos</w:t>
      </w:r>
      <w:proofErr w:type="gramEnd"/>
      <w:r w:rsidR="000A0481" w:rsidRPr="0037163B">
        <w:rPr>
          <w:rFonts w:ascii="Arial" w:hAnsi="Arial" w:cs="Arial"/>
          <w:b/>
          <w:sz w:val="20"/>
          <w:lang w:val="es-ES"/>
        </w:rPr>
        <w:t xml:space="preserve"> por resultado </w:t>
      </w:r>
    </w:p>
    <w:p w:rsidR="000A0481" w:rsidRPr="0037163B" w:rsidRDefault="000A0481" w:rsidP="000A0481">
      <w:pPr>
        <w:pStyle w:val="ListParagraph"/>
        <w:keepNext/>
        <w:spacing w:after="240"/>
        <w:ind w:left="0"/>
        <w:jc w:val="center"/>
        <w:rPr>
          <w:rFonts w:ascii="Arial" w:hAnsi="Arial" w:cs="Arial"/>
          <w:i/>
          <w:sz w:val="20"/>
          <w:lang w:val="es-ES"/>
        </w:rPr>
      </w:pPr>
      <w:r w:rsidRPr="0037163B">
        <w:rPr>
          <w:rFonts w:ascii="Arial" w:hAnsi="Arial" w:cs="Arial"/>
          <w:i/>
          <w:sz w:val="20"/>
          <w:lang w:val="es-ES"/>
        </w:rPr>
        <w:t>(</w:t>
      </w:r>
      <w:proofErr w:type="gramStart"/>
      <w:r w:rsidRPr="0037163B">
        <w:rPr>
          <w:rFonts w:ascii="Arial" w:hAnsi="Arial" w:cs="Arial"/>
          <w:i/>
          <w:sz w:val="20"/>
          <w:lang w:val="es-ES"/>
        </w:rPr>
        <w:t>en</w:t>
      </w:r>
      <w:proofErr w:type="gramEnd"/>
      <w:r w:rsidRPr="0037163B">
        <w:rPr>
          <w:rFonts w:ascii="Arial" w:hAnsi="Arial" w:cs="Arial"/>
          <w:i/>
          <w:sz w:val="20"/>
          <w:lang w:val="es-ES"/>
        </w:rPr>
        <w:t xml:space="preserve"> miles de francos suizos)</w:t>
      </w:r>
    </w:p>
    <w:p w:rsidR="000A0481" w:rsidRPr="0037163B" w:rsidRDefault="000A0481" w:rsidP="000A0481">
      <w:pPr>
        <w:pStyle w:val="ListParagraph"/>
        <w:keepNext/>
        <w:spacing w:after="240"/>
        <w:ind w:left="0"/>
        <w:jc w:val="center"/>
        <w:rPr>
          <w:rFonts w:ascii="Arial" w:hAnsi="Arial" w:cs="Arial"/>
          <w:i/>
          <w:sz w:val="20"/>
          <w:lang w:val="es-ES"/>
        </w:rPr>
      </w:pPr>
    </w:p>
    <w:p w:rsidR="000A0481" w:rsidRPr="0037163B" w:rsidRDefault="00ED369F" w:rsidP="000A0481">
      <w:pPr>
        <w:pStyle w:val="ListParagraph"/>
        <w:widowControl w:val="0"/>
        <w:spacing w:after="240"/>
        <w:ind w:left="0" w:right="-141"/>
        <w:jc w:val="center"/>
        <w:rPr>
          <w:rFonts w:ascii="Arial" w:hAnsi="Arial" w:cs="Arial"/>
          <w:i/>
          <w:sz w:val="20"/>
          <w:lang w:val="es-ES"/>
        </w:rPr>
      </w:pPr>
      <w:r w:rsidRPr="00ED369F">
        <w:rPr>
          <w:noProof/>
          <w:lang w:eastAsia="en-US"/>
        </w:rPr>
        <w:drawing>
          <wp:inline distT="0" distB="0" distL="0" distR="0">
            <wp:extent cx="5676900" cy="486473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676900" cy="4864735"/>
                    </a:xfrm>
                    <a:prstGeom prst="rect">
                      <a:avLst/>
                    </a:prstGeom>
                    <a:noFill/>
                    <a:ln>
                      <a:noFill/>
                    </a:ln>
                  </pic:spPr>
                </pic:pic>
              </a:graphicData>
            </a:graphic>
          </wp:inline>
        </w:drawing>
      </w:r>
    </w:p>
    <w:p w:rsidR="000A0481" w:rsidRPr="0037163B" w:rsidRDefault="000A0481" w:rsidP="000A0481">
      <w:pPr>
        <w:pStyle w:val="ListParagraph"/>
        <w:widowControl w:val="0"/>
        <w:spacing w:after="240"/>
        <w:ind w:left="0"/>
        <w:jc w:val="center"/>
        <w:rPr>
          <w:rFonts w:ascii="Arial" w:hAnsi="Arial" w:cs="Arial"/>
          <w:i/>
          <w:sz w:val="20"/>
          <w:lang w:val="es-ES"/>
        </w:rPr>
      </w:pPr>
    </w:p>
    <w:p w:rsidR="000A0481" w:rsidRPr="0037163B" w:rsidRDefault="005012AC" w:rsidP="000A0481">
      <w:pPr>
        <w:pStyle w:val="ListParagraph"/>
        <w:keepNext/>
        <w:widowControl w:val="0"/>
        <w:spacing w:after="240"/>
        <w:ind w:left="0"/>
        <w:jc w:val="center"/>
        <w:rPr>
          <w:rFonts w:ascii="Arial" w:hAnsi="Arial" w:cs="Arial"/>
          <w:b/>
          <w:sz w:val="20"/>
          <w:lang w:val="es-ES"/>
        </w:rPr>
      </w:pPr>
      <w:r>
        <w:rPr>
          <w:rFonts w:ascii="Arial" w:hAnsi="Arial" w:cs="Arial"/>
          <w:b/>
          <w:sz w:val="20"/>
          <w:lang w:val="es-ES"/>
        </w:rPr>
        <w:lastRenderedPageBreak/>
        <w:t xml:space="preserve">Programa </w:t>
      </w:r>
      <w:r w:rsidR="000A0481" w:rsidRPr="0037163B">
        <w:rPr>
          <w:rFonts w:ascii="Arial" w:hAnsi="Arial" w:cs="Arial"/>
          <w:b/>
          <w:sz w:val="20"/>
          <w:lang w:val="es-ES"/>
        </w:rPr>
        <w:t>9</w:t>
      </w:r>
      <w:proofErr w:type="gramStart"/>
      <w:r>
        <w:rPr>
          <w:rFonts w:ascii="Arial" w:hAnsi="Arial" w:cs="Arial"/>
          <w:b/>
          <w:sz w:val="20"/>
          <w:lang w:val="es-ES"/>
        </w:rPr>
        <w:t>:  Recursos</w:t>
      </w:r>
      <w:proofErr w:type="gramEnd"/>
      <w:r>
        <w:rPr>
          <w:rFonts w:ascii="Arial" w:hAnsi="Arial" w:cs="Arial"/>
          <w:b/>
          <w:sz w:val="20"/>
          <w:lang w:val="es-ES"/>
        </w:rPr>
        <w:t xml:space="preserve"> por objeto de gasto</w:t>
      </w:r>
    </w:p>
    <w:p w:rsidR="000A0481" w:rsidRPr="0037163B" w:rsidRDefault="000A0481" w:rsidP="000A0481">
      <w:pPr>
        <w:pStyle w:val="ListParagraph"/>
        <w:keepNext/>
        <w:widowControl w:val="0"/>
        <w:spacing w:after="240"/>
        <w:ind w:left="0"/>
        <w:jc w:val="center"/>
        <w:rPr>
          <w:rFonts w:ascii="Arial" w:hAnsi="Arial" w:cs="Arial"/>
          <w:i/>
          <w:sz w:val="20"/>
          <w:lang w:val="es-ES"/>
        </w:rPr>
      </w:pPr>
      <w:r w:rsidRPr="0037163B">
        <w:rPr>
          <w:rFonts w:ascii="Arial" w:hAnsi="Arial" w:cs="Arial"/>
          <w:i/>
          <w:sz w:val="20"/>
          <w:lang w:val="es-ES"/>
        </w:rPr>
        <w:t>(</w:t>
      </w:r>
      <w:proofErr w:type="gramStart"/>
      <w:r w:rsidRPr="0037163B">
        <w:rPr>
          <w:rFonts w:ascii="Arial" w:hAnsi="Arial" w:cs="Arial"/>
          <w:i/>
          <w:sz w:val="20"/>
          <w:lang w:val="es-ES"/>
        </w:rPr>
        <w:t>en</w:t>
      </w:r>
      <w:proofErr w:type="gramEnd"/>
      <w:r w:rsidRPr="0037163B">
        <w:rPr>
          <w:rFonts w:ascii="Arial" w:hAnsi="Arial" w:cs="Arial"/>
          <w:i/>
          <w:sz w:val="20"/>
          <w:lang w:val="es-ES"/>
        </w:rPr>
        <w:t xml:space="preserve"> miles de francos suizos)</w:t>
      </w:r>
    </w:p>
    <w:p w:rsidR="000A0481" w:rsidRPr="0037163B" w:rsidRDefault="000A0481" w:rsidP="000A0481">
      <w:pPr>
        <w:pStyle w:val="ListParagraph"/>
        <w:keepNext/>
        <w:widowControl w:val="0"/>
        <w:spacing w:after="240"/>
        <w:ind w:left="0"/>
        <w:jc w:val="center"/>
        <w:rPr>
          <w:rFonts w:ascii="Arial" w:hAnsi="Arial" w:cs="Arial"/>
          <w:i/>
          <w:sz w:val="20"/>
          <w:lang w:val="es-ES"/>
        </w:rPr>
      </w:pPr>
    </w:p>
    <w:p w:rsidR="000A0481" w:rsidRPr="0037163B" w:rsidRDefault="00835617" w:rsidP="000A0481">
      <w:pPr>
        <w:pStyle w:val="ListParagraph"/>
        <w:widowControl w:val="0"/>
        <w:spacing w:after="240"/>
        <w:ind w:left="0"/>
        <w:jc w:val="center"/>
        <w:rPr>
          <w:rFonts w:ascii="Arial" w:hAnsi="Arial" w:cs="Arial"/>
          <w:i/>
          <w:sz w:val="20"/>
          <w:lang w:val="es-ES"/>
        </w:rPr>
      </w:pPr>
      <w:r>
        <w:rPr>
          <w:noProof/>
          <w:lang w:eastAsia="en-US"/>
        </w:rPr>
        <w:drawing>
          <wp:inline distT="0" distB="0" distL="0" distR="0" wp14:anchorId="1D7A5935" wp14:editId="79BD0005">
            <wp:extent cx="5940425" cy="6370725"/>
            <wp:effectExtent l="0" t="0" r="3175"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0425" cy="6370725"/>
                    </a:xfrm>
                    <a:prstGeom prst="rect">
                      <a:avLst/>
                    </a:prstGeom>
                    <a:noFill/>
                    <a:ln>
                      <a:noFill/>
                    </a:ln>
                  </pic:spPr>
                </pic:pic>
              </a:graphicData>
            </a:graphic>
          </wp:inline>
        </w:drawing>
      </w:r>
    </w:p>
    <w:p w:rsidR="000A0481" w:rsidRPr="0037163B" w:rsidRDefault="000A0481" w:rsidP="000A0481">
      <w:pPr>
        <w:pStyle w:val="ListParagraph"/>
        <w:widowControl w:val="0"/>
        <w:spacing w:after="240"/>
        <w:ind w:left="0"/>
        <w:jc w:val="center"/>
        <w:rPr>
          <w:rFonts w:ascii="Arial" w:hAnsi="Arial" w:cs="Arial"/>
          <w:i/>
          <w:sz w:val="20"/>
          <w:lang w:val="es-ES"/>
        </w:rPr>
      </w:pPr>
    </w:p>
    <w:p w:rsidR="000A0481" w:rsidRPr="0037163B" w:rsidRDefault="000A0481" w:rsidP="000A0481">
      <w:pPr>
        <w:keepNext/>
        <w:widowControl w:val="0"/>
        <w:jc w:val="center"/>
        <w:rPr>
          <w:b/>
          <w:sz w:val="20"/>
        </w:rPr>
      </w:pPr>
    </w:p>
    <w:p w:rsidR="000A0481" w:rsidRPr="0037163B" w:rsidRDefault="000A0481" w:rsidP="000A0481">
      <w:pPr>
        <w:keepNext/>
        <w:widowControl w:val="0"/>
        <w:jc w:val="center"/>
        <w:rPr>
          <w:b/>
          <w:sz w:val="20"/>
        </w:rPr>
      </w:pPr>
      <w:r w:rsidRPr="0037163B">
        <w:rPr>
          <w:b/>
          <w:sz w:val="20"/>
        </w:rPr>
        <w:t>Recursos de fondos fiduciarios disponibles potencialmente para su utilización en 2016/17</w:t>
      </w:r>
      <w:r w:rsidR="00941870">
        <w:rPr>
          <w:b/>
          <w:sz w:val="20"/>
        </w:rPr>
        <w:br/>
      </w:r>
      <w:r w:rsidRPr="0037163B">
        <w:rPr>
          <w:b/>
          <w:sz w:val="20"/>
        </w:rPr>
        <w:t>(POR PROGRAMA)</w:t>
      </w:r>
      <w:r w:rsidRPr="0037163B">
        <w:rPr>
          <w:sz w:val="20"/>
          <w:vertAlign w:val="superscript"/>
        </w:rPr>
        <w:t>1</w:t>
      </w:r>
    </w:p>
    <w:p w:rsidR="000A0481" w:rsidRPr="0037163B" w:rsidRDefault="000A0481" w:rsidP="000A0481">
      <w:pPr>
        <w:keepNext/>
        <w:widowControl w:val="0"/>
        <w:jc w:val="center"/>
        <w:rPr>
          <w:i/>
          <w:sz w:val="20"/>
        </w:rPr>
      </w:pPr>
      <w:r w:rsidRPr="0037163B">
        <w:rPr>
          <w:i/>
          <w:sz w:val="20"/>
        </w:rPr>
        <w:t>(</w:t>
      </w:r>
      <w:proofErr w:type="gramStart"/>
      <w:r w:rsidRPr="0037163B">
        <w:rPr>
          <w:i/>
          <w:sz w:val="20"/>
        </w:rPr>
        <w:t>en</w:t>
      </w:r>
      <w:proofErr w:type="gramEnd"/>
      <w:r w:rsidRPr="0037163B">
        <w:rPr>
          <w:i/>
          <w:sz w:val="20"/>
        </w:rPr>
        <w:t xml:space="preserve"> miles de francos suizos)</w:t>
      </w:r>
    </w:p>
    <w:p w:rsidR="000A0481" w:rsidRPr="0037163B" w:rsidRDefault="000A0481" w:rsidP="000A0481">
      <w:pPr>
        <w:pStyle w:val="ListParagraph"/>
        <w:keepNext/>
        <w:widowControl w:val="0"/>
        <w:spacing w:after="240"/>
        <w:ind w:left="0"/>
        <w:jc w:val="center"/>
        <w:rPr>
          <w:rFonts w:ascii="Arial" w:hAnsi="Arial" w:cs="Arial"/>
          <w:i/>
          <w:sz w:val="20"/>
          <w:lang w:val="es-ES"/>
        </w:rPr>
      </w:pPr>
    </w:p>
    <w:p w:rsidR="000A0481" w:rsidRPr="0037163B" w:rsidRDefault="00DA0A15" w:rsidP="00DA0A15">
      <w:pPr>
        <w:pStyle w:val="ListParagraph"/>
        <w:widowControl w:val="0"/>
        <w:spacing w:after="240"/>
        <w:ind w:left="0"/>
        <w:rPr>
          <w:rFonts w:ascii="Arial" w:hAnsi="Arial" w:cs="Arial"/>
          <w:i/>
          <w:sz w:val="20"/>
          <w:lang w:val="es-ES"/>
        </w:rPr>
      </w:pPr>
      <w:r w:rsidRPr="00DA0A15">
        <w:rPr>
          <w:noProof/>
          <w:lang w:eastAsia="en-US"/>
        </w:rPr>
        <w:drawing>
          <wp:inline distT="0" distB="0" distL="0" distR="0" wp14:anchorId="62B6C1BE" wp14:editId="18336E84">
            <wp:extent cx="5940425" cy="2059085"/>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0425" cy="2059085"/>
                    </a:xfrm>
                    <a:prstGeom prst="rect">
                      <a:avLst/>
                    </a:prstGeom>
                    <a:noFill/>
                    <a:ln>
                      <a:noFill/>
                    </a:ln>
                  </pic:spPr>
                </pic:pic>
              </a:graphicData>
            </a:graphic>
          </wp:inline>
        </w:drawing>
      </w:r>
    </w:p>
    <w:p w:rsidR="000A0481" w:rsidRDefault="003E6D67" w:rsidP="000A0481">
      <w:pPr>
        <w:widowControl w:val="0"/>
        <w:tabs>
          <w:tab w:val="left" w:pos="567"/>
        </w:tabs>
        <w:rPr>
          <w:i/>
          <w:sz w:val="16"/>
          <w:szCs w:val="14"/>
        </w:rPr>
      </w:pPr>
      <w:r>
        <w:rPr>
          <w:i/>
          <w:sz w:val="16"/>
          <w:szCs w:val="14"/>
          <w:vertAlign w:val="superscript"/>
        </w:rPr>
        <w:t xml:space="preserve">1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w:t>
      </w:r>
      <w:r w:rsidR="00DA0A15">
        <w:rPr>
          <w:i/>
          <w:sz w:val="16"/>
          <w:szCs w:val="14"/>
        </w:rPr>
        <w:t xml:space="preserve">os ingresos y se incurre en </w:t>
      </w:r>
      <w:r>
        <w:rPr>
          <w:i/>
          <w:sz w:val="16"/>
          <w:szCs w:val="14"/>
        </w:rPr>
        <w:t>gastos</w:t>
      </w:r>
      <w:r w:rsidRPr="00ED4DE9">
        <w:rPr>
          <w:i/>
          <w:sz w:val="16"/>
          <w:szCs w:val="14"/>
        </w:rPr>
        <w:t>.</w:t>
      </w:r>
    </w:p>
    <w:p w:rsidR="00085C7B" w:rsidRPr="0037163B" w:rsidRDefault="00085C7B" w:rsidP="000A0481">
      <w:pPr>
        <w:widowControl w:val="0"/>
        <w:tabs>
          <w:tab w:val="left" w:pos="567"/>
        </w:tabs>
        <w:rPr>
          <w:i/>
          <w:sz w:val="16"/>
          <w:szCs w:val="14"/>
        </w:rPr>
      </w:pPr>
    </w:p>
    <w:p w:rsidR="000A0481" w:rsidRDefault="003E6D67" w:rsidP="000A0481">
      <w:pPr>
        <w:widowControl w:val="0"/>
        <w:rPr>
          <w:i/>
          <w:sz w:val="16"/>
          <w:szCs w:val="14"/>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085C7B" w:rsidRPr="0037163B" w:rsidRDefault="00085C7B" w:rsidP="000A0481">
      <w:pPr>
        <w:widowControl w:val="0"/>
        <w:rPr>
          <w:i/>
          <w:sz w:val="16"/>
          <w:szCs w:val="14"/>
        </w:rPr>
      </w:pPr>
    </w:p>
    <w:p w:rsidR="000A0481" w:rsidRDefault="000A0481" w:rsidP="000A0481">
      <w:pPr>
        <w:widowControl w:val="0"/>
        <w:rPr>
          <w:i/>
          <w:sz w:val="16"/>
          <w:szCs w:val="14"/>
        </w:rPr>
      </w:pPr>
      <w:r w:rsidRPr="0037163B">
        <w:rPr>
          <w:i/>
          <w:sz w:val="16"/>
          <w:szCs w:val="14"/>
          <w:vertAlign w:val="superscript"/>
        </w:rPr>
        <w:t xml:space="preserve">3 </w:t>
      </w:r>
      <w:r w:rsidR="003E6D67">
        <w:rPr>
          <w:i/>
          <w:sz w:val="16"/>
          <w:szCs w:val="14"/>
          <w:vertAlign w:val="superscript"/>
        </w:rPr>
        <w:t xml:space="preserve"> </w:t>
      </w:r>
      <w:r w:rsidRPr="0037163B">
        <w:rPr>
          <w:i/>
          <w:sz w:val="16"/>
          <w:szCs w:val="14"/>
        </w:rPr>
        <w:t>Las contribuciones anuales varían y se han observado fluctuaciones de un año a otro.</w:t>
      </w:r>
    </w:p>
    <w:p w:rsidR="000A0481" w:rsidRPr="0037163B" w:rsidRDefault="000A0481" w:rsidP="000A0481">
      <w:pPr>
        <w:pStyle w:val="ListParagraph"/>
        <w:widowControl w:val="0"/>
        <w:spacing w:after="240"/>
        <w:ind w:left="0"/>
        <w:rPr>
          <w:rFonts w:ascii="Arial" w:hAnsi="Arial" w:cs="Arial"/>
          <w:i/>
          <w:sz w:val="20"/>
          <w:lang w:val="es-ES"/>
        </w:rPr>
      </w:pPr>
    </w:p>
    <w:p w:rsidR="00085C7B" w:rsidRDefault="00085C7B">
      <w:pPr>
        <w:rPr>
          <w:szCs w:val="22"/>
        </w:rPr>
      </w:pPr>
      <w:r>
        <w:rPr>
          <w:szCs w:val="22"/>
        </w:rPr>
        <w:br w:type="page"/>
      </w:r>
    </w:p>
    <w:p w:rsidR="0079353A" w:rsidRPr="00F4741E" w:rsidRDefault="0079353A" w:rsidP="00DA31CA">
      <w:pPr>
        <w:pStyle w:val="StyleStyleHeading3ComplexItalicLatin12pt"/>
        <w:ind w:left="1985" w:hanging="1985"/>
        <w:rPr>
          <w:lang w:val="es-ES"/>
        </w:rPr>
      </w:pPr>
      <w:bookmarkStart w:id="43" w:name="_Toc420681143"/>
      <w:r w:rsidRPr="00F4741E">
        <w:rPr>
          <w:lang w:val="es-ES"/>
        </w:rPr>
        <w:lastRenderedPageBreak/>
        <w:t>PROGRAMA 10</w:t>
      </w:r>
      <w:r w:rsidRPr="00F4741E">
        <w:rPr>
          <w:lang w:val="es-ES"/>
        </w:rPr>
        <w:tab/>
        <w:t>PAÍSES CON ECONOMÍAS EN TRANSICIÓN Y PAÍSES DESARROLLADOS</w:t>
      </w:r>
      <w:bookmarkEnd w:id="43"/>
    </w:p>
    <w:p w:rsidR="0079353A" w:rsidRPr="0079353A" w:rsidRDefault="0079353A" w:rsidP="0079353A">
      <w:pPr>
        <w:jc w:val="both"/>
        <w:rPr>
          <w:szCs w:val="22"/>
        </w:rPr>
      </w:pPr>
    </w:p>
    <w:p w:rsidR="0079353A" w:rsidRPr="0079353A" w:rsidRDefault="0079353A" w:rsidP="0079353A">
      <w:pPr>
        <w:jc w:val="both"/>
        <w:rPr>
          <w:szCs w:val="22"/>
        </w:rPr>
      </w:pPr>
    </w:p>
    <w:p w:rsidR="0079353A" w:rsidRPr="0079353A" w:rsidRDefault="0079353A" w:rsidP="0079353A">
      <w:pPr>
        <w:jc w:val="both"/>
        <w:rPr>
          <w:szCs w:val="22"/>
        </w:rPr>
      </w:pPr>
      <w:r w:rsidRPr="0079353A">
        <w:rPr>
          <w:szCs w:val="22"/>
        </w:rPr>
        <w:t xml:space="preserve">CONTEXTO DE PLANIFICACIÓN </w:t>
      </w:r>
    </w:p>
    <w:p w:rsidR="0079353A" w:rsidRPr="0079353A" w:rsidRDefault="0079353A" w:rsidP="0079353A">
      <w:pPr>
        <w:ind w:left="3"/>
        <w:jc w:val="both"/>
        <w:rPr>
          <w:szCs w:val="22"/>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Las consecuencias de la crisis financiera mundial y la inestabilidad de los mercados siguen incidiendo en las economías nacionales.  Por una parte, dicha incidencia limita la disponibilidad de fondos para investigación y desarrollo (I+D) e incita a la prudencia.  Por otra, abre las puertas a la innovación y la creatividad en aras del crecimiento económico.  Muchos países consideran que la función de la innovación y la P.I. es un factor clave del crecimiento económico, </w:t>
      </w:r>
      <w:r w:rsidR="00AE7A1F">
        <w:rPr>
          <w:rFonts w:ascii="Arial" w:hAnsi="Arial" w:cs="Arial"/>
          <w:sz w:val="20"/>
          <w:lang w:val="es-ES"/>
        </w:rPr>
        <w:t>y por ello invierten</w:t>
      </w:r>
      <w:r w:rsidRPr="0079353A">
        <w:rPr>
          <w:rFonts w:ascii="Arial" w:hAnsi="Arial" w:cs="Arial"/>
          <w:sz w:val="20"/>
          <w:lang w:val="es-ES"/>
        </w:rPr>
        <w:t xml:space="preserve"> recursos para crear un ecosistema de P.I. equilibrado y efectivo.  La internacionalización de </w:t>
      </w:r>
      <w:r w:rsidR="00AE7A1F">
        <w:rPr>
          <w:rFonts w:ascii="Arial" w:hAnsi="Arial" w:cs="Arial"/>
          <w:sz w:val="20"/>
          <w:lang w:val="es-ES"/>
        </w:rPr>
        <w:t xml:space="preserve">las </w:t>
      </w:r>
      <w:r w:rsidRPr="0079353A">
        <w:rPr>
          <w:rFonts w:ascii="Arial" w:hAnsi="Arial" w:cs="Arial"/>
          <w:sz w:val="20"/>
          <w:lang w:val="es-ES"/>
        </w:rPr>
        <w:t>actividades innovadoras y creativas permite crear alianzas entre países y regiones, lo que puede propiciar un uso más eficaz de los sistemas internacionales de protección de la P.I.</w:t>
      </w:r>
    </w:p>
    <w:p w:rsidR="0079353A" w:rsidRDefault="0079353A" w:rsidP="0079353A">
      <w:pPr>
        <w:jc w:val="both"/>
        <w:rPr>
          <w:szCs w:val="22"/>
        </w:rPr>
      </w:pPr>
    </w:p>
    <w:p w:rsidR="00172953" w:rsidRPr="00AE7A1F" w:rsidRDefault="00AE7A1F" w:rsidP="00172953">
      <w:pPr>
        <w:pStyle w:val="ListParagraph"/>
        <w:numPr>
          <w:ilvl w:val="0"/>
          <w:numId w:val="26"/>
        </w:numPr>
        <w:tabs>
          <w:tab w:val="right" w:pos="709"/>
        </w:tabs>
        <w:ind w:left="0" w:firstLine="0"/>
        <w:jc w:val="both"/>
        <w:rPr>
          <w:rFonts w:ascii="Arial" w:hAnsi="Arial" w:cs="Arial"/>
          <w:sz w:val="20"/>
          <w:lang w:val="es-ES"/>
        </w:rPr>
      </w:pPr>
      <w:r w:rsidRPr="00AE7A1F">
        <w:rPr>
          <w:rFonts w:ascii="Arial" w:hAnsi="Arial" w:cs="Arial"/>
          <w:sz w:val="20"/>
          <w:lang w:val="es-ES"/>
        </w:rPr>
        <w:t>Con ese telón de fondo</w:t>
      </w:r>
      <w:r w:rsidR="00172953" w:rsidRPr="00AE7A1F">
        <w:rPr>
          <w:rFonts w:ascii="Arial" w:hAnsi="Arial" w:cs="Arial"/>
          <w:sz w:val="20"/>
          <w:lang w:val="es-ES"/>
        </w:rPr>
        <w:t>,</w:t>
      </w:r>
      <w:r>
        <w:rPr>
          <w:rFonts w:ascii="Arial" w:hAnsi="Arial" w:cs="Arial"/>
          <w:sz w:val="20"/>
          <w:lang w:val="es-ES"/>
        </w:rPr>
        <w:t xml:space="preserve"> se espera una demanda creciente procedente de los países con economías en transición para desarrollar estrategias y planes nacionales de P.I. que sean específicos, de largo plazo, y que estén orientados a la obtención de resultados y en sintonía con las metas económicas y culturales nacionales.</w:t>
      </w:r>
    </w:p>
    <w:p w:rsidR="00172953" w:rsidRPr="00530FE6" w:rsidRDefault="00172953" w:rsidP="0079353A">
      <w:pPr>
        <w:jc w:val="both"/>
        <w:rPr>
          <w:szCs w:val="22"/>
          <w:lang w:val="es-ES_tradnl"/>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Por ello, parece </w:t>
      </w:r>
      <w:r w:rsidR="00ED369F">
        <w:rPr>
          <w:rFonts w:ascii="Arial" w:hAnsi="Arial" w:cs="Arial"/>
          <w:sz w:val="20"/>
          <w:lang w:val="es-ES"/>
        </w:rPr>
        <w:t xml:space="preserve">también </w:t>
      </w:r>
      <w:r w:rsidRPr="0079353A">
        <w:rPr>
          <w:rFonts w:ascii="Arial" w:hAnsi="Arial" w:cs="Arial"/>
          <w:sz w:val="20"/>
          <w:lang w:val="es-ES"/>
        </w:rPr>
        <w:t>indispensable fomentar</w:t>
      </w:r>
      <w:r w:rsidR="00ED369F">
        <w:rPr>
          <w:rFonts w:ascii="Arial" w:hAnsi="Arial" w:cs="Arial"/>
          <w:sz w:val="20"/>
          <w:lang w:val="es-ES"/>
        </w:rPr>
        <w:t xml:space="preserve"> y racionalizar</w:t>
      </w:r>
      <w:r w:rsidRPr="0079353A">
        <w:rPr>
          <w:rFonts w:ascii="Arial" w:hAnsi="Arial" w:cs="Arial"/>
          <w:sz w:val="20"/>
          <w:lang w:val="es-ES"/>
        </w:rPr>
        <w:t xml:space="preserve"> la interacción entre </w:t>
      </w:r>
      <w:r w:rsidR="00ED369F">
        <w:rPr>
          <w:rFonts w:ascii="Arial" w:hAnsi="Arial" w:cs="Arial"/>
          <w:sz w:val="20"/>
          <w:lang w:val="es-ES"/>
        </w:rPr>
        <w:t xml:space="preserve">la OMPI y </w:t>
      </w:r>
      <w:r w:rsidRPr="0079353A">
        <w:rPr>
          <w:rFonts w:ascii="Arial" w:hAnsi="Arial" w:cs="Arial"/>
          <w:sz w:val="20"/>
          <w:lang w:val="es-ES"/>
        </w:rPr>
        <w:t xml:space="preserve">todos los sectores interesados </w:t>
      </w:r>
      <w:r w:rsidR="00ED369F">
        <w:rPr>
          <w:rFonts w:ascii="Arial" w:hAnsi="Arial" w:cs="Arial"/>
          <w:sz w:val="20"/>
          <w:lang w:val="es-ES"/>
        </w:rPr>
        <w:t xml:space="preserve">en </w:t>
      </w:r>
      <w:r w:rsidRPr="0079353A">
        <w:rPr>
          <w:rFonts w:ascii="Arial" w:hAnsi="Arial" w:cs="Arial"/>
          <w:sz w:val="20"/>
          <w:lang w:val="es-ES"/>
        </w:rPr>
        <w:t>los países con economías en transición</w:t>
      </w:r>
      <w:r w:rsidR="00ED369F">
        <w:rPr>
          <w:rFonts w:ascii="Arial" w:hAnsi="Arial" w:cs="Arial"/>
          <w:sz w:val="20"/>
          <w:lang w:val="es-ES"/>
        </w:rPr>
        <w:t xml:space="preserve"> y en los países desarrollados</w:t>
      </w:r>
      <w:r w:rsidRPr="0079353A">
        <w:rPr>
          <w:rFonts w:ascii="Arial" w:hAnsi="Arial" w:cs="Arial"/>
          <w:sz w:val="20"/>
          <w:lang w:val="es-ES"/>
        </w:rPr>
        <w:t xml:space="preserve"> para seguir mejorando la imagen y la posición de la O</w:t>
      </w:r>
      <w:r w:rsidR="00ED369F">
        <w:rPr>
          <w:rFonts w:ascii="Arial" w:hAnsi="Arial" w:cs="Arial"/>
          <w:sz w:val="20"/>
          <w:lang w:val="es-ES"/>
        </w:rPr>
        <w:t>rganización</w:t>
      </w:r>
      <w:r w:rsidRPr="0079353A">
        <w:rPr>
          <w:rFonts w:ascii="Arial" w:hAnsi="Arial" w:cs="Arial"/>
          <w:sz w:val="20"/>
          <w:lang w:val="es-ES"/>
        </w:rPr>
        <w:t xml:space="preserve"> en los países en cuestión, además de aumentar la sensibilización acerca de las oportunidades relacionadas con la actividad normativa, las iniciativas y los servicios de la OMPI.  En el bienio seguirá creciendo la demanda de elaboración de estrategias y planes de P.I. nacionales adaptados a cada caso, de largo plazo y orientados a la obtención de resultados, en consonancia con las estrategias nacionales en los ámbitos económico y cultural.</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Un enfoque institucional coordinado será beneficioso tanto para la OMPI como para sus Estados miembros.  </w:t>
      </w:r>
      <w:r w:rsidR="00ED369F">
        <w:rPr>
          <w:rFonts w:ascii="Arial" w:hAnsi="Arial" w:cs="Arial"/>
          <w:sz w:val="20"/>
          <w:lang w:val="es-ES"/>
        </w:rPr>
        <w:t>Seguirá siendo prioritario</w:t>
      </w:r>
      <w:r w:rsidRPr="0079353A">
        <w:rPr>
          <w:rFonts w:ascii="Arial" w:hAnsi="Arial" w:cs="Arial"/>
          <w:sz w:val="20"/>
          <w:lang w:val="es-ES"/>
        </w:rPr>
        <w:t xml:space="preserve"> el fortalecimiento de las relaciones institucionales y el aumento de la sensibilización acerca de los servicios y las actividades de la OMPI entre un público más amplio en los países en cuestión.</w:t>
      </w:r>
    </w:p>
    <w:p w:rsidR="0079353A" w:rsidRPr="0079353A" w:rsidRDefault="0079353A" w:rsidP="0079353A">
      <w:pPr>
        <w:jc w:val="both"/>
        <w:rPr>
          <w:sz w:val="20"/>
        </w:rPr>
      </w:pPr>
    </w:p>
    <w:p w:rsid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Además, </w:t>
      </w:r>
      <w:r w:rsidR="00ED369F">
        <w:rPr>
          <w:rFonts w:ascii="Arial" w:hAnsi="Arial" w:cs="Arial"/>
          <w:sz w:val="20"/>
          <w:lang w:val="es-ES"/>
        </w:rPr>
        <w:t>varios países con economías en transición y países desarrollados</w:t>
      </w:r>
      <w:r w:rsidRPr="0079353A">
        <w:rPr>
          <w:rFonts w:ascii="Arial" w:hAnsi="Arial" w:cs="Arial"/>
          <w:sz w:val="20"/>
          <w:lang w:val="es-ES"/>
        </w:rPr>
        <w:t xml:space="preserve"> se han adherido a los sistemas de la OMPI, concretamente, a los Sistemas de Madrid y del PCT, y algunos países tienen previsto adherirse.  Todavía no se han aprovechado plenamente las posibilidades que ofrecen estos sistemas en la región.  Por ello es necesario seguir fomentándolos y organizando formación específica sobre su utilización.</w:t>
      </w:r>
    </w:p>
    <w:p w:rsidR="00F57A93" w:rsidRPr="0079353A" w:rsidRDefault="00F57A93" w:rsidP="00F57A93">
      <w:pPr>
        <w:pStyle w:val="ListParagraph"/>
        <w:tabs>
          <w:tab w:val="right" w:pos="709"/>
        </w:tabs>
        <w:ind w:left="0"/>
        <w:jc w:val="both"/>
        <w:rPr>
          <w:rFonts w:ascii="Arial" w:hAnsi="Arial" w:cs="Arial"/>
          <w:sz w:val="20"/>
          <w:lang w:val="es-ES"/>
        </w:rPr>
      </w:pPr>
    </w:p>
    <w:p w:rsidR="0079353A" w:rsidRPr="0079353A" w:rsidRDefault="0079353A" w:rsidP="0079353A">
      <w:pPr>
        <w:jc w:val="both"/>
        <w:rPr>
          <w:szCs w:val="22"/>
        </w:rPr>
      </w:pPr>
    </w:p>
    <w:p w:rsidR="0079353A" w:rsidRPr="0079353A" w:rsidRDefault="0079353A" w:rsidP="0079353A">
      <w:pPr>
        <w:jc w:val="both"/>
        <w:rPr>
          <w:szCs w:val="22"/>
        </w:rPr>
      </w:pPr>
      <w:r w:rsidRPr="0079353A">
        <w:rPr>
          <w:szCs w:val="22"/>
        </w:rPr>
        <w:t>ESTRATEGIAS DE EJECUCIÓN</w:t>
      </w:r>
    </w:p>
    <w:p w:rsidR="0079353A" w:rsidRPr="0079353A" w:rsidRDefault="0079353A" w:rsidP="0079353A">
      <w:pPr>
        <w:jc w:val="both"/>
        <w:rPr>
          <w:szCs w:val="22"/>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El programa seguirá prestando asistencia a los países en cuestión, haciendo hincapié en establecer marcos reguladores, políticos y legislativos en materia de P.I., equilibrados y adaptados a cada caso;  fomentar el uso de los servicios de la OMPI;  elaborar políticas nacionales en materia de innovación y P.I. coherentes y claramente definidas;  diseñar estrategias y planes de desarrollo coherentes con las metas y los objetivos nacionales de desarrollo;  fortalecer las capacidades de recursos humanos para atender el amplio repertorio de requisitos que plantea el uso eficaz de la P.I. en aras del desarrollo, así como impulsar mecanismos y programas de cooperación. </w:t>
      </w:r>
    </w:p>
    <w:p w:rsidR="0079353A" w:rsidRPr="0079353A" w:rsidRDefault="0079353A" w:rsidP="0079353A">
      <w:pPr>
        <w:jc w:val="both"/>
        <w:rPr>
          <w:sz w:val="20"/>
        </w:rPr>
      </w:pPr>
    </w:p>
    <w:p w:rsid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Mediante el apoyo de otros programas y contribuciones de los Estados miembros, así como la estrecha coordinación con los mismos, el programa 10 orientará la elaboración y ejecución de planes de cooperación por país equilibrados, de largo plazo y orientados a la obtención de resultados, de suerte que la asistencia de la OMPI guarde conformidad con los objetivos nacionales de las estrategias de P.I.</w:t>
      </w:r>
    </w:p>
    <w:p w:rsidR="009C2D2A" w:rsidRDefault="009C2D2A" w:rsidP="009C2D2A">
      <w:pPr>
        <w:pStyle w:val="ListParagraph"/>
        <w:tabs>
          <w:tab w:val="right" w:pos="709"/>
        </w:tabs>
        <w:ind w:left="0"/>
        <w:jc w:val="both"/>
        <w:rPr>
          <w:rFonts w:ascii="Arial" w:hAnsi="Arial" w:cs="Arial"/>
          <w:sz w:val="20"/>
          <w:lang w:val="es-ES"/>
        </w:rPr>
      </w:pPr>
    </w:p>
    <w:p w:rsidR="009C2D2A" w:rsidRPr="00ED369F" w:rsidRDefault="00ED369F" w:rsidP="00F57A93">
      <w:pPr>
        <w:pStyle w:val="ListParagraph"/>
        <w:keepNext/>
        <w:keepLines/>
        <w:numPr>
          <w:ilvl w:val="0"/>
          <w:numId w:val="26"/>
        </w:numPr>
        <w:tabs>
          <w:tab w:val="right" w:pos="709"/>
        </w:tabs>
        <w:ind w:left="0" w:firstLine="0"/>
        <w:jc w:val="both"/>
        <w:rPr>
          <w:rFonts w:ascii="Arial" w:hAnsi="Arial" w:cs="Arial"/>
          <w:sz w:val="20"/>
          <w:lang w:val="es-ES"/>
        </w:rPr>
      </w:pPr>
      <w:r>
        <w:rPr>
          <w:rFonts w:ascii="Arial" w:hAnsi="Arial" w:cs="Arial"/>
          <w:sz w:val="20"/>
          <w:lang w:val="es-ES"/>
        </w:rPr>
        <w:lastRenderedPageBreak/>
        <w:t>El p</w:t>
      </w:r>
      <w:r w:rsidR="009C2D2A" w:rsidRPr="00ED369F">
        <w:rPr>
          <w:rFonts w:ascii="Arial" w:hAnsi="Arial" w:cs="Arial"/>
          <w:sz w:val="20"/>
          <w:lang w:val="es-ES"/>
        </w:rPr>
        <w:t>rogram</w:t>
      </w:r>
      <w:r>
        <w:rPr>
          <w:rFonts w:ascii="Arial" w:hAnsi="Arial" w:cs="Arial"/>
          <w:sz w:val="20"/>
          <w:lang w:val="es-ES"/>
        </w:rPr>
        <w:t>a</w:t>
      </w:r>
      <w:r w:rsidR="009C2D2A" w:rsidRPr="00ED369F">
        <w:rPr>
          <w:rFonts w:ascii="Arial" w:hAnsi="Arial" w:cs="Arial"/>
          <w:sz w:val="20"/>
          <w:lang w:val="es-ES"/>
        </w:rPr>
        <w:t xml:space="preserve"> 10 colabora</w:t>
      </w:r>
      <w:r>
        <w:rPr>
          <w:rFonts w:ascii="Arial" w:hAnsi="Arial" w:cs="Arial"/>
          <w:sz w:val="20"/>
          <w:lang w:val="es-ES"/>
        </w:rPr>
        <w:t xml:space="preserve"> principalmente con los programas siguientes</w:t>
      </w:r>
      <w:r w:rsidR="009C2D2A" w:rsidRPr="00ED369F">
        <w:rPr>
          <w:rFonts w:ascii="Arial" w:hAnsi="Arial" w:cs="Arial"/>
          <w:sz w:val="20"/>
          <w:lang w:val="es-ES"/>
        </w:rPr>
        <w:t>:</w:t>
      </w:r>
    </w:p>
    <w:p w:rsidR="0079353A" w:rsidRPr="0079353A" w:rsidRDefault="0079353A" w:rsidP="00F57A93">
      <w:pPr>
        <w:keepNext/>
        <w:keepLines/>
        <w:jc w:val="both"/>
        <w:rPr>
          <w:szCs w:val="22"/>
        </w:rPr>
      </w:pPr>
      <w:r w:rsidRPr="0079353A">
        <w:rPr>
          <w:noProof/>
          <w:lang w:val="en-US" w:eastAsia="en-US"/>
        </w:rPr>
        <w:drawing>
          <wp:inline distT="0" distB="0" distL="0" distR="0" wp14:anchorId="744E4811" wp14:editId="7A2FB221">
            <wp:extent cx="5764695" cy="3061252"/>
            <wp:effectExtent l="57150" t="0" r="45720" b="0"/>
            <wp:docPr id="964" name="Diagram 9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rsidR="0079353A" w:rsidRPr="0079353A" w:rsidRDefault="0079353A" w:rsidP="0079353A">
      <w:pPr>
        <w:jc w:val="both"/>
        <w:rPr>
          <w:szCs w:val="22"/>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Se dará prioridad al fomento de los productos y servicios de la OMPI.  Los seminarios itinerantes sobre los servicios y las iniciativas de la OMPI, que se han celebrado con buenos resultados en muchos países, se llevarán a cabo en nuevas regiones. </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Dos importantes aspectos de la ampliación del uso de los servicios de la OMPI durante el bienio serán</w:t>
      </w:r>
      <w:proofErr w:type="gramStart"/>
      <w:r w:rsidRPr="0079353A">
        <w:rPr>
          <w:rFonts w:ascii="Arial" w:hAnsi="Arial" w:cs="Arial"/>
          <w:sz w:val="20"/>
          <w:lang w:val="es-ES"/>
        </w:rPr>
        <w:t>:  i</w:t>
      </w:r>
      <w:proofErr w:type="gramEnd"/>
      <w:r w:rsidRPr="0079353A">
        <w:rPr>
          <w:rFonts w:ascii="Arial" w:hAnsi="Arial" w:cs="Arial"/>
          <w:sz w:val="20"/>
          <w:lang w:val="es-ES"/>
        </w:rPr>
        <w:t>) asegurar que los actuales usuarios puedan aprovechar al máximo las posibilidades que ofrecen los Sistemas;  y ii) que los posibles usuarios, muchos de ellos ubicados en los Estados miembros en que más se utilizan los Sistemas de la OMPI, mantengan una activa participación.  En respuesta, se establecerá un mecanismo de divulgación, específico y constante, para maximizar el uso en los mercados nacionales en que el valor de los sistemas de la OMPI ya ha sido constatado y reconocido.</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Además, el programa seguirá tomando como fundamento ciertos aspectos comunes y características compartidas de los sistemas económicos y de P.I. de los países </w:t>
      </w:r>
      <w:r w:rsidR="002E2404">
        <w:rPr>
          <w:rFonts w:ascii="Arial" w:hAnsi="Arial" w:cs="Arial"/>
          <w:sz w:val="20"/>
          <w:lang w:val="es-ES"/>
        </w:rPr>
        <w:t>con economías en transición y los países desarrollados</w:t>
      </w:r>
      <w:r w:rsidRPr="0079353A">
        <w:rPr>
          <w:rFonts w:ascii="Arial" w:hAnsi="Arial" w:cs="Arial"/>
          <w:sz w:val="20"/>
          <w:lang w:val="es-ES"/>
        </w:rPr>
        <w:t xml:space="preserve"> e impulsará el intercambio de experiencias adquiridas y prácticas más extendidas.</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Se planificarán y llevarán a cabo actividades de fortalecimiento de capacidades en consonancia con los planes nacionales de cooperación y, cuando proceda, con las estrategias nacionales de P.I., prestando atención al establecimiento de programas de formación nacionales e independientes que puedan ser ejecutados por las autoridades locales.</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La ejecución de una evaluación más exhaustiva, llevada a cabo en dos etapas, de las actividades permitirá al programa seguir mejorando y adaptando sus actividades a las necesidades específicas de l</w:t>
      </w:r>
      <w:r w:rsidR="002E2404">
        <w:rPr>
          <w:rFonts w:ascii="Arial" w:hAnsi="Arial" w:cs="Arial"/>
          <w:sz w:val="20"/>
          <w:lang w:val="es-ES"/>
        </w:rPr>
        <w:t>os países</w:t>
      </w:r>
      <w:r w:rsidRPr="0079353A">
        <w:rPr>
          <w:rFonts w:ascii="Arial" w:hAnsi="Arial" w:cs="Arial"/>
          <w:sz w:val="20"/>
          <w:lang w:val="es-ES"/>
        </w:rPr>
        <w:t>, como la integración de la igualdad de género en las actividades pertinentes.</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 xml:space="preserve">Para que el sistema de P.I. se desarrolle de manera equilibrada, se fomentará la interacción con todos los sectores interesados, incluidos gobiernos, sector privado y usuarios.  Se crearán plataformas sostenibles de intercambio de experiencias de P.I., que podrán contribuir a una mejor coordinación entre los sectores interesados. </w:t>
      </w:r>
    </w:p>
    <w:p w:rsidR="0079353A" w:rsidRPr="0079353A" w:rsidRDefault="0079353A" w:rsidP="0079353A">
      <w:pPr>
        <w:jc w:val="both"/>
        <w:rPr>
          <w:szCs w:val="22"/>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Teniendo en cuenta el número de miembros de los países con economías en transición y los países en desarrollo en las organizaciones regionales pertinentes, el programa seguirá impulsando las sinergias y fomentando la labor común para lograr alcanzar objetivos de P.I. comunes.  En consecuencia, cooperará estrechamente con varias instituciones, entre otras, la UE, la Organización Europea de Patentes (OEP), el Consejo Interestatal para la Protección</w:t>
      </w:r>
      <w:r w:rsidR="002E2404">
        <w:rPr>
          <w:rFonts w:ascii="Arial" w:hAnsi="Arial" w:cs="Arial"/>
          <w:sz w:val="20"/>
          <w:lang w:val="es-ES"/>
        </w:rPr>
        <w:t xml:space="preserve"> Jurídica y la Observancia</w:t>
      </w:r>
      <w:r w:rsidRPr="0079353A">
        <w:rPr>
          <w:rFonts w:ascii="Arial" w:hAnsi="Arial" w:cs="Arial"/>
          <w:sz w:val="20"/>
          <w:lang w:val="es-ES"/>
        </w:rPr>
        <w:t xml:space="preserve"> de la Propiedad In</w:t>
      </w:r>
      <w:r w:rsidR="002E2404">
        <w:rPr>
          <w:rFonts w:ascii="Arial" w:hAnsi="Arial" w:cs="Arial"/>
          <w:sz w:val="20"/>
          <w:lang w:val="es-ES"/>
        </w:rPr>
        <w:t>telectual</w:t>
      </w:r>
      <w:r w:rsidRPr="0079353A">
        <w:rPr>
          <w:rFonts w:ascii="Arial" w:hAnsi="Arial" w:cs="Arial"/>
          <w:sz w:val="20"/>
          <w:lang w:val="es-ES"/>
        </w:rPr>
        <w:t xml:space="preserve"> (</w:t>
      </w:r>
      <w:r w:rsidR="002E2404">
        <w:rPr>
          <w:rFonts w:ascii="Arial" w:hAnsi="Arial" w:cs="Arial"/>
          <w:sz w:val="20"/>
          <w:lang w:val="es-ES"/>
        </w:rPr>
        <w:t>I</w:t>
      </w:r>
      <w:r w:rsidRPr="0079353A">
        <w:rPr>
          <w:rFonts w:ascii="Arial" w:hAnsi="Arial" w:cs="Arial"/>
          <w:sz w:val="20"/>
          <w:lang w:val="es-ES"/>
        </w:rPr>
        <w:t>CP</w:t>
      </w:r>
      <w:r w:rsidR="002E2404">
        <w:rPr>
          <w:rFonts w:ascii="Arial" w:hAnsi="Arial" w:cs="Arial"/>
          <w:sz w:val="20"/>
          <w:lang w:val="es-ES"/>
        </w:rPr>
        <w:t>I</w:t>
      </w:r>
      <w:r w:rsidRPr="0079353A">
        <w:rPr>
          <w:rFonts w:ascii="Arial" w:hAnsi="Arial" w:cs="Arial"/>
          <w:sz w:val="20"/>
          <w:lang w:val="es-ES"/>
        </w:rPr>
        <w:t>P), la Asamblea Interparlamentaria de los Estados miembros de la CEI, la Organización Eurasiática de Patentes y la Comisión Económica Eurasiática (CEE).</w:t>
      </w:r>
    </w:p>
    <w:p w:rsidR="0079353A" w:rsidRPr="0079353A" w:rsidRDefault="0079353A" w:rsidP="0079353A">
      <w:pPr>
        <w:jc w:val="both"/>
        <w:rPr>
          <w:sz w:val="20"/>
        </w:rPr>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lastRenderedPageBreak/>
        <w:t xml:space="preserve">Las recomendaciones de la A.D. seguirán orientando el programa 10 en sus actividades de asistencia técnica, en particular, las recomendaciones </w:t>
      </w:r>
      <w:r w:rsidRPr="0079353A">
        <w:rPr>
          <w:rFonts w:ascii="Arial" w:hAnsi="Arial" w:cs="Arial"/>
          <w:iCs/>
          <w:sz w:val="20"/>
          <w:lang w:val="es-ES"/>
        </w:rPr>
        <w:t>1, 3, 4, 6, 10, 11 y 13.</w:t>
      </w:r>
    </w:p>
    <w:p w:rsidR="0079353A" w:rsidRPr="0079353A" w:rsidRDefault="0079353A" w:rsidP="0079353A">
      <w:pPr>
        <w:jc w:val="both"/>
        <w:rPr>
          <w:szCs w:val="22"/>
        </w:rPr>
      </w:pPr>
    </w:p>
    <w:p w:rsidR="0079353A" w:rsidRPr="0079353A" w:rsidRDefault="0079353A" w:rsidP="0079353A">
      <w:pPr>
        <w:jc w:val="both"/>
      </w:pPr>
    </w:p>
    <w:p w:rsidR="0079353A" w:rsidRPr="0079353A" w:rsidRDefault="0079353A" w:rsidP="0079353A">
      <w:pPr>
        <w:pStyle w:val="BodyText"/>
        <w:spacing w:after="0"/>
      </w:pPr>
      <w:r w:rsidRPr="0079353A">
        <w:t>PRINCIPALES RIESGOS Y ESTRATEGIAS DE MITIGACIÓN</w:t>
      </w:r>
    </w:p>
    <w:p w:rsidR="0079353A" w:rsidRPr="0079353A" w:rsidRDefault="0079353A" w:rsidP="0079353A">
      <w:pPr>
        <w:pStyle w:val="BodyText"/>
        <w:spacing w:after="0"/>
      </w:pPr>
    </w:p>
    <w:tbl>
      <w:tblPr>
        <w:tblW w:w="9072"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4961"/>
      </w:tblGrid>
      <w:tr w:rsidR="0079353A" w:rsidRPr="0079353A" w:rsidTr="00E02444">
        <w:trPr>
          <w:trHeight w:val="577"/>
        </w:trPr>
        <w:tc>
          <w:tcPr>
            <w:tcW w:w="4111" w:type="dxa"/>
            <w:tcBorders>
              <w:top w:val="single" w:sz="4" w:space="0" w:color="auto"/>
              <w:bottom w:val="single" w:sz="4" w:space="0" w:color="auto"/>
            </w:tcBorders>
            <w:shd w:val="clear" w:color="auto" w:fill="C6D9F1" w:themeFill="text2" w:themeFillTint="33"/>
            <w:vAlign w:val="center"/>
          </w:tcPr>
          <w:p w:rsidR="0079353A" w:rsidRPr="0079353A" w:rsidRDefault="0079353A" w:rsidP="00E02444">
            <w:pPr>
              <w:jc w:val="center"/>
              <w:rPr>
                <w:b/>
                <w:bCs/>
                <w:sz w:val="18"/>
                <w:szCs w:val="18"/>
              </w:rPr>
            </w:pPr>
            <w:r w:rsidRPr="0079353A">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79353A" w:rsidRPr="0079353A" w:rsidRDefault="0079353A" w:rsidP="00E02444">
            <w:pPr>
              <w:jc w:val="center"/>
              <w:rPr>
                <w:b/>
                <w:bCs/>
                <w:sz w:val="18"/>
                <w:szCs w:val="18"/>
              </w:rPr>
            </w:pPr>
            <w:r w:rsidRPr="0079353A">
              <w:rPr>
                <w:b/>
                <w:bCs/>
                <w:sz w:val="18"/>
                <w:szCs w:val="18"/>
              </w:rPr>
              <w:t>Mitigación</w:t>
            </w:r>
          </w:p>
        </w:tc>
      </w:tr>
      <w:tr w:rsidR="0079353A" w:rsidRPr="0079353A" w:rsidTr="00E02444">
        <w:trPr>
          <w:trHeight w:val="1461"/>
        </w:trPr>
        <w:tc>
          <w:tcPr>
            <w:tcW w:w="4111"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79353A" w:rsidRPr="0079353A" w:rsidRDefault="0079353A" w:rsidP="001D6AA6">
            <w:pPr>
              <w:rPr>
                <w:rFonts w:eastAsia="Calibri"/>
                <w:sz w:val="16"/>
                <w:szCs w:val="16"/>
              </w:rPr>
            </w:pPr>
            <w:r w:rsidRPr="0079353A">
              <w:rPr>
                <w:rFonts w:eastAsia="Calibri"/>
                <w:sz w:val="16"/>
                <w:szCs w:val="16"/>
              </w:rPr>
              <w:t xml:space="preserve">Los cambios económicos y políticos podrían </w:t>
            </w:r>
            <w:r w:rsidRPr="001D6AA6">
              <w:rPr>
                <w:sz w:val="16"/>
                <w:szCs w:val="16"/>
              </w:rPr>
              <w:t>obstaculizar</w:t>
            </w:r>
            <w:r w:rsidRPr="0079353A">
              <w:rPr>
                <w:rFonts w:eastAsia="Calibri"/>
                <w:sz w:val="16"/>
                <w:szCs w:val="16"/>
              </w:rPr>
              <w:t xml:space="preserve"> o ralentizar la aplicación de estrategias nacionales en materia de P.I.</w:t>
            </w:r>
          </w:p>
          <w:p w:rsidR="0079353A" w:rsidRPr="001D6AA6" w:rsidRDefault="0079353A" w:rsidP="00E02444">
            <w:pPr>
              <w:spacing w:line="276" w:lineRule="auto"/>
              <w:rPr>
                <w:sz w:val="18"/>
                <w:szCs w:val="18"/>
              </w:rPr>
            </w:pPr>
          </w:p>
          <w:p w:rsidR="0079353A" w:rsidRPr="001D6AA6" w:rsidRDefault="0079353A" w:rsidP="00E02444">
            <w:pPr>
              <w:spacing w:line="276" w:lineRule="auto"/>
              <w:rPr>
                <w:sz w:val="18"/>
                <w:szCs w:val="18"/>
              </w:rPr>
            </w:pPr>
          </w:p>
          <w:p w:rsidR="0079353A" w:rsidRPr="0079353A" w:rsidRDefault="0079353A" w:rsidP="00E02444">
            <w:pPr>
              <w:rPr>
                <w:sz w:val="16"/>
                <w:szCs w:val="16"/>
              </w:rPr>
            </w:pPr>
          </w:p>
          <w:p w:rsidR="0079353A" w:rsidRPr="0079353A" w:rsidRDefault="0079353A" w:rsidP="00E02444">
            <w:pPr>
              <w:rPr>
                <w:b/>
                <w:i/>
                <w:sz w:val="16"/>
                <w:szCs w:val="16"/>
              </w:rPr>
            </w:pPr>
            <w:r w:rsidRPr="0079353A">
              <w:rPr>
                <w:sz w:val="16"/>
                <w:szCs w:val="16"/>
              </w:rPr>
              <w:t>Las decisiones tomadas en los planos internacional o nacional se traducen en la pérdida del compromiso de los sectores interesados para participar activamente en la ejecución de actividades que afectan a los planes a largo plazo para fomentar las capacidades de recursos humanos en los países con economías en transición.</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79353A" w:rsidRPr="0079353A" w:rsidRDefault="0079353A" w:rsidP="002E2404">
            <w:pPr>
              <w:rPr>
                <w:rFonts w:eastAsia="Calibri"/>
                <w:sz w:val="16"/>
                <w:szCs w:val="16"/>
              </w:rPr>
            </w:pPr>
            <w:r w:rsidRPr="0079353A">
              <w:rPr>
                <w:sz w:val="16"/>
                <w:szCs w:val="16"/>
              </w:rPr>
              <w:t>Comunicación inmediata cuando se produzcan los cambios pertinentes en el país;  planificación avanzada en todos los niveles;  mantenimiento de relaciones con los sectores interesados de los países;  conferir flexibilidad en los planes de cooperación.</w:t>
            </w:r>
          </w:p>
          <w:p w:rsidR="0079353A" w:rsidRPr="0079353A" w:rsidRDefault="0079353A" w:rsidP="00E02444">
            <w:pPr>
              <w:spacing w:line="276" w:lineRule="auto"/>
              <w:rPr>
                <w:sz w:val="20"/>
              </w:rPr>
            </w:pPr>
          </w:p>
          <w:p w:rsidR="0079353A" w:rsidRPr="0079353A" w:rsidRDefault="0079353A" w:rsidP="00E02444">
            <w:pPr>
              <w:autoSpaceDE w:val="0"/>
              <w:autoSpaceDN w:val="0"/>
              <w:adjustRightInd w:val="0"/>
              <w:ind w:right="-59"/>
              <w:rPr>
                <w:sz w:val="16"/>
                <w:szCs w:val="16"/>
              </w:rPr>
            </w:pPr>
            <w:r w:rsidRPr="0079353A">
              <w:rPr>
                <w:sz w:val="16"/>
                <w:szCs w:val="16"/>
              </w:rPr>
              <w:t>Colaborar estrechamente con los beneficiarios, donantes y Estados miembros.  Planificación y coordinación de todas las cuestiones relacionadas con la P.I. con otras organizaciones y socios internacionales y nacionales.</w:t>
            </w:r>
          </w:p>
        </w:tc>
      </w:tr>
    </w:tbl>
    <w:p w:rsidR="0079353A" w:rsidRPr="0079353A" w:rsidRDefault="0079353A" w:rsidP="0079353A">
      <w:pPr>
        <w:rPr>
          <w:szCs w:val="22"/>
        </w:rPr>
      </w:pPr>
    </w:p>
    <w:p w:rsidR="0079353A" w:rsidRPr="0079353A" w:rsidRDefault="0079353A" w:rsidP="0079353A">
      <w:pPr>
        <w:rPr>
          <w:szCs w:val="22"/>
        </w:rPr>
      </w:pPr>
    </w:p>
    <w:p w:rsidR="0079353A" w:rsidRPr="0079353A" w:rsidRDefault="0079353A" w:rsidP="0079353A">
      <w:pPr>
        <w:rPr>
          <w:szCs w:val="22"/>
        </w:rPr>
      </w:pPr>
      <w:r w:rsidRPr="0079353A">
        <w:rPr>
          <w:szCs w:val="22"/>
        </w:rPr>
        <w:t xml:space="preserve">MARCO DE RESULTADOS </w:t>
      </w:r>
    </w:p>
    <w:p w:rsidR="0079353A" w:rsidRPr="0079353A" w:rsidRDefault="0079353A" w:rsidP="0079353A">
      <w:pPr>
        <w:rPr>
          <w:szCs w:val="22"/>
        </w:rPr>
      </w:pPr>
    </w:p>
    <w:tbl>
      <w:tblPr>
        <w:tblW w:w="9105" w:type="dxa"/>
        <w:tblInd w:w="93" w:type="dxa"/>
        <w:tblLook w:val="04A0" w:firstRow="1" w:lastRow="0" w:firstColumn="1" w:lastColumn="0" w:noHBand="0" w:noVBand="1"/>
      </w:tblPr>
      <w:tblGrid>
        <w:gridCol w:w="2200"/>
        <w:gridCol w:w="2420"/>
        <w:gridCol w:w="2325"/>
        <w:gridCol w:w="2160"/>
      </w:tblGrid>
      <w:tr w:rsidR="0079353A" w:rsidRPr="0079353A" w:rsidTr="00E02444">
        <w:trPr>
          <w:trHeight w:val="630"/>
          <w:tblHeader/>
        </w:trPr>
        <w:tc>
          <w:tcPr>
            <w:tcW w:w="2200" w:type="dxa"/>
            <w:tcBorders>
              <w:top w:val="single" w:sz="4" w:space="0" w:color="auto"/>
              <w:left w:val="single" w:sz="4" w:space="0" w:color="auto"/>
              <w:bottom w:val="single" w:sz="4" w:space="0" w:color="auto"/>
              <w:right w:val="nil"/>
            </w:tcBorders>
            <w:shd w:val="clear" w:color="000000" w:fill="C5D9F1"/>
            <w:vAlign w:val="center"/>
            <w:hideMark/>
          </w:tcPr>
          <w:p w:rsidR="0079353A" w:rsidRPr="0079353A" w:rsidRDefault="0079353A" w:rsidP="00E02444">
            <w:pPr>
              <w:jc w:val="center"/>
              <w:rPr>
                <w:b/>
                <w:bCs/>
                <w:sz w:val="18"/>
                <w:szCs w:val="18"/>
              </w:rPr>
            </w:pPr>
            <w:r w:rsidRPr="0079353A">
              <w:rPr>
                <w:b/>
                <w:bCs/>
                <w:sz w:val="18"/>
                <w:szCs w:val="18"/>
              </w:rPr>
              <w:t>Resultados previstos</w:t>
            </w:r>
          </w:p>
        </w:tc>
        <w:tc>
          <w:tcPr>
            <w:tcW w:w="2420" w:type="dxa"/>
            <w:tcBorders>
              <w:top w:val="single" w:sz="4" w:space="0" w:color="auto"/>
              <w:left w:val="nil"/>
              <w:bottom w:val="single" w:sz="4" w:space="0" w:color="auto"/>
              <w:right w:val="nil"/>
            </w:tcBorders>
            <w:shd w:val="clear" w:color="000000" w:fill="C5D9F1"/>
            <w:vAlign w:val="center"/>
            <w:hideMark/>
          </w:tcPr>
          <w:p w:rsidR="0079353A" w:rsidRPr="0079353A" w:rsidRDefault="0079353A" w:rsidP="00E02444">
            <w:pPr>
              <w:jc w:val="center"/>
              <w:rPr>
                <w:b/>
                <w:bCs/>
                <w:sz w:val="18"/>
                <w:szCs w:val="18"/>
              </w:rPr>
            </w:pPr>
            <w:r w:rsidRPr="0079353A">
              <w:rPr>
                <w:b/>
                <w:bCs/>
                <w:sz w:val="18"/>
                <w:szCs w:val="18"/>
              </w:rPr>
              <w:t>Indicadores de rendimiento</w:t>
            </w:r>
          </w:p>
        </w:tc>
        <w:tc>
          <w:tcPr>
            <w:tcW w:w="2325" w:type="dxa"/>
            <w:tcBorders>
              <w:top w:val="single" w:sz="4" w:space="0" w:color="auto"/>
              <w:left w:val="nil"/>
              <w:bottom w:val="single" w:sz="4" w:space="0" w:color="auto"/>
              <w:right w:val="nil"/>
            </w:tcBorders>
            <w:shd w:val="clear" w:color="000000" w:fill="C5D9F1"/>
            <w:vAlign w:val="center"/>
            <w:hideMark/>
          </w:tcPr>
          <w:p w:rsidR="0079353A" w:rsidRPr="0079353A" w:rsidRDefault="0079353A" w:rsidP="00E02444">
            <w:pPr>
              <w:jc w:val="center"/>
              <w:rPr>
                <w:b/>
                <w:bCs/>
                <w:sz w:val="18"/>
                <w:szCs w:val="18"/>
              </w:rPr>
            </w:pPr>
            <w:r w:rsidRPr="0079353A">
              <w:rPr>
                <w:b/>
                <w:bCs/>
                <w:sz w:val="18"/>
                <w:szCs w:val="18"/>
              </w:rPr>
              <w:t>Referencia</w:t>
            </w:r>
          </w:p>
        </w:tc>
        <w:tc>
          <w:tcPr>
            <w:tcW w:w="2160" w:type="dxa"/>
            <w:tcBorders>
              <w:top w:val="single" w:sz="4" w:space="0" w:color="auto"/>
              <w:left w:val="nil"/>
              <w:bottom w:val="single" w:sz="4" w:space="0" w:color="auto"/>
              <w:right w:val="single" w:sz="4" w:space="0" w:color="auto"/>
            </w:tcBorders>
            <w:shd w:val="clear" w:color="000000" w:fill="C5D9F1"/>
            <w:vAlign w:val="center"/>
            <w:hideMark/>
          </w:tcPr>
          <w:p w:rsidR="0079353A" w:rsidRPr="0079353A" w:rsidRDefault="0079353A" w:rsidP="00E02444">
            <w:pPr>
              <w:jc w:val="center"/>
              <w:rPr>
                <w:b/>
                <w:bCs/>
                <w:sz w:val="18"/>
                <w:szCs w:val="18"/>
              </w:rPr>
            </w:pPr>
            <w:r w:rsidRPr="0079353A">
              <w:rPr>
                <w:b/>
                <w:bCs/>
                <w:sz w:val="18"/>
                <w:szCs w:val="18"/>
              </w:rPr>
              <w:t>Objetivos</w:t>
            </w:r>
          </w:p>
        </w:tc>
      </w:tr>
      <w:tr w:rsidR="0079353A" w:rsidRPr="0079353A" w:rsidTr="00E02444">
        <w:trPr>
          <w:trHeight w:val="1345"/>
        </w:trPr>
        <w:tc>
          <w:tcPr>
            <w:tcW w:w="2200" w:type="dxa"/>
            <w:tcBorders>
              <w:top w:val="nil"/>
              <w:left w:val="single" w:sz="4" w:space="0" w:color="auto"/>
              <w:bottom w:val="nil"/>
              <w:right w:val="nil"/>
            </w:tcBorders>
            <w:shd w:val="clear" w:color="000000" w:fill="FFFFFF"/>
            <w:hideMark/>
          </w:tcPr>
          <w:p w:rsidR="0079353A" w:rsidRPr="001D6AA6" w:rsidRDefault="0079353A" w:rsidP="00214894">
            <w:pPr>
              <w:rPr>
                <w:sz w:val="16"/>
                <w:szCs w:val="16"/>
              </w:rPr>
            </w:pPr>
            <w:r w:rsidRPr="001D6AA6">
              <w:rPr>
                <w:sz w:val="16"/>
                <w:szCs w:val="16"/>
              </w:rPr>
              <w:t xml:space="preserve">I.2  </w:t>
            </w:r>
            <w:r w:rsidR="00B74100" w:rsidRPr="001D6AA6">
              <w:rPr>
                <w:sz w:val="16"/>
                <w:szCs w:val="16"/>
                <w:lang w:val="es-ES_tradnl"/>
              </w:rPr>
              <w:t>Marcos de P.I. adaptados y equilibrados en el ámbito legislativo, regulador y de política</w:t>
            </w:r>
          </w:p>
        </w:tc>
        <w:tc>
          <w:tcPr>
            <w:tcW w:w="2420"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países con economías en transición con leyes </w:t>
            </w:r>
            <w:r w:rsidR="001D6AA6">
              <w:rPr>
                <w:sz w:val="16"/>
                <w:szCs w:val="16"/>
              </w:rPr>
              <w:t xml:space="preserve">y reglamentos </w:t>
            </w:r>
            <w:r w:rsidRPr="0079353A">
              <w:rPr>
                <w:sz w:val="16"/>
                <w:szCs w:val="16"/>
              </w:rPr>
              <w:t>nacionales actualizad</w:t>
            </w:r>
            <w:r w:rsidR="001D6AA6">
              <w:rPr>
                <w:sz w:val="16"/>
                <w:szCs w:val="16"/>
              </w:rPr>
              <w:t>o</w:t>
            </w:r>
            <w:r w:rsidRPr="0079353A">
              <w:rPr>
                <w:sz w:val="16"/>
                <w:szCs w:val="16"/>
              </w:rPr>
              <w:t>s.</w:t>
            </w:r>
          </w:p>
          <w:p w:rsidR="0079353A" w:rsidRPr="0079353A" w:rsidRDefault="0079353A" w:rsidP="00E02444">
            <w:pPr>
              <w:ind w:firstLineChars="200" w:firstLine="320"/>
              <w:rPr>
                <w:sz w:val="16"/>
                <w:szCs w:val="16"/>
              </w:rPr>
            </w:pPr>
          </w:p>
          <w:p w:rsid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ratificaciones de los tratados administrados por la OMPI.</w:t>
            </w:r>
          </w:p>
          <w:p w:rsidR="001D6AA6" w:rsidRPr="0079353A" w:rsidRDefault="001D6AA6" w:rsidP="00E02444">
            <w:pPr>
              <w:rPr>
                <w:sz w:val="16"/>
                <w:szCs w:val="16"/>
              </w:rPr>
            </w:pPr>
          </w:p>
        </w:tc>
        <w:tc>
          <w:tcPr>
            <w:tcW w:w="2325" w:type="dxa"/>
            <w:tcBorders>
              <w:top w:val="nil"/>
              <w:left w:val="nil"/>
              <w:bottom w:val="nil"/>
              <w:right w:val="nil"/>
            </w:tcBorders>
            <w:shd w:val="clear" w:color="000000" w:fill="FFFFFF"/>
            <w:hideMark/>
          </w:tcPr>
          <w:p w:rsidR="0079353A" w:rsidRDefault="0079353A" w:rsidP="00E02444">
            <w:pPr>
              <w:rPr>
                <w:sz w:val="16"/>
                <w:szCs w:val="16"/>
              </w:rPr>
            </w:pPr>
            <w:r w:rsidRPr="0079353A">
              <w:rPr>
                <w:sz w:val="16"/>
                <w:szCs w:val="16"/>
              </w:rPr>
              <w:t>6 países (2014).</w:t>
            </w:r>
          </w:p>
          <w:p w:rsidR="001D6AA6" w:rsidRDefault="001D6AA6" w:rsidP="00E02444">
            <w:pPr>
              <w:rPr>
                <w:sz w:val="16"/>
                <w:szCs w:val="16"/>
              </w:rPr>
            </w:pPr>
          </w:p>
          <w:p w:rsidR="001D6AA6" w:rsidRDefault="001D6AA6" w:rsidP="00E02444">
            <w:pPr>
              <w:rPr>
                <w:sz w:val="16"/>
                <w:szCs w:val="16"/>
              </w:rPr>
            </w:pPr>
          </w:p>
          <w:p w:rsidR="001D6AA6" w:rsidRDefault="001D6AA6" w:rsidP="00E02444">
            <w:pPr>
              <w:rPr>
                <w:sz w:val="16"/>
                <w:szCs w:val="16"/>
              </w:rPr>
            </w:pPr>
          </w:p>
          <w:p w:rsidR="001D6AA6" w:rsidRDefault="001D6AA6" w:rsidP="00E02444">
            <w:pPr>
              <w:rPr>
                <w:sz w:val="16"/>
                <w:szCs w:val="16"/>
              </w:rPr>
            </w:pPr>
          </w:p>
          <w:p w:rsidR="001D6AA6" w:rsidRPr="0079353A" w:rsidRDefault="001D6AA6" w:rsidP="00E02444">
            <w:pPr>
              <w:rPr>
                <w:sz w:val="16"/>
                <w:szCs w:val="16"/>
              </w:rPr>
            </w:pPr>
            <w:proofErr w:type="spellStart"/>
            <w:r>
              <w:rPr>
                <w:sz w:val="16"/>
                <w:szCs w:val="16"/>
              </w:rPr>
              <w:t>n.d</w:t>
            </w:r>
            <w:proofErr w:type="spellEnd"/>
            <w:r>
              <w:rPr>
                <w:sz w:val="16"/>
                <w:szCs w:val="16"/>
              </w:rPr>
              <w:t>.</w:t>
            </w:r>
          </w:p>
        </w:tc>
        <w:tc>
          <w:tcPr>
            <w:tcW w:w="2160" w:type="dxa"/>
            <w:tcBorders>
              <w:top w:val="nil"/>
              <w:left w:val="nil"/>
              <w:bottom w:val="nil"/>
              <w:right w:val="single" w:sz="4" w:space="0" w:color="auto"/>
            </w:tcBorders>
            <w:shd w:val="clear" w:color="000000" w:fill="FFFFFF"/>
            <w:hideMark/>
          </w:tcPr>
          <w:p w:rsidR="0079353A" w:rsidRDefault="0079353A" w:rsidP="001D6AA6">
            <w:pPr>
              <w:rPr>
                <w:sz w:val="16"/>
                <w:szCs w:val="16"/>
              </w:rPr>
            </w:pPr>
            <w:r w:rsidRPr="0079353A">
              <w:rPr>
                <w:sz w:val="16"/>
                <w:szCs w:val="16"/>
              </w:rPr>
              <w:t>6 países adicionales.</w:t>
            </w:r>
          </w:p>
          <w:p w:rsidR="001D6AA6" w:rsidRDefault="001D6AA6" w:rsidP="001D6AA6">
            <w:pPr>
              <w:rPr>
                <w:sz w:val="16"/>
                <w:szCs w:val="16"/>
              </w:rPr>
            </w:pPr>
          </w:p>
          <w:p w:rsidR="001D6AA6" w:rsidRDefault="001D6AA6" w:rsidP="001D6AA6">
            <w:pPr>
              <w:rPr>
                <w:sz w:val="16"/>
                <w:szCs w:val="16"/>
              </w:rPr>
            </w:pPr>
          </w:p>
          <w:p w:rsidR="001D6AA6" w:rsidRDefault="001D6AA6" w:rsidP="001D6AA6">
            <w:pPr>
              <w:rPr>
                <w:sz w:val="16"/>
                <w:szCs w:val="16"/>
              </w:rPr>
            </w:pPr>
          </w:p>
          <w:p w:rsidR="001D6AA6" w:rsidRDefault="001D6AA6" w:rsidP="001D6AA6">
            <w:pPr>
              <w:rPr>
                <w:sz w:val="16"/>
                <w:szCs w:val="16"/>
              </w:rPr>
            </w:pPr>
          </w:p>
          <w:p w:rsidR="001D6AA6" w:rsidRPr="0079353A" w:rsidRDefault="001D6AA6" w:rsidP="001D6AA6">
            <w:pPr>
              <w:rPr>
                <w:sz w:val="16"/>
                <w:szCs w:val="16"/>
              </w:rPr>
            </w:pPr>
            <w:r>
              <w:rPr>
                <w:sz w:val="16"/>
                <w:szCs w:val="16"/>
              </w:rPr>
              <w:t>4 países adicionales</w:t>
            </w:r>
          </w:p>
        </w:tc>
      </w:tr>
      <w:tr w:rsidR="0079353A" w:rsidRPr="0079353A" w:rsidTr="00F57A93">
        <w:trPr>
          <w:trHeight w:val="2228"/>
        </w:trPr>
        <w:tc>
          <w:tcPr>
            <w:tcW w:w="2200" w:type="dxa"/>
            <w:tcBorders>
              <w:top w:val="nil"/>
              <w:left w:val="single" w:sz="4" w:space="0" w:color="auto"/>
              <w:right w:val="nil"/>
            </w:tcBorders>
            <w:shd w:val="clear" w:color="000000" w:fill="FFFFFF"/>
            <w:hideMark/>
          </w:tcPr>
          <w:p w:rsidR="0079353A" w:rsidRPr="001D6AA6" w:rsidRDefault="0079353A" w:rsidP="00E02444">
            <w:pPr>
              <w:rPr>
                <w:sz w:val="16"/>
                <w:szCs w:val="16"/>
              </w:rPr>
            </w:pPr>
            <w:r w:rsidRPr="001D6AA6">
              <w:rPr>
                <w:sz w:val="16"/>
                <w:szCs w:val="16"/>
              </w:rPr>
              <w:t xml:space="preserve">II.1 </w:t>
            </w:r>
            <w:r w:rsidR="00E11D26" w:rsidRPr="001D6AA6">
              <w:rPr>
                <w:sz w:val="16"/>
                <w:szCs w:val="16"/>
              </w:rPr>
              <w:t xml:space="preserve"> </w:t>
            </w:r>
            <w:r w:rsidR="006C23D5" w:rsidRPr="001D6AA6">
              <w:rPr>
                <w:sz w:val="16"/>
                <w:szCs w:val="16"/>
                <w:lang w:val="es-ES_tradnl"/>
              </w:rPr>
              <w:t>Mayor y más eficaz utilización del Sistema del PCT para presentar solicitudes internacionales de patentes</w:t>
            </w:r>
          </w:p>
        </w:tc>
        <w:tc>
          <w:tcPr>
            <w:tcW w:w="2420" w:type="dxa"/>
            <w:tcBorders>
              <w:top w:val="nil"/>
              <w:left w:val="nil"/>
              <w:right w:val="nil"/>
            </w:tcBorders>
            <w:shd w:val="clear" w:color="000000" w:fill="FFFFFF"/>
            <w:hideMark/>
          </w:tcPr>
          <w:p w:rsidR="0079353A" w:rsidRP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solicitudes PCT procedentes de países en transición y desarrollados.</w:t>
            </w:r>
            <w:r w:rsidR="001D6AA6">
              <w:rPr>
                <w:sz w:val="16"/>
                <w:szCs w:val="16"/>
              </w:rPr>
              <w:br/>
            </w:r>
          </w:p>
          <w:p w:rsidR="0079353A" w:rsidRPr="0079353A" w:rsidRDefault="001D6AA6" w:rsidP="001D6AA6">
            <w:pPr>
              <w:rPr>
                <w:sz w:val="16"/>
                <w:szCs w:val="16"/>
              </w:rPr>
            </w:pPr>
            <w:r>
              <w:rPr>
                <w:sz w:val="16"/>
                <w:szCs w:val="16"/>
              </w:rPr>
              <w:t>Porcentaje</w:t>
            </w:r>
            <w:r w:rsidR="0079353A" w:rsidRPr="0079353A">
              <w:rPr>
                <w:sz w:val="16"/>
                <w:szCs w:val="16"/>
              </w:rPr>
              <w:t xml:space="preserve"> de encuestados que muestra un uso más asiduo de los servicios de la OMPI en 6 meses de participación en los seminarios itinerantes sobre los servicios y las iniciativas de la OMPI.  </w:t>
            </w:r>
          </w:p>
        </w:tc>
        <w:tc>
          <w:tcPr>
            <w:tcW w:w="2325" w:type="dxa"/>
            <w:tcBorders>
              <w:top w:val="nil"/>
              <w:left w:val="nil"/>
              <w:right w:val="nil"/>
            </w:tcBorders>
            <w:shd w:val="clear" w:color="000000" w:fill="FFFFFF"/>
            <w:hideMark/>
          </w:tcPr>
          <w:p w:rsidR="001D6AA6" w:rsidRPr="0079353A" w:rsidRDefault="0079353A" w:rsidP="001D6AA6">
            <w:pPr>
              <w:rPr>
                <w:sz w:val="16"/>
                <w:szCs w:val="16"/>
              </w:rPr>
            </w:pPr>
            <w:r w:rsidRPr="0079353A">
              <w:rPr>
                <w:sz w:val="16"/>
                <w:szCs w:val="16"/>
                <w:lang w:bidi="th-TH"/>
              </w:rPr>
              <w:t>170.317 (2014)</w:t>
            </w:r>
          </w:p>
          <w:p w:rsidR="0079353A" w:rsidRDefault="0079353A" w:rsidP="00E02444">
            <w:pPr>
              <w:rPr>
                <w:sz w:val="16"/>
                <w:szCs w:val="16"/>
              </w:rPr>
            </w:pPr>
          </w:p>
          <w:p w:rsidR="001D6AA6" w:rsidRDefault="001D6AA6" w:rsidP="00E02444">
            <w:pPr>
              <w:rPr>
                <w:sz w:val="16"/>
                <w:szCs w:val="16"/>
              </w:rPr>
            </w:pPr>
          </w:p>
          <w:p w:rsidR="001D6AA6" w:rsidRDefault="001D6AA6" w:rsidP="00E02444">
            <w:pPr>
              <w:rPr>
                <w:sz w:val="16"/>
                <w:szCs w:val="16"/>
              </w:rPr>
            </w:pPr>
          </w:p>
          <w:p w:rsidR="001D6AA6" w:rsidRPr="0079353A" w:rsidRDefault="001D6AA6" w:rsidP="00E02444">
            <w:pPr>
              <w:rPr>
                <w:sz w:val="16"/>
                <w:szCs w:val="16"/>
              </w:rPr>
            </w:pPr>
            <w:r>
              <w:rPr>
                <w:sz w:val="16"/>
                <w:szCs w:val="16"/>
              </w:rPr>
              <w:t>18%</w:t>
            </w:r>
          </w:p>
        </w:tc>
        <w:tc>
          <w:tcPr>
            <w:tcW w:w="2160" w:type="dxa"/>
            <w:tcBorders>
              <w:top w:val="nil"/>
              <w:left w:val="nil"/>
              <w:right w:val="single" w:sz="4" w:space="0" w:color="auto"/>
            </w:tcBorders>
            <w:shd w:val="clear" w:color="000000" w:fill="FFFFFF"/>
            <w:hideMark/>
          </w:tcPr>
          <w:p w:rsidR="001D6AA6" w:rsidRPr="0079353A" w:rsidRDefault="0079353A" w:rsidP="001D6AA6">
            <w:pPr>
              <w:rPr>
                <w:sz w:val="16"/>
                <w:szCs w:val="16"/>
              </w:rPr>
            </w:pPr>
            <w:r w:rsidRPr="0079353A">
              <w:rPr>
                <w:sz w:val="16"/>
                <w:szCs w:val="16"/>
              </w:rPr>
              <w:t xml:space="preserve">Incremento del 1,5% </w:t>
            </w:r>
          </w:p>
          <w:p w:rsidR="001D6AA6" w:rsidRDefault="0079353A" w:rsidP="00E02444">
            <w:pPr>
              <w:spacing w:after="240"/>
              <w:rPr>
                <w:sz w:val="16"/>
                <w:szCs w:val="16"/>
              </w:rPr>
            </w:pPr>
            <w:r w:rsidRPr="0079353A">
              <w:rPr>
                <w:sz w:val="16"/>
                <w:szCs w:val="16"/>
              </w:rPr>
              <w:br/>
            </w:r>
          </w:p>
          <w:p w:rsidR="0079353A" w:rsidRPr="0079353A" w:rsidRDefault="001D6AA6" w:rsidP="001D6AA6">
            <w:pPr>
              <w:spacing w:after="240"/>
              <w:rPr>
                <w:sz w:val="16"/>
                <w:szCs w:val="16"/>
              </w:rPr>
            </w:pPr>
            <w:r>
              <w:rPr>
                <w:sz w:val="16"/>
                <w:szCs w:val="16"/>
              </w:rPr>
              <w:t xml:space="preserve">20% </w:t>
            </w:r>
            <w:r w:rsidR="0079353A" w:rsidRPr="0079353A">
              <w:rPr>
                <w:sz w:val="16"/>
                <w:szCs w:val="16"/>
              </w:rPr>
              <w:t>de encuestados que utiliza con más asiduidad los servicios de la OMP</w:t>
            </w:r>
            <w:r>
              <w:rPr>
                <w:sz w:val="16"/>
                <w:szCs w:val="16"/>
              </w:rPr>
              <w:t>I</w:t>
            </w:r>
            <w:r w:rsidR="0079353A" w:rsidRPr="0079353A">
              <w:rPr>
                <w:sz w:val="16"/>
                <w:szCs w:val="16"/>
              </w:rPr>
              <w:t>.</w:t>
            </w:r>
          </w:p>
        </w:tc>
      </w:tr>
      <w:tr w:rsidR="0079353A" w:rsidRPr="0079353A" w:rsidTr="001D6AA6">
        <w:trPr>
          <w:trHeight w:val="1136"/>
        </w:trPr>
        <w:tc>
          <w:tcPr>
            <w:tcW w:w="2200" w:type="dxa"/>
            <w:tcBorders>
              <w:top w:val="nil"/>
              <w:left w:val="single" w:sz="4" w:space="0" w:color="auto"/>
              <w:right w:val="nil"/>
            </w:tcBorders>
            <w:shd w:val="clear" w:color="000000" w:fill="FFFFFF"/>
            <w:hideMark/>
          </w:tcPr>
          <w:p w:rsidR="0079353A" w:rsidRPr="001D6AA6" w:rsidRDefault="0079353A" w:rsidP="00DF0438">
            <w:pPr>
              <w:rPr>
                <w:sz w:val="16"/>
                <w:szCs w:val="16"/>
              </w:rPr>
            </w:pPr>
            <w:r w:rsidRPr="001D6AA6">
              <w:rPr>
                <w:sz w:val="16"/>
                <w:szCs w:val="16"/>
              </w:rPr>
              <w:t xml:space="preserve">II.4 </w:t>
            </w:r>
            <w:r w:rsidR="00B74100" w:rsidRPr="001D6AA6">
              <w:rPr>
                <w:sz w:val="16"/>
                <w:szCs w:val="16"/>
              </w:rPr>
              <w:t xml:space="preserve"> </w:t>
            </w:r>
            <w:r w:rsidR="00B74100" w:rsidRPr="001D6AA6">
              <w:rPr>
                <w:sz w:val="16"/>
                <w:szCs w:val="16"/>
                <w:lang w:val="es-ES_tradnl"/>
              </w:rPr>
              <w:t>Mayor y más eficaz utilización del Sistema de La Haya, entre otros, por los países en desarrollo y los PMA</w:t>
            </w:r>
          </w:p>
        </w:tc>
        <w:tc>
          <w:tcPr>
            <w:tcW w:w="2420" w:type="dxa"/>
            <w:tcBorders>
              <w:top w:val="nil"/>
              <w:left w:val="nil"/>
              <w:right w:val="nil"/>
            </w:tcBorders>
            <w:shd w:val="clear" w:color="000000" w:fill="FFFFFF"/>
            <w:hideMark/>
          </w:tcPr>
          <w:p w:rsidR="0079353A" w:rsidRPr="0079353A" w:rsidRDefault="0079353A" w:rsidP="00F57A93">
            <w:pPr>
              <w:rPr>
                <w:sz w:val="16"/>
                <w:szCs w:val="16"/>
              </w:rPr>
            </w:pPr>
            <w:r w:rsidRPr="0079353A">
              <w:rPr>
                <w:sz w:val="16"/>
                <w:szCs w:val="16"/>
              </w:rPr>
              <w:t>N</w:t>
            </w:r>
            <w:r w:rsidR="00F57A93">
              <w:rPr>
                <w:sz w:val="16"/>
                <w:szCs w:val="16"/>
              </w:rPr>
              <w:t>º</w:t>
            </w:r>
            <w:r w:rsidRPr="0079353A">
              <w:rPr>
                <w:sz w:val="16"/>
                <w:szCs w:val="16"/>
              </w:rPr>
              <w:t xml:space="preserve"> de solicitudes presentadas en el marco del Sistema de La Haya procedentes de países en </w:t>
            </w:r>
            <w:r w:rsidR="00F57A93">
              <w:rPr>
                <w:sz w:val="16"/>
                <w:szCs w:val="16"/>
              </w:rPr>
              <w:t>transición y desarrollados</w:t>
            </w:r>
            <w:r w:rsidRPr="0079353A">
              <w:rPr>
                <w:sz w:val="16"/>
                <w:szCs w:val="16"/>
              </w:rPr>
              <w:t>.</w:t>
            </w:r>
          </w:p>
        </w:tc>
        <w:tc>
          <w:tcPr>
            <w:tcW w:w="2325" w:type="dxa"/>
            <w:tcBorders>
              <w:top w:val="nil"/>
              <w:left w:val="nil"/>
              <w:right w:val="nil"/>
            </w:tcBorders>
            <w:shd w:val="clear" w:color="000000" w:fill="FFFFFF"/>
            <w:hideMark/>
          </w:tcPr>
          <w:p w:rsidR="0079353A" w:rsidRPr="0079353A" w:rsidRDefault="0079353A" w:rsidP="001D6AA6">
            <w:pPr>
              <w:rPr>
                <w:sz w:val="16"/>
                <w:szCs w:val="16"/>
              </w:rPr>
            </w:pPr>
            <w:r w:rsidRPr="0079353A">
              <w:rPr>
                <w:sz w:val="16"/>
                <w:szCs w:val="16"/>
                <w:lang w:bidi="th-TH"/>
              </w:rPr>
              <w:t>2.7</w:t>
            </w:r>
            <w:r w:rsidR="001D6AA6">
              <w:rPr>
                <w:sz w:val="16"/>
                <w:szCs w:val="16"/>
                <w:lang w:bidi="th-TH"/>
              </w:rPr>
              <w:t>76</w:t>
            </w:r>
            <w:r w:rsidRPr="0079353A">
              <w:rPr>
                <w:sz w:val="16"/>
                <w:szCs w:val="16"/>
                <w:lang w:bidi="th-TH"/>
              </w:rPr>
              <w:t xml:space="preserve"> (2014)</w:t>
            </w:r>
            <w:r w:rsidR="001D6AA6" w:rsidRPr="0079353A">
              <w:rPr>
                <w:sz w:val="16"/>
                <w:szCs w:val="16"/>
              </w:rPr>
              <w:t xml:space="preserve"> </w:t>
            </w:r>
          </w:p>
        </w:tc>
        <w:tc>
          <w:tcPr>
            <w:tcW w:w="2160" w:type="dxa"/>
            <w:tcBorders>
              <w:top w:val="nil"/>
              <w:left w:val="nil"/>
              <w:right w:val="single" w:sz="4" w:space="0" w:color="auto"/>
            </w:tcBorders>
            <w:shd w:val="clear" w:color="000000" w:fill="FFFFFF"/>
            <w:hideMark/>
          </w:tcPr>
          <w:p w:rsidR="0079353A" w:rsidRPr="0079353A" w:rsidRDefault="0079353A" w:rsidP="001D6AA6">
            <w:pPr>
              <w:rPr>
                <w:sz w:val="16"/>
                <w:szCs w:val="16"/>
              </w:rPr>
            </w:pPr>
            <w:r w:rsidRPr="0079353A">
              <w:rPr>
                <w:sz w:val="16"/>
                <w:szCs w:val="16"/>
              </w:rPr>
              <w:t xml:space="preserve">Incremento del 1,5% </w:t>
            </w:r>
          </w:p>
        </w:tc>
      </w:tr>
      <w:tr w:rsidR="0079353A" w:rsidRPr="0079353A" w:rsidTr="00DF0438">
        <w:trPr>
          <w:trHeight w:val="2048"/>
        </w:trPr>
        <w:tc>
          <w:tcPr>
            <w:tcW w:w="2200" w:type="dxa"/>
            <w:tcBorders>
              <w:left w:val="single" w:sz="4" w:space="0" w:color="auto"/>
              <w:bottom w:val="single" w:sz="4" w:space="0" w:color="auto"/>
              <w:right w:val="nil"/>
            </w:tcBorders>
            <w:shd w:val="clear" w:color="000000" w:fill="FFFFFF"/>
            <w:hideMark/>
          </w:tcPr>
          <w:p w:rsidR="0079353A" w:rsidRPr="001D6AA6" w:rsidRDefault="0079353A" w:rsidP="00E02444">
            <w:pPr>
              <w:rPr>
                <w:sz w:val="16"/>
                <w:szCs w:val="16"/>
              </w:rPr>
            </w:pPr>
            <w:r w:rsidRPr="001D6AA6">
              <w:rPr>
                <w:sz w:val="16"/>
                <w:szCs w:val="16"/>
              </w:rPr>
              <w:t xml:space="preserve">II.6 </w:t>
            </w:r>
            <w:r w:rsidR="00BE77EA" w:rsidRPr="001D6AA6">
              <w:rPr>
                <w:sz w:val="16"/>
                <w:szCs w:val="16"/>
              </w:rPr>
              <w:t xml:space="preserve"> </w:t>
            </w:r>
            <w:r w:rsidR="005354CF" w:rsidRPr="001D6AA6">
              <w:rPr>
                <w:sz w:val="16"/>
                <w:szCs w:val="16"/>
                <w:lang w:val="es-ES_tradnl"/>
              </w:rPr>
              <w:t>Mayor y más eficaz utilización de los Sistemas de Madrid y de Lisboa, entre otros, por los países en desarrollo y los PMA</w:t>
            </w:r>
          </w:p>
        </w:tc>
        <w:tc>
          <w:tcPr>
            <w:tcW w:w="2420" w:type="dxa"/>
            <w:tcBorders>
              <w:left w:val="nil"/>
              <w:bottom w:val="single" w:sz="4" w:space="0" w:color="auto"/>
              <w:right w:val="nil"/>
            </w:tcBorders>
            <w:shd w:val="clear" w:color="000000" w:fill="FFFFFF"/>
            <w:hideMark/>
          </w:tcPr>
          <w:p w:rsidR="0079353A" w:rsidRP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solicitudes del Sistema de Madrid procedentes de países </w:t>
            </w:r>
            <w:r w:rsidR="001D6AA6">
              <w:rPr>
                <w:sz w:val="16"/>
                <w:szCs w:val="16"/>
              </w:rPr>
              <w:t>en transición y desarrollados.</w:t>
            </w:r>
            <w:r w:rsidRPr="0079353A">
              <w:rPr>
                <w:sz w:val="16"/>
                <w:szCs w:val="16"/>
              </w:rPr>
              <w:br/>
            </w:r>
          </w:p>
          <w:p w:rsidR="0079353A" w:rsidRPr="0079353A" w:rsidRDefault="0079353A" w:rsidP="00F57A93">
            <w:pPr>
              <w:rPr>
                <w:sz w:val="16"/>
                <w:szCs w:val="16"/>
              </w:rPr>
            </w:pPr>
            <w:r w:rsidRPr="0079353A">
              <w:rPr>
                <w:sz w:val="16"/>
                <w:szCs w:val="16"/>
              </w:rPr>
              <w:t>N</w:t>
            </w:r>
            <w:r w:rsidR="00F57A93">
              <w:rPr>
                <w:sz w:val="16"/>
                <w:szCs w:val="16"/>
              </w:rPr>
              <w:t>º</w:t>
            </w:r>
            <w:r w:rsidRPr="0079353A">
              <w:rPr>
                <w:sz w:val="16"/>
                <w:szCs w:val="16"/>
              </w:rPr>
              <w:t xml:space="preserve"> de registros internacionales vigentes en el Sistema de La Haya con respecto </w:t>
            </w:r>
            <w:r w:rsidR="001D6AA6">
              <w:rPr>
                <w:sz w:val="16"/>
                <w:szCs w:val="16"/>
              </w:rPr>
              <w:t>a</w:t>
            </w:r>
            <w:r w:rsidRPr="0079353A">
              <w:rPr>
                <w:sz w:val="16"/>
                <w:szCs w:val="16"/>
              </w:rPr>
              <w:t xml:space="preserve"> los países en </w:t>
            </w:r>
            <w:r w:rsidR="001D6AA6">
              <w:rPr>
                <w:sz w:val="16"/>
                <w:szCs w:val="16"/>
              </w:rPr>
              <w:t>transición y desarrollados</w:t>
            </w:r>
            <w:r w:rsidRPr="0079353A">
              <w:rPr>
                <w:sz w:val="16"/>
                <w:szCs w:val="16"/>
              </w:rPr>
              <w:t>.</w:t>
            </w:r>
            <w:r w:rsidR="001D6AA6">
              <w:rPr>
                <w:sz w:val="16"/>
                <w:szCs w:val="16"/>
              </w:rPr>
              <w:br/>
            </w:r>
          </w:p>
        </w:tc>
        <w:tc>
          <w:tcPr>
            <w:tcW w:w="2325" w:type="dxa"/>
            <w:tcBorders>
              <w:left w:val="nil"/>
              <w:bottom w:val="single" w:sz="4" w:space="0" w:color="auto"/>
              <w:right w:val="nil"/>
            </w:tcBorders>
            <w:shd w:val="clear" w:color="000000" w:fill="FFFFFF"/>
            <w:hideMark/>
          </w:tcPr>
          <w:p w:rsidR="001D6AA6" w:rsidRDefault="0079353A" w:rsidP="001D6AA6">
            <w:pPr>
              <w:rPr>
                <w:sz w:val="16"/>
                <w:szCs w:val="16"/>
                <w:lang w:bidi="th-TH"/>
              </w:rPr>
            </w:pPr>
            <w:r w:rsidRPr="0079353A">
              <w:rPr>
                <w:sz w:val="16"/>
                <w:szCs w:val="16"/>
                <w:lang w:bidi="th-TH"/>
              </w:rPr>
              <w:t>4</w:t>
            </w:r>
            <w:r w:rsidR="001D6AA6">
              <w:rPr>
                <w:sz w:val="16"/>
                <w:szCs w:val="16"/>
                <w:lang w:bidi="th-TH"/>
              </w:rPr>
              <w:t>3.748</w:t>
            </w:r>
            <w:r w:rsidRPr="0079353A">
              <w:rPr>
                <w:sz w:val="16"/>
                <w:szCs w:val="16"/>
                <w:lang w:bidi="th-TH"/>
              </w:rPr>
              <w:t xml:space="preserve"> (</w:t>
            </w:r>
            <w:r w:rsidR="001D6AA6">
              <w:rPr>
                <w:sz w:val="16"/>
                <w:szCs w:val="16"/>
                <w:lang w:bidi="th-TH"/>
              </w:rPr>
              <w:t xml:space="preserve">estimación de </w:t>
            </w:r>
            <w:r w:rsidRPr="0079353A">
              <w:rPr>
                <w:sz w:val="16"/>
                <w:szCs w:val="16"/>
                <w:lang w:bidi="th-TH"/>
              </w:rPr>
              <w:t>2014)</w:t>
            </w:r>
          </w:p>
          <w:p w:rsidR="001D6AA6" w:rsidRDefault="001D6AA6" w:rsidP="001D6AA6">
            <w:pPr>
              <w:rPr>
                <w:sz w:val="16"/>
                <w:szCs w:val="16"/>
                <w:lang w:bidi="th-TH"/>
              </w:rPr>
            </w:pPr>
          </w:p>
          <w:p w:rsidR="001D6AA6" w:rsidRPr="0079353A" w:rsidRDefault="001D6AA6" w:rsidP="001D6AA6">
            <w:pPr>
              <w:rPr>
                <w:sz w:val="16"/>
                <w:szCs w:val="16"/>
                <w:lang w:bidi="th-TH"/>
              </w:rPr>
            </w:pPr>
          </w:p>
          <w:p w:rsidR="0079353A" w:rsidRPr="0079353A" w:rsidRDefault="0079353A" w:rsidP="00E02444">
            <w:pPr>
              <w:rPr>
                <w:sz w:val="16"/>
                <w:szCs w:val="16"/>
                <w:lang w:bidi="th-TH"/>
              </w:rPr>
            </w:pPr>
          </w:p>
          <w:p w:rsidR="0079353A" w:rsidRDefault="0079353A" w:rsidP="00E02444">
            <w:pPr>
              <w:rPr>
                <w:sz w:val="16"/>
                <w:szCs w:val="16"/>
              </w:rPr>
            </w:pPr>
          </w:p>
          <w:p w:rsidR="001D6AA6" w:rsidRPr="0079353A" w:rsidRDefault="001D6AA6" w:rsidP="00E02444">
            <w:pPr>
              <w:rPr>
                <w:sz w:val="16"/>
                <w:szCs w:val="16"/>
              </w:rPr>
            </w:pPr>
          </w:p>
          <w:p w:rsidR="0079353A" w:rsidRPr="0079353A" w:rsidRDefault="001D6AA6" w:rsidP="001D6AA6">
            <w:pPr>
              <w:rPr>
                <w:sz w:val="16"/>
                <w:szCs w:val="16"/>
              </w:rPr>
            </w:pPr>
            <w:r>
              <w:rPr>
                <w:sz w:val="16"/>
                <w:szCs w:val="16"/>
              </w:rPr>
              <w:t>892 registros en vigor</w:t>
            </w:r>
            <w:r w:rsidR="0079353A" w:rsidRPr="0079353A">
              <w:rPr>
                <w:sz w:val="16"/>
                <w:szCs w:val="16"/>
              </w:rPr>
              <w:t xml:space="preserve"> (2014).</w:t>
            </w:r>
          </w:p>
        </w:tc>
        <w:tc>
          <w:tcPr>
            <w:tcW w:w="2160" w:type="dxa"/>
            <w:tcBorders>
              <w:left w:val="nil"/>
              <w:bottom w:val="single" w:sz="4" w:space="0" w:color="auto"/>
              <w:right w:val="single" w:sz="4" w:space="0" w:color="auto"/>
            </w:tcBorders>
            <w:shd w:val="clear" w:color="000000" w:fill="FFFFFF"/>
            <w:hideMark/>
          </w:tcPr>
          <w:p w:rsidR="0079353A" w:rsidRPr="0079353A" w:rsidRDefault="0079353A" w:rsidP="00E02444">
            <w:pPr>
              <w:rPr>
                <w:sz w:val="16"/>
                <w:szCs w:val="16"/>
              </w:rPr>
            </w:pPr>
            <w:r w:rsidRPr="0079353A">
              <w:rPr>
                <w:sz w:val="16"/>
                <w:szCs w:val="16"/>
              </w:rPr>
              <w:t>Incremento del 2%.</w:t>
            </w:r>
          </w:p>
          <w:p w:rsidR="0079353A" w:rsidRDefault="0079353A" w:rsidP="00E02444">
            <w:pPr>
              <w:rPr>
                <w:sz w:val="16"/>
                <w:szCs w:val="16"/>
              </w:rPr>
            </w:pPr>
          </w:p>
          <w:p w:rsidR="001D6AA6" w:rsidRDefault="001D6AA6" w:rsidP="00E02444">
            <w:pPr>
              <w:rPr>
                <w:sz w:val="16"/>
                <w:szCs w:val="16"/>
              </w:rPr>
            </w:pPr>
          </w:p>
          <w:p w:rsidR="001D6AA6" w:rsidRDefault="001D6AA6" w:rsidP="00E02444">
            <w:pPr>
              <w:rPr>
                <w:sz w:val="16"/>
                <w:szCs w:val="16"/>
              </w:rPr>
            </w:pPr>
          </w:p>
          <w:p w:rsidR="001D6AA6" w:rsidRDefault="001D6AA6" w:rsidP="00E02444">
            <w:pPr>
              <w:rPr>
                <w:sz w:val="16"/>
                <w:szCs w:val="16"/>
              </w:rPr>
            </w:pPr>
          </w:p>
          <w:p w:rsidR="001D6AA6" w:rsidRPr="0079353A" w:rsidRDefault="001D6AA6" w:rsidP="00E02444">
            <w:pPr>
              <w:rPr>
                <w:sz w:val="16"/>
                <w:szCs w:val="16"/>
              </w:rPr>
            </w:pPr>
          </w:p>
          <w:p w:rsidR="0079353A" w:rsidRPr="0079353A" w:rsidRDefault="001D6AA6" w:rsidP="001D6AA6">
            <w:pPr>
              <w:rPr>
                <w:sz w:val="16"/>
                <w:szCs w:val="16"/>
              </w:rPr>
            </w:pPr>
            <w:r>
              <w:rPr>
                <w:sz w:val="16"/>
                <w:szCs w:val="16"/>
              </w:rPr>
              <w:t xml:space="preserve">Incremento del </w:t>
            </w:r>
            <w:r w:rsidRPr="001D6AA6">
              <w:rPr>
                <w:sz w:val="16"/>
                <w:szCs w:val="16"/>
              </w:rPr>
              <w:t>2%</w:t>
            </w:r>
          </w:p>
        </w:tc>
      </w:tr>
      <w:tr w:rsidR="0079353A" w:rsidRPr="0079353A" w:rsidTr="00DF0438">
        <w:trPr>
          <w:trHeight w:val="1607"/>
        </w:trPr>
        <w:tc>
          <w:tcPr>
            <w:tcW w:w="2200" w:type="dxa"/>
            <w:tcBorders>
              <w:top w:val="single" w:sz="4" w:space="0" w:color="auto"/>
              <w:left w:val="single" w:sz="4" w:space="0" w:color="auto"/>
              <w:bottom w:val="nil"/>
              <w:right w:val="nil"/>
            </w:tcBorders>
            <w:shd w:val="clear" w:color="000000" w:fill="FFFFFF"/>
            <w:hideMark/>
          </w:tcPr>
          <w:p w:rsidR="0079353A" w:rsidRPr="001D6AA6" w:rsidRDefault="001840FB" w:rsidP="00E02444">
            <w:pPr>
              <w:rPr>
                <w:sz w:val="16"/>
                <w:szCs w:val="16"/>
              </w:rPr>
            </w:pPr>
            <w:r w:rsidRPr="001D6AA6">
              <w:rPr>
                <w:sz w:val="16"/>
                <w:szCs w:val="16"/>
              </w:rPr>
              <w:lastRenderedPageBreak/>
              <w:t xml:space="preserve">II.8 </w:t>
            </w:r>
            <w:r w:rsidR="0079353A" w:rsidRPr="001D6AA6">
              <w:rPr>
                <w:sz w:val="16"/>
                <w:szCs w:val="16"/>
              </w:rPr>
              <w:t xml:space="preserve"> </w:t>
            </w:r>
            <w:r w:rsidR="00B74100" w:rsidRPr="001D6AA6">
              <w:rPr>
                <w:sz w:val="16"/>
                <w:szCs w:val="16"/>
                <w:lang w:val="es-ES_tradnl"/>
              </w:rPr>
              <w:t>Las controversias nacionales e internacionales en materia de P.I. se evitan o resuelven cada vez con más frecuencia mediante procedimientos de mediación, arbitraje y demás métodos de solución extrajudicial de controversias</w:t>
            </w:r>
          </w:p>
          <w:p w:rsidR="0079353A" w:rsidRPr="001D6AA6" w:rsidRDefault="0079353A" w:rsidP="00E02444">
            <w:pPr>
              <w:rPr>
                <w:sz w:val="16"/>
                <w:szCs w:val="16"/>
              </w:rPr>
            </w:pPr>
          </w:p>
        </w:tc>
        <w:tc>
          <w:tcPr>
            <w:tcW w:w="2420" w:type="dxa"/>
            <w:tcBorders>
              <w:top w:val="single" w:sz="4" w:space="0" w:color="auto"/>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controversias de P.I. procedentes de países en T/D que se evitan o resuelven mediante el Centro de Arbitraje y Mediación de la OMPI y otros métodos extrajudiciales de solución de controversias.</w:t>
            </w:r>
          </w:p>
          <w:p w:rsidR="0079353A" w:rsidRPr="0079353A" w:rsidRDefault="0079353A" w:rsidP="00E02444">
            <w:pPr>
              <w:rPr>
                <w:sz w:val="16"/>
                <w:szCs w:val="16"/>
              </w:rPr>
            </w:pPr>
          </w:p>
        </w:tc>
        <w:tc>
          <w:tcPr>
            <w:tcW w:w="2325" w:type="dxa"/>
            <w:tcBorders>
              <w:top w:val="single" w:sz="4" w:space="0" w:color="auto"/>
              <w:left w:val="nil"/>
              <w:bottom w:val="nil"/>
              <w:right w:val="nil"/>
            </w:tcBorders>
            <w:shd w:val="clear" w:color="000000" w:fill="FFFFFF"/>
            <w:hideMark/>
          </w:tcPr>
          <w:p w:rsidR="0079353A" w:rsidRPr="0079353A" w:rsidRDefault="0079353A" w:rsidP="00E02444">
            <w:pPr>
              <w:rPr>
                <w:sz w:val="16"/>
                <w:szCs w:val="16"/>
                <w:lang w:bidi="th-TH"/>
              </w:rPr>
            </w:pPr>
            <w:r w:rsidRPr="0079353A">
              <w:rPr>
                <w:sz w:val="16"/>
                <w:szCs w:val="16"/>
                <w:lang w:bidi="th-TH"/>
              </w:rPr>
              <w:t xml:space="preserve">18 controversias adicionales y 25 buenos oficios adicionales en relación con partes de países </w:t>
            </w:r>
            <w:r w:rsidR="00E40C7C">
              <w:rPr>
                <w:sz w:val="16"/>
                <w:szCs w:val="16"/>
                <w:lang w:bidi="th-TH"/>
              </w:rPr>
              <w:t>con economías en transición y desarrollados</w:t>
            </w:r>
            <w:r w:rsidRPr="0079353A">
              <w:rPr>
                <w:sz w:val="16"/>
                <w:szCs w:val="16"/>
                <w:lang w:bidi="th-TH"/>
              </w:rPr>
              <w:t xml:space="preserve"> (2014).</w:t>
            </w:r>
          </w:p>
          <w:p w:rsidR="0079353A" w:rsidRPr="0079353A" w:rsidRDefault="0079353A" w:rsidP="00E02444">
            <w:pPr>
              <w:rPr>
                <w:sz w:val="16"/>
                <w:szCs w:val="16"/>
                <w:lang w:bidi="th-TH"/>
              </w:rPr>
            </w:pPr>
          </w:p>
        </w:tc>
        <w:tc>
          <w:tcPr>
            <w:tcW w:w="2160" w:type="dxa"/>
            <w:tcBorders>
              <w:top w:val="single" w:sz="4" w:space="0" w:color="auto"/>
              <w:left w:val="nil"/>
              <w:bottom w:val="nil"/>
              <w:right w:val="single" w:sz="4" w:space="0" w:color="auto"/>
            </w:tcBorders>
            <w:shd w:val="clear" w:color="000000" w:fill="FFFFFF"/>
            <w:hideMark/>
          </w:tcPr>
          <w:p w:rsidR="001D6AA6" w:rsidRPr="0079353A" w:rsidRDefault="001D6AA6" w:rsidP="001D6AA6">
            <w:pPr>
              <w:rPr>
                <w:sz w:val="16"/>
                <w:szCs w:val="16"/>
              </w:rPr>
            </w:pPr>
            <w:r>
              <w:rPr>
                <w:sz w:val="16"/>
                <w:szCs w:val="16"/>
              </w:rPr>
              <w:t xml:space="preserve">33 controversias y buenos oficios adicionales en relación con partes de países </w:t>
            </w:r>
            <w:r w:rsidR="0079353A" w:rsidRPr="0079353A">
              <w:rPr>
                <w:sz w:val="16"/>
                <w:szCs w:val="16"/>
              </w:rPr>
              <w:t>con economías en transición</w:t>
            </w:r>
            <w:r>
              <w:rPr>
                <w:sz w:val="16"/>
                <w:szCs w:val="16"/>
              </w:rPr>
              <w:t xml:space="preserve"> y desarrollados</w:t>
            </w:r>
          </w:p>
          <w:p w:rsidR="0079353A" w:rsidRPr="0079353A" w:rsidRDefault="0079353A" w:rsidP="00E02444">
            <w:pPr>
              <w:rPr>
                <w:sz w:val="16"/>
                <w:szCs w:val="16"/>
              </w:rPr>
            </w:pPr>
            <w:r w:rsidRPr="0079353A">
              <w:rPr>
                <w:sz w:val="16"/>
                <w:szCs w:val="16"/>
              </w:rPr>
              <w:t>.</w:t>
            </w:r>
          </w:p>
        </w:tc>
      </w:tr>
      <w:tr w:rsidR="0079353A" w:rsidRPr="0079353A" w:rsidTr="00E02444">
        <w:trPr>
          <w:trHeight w:val="1085"/>
        </w:trPr>
        <w:tc>
          <w:tcPr>
            <w:tcW w:w="2200" w:type="dxa"/>
            <w:tcBorders>
              <w:top w:val="nil"/>
              <w:left w:val="single" w:sz="4" w:space="0" w:color="auto"/>
              <w:bottom w:val="nil"/>
              <w:right w:val="nil"/>
            </w:tcBorders>
            <w:shd w:val="clear" w:color="000000" w:fill="FFFFFF"/>
            <w:hideMark/>
          </w:tcPr>
          <w:p w:rsidR="0079353A" w:rsidRPr="001D6AA6" w:rsidRDefault="0079353A" w:rsidP="00E02444">
            <w:pPr>
              <w:rPr>
                <w:sz w:val="16"/>
                <w:szCs w:val="16"/>
              </w:rPr>
            </w:pPr>
            <w:r w:rsidRPr="001D6AA6">
              <w:rPr>
                <w:sz w:val="16"/>
                <w:szCs w:val="16"/>
              </w:rPr>
              <w:t xml:space="preserve">III.1  </w:t>
            </w:r>
            <w:r w:rsidR="00B74100" w:rsidRPr="001D6AA6">
              <w:rPr>
                <w:sz w:val="16"/>
                <w:szCs w:val="16"/>
                <w:lang w:val="es-ES_tradnl"/>
              </w:rPr>
              <w:t>Estrategias y planes nacionales de innovación y de P.I. que estén en sintonía con los objetivos nacionales de desarrollo</w:t>
            </w:r>
          </w:p>
        </w:tc>
        <w:tc>
          <w:tcPr>
            <w:tcW w:w="2420" w:type="dxa"/>
            <w:tcBorders>
              <w:top w:val="nil"/>
              <w:left w:val="nil"/>
              <w:bottom w:val="nil"/>
              <w:right w:val="nil"/>
            </w:tcBorders>
            <w:shd w:val="clear" w:color="000000" w:fill="FFFFFF"/>
            <w:hideMark/>
          </w:tcPr>
          <w:p w:rsidR="0079353A" w:rsidRPr="0079353A" w:rsidRDefault="0079353A" w:rsidP="00F57A93">
            <w:pPr>
              <w:rPr>
                <w:sz w:val="16"/>
                <w:szCs w:val="16"/>
              </w:rPr>
            </w:pPr>
            <w:r w:rsidRPr="0079353A">
              <w:rPr>
                <w:sz w:val="16"/>
                <w:szCs w:val="16"/>
              </w:rPr>
              <w:t>N</w:t>
            </w:r>
            <w:r w:rsidR="00F57A93">
              <w:rPr>
                <w:sz w:val="16"/>
                <w:szCs w:val="16"/>
              </w:rPr>
              <w:t>º</w:t>
            </w:r>
            <w:r w:rsidRPr="0079353A">
              <w:rPr>
                <w:sz w:val="16"/>
                <w:szCs w:val="16"/>
              </w:rPr>
              <w:t xml:space="preserve"> de países que ha elaborado estrategias o planes de P.I. en consonancia con los objetivos nacionales de desarrollo.</w:t>
            </w:r>
          </w:p>
        </w:tc>
        <w:tc>
          <w:tcPr>
            <w:tcW w:w="2325"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 xml:space="preserve">3 países en 2014. </w:t>
            </w:r>
          </w:p>
          <w:p w:rsidR="0079353A" w:rsidRPr="0079353A" w:rsidRDefault="0079353A" w:rsidP="00E02444">
            <w:pPr>
              <w:rPr>
                <w:sz w:val="16"/>
                <w:szCs w:val="16"/>
              </w:rPr>
            </w:pPr>
            <w:r w:rsidRPr="0079353A">
              <w:rPr>
                <w:sz w:val="16"/>
                <w:szCs w:val="16"/>
              </w:rPr>
              <w:t xml:space="preserve">(17 total acumulativo). </w:t>
            </w:r>
          </w:p>
        </w:tc>
        <w:tc>
          <w:tcPr>
            <w:tcW w:w="2160" w:type="dxa"/>
            <w:tcBorders>
              <w:top w:val="nil"/>
              <w:left w:val="nil"/>
              <w:bottom w:val="nil"/>
              <w:right w:val="single" w:sz="4" w:space="0" w:color="auto"/>
            </w:tcBorders>
            <w:shd w:val="clear" w:color="000000" w:fill="FFFFFF"/>
            <w:hideMark/>
          </w:tcPr>
          <w:p w:rsidR="0079353A" w:rsidRPr="0079353A" w:rsidRDefault="0079353A" w:rsidP="00E02444">
            <w:pPr>
              <w:rPr>
                <w:sz w:val="16"/>
                <w:szCs w:val="16"/>
              </w:rPr>
            </w:pPr>
            <w:r w:rsidRPr="0079353A">
              <w:rPr>
                <w:sz w:val="16"/>
                <w:szCs w:val="16"/>
              </w:rPr>
              <w:t>7 países adicionales.</w:t>
            </w:r>
          </w:p>
        </w:tc>
      </w:tr>
      <w:tr w:rsidR="0079353A" w:rsidRPr="0079353A" w:rsidTr="00E02444">
        <w:trPr>
          <w:trHeight w:val="986"/>
        </w:trPr>
        <w:tc>
          <w:tcPr>
            <w:tcW w:w="2200" w:type="dxa"/>
            <w:vMerge w:val="restart"/>
            <w:tcBorders>
              <w:top w:val="nil"/>
              <w:left w:val="single" w:sz="4" w:space="0" w:color="auto"/>
              <w:bottom w:val="nil"/>
              <w:right w:val="nil"/>
            </w:tcBorders>
            <w:shd w:val="clear" w:color="000000" w:fill="FFFFFF"/>
            <w:hideMark/>
          </w:tcPr>
          <w:p w:rsidR="0079353A" w:rsidRPr="001D6AA6" w:rsidRDefault="0079353A" w:rsidP="00E02444">
            <w:pPr>
              <w:rPr>
                <w:sz w:val="16"/>
                <w:szCs w:val="16"/>
              </w:rPr>
            </w:pPr>
            <w:r w:rsidRPr="001D6AA6">
              <w:rPr>
                <w:sz w:val="16"/>
                <w:szCs w:val="16"/>
              </w:rPr>
              <w:t>III.2</w:t>
            </w:r>
            <w:r w:rsidR="001C77D9" w:rsidRPr="001D6AA6">
              <w:rPr>
                <w:sz w:val="16"/>
                <w:szCs w:val="16"/>
              </w:rPr>
              <w:t xml:space="preserve"> </w:t>
            </w:r>
            <w:r w:rsidRPr="001D6AA6">
              <w:rPr>
                <w:sz w:val="16"/>
                <w:szCs w:val="16"/>
              </w:rPr>
              <w:t xml:space="preserve"> </w:t>
            </w:r>
            <w:r w:rsidR="006C23D5" w:rsidRPr="001D6AA6">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420"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N</w:t>
            </w:r>
            <w:r w:rsidR="00F57A93">
              <w:rPr>
                <w:sz w:val="16"/>
                <w:szCs w:val="16"/>
              </w:rPr>
              <w:t>º</w:t>
            </w:r>
            <w:r w:rsidRPr="0079353A">
              <w:rPr>
                <w:sz w:val="16"/>
                <w:szCs w:val="16"/>
              </w:rPr>
              <w:t xml:space="preserve"> de países en transición que han establecido programas o cursos anuales de formación en P.I. para los profesionales de la P.I.</w:t>
            </w:r>
          </w:p>
          <w:p w:rsidR="0079353A" w:rsidRPr="0079353A" w:rsidRDefault="0079353A" w:rsidP="00E02444">
            <w:pPr>
              <w:rPr>
                <w:sz w:val="16"/>
                <w:szCs w:val="16"/>
              </w:rPr>
            </w:pPr>
          </w:p>
        </w:tc>
        <w:tc>
          <w:tcPr>
            <w:tcW w:w="2325"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6 países (2014)</w:t>
            </w:r>
          </w:p>
        </w:tc>
        <w:tc>
          <w:tcPr>
            <w:tcW w:w="2160" w:type="dxa"/>
            <w:tcBorders>
              <w:top w:val="nil"/>
              <w:left w:val="nil"/>
              <w:bottom w:val="nil"/>
              <w:right w:val="single" w:sz="4" w:space="0" w:color="auto"/>
            </w:tcBorders>
            <w:shd w:val="clear" w:color="000000" w:fill="FFFFFF"/>
            <w:hideMark/>
          </w:tcPr>
          <w:p w:rsidR="0079353A" w:rsidRPr="0079353A" w:rsidRDefault="0079353A" w:rsidP="00E02444">
            <w:pPr>
              <w:rPr>
                <w:sz w:val="16"/>
                <w:szCs w:val="16"/>
              </w:rPr>
            </w:pPr>
            <w:r w:rsidRPr="0079353A">
              <w:rPr>
                <w:sz w:val="16"/>
                <w:szCs w:val="16"/>
              </w:rPr>
              <w:t>8 países.</w:t>
            </w:r>
          </w:p>
        </w:tc>
      </w:tr>
      <w:tr w:rsidR="0079353A" w:rsidRPr="0079353A" w:rsidTr="00E02444">
        <w:trPr>
          <w:trHeight w:val="806"/>
        </w:trPr>
        <w:tc>
          <w:tcPr>
            <w:tcW w:w="2200" w:type="dxa"/>
            <w:vMerge/>
            <w:tcBorders>
              <w:top w:val="nil"/>
              <w:left w:val="single" w:sz="4" w:space="0" w:color="auto"/>
              <w:bottom w:val="nil"/>
              <w:right w:val="nil"/>
            </w:tcBorders>
            <w:vAlign w:val="center"/>
            <w:hideMark/>
          </w:tcPr>
          <w:p w:rsidR="0079353A" w:rsidRPr="001D6AA6" w:rsidRDefault="0079353A" w:rsidP="00E02444">
            <w:pPr>
              <w:rPr>
                <w:sz w:val="16"/>
                <w:szCs w:val="16"/>
              </w:rPr>
            </w:pPr>
          </w:p>
        </w:tc>
        <w:tc>
          <w:tcPr>
            <w:tcW w:w="2420"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 xml:space="preserve">Porcentaje de profesionales y funcionarios del ámbito de la P.I. que ha recibido formación y que aplica en su trabajo las nuevas aptitudes adquiridas.  </w:t>
            </w:r>
          </w:p>
          <w:p w:rsidR="0079353A" w:rsidRPr="0079353A" w:rsidRDefault="0079353A" w:rsidP="00E02444">
            <w:pPr>
              <w:rPr>
                <w:sz w:val="16"/>
                <w:szCs w:val="16"/>
              </w:rPr>
            </w:pPr>
          </w:p>
        </w:tc>
        <w:tc>
          <w:tcPr>
            <w:tcW w:w="2325" w:type="dxa"/>
            <w:tcBorders>
              <w:top w:val="nil"/>
              <w:left w:val="nil"/>
              <w:bottom w:val="nil"/>
              <w:right w:val="nil"/>
            </w:tcBorders>
            <w:shd w:val="clear" w:color="000000" w:fill="FFFFFF"/>
            <w:hideMark/>
          </w:tcPr>
          <w:p w:rsidR="0079353A" w:rsidRPr="0079353A" w:rsidRDefault="0079353A" w:rsidP="00E02444">
            <w:pPr>
              <w:rPr>
                <w:sz w:val="16"/>
                <w:szCs w:val="16"/>
              </w:rPr>
            </w:pPr>
            <w:r w:rsidRPr="0079353A">
              <w:rPr>
                <w:sz w:val="16"/>
                <w:szCs w:val="16"/>
              </w:rPr>
              <w:t>80%</w:t>
            </w:r>
          </w:p>
        </w:tc>
        <w:tc>
          <w:tcPr>
            <w:tcW w:w="2160" w:type="dxa"/>
            <w:tcBorders>
              <w:top w:val="nil"/>
              <w:left w:val="nil"/>
              <w:bottom w:val="nil"/>
              <w:right w:val="single" w:sz="4" w:space="0" w:color="auto"/>
            </w:tcBorders>
            <w:shd w:val="clear" w:color="000000" w:fill="FFFFFF"/>
            <w:hideMark/>
          </w:tcPr>
          <w:p w:rsidR="0079353A" w:rsidRPr="0079353A" w:rsidRDefault="0079353A" w:rsidP="00E02444">
            <w:pPr>
              <w:rPr>
                <w:sz w:val="16"/>
                <w:szCs w:val="16"/>
              </w:rPr>
            </w:pPr>
            <w:r w:rsidRPr="0079353A">
              <w:rPr>
                <w:sz w:val="16"/>
                <w:szCs w:val="16"/>
              </w:rPr>
              <w:t xml:space="preserve">70% </w:t>
            </w:r>
            <w:r w:rsidRPr="0079353A">
              <w:rPr>
                <w:sz w:val="16"/>
                <w:szCs w:val="16"/>
              </w:rPr>
              <w:br/>
            </w:r>
            <w:r w:rsidRPr="0079353A">
              <w:rPr>
                <w:sz w:val="16"/>
                <w:szCs w:val="16"/>
              </w:rPr>
              <w:br/>
            </w:r>
          </w:p>
        </w:tc>
      </w:tr>
      <w:tr w:rsidR="0079353A" w:rsidRPr="0079353A" w:rsidTr="00E02444">
        <w:trPr>
          <w:trHeight w:val="1085"/>
        </w:trPr>
        <w:tc>
          <w:tcPr>
            <w:tcW w:w="2200" w:type="dxa"/>
            <w:tcBorders>
              <w:top w:val="nil"/>
              <w:left w:val="single" w:sz="4" w:space="0" w:color="auto"/>
              <w:bottom w:val="single" w:sz="4" w:space="0" w:color="auto"/>
              <w:right w:val="nil"/>
            </w:tcBorders>
            <w:shd w:val="clear" w:color="000000" w:fill="FFFFFF"/>
            <w:hideMark/>
          </w:tcPr>
          <w:p w:rsidR="0079353A" w:rsidRPr="001D6AA6" w:rsidRDefault="0079353A" w:rsidP="00E02444">
            <w:pPr>
              <w:rPr>
                <w:sz w:val="16"/>
                <w:szCs w:val="16"/>
              </w:rPr>
            </w:pPr>
            <w:r w:rsidRPr="001D6AA6">
              <w:rPr>
                <w:sz w:val="16"/>
                <w:szCs w:val="16"/>
              </w:rPr>
              <w:t xml:space="preserve">III.4  </w:t>
            </w:r>
            <w:r w:rsidR="00B74100" w:rsidRPr="001D6AA6">
              <w:rPr>
                <w:sz w:val="16"/>
                <w:szCs w:val="16"/>
                <w:lang w:val="es-ES_tradnl"/>
              </w:rPr>
              <w:t>Fortalecimiento de los mecanismos y de los programas de cooperación conforme a las necesidades de los países en desarrollo y los PMA</w:t>
            </w:r>
            <w:r w:rsidR="00E40C7C">
              <w:rPr>
                <w:sz w:val="16"/>
                <w:szCs w:val="16"/>
                <w:lang w:val="es-ES_tradnl"/>
              </w:rPr>
              <w:br/>
            </w:r>
          </w:p>
        </w:tc>
        <w:tc>
          <w:tcPr>
            <w:tcW w:w="2420" w:type="dxa"/>
            <w:tcBorders>
              <w:top w:val="nil"/>
              <w:left w:val="nil"/>
              <w:bottom w:val="single" w:sz="4" w:space="0" w:color="auto"/>
              <w:right w:val="nil"/>
            </w:tcBorders>
            <w:shd w:val="clear" w:color="000000" w:fill="FFFFFF"/>
            <w:hideMark/>
          </w:tcPr>
          <w:p w:rsidR="0079353A" w:rsidRPr="0079353A" w:rsidRDefault="0079353A" w:rsidP="00F57A93">
            <w:pPr>
              <w:rPr>
                <w:sz w:val="16"/>
                <w:szCs w:val="16"/>
              </w:rPr>
            </w:pPr>
            <w:r w:rsidRPr="0079353A">
              <w:rPr>
                <w:sz w:val="16"/>
                <w:szCs w:val="16"/>
              </w:rPr>
              <w:t>N</w:t>
            </w:r>
            <w:r w:rsidR="00F57A93">
              <w:rPr>
                <w:sz w:val="16"/>
                <w:szCs w:val="16"/>
              </w:rPr>
              <w:t>º</w:t>
            </w:r>
            <w:r w:rsidRPr="0079353A">
              <w:rPr>
                <w:sz w:val="16"/>
                <w:szCs w:val="16"/>
              </w:rPr>
              <w:t xml:space="preserve"> de alianzas establecidas.</w:t>
            </w:r>
          </w:p>
        </w:tc>
        <w:tc>
          <w:tcPr>
            <w:tcW w:w="2325" w:type="dxa"/>
            <w:tcBorders>
              <w:top w:val="nil"/>
              <w:left w:val="nil"/>
              <w:bottom w:val="single" w:sz="4" w:space="0" w:color="auto"/>
              <w:right w:val="nil"/>
            </w:tcBorders>
            <w:shd w:val="clear" w:color="000000" w:fill="FFFFFF"/>
            <w:hideMark/>
          </w:tcPr>
          <w:p w:rsidR="0079353A" w:rsidRPr="0079353A" w:rsidRDefault="0079353A" w:rsidP="00E02444">
            <w:pPr>
              <w:rPr>
                <w:sz w:val="16"/>
                <w:szCs w:val="16"/>
              </w:rPr>
            </w:pPr>
            <w:r w:rsidRPr="0079353A">
              <w:rPr>
                <w:sz w:val="16"/>
                <w:szCs w:val="16"/>
              </w:rPr>
              <w:t>4 memorandos de entendimiento firmados (2014).</w:t>
            </w:r>
          </w:p>
        </w:tc>
        <w:tc>
          <w:tcPr>
            <w:tcW w:w="2160" w:type="dxa"/>
            <w:tcBorders>
              <w:top w:val="nil"/>
              <w:left w:val="nil"/>
              <w:bottom w:val="single" w:sz="4" w:space="0" w:color="auto"/>
              <w:right w:val="single" w:sz="4" w:space="0" w:color="auto"/>
            </w:tcBorders>
            <w:shd w:val="clear" w:color="000000" w:fill="FFFFFF"/>
            <w:hideMark/>
          </w:tcPr>
          <w:p w:rsidR="0079353A" w:rsidRPr="0079353A" w:rsidRDefault="00E40C7C" w:rsidP="00E40C7C">
            <w:pPr>
              <w:rPr>
                <w:sz w:val="16"/>
                <w:szCs w:val="16"/>
              </w:rPr>
            </w:pPr>
            <w:r>
              <w:rPr>
                <w:sz w:val="16"/>
                <w:szCs w:val="16"/>
              </w:rPr>
              <w:t>Creación de 6 alianzas de P.I.</w:t>
            </w:r>
            <w:r w:rsidR="0079353A" w:rsidRPr="0079353A">
              <w:rPr>
                <w:sz w:val="16"/>
                <w:szCs w:val="16"/>
              </w:rPr>
              <w:br/>
            </w:r>
            <w:r w:rsidR="0079353A" w:rsidRPr="0079353A">
              <w:rPr>
                <w:sz w:val="16"/>
                <w:szCs w:val="16"/>
              </w:rPr>
              <w:br/>
            </w:r>
          </w:p>
        </w:tc>
      </w:tr>
    </w:tbl>
    <w:p w:rsidR="0079353A" w:rsidRPr="0079353A" w:rsidRDefault="0079353A" w:rsidP="0079353A">
      <w:pPr>
        <w:jc w:val="both"/>
      </w:pPr>
    </w:p>
    <w:p w:rsidR="0079353A" w:rsidRPr="0079353A" w:rsidRDefault="0079353A" w:rsidP="0079353A">
      <w:pPr>
        <w:jc w:val="both"/>
      </w:pPr>
    </w:p>
    <w:p w:rsidR="0079353A" w:rsidRPr="0079353A" w:rsidRDefault="0079353A" w:rsidP="0079353A">
      <w:pPr>
        <w:jc w:val="both"/>
      </w:pPr>
      <w:r w:rsidRPr="0079353A">
        <w:t>RECURSOS PARA EL PROGRAMA 10</w:t>
      </w:r>
    </w:p>
    <w:p w:rsidR="0079353A" w:rsidRPr="0079353A" w:rsidRDefault="0079353A" w:rsidP="0079353A">
      <w:pPr>
        <w:jc w:val="both"/>
      </w:pPr>
    </w:p>
    <w:p w:rsidR="0079353A" w:rsidRPr="0079353A" w:rsidRDefault="001E701B" w:rsidP="0079353A">
      <w:pPr>
        <w:pStyle w:val="ListParagraph"/>
        <w:numPr>
          <w:ilvl w:val="0"/>
          <w:numId w:val="26"/>
        </w:numPr>
        <w:tabs>
          <w:tab w:val="right" w:pos="709"/>
        </w:tabs>
        <w:ind w:left="0" w:firstLine="0"/>
        <w:jc w:val="both"/>
        <w:rPr>
          <w:rFonts w:ascii="Arial" w:hAnsi="Arial" w:cs="Arial"/>
          <w:sz w:val="20"/>
          <w:lang w:val="es-ES"/>
        </w:rPr>
      </w:pPr>
      <w:r>
        <w:rPr>
          <w:rFonts w:ascii="Arial" w:hAnsi="Arial" w:cs="Arial"/>
          <w:sz w:val="20"/>
          <w:lang w:val="es-ES"/>
        </w:rPr>
        <w:t>La dotación global de</w:t>
      </w:r>
      <w:r w:rsidR="0079353A" w:rsidRPr="0079353A">
        <w:rPr>
          <w:rFonts w:ascii="Arial" w:hAnsi="Arial" w:cs="Arial"/>
          <w:sz w:val="20"/>
          <w:lang w:val="es-ES"/>
        </w:rPr>
        <w:t xml:space="preserve"> recursos </w:t>
      </w:r>
      <w:r>
        <w:rPr>
          <w:rFonts w:ascii="Arial" w:hAnsi="Arial" w:cs="Arial"/>
          <w:sz w:val="20"/>
          <w:lang w:val="es-ES"/>
        </w:rPr>
        <w:t>para e</w:t>
      </w:r>
      <w:r w:rsidR="0079353A" w:rsidRPr="0079353A">
        <w:rPr>
          <w:rFonts w:ascii="Arial" w:hAnsi="Arial" w:cs="Arial"/>
          <w:sz w:val="20"/>
          <w:lang w:val="es-ES"/>
        </w:rPr>
        <w:t xml:space="preserve">l programa 10 </w:t>
      </w:r>
      <w:r>
        <w:rPr>
          <w:rFonts w:ascii="Arial" w:hAnsi="Arial" w:cs="Arial"/>
          <w:sz w:val="20"/>
          <w:lang w:val="es-ES"/>
        </w:rPr>
        <w:t>ha disminuido e</w:t>
      </w:r>
      <w:r w:rsidR="0079353A" w:rsidRPr="0079353A">
        <w:rPr>
          <w:rFonts w:ascii="Arial" w:hAnsi="Arial" w:cs="Arial"/>
          <w:sz w:val="20"/>
          <w:lang w:val="es-ES"/>
        </w:rPr>
        <w:t xml:space="preserve">n </w:t>
      </w:r>
      <w:r w:rsidR="00E40C7C">
        <w:rPr>
          <w:rFonts w:ascii="Arial" w:hAnsi="Arial" w:cs="Arial"/>
          <w:sz w:val="20"/>
          <w:lang w:val="es-ES"/>
        </w:rPr>
        <w:t>0,</w:t>
      </w:r>
      <w:r w:rsidR="0079353A" w:rsidRPr="0079353A">
        <w:rPr>
          <w:rFonts w:ascii="Arial" w:hAnsi="Arial" w:cs="Arial"/>
          <w:sz w:val="20"/>
          <w:lang w:val="es-ES"/>
        </w:rPr>
        <w:t>43</w:t>
      </w:r>
      <w:r w:rsidR="00E40C7C">
        <w:rPr>
          <w:rFonts w:ascii="Arial" w:hAnsi="Arial" w:cs="Arial"/>
          <w:sz w:val="20"/>
          <w:lang w:val="es-ES"/>
        </w:rPr>
        <w:t xml:space="preserve"> millones de</w:t>
      </w:r>
      <w:r w:rsidR="0079353A" w:rsidRPr="0079353A">
        <w:rPr>
          <w:rFonts w:ascii="Arial" w:hAnsi="Arial" w:cs="Arial"/>
          <w:sz w:val="20"/>
          <w:lang w:val="es-ES"/>
        </w:rPr>
        <w:t xml:space="preserve"> francos suizos, principalmente debido a i) la transferencia de responsabilidades al programa 30 con respecto a las actividades destinadas a las pymes (apoyo a las pymes y a la capacidad empresarial), y ii) una reducción en los recursos de personal equivalente a un</w:t>
      </w:r>
      <w:r w:rsidR="00E40C7C">
        <w:rPr>
          <w:rFonts w:ascii="Arial" w:hAnsi="Arial" w:cs="Arial"/>
          <w:sz w:val="20"/>
          <w:lang w:val="es-ES"/>
        </w:rPr>
        <w:t xml:space="preserve"> puest</w:t>
      </w:r>
      <w:r w:rsidR="0079353A" w:rsidRPr="0079353A">
        <w:rPr>
          <w:rFonts w:ascii="Arial" w:hAnsi="Arial" w:cs="Arial"/>
          <w:sz w:val="20"/>
          <w:lang w:val="es-ES"/>
        </w:rPr>
        <w:t xml:space="preserve">o.  La reducción en los recursos de personal debería considerarse </w:t>
      </w:r>
      <w:r>
        <w:rPr>
          <w:rFonts w:ascii="Arial" w:hAnsi="Arial" w:cs="Arial"/>
          <w:sz w:val="20"/>
          <w:lang w:val="es-ES"/>
        </w:rPr>
        <w:t>como provisoria</w:t>
      </w:r>
      <w:r w:rsidR="0079353A" w:rsidRPr="0079353A">
        <w:rPr>
          <w:rFonts w:ascii="Arial" w:hAnsi="Arial" w:cs="Arial"/>
          <w:sz w:val="20"/>
          <w:lang w:val="es-ES"/>
        </w:rPr>
        <w:t xml:space="preserve"> en espera de que termine el proceso de regularización de una función permanente en el programa, lo que está previsto que se produzca en el segundo semestre de 2015. </w:t>
      </w:r>
    </w:p>
    <w:p w:rsidR="0079353A" w:rsidRPr="0079353A" w:rsidRDefault="0079353A" w:rsidP="0079353A">
      <w:pPr>
        <w:jc w:val="both"/>
      </w:pPr>
    </w:p>
    <w:p w:rsidR="0079353A" w:rsidRPr="0079353A" w:rsidRDefault="0079353A" w:rsidP="0079353A">
      <w:pPr>
        <w:pStyle w:val="ListParagraph"/>
        <w:numPr>
          <w:ilvl w:val="0"/>
          <w:numId w:val="26"/>
        </w:numPr>
        <w:tabs>
          <w:tab w:val="right" w:pos="709"/>
        </w:tabs>
        <w:ind w:left="0" w:firstLine="0"/>
        <w:jc w:val="both"/>
        <w:rPr>
          <w:rFonts w:ascii="Arial" w:hAnsi="Arial" w:cs="Arial"/>
          <w:sz w:val="20"/>
          <w:lang w:val="es-ES"/>
        </w:rPr>
      </w:pPr>
      <w:r w:rsidRPr="0079353A">
        <w:rPr>
          <w:rFonts w:ascii="Arial" w:hAnsi="Arial" w:cs="Arial"/>
          <w:sz w:val="20"/>
          <w:lang w:val="es-ES"/>
        </w:rPr>
        <w:t>El cambio en los recursos que se observa en el rubro de resultados previstos refleja la finalización de la integración de las actividades relacionadas con los CATI y Soluciones operativas para las oficinas de P.I. en los programas 14 y 15, respectivamente.</w:t>
      </w:r>
    </w:p>
    <w:p w:rsidR="0079353A" w:rsidRPr="0079353A" w:rsidRDefault="0079353A" w:rsidP="0079353A">
      <w:pPr>
        <w:pStyle w:val="ListParagraph"/>
        <w:keepNext/>
        <w:keepLines/>
        <w:jc w:val="center"/>
        <w:rPr>
          <w:rFonts w:ascii="Arial" w:hAnsi="Arial" w:cs="Arial"/>
          <w:b/>
          <w:sz w:val="20"/>
          <w:lang w:val="es-ES"/>
        </w:rPr>
      </w:pPr>
      <w:r w:rsidRPr="0079353A">
        <w:rPr>
          <w:rFonts w:ascii="Arial" w:hAnsi="Arial" w:cs="Arial"/>
          <w:b/>
          <w:sz w:val="20"/>
          <w:lang w:val="es-ES"/>
        </w:rPr>
        <w:lastRenderedPageBreak/>
        <w:t>Programa 10</w:t>
      </w:r>
      <w:proofErr w:type="gramStart"/>
      <w:r w:rsidRPr="0079353A">
        <w:rPr>
          <w:rFonts w:ascii="Arial" w:hAnsi="Arial" w:cs="Arial"/>
          <w:b/>
          <w:sz w:val="20"/>
          <w:lang w:val="es-ES"/>
        </w:rPr>
        <w:t>:  Recursos</w:t>
      </w:r>
      <w:proofErr w:type="gramEnd"/>
      <w:r w:rsidRPr="0079353A">
        <w:rPr>
          <w:rFonts w:ascii="Arial" w:hAnsi="Arial" w:cs="Arial"/>
          <w:b/>
          <w:sz w:val="20"/>
          <w:lang w:val="es-ES"/>
        </w:rPr>
        <w:t xml:space="preserve"> por resultado </w:t>
      </w:r>
    </w:p>
    <w:p w:rsidR="0079353A" w:rsidRPr="0079353A" w:rsidRDefault="0079353A" w:rsidP="0079353A">
      <w:pPr>
        <w:pStyle w:val="ListParagraph"/>
        <w:keepNext/>
        <w:keepLines/>
        <w:jc w:val="center"/>
        <w:rPr>
          <w:rFonts w:ascii="Arial" w:hAnsi="Arial" w:cs="Arial"/>
          <w:i/>
          <w:sz w:val="20"/>
          <w:lang w:val="es-ES"/>
        </w:rPr>
      </w:pPr>
      <w:r w:rsidRPr="0079353A">
        <w:rPr>
          <w:rFonts w:ascii="Arial" w:hAnsi="Arial" w:cs="Arial"/>
          <w:i/>
          <w:sz w:val="20"/>
          <w:lang w:val="es-ES"/>
        </w:rPr>
        <w:t>(</w:t>
      </w:r>
      <w:proofErr w:type="gramStart"/>
      <w:r w:rsidRPr="0079353A">
        <w:rPr>
          <w:rFonts w:ascii="Arial" w:hAnsi="Arial" w:cs="Arial"/>
          <w:i/>
          <w:sz w:val="20"/>
          <w:lang w:val="es-ES"/>
        </w:rPr>
        <w:t>en</w:t>
      </w:r>
      <w:proofErr w:type="gramEnd"/>
      <w:r w:rsidRPr="0079353A">
        <w:rPr>
          <w:rFonts w:ascii="Arial" w:hAnsi="Arial" w:cs="Arial"/>
          <w:i/>
          <w:sz w:val="20"/>
          <w:lang w:val="es-ES"/>
        </w:rPr>
        <w:t xml:space="preserve"> miles de francos suizos)</w:t>
      </w:r>
    </w:p>
    <w:p w:rsidR="0079353A" w:rsidRDefault="0079353A" w:rsidP="0079353A">
      <w:pPr>
        <w:pStyle w:val="ListParagraph"/>
        <w:keepNext/>
        <w:keepLines/>
        <w:jc w:val="center"/>
        <w:rPr>
          <w:rFonts w:ascii="Arial" w:hAnsi="Arial" w:cs="Arial"/>
          <w:i/>
          <w:sz w:val="20"/>
          <w:lang w:val="es-ES"/>
        </w:rPr>
      </w:pPr>
    </w:p>
    <w:p w:rsidR="00714766" w:rsidRPr="0079353A" w:rsidRDefault="00E40C7C" w:rsidP="0079353A">
      <w:pPr>
        <w:pStyle w:val="ListParagraph"/>
        <w:keepNext/>
        <w:keepLines/>
        <w:jc w:val="center"/>
        <w:rPr>
          <w:rFonts w:ascii="Arial" w:hAnsi="Arial" w:cs="Arial"/>
          <w:i/>
          <w:sz w:val="20"/>
          <w:lang w:val="es-ES"/>
        </w:rPr>
      </w:pPr>
      <w:r w:rsidRPr="00E40C7C">
        <w:rPr>
          <w:noProof/>
          <w:lang w:eastAsia="en-US"/>
        </w:rPr>
        <w:drawing>
          <wp:inline distT="0" distB="0" distL="0" distR="0">
            <wp:extent cx="5676900" cy="662749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676900" cy="6627495"/>
                    </a:xfrm>
                    <a:prstGeom prst="rect">
                      <a:avLst/>
                    </a:prstGeom>
                    <a:noFill/>
                    <a:ln>
                      <a:noFill/>
                    </a:ln>
                  </pic:spPr>
                </pic:pic>
              </a:graphicData>
            </a:graphic>
          </wp:inline>
        </w:drawing>
      </w:r>
    </w:p>
    <w:p w:rsidR="0079353A" w:rsidRPr="0079353A" w:rsidRDefault="0079353A" w:rsidP="0079353A">
      <w:pPr>
        <w:pStyle w:val="ListParagraph"/>
        <w:keepNext/>
        <w:keepLines/>
        <w:ind w:left="0"/>
        <w:jc w:val="center"/>
        <w:rPr>
          <w:rFonts w:ascii="Arial" w:hAnsi="Arial" w:cs="Arial"/>
          <w:i/>
          <w:sz w:val="20"/>
        </w:rPr>
      </w:pPr>
    </w:p>
    <w:p w:rsidR="0079353A" w:rsidRPr="0079353A" w:rsidRDefault="0079353A" w:rsidP="0079353A">
      <w:pPr>
        <w:pStyle w:val="ListParagraph"/>
        <w:keepNext/>
        <w:keepLines/>
        <w:jc w:val="center"/>
        <w:rPr>
          <w:rFonts w:ascii="Arial" w:hAnsi="Arial" w:cs="Arial"/>
          <w:i/>
          <w:sz w:val="20"/>
        </w:rPr>
      </w:pPr>
    </w:p>
    <w:p w:rsidR="0079353A" w:rsidRPr="0079353A" w:rsidRDefault="0079353A" w:rsidP="0079353A">
      <w:pPr>
        <w:rPr>
          <w:i/>
          <w:sz w:val="20"/>
        </w:rPr>
      </w:pPr>
      <w:r w:rsidRPr="0079353A">
        <w:rPr>
          <w:i/>
          <w:sz w:val="20"/>
        </w:rPr>
        <w:br w:type="page"/>
      </w:r>
    </w:p>
    <w:p w:rsidR="0079353A" w:rsidRPr="0079353A" w:rsidRDefault="0079353A" w:rsidP="005012AC">
      <w:pPr>
        <w:pStyle w:val="ListParagraph"/>
        <w:spacing w:after="240"/>
        <w:ind w:left="0"/>
        <w:jc w:val="center"/>
        <w:rPr>
          <w:rFonts w:ascii="Arial" w:hAnsi="Arial" w:cs="Arial"/>
          <w:b/>
          <w:sz w:val="20"/>
          <w:lang w:val="es-ES"/>
        </w:rPr>
      </w:pPr>
      <w:r w:rsidRPr="0079353A">
        <w:rPr>
          <w:rFonts w:ascii="Arial" w:hAnsi="Arial" w:cs="Arial"/>
          <w:b/>
          <w:sz w:val="20"/>
          <w:lang w:val="es-ES"/>
        </w:rPr>
        <w:lastRenderedPageBreak/>
        <w:t>Programa 10</w:t>
      </w:r>
      <w:proofErr w:type="gramStart"/>
      <w:r w:rsidRPr="0079353A">
        <w:rPr>
          <w:rFonts w:ascii="Arial" w:hAnsi="Arial" w:cs="Arial"/>
          <w:b/>
          <w:sz w:val="20"/>
          <w:lang w:val="es-ES"/>
        </w:rPr>
        <w:t>:  Recursos</w:t>
      </w:r>
      <w:proofErr w:type="gramEnd"/>
      <w:r w:rsidRPr="0079353A">
        <w:rPr>
          <w:rFonts w:ascii="Arial" w:hAnsi="Arial" w:cs="Arial"/>
          <w:b/>
          <w:sz w:val="20"/>
          <w:lang w:val="es-ES"/>
        </w:rPr>
        <w:t xml:space="preserve"> por objeto de gasto</w:t>
      </w:r>
    </w:p>
    <w:p w:rsidR="0079353A" w:rsidRPr="0079353A" w:rsidRDefault="0079353A" w:rsidP="005012AC">
      <w:pPr>
        <w:pStyle w:val="ListParagraph"/>
        <w:spacing w:after="240"/>
        <w:ind w:left="0"/>
        <w:jc w:val="center"/>
        <w:rPr>
          <w:rFonts w:ascii="Arial" w:hAnsi="Arial" w:cs="Arial"/>
          <w:i/>
          <w:sz w:val="20"/>
          <w:lang w:val="es-ES"/>
        </w:rPr>
      </w:pPr>
      <w:r w:rsidRPr="0079353A">
        <w:rPr>
          <w:rFonts w:ascii="Arial" w:hAnsi="Arial" w:cs="Arial"/>
          <w:i/>
          <w:sz w:val="20"/>
          <w:lang w:val="es-ES"/>
        </w:rPr>
        <w:t>(</w:t>
      </w:r>
      <w:proofErr w:type="gramStart"/>
      <w:r w:rsidRPr="0079353A">
        <w:rPr>
          <w:rFonts w:ascii="Arial" w:hAnsi="Arial" w:cs="Arial"/>
          <w:i/>
          <w:sz w:val="20"/>
          <w:lang w:val="es-ES"/>
        </w:rPr>
        <w:t>en</w:t>
      </w:r>
      <w:proofErr w:type="gramEnd"/>
      <w:r w:rsidRPr="0079353A">
        <w:rPr>
          <w:rFonts w:ascii="Arial" w:hAnsi="Arial" w:cs="Arial"/>
          <w:i/>
          <w:sz w:val="20"/>
          <w:lang w:val="es-ES"/>
        </w:rPr>
        <w:t xml:space="preserve"> miles de francos suizos)</w:t>
      </w:r>
    </w:p>
    <w:p w:rsidR="0079353A" w:rsidRPr="0079353A" w:rsidRDefault="0079353A" w:rsidP="0079353A">
      <w:pPr>
        <w:pStyle w:val="ListParagraph"/>
        <w:spacing w:after="240"/>
        <w:jc w:val="center"/>
        <w:rPr>
          <w:rFonts w:ascii="Arial" w:hAnsi="Arial" w:cs="Arial"/>
          <w:i/>
          <w:sz w:val="20"/>
          <w:lang w:val="es-ES"/>
        </w:rPr>
      </w:pPr>
    </w:p>
    <w:p w:rsidR="0079353A" w:rsidRPr="0079353A" w:rsidRDefault="00835617" w:rsidP="0079353A">
      <w:pPr>
        <w:jc w:val="both"/>
      </w:pPr>
      <w:r>
        <w:rPr>
          <w:noProof/>
          <w:lang w:val="en-US" w:eastAsia="en-US"/>
        </w:rPr>
        <w:drawing>
          <wp:inline distT="0" distB="0" distL="0" distR="0" wp14:anchorId="19261C4A" wp14:editId="6618020C">
            <wp:extent cx="5940425" cy="6118765"/>
            <wp:effectExtent l="0" t="0" r="3175" b="0"/>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40425" cy="6118765"/>
                    </a:xfrm>
                    <a:prstGeom prst="rect">
                      <a:avLst/>
                    </a:prstGeom>
                    <a:noFill/>
                    <a:ln>
                      <a:noFill/>
                    </a:ln>
                  </pic:spPr>
                </pic:pic>
              </a:graphicData>
            </a:graphic>
          </wp:inline>
        </w:drawing>
      </w:r>
    </w:p>
    <w:p w:rsidR="0079353A" w:rsidRPr="0079353A" w:rsidRDefault="0079353A" w:rsidP="0079353A">
      <w:pPr>
        <w:jc w:val="both"/>
        <w:rPr>
          <w:szCs w:val="22"/>
        </w:rPr>
      </w:pPr>
    </w:p>
    <w:p w:rsidR="0079353A" w:rsidRPr="0079353A" w:rsidRDefault="0079353A" w:rsidP="0079353A">
      <w:pPr>
        <w:jc w:val="both"/>
        <w:rPr>
          <w:szCs w:val="22"/>
        </w:rPr>
      </w:pPr>
    </w:p>
    <w:p w:rsidR="00DF0438" w:rsidRDefault="00DF0438">
      <w:pPr>
        <w:rPr>
          <w:szCs w:val="22"/>
        </w:rPr>
      </w:pPr>
      <w:r>
        <w:rPr>
          <w:szCs w:val="22"/>
        </w:rPr>
        <w:br w:type="page"/>
      </w:r>
    </w:p>
    <w:p w:rsidR="00DF0438" w:rsidRPr="007D7911" w:rsidRDefault="007D7911" w:rsidP="007D7911">
      <w:pPr>
        <w:pStyle w:val="StyleStyleHeading3ComplexItalicLatin12pt"/>
        <w:rPr>
          <w:lang w:val="es-ES"/>
        </w:rPr>
      </w:pPr>
      <w:bookmarkStart w:id="44" w:name="_Toc420681144"/>
      <w:r w:rsidRPr="007D7911">
        <w:rPr>
          <w:caps w:val="0"/>
          <w:lang w:val="es-ES"/>
        </w:rPr>
        <w:lastRenderedPageBreak/>
        <w:t>PROGRAMA 11</w:t>
      </w:r>
      <w:r w:rsidRPr="007D7911">
        <w:rPr>
          <w:caps w:val="0"/>
          <w:lang w:val="es-ES"/>
        </w:rPr>
        <w:tab/>
        <w:t>ACADEMIA DE LA OMPI</w:t>
      </w:r>
      <w:bookmarkEnd w:id="44"/>
    </w:p>
    <w:p w:rsidR="00DF0438" w:rsidRPr="0020084B" w:rsidRDefault="00DF0438" w:rsidP="00DF0438">
      <w:pPr>
        <w:rPr>
          <w:sz w:val="20"/>
        </w:rPr>
      </w:pPr>
    </w:p>
    <w:p w:rsidR="00DF0438" w:rsidRPr="0020084B" w:rsidRDefault="00DF0438" w:rsidP="00DF0438">
      <w:pPr>
        <w:jc w:val="both"/>
        <w:rPr>
          <w:sz w:val="20"/>
        </w:rPr>
      </w:pPr>
    </w:p>
    <w:p w:rsidR="00DF0438" w:rsidRPr="0020084B" w:rsidRDefault="00DF0438" w:rsidP="00DF0438">
      <w:pPr>
        <w:jc w:val="both"/>
      </w:pPr>
      <w:r w:rsidRPr="0020084B">
        <w:t>CONTEXTO DE PLANIFICACIÓN</w:t>
      </w:r>
    </w:p>
    <w:p w:rsidR="00DF0438" w:rsidRPr="0020084B" w:rsidRDefault="00DF0438" w:rsidP="00DF0438">
      <w:pPr>
        <w:jc w:val="both"/>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de la OMPI es la entidad de la OMPI en la que se centralizan las actividades de formación y fortalecimiento de capacidades, en particular, para los países en desarrollo, los PMA y los países en transición.  La Academia constituye un centro de excelencia en la formación, incluida la formación profesional;  es un catalizador de redes y asociaciones para ampliar la diversidad de las oportunidades de formación a nivel nacional;  es un centro de información en Internet de acceso abierto sobre todas las actividades, herramientas y servicios de formación de la OMPI;  es un proveedor único en su género y multilingüe de cursos de enseñanza y formación a distancia por Internet;  y también una plataforma de redes virtuales de asociados, expertos y docentes en el ámbito de la formación en P.I. orientada al desarrollo.</w:t>
      </w:r>
    </w:p>
    <w:p w:rsidR="00DF0438" w:rsidRPr="0020084B" w:rsidRDefault="00DF0438" w:rsidP="00DF0438">
      <w:pPr>
        <w:jc w:val="both"/>
        <w:rPr>
          <w:sz w:val="20"/>
        </w:rPr>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En el bienio 2014/15, la Academia emprendió un proceso de reforma gradual y coherente a los fines de volver a asumir la función de vehículo de la Organización para la formación profesional y el fortalecimiento de capacidades.</w:t>
      </w:r>
    </w:p>
    <w:p w:rsidR="00DF0438" w:rsidRPr="0020084B" w:rsidRDefault="00DF0438" w:rsidP="00DF0438">
      <w:pPr>
        <w:jc w:val="both"/>
        <w:rPr>
          <w:sz w:val="20"/>
        </w:rPr>
      </w:pPr>
    </w:p>
    <w:p w:rsidR="00DF0438" w:rsidRPr="0020084B" w:rsidRDefault="00DF0438" w:rsidP="00DF0438">
      <w:pPr>
        <w:jc w:val="both"/>
        <w:rPr>
          <w:sz w:val="20"/>
        </w:rPr>
      </w:pPr>
    </w:p>
    <w:p w:rsidR="00DF0438" w:rsidRPr="0020084B" w:rsidRDefault="00DF0438" w:rsidP="00DF0438">
      <w:pPr>
        <w:jc w:val="both"/>
      </w:pPr>
      <w:r w:rsidRPr="0020084B">
        <w:t>ESTRATEGIAS DE EJECUCIÓN</w:t>
      </w:r>
    </w:p>
    <w:p w:rsidR="00DF0438" w:rsidRPr="0020084B" w:rsidRDefault="00DF0438" w:rsidP="00DF0438">
      <w:pPr>
        <w:jc w:val="both"/>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Al esforzarse por lograr los objetivos que se ha fijado para su reforma, la Academia se apoyará en su experiencia y sus ventajas comparativas.  Entre estas últimas están la neutralidad, la credibilidad y su imagen institucional;  las inversiones que ya ha realizado en material y herramientas de formación y enseñanza, incluida su plataforma de enseñanza a distancia;  su gran red internacional de expertos, profesores y tutores;  sus arraigados lazos de cooperación y colaboración con instituciones nacionales y regionales;  su contenido multilingüe;  su experiencia en determinar y responder a las prioridades y necesidades de formación de los Estados miembros y otras partes interesadas;  y su condición de entidad sin fines lucrativos.</w:t>
      </w:r>
    </w:p>
    <w:p w:rsidR="00DF0438" w:rsidRPr="0020084B" w:rsidRDefault="00DF0438" w:rsidP="00DF0438">
      <w:pPr>
        <w:jc w:val="both"/>
        <w:rPr>
          <w:sz w:val="20"/>
        </w:rPr>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colaborará estrechamente con todos los sectores interesados de la Organización para establecer procesos y mecanismos regulares y eficaces de consulta, planificación e intercambio de información a nivel interno que permitan identificar y responder de forma oportuna y eficaz a las necesidades y solicitudes de formación.</w:t>
      </w:r>
    </w:p>
    <w:p w:rsidR="00DF0438" w:rsidRPr="0020084B" w:rsidRDefault="00DF0438" w:rsidP="00DF0438">
      <w:pPr>
        <w:jc w:val="both"/>
        <w:rPr>
          <w:sz w:val="20"/>
        </w:rPr>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La Academia seguirá revisando y actualizando el contenido de su material de formación y de sus cursos de enseñanza a distancia, colaborando estrechamente con ese fin con los sectores fundamentales a ese respecto de la OMPI, así como con tutores, expertos de prestigio y profesores interesados.  Cuando se observe que hay una demanda clara, se dará también prioridad a la traducción de dichos materiales y cursos en varios idiomas.  Se dedicarán también esfuerzos para concebir herramientas de TIC que permitan administrar e impartir con mayor eficacia los cursos de enseñanza a distancia.  Se dará prioridad a promover una mayor participación de las mujeres en los programas de la Academia así como una distribución geográfica equilibrada en todos los casos en los que la Academia tenga prerrogativas en la selección.  La Academia se esforzará también por mejorar sus herramientas de evaluación a los fines de extraer enseñanzas y adaptar</w:t>
      </w:r>
      <w:r w:rsidR="00B40BEB">
        <w:rPr>
          <w:rFonts w:ascii="Arial" w:hAnsi="Arial" w:cs="Arial"/>
          <w:sz w:val="20"/>
          <w:szCs w:val="20"/>
          <w:lang w:val="es-ES"/>
        </w:rPr>
        <w:t xml:space="preserve"> en consecuencia</w:t>
      </w:r>
      <w:r w:rsidRPr="0020084B">
        <w:rPr>
          <w:rFonts w:ascii="Arial" w:hAnsi="Arial" w:cs="Arial"/>
          <w:sz w:val="20"/>
          <w:szCs w:val="20"/>
          <w:lang w:val="es-ES"/>
        </w:rPr>
        <w:t xml:space="preserve"> los programas de formación para que respondan mejor a los requisitos de formación </w:t>
      </w:r>
      <w:r w:rsidR="00B40BEB">
        <w:rPr>
          <w:rFonts w:ascii="Arial" w:hAnsi="Arial" w:cs="Arial"/>
          <w:sz w:val="20"/>
          <w:szCs w:val="20"/>
          <w:lang w:val="es-ES"/>
        </w:rPr>
        <w:t>d</w:t>
      </w:r>
      <w:r w:rsidRPr="0020084B">
        <w:rPr>
          <w:rFonts w:ascii="Arial" w:hAnsi="Arial" w:cs="Arial"/>
          <w:sz w:val="20"/>
          <w:szCs w:val="20"/>
          <w:lang w:val="es-ES"/>
        </w:rPr>
        <w:t>e los beneficiarios previstos.</w:t>
      </w:r>
    </w:p>
    <w:p w:rsidR="00DF0438" w:rsidRPr="0020084B" w:rsidRDefault="00DF0438" w:rsidP="00DF0438">
      <w:pPr>
        <w:jc w:val="both"/>
        <w:rPr>
          <w:sz w:val="20"/>
        </w:rPr>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Al llevar a cabo sus programas en el bienio 2016/17, la Academia intentará crear nuevos vínculos de colaboración con instituciones nacionales y regionales de los Estados miembros.  La finalidad de forjar esos vínculos es crear un grupo de expertos a nivel nacional así como capacidades a largo plazo en el plano local, aumentar el grado de incidencia y ampliar el alcance geográfico.  Se elaborará una política con criterios y condiciones específicos para el establecimiento de vínculos de colaboración.</w:t>
      </w:r>
    </w:p>
    <w:p w:rsidR="00DF0438" w:rsidRPr="0020084B" w:rsidRDefault="00DF0438" w:rsidP="00DF0438">
      <w:pPr>
        <w:jc w:val="both"/>
        <w:rPr>
          <w:sz w:val="20"/>
        </w:rPr>
      </w:pPr>
    </w:p>
    <w:p w:rsidR="00DF0438" w:rsidRPr="0020084B" w:rsidRDefault="00DF0438" w:rsidP="00DF0438">
      <w:pPr>
        <w:pStyle w:val="ListParagraph"/>
        <w:numPr>
          <w:ilvl w:val="0"/>
          <w:numId w:val="28"/>
        </w:numPr>
        <w:tabs>
          <w:tab w:val="left" w:pos="709"/>
        </w:tabs>
        <w:ind w:left="0" w:firstLine="0"/>
        <w:jc w:val="both"/>
        <w:rPr>
          <w:rFonts w:ascii="Arial" w:hAnsi="Arial" w:cs="Arial"/>
          <w:sz w:val="20"/>
          <w:szCs w:val="20"/>
          <w:lang w:val="es-ES"/>
        </w:rPr>
      </w:pPr>
      <w:r w:rsidRPr="0020084B">
        <w:rPr>
          <w:rFonts w:ascii="Arial" w:hAnsi="Arial" w:cs="Arial"/>
          <w:sz w:val="20"/>
          <w:szCs w:val="20"/>
          <w:lang w:val="es-ES"/>
        </w:rPr>
        <w:t xml:space="preserve">En 2016/17, la Academia se centrará </w:t>
      </w:r>
      <w:r w:rsidR="00B40BEB">
        <w:rPr>
          <w:rFonts w:ascii="Arial" w:hAnsi="Arial" w:cs="Arial"/>
          <w:sz w:val="20"/>
          <w:szCs w:val="20"/>
          <w:lang w:val="es-ES"/>
        </w:rPr>
        <w:t xml:space="preserve">particularmente </w:t>
      </w:r>
      <w:r w:rsidRPr="0020084B">
        <w:rPr>
          <w:rFonts w:ascii="Arial" w:hAnsi="Arial" w:cs="Arial"/>
          <w:sz w:val="20"/>
          <w:szCs w:val="20"/>
          <w:lang w:val="es-ES"/>
        </w:rPr>
        <w:t>en:</w:t>
      </w:r>
    </w:p>
    <w:p w:rsidR="00DF0438" w:rsidRPr="0020084B" w:rsidRDefault="00DF0438" w:rsidP="00DF0438">
      <w:pPr>
        <w:jc w:val="both"/>
        <w:rPr>
          <w:sz w:val="20"/>
        </w:rPr>
      </w:pPr>
    </w:p>
    <w:p w:rsidR="00DF0438" w:rsidRPr="0020084B" w:rsidRDefault="00DF0438" w:rsidP="00DF0438">
      <w:pPr>
        <w:pStyle w:val="ListParagraph"/>
        <w:numPr>
          <w:ilvl w:val="0"/>
          <w:numId w:val="27"/>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Perfeccionamiento Profesional</w:t>
      </w:r>
      <w:proofErr w:type="gramStart"/>
      <w:r w:rsidRPr="0020084B">
        <w:rPr>
          <w:rFonts w:ascii="Arial" w:hAnsi="Arial" w:cs="Arial"/>
          <w:sz w:val="20"/>
          <w:szCs w:val="20"/>
          <w:lang w:val="es-ES"/>
        </w:rPr>
        <w:t>:  Se</w:t>
      </w:r>
      <w:proofErr w:type="gramEnd"/>
      <w:r w:rsidRPr="0020084B">
        <w:rPr>
          <w:rFonts w:ascii="Arial" w:hAnsi="Arial" w:cs="Arial"/>
          <w:sz w:val="20"/>
          <w:szCs w:val="20"/>
          <w:lang w:val="es-ES"/>
        </w:rPr>
        <w:t xml:space="preserve"> seguirá impartiendo una serie de cursos de formación centrados en temas de alta prioridad a funcionarios gubernamentales y del sector público.  A ellos vendrán a añadirse un nuevo conjunto de cursos minuciosamente pensados para responder a las prioridades establecidas por los Estados miembros.  La Academia seguirá prestando asistencia a los Estados miembros en el establecimiento de academias nacionales </w:t>
      </w:r>
      <w:r w:rsidRPr="0020084B">
        <w:rPr>
          <w:rFonts w:ascii="Arial" w:hAnsi="Arial" w:cs="Arial"/>
          <w:sz w:val="20"/>
          <w:szCs w:val="20"/>
          <w:lang w:val="es-ES"/>
        </w:rPr>
        <w:lastRenderedPageBreak/>
        <w:t>sobre la base de la experiencia y las lecciones aprendidas y ayudando a las academias de P.I. a ser viables e integrarse en una red de academias de P.I.</w:t>
      </w:r>
    </w:p>
    <w:p w:rsidR="00DF0438" w:rsidRPr="0020084B" w:rsidRDefault="00DF0438" w:rsidP="00DF0438">
      <w:pPr>
        <w:pStyle w:val="ListParagraph"/>
        <w:tabs>
          <w:tab w:val="left" w:pos="1276"/>
        </w:tabs>
        <w:ind w:left="709"/>
        <w:jc w:val="both"/>
        <w:rPr>
          <w:rFonts w:ascii="Arial" w:hAnsi="Arial" w:cs="Arial"/>
          <w:sz w:val="20"/>
          <w:szCs w:val="20"/>
          <w:lang w:val="es-ES"/>
        </w:rPr>
      </w:pPr>
    </w:p>
    <w:p w:rsidR="00DF0438" w:rsidRPr="0020084B" w:rsidRDefault="00DF0438" w:rsidP="00DF0438">
      <w:pPr>
        <w:pStyle w:val="ListParagraph"/>
        <w:numPr>
          <w:ilvl w:val="0"/>
          <w:numId w:val="27"/>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Enseñanza a Distancia</w:t>
      </w:r>
      <w:proofErr w:type="gramStart"/>
      <w:r w:rsidRPr="0020084B">
        <w:rPr>
          <w:rFonts w:ascii="Arial" w:hAnsi="Arial" w:cs="Arial"/>
          <w:sz w:val="20"/>
          <w:szCs w:val="20"/>
          <w:lang w:val="es-ES"/>
        </w:rPr>
        <w:t>:  En</w:t>
      </w:r>
      <w:proofErr w:type="gramEnd"/>
      <w:r w:rsidRPr="0020084B">
        <w:rPr>
          <w:rFonts w:ascii="Arial" w:hAnsi="Arial" w:cs="Arial"/>
          <w:sz w:val="20"/>
          <w:szCs w:val="20"/>
          <w:lang w:val="es-ES"/>
        </w:rPr>
        <w:t xml:space="preserve"> los cursos de enseñanza a distancia de la Academia de la OMPI participan cada año cerca de 35.000 personas de todo el mundo.  Esa participación seguirá facilitándose mediante una plataforma de inscripción y enseñanza creada a tal efecto y gracias a la disponibilidad de 17 módulos en </w:t>
      </w:r>
      <w:r w:rsidR="00B40BEB">
        <w:rPr>
          <w:rFonts w:ascii="Arial" w:hAnsi="Arial" w:cs="Arial"/>
          <w:sz w:val="20"/>
          <w:szCs w:val="20"/>
          <w:lang w:val="es-ES"/>
        </w:rPr>
        <w:t>11</w:t>
      </w:r>
      <w:r w:rsidRPr="0020084B">
        <w:rPr>
          <w:rFonts w:ascii="Arial" w:hAnsi="Arial" w:cs="Arial"/>
          <w:sz w:val="20"/>
          <w:szCs w:val="20"/>
          <w:lang w:val="es-ES"/>
        </w:rPr>
        <w:t xml:space="preserve"> idiomas diferentes.  La Academia promoverá el uso de sus cursos de enseñanza a distancia como requisito previo para participar en determinadas actividades de formación especializada organizadas por varios sectores de la OMPI.</w:t>
      </w:r>
    </w:p>
    <w:p w:rsidR="00DF0438" w:rsidRPr="0020084B" w:rsidRDefault="00DF0438" w:rsidP="00DF0438">
      <w:pPr>
        <w:pStyle w:val="ListParagraph"/>
        <w:tabs>
          <w:tab w:val="left" w:pos="1276"/>
        </w:tabs>
        <w:ind w:left="709"/>
        <w:jc w:val="both"/>
        <w:rPr>
          <w:rFonts w:ascii="Arial" w:hAnsi="Arial" w:cs="Arial"/>
          <w:sz w:val="20"/>
          <w:szCs w:val="20"/>
          <w:lang w:val="es-ES"/>
        </w:rPr>
      </w:pPr>
    </w:p>
    <w:p w:rsidR="00DF0438" w:rsidRPr="0020084B" w:rsidRDefault="00DF0438" w:rsidP="00DF0438">
      <w:pPr>
        <w:pStyle w:val="ListParagraph"/>
        <w:numPr>
          <w:ilvl w:val="0"/>
          <w:numId w:val="27"/>
        </w:numPr>
        <w:tabs>
          <w:tab w:val="left" w:pos="1276"/>
        </w:tabs>
        <w:ind w:left="709" w:firstLine="0"/>
        <w:jc w:val="both"/>
        <w:rPr>
          <w:rFonts w:ascii="Arial" w:hAnsi="Arial" w:cs="Arial"/>
          <w:sz w:val="20"/>
          <w:szCs w:val="20"/>
          <w:lang w:val="es-ES"/>
        </w:rPr>
      </w:pPr>
      <w:r w:rsidRPr="0020084B">
        <w:rPr>
          <w:rFonts w:ascii="Arial" w:hAnsi="Arial" w:cs="Arial"/>
          <w:sz w:val="20"/>
          <w:szCs w:val="20"/>
          <w:lang w:val="es-ES"/>
        </w:rPr>
        <w:t>Programa de Instituciones Académicas</w:t>
      </w:r>
      <w:proofErr w:type="gramStart"/>
      <w:r w:rsidRPr="0020084B">
        <w:rPr>
          <w:rFonts w:ascii="Arial" w:hAnsi="Arial" w:cs="Arial"/>
          <w:sz w:val="20"/>
          <w:szCs w:val="20"/>
          <w:lang w:val="es-ES"/>
        </w:rPr>
        <w:t>:  La</w:t>
      </w:r>
      <w:proofErr w:type="gramEnd"/>
      <w:r w:rsidRPr="0020084B">
        <w:rPr>
          <w:rFonts w:ascii="Arial" w:hAnsi="Arial" w:cs="Arial"/>
          <w:sz w:val="20"/>
          <w:szCs w:val="20"/>
          <w:lang w:val="es-ES"/>
        </w:rPr>
        <w:t xml:space="preserve"> Academia de la OMPI seguirá apoyando la educación de posgrado en P.I. a través de programas de máster conjuntos.  Se pasará revista al modelo vigente a fin de que la función de la Academia evolucione desde la concesión de becas a beneficiarios individuales hacia un modelo híbrido en cuyo marco se ofrezca una gama diversa de asesoramiento y asistencia a las instituciones académicas, también a cargo de instituciones académicas de prestigio con las que la OMPI tiene lazos de colaboración estrechos y privilegiados.  Se dará prioridad a elaborar cursos y programas de P.I. nuevos y perfeccionados que estén más orientados hacia las necesidades nacionales y regionales, promover el recurso a expertos nacionales y regionales, en desarrollar capacidades y talentos a nivel local y utilizar plataformas de TIC, como la plataforma de enseñanza a distancia, para suministrar el material y la instrucción necesarios.  Se seguirá organizando un número limitado de cursos de verano con carácter rotativo, tomando en consideración factores como la contribución de los asociados, la ubicación geográfica, el equilibrio lingüístico y la viabilidad de los programas.</w:t>
      </w:r>
    </w:p>
    <w:p w:rsidR="00DF0438" w:rsidRDefault="00DF0438" w:rsidP="00DF0438">
      <w:pPr>
        <w:pStyle w:val="ListParagraph"/>
        <w:ind w:left="0"/>
        <w:jc w:val="both"/>
        <w:rPr>
          <w:rFonts w:ascii="Arial" w:hAnsi="Arial" w:cs="Arial"/>
          <w:sz w:val="20"/>
          <w:szCs w:val="20"/>
          <w:lang w:val="es-ES"/>
        </w:rPr>
      </w:pPr>
    </w:p>
    <w:p w:rsidR="00DF0438" w:rsidRPr="00B40BEB" w:rsidRDefault="00B40BEB" w:rsidP="00DF0438">
      <w:pPr>
        <w:pStyle w:val="ListParagraph"/>
        <w:numPr>
          <w:ilvl w:val="0"/>
          <w:numId w:val="28"/>
        </w:numPr>
        <w:tabs>
          <w:tab w:val="left" w:pos="709"/>
        </w:tabs>
        <w:ind w:left="0" w:firstLine="0"/>
        <w:jc w:val="both"/>
        <w:rPr>
          <w:rFonts w:ascii="Arial" w:hAnsi="Arial" w:cs="Arial"/>
          <w:sz w:val="20"/>
          <w:szCs w:val="20"/>
          <w:lang w:val="es-ES"/>
        </w:rPr>
      </w:pPr>
      <w:r w:rsidRPr="00B40BEB">
        <w:rPr>
          <w:rFonts w:ascii="Arial" w:hAnsi="Arial" w:cs="Arial"/>
          <w:sz w:val="20"/>
          <w:szCs w:val="20"/>
          <w:lang w:val="es-ES"/>
        </w:rPr>
        <w:t xml:space="preserve">Aunque la Academia de la OMPI coopera con la mayoría de los programas de la Organización en el desarrollo y ejecución de programas </w:t>
      </w:r>
      <w:r>
        <w:rPr>
          <w:rFonts w:ascii="Arial" w:hAnsi="Arial" w:cs="Arial"/>
          <w:sz w:val="20"/>
          <w:szCs w:val="20"/>
          <w:lang w:val="es-ES"/>
        </w:rPr>
        <w:t xml:space="preserve">específicos </w:t>
      </w:r>
      <w:r w:rsidRPr="00B40BEB">
        <w:rPr>
          <w:rFonts w:ascii="Arial" w:hAnsi="Arial" w:cs="Arial"/>
          <w:sz w:val="20"/>
          <w:szCs w:val="20"/>
          <w:lang w:val="es-ES"/>
        </w:rPr>
        <w:t>de formación</w:t>
      </w:r>
      <w:r w:rsidR="00DF0438" w:rsidRPr="00B40BEB">
        <w:rPr>
          <w:rFonts w:ascii="Arial" w:hAnsi="Arial" w:cs="Arial"/>
          <w:sz w:val="20"/>
          <w:szCs w:val="20"/>
          <w:lang w:val="es-ES"/>
        </w:rPr>
        <w:t>,</w:t>
      </w:r>
      <w:r w:rsidRPr="00B40BEB">
        <w:rPr>
          <w:rFonts w:ascii="Arial" w:hAnsi="Arial" w:cs="Arial"/>
          <w:sz w:val="20"/>
          <w:szCs w:val="20"/>
          <w:lang w:val="es-ES"/>
        </w:rPr>
        <w:t xml:space="preserve"> en el diagrama siguiente se señalan los programas con los que la Academia mantiene vínculos </w:t>
      </w:r>
      <w:r>
        <w:rPr>
          <w:rFonts w:ascii="Arial" w:hAnsi="Arial" w:cs="Arial"/>
          <w:sz w:val="20"/>
          <w:szCs w:val="20"/>
          <w:lang w:val="es-ES"/>
        </w:rPr>
        <w:t>cotidianos</w:t>
      </w:r>
      <w:r w:rsidRPr="00B40BEB">
        <w:rPr>
          <w:rFonts w:ascii="Arial" w:hAnsi="Arial" w:cs="Arial"/>
          <w:sz w:val="20"/>
          <w:szCs w:val="20"/>
          <w:lang w:val="es-ES"/>
        </w:rPr>
        <w:t xml:space="preserve"> de cooperación</w:t>
      </w:r>
      <w:r w:rsidR="00DF0438" w:rsidRPr="00B40BEB">
        <w:rPr>
          <w:rFonts w:ascii="Arial" w:hAnsi="Arial" w:cs="Arial"/>
          <w:sz w:val="20"/>
          <w:szCs w:val="20"/>
          <w:lang w:val="es-ES"/>
        </w:rPr>
        <w:t>.</w:t>
      </w:r>
    </w:p>
    <w:p w:rsidR="00DF0438" w:rsidRPr="006A3CA4" w:rsidRDefault="00DF0438" w:rsidP="00DF0438">
      <w:pPr>
        <w:pStyle w:val="ListParagraph"/>
        <w:ind w:left="0"/>
        <w:jc w:val="both"/>
        <w:rPr>
          <w:rFonts w:ascii="Arial" w:hAnsi="Arial" w:cs="Arial"/>
          <w:sz w:val="20"/>
          <w:szCs w:val="20"/>
          <w:lang w:val="es-ES_tradnl"/>
        </w:rPr>
      </w:pPr>
    </w:p>
    <w:p w:rsidR="00983325" w:rsidRPr="006A3CA4" w:rsidRDefault="00983325" w:rsidP="00DF0438">
      <w:pPr>
        <w:rPr>
          <w:lang w:val="es-ES_tradnl"/>
        </w:rPr>
      </w:pPr>
    </w:p>
    <w:p w:rsidR="00983325" w:rsidRDefault="00983325" w:rsidP="00DF0438">
      <w:r w:rsidRPr="009B4A78">
        <w:rPr>
          <w:noProof/>
          <w:lang w:val="en-US" w:eastAsia="en-US"/>
        </w:rPr>
        <w:drawing>
          <wp:inline distT="0" distB="0" distL="0" distR="0" wp14:anchorId="421364EB" wp14:editId="7D136E0C">
            <wp:extent cx="5937663" cy="1935678"/>
            <wp:effectExtent l="57150" t="19050" r="63500" b="7620"/>
            <wp:docPr id="971" name="Diagram 97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inline>
        </w:drawing>
      </w:r>
    </w:p>
    <w:p w:rsidR="00983325" w:rsidRPr="0020084B" w:rsidRDefault="00983325" w:rsidP="00DF0438"/>
    <w:p w:rsidR="00DF0438" w:rsidRPr="0020084B" w:rsidRDefault="00DF0438" w:rsidP="00DF0438">
      <w:pPr>
        <w:keepNext/>
      </w:pPr>
      <w:r w:rsidRPr="0020084B">
        <w:lastRenderedPageBreak/>
        <w:t>PRINCIPALES RIESGOS Y ESTRATEGIAS DE MITIGACIÓN</w:t>
      </w:r>
    </w:p>
    <w:p w:rsidR="00DF0438" w:rsidRPr="0020084B" w:rsidRDefault="00DF0438" w:rsidP="00DF0438">
      <w:pPr>
        <w:keepNext/>
        <w:rPr>
          <w:rFonts w:eastAsia="Times New Roman"/>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03"/>
      </w:tblGrid>
      <w:tr w:rsidR="00DF0438" w:rsidRPr="0020084B" w:rsidTr="001E701B">
        <w:trPr>
          <w:trHeight w:val="577"/>
        </w:trPr>
        <w:tc>
          <w:tcPr>
            <w:tcW w:w="4253" w:type="dxa"/>
            <w:tcBorders>
              <w:top w:val="single" w:sz="4" w:space="0" w:color="auto"/>
              <w:bottom w:val="single" w:sz="4" w:space="0" w:color="auto"/>
            </w:tcBorders>
            <w:shd w:val="clear" w:color="auto" w:fill="C6D9F1"/>
            <w:vAlign w:val="center"/>
          </w:tcPr>
          <w:p w:rsidR="00DF0438" w:rsidRPr="0020084B" w:rsidRDefault="00DF0438" w:rsidP="001E701B">
            <w:pPr>
              <w:keepNext/>
              <w:jc w:val="center"/>
              <w:rPr>
                <w:rFonts w:eastAsia="Times New Roman"/>
                <w:b/>
                <w:bCs/>
                <w:sz w:val="18"/>
                <w:szCs w:val="18"/>
              </w:rPr>
            </w:pPr>
            <w:r w:rsidRPr="0020084B">
              <w:rPr>
                <w:rFonts w:eastAsia="Times New Roman"/>
                <w:b/>
                <w:bCs/>
                <w:sz w:val="18"/>
                <w:szCs w:val="18"/>
              </w:rPr>
              <w:t>Riesgo</w:t>
            </w:r>
          </w:p>
        </w:tc>
        <w:tc>
          <w:tcPr>
            <w:tcW w:w="5103" w:type="dxa"/>
            <w:tcBorders>
              <w:top w:val="single" w:sz="4" w:space="0" w:color="auto"/>
              <w:bottom w:val="single" w:sz="4" w:space="0" w:color="auto"/>
            </w:tcBorders>
            <w:shd w:val="clear" w:color="auto" w:fill="C6D9F1"/>
            <w:vAlign w:val="center"/>
          </w:tcPr>
          <w:p w:rsidR="00DF0438" w:rsidRPr="0020084B" w:rsidRDefault="00DF0438" w:rsidP="001E701B">
            <w:pPr>
              <w:keepNext/>
              <w:jc w:val="center"/>
              <w:rPr>
                <w:rFonts w:eastAsia="Times New Roman"/>
                <w:b/>
                <w:bCs/>
                <w:sz w:val="18"/>
                <w:szCs w:val="18"/>
              </w:rPr>
            </w:pPr>
            <w:r w:rsidRPr="0020084B">
              <w:rPr>
                <w:rFonts w:eastAsia="Times New Roman"/>
                <w:b/>
                <w:bCs/>
                <w:sz w:val="18"/>
                <w:szCs w:val="18"/>
              </w:rPr>
              <w:t>Mitigación</w:t>
            </w:r>
          </w:p>
        </w:tc>
      </w:tr>
      <w:tr w:rsidR="00DF0438" w:rsidRPr="0020084B" w:rsidTr="00E02444">
        <w:trPr>
          <w:trHeight w:val="61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DF0438" w:rsidRPr="0020084B" w:rsidRDefault="00DF0438" w:rsidP="00E02444">
            <w:pPr>
              <w:keepNext/>
              <w:rPr>
                <w:rFonts w:ascii="Times New Roman" w:eastAsia="Times New Roman" w:hAnsi="Times New Roman" w:cs="Times New Roman"/>
                <w:sz w:val="16"/>
                <w:szCs w:val="16"/>
              </w:rPr>
            </w:pPr>
            <w:r w:rsidRPr="0020084B">
              <w:rPr>
                <w:rFonts w:eastAsia="Times New Roman"/>
                <w:sz w:val="16"/>
                <w:szCs w:val="16"/>
              </w:rPr>
              <w:t>La disminución de las contribuciones financieras de las instituciones asociadas puede repercutir en la realización de los programas de formación y en la elaboración de nuevos programas de formación.</w:t>
            </w:r>
          </w:p>
        </w:tc>
        <w:tc>
          <w:tcPr>
            <w:tcW w:w="5103" w:type="dxa"/>
            <w:tcBorders>
              <w:top w:val="single" w:sz="4" w:space="0" w:color="auto"/>
              <w:left w:val="nil"/>
              <w:bottom w:val="nil"/>
              <w:right w:val="single" w:sz="4" w:space="0" w:color="auto"/>
            </w:tcBorders>
            <w:shd w:val="clear" w:color="auto" w:fill="auto"/>
            <w:tcMar>
              <w:top w:w="113" w:type="dxa"/>
              <w:bottom w:w="113" w:type="dxa"/>
            </w:tcMar>
          </w:tcPr>
          <w:p w:rsidR="00DF0438" w:rsidRPr="0020084B" w:rsidRDefault="00DF0438" w:rsidP="00E02444">
            <w:pPr>
              <w:keepNext/>
              <w:rPr>
                <w:rFonts w:ascii="Times New Roman" w:eastAsia="Times New Roman" w:hAnsi="Times New Roman" w:cs="Times New Roman"/>
                <w:sz w:val="16"/>
                <w:szCs w:val="16"/>
              </w:rPr>
            </w:pPr>
            <w:r w:rsidRPr="0020084B">
              <w:rPr>
                <w:rFonts w:eastAsia="Times New Roman"/>
                <w:sz w:val="16"/>
                <w:szCs w:val="16"/>
              </w:rPr>
              <w:t>Diálogo permanente con las instituciones asociadas y con instituciones que podrían llegar a ser asociadas.</w:t>
            </w:r>
          </w:p>
        </w:tc>
      </w:tr>
      <w:tr w:rsidR="00DF0438" w:rsidRPr="0020084B" w:rsidTr="00E02444">
        <w:trPr>
          <w:trHeight w:val="330"/>
        </w:trPr>
        <w:tc>
          <w:tcPr>
            <w:tcW w:w="4253" w:type="dxa"/>
            <w:tcBorders>
              <w:top w:val="nil"/>
              <w:left w:val="single" w:sz="4" w:space="0" w:color="auto"/>
              <w:bottom w:val="nil"/>
              <w:right w:val="nil"/>
            </w:tcBorders>
            <w:shd w:val="clear" w:color="auto" w:fill="auto"/>
            <w:tcMar>
              <w:top w:w="113" w:type="dxa"/>
              <w:bottom w:w="113" w:type="dxa"/>
            </w:tcMar>
          </w:tcPr>
          <w:p w:rsidR="00DF0438" w:rsidRPr="0020084B" w:rsidRDefault="00DF0438" w:rsidP="00E02444">
            <w:pPr>
              <w:keepNext/>
              <w:rPr>
                <w:rFonts w:eastAsia="Times New Roman"/>
                <w:sz w:val="16"/>
                <w:szCs w:val="16"/>
              </w:rPr>
            </w:pPr>
            <w:r w:rsidRPr="0020084B">
              <w:rPr>
                <w:rFonts w:eastAsia="Times New Roman"/>
                <w:sz w:val="16"/>
                <w:szCs w:val="16"/>
              </w:rPr>
              <w:t xml:space="preserve">En un entorno tecnológico y de P.I. que cambia con gran rapidez, las expectativas y preferencias de los usuarios también evolucionan rápidamente.  La interfaz de contenido, la presentación gráfica y la plataforma informática de los cursos de enseñanza a distancia podrían quedar </w:t>
            </w:r>
            <w:r w:rsidR="001E701B" w:rsidRPr="0020084B">
              <w:rPr>
                <w:rFonts w:eastAsia="Times New Roman"/>
                <w:sz w:val="16"/>
                <w:szCs w:val="16"/>
              </w:rPr>
              <w:t>obsoletas</w:t>
            </w:r>
            <w:r w:rsidRPr="0020084B">
              <w:rPr>
                <w:rFonts w:eastAsia="Times New Roman"/>
                <w:sz w:val="16"/>
                <w:szCs w:val="16"/>
              </w:rPr>
              <w:t>.</w:t>
            </w:r>
          </w:p>
        </w:tc>
        <w:tc>
          <w:tcPr>
            <w:tcW w:w="5103" w:type="dxa"/>
            <w:tcBorders>
              <w:top w:val="nil"/>
              <w:left w:val="nil"/>
              <w:bottom w:val="nil"/>
              <w:right w:val="single" w:sz="4" w:space="0" w:color="auto"/>
            </w:tcBorders>
            <w:shd w:val="clear" w:color="auto" w:fill="auto"/>
            <w:tcMar>
              <w:top w:w="113" w:type="dxa"/>
              <w:bottom w:w="113" w:type="dxa"/>
            </w:tcMar>
          </w:tcPr>
          <w:p w:rsidR="00DF0438" w:rsidRPr="0020084B" w:rsidRDefault="00DF0438" w:rsidP="00E02444">
            <w:pPr>
              <w:keepNext/>
              <w:rPr>
                <w:rFonts w:ascii="Times New Roman" w:eastAsia="Times New Roman" w:hAnsi="Times New Roman" w:cs="Times New Roman"/>
                <w:sz w:val="16"/>
                <w:szCs w:val="16"/>
              </w:rPr>
            </w:pPr>
            <w:r w:rsidRPr="0020084B">
              <w:rPr>
                <w:rFonts w:eastAsia="Times New Roman"/>
                <w:sz w:val="16"/>
                <w:szCs w:val="16"/>
              </w:rPr>
              <w:t>Encuestas de satisfacción de estudiantes y tutores de los cursos de enseñanza a distancia.  Contratación de expertos para examinar los cursos y modernizar las plataformas.</w:t>
            </w:r>
          </w:p>
        </w:tc>
      </w:tr>
      <w:tr w:rsidR="00DF0438" w:rsidRPr="0020084B" w:rsidTr="00E02444">
        <w:trPr>
          <w:trHeight w:val="466"/>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DF0438" w:rsidRPr="0020084B" w:rsidRDefault="00DF0438" w:rsidP="00E02444">
            <w:pPr>
              <w:keepNext/>
              <w:rPr>
                <w:rFonts w:eastAsia="Times New Roman"/>
                <w:sz w:val="16"/>
                <w:szCs w:val="16"/>
              </w:rPr>
            </w:pPr>
            <w:r w:rsidRPr="0020084B">
              <w:rPr>
                <w:rFonts w:eastAsia="Times New Roman"/>
                <w:sz w:val="16"/>
                <w:szCs w:val="16"/>
              </w:rPr>
              <w:t>El contenido sobre P.I. de los cursos de formación de la Academia podría dejar de corresponderse con los retos y los cambios mundiales que empiezan a perfilarse en el sistema de P.I.</w:t>
            </w:r>
          </w:p>
        </w:tc>
        <w:tc>
          <w:tcPr>
            <w:tcW w:w="5103" w:type="dxa"/>
            <w:tcBorders>
              <w:top w:val="nil"/>
              <w:left w:val="nil"/>
              <w:bottom w:val="single" w:sz="4" w:space="0" w:color="auto"/>
              <w:right w:val="single" w:sz="4" w:space="0" w:color="auto"/>
            </w:tcBorders>
            <w:shd w:val="clear" w:color="auto" w:fill="auto"/>
            <w:tcMar>
              <w:top w:w="113" w:type="dxa"/>
              <w:bottom w:w="113" w:type="dxa"/>
            </w:tcMar>
          </w:tcPr>
          <w:p w:rsidR="00DF0438" w:rsidRPr="0020084B" w:rsidRDefault="00DF0438" w:rsidP="00E02444">
            <w:pPr>
              <w:keepNext/>
              <w:rPr>
                <w:rFonts w:ascii="Times New Roman" w:eastAsia="Times New Roman" w:hAnsi="Times New Roman" w:cs="Times New Roman"/>
                <w:sz w:val="16"/>
                <w:szCs w:val="16"/>
              </w:rPr>
            </w:pPr>
            <w:r w:rsidRPr="0020084B">
              <w:rPr>
                <w:rFonts w:eastAsia="Times New Roman"/>
                <w:sz w:val="16"/>
                <w:szCs w:val="16"/>
              </w:rPr>
              <w:t>Evaluación y observaciones continuas de todas las partes interesadas en los Estados miembros y asociados, participantes, tutores y expertos que contribuyen a las actividades de la Academia de la OMPI</w:t>
            </w:r>
          </w:p>
        </w:tc>
      </w:tr>
    </w:tbl>
    <w:p w:rsidR="00DF0438" w:rsidRPr="0020084B" w:rsidRDefault="00DF0438" w:rsidP="00DF0438">
      <w:pPr>
        <w:keepNext/>
        <w:rPr>
          <w:rFonts w:eastAsia="Times New Roman"/>
        </w:rPr>
      </w:pPr>
    </w:p>
    <w:p w:rsidR="00DF0438" w:rsidRPr="0020084B" w:rsidRDefault="00DF0438" w:rsidP="00DF0438">
      <w:pPr>
        <w:rPr>
          <w:rFonts w:eastAsia="Times New Roman"/>
        </w:rPr>
      </w:pPr>
    </w:p>
    <w:p w:rsidR="00DF0438" w:rsidRPr="0020084B" w:rsidRDefault="00DF0438" w:rsidP="00DF0438">
      <w:pPr>
        <w:keepNext/>
        <w:keepLines/>
        <w:rPr>
          <w:rFonts w:eastAsia="Times New Roman"/>
        </w:rPr>
      </w:pPr>
      <w:r w:rsidRPr="0020084B">
        <w:t>MARCO DE RESULTADOS</w:t>
      </w:r>
    </w:p>
    <w:p w:rsidR="00DF0438" w:rsidRPr="0020084B" w:rsidRDefault="00DF0438" w:rsidP="00DF0438">
      <w:pPr>
        <w:keepNext/>
        <w:keepLines/>
        <w:rPr>
          <w:rFonts w:eastAsia="Times New Roman"/>
        </w:rPr>
      </w:pPr>
    </w:p>
    <w:tbl>
      <w:tblPr>
        <w:tblW w:w="9600" w:type="dxa"/>
        <w:tblInd w:w="93" w:type="dxa"/>
        <w:tblLook w:val="04A0" w:firstRow="1" w:lastRow="0" w:firstColumn="1" w:lastColumn="0" w:noHBand="0" w:noVBand="1"/>
      </w:tblPr>
      <w:tblGrid>
        <w:gridCol w:w="2600"/>
        <w:gridCol w:w="2440"/>
        <w:gridCol w:w="2340"/>
        <w:gridCol w:w="2220"/>
      </w:tblGrid>
      <w:tr w:rsidR="00DF0438" w:rsidRPr="0020084B" w:rsidTr="001E701B">
        <w:trPr>
          <w:trHeight w:val="570"/>
        </w:trPr>
        <w:tc>
          <w:tcPr>
            <w:tcW w:w="2600" w:type="dxa"/>
            <w:tcBorders>
              <w:top w:val="single" w:sz="4" w:space="0" w:color="auto"/>
              <w:left w:val="single" w:sz="4" w:space="0" w:color="auto"/>
              <w:bottom w:val="single" w:sz="4" w:space="0" w:color="auto"/>
              <w:right w:val="nil"/>
            </w:tcBorders>
            <w:shd w:val="clear" w:color="auto" w:fill="C6D9F1"/>
            <w:noWrap/>
            <w:vAlign w:val="center"/>
            <w:hideMark/>
          </w:tcPr>
          <w:p w:rsidR="00DF0438" w:rsidRPr="0020084B" w:rsidRDefault="00DF0438" w:rsidP="00E02444">
            <w:pPr>
              <w:keepNext/>
              <w:keepLines/>
              <w:rPr>
                <w:rFonts w:eastAsia="Times New Roman"/>
                <w:b/>
                <w:bCs/>
                <w:sz w:val="18"/>
                <w:szCs w:val="18"/>
              </w:rPr>
            </w:pPr>
            <w:r w:rsidRPr="0020084B">
              <w:rPr>
                <w:rFonts w:eastAsia="Times New Roman"/>
                <w:b/>
                <w:bCs/>
                <w:sz w:val="18"/>
                <w:szCs w:val="18"/>
              </w:rPr>
              <w:t>Resultados previstos</w:t>
            </w:r>
          </w:p>
        </w:tc>
        <w:tc>
          <w:tcPr>
            <w:tcW w:w="2440" w:type="dxa"/>
            <w:tcBorders>
              <w:top w:val="single" w:sz="4" w:space="0" w:color="auto"/>
              <w:left w:val="nil"/>
              <w:bottom w:val="single" w:sz="4" w:space="0" w:color="auto"/>
              <w:right w:val="nil"/>
            </w:tcBorders>
            <w:shd w:val="clear" w:color="auto" w:fill="C6D9F1"/>
            <w:noWrap/>
            <w:vAlign w:val="center"/>
            <w:hideMark/>
          </w:tcPr>
          <w:p w:rsidR="00DF0438" w:rsidRPr="0020084B" w:rsidRDefault="00DF0438" w:rsidP="00E02444">
            <w:pPr>
              <w:keepNext/>
              <w:keepLines/>
              <w:jc w:val="center"/>
              <w:rPr>
                <w:rFonts w:eastAsia="Times New Roman"/>
                <w:b/>
                <w:bCs/>
                <w:sz w:val="18"/>
                <w:szCs w:val="18"/>
              </w:rPr>
            </w:pPr>
            <w:r w:rsidRPr="0020084B">
              <w:rPr>
                <w:rFonts w:eastAsia="Times New Roman"/>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noWrap/>
            <w:vAlign w:val="center"/>
            <w:hideMark/>
          </w:tcPr>
          <w:p w:rsidR="00DF0438" w:rsidRPr="0020084B" w:rsidRDefault="00DF0438" w:rsidP="00E02444">
            <w:pPr>
              <w:keepNext/>
              <w:keepLines/>
              <w:jc w:val="center"/>
              <w:rPr>
                <w:rFonts w:eastAsia="Times New Roman"/>
                <w:b/>
                <w:bCs/>
                <w:sz w:val="18"/>
                <w:szCs w:val="18"/>
              </w:rPr>
            </w:pPr>
            <w:r w:rsidRPr="0020084B">
              <w:rPr>
                <w:rFonts w:eastAsia="Times New Roman"/>
                <w:b/>
                <w:bCs/>
                <w:sz w:val="18"/>
                <w:szCs w:val="18"/>
              </w:rPr>
              <w:t>Referencia</w:t>
            </w:r>
          </w:p>
        </w:tc>
        <w:tc>
          <w:tcPr>
            <w:tcW w:w="2220" w:type="dxa"/>
            <w:tcBorders>
              <w:top w:val="single" w:sz="4" w:space="0" w:color="auto"/>
              <w:left w:val="nil"/>
              <w:bottom w:val="single" w:sz="4" w:space="0" w:color="auto"/>
              <w:right w:val="single" w:sz="4" w:space="0" w:color="auto"/>
            </w:tcBorders>
            <w:shd w:val="clear" w:color="auto" w:fill="C6D9F1"/>
            <w:noWrap/>
            <w:vAlign w:val="center"/>
            <w:hideMark/>
          </w:tcPr>
          <w:p w:rsidR="00DF0438" w:rsidRPr="0020084B" w:rsidRDefault="00DF0438" w:rsidP="00E02444">
            <w:pPr>
              <w:keepNext/>
              <w:keepLines/>
              <w:jc w:val="center"/>
              <w:rPr>
                <w:rFonts w:eastAsia="Times New Roman"/>
                <w:b/>
                <w:bCs/>
                <w:sz w:val="18"/>
                <w:szCs w:val="18"/>
              </w:rPr>
            </w:pPr>
            <w:r w:rsidRPr="0020084B">
              <w:rPr>
                <w:rFonts w:eastAsia="Times New Roman"/>
                <w:b/>
                <w:bCs/>
                <w:sz w:val="18"/>
                <w:szCs w:val="18"/>
              </w:rPr>
              <w:t>Objetivos</w:t>
            </w:r>
          </w:p>
        </w:tc>
      </w:tr>
      <w:tr w:rsidR="00DF0438" w:rsidRPr="0020084B" w:rsidTr="00E02444">
        <w:trPr>
          <w:trHeight w:val="1529"/>
        </w:trPr>
        <w:tc>
          <w:tcPr>
            <w:tcW w:w="2600" w:type="dxa"/>
            <w:tcBorders>
              <w:top w:val="nil"/>
              <w:left w:val="single" w:sz="4" w:space="0" w:color="auto"/>
              <w:bottom w:val="nil"/>
              <w:right w:val="nil"/>
            </w:tcBorders>
            <w:shd w:val="clear" w:color="000000" w:fill="FFFFFF"/>
            <w:hideMark/>
          </w:tcPr>
          <w:p w:rsidR="00DF0438" w:rsidRPr="0020084B" w:rsidRDefault="00DF0438" w:rsidP="00E02444">
            <w:pPr>
              <w:keepNext/>
              <w:keepLines/>
              <w:rPr>
                <w:rFonts w:eastAsia="Times New Roman"/>
                <w:sz w:val="16"/>
                <w:szCs w:val="16"/>
              </w:rPr>
            </w:pPr>
            <w:r w:rsidRPr="0020084B">
              <w:rPr>
                <w:rFonts w:eastAsia="Times New Roman"/>
                <w:sz w:val="16"/>
                <w:szCs w:val="16"/>
              </w:rPr>
              <w:br/>
              <w:t xml:space="preserve">III.2. </w:t>
            </w:r>
            <w:r w:rsidR="001C77D9">
              <w:rPr>
                <w:rFonts w:eastAsia="Times New Roman"/>
                <w:sz w:val="16"/>
                <w:szCs w:val="16"/>
              </w:rPr>
              <w:t xml:space="preserve"> </w:t>
            </w:r>
            <w:r w:rsidR="006C23D5" w:rsidRPr="00B40BEB">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440" w:type="dxa"/>
            <w:tcBorders>
              <w:top w:val="nil"/>
              <w:left w:val="nil"/>
              <w:bottom w:val="nil"/>
              <w:right w:val="nil"/>
            </w:tcBorders>
            <w:shd w:val="clear" w:color="000000" w:fill="FFFFFF"/>
            <w:hideMark/>
          </w:tcPr>
          <w:p w:rsidR="00DF0438" w:rsidRPr="0020084B" w:rsidRDefault="00DF0438" w:rsidP="00E02444">
            <w:pPr>
              <w:keepNext/>
              <w:keepLines/>
              <w:ind w:left="284" w:firstLineChars="22" w:firstLine="35"/>
              <w:rPr>
                <w:rFonts w:eastAsia="Times New Roman"/>
                <w:sz w:val="16"/>
                <w:szCs w:val="16"/>
              </w:rPr>
            </w:pPr>
            <w:r w:rsidRPr="0020084B">
              <w:rPr>
                <w:rFonts w:eastAsia="Times New Roman"/>
                <w:sz w:val="16"/>
                <w:szCs w:val="16"/>
              </w:rPr>
              <w:br/>
              <w:t xml:space="preserve">% de estudiantes y supervisores satisfechos con los programas de formación, sobre la base de evaluaciones de las necesidades de formación. </w:t>
            </w:r>
          </w:p>
        </w:tc>
        <w:tc>
          <w:tcPr>
            <w:tcW w:w="2340" w:type="dxa"/>
            <w:tcBorders>
              <w:top w:val="nil"/>
              <w:left w:val="nil"/>
              <w:bottom w:val="nil"/>
              <w:right w:val="nil"/>
            </w:tcBorders>
            <w:shd w:val="clear" w:color="000000" w:fill="FFFFFF"/>
            <w:hideMark/>
          </w:tcPr>
          <w:p w:rsidR="00DF0438" w:rsidRPr="0020084B" w:rsidRDefault="00DF0438" w:rsidP="00E02444">
            <w:pPr>
              <w:keepNext/>
              <w:keepLines/>
              <w:ind w:left="254" w:firstLineChars="41" w:firstLine="66"/>
              <w:rPr>
                <w:rFonts w:eastAsia="Times New Roman"/>
                <w:sz w:val="16"/>
                <w:szCs w:val="16"/>
              </w:rPr>
            </w:pPr>
            <w:r w:rsidRPr="0020084B">
              <w:rPr>
                <w:rFonts w:eastAsia="Times New Roman"/>
                <w:sz w:val="16"/>
                <w:szCs w:val="16"/>
              </w:rPr>
              <w:br/>
              <w:t>No se dispone de datos.</w:t>
            </w:r>
          </w:p>
        </w:tc>
        <w:tc>
          <w:tcPr>
            <w:tcW w:w="2220" w:type="dxa"/>
            <w:tcBorders>
              <w:top w:val="nil"/>
              <w:left w:val="nil"/>
              <w:bottom w:val="nil"/>
              <w:right w:val="single" w:sz="4" w:space="0" w:color="auto"/>
            </w:tcBorders>
            <w:shd w:val="clear" w:color="000000" w:fill="FFFFFF"/>
            <w:hideMark/>
          </w:tcPr>
          <w:p w:rsidR="00DF0438" w:rsidRPr="0020084B" w:rsidRDefault="00DF0438" w:rsidP="00E02444">
            <w:pPr>
              <w:ind w:leftChars="146" w:left="321" w:firstLine="1"/>
              <w:rPr>
                <w:rFonts w:eastAsia="Times New Roman"/>
                <w:sz w:val="16"/>
                <w:szCs w:val="16"/>
              </w:rPr>
            </w:pPr>
            <w:r w:rsidRPr="0020084B">
              <w:rPr>
                <w:rFonts w:eastAsia="Times New Roman"/>
                <w:sz w:val="16"/>
                <w:szCs w:val="16"/>
              </w:rPr>
              <w:br/>
              <w:t>70% de los encuestados.</w:t>
            </w:r>
          </w:p>
        </w:tc>
      </w:tr>
      <w:tr w:rsidR="00DF0438" w:rsidRPr="0020084B" w:rsidTr="00E02444">
        <w:trPr>
          <w:trHeight w:val="720"/>
        </w:trPr>
        <w:tc>
          <w:tcPr>
            <w:tcW w:w="2600" w:type="dxa"/>
            <w:tcBorders>
              <w:top w:val="nil"/>
              <w:left w:val="single" w:sz="4" w:space="0" w:color="auto"/>
              <w:bottom w:val="nil"/>
              <w:right w:val="nil"/>
            </w:tcBorders>
            <w:shd w:val="clear" w:color="000000" w:fill="FFFFFF"/>
            <w:hideMark/>
          </w:tcPr>
          <w:p w:rsidR="00DF0438" w:rsidRPr="0020084B" w:rsidRDefault="00DF0438" w:rsidP="00E02444">
            <w:pPr>
              <w:rPr>
                <w:rFonts w:eastAsia="Times New Roman"/>
                <w:sz w:val="16"/>
                <w:szCs w:val="16"/>
              </w:rPr>
            </w:pPr>
            <w:r w:rsidRPr="0020084B">
              <w:rPr>
                <w:rFonts w:eastAsia="Times New Roman"/>
                <w:sz w:val="16"/>
                <w:szCs w:val="16"/>
              </w:rPr>
              <w:t> </w:t>
            </w:r>
          </w:p>
        </w:tc>
        <w:tc>
          <w:tcPr>
            <w:tcW w:w="2440" w:type="dxa"/>
            <w:tcBorders>
              <w:top w:val="nil"/>
              <w:left w:val="nil"/>
              <w:bottom w:val="nil"/>
              <w:right w:val="nil"/>
            </w:tcBorders>
            <w:shd w:val="clear" w:color="000000" w:fill="FFFFFF"/>
            <w:hideMark/>
          </w:tcPr>
          <w:p w:rsidR="00DF0438" w:rsidRPr="0020084B" w:rsidRDefault="00DF0438" w:rsidP="00E02444">
            <w:pPr>
              <w:pStyle w:val="CommentText"/>
              <w:ind w:left="277"/>
              <w:rPr>
                <w:rFonts w:eastAsia="Times New Roman"/>
                <w:sz w:val="16"/>
                <w:szCs w:val="16"/>
              </w:rPr>
            </w:pPr>
            <w:r w:rsidRPr="0020084B">
              <w:rPr>
                <w:rFonts w:eastAsia="Times New Roman"/>
                <w:sz w:val="16"/>
                <w:szCs w:val="16"/>
              </w:rPr>
              <w:t>% de participantes con mejores conocimientos y aptitudes en varios campos de la P.I.</w:t>
            </w:r>
          </w:p>
          <w:p w:rsidR="00DF0438" w:rsidRPr="0020084B" w:rsidRDefault="00DF0438" w:rsidP="00E02444">
            <w:pPr>
              <w:pStyle w:val="CommentText"/>
              <w:ind w:left="277"/>
              <w:rPr>
                <w:rFonts w:eastAsia="Times New Roman"/>
                <w:sz w:val="16"/>
                <w:szCs w:val="16"/>
              </w:rPr>
            </w:pPr>
            <w:r w:rsidRPr="0020084B">
              <w:rPr>
                <w:rFonts w:eastAsia="Times New Roman"/>
                <w:sz w:val="16"/>
                <w:szCs w:val="16"/>
              </w:rPr>
              <w:t xml:space="preserve"> </w:t>
            </w:r>
          </w:p>
        </w:tc>
        <w:tc>
          <w:tcPr>
            <w:tcW w:w="2340" w:type="dxa"/>
            <w:tcBorders>
              <w:top w:val="nil"/>
              <w:left w:val="nil"/>
              <w:bottom w:val="nil"/>
              <w:right w:val="nil"/>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No se dispone de datos.</w:t>
            </w:r>
          </w:p>
        </w:tc>
        <w:tc>
          <w:tcPr>
            <w:tcW w:w="2220" w:type="dxa"/>
            <w:tcBorders>
              <w:top w:val="nil"/>
              <w:left w:val="nil"/>
              <w:bottom w:val="nil"/>
              <w:right w:val="single" w:sz="4" w:space="0" w:color="auto"/>
            </w:tcBorders>
            <w:shd w:val="clear" w:color="000000" w:fill="FFFFFF"/>
            <w:hideMark/>
          </w:tcPr>
          <w:p w:rsidR="00DF0438" w:rsidRPr="0020084B" w:rsidRDefault="00DF0438" w:rsidP="00E02444">
            <w:pPr>
              <w:ind w:leftChars="146" w:left="321" w:firstLine="1"/>
              <w:rPr>
                <w:rFonts w:eastAsia="Times New Roman"/>
                <w:sz w:val="16"/>
                <w:szCs w:val="16"/>
              </w:rPr>
            </w:pPr>
            <w:r w:rsidRPr="0020084B">
              <w:rPr>
                <w:rFonts w:eastAsia="Times New Roman"/>
                <w:sz w:val="16"/>
                <w:szCs w:val="16"/>
              </w:rPr>
              <w:t>60% de los encuestados.</w:t>
            </w:r>
          </w:p>
        </w:tc>
      </w:tr>
      <w:tr w:rsidR="00DF0438" w:rsidRPr="0020084B" w:rsidTr="00E02444">
        <w:trPr>
          <w:trHeight w:val="1071"/>
        </w:trPr>
        <w:tc>
          <w:tcPr>
            <w:tcW w:w="2600" w:type="dxa"/>
            <w:tcBorders>
              <w:top w:val="nil"/>
              <w:left w:val="single" w:sz="4" w:space="0" w:color="auto"/>
              <w:bottom w:val="nil"/>
              <w:right w:val="nil"/>
            </w:tcBorders>
            <w:shd w:val="clear" w:color="000000" w:fill="FFFFFF"/>
            <w:hideMark/>
          </w:tcPr>
          <w:p w:rsidR="00DF0438" w:rsidRPr="0020084B" w:rsidRDefault="00DF0438" w:rsidP="00E02444">
            <w:pPr>
              <w:rPr>
                <w:rFonts w:eastAsia="Times New Roman"/>
                <w:sz w:val="16"/>
                <w:szCs w:val="16"/>
              </w:rPr>
            </w:pPr>
            <w:r w:rsidRPr="0020084B">
              <w:rPr>
                <w:rFonts w:eastAsia="Times New Roman"/>
                <w:sz w:val="16"/>
                <w:szCs w:val="16"/>
              </w:rPr>
              <w:t> </w:t>
            </w:r>
          </w:p>
        </w:tc>
        <w:tc>
          <w:tcPr>
            <w:tcW w:w="2440" w:type="dxa"/>
            <w:tcBorders>
              <w:top w:val="nil"/>
              <w:left w:val="nil"/>
              <w:bottom w:val="nil"/>
              <w:right w:val="nil"/>
            </w:tcBorders>
            <w:shd w:val="clear" w:color="000000" w:fill="FFFFFF"/>
            <w:hideMark/>
          </w:tcPr>
          <w:p w:rsidR="00DF0438" w:rsidRPr="0020084B" w:rsidRDefault="00DF0438" w:rsidP="001E701B">
            <w:pPr>
              <w:ind w:left="284"/>
              <w:rPr>
                <w:rFonts w:eastAsia="Times New Roman"/>
                <w:sz w:val="16"/>
                <w:szCs w:val="16"/>
              </w:rPr>
            </w:pPr>
            <w:r w:rsidRPr="0020084B">
              <w:rPr>
                <w:rFonts w:eastAsia="Times New Roman"/>
                <w:sz w:val="16"/>
                <w:szCs w:val="16"/>
              </w:rPr>
              <w:t>N</w:t>
            </w:r>
            <w:r w:rsidR="001E701B">
              <w:rPr>
                <w:rFonts w:eastAsia="Times New Roman"/>
                <w:sz w:val="16"/>
                <w:szCs w:val="16"/>
              </w:rPr>
              <w:t>º</w:t>
            </w:r>
            <w:r w:rsidRPr="0020084B">
              <w:rPr>
                <w:rFonts w:eastAsia="Times New Roman"/>
                <w:sz w:val="16"/>
                <w:szCs w:val="16"/>
              </w:rPr>
              <w:t xml:space="preserve"> de acuerdos de cooperación y asociación concertados en sintonía con las nuevas metas de la Academia</w:t>
            </w:r>
          </w:p>
        </w:tc>
        <w:tc>
          <w:tcPr>
            <w:tcW w:w="2340" w:type="dxa"/>
            <w:tcBorders>
              <w:top w:val="nil"/>
              <w:left w:val="nil"/>
              <w:bottom w:val="nil"/>
              <w:right w:val="nil"/>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No se dispone de datos.</w:t>
            </w:r>
          </w:p>
        </w:tc>
        <w:tc>
          <w:tcPr>
            <w:tcW w:w="2220" w:type="dxa"/>
            <w:tcBorders>
              <w:top w:val="nil"/>
              <w:left w:val="nil"/>
              <w:bottom w:val="nil"/>
              <w:right w:val="single" w:sz="4" w:space="0" w:color="auto"/>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5</w:t>
            </w:r>
          </w:p>
        </w:tc>
      </w:tr>
      <w:tr w:rsidR="00DF0438" w:rsidRPr="0020084B" w:rsidTr="00E02444">
        <w:trPr>
          <w:trHeight w:val="900"/>
        </w:trPr>
        <w:tc>
          <w:tcPr>
            <w:tcW w:w="2600" w:type="dxa"/>
            <w:tcBorders>
              <w:top w:val="nil"/>
              <w:left w:val="single" w:sz="4" w:space="0" w:color="auto"/>
              <w:bottom w:val="nil"/>
              <w:right w:val="nil"/>
            </w:tcBorders>
            <w:shd w:val="clear" w:color="000000" w:fill="FFFFFF"/>
            <w:hideMark/>
          </w:tcPr>
          <w:p w:rsidR="00DF0438" w:rsidRPr="0020084B" w:rsidRDefault="00DF0438" w:rsidP="00E02444">
            <w:pPr>
              <w:rPr>
                <w:rFonts w:eastAsia="Times New Roman"/>
                <w:sz w:val="16"/>
                <w:szCs w:val="16"/>
              </w:rPr>
            </w:pPr>
            <w:r w:rsidRPr="0020084B">
              <w:rPr>
                <w:rFonts w:eastAsia="Times New Roman"/>
                <w:sz w:val="16"/>
                <w:szCs w:val="16"/>
              </w:rPr>
              <w:t> </w:t>
            </w:r>
          </w:p>
        </w:tc>
        <w:tc>
          <w:tcPr>
            <w:tcW w:w="2440" w:type="dxa"/>
            <w:tcBorders>
              <w:top w:val="nil"/>
              <w:left w:val="nil"/>
              <w:bottom w:val="nil"/>
              <w:right w:val="nil"/>
            </w:tcBorders>
            <w:shd w:val="clear" w:color="000000" w:fill="FFFFFF"/>
            <w:hideMark/>
          </w:tcPr>
          <w:p w:rsidR="00DF0438" w:rsidRPr="0020084B" w:rsidRDefault="00DF0438" w:rsidP="001E701B">
            <w:pPr>
              <w:ind w:left="284"/>
              <w:rPr>
                <w:rFonts w:eastAsia="Times New Roman"/>
                <w:sz w:val="16"/>
                <w:szCs w:val="16"/>
              </w:rPr>
            </w:pPr>
            <w:r w:rsidRPr="0020084B">
              <w:rPr>
                <w:rFonts w:eastAsia="Times New Roman"/>
                <w:sz w:val="16"/>
                <w:szCs w:val="16"/>
              </w:rPr>
              <w:t>N</w:t>
            </w:r>
            <w:r w:rsidR="001E701B">
              <w:rPr>
                <w:rFonts w:eastAsia="Times New Roman"/>
                <w:sz w:val="16"/>
                <w:szCs w:val="16"/>
              </w:rPr>
              <w:t>º</w:t>
            </w:r>
            <w:r w:rsidRPr="0020084B">
              <w:rPr>
                <w:rFonts w:eastAsia="Times New Roman"/>
                <w:sz w:val="16"/>
                <w:szCs w:val="16"/>
              </w:rPr>
              <w:t xml:space="preserve"> de academias nacionales fundadas en el marco del proyecto que han pasado a ser viables</w:t>
            </w:r>
          </w:p>
        </w:tc>
        <w:tc>
          <w:tcPr>
            <w:tcW w:w="2340" w:type="dxa"/>
            <w:tcBorders>
              <w:top w:val="nil"/>
              <w:left w:val="nil"/>
              <w:bottom w:val="nil"/>
              <w:right w:val="nil"/>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0</w:t>
            </w:r>
          </w:p>
        </w:tc>
        <w:tc>
          <w:tcPr>
            <w:tcW w:w="2220" w:type="dxa"/>
            <w:tcBorders>
              <w:top w:val="nil"/>
              <w:left w:val="nil"/>
              <w:bottom w:val="nil"/>
              <w:right w:val="single" w:sz="4" w:space="0" w:color="auto"/>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4</w:t>
            </w:r>
          </w:p>
        </w:tc>
      </w:tr>
      <w:tr w:rsidR="00DF0438" w:rsidRPr="0020084B" w:rsidTr="00E02444">
        <w:trPr>
          <w:trHeight w:val="720"/>
        </w:trPr>
        <w:tc>
          <w:tcPr>
            <w:tcW w:w="2600" w:type="dxa"/>
            <w:tcBorders>
              <w:top w:val="nil"/>
              <w:left w:val="single" w:sz="4" w:space="0" w:color="auto"/>
              <w:bottom w:val="nil"/>
              <w:right w:val="nil"/>
            </w:tcBorders>
            <w:shd w:val="clear" w:color="000000" w:fill="FFFFFF"/>
            <w:hideMark/>
          </w:tcPr>
          <w:p w:rsidR="00DF0438" w:rsidRPr="0020084B" w:rsidRDefault="00DF0438" w:rsidP="00E02444">
            <w:pPr>
              <w:rPr>
                <w:rFonts w:eastAsia="Times New Roman"/>
                <w:sz w:val="16"/>
                <w:szCs w:val="16"/>
              </w:rPr>
            </w:pPr>
            <w:r w:rsidRPr="0020084B">
              <w:rPr>
                <w:rFonts w:eastAsia="Times New Roman"/>
                <w:sz w:val="16"/>
                <w:szCs w:val="16"/>
              </w:rPr>
              <w:t> </w:t>
            </w:r>
          </w:p>
        </w:tc>
        <w:tc>
          <w:tcPr>
            <w:tcW w:w="2440" w:type="dxa"/>
            <w:tcBorders>
              <w:top w:val="nil"/>
              <w:left w:val="nil"/>
              <w:bottom w:val="nil"/>
              <w:right w:val="nil"/>
            </w:tcBorders>
            <w:shd w:val="clear" w:color="000000" w:fill="FFFFFF"/>
            <w:hideMark/>
          </w:tcPr>
          <w:p w:rsidR="00DF0438" w:rsidRPr="0020084B" w:rsidRDefault="00DF0438" w:rsidP="00E02444">
            <w:pPr>
              <w:ind w:left="284"/>
              <w:rPr>
                <w:rFonts w:eastAsia="Times New Roman"/>
                <w:sz w:val="16"/>
                <w:szCs w:val="16"/>
              </w:rPr>
            </w:pPr>
            <w:r w:rsidRPr="0020084B">
              <w:rPr>
                <w:rFonts w:eastAsia="Times New Roman"/>
                <w:sz w:val="16"/>
                <w:szCs w:val="16"/>
              </w:rPr>
              <w:t>Cursos y programas de P.I. nuevos y perfeccionados en instituciones docentes</w:t>
            </w:r>
          </w:p>
          <w:p w:rsidR="00DF0438" w:rsidRPr="0020084B" w:rsidRDefault="00DF0438" w:rsidP="00E02444">
            <w:pPr>
              <w:ind w:left="284"/>
              <w:rPr>
                <w:rFonts w:eastAsia="Times New Roman"/>
                <w:sz w:val="16"/>
                <w:szCs w:val="16"/>
              </w:rPr>
            </w:pPr>
          </w:p>
        </w:tc>
        <w:tc>
          <w:tcPr>
            <w:tcW w:w="2340" w:type="dxa"/>
            <w:tcBorders>
              <w:top w:val="nil"/>
              <w:left w:val="nil"/>
              <w:bottom w:val="nil"/>
              <w:right w:val="nil"/>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5</w:t>
            </w:r>
          </w:p>
        </w:tc>
        <w:tc>
          <w:tcPr>
            <w:tcW w:w="2220" w:type="dxa"/>
            <w:tcBorders>
              <w:top w:val="nil"/>
              <w:left w:val="nil"/>
              <w:bottom w:val="nil"/>
              <w:right w:val="single" w:sz="4" w:space="0" w:color="auto"/>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Aumento del 20%.</w:t>
            </w:r>
          </w:p>
        </w:tc>
      </w:tr>
      <w:tr w:rsidR="00DF0438" w:rsidRPr="0020084B" w:rsidTr="00E02444">
        <w:trPr>
          <w:trHeight w:val="630"/>
        </w:trPr>
        <w:tc>
          <w:tcPr>
            <w:tcW w:w="2600" w:type="dxa"/>
            <w:tcBorders>
              <w:top w:val="nil"/>
              <w:left w:val="single" w:sz="4" w:space="0" w:color="auto"/>
              <w:bottom w:val="single" w:sz="4" w:space="0" w:color="auto"/>
              <w:right w:val="nil"/>
            </w:tcBorders>
            <w:shd w:val="clear" w:color="000000" w:fill="FFFFFF"/>
            <w:hideMark/>
          </w:tcPr>
          <w:p w:rsidR="00DF0438" w:rsidRPr="0020084B" w:rsidRDefault="00DF0438" w:rsidP="00E02444">
            <w:pPr>
              <w:rPr>
                <w:rFonts w:eastAsia="Times New Roman"/>
                <w:sz w:val="16"/>
                <w:szCs w:val="16"/>
              </w:rPr>
            </w:pPr>
            <w:r w:rsidRPr="0020084B">
              <w:rPr>
                <w:rFonts w:eastAsia="Times New Roman"/>
                <w:sz w:val="16"/>
                <w:szCs w:val="16"/>
              </w:rPr>
              <w:t> </w:t>
            </w:r>
          </w:p>
        </w:tc>
        <w:tc>
          <w:tcPr>
            <w:tcW w:w="2440" w:type="dxa"/>
            <w:tcBorders>
              <w:top w:val="nil"/>
              <w:left w:val="nil"/>
              <w:bottom w:val="single" w:sz="4" w:space="0" w:color="auto"/>
              <w:right w:val="nil"/>
            </w:tcBorders>
            <w:shd w:val="clear" w:color="000000" w:fill="FFFFFF"/>
            <w:hideMark/>
          </w:tcPr>
          <w:p w:rsidR="00DF0438" w:rsidRPr="0020084B" w:rsidRDefault="00DF0438" w:rsidP="00E02444">
            <w:pPr>
              <w:ind w:left="284"/>
              <w:rPr>
                <w:rFonts w:eastAsia="Times New Roman"/>
                <w:sz w:val="16"/>
                <w:szCs w:val="16"/>
              </w:rPr>
            </w:pPr>
            <w:r w:rsidRPr="0020084B">
              <w:rPr>
                <w:rFonts w:eastAsia="Times New Roman"/>
                <w:sz w:val="16"/>
                <w:szCs w:val="16"/>
              </w:rPr>
              <w:t>Distribución geográfica más equilibrada en los cursos de verano</w:t>
            </w:r>
          </w:p>
        </w:tc>
        <w:tc>
          <w:tcPr>
            <w:tcW w:w="2340" w:type="dxa"/>
            <w:tcBorders>
              <w:top w:val="nil"/>
              <w:left w:val="nil"/>
              <w:bottom w:val="single" w:sz="4" w:space="0" w:color="auto"/>
              <w:right w:val="nil"/>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6 regiones</w:t>
            </w:r>
          </w:p>
        </w:tc>
        <w:tc>
          <w:tcPr>
            <w:tcW w:w="2220" w:type="dxa"/>
            <w:tcBorders>
              <w:top w:val="nil"/>
              <w:left w:val="nil"/>
              <w:bottom w:val="single" w:sz="4" w:space="0" w:color="auto"/>
              <w:right w:val="single" w:sz="4" w:space="0" w:color="auto"/>
            </w:tcBorders>
            <w:shd w:val="clear" w:color="000000" w:fill="FFFFFF"/>
            <w:hideMark/>
          </w:tcPr>
          <w:p w:rsidR="00DF0438" w:rsidRPr="0020084B" w:rsidRDefault="00DF0438" w:rsidP="00E02444">
            <w:pPr>
              <w:ind w:firstLineChars="200" w:firstLine="320"/>
              <w:rPr>
                <w:rFonts w:eastAsia="Times New Roman"/>
                <w:sz w:val="16"/>
                <w:szCs w:val="16"/>
              </w:rPr>
            </w:pPr>
            <w:r w:rsidRPr="0020084B">
              <w:rPr>
                <w:rFonts w:eastAsia="Times New Roman"/>
                <w:sz w:val="16"/>
                <w:szCs w:val="16"/>
              </w:rPr>
              <w:t>7 regiones</w:t>
            </w:r>
          </w:p>
        </w:tc>
      </w:tr>
    </w:tbl>
    <w:p w:rsidR="00DF0438" w:rsidRPr="0020084B" w:rsidRDefault="00DF0438" w:rsidP="00DF0438">
      <w:pPr>
        <w:rPr>
          <w:rFonts w:eastAsia="Times New Roman"/>
          <w:sz w:val="20"/>
        </w:rPr>
      </w:pPr>
    </w:p>
    <w:p w:rsidR="00DF0438" w:rsidRPr="0020084B" w:rsidRDefault="00DF0438" w:rsidP="00DF0438">
      <w:pPr>
        <w:rPr>
          <w:sz w:val="20"/>
        </w:rPr>
      </w:pPr>
    </w:p>
    <w:p w:rsidR="00DF0438" w:rsidRPr="0020084B" w:rsidRDefault="00DF0438" w:rsidP="00DF0438">
      <w:pPr>
        <w:rPr>
          <w:sz w:val="20"/>
        </w:rPr>
      </w:pPr>
    </w:p>
    <w:p w:rsidR="00983325" w:rsidRDefault="00983325">
      <w:pPr>
        <w:rPr>
          <w:szCs w:val="22"/>
        </w:rPr>
      </w:pPr>
      <w:r>
        <w:rPr>
          <w:szCs w:val="22"/>
        </w:rPr>
        <w:br w:type="page"/>
      </w:r>
    </w:p>
    <w:p w:rsidR="00983325" w:rsidRPr="00736AC4" w:rsidRDefault="001F63E6" w:rsidP="00983325">
      <w:r w:rsidRPr="00736AC4">
        <w:lastRenderedPageBreak/>
        <w:t>RECURSOS PARA EL PROGRAMA 11</w:t>
      </w:r>
    </w:p>
    <w:p w:rsidR="00983325" w:rsidRPr="00736AC4" w:rsidRDefault="00983325" w:rsidP="00983325"/>
    <w:p w:rsidR="00983325" w:rsidRPr="00736AC4" w:rsidRDefault="00736AC4" w:rsidP="00736AC4">
      <w:pPr>
        <w:pStyle w:val="Salutation"/>
        <w:numPr>
          <w:ilvl w:val="0"/>
          <w:numId w:val="28"/>
        </w:numPr>
        <w:tabs>
          <w:tab w:val="left" w:pos="709"/>
        </w:tabs>
        <w:ind w:left="0" w:firstLine="0"/>
        <w:contextualSpacing/>
        <w:jc w:val="both"/>
        <w:rPr>
          <w:sz w:val="20"/>
        </w:rPr>
      </w:pPr>
      <w:r w:rsidRPr="00EB43D0">
        <w:rPr>
          <w:sz w:val="20"/>
          <w:lang w:val="es-ES_tradnl"/>
        </w:rPr>
        <w:t>L</w:t>
      </w:r>
      <w:r w:rsidR="001E701B">
        <w:rPr>
          <w:sz w:val="20"/>
          <w:lang w:val="es-ES_tradnl"/>
        </w:rPr>
        <w:t>a dotación global de</w:t>
      </w:r>
      <w:r w:rsidRPr="00EB43D0">
        <w:rPr>
          <w:sz w:val="20"/>
          <w:lang w:val="es-ES_tradnl"/>
        </w:rPr>
        <w:t xml:space="preserve"> recursos </w:t>
      </w:r>
      <w:r w:rsidR="001E701B">
        <w:rPr>
          <w:sz w:val="20"/>
          <w:lang w:val="es-ES_tradnl"/>
        </w:rPr>
        <w:t xml:space="preserve">para </w:t>
      </w:r>
      <w:r w:rsidRPr="00EB43D0">
        <w:rPr>
          <w:sz w:val="20"/>
          <w:lang w:val="es-ES_tradnl"/>
        </w:rPr>
        <w:t>el programa 11 aumenta en un 13,9% en 2016/17 con respecto al presupuesto de 2014/</w:t>
      </w:r>
      <w:r w:rsidR="00ED0A05">
        <w:rPr>
          <w:sz w:val="20"/>
          <w:lang w:val="es-ES_tradnl"/>
        </w:rPr>
        <w:t>15 tras las</w:t>
      </w:r>
      <w:r w:rsidRPr="00EB43D0">
        <w:rPr>
          <w:sz w:val="20"/>
          <w:lang w:val="es-ES_tradnl"/>
        </w:rPr>
        <w:t xml:space="preserve"> transferencias.  Ese aumento se debe esencialmente a</w:t>
      </w:r>
      <w:proofErr w:type="gramStart"/>
      <w:r w:rsidRPr="00EB43D0">
        <w:rPr>
          <w:sz w:val="20"/>
          <w:lang w:val="es-ES_tradnl"/>
        </w:rPr>
        <w:t>:  i</w:t>
      </w:r>
      <w:proofErr w:type="gramEnd"/>
      <w:r w:rsidRPr="00EB43D0">
        <w:rPr>
          <w:sz w:val="20"/>
          <w:lang w:val="es-ES_tradnl"/>
        </w:rPr>
        <w:t xml:space="preserve">) la redistribución interna de los recursos a la Academia de la OMPI para apoyar el proceso de reforma en curso, y ii) la asignación presupuestaria para el nuevo proyecto de la A.D. “Cooperación con los institutos de capacitación judicial en los países en desarrollo y los PMA”. </w:t>
      </w:r>
      <w:r w:rsidR="00983325" w:rsidRPr="00736AC4">
        <w:rPr>
          <w:sz w:val="20"/>
        </w:rPr>
        <w:t xml:space="preserve">  </w:t>
      </w:r>
    </w:p>
    <w:p w:rsidR="00983325" w:rsidRPr="00736AC4" w:rsidRDefault="00983325" w:rsidP="00983325">
      <w:pPr>
        <w:autoSpaceDE w:val="0"/>
        <w:autoSpaceDN w:val="0"/>
        <w:rPr>
          <w:sz w:val="20"/>
        </w:rPr>
      </w:pPr>
    </w:p>
    <w:p w:rsidR="00983325" w:rsidRPr="00736AC4" w:rsidRDefault="00983325" w:rsidP="00983325">
      <w:pPr>
        <w:autoSpaceDE w:val="0"/>
        <w:autoSpaceDN w:val="0"/>
        <w:rPr>
          <w:sz w:val="20"/>
        </w:rPr>
      </w:pPr>
    </w:p>
    <w:p w:rsidR="001F63E6" w:rsidRPr="00736AC4" w:rsidRDefault="001F63E6" w:rsidP="001F63E6">
      <w:pPr>
        <w:keepNext/>
        <w:keepLines/>
        <w:autoSpaceDE w:val="0"/>
        <w:autoSpaceDN w:val="0"/>
        <w:jc w:val="center"/>
        <w:rPr>
          <w:b/>
          <w:sz w:val="20"/>
        </w:rPr>
      </w:pPr>
      <w:r w:rsidRPr="00736AC4">
        <w:rPr>
          <w:b/>
          <w:sz w:val="20"/>
        </w:rPr>
        <w:t>Programa 11</w:t>
      </w:r>
      <w:proofErr w:type="gramStart"/>
      <w:r w:rsidRPr="00736AC4">
        <w:rPr>
          <w:b/>
          <w:sz w:val="20"/>
        </w:rPr>
        <w:t>:  Recursos</w:t>
      </w:r>
      <w:proofErr w:type="gramEnd"/>
      <w:r w:rsidRPr="00736AC4">
        <w:rPr>
          <w:b/>
          <w:sz w:val="20"/>
        </w:rPr>
        <w:t xml:space="preserve"> por resultado</w:t>
      </w:r>
    </w:p>
    <w:p w:rsidR="00983325" w:rsidRPr="00736AC4" w:rsidRDefault="001F63E6" w:rsidP="001F63E6">
      <w:pPr>
        <w:keepNext/>
        <w:keepLines/>
        <w:autoSpaceDE w:val="0"/>
        <w:autoSpaceDN w:val="0"/>
        <w:jc w:val="center"/>
        <w:rPr>
          <w:i/>
          <w:sz w:val="20"/>
          <w:lang w:val="es-ES_tradnl"/>
        </w:rPr>
      </w:pPr>
      <w:r w:rsidRPr="00736AC4">
        <w:rPr>
          <w:i/>
          <w:sz w:val="20"/>
          <w:lang w:val="es-ES_tradnl"/>
        </w:rPr>
        <w:t>(</w:t>
      </w:r>
      <w:proofErr w:type="gramStart"/>
      <w:r w:rsidRPr="00736AC4">
        <w:rPr>
          <w:i/>
          <w:sz w:val="20"/>
          <w:lang w:val="es-ES_tradnl"/>
        </w:rPr>
        <w:t>en</w:t>
      </w:r>
      <w:proofErr w:type="gramEnd"/>
      <w:r w:rsidRPr="00736AC4">
        <w:rPr>
          <w:i/>
          <w:sz w:val="20"/>
          <w:lang w:val="es-ES_tradnl"/>
        </w:rPr>
        <w:t xml:space="preserve"> miles de francos suizos)</w:t>
      </w:r>
    </w:p>
    <w:p w:rsidR="00983325" w:rsidRPr="00736AC4" w:rsidRDefault="00983325" w:rsidP="00983325">
      <w:pPr>
        <w:keepNext/>
        <w:keepLines/>
        <w:autoSpaceDE w:val="0"/>
        <w:autoSpaceDN w:val="0"/>
        <w:jc w:val="center"/>
        <w:rPr>
          <w:i/>
          <w:sz w:val="20"/>
          <w:lang w:val="es-ES_tradnl"/>
        </w:rPr>
      </w:pPr>
    </w:p>
    <w:p w:rsidR="00983325" w:rsidRPr="009B4A78" w:rsidRDefault="00B40BEB" w:rsidP="00983325">
      <w:pPr>
        <w:keepNext/>
        <w:keepLines/>
        <w:autoSpaceDE w:val="0"/>
        <w:autoSpaceDN w:val="0"/>
        <w:jc w:val="center"/>
        <w:rPr>
          <w:i/>
          <w:sz w:val="20"/>
        </w:rPr>
      </w:pPr>
      <w:r w:rsidRPr="00B40BEB">
        <w:rPr>
          <w:noProof/>
          <w:lang w:val="en-US" w:eastAsia="en-US"/>
        </w:rPr>
        <w:drawing>
          <wp:inline distT="0" distB="0" distL="0" distR="0">
            <wp:extent cx="5676900" cy="1485265"/>
            <wp:effectExtent l="0" t="0" r="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676900" cy="1485265"/>
                    </a:xfrm>
                    <a:prstGeom prst="rect">
                      <a:avLst/>
                    </a:prstGeom>
                    <a:noFill/>
                    <a:ln>
                      <a:noFill/>
                    </a:ln>
                  </pic:spPr>
                </pic:pic>
              </a:graphicData>
            </a:graphic>
          </wp:inline>
        </w:drawing>
      </w:r>
    </w:p>
    <w:p w:rsidR="00983325" w:rsidRPr="009B4A78" w:rsidRDefault="00983325" w:rsidP="00983325">
      <w:pPr>
        <w:autoSpaceDE w:val="0"/>
        <w:autoSpaceDN w:val="0"/>
        <w:rPr>
          <w:i/>
          <w:sz w:val="20"/>
        </w:rPr>
      </w:pPr>
    </w:p>
    <w:p w:rsidR="00983325" w:rsidRPr="009B4A78" w:rsidRDefault="00983325" w:rsidP="00983325">
      <w:pPr>
        <w:autoSpaceDE w:val="0"/>
        <w:autoSpaceDN w:val="0"/>
        <w:rPr>
          <w:i/>
          <w:sz w:val="20"/>
        </w:rPr>
      </w:pPr>
    </w:p>
    <w:p w:rsidR="00983325" w:rsidRDefault="00983325">
      <w:pPr>
        <w:rPr>
          <w:b/>
          <w:sz w:val="20"/>
          <w:lang w:val="en-US"/>
        </w:rPr>
      </w:pPr>
      <w:r>
        <w:rPr>
          <w:b/>
          <w:sz w:val="20"/>
          <w:lang w:val="en-US"/>
        </w:rPr>
        <w:br w:type="page"/>
      </w:r>
    </w:p>
    <w:p w:rsidR="005376EA" w:rsidRPr="0052708D" w:rsidRDefault="005376EA" w:rsidP="005376EA">
      <w:pPr>
        <w:keepNext/>
        <w:keepLines/>
        <w:autoSpaceDE w:val="0"/>
        <w:autoSpaceDN w:val="0"/>
        <w:jc w:val="center"/>
        <w:rPr>
          <w:b/>
          <w:sz w:val="20"/>
          <w:lang w:val="es-ES_tradnl"/>
        </w:rPr>
      </w:pPr>
      <w:r w:rsidRPr="0052708D">
        <w:rPr>
          <w:b/>
          <w:sz w:val="20"/>
          <w:lang w:val="es-ES_tradnl"/>
        </w:rPr>
        <w:lastRenderedPageBreak/>
        <w:t>Programa 11</w:t>
      </w:r>
      <w:proofErr w:type="gramStart"/>
      <w:r w:rsidRPr="0052708D">
        <w:rPr>
          <w:b/>
          <w:sz w:val="20"/>
          <w:lang w:val="es-ES_tradnl"/>
        </w:rPr>
        <w:t>:  Recursos</w:t>
      </w:r>
      <w:proofErr w:type="gramEnd"/>
      <w:r w:rsidRPr="0052708D">
        <w:rPr>
          <w:b/>
          <w:sz w:val="20"/>
          <w:lang w:val="es-ES_tradnl"/>
        </w:rPr>
        <w:t xml:space="preserve"> por objeto de gasto</w:t>
      </w:r>
    </w:p>
    <w:p w:rsidR="00983325" w:rsidRPr="0052708D" w:rsidRDefault="005376EA" w:rsidP="005376EA">
      <w:pPr>
        <w:autoSpaceDE w:val="0"/>
        <w:autoSpaceDN w:val="0"/>
        <w:jc w:val="center"/>
        <w:rPr>
          <w:i/>
          <w:sz w:val="20"/>
          <w:lang w:val="es-ES_tradnl"/>
        </w:rPr>
      </w:pPr>
      <w:r w:rsidRPr="0052708D">
        <w:rPr>
          <w:i/>
          <w:sz w:val="20"/>
          <w:lang w:val="es-ES_tradnl"/>
        </w:rPr>
        <w:t>(</w:t>
      </w:r>
      <w:proofErr w:type="gramStart"/>
      <w:r w:rsidRPr="0052708D">
        <w:rPr>
          <w:i/>
          <w:sz w:val="20"/>
          <w:lang w:val="es-ES_tradnl"/>
        </w:rPr>
        <w:t>en</w:t>
      </w:r>
      <w:proofErr w:type="gramEnd"/>
      <w:r w:rsidRPr="0052708D">
        <w:rPr>
          <w:i/>
          <w:sz w:val="20"/>
          <w:lang w:val="es-ES_tradnl"/>
        </w:rPr>
        <w:t xml:space="preserve"> miles de francos suizos)</w:t>
      </w:r>
    </w:p>
    <w:p w:rsidR="00983325" w:rsidRPr="0052708D" w:rsidRDefault="00983325" w:rsidP="00983325">
      <w:pPr>
        <w:autoSpaceDE w:val="0"/>
        <w:autoSpaceDN w:val="0"/>
        <w:jc w:val="center"/>
        <w:rPr>
          <w:i/>
          <w:sz w:val="20"/>
          <w:lang w:val="es-ES_tradnl"/>
        </w:rPr>
      </w:pPr>
    </w:p>
    <w:p w:rsidR="00983325" w:rsidRPr="009B4A78" w:rsidRDefault="00835617" w:rsidP="00983325">
      <w:pPr>
        <w:jc w:val="center"/>
      </w:pPr>
      <w:r>
        <w:rPr>
          <w:noProof/>
          <w:lang w:val="en-US" w:eastAsia="en-US"/>
        </w:rPr>
        <w:drawing>
          <wp:inline distT="0" distB="0" distL="0" distR="0" wp14:anchorId="674F5DA7" wp14:editId="6AC8CF32">
            <wp:extent cx="5940425" cy="6616339"/>
            <wp:effectExtent l="0" t="0" r="3175"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0425" cy="6616339"/>
                    </a:xfrm>
                    <a:prstGeom prst="rect">
                      <a:avLst/>
                    </a:prstGeom>
                    <a:noFill/>
                    <a:ln>
                      <a:noFill/>
                    </a:ln>
                  </pic:spPr>
                </pic:pic>
              </a:graphicData>
            </a:graphic>
          </wp:inline>
        </w:drawing>
      </w:r>
    </w:p>
    <w:p w:rsidR="00983325" w:rsidRDefault="00983325" w:rsidP="00983325">
      <w:pPr>
        <w:jc w:val="center"/>
      </w:pPr>
    </w:p>
    <w:p w:rsidR="00042939" w:rsidRPr="00ED4DE9" w:rsidRDefault="00042939" w:rsidP="00042939">
      <w:pPr>
        <w:keepNext/>
        <w:keepLines/>
        <w:jc w:val="center"/>
        <w:rPr>
          <w:b/>
          <w:sz w:val="20"/>
        </w:rPr>
      </w:pPr>
      <w:r>
        <w:rPr>
          <w:b/>
          <w:sz w:val="20"/>
        </w:rPr>
        <w:lastRenderedPageBreak/>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042939" w:rsidRPr="00ED4DE9" w:rsidRDefault="00042939" w:rsidP="00042939">
      <w:pPr>
        <w:keepNext/>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983325" w:rsidRPr="00042939" w:rsidRDefault="00983325" w:rsidP="00983325">
      <w:pPr>
        <w:keepNext/>
        <w:keepLines/>
        <w:jc w:val="center"/>
        <w:rPr>
          <w:i/>
          <w:sz w:val="20"/>
          <w:highlight w:val="lightGray"/>
        </w:rPr>
      </w:pPr>
    </w:p>
    <w:p w:rsidR="00983325" w:rsidRPr="00983325" w:rsidRDefault="00DA0A15" w:rsidP="00DA0A15">
      <w:pPr>
        <w:keepNext/>
        <w:keepLines/>
        <w:spacing w:after="60"/>
        <w:rPr>
          <w:sz w:val="20"/>
          <w:szCs w:val="16"/>
          <w:highlight w:val="lightGray"/>
          <w:vertAlign w:val="superscript"/>
        </w:rPr>
      </w:pPr>
      <w:r w:rsidRPr="00DA0A15">
        <w:rPr>
          <w:noProof/>
          <w:lang w:val="en-US" w:eastAsia="en-US"/>
        </w:rPr>
        <w:drawing>
          <wp:inline distT="0" distB="0" distL="0" distR="0" wp14:anchorId="34C190D9" wp14:editId="00DEAD07">
            <wp:extent cx="5940425" cy="883384"/>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0425" cy="883384"/>
                    </a:xfrm>
                    <a:prstGeom prst="rect">
                      <a:avLst/>
                    </a:prstGeom>
                    <a:noFill/>
                    <a:ln>
                      <a:noFill/>
                    </a:ln>
                  </pic:spPr>
                </pic:pic>
              </a:graphicData>
            </a:graphic>
          </wp:inline>
        </w:drawing>
      </w:r>
    </w:p>
    <w:p w:rsidR="00042939" w:rsidRPr="00ED4DE9" w:rsidRDefault="00042939" w:rsidP="00042939">
      <w:pPr>
        <w:keepNext/>
        <w:keepLines/>
        <w:jc w:val="both"/>
        <w:rPr>
          <w:bCs/>
          <w:sz w:val="20"/>
        </w:rPr>
      </w:pPr>
    </w:p>
    <w:p w:rsidR="00042939" w:rsidRPr="00ED4DE9" w:rsidRDefault="00042939" w:rsidP="00042939">
      <w:pPr>
        <w:keepNext/>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ingresos y se incurre en gastos</w:t>
      </w:r>
      <w:r w:rsidRPr="00ED4DE9">
        <w:rPr>
          <w:i/>
          <w:sz w:val="16"/>
          <w:szCs w:val="14"/>
        </w:rPr>
        <w:t>.</w:t>
      </w:r>
    </w:p>
    <w:p w:rsidR="00042939" w:rsidRDefault="00042939" w:rsidP="00042939">
      <w:pPr>
        <w:keepNext/>
        <w:widowControl w:val="0"/>
        <w:rPr>
          <w:i/>
          <w:sz w:val="16"/>
          <w:szCs w:val="14"/>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p>
    <w:p w:rsidR="00042939" w:rsidRDefault="00042939" w:rsidP="00042939">
      <w:pPr>
        <w:keepNext/>
        <w:widowControl w:val="0"/>
        <w:rPr>
          <w:i/>
          <w:sz w:val="16"/>
          <w:szCs w:val="14"/>
        </w:rPr>
      </w:pPr>
    </w:p>
    <w:p w:rsidR="00983325" w:rsidRPr="00B40BEB" w:rsidRDefault="00983325" w:rsidP="00983325">
      <w:pPr>
        <w:keepNext/>
        <w:keepLines/>
        <w:rPr>
          <w:i/>
          <w:sz w:val="16"/>
          <w:szCs w:val="14"/>
        </w:rPr>
      </w:pPr>
      <w:r w:rsidRPr="00B40BEB">
        <w:rPr>
          <w:i/>
          <w:sz w:val="16"/>
          <w:szCs w:val="14"/>
          <w:vertAlign w:val="superscript"/>
        </w:rPr>
        <w:t>3</w:t>
      </w:r>
      <w:r w:rsidR="00FB4478" w:rsidRPr="00B40BEB">
        <w:rPr>
          <w:i/>
          <w:sz w:val="16"/>
          <w:szCs w:val="14"/>
          <w:vertAlign w:val="superscript"/>
        </w:rPr>
        <w:t xml:space="preserve">  </w:t>
      </w:r>
      <w:r w:rsidR="00B40BEB" w:rsidRPr="00B40BEB">
        <w:rPr>
          <w:i/>
          <w:sz w:val="16"/>
          <w:szCs w:val="14"/>
        </w:rPr>
        <w:t>En el saldo previsto a fines de</w:t>
      </w:r>
      <w:r w:rsidRPr="00B40BEB">
        <w:rPr>
          <w:i/>
          <w:sz w:val="16"/>
          <w:szCs w:val="14"/>
        </w:rPr>
        <w:t xml:space="preserve"> 2015 </w:t>
      </w:r>
      <w:r w:rsidR="00B40BEB" w:rsidRPr="00B40BEB">
        <w:rPr>
          <w:i/>
          <w:sz w:val="16"/>
          <w:szCs w:val="14"/>
        </w:rPr>
        <w:t>se han computado los gravámenes y las obligaciones</w:t>
      </w:r>
      <w:r w:rsidRPr="00B40BEB">
        <w:rPr>
          <w:i/>
          <w:sz w:val="16"/>
          <w:szCs w:val="14"/>
        </w:rPr>
        <w:t>.</w:t>
      </w:r>
    </w:p>
    <w:p w:rsidR="000A0481" w:rsidRPr="006A3CA4" w:rsidRDefault="000A0481" w:rsidP="002E3E28">
      <w:pPr>
        <w:rPr>
          <w:szCs w:val="22"/>
          <w:lang w:val="es-ES_tradnl"/>
        </w:rPr>
      </w:pPr>
    </w:p>
    <w:p w:rsidR="00983325" w:rsidRPr="006A3CA4" w:rsidRDefault="00983325">
      <w:pPr>
        <w:rPr>
          <w:szCs w:val="22"/>
          <w:lang w:val="es-ES_tradnl"/>
        </w:rPr>
      </w:pPr>
      <w:r w:rsidRPr="006A3CA4">
        <w:rPr>
          <w:szCs w:val="22"/>
          <w:lang w:val="es-ES_tradnl"/>
        </w:rPr>
        <w:br w:type="page"/>
      </w:r>
    </w:p>
    <w:p w:rsidR="00EA32E6" w:rsidRPr="00EA32E6" w:rsidRDefault="00EA32E6" w:rsidP="00EA32E6">
      <w:pPr>
        <w:pStyle w:val="StyleHeading3ComplexItalic"/>
        <w:keepNext w:val="0"/>
        <w:widowControl w:val="0"/>
        <w:ind w:left="1985" w:hanging="1985"/>
        <w:rPr>
          <w:rStyle w:val="StyleStyleHeading3ComplexItalicLatin12ptChar"/>
          <w:rFonts w:eastAsia="Arial"/>
          <w:b/>
          <w:lang w:val="es-ES"/>
        </w:rPr>
      </w:pPr>
      <w:bookmarkStart w:id="45" w:name="_Toc420681145"/>
      <w:r w:rsidRPr="00EA32E6">
        <w:rPr>
          <w:rStyle w:val="StyleStyleHeading3ComplexItalicLatin12ptChar"/>
          <w:rFonts w:eastAsia="Arial"/>
          <w:b/>
          <w:lang w:val="es-ES"/>
        </w:rPr>
        <w:lastRenderedPageBreak/>
        <w:t>PROGRAMA 30</w:t>
      </w:r>
      <w:r w:rsidRPr="00EA32E6">
        <w:rPr>
          <w:rStyle w:val="StyleStyleHeading3ComplexItalicLatin12ptChar"/>
          <w:rFonts w:eastAsia="Arial"/>
          <w:b/>
          <w:lang w:val="es-ES"/>
        </w:rPr>
        <w:tab/>
        <w:t>APOYO A LAS PEQUEÑAS Y MEDIANAS EMPRESAS (PYMES</w:t>
      </w:r>
      <w:r w:rsidR="0052708D">
        <w:rPr>
          <w:rStyle w:val="StyleStyleHeading3ComplexItalicLatin12ptChar"/>
          <w:rFonts w:eastAsia="Arial"/>
          <w:b/>
          <w:lang w:val="es-ES"/>
        </w:rPr>
        <w:t>) Y A LA CAPACIDAD EMPRESARIAL</w:t>
      </w:r>
      <w:bookmarkEnd w:id="45"/>
    </w:p>
    <w:p w:rsidR="00EA32E6" w:rsidRPr="006763AC" w:rsidRDefault="00EA32E6" w:rsidP="00EA32E6">
      <w:pPr>
        <w:widowControl w:val="0"/>
        <w:tabs>
          <w:tab w:val="left" w:pos="0"/>
        </w:tabs>
        <w:spacing w:before="32" w:line="241" w:lineRule="auto"/>
        <w:ind w:right="1210"/>
        <w:jc w:val="both"/>
        <w:rPr>
          <w:rFonts w:eastAsia="Arial"/>
          <w:b/>
          <w:bCs/>
          <w:spacing w:val="-1"/>
          <w:szCs w:val="22"/>
        </w:rPr>
      </w:pPr>
    </w:p>
    <w:p w:rsidR="00EA32E6" w:rsidRPr="006763AC" w:rsidRDefault="00EA32E6" w:rsidP="00EA32E6">
      <w:pPr>
        <w:widowControl w:val="0"/>
        <w:rPr>
          <w:szCs w:val="22"/>
        </w:rPr>
      </w:pPr>
    </w:p>
    <w:p w:rsidR="00EA32E6" w:rsidRPr="006763AC" w:rsidRDefault="00EA32E6" w:rsidP="00EA32E6">
      <w:pPr>
        <w:widowControl w:val="0"/>
        <w:rPr>
          <w:szCs w:val="22"/>
        </w:rPr>
      </w:pPr>
      <w:r w:rsidRPr="006763AC">
        <w:rPr>
          <w:szCs w:val="22"/>
        </w:rPr>
        <w:t>CONTEXTO DE PLANIFICACIÓN</w:t>
      </w:r>
    </w:p>
    <w:p w:rsidR="00EA32E6" w:rsidRPr="006763AC" w:rsidRDefault="00EA32E6" w:rsidP="00EA32E6">
      <w:pPr>
        <w:widowControl w:val="0"/>
        <w:tabs>
          <w:tab w:val="left" w:pos="709"/>
        </w:tabs>
        <w:rPr>
          <w:szCs w:val="22"/>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Las pequeñas y medianas empresas (pymes) de todos los países del mundo contribuyen significativamente al PIB, la creación de empleo, la innovación, las exportaciones, el empoderamiento de la mujer, la mitigación de la pobreza y el desarrollo sostenible.  Las universidades y las instituciones públicas de investigación, que tienen diferentes niveles de capacidad para transferir conocimientos estratégicos y comercializar la P.I. resultante de sus trabajos de investigación, también contribuyen inmensamente a la innovación y sus ventajas.  Estos dos sectores de actividad se ven afectados por las estrategias de P.I. de sus respectivos países.</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La falta de conocimiento y competencia en materia de gestión de la P.I., la percepción de que el uso del sistema de P.I. es complejo y oneroso, y las dificultades que suponen la protección y la defensa de los derechos de P.I. impiden que las pymes, las universidades y las instituciones públicas de investigación en todo el mundo puedan aprovechar las ventajas que ofrece el sistema de P.I.</w:t>
      </w:r>
      <w:r w:rsidR="00B40BEB">
        <w:rPr>
          <w:rFonts w:ascii="Arial" w:hAnsi="Arial" w:cs="Arial"/>
          <w:sz w:val="20"/>
          <w:szCs w:val="20"/>
          <w:lang w:val="es-ES"/>
        </w:rPr>
        <w:t xml:space="preserve">  Ello queda reflejado </w:t>
      </w:r>
      <w:r w:rsidRPr="006763AC">
        <w:rPr>
          <w:rFonts w:ascii="Arial" w:hAnsi="Arial" w:cs="Arial"/>
          <w:sz w:val="20"/>
          <w:szCs w:val="20"/>
          <w:lang w:val="es-ES"/>
        </w:rPr>
        <w:t>en la poca utilización del sistema de P.I., en general, y los servicios mundiales de la OMPI, en particular.</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Otros problemas conexos son los bajos niveles de gasto en I+D, los vínculos de colaboración poco estrechos cuando no inexistentes con instituciones académicas y de investigación, y el acceso inadecuado a la información, el conocimiento y las tecnologías disponibles en bases de datos de P.I.  La falta de políticas institucionales de P.I. eficaces, incentivos y financiación para las pymes, y la ausencia de instituciones dinámicas de apoyo a esas empresas, en muchos países, se añaden a la dificultad de lograr que las pymes, las universidades y las instituciones públicas de investigación hagan un mejor uso del sistema de P.I.</w:t>
      </w:r>
    </w:p>
    <w:p w:rsidR="00EA32E6" w:rsidRPr="006763AC" w:rsidRDefault="00EA32E6" w:rsidP="00EA32E6">
      <w:pPr>
        <w:widowControl w:val="0"/>
        <w:tabs>
          <w:tab w:val="left" w:pos="709"/>
        </w:tabs>
        <w:jc w:val="both"/>
        <w:rPr>
          <w:sz w:val="20"/>
        </w:rPr>
      </w:pPr>
    </w:p>
    <w:p w:rsidR="00EA32E6" w:rsidRPr="006763AC" w:rsidRDefault="00EA32E6" w:rsidP="00EA32E6">
      <w:pPr>
        <w:widowControl w:val="0"/>
        <w:tabs>
          <w:tab w:val="left" w:pos="709"/>
        </w:tabs>
        <w:jc w:val="both"/>
        <w:rPr>
          <w:sz w:val="20"/>
        </w:rPr>
      </w:pPr>
    </w:p>
    <w:p w:rsidR="00EA32E6" w:rsidRPr="006763AC" w:rsidRDefault="00EA32E6" w:rsidP="00EA32E6">
      <w:pPr>
        <w:widowControl w:val="0"/>
        <w:tabs>
          <w:tab w:val="left" w:pos="709"/>
        </w:tabs>
        <w:jc w:val="both"/>
        <w:rPr>
          <w:sz w:val="20"/>
        </w:rPr>
      </w:pPr>
      <w:r w:rsidRPr="006763AC">
        <w:rPr>
          <w:sz w:val="20"/>
        </w:rPr>
        <w:t>ESTRATEGIAS DE EJECUCIÓN</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El programa continuará su labor de velar por que las estrategias nacionales de P.I. promuevan la creatividad y la innovación sobre la base de una evaluación exhaustiva de los objetivos de desarrollo y una comprensión de los puntos fuertes y débiles, oportunidades y desafíos de cada país.</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A fin de encarar el enorme desafío de incrementar el conocimiento del sistema de P.I. y su uso por parte de las pymes de manera eficaz y sostenible, el programa adoptará un enfoque basado en proyectos coordinados que reunirá en una plataforma común conocimientos técnicos, experiencia y mejores prácticas de partes interesadas internas y externas.  Se recogerán opiniones y recomendaciones pertinentes a partir de estudios nacionales y regionales sobre P.I. y pymes, y de foros y simposios nacionales, regionales e internacionales.  En algunos países, se ensayarán nuevos enfoques experimentales, como por ejemplo, proyectos en que las pymes desempeñen la labor de embajadoras o ejemplos destacados de P.I., y proyectos de acompañamiento para pymes en materia de P.I.</w:t>
      </w:r>
    </w:p>
    <w:p w:rsidR="00EA32E6" w:rsidRPr="006763AC" w:rsidRDefault="00EA32E6" w:rsidP="00EA32E6">
      <w:pPr>
        <w:pStyle w:val="ListParagraph"/>
        <w:widowControl w:val="0"/>
        <w:tabs>
          <w:tab w:val="left" w:pos="709"/>
        </w:tabs>
        <w:ind w:left="0"/>
        <w:jc w:val="both"/>
        <w:rPr>
          <w:rFonts w:ascii="Arial" w:hAnsi="Arial" w:cs="Arial"/>
          <w:sz w:val="20"/>
          <w:szCs w:val="20"/>
          <w:lang w:val="es-ES"/>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 xml:space="preserve">El programa </w:t>
      </w:r>
      <w:r w:rsidR="00D463D6">
        <w:rPr>
          <w:rFonts w:ascii="Arial" w:hAnsi="Arial" w:cs="Arial"/>
          <w:sz w:val="20"/>
          <w:szCs w:val="20"/>
          <w:lang w:val="es-ES"/>
        </w:rPr>
        <w:t>e</w:t>
      </w:r>
      <w:r w:rsidRPr="006763AC">
        <w:rPr>
          <w:rFonts w:ascii="Arial" w:hAnsi="Arial" w:cs="Arial"/>
          <w:sz w:val="20"/>
          <w:szCs w:val="20"/>
          <w:lang w:val="es-ES"/>
        </w:rPr>
        <w:t xml:space="preserve">s el punto central de referencia en la OMPI para todas las cuestiones relacionadas con las pymes y la P.I. en los países en desarrollo, PMA y países con economías en transición, siguiendo la orientación de los Estados miembros y las recomendaciones 1, 4 y 11 de la A.D.  El programa continuará trabajando para crear una plataforma sólida con datos y mecanismos de apoyo en materia de P.I. en relación con las pymes, las universidades y la I+D con el fin de orientar las actividades de formación y fortalecimiento de capacidades llevadas a cabo por el propio programa y los programas 9 (Oficinas regionales) y 10 (Cooperación con determinados países de Europa y Asia), en estrecha colaboración con la Academia de la OMPI (Programa 11).  Ello comprenderá la creación de material hecho a medida para atender las necesidades de las pymes, y la determinación de las mejoras prácticas (que deberán figurar, entre otros, en la base de datos </w:t>
      </w:r>
      <w:r w:rsidRPr="006763AC">
        <w:rPr>
          <w:rFonts w:ascii="Arial" w:hAnsi="Arial" w:cs="Arial"/>
          <w:i/>
          <w:sz w:val="20"/>
          <w:szCs w:val="20"/>
          <w:lang w:val="es-ES"/>
        </w:rPr>
        <w:t xml:space="preserve">IP </w:t>
      </w:r>
      <w:proofErr w:type="spellStart"/>
      <w:r w:rsidRPr="006763AC">
        <w:rPr>
          <w:rFonts w:ascii="Arial" w:hAnsi="Arial" w:cs="Arial"/>
          <w:i/>
          <w:sz w:val="20"/>
          <w:szCs w:val="20"/>
          <w:lang w:val="es-ES"/>
        </w:rPr>
        <w:t>Advantage</w:t>
      </w:r>
      <w:proofErr w:type="spellEnd"/>
      <w:r w:rsidRPr="006763AC">
        <w:rPr>
          <w:rFonts w:ascii="Arial" w:hAnsi="Arial" w:cs="Arial"/>
          <w:sz w:val="20"/>
          <w:szCs w:val="20"/>
          <w:lang w:val="es-ES"/>
        </w:rPr>
        <w:t xml:space="preserve">) en lo relativo al uso del sistema de P.I. con el fin de demostrar que inciden positivamente en la economía, la generación de empleo y la competitividad.  También se explorará la posibilidad de colaborar con otras organizaciones regionales e internacionales y con asociaciones profesionales que cuenten con programas de apoyo a las pymes y a la capacidad empresarial a fin de reforzar la creación de contenido pertinente y su divulgación </w:t>
      </w:r>
      <w:r w:rsidR="00D463D6">
        <w:rPr>
          <w:rFonts w:ascii="Arial" w:hAnsi="Arial" w:cs="Arial"/>
          <w:sz w:val="20"/>
          <w:szCs w:val="20"/>
          <w:lang w:val="es-ES"/>
        </w:rPr>
        <w:t>para lograr</w:t>
      </w:r>
      <w:r w:rsidRPr="006763AC">
        <w:rPr>
          <w:rFonts w:ascii="Arial" w:hAnsi="Arial" w:cs="Arial"/>
          <w:sz w:val="20"/>
          <w:szCs w:val="20"/>
          <w:lang w:val="es-ES"/>
        </w:rPr>
        <w:t xml:space="preserve"> resultados de alta calidad.  Las actividades de formación y fortalecimiento de capacidad se basarán en el material elaborado en el marco de este programa.</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 xml:space="preserve">Con el fin de potenciar la divulgación de información directamente a las pymes, las universidades y las instituciones públicas de investigación, el programa renovará las páginas sobre pymes e iniciativa universitaria del sitio web de la OMPI para que puedan ser aprovechadas como plataformas de intercambio de información sobre gestión de P.I. en colaboración con instituciones nacionales de apoyo a las pymes, las universidades, las instituciones públicas de investigación y entidades de apoyo de la capacidad empresarial.  </w:t>
      </w:r>
      <w:r w:rsidR="00D463D6">
        <w:rPr>
          <w:rFonts w:ascii="Arial" w:hAnsi="Arial" w:cs="Arial"/>
          <w:sz w:val="20"/>
          <w:szCs w:val="20"/>
          <w:lang w:val="es-ES"/>
        </w:rPr>
        <w:t>Se</w:t>
      </w:r>
      <w:r w:rsidRPr="006763AC">
        <w:rPr>
          <w:rFonts w:ascii="Arial" w:hAnsi="Arial" w:cs="Arial"/>
          <w:sz w:val="20"/>
          <w:szCs w:val="20"/>
          <w:lang w:val="es-ES"/>
        </w:rPr>
        <w:t xml:space="preserve"> continuará publicando </w:t>
      </w:r>
      <w:r w:rsidR="00D463D6">
        <w:rPr>
          <w:rFonts w:ascii="Arial" w:hAnsi="Arial" w:cs="Arial"/>
          <w:sz w:val="20"/>
          <w:szCs w:val="20"/>
          <w:lang w:val="es-ES"/>
        </w:rPr>
        <w:t>el</w:t>
      </w:r>
      <w:r w:rsidRPr="006763AC">
        <w:rPr>
          <w:rFonts w:ascii="Arial" w:hAnsi="Arial" w:cs="Arial"/>
          <w:sz w:val="20"/>
          <w:szCs w:val="20"/>
          <w:lang w:val="es-ES"/>
        </w:rPr>
        <w:t xml:space="preserve"> Boletín para las pymes en los seis idiomas oficiales de las Naciones Unidas.</w:t>
      </w:r>
    </w:p>
    <w:p w:rsidR="00EA32E6" w:rsidRPr="006763AC" w:rsidRDefault="00EA32E6" w:rsidP="00EA32E6">
      <w:pPr>
        <w:widowControl w:val="0"/>
        <w:tabs>
          <w:tab w:val="left" w:pos="709"/>
        </w:tabs>
        <w:jc w:val="both"/>
        <w:rPr>
          <w:sz w:val="20"/>
        </w:rPr>
      </w:pPr>
    </w:p>
    <w:p w:rsidR="00EA32E6" w:rsidRPr="006763AC"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 xml:space="preserve">A través de proyectos a medida de comercialización de la P.I. y de programas nacionales y regionales adaptados, las instituciones académicas de los Estados miembros de la OMPI recibirán apoyo a la capacidad empresarial para que desarrollen una infraestructura jurídica e institucional adecuada, y capital humano profesional para fomentar la gestión estratégica, desde el punto de vista de los derechos de P.I., de los conocimientos y los productos de investigación desde el principio con miras a los mercados de tecnología.  Como en el bienio anterior, se prestará asistencia a universidades e instituciones de I+D de los Estados miembros de la OMPI para que puedan crear sus propias políticas institucionales de P.I. y sus </w:t>
      </w:r>
      <w:r w:rsidR="00D463D6">
        <w:rPr>
          <w:rFonts w:ascii="Arial" w:hAnsi="Arial" w:cs="Arial"/>
          <w:sz w:val="20"/>
          <w:szCs w:val="20"/>
          <w:lang w:val="es-ES"/>
        </w:rPr>
        <w:t>oficinas de transferencia</w:t>
      </w:r>
      <w:r w:rsidRPr="006763AC">
        <w:rPr>
          <w:rFonts w:ascii="Arial" w:hAnsi="Arial" w:cs="Arial"/>
          <w:sz w:val="20"/>
          <w:szCs w:val="20"/>
          <w:lang w:val="es-ES"/>
        </w:rPr>
        <w:t xml:space="preserve"> de tecnología</w:t>
      </w:r>
      <w:r w:rsidR="00D463D6">
        <w:rPr>
          <w:rFonts w:ascii="Arial" w:hAnsi="Arial" w:cs="Arial"/>
          <w:sz w:val="20"/>
          <w:szCs w:val="20"/>
          <w:lang w:val="es-ES"/>
        </w:rPr>
        <w:t xml:space="preserve"> (OTT)</w:t>
      </w:r>
      <w:r w:rsidRPr="006763AC">
        <w:rPr>
          <w:rFonts w:ascii="Arial" w:hAnsi="Arial" w:cs="Arial"/>
          <w:sz w:val="20"/>
          <w:szCs w:val="20"/>
          <w:lang w:val="es-ES"/>
        </w:rPr>
        <w:t>, y desarrollar su capacidad y capital humano con el fin de proteger y comercializar los conocimientos y productos resultantes de sus trabajos de investigación a través de procesos de protección de la P.I., valoración de la P.I., comercialización de la P.I., negociación de licencias, y creación de empresas, entre otros.</w:t>
      </w:r>
    </w:p>
    <w:p w:rsidR="00EA32E6" w:rsidRPr="006763AC" w:rsidRDefault="00EA32E6" w:rsidP="00EA32E6">
      <w:pPr>
        <w:widowControl w:val="0"/>
        <w:tabs>
          <w:tab w:val="left" w:pos="709"/>
        </w:tabs>
        <w:jc w:val="both"/>
        <w:rPr>
          <w:sz w:val="20"/>
        </w:rPr>
      </w:pPr>
    </w:p>
    <w:p w:rsidR="00EA32E6" w:rsidRPr="006763AC" w:rsidRDefault="00D463D6" w:rsidP="00EA32E6">
      <w:pPr>
        <w:pStyle w:val="ListParagraph"/>
        <w:widowControl w:val="0"/>
        <w:numPr>
          <w:ilvl w:val="0"/>
          <w:numId w:val="29"/>
        </w:numPr>
        <w:tabs>
          <w:tab w:val="left" w:pos="709"/>
        </w:tabs>
        <w:ind w:left="0" w:firstLine="0"/>
        <w:jc w:val="both"/>
        <w:rPr>
          <w:rFonts w:ascii="Arial" w:hAnsi="Arial" w:cs="Arial"/>
          <w:sz w:val="20"/>
          <w:szCs w:val="20"/>
          <w:lang w:val="es-ES"/>
        </w:rPr>
      </w:pPr>
      <w:r>
        <w:rPr>
          <w:rFonts w:ascii="Arial" w:hAnsi="Arial" w:cs="Arial"/>
          <w:sz w:val="20"/>
          <w:szCs w:val="20"/>
          <w:lang w:val="es-ES"/>
        </w:rPr>
        <w:t>Se</w:t>
      </w:r>
      <w:r w:rsidR="00EA32E6" w:rsidRPr="006763AC">
        <w:rPr>
          <w:rFonts w:ascii="Arial" w:hAnsi="Arial" w:cs="Arial"/>
          <w:sz w:val="20"/>
          <w:szCs w:val="20"/>
          <w:lang w:val="es-ES"/>
        </w:rPr>
        <w:t xml:space="preserve"> seguirán perfeccionándose los conocimientos especializados y desarrollando herramientas de amplio alcance destinados a los sectores de investigación (universidades e instituciones públicas de investigación).  Los sectores de investigación recibirán asistencia para aplicar modelos adaptados de estructuras de desarrollo, protección y comercialización estratégicos de la P.I., y para desarrollar un capital humano calificado que pueda comercializar de modo estratégico la P.I. con miras al crecimiento económico.</w:t>
      </w:r>
    </w:p>
    <w:p w:rsidR="00EA32E6" w:rsidRPr="006763AC" w:rsidRDefault="00EA32E6" w:rsidP="00EA32E6">
      <w:pPr>
        <w:widowControl w:val="0"/>
        <w:tabs>
          <w:tab w:val="left" w:pos="709"/>
        </w:tabs>
        <w:jc w:val="both"/>
        <w:rPr>
          <w:sz w:val="20"/>
        </w:rPr>
      </w:pPr>
    </w:p>
    <w:p w:rsidR="00EA32E6" w:rsidRDefault="00EA32E6" w:rsidP="00EA32E6">
      <w:pPr>
        <w:pStyle w:val="ListParagraph"/>
        <w:widowControl w:val="0"/>
        <w:numPr>
          <w:ilvl w:val="0"/>
          <w:numId w:val="29"/>
        </w:numPr>
        <w:tabs>
          <w:tab w:val="left" w:pos="709"/>
        </w:tabs>
        <w:ind w:left="0" w:firstLine="0"/>
        <w:jc w:val="both"/>
        <w:rPr>
          <w:rFonts w:ascii="Arial" w:hAnsi="Arial" w:cs="Arial"/>
          <w:sz w:val="20"/>
          <w:szCs w:val="20"/>
          <w:lang w:val="es-ES"/>
        </w:rPr>
      </w:pPr>
      <w:r w:rsidRPr="006763AC">
        <w:rPr>
          <w:rFonts w:ascii="Arial" w:hAnsi="Arial" w:cs="Arial"/>
          <w:sz w:val="20"/>
          <w:szCs w:val="20"/>
          <w:lang w:val="es-ES"/>
        </w:rPr>
        <w:t>En consonancia con el marco de la OMPI de gestión por resultados, durante el bienio 2016/17 se prestará particular atención a</w:t>
      </w:r>
      <w:r w:rsidR="00D463D6">
        <w:rPr>
          <w:rFonts w:ascii="Arial" w:hAnsi="Arial" w:cs="Arial"/>
          <w:sz w:val="20"/>
          <w:szCs w:val="20"/>
          <w:lang w:val="es-ES"/>
        </w:rPr>
        <w:t xml:space="preserve"> la labor</w:t>
      </w:r>
      <w:r w:rsidRPr="006763AC">
        <w:rPr>
          <w:rFonts w:ascii="Arial" w:hAnsi="Arial" w:cs="Arial"/>
          <w:sz w:val="20"/>
          <w:szCs w:val="20"/>
          <w:lang w:val="es-ES"/>
        </w:rPr>
        <w:t xml:space="preserve"> del programa 30 </w:t>
      </w:r>
      <w:r w:rsidR="00D463D6">
        <w:rPr>
          <w:rFonts w:ascii="Arial" w:hAnsi="Arial" w:cs="Arial"/>
          <w:sz w:val="20"/>
          <w:szCs w:val="20"/>
          <w:lang w:val="es-ES"/>
        </w:rPr>
        <w:t xml:space="preserve">en aras de lograr una incidencia </w:t>
      </w:r>
      <w:r w:rsidRPr="006763AC">
        <w:rPr>
          <w:rFonts w:ascii="Arial" w:hAnsi="Arial" w:cs="Arial"/>
          <w:sz w:val="20"/>
          <w:szCs w:val="20"/>
          <w:lang w:val="es-ES"/>
        </w:rPr>
        <w:t xml:space="preserve">y </w:t>
      </w:r>
      <w:r w:rsidR="00D463D6">
        <w:rPr>
          <w:rFonts w:ascii="Arial" w:hAnsi="Arial" w:cs="Arial"/>
          <w:sz w:val="20"/>
          <w:szCs w:val="20"/>
          <w:lang w:val="es-ES"/>
        </w:rPr>
        <w:t xml:space="preserve">de </w:t>
      </w:r>
      <w:r w:rsidRPr="006763AC">
        <w:rPr>
          <w:rFonts w:ascii="Arial" w:hAnsi="Arial" w:cs="Arial"/>
          <w:sz w:val="20"/>
          <w:szCs w:val="20"/>
          <w:lang w:val="es-ES"/>
        </w:rPr>
        <w:t>controlar y evaluar la labor de la OMPI en relación con las pymes, las universidades y las instituciones de investigación pública.</w:t>
      </w:r>
    </w:p>
    <w:p w:rsidR="00EA32E6" w:rsidRDefault="00EA32E6" w:rsidP="00EA32E6">
      <w:pPr>
        <w:pStyle w:val="ListParagraph"/>
        <w:widowControl w:val="0"/>
        <w:tabs>
          <w:tab w:val="left" w:pos="709"/>
        </w:tabs>
        <w:ind w:left="0"/>
        <w:jc w:val="both"/>
        <w:rPr>
          <w:rFonts w:ascii="Arial" w:hAnsi="Arial" w:cs="Arial"/>
          <w:sz w:val="20"/>
          <w:szCs w:val="20"/>
          <w:lang w:val="es-ES"/>
        </w:rPr>
      </w:pPr>
    </w:p>
    <w:p w:rsidR="00EA32E6" w:rsidRPr="00D463D6" w:rsidRDefault="00D463D6" w:rsidP="00EA32E6">
      <w:pPr>
        <w:pStyle w:val="ListParagraph"/>
        <w:widowControl w:val="0"/>
        <w:numPr>
          <w:ilvl w:val="0"/>
          <w:numId w:val="29"/>
        </w:numPr>
        <w:tabs>
          <w:tab w:val="left" w:pos="709"/>
        </w:tabs>
        <w:ind w:left="0" w:firstLine="0"/>
        <w:jc w:val="both"/>
        <w:rPr>
          <w:rFonts w:ascii="Arial" w:hAnsi="Arial" w:cs="Arial"/>
          <w:sz w:val="20"/>
          <w:szCs w:val="20"/>
          <w:lang w:val="es-ES"/>
        </w:rPr>
      </w:pPr>
      <w:r>
        <w:rPr>
          <w:rFonts w:ascii="Arial" w:hAnsi="Arial" w:cs="Arial"/>
          <w:sz w:val="20"/>
          <w:szCs w:val="20"/>
          <w:lang w:val="es-ES"/>
        </w:rPr>
        <w:t>El p</w:t>
      </w:r>
      <w:r w:rsidR="00C35C71" w:rsidRPr="00D463D6">
        <w:rPr>
          <w:rFonts w:ascii="Arial" w:hAnsi="Arial" w:cs="Arial"/>
          <w:sz w:val="20"/>
          <w:szCs w:val="20"/>
          <w:lang w:val="es-ES"/>
        </w:rPr>
        <w:t>rogram</w:t>
      </w:r>
      <w:r>
        <w:rPr>
          <w:rFonts w:ascii="Arial" w:hAnsi="Arial" w:cs="Arial"/>
          <w:sz w:val="20"/>
          <w:szCs w:val="20"/>
          <w:lang w:val="es-ES"/>
        </w:rPr>
        <w:t>a</w:t>
      </w:r>
      <w:r w:rsidR="00C35C71" w:rsidRPr="00D463D6">
        <w:rPr>
          <w:rFonts w:ascii="Arial" w:hAnsi="Arial" w:cs="Arial"/>
          <w:sz w:val="20"/>
          <w:szCs w:val="20"/>
          <w:lang w:val="es-ES"/>
        </w:rPr>
        <w:t xml:space="preserve"> 30 colabora</w:t>
      </w:r>
      <w:r>
        <w:rPr>
          <w:rFonts w:ascii="Arial" w:hAnsi="Arial" w:cs="Arial"/>
          <w:sz w:val="20"/>
          <w:szCs w:val="20"/>
          <w:lang w:val="es-ES"/>
        </w:rPr>
        <w:t xml:space="preserve"> principalmente con los programas siguientes</w:t>
      </w:r>
      <w:r w:rsidR="00C35C71" w:rsidRPr="00D463D6">
        <w:rPr>
          <w:rFonts w:ascii="Arial" w:hAnsi="Arial" w:cs="Arial"/>
          <w:sz w:val="20"/>
          <w:szCs w:val="20"/>
          <w:lang w:val="es-ES"/>
        </w:rPr>
        <w:t>:</w:t>
      </w:r>
    </w:p>
    <w:p w:rsidR="00EA32E6" w:rsidRPr="00D463D6" w:rsidRDefault="00EA32E6" w:rsidP="00EA32E6">
      <w:pPr>
        <w:widowControl w:val="0"/>
        <w:tabs>
          <w:tab w:val="left" w:pos="709"/>
        </w:tabs>
        <w:jc w:val="both"/>
        <w:rPr>
          <w:sz w:val="20"/>
        </w:rPr>
      </w:pPr>
    </w:p>
    <w:p w:rsidR="00EA32E6" w:rsidRPr="006A3CA4" w:rsidRDefault="00EA32E6" w:rsidP="00EA32E6">
      <w:pPr>
        <w:widowControl w:val="0"/>
        <w:jc w:val="center"/>
        <w:rPr>
          <w:rFonts w:eastAsia="Arial"/>
          <w:spacing w:val="-1"/>
          <w:szCs w:val="22"/>
          <w:lang w:val="es-ES_tradnl"/>
        </w:rPr>
      </w:pPr>
    </w:p>
    <w:p w:rsidR="00EA32E6" w:rsidRPr="006763AC" w:rsidRDefault="00EA32E6" w:rsidP="00EA32E6">
      <w:pPr>
        <w:widowControl w:val="0"/>
        <w:jc w:val="center"/>
        <w:rPr>
          <w:rFonts w:eastAsia="Arial"/>
          <w:spacing w:val="-1"/>
          <w:szCs w:val="22"/>
        </w:rPr>
      </w:pPr>
      <w:r w:rsidRPr="006763AC">
        <w:rPr>
          <w:noProof/>
          <w:lang w:val="en-US" w:eastAsia="en-US"/>
        </w:rPr>
        <w:drawing>
          <wp:inline distT="0" distB="0" distL="0" distR="0" wp14:anchorId="79A09100" wp14:editId="1FE79454">
            <wp:extent cx="5486400" cy="1657350"/>
            <wp:effectExtent l="0" t="19050" r="0" b="0"/>
            <wp:docPr id="977" name="Diagram 9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rsidR="00EA32E6" w:rsidRPr="006763AC" w:rsidRDefault="00EA32E6" w:rsidP="00EA32E6">
      <w:pPr>
        <w:rPr>
          <w:rFonts w:eastAsia="Arial"/>
          <w:szCs w:val="22"/>
        </w:rPr>
      </w:pPr>
      <w:r w:rsidRPr="006763AC">
        <w:rPr>
          <w:rFonts w:eastAsia="Arial"/>
          <w:szCs w:val="22"/>
        </w:rPr>
        <w:br w:type="page"/>
      </w:r>
    </w:p>
    <w:p w:rsidR="00EA32E6" w:rsidRPr="006763AC" w:rsidRDefault="00EA32E6" w:rsidP="00EA32E6">
      <w:pPr>
        <w:widowControl w:val="0"/>
        <w:rPr>
          <w:rFonts w:eastAsia="Arial"/>
          <w:szCs w:val="22"/>
        </w:rPr>
      </w:pPr>
      <w:r w:rsidRPr="006763AC">
        <w:rPr>
          <w:rFonts w:eastAsia="Arial"/>
          <w:szCs w:val="22"/>
        </w:rPr>
        <w:lastRenderedPageBreak/>
        <w:t xml:space="preserve">PRINCIPALES RIESGOS Y ESTRATEGIAS DE MITIGACIÓN </w:t>
      </w:r>
    </w:p>
    <w:p w:rsidR="00EA32E6" w:rsidRPr="006763AC" w:rsidRDefault="00EA32E6" w:rsidP="00EA32E6">
      <w:pPr>
        <w:widowControl w:val="0"/>
        <w:rPr>
          <w:rFonts w:eastAsia="Arial"/>
          <w:szCs w:val="22"/>
        </w:rPr>
      </w:pPr>
    </w:p>
    <w:tbl>
      <w:tblPr>
        <w:tblW w:w="9498" w:type="dxa"/>
        <w:tblInd w:w="108" w:type="dxa"/>
        <w:tblCellMar>
          <w:left w:w="0" w:type="dxa"/>
          <w:right w:w="0" w:type="dxa"/>
        </w:tblCellMar>
        <w:tblLook w:val="04A0" w:firstRow="1" w:lastRow="0" w:firstColumn="1" w:lastColumn="0" w:noHBand="0" w:noVBand="1"/>
      </w:tblPr>
      <w:tblGrid>
        <w:gridCol w:w="4253"/>
        <w:gridCol w:w="5245"/>
      </w:tblGrid>
      <w:tr w:rsidR="00EA32E6" w:rsidRPr="006763AC" w:rsidTr="00E02444">
        <w:trPr>
          <w:trHeight w:val="577"/>
        </w:trPr>
        <w:tc>
          <w:tcPr>
            <w:tcW w:w="4253"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rsidR="00EA32E6" w:rsidRPr="006763AC" w:rsidRDefault="00EA32E6" w:rsidP="00E02444">
            <w:pPr>
              <w:widowControl w:val="0"/>
              <w:spacing w:line="276" w:lineRule="auto"/>
              <w:jc w:val="center"/>
              <w:rPr>
                <w:rFonts w:ascii="Calibri" w:eastAsiaTheme="minorHAnsi" w:hAnsi="Calibri"/>
                <w:szCs w:val="22"/>
              </w:rPr>
            </w:pPr>
            <w:r w:rsidRPr="006763AC">
              <w:rPr>
                <w:rFonts w:ascii="Calibri" w:eastAsiaTheme="minorHAnsi" w:hAnsi="Calibri"/>
                <w:b/>
                <w:szCs w:val="22"/>
              </w:rPr>
              <w:t>Riesgo</w:t>
            </w:r>
          </w:p>
        </w:tc>
        <w:tc>
          <w:tcPr>
            <w:tcW w:w="5245"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rsidR="00EA32E6" w:rsidRPr="006763AC" w:rsidRDefault="00EA32E6" w:rsidP="00E02444">
            <w:pPr>
              <w:widowControl w:val="0"/>
              <w:spacing w:line="276" w:lineRule="auto"/>
              <w:jc w:val="center"/>
              <w:rPr>
                <w:rFonts w:ascii="Calibri" w:eastAsiaTheme="minorHAnsi" w:hAnsi="Calibri"/>
                <w:szCs w:val="22"/>
              </w:rPr>
            </w:pPr>
            <w:r w:rsidRPr="006763AC">
              <w:rPr>
                <w:b/>
                <w:bCs/>
                <w:sz w:val="18"/>
                <w:szCs w:val="18"/>
              </w:rPr>
              <w:t>Mitigación</w:t>
            </w:r>
          </w:p>
        </w:tc>
      </w:tr>
      <w:tr w:rsidR="00EA32E6" w:rsidRPr="006763AC" w:rsidTr="00E02444">
        <w:trPr>
          <w:trHeight w:val="533"/>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rsidR="00EA32E6" w:rsidRPr="006763AC" w:rsidRDefault="00EA32E6" w:rsidP="00E02444">
            <w:pPr>
              <w:widowControl w:val="0"/>
              <w:spacing w:line="276" w:lineRule="auto"/>
              <w:rPr>
                <w:rFonts w:eastAsiaTheme="minorHAnsi"/>
                <w:sz w:val="16"/>
                <w:szCs w:val="16"/>
              </w:rPr>
            </w:pPr>
            <w:r w:rsidRPr="006763AC">
              <w:rPr>
                <w:rFonts w:eastAsiaTheme="minorHAnsi"/>
                <w:sz w:val="16"/>
                <w:szCs w:val="16"/>
              </w:rPr>
              <w:t xml:space="preserve">Los cambios políticos o económicos pueden suponer que se vuelvan a definir las prioridades respecto de la atención que recibe la formulación de estrategias nacionales de P.I. y de innovación. </w:t>
            </w:r>
          </w:p>
        </w:tc>
        <w:tc>
          <w:tcPr>
            <w:tcW w:w="5245" w:type="dxa"/>
            <w:tcBorders>
              <w:top w:val="nil"/>
              <w:left w:val="nil"/>
              <w:bottom w:val="single" w:sz="8" w:space="0" w:color="auto"/>
              <w:right w:val="single" w:sz="8" w:space="0" w:color="auto"/>
            </w:tcBorders>
            <w:tcMar>
              <w:top w:w="113" w:type="dxa"/>
              <w:left w:w="108" w:type="dxa"/>
              <w:bottom w:w="113" w:type="dxa"/>
              <w:right w:w="108" w:type="dxa"/>
            </w:tcMar>
            <w:hideMark/>
          </w:tcPr>
          <w:p w:rsidR="00EA32E6" w:rsidRPr="006763AC" w:rsidRDefault="00EA32E6" w:rsidP="00E02444">
            <w:pPr>
              <w:widowControl w:val="0"/>
              <w:spacing w:line="276" w:lineRule="auto"/>
              <w:rPr>
                <w:rFonts w:ascii="Calibri" w:eastAsiaTheme="minorHAnsi" w:hAnsi="Calibri"/>
                <w:szCs w:val="22"/>
              </w:rPr>
            </w:pPr>
            <w:r w:rsidRPr="006763AC">
              <w:rPr>
                <w:sz w:val="16"/>
                <w:szCs w:val="16"/>
              </w:rPr>
              <w:t xml:space="preserve">Colaborar estrechamente con beneficiarios, donantes y Estados miembros.  Planificar y coordinar todas las cuestiones de P.I. con otras organizaciones y asociados en el plano internacional.  </w:t>
            </w:r>
          </w:p>
        </w:tc>
      </w:tr>
    </w:tbl>
    <w:p w:rsidR="00EA32E6" w:rsidRPr="006763AC" w:rsidRDefault="00EA32E6" w:rsidP="00EA32E6">
      <w:pPr>
        <w:widowControl w:val="0"/>
        <w:rPr>
          <w:rFonts w:ascii="Calibri" w:eastAsiaTheme="minorHAnsi" w:hAnsi="Calibri"/>
          <w:szCs w:val="22"/>
        </w:rPr>
      </w:pPr>
    </w:p>
    <w:p w:rsidR="00EA32E6" w:rsidRPr="006763AC" w:rsidRDefault="00EA32E6" w:rsidP="00EA32E6">
      <w:pPr>
        <w:widowControl w:val="0"/>
        <w:rPr>
          <w:rFonts w:eastAsia="Arial"/>
          <w:szCs w:val="22"/>
        </w:rPr>
      </w:pPr>
    </w:p>
    <w:p w:rsidR="00EA32E6" w:rsidRPr="006763AC" w:rsidRDefault="00EA32E6" w:rsidP="00EA32E6">
      <w:pPr>
        <w:widowControl w:val="0"/>
        <w:rPr>
          <w:rFonts w:eastAsia="Arial"/>
          <w:szCs w:val="22"/>
        </w:rPr>
      </w:pPr>
      <w:r w:rsidRPr="006763AC">
        <w:rPr>
          <w:rFonts w:eastAsia="Arial"/>
          <w:szCs w:val="22"/>
        </w:rPr>
        <w:t>MARCO DE RESULTADOS</w:t>
      </w:r>
    </w:p>
    <w:p w:rsidR="00EA32E6" w:rsidRPr="006763AC" w:rsidRDefault="00EA32E6" w:rsidP="00EA32E6">
      <w:pPr>
        <w:widowControl w:val="0"/>
        <w:rPr>
          <w:rFonts w:eastAsia="Arial"/>
          <w:szCs w:val="22"/>
        </w:rPr>
      </w:pPr>
    </w:p>
    <w:tbl>
      <w:tblPr>
        <w:tblW w:w="9360" w:type="dxa"/>
        <w:tblInd w:w="93" w:type="dxa"/>
        <w:tblLook w:val="04A0" w:firstRow="1" w:lastRow="0" w:firstColumn="1" w:lastColumn="0" w:noHBand="0" w:noVBand="1"/>
      </w:tblPr>
      <w:tblGrid>
        <w:gridCol w:w="2820"/>
        <w:gridCol w:w="2780"/>
        <w:gridCol w:w="1480"/>
        <w:gridCol w:w="2280"/>
      </w:tblGrid>
      <w:tr w:rsidR="00EA32E6" w:rsidRPr="006763AC" w:rsidTr="00E02444">
        <w:trPr>
          <w:trHeight w:val="600"/>
          <w:tblHeader/>
        </w:trPr>
        <w:tc>
          <w:tcPr>
            <w:tcW w:w="2820" w:type="dxa"/>
            <w:tcBorders>
              <w:top w:val="single" w:sz="4" w:space="0" w:color="auto"/>
              <w:left w:val="single" w:sz="4" w:space="0" w:color="auto"/>
              <w:bottom w:val="single" w:sz="4" w:space="0" w:color="auto"/>
              <w:right w:val="nil"/>
            </w:tcBorders>
            <w:shd w:val="clear" w:color="000000" w:fill="C5D9F1"/>
            <w:vAlign w:val="center"/>
            <w:hideMark/>
          </w:tcPr>
          <w:p w:rsidR="00EA32E6" w:rsidRPr="006763AC" w:rsidRDefault="00EA32E6" w:rsidP="00E02444">
            <w:pPr>
              <w:widowControl w:val="0"/>
              <w:jc w:val="center"/>
              <w:rPr>
                <w:rFonts w:eastAsia="Times New Roman"/>
                <w:b/>
                <w:bCs/>
                <w:sz w:val="18"/>
                <w:szCs w:val="18"/>
              </w:rPr>
            </w:pPr>
            <w:r w:rsidRPr="006763AC">
              <w:rPr>
                <w:rFonts w:eastAsia="Times New Roman"/>
                <w:b/>
                <w:bCs/>
                <w:sz w:val="18"/>
                <w:szCs w:val="18"/>
              </w:rPr>
              <w:t>Resultados previstos</w:t>
            </w:r>
          </w:p>
        </w:tc>
        <w:tc>
          <w:tcPr>
            <w:tcW w:w="2780" w:type="dxa"/>
            <w:tcBorders>
              <w:top w:val="single" w:sz="4" w:space="0" w:color="auto"/>
              <w:left w:val="nil"/>
              <w:bottom w:val="single" w:sz="4" w:space="0" w:color="auto"/>
              <w:right w:val="nil"/>
            </w:tcBorders>
            <w:shd w:val="clear" w:color="000000" w:fill="C5D9F1"/>
            <w:vAlign w:val="center"/>
            <w:hideMark/>
          </w:tcPr>
          <w:p w:rsidR="00EA32E6" w:rsidRPr="006763AC" w:rsidRDefault="00EA32E6" w:rsidP="00E02444">
            <w:pPr>
              <w:widowControl w:val="0"/>
              <w:jc w:val="center"/>
              <w:rPr>
                <w:rFonts w:eastAsia="Times New Roman"/>
                <w:b/>
                <w:bCs/>
                <w:sz w:val="18"/>
                <w:szCs w:val="18"/>
              </w:rPr>
            </w:pPr>
            <w:r w:rsidRPr="006763AC">
              <w:rPr>
                <w:rFonts w:eastAsia="Times New Roman"/>
                <w:b/>
                <w:bCs/>
                <w:sz w:val="18"/>
                <w:szCs w:val="18"/>
              </w:rPr>
              <w:t>Indicadores de rendimiento</w:t>
            </w:r>
          </w:p>
        </w:tc>
        <w:tc>
          <w:tcPr>
            <w:tcW w:w="1480" w:type="dxa"/>
            <w:tcBorders>
              <w:top w:val="single" w:sz="4" w:space="0" w:color="auto"/>
              <w:left w:val="nil"/>
              <w:bottom w:val="single" w:sz="4" w:space="0" w:color="auto"/>
              <w:right w:val="nil"/>
            </w:tcBorders>
            <w:shd w:val="clear" w:color="000000" w:fill="C5D9F1"/>
            <w:vAlign w:val="center"/>
            <w:hideMark/>
          </w:tcPr>
          <w:p w:rsidR="00EA32E6" w:rsidRPr="006763AC" w:rsidRDefault="00EA32E6" w:rsidP="00E02444">
            <w:pPr>
              <w:widowControl w:val="0"/>
              <w:jc w:val="center"/>
              <w:rPr>
                <w:rFonts w:eastAsia="Times New Roman"/>
                <w:b/>
                <w:bCs/>
                <w:sz w:val="18"/>
                <w:szCs w:val="18"/>
              </w:rPr>
            </w:pPr>
            <w:r w:rsidRPr="006763AC">
              <w:rPr>
                <w:rFonts w:eastAsia="Times New Roman"/>
                <w:b/>
                <w:bCs/>
                <w:sz w:val="18"/>
                <w:szCs w:val="18"/>
              </w:rPr>
              <w:t>Referencia</w:t>
            </w:r>
          </w:p>
        </w:tc>
        <w:tc>
          <w:tcPr>
            <w:tcW w:w="2280" w:type="dxa"/>
            <w:tcBorders>
              <w:top w:val="single" w:sz="4" w:space="0" w:color="auto"/>
              <w:left w:val="nil"/>
              <w:bottom w:val="single" w:sz="4" w:space="0" w:color="auto"/>
              <w:right w:val="single" w:sz="4" w:space="0" w:color="auto"/>
            </w:tcBorders>
            <w:shd w:val="clear" w:color="000000" w:fill="C5D9F1"/>
            <w:vAlign w:val="center"/>
            <w:hideMark/>
          </w:tcPr>
          <w:p w:rsidR="00EA32E6" w:rsidRPr="006763AC" w:rsidRDefault="00EA32E6" w:rsidP="00E02444">
            <w:pPr>
              <w:widowControl w:val="0"/>
              <w:jc w:val="center"/>
              <w:rPr>
                <w:rFonts w:eastAsia="Times New Roman"/>
                <w:b/>
                <w:bCs/>
                <w:sz w:val="18"/>
                <w:szCs w:val="18"/>
              </w:rPr>
            </w:pPr>
            <w:r w:rsidRPr="006763AC">
              <w:rPr>
                <w:rFonts w:eastAsia="Times New Roman"/>
                <w:b/>
                <w:bCs/>
                <w:sz w:val="18"/>
                <w:szCs w:val="18"/>
              </w:rPr>
              <w:t>Objetivos</w:t>
            </w:r>
          </w:p>
        </w:tc>
      </w:tr>
      <w:tr w:rsidR="00EA32E6" w:rsidRPr="006763AC" w:rsidTr="00D463D6">
        <w:trPr>
          <w:trHeight w:val="1122"/>
        </w:trPr>
        <w:tc>
          <w:tcPr>
            <w:tcW w:w="2820" w:type="dxa"/>
            <w:tcBorders>
              <w:top w:val="nil"/>
              <w:left w:val="single" w:sz="4" w:space="0" w:color="auto"/>
              <w:bottom w:val="nil"/>
              <w:right w:val="nil"/>
            </w:tcBorders>
            <w:shd w:val="clear" w:color="000000" w:fill="FFFFFF"/>
            <w:hideMark/>
          </w:tcPr>
          <w:p w:rsidR="00EA32E6" w:rsidRPr="00D463D6" w:rsidRDefault="00EA32E6" w:rsidP="00E02444">
            <w:pPr>
              <w:widowControl w:val="0"/>
              <w:rPr>
                <w:rFonts w:eastAsia="Times New Roman"/>
                <w:sz w:val="16"/>
                <w:szCs w:val="16"/>
              </w:rPr>
            </w:pPr>
          </w:p>
          <w:p w:rsidR="00EA32E6" w:rsidRPr="00D463D6" w:rsidRDefault="00EA32E6" w:rsidP="00E02444">
            <w:pPr>
              <w:widowControl w:val="0"/>
              <w:rPr>
                <w:rFonts w:eastAsia="Times New Roman"/>
                <w:sz w:val="16"/>
                <w:szCs w:val="16"/>
              </w:rPr>
            </w:pPr>
            <w:r w:rsidRPr="00D463D6">
              <w:rPr>
                <w:rFonts w:eastAsia="Times New Roman"/>
                <w:sz w:val="16"/>
                <w:szCs w:val="16"/>
              </w:rPr>
              <w:t xml:space="preserve">III.1 </w:t>
            </w:r>
            <w:r w:rsidR="00B74100" w:rsidRPr="00D463D6">
              <w:rPr>
                <w:rFonts w:eastAsia="Times New Roman"/>
                <w:sz w:val="16"/>
                <w:szCs w:val="16"/>
              </w:rPr>
              <w:t xml:space="preserve"> </w:t>
            </w:r>
            <w:r w:rsidR="00B74100" w:rsidRPr="00D463D6">
              <w:rPr>
                <w:sz w:val="16"/>
                <w:szCs w:val="16"/>
                <w:lang w:val="es-ES_tradnl"/>
              </w:rPr>
              <w:t>Estrategias y planes nacionales de innovación y de P.I. que estén en sintonía con los objetivos nacionales de desarrollo</w:t>
            </w:r>
          </w:p>
        </w:tc>
        <w:tc>
          <w:tcPr>
            <w:tcW w:w="2780" w:type="dxa"/>
            <w:tcBorders>
              <w:top w:val="nil"/>
              <w:left w:val="nil"/>
              <w:bottom w:val="nil"/>
              <w:right w:val="nil"/>
            </w:tcBorders>
            <w:shd w:val="clear" w:color="000000" w:fill="FFFFFF"/>
            <w:hideMark/>
          </w:tcPr>
          <w:p w:rsidR="00EA32E6" w:rsidRPr="006763AC" w:rsidRDefault="00EA32E6" w:rsidP="00E02444">
            <w:pPr>
              <w:widowControl w:val="0"/>
              <w:ind w:left="206" w:firstLineChars="71" w:firstLine="114"/>
              <w:rPr>
                <w:rFonts w:eastAsia="Times New Roman"/>
                <w:sz w:val="16"/>
                <w:szCs w:val="16"/>
              </w:rPr>
            </w:pPr>
          </w:p>
          <w:p w:rsidR="00EA32E6" w:rsidRPr="006763AC" w:rsidRDefault="00EA32E6" w:rsidP="001E701B">
            <w:pPr>
              <w:widowControl w:val="0"/>
              <w:ind w:left="64"/>
              <w:rPr>
                <w:rFonts w:eastAsia="Times New Roman"/>
                <w:sz w:val="16"/>
                <w:szCs w:val="16"/>
              </w:rPr>
            </w:pPr>
            <w:r w:rsidRPr="006763AC">
              <w:rPr>
                <w:rFonts w:eastAsia="Times New Roman"/>
                <w:sz w:val="16"/>
                <w:szCs w:val="16"/>
              </w:rPr>
              <w:t>N</w:t>
            </w:r>
            <w:r w:rsidR="001E701B">
              <w:rPr>
                <w:rFonts w:eastAsia="Times New Roman"/>
                <w:sz w:val="16"/>
                <w:szCs w:val="16"/>
              </w:rPr>
              <w:t>º</w:t>
            </w:r>
            <w:r w:rsidRPr="006763AC">
              <w:rPr>
                <w:rFonts w:eastAsia="Times New Roman"/>
                <w:sz w:val="16"/>
                <w:szCs w:val="16"/>
              </w:rPr>
              <w:t xml:space="preserve"> de estrategias nacionales de P.I. encaminadas a promover la creatividad, incluida la innovación. </w:t>
            </w:r>
          </w:p>
        </w:tc>
        <w:tc>
          <w:tcPr>
            <w:tcW w:w="1480" w:type="dxa"/>
            <w:tcBorders>
              <w:top w:val="nil"/>
              <w:left w:val="nil"/>
              <w:bottom w:val="nil"/>
              <w:right w:val="nil"/>
            </w:tcBorders>
            <w:shd w:val="clear" w:color="000000" w:fill="FFFFFF"/>
            <w:hideMark/>
          </w:tcPr>
          <w:p w:rsidR="00EA32E6" w:rsidRPr="006763AC" w:rsidRDefault="00EA32E6" w:rsidP="00E02444">
            <w:pPr>
              <w:widowControl w:val="0"/>
              <w:ind w:left="261" w:firstLineChars="36" w:firstLine="58"/>
              <w:rPr>
                <w:rFonts w:eastAsia="Times New Roman"/>
                <w:sz w:val="16"/>
                <w:szCs w:val="16"/>
              </w:rPr>
            </w:pPr>
          </w:p>
          <w:p w:rsidR="00EA32E6" w:rsidRPr="006763AC" w:rsidRDefault="00D463D6" w:rsidP="00D463D6">
            <w:pPr>
              <w:widowControl w:val="0"/>
              <w:ind w:left="119"/>
              <w:rPr>
                <w:rFonts w:eastAsia="Times New Roman"/>
                <w:sz w:val="16"/>
                <w:szCs w:val="16"/>
              </w:rPr>
            </w:pPr>
            <w:r>
              <w:rPr>
                <w:rFonts w:eastAsia="Times New Roman"/>
                <w:sz w:val="16"/>
                <w:szCs w:val="16"/>
              </w:rPr>
              <w:t>4 iniciadas (2014)</w:t>
            </w:r>
          </w:p>
        </w:tc>
        <w:tc>
          <w:tcPr>
            <w:tcW w:w="2280" w:type="dxa"/>
            <w:tcBorders>
              <w:top w:val="nil"/>
              <w:left w:val="nil"/>
              <w:bottom w:val="nil"/>
              <w:right w:val="single" w:sz="4" w:space="0" w:color="auto"/>
            </w:tcBorders>
            <w:shd w:val="clear" w:color="000000" w:fill="FFFFFF"/>
            <w:hideMark/>
          </w:tcPr>
          <w:p w:rsidR="00EA32E6" w:rsidRPr="006763AC" w:rsidRDefault="00EA32E6" w:rsidP="00EA32E6">
            <w:pPr>
              <w:widowControl w:val="0"/>
              <w:ind w:leftChars="140" w:left="310" w:hangingChars="1" w:hanging="2"/>
              <w:rPr>
                <w:rFonts w:eastAsia="Times New Roman"/>
                <w:sz w:val="16"/>
                <w:szCs w:val="16"/>
              </w:rPr>
            </w:pPr>
          </w:p>
          <w:p w:rsidR="00EA32E6" w:rsidRPr="006763AC" w:rsidRDefault="00EA32E6" w:rsidP="00EA32E6">
            <w:pPr>
              <w:widowControl w:val="0"/>
              <w:ind w:leftChars="140" w:left="310" w:hangingChars="1" w:hanging="2"/>
              <w:rPr>
                <w:rFonts w:eastAsia="Times New Roman"/>
                <w:sz w:val="16"/>
                <w:szCs w:val="16"/>
              </w:rPr>
            </w:pPr>
            <w:r w:rsidRPr="006763AC">
              <w:rPr>
                <w:rFonts w:eastAsia="Times New Roman"/>
                <w:sz w:val="16"/>
                <w:szCs w:val="16"/>
              </w:rPr>
              <w:t>5 países</w:t>
            </w:r>
          </w:p>
        </w:tc>
      </w:tr>
      <w:tr w:rsidR="00EA32E6" w:rsidRPr="006763AC" w:rsidTr="00E02444">
        <w:trPr>
          <w:trHeight w:val="1449"/>
        </w:trPr>
        <w:tc>
          <w:tcPr>
            <w:tcW w:w="2820" w:type="dxa"/>
            <w:tcBorders>
              <w:top w:val="nil"/>
              <w:left w:val="single" w:sz="4" w:space="0" w:color="auto"/>
              <w:bottom w:val="nil"/>
              <w:right w:val="nil"/>
            </w:tcBorders>
            <w:shd w:val="clear" w:color="000000" w:fill="FFFFFF"/>
            <w:hideMark/>
          </w:tcPr>
          <w:p w:rsidR="00EA32E6" w:rsidRPr="00D463D6" w:rsidRDefault="00EA32E6" w:rsidP="00E02444">
            <w:pPr>
              <w:widowControl w:val="0"/>
              <w:rPr>
                <w:rFonts w:eastAsia="Times New Roman"/>
                <w:sz w:val="16"/>
                <w:szCs w:val="16"/>
              </w:rPr>
            </w:pPr>
            <w:r w:rsidRPr="00D463D6">
              <w:rPr>
                <w:rFonts w:eastAsia="Times New Roman"/>
                <w:sz w:val="16"/>
                <w:szCs w:val="16"/>
              </w:rPr>
              <w:t xml:space="preserve">III.2 </w:t>
            </w:r>
            <w:r w:rsidR="001C77D9" w:rsidRPr="00D463D6">
              <w:rPr>
                <w:rFonts w:eastAsia="Times New Roman"/>
                <w:sz w:val="16"/>
                <w:szCs w:val="16"/>
              </w:rPr>
              <w:t xml:space="preserve"> </w:t>
            </w:r>
            <w:r w:rsidR="006C23D5" w:rsidRPr="00D463D6">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780" w:type="dxa"/>
            <w:tcBorders>
              <w:top w:val="nil"/>
              <w:left w:val="nil"/>
              <w:bottom w:val="nil"/>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Porcentaje de profesionales de la P.I. formados que utilizan en su trabajo las nuevas aptitudes adquiridas.</w:t>
            </w:r>
          </w:p>
        </w:tc>
        <w:tc>
          <w:tcPr>
            <w:tcW w:w="1480" w:type="dxa"/>
            <w:tcBorders>
              <w:top w:val="nil"/>
              <w:left w:val="nil"/>
              <w:bottom w:val="nil"/>
              <w:right w:val="nil"/>
            </w:tcBorders>
            <w:shd w:val="clear" w:color="000000" w:fill="FFFFFF"/>
            <w:hideMark/>
          </w:tcPr>
          <w:p w:rsidR="00EA32E6" w:rsidRPr="006763AC" w:rsidRDefault="00D463D6" w:rsidP="00D463D6">
            <w:pPr>
              <w:widowControl w:val="0"/>
              <w:ind w:left="119"/>
              <w:rPr>
                <w:rFonts w:eastAsia="Times New Roman"/>
                <w:sz w:val="16"/>
                <w:szCs w:val="16"/>
              </w:rPr>
            </w:pPr>
            <w:r>
              <w:rPr>
                <w:rFonts w:eastAsia="Times New Roman"/>
                <w:sz w:val="16"/>
                <w:szCs w:val="16"/>
              </w:rPr>
              <w:t>&gt; 60%</w:t>
            </w:r>
          </w:p>
        </w:tc>
        <w:tc>
          <w:tcPr>
            <w:tcW w:w="2280" w:type="dxa"/>
            <w:tcBorders>
              <w:top w:val="nil"/>
              <w:left w:val="nil"/>
              <w:bottom w:val="nil"/>
              <w:right w:val="single" w:sz="4" w:space="0" w:color="auto"/>
            </w:tcBorders>
            <w:shd w:val="clear" w:color="000000" w:fill="FFFFFF"/>
            <w:hideMark/>
          </w:tcPr>
          <w:p w:rsidR="00EA32E6" w:rsidRPr="006763AC" w:rsidRDefault="00EA32E6" w:rsidP="00E02444">
            <w:pPr>
              <w:widowControl w:val="0"/>
              <w:ind w:firstLineChars="200" w:firstLine="320"/>
              <w:rPr>
                <w:rFonts w:eastAsia="Times New Roman"/>
                <w:sz w:val="16"/>
                <w:szCs w:val="16"/>
              </w:rPr>
            </w:pPr>
            <w:r w:rsidRPr="006763AC">
              <w:rPr>
                <w:rFonts w:eastAsia="Times New Roman"/>
                <w:sz w:val="16"/>
                <w:szCs w:val="16"/>
              </w:rPr>
              <w:t>50%</w:t>
            </w:r>
          </w:p>
        </w:tc>
      </w:tr>
      <w:tr w:rsidR="00EA32E6" w:rsidRPr="006763AC" w:rsidTr="00E02444">
        <w:trPr>
          <w:trHeight w:val="1161"/>
        </w:trPr>
        <w:tc>
          <w:tcPr>
            <w:tcW w:w="2820" w:type="dxa"/>
            <w:tcBorders>
              <w:top w:val="nil"/>
              <w:left w:val="single" w:sz="4" w:space="0" w:color="auto"/>
              <w:bottom w:val="nil"/>
              <w:right w:val="nil"/>
            </w:tcBorders>
            <w:shd w:val="clear" w:color="000000" w:fill="FFFFFF"/>
            <w:hideMark/>
          </w:tcPr>
          <w:p w:rsidR="00EA32E6" w:rsidRPr="00D463D6" w:rsidRDefault="00EA32E6" w:rsidP="00E02444">
            <w:pPr>
              <w:widowControl w:val="0"/>
              <w:rPr>
                <w:rFonts w:eastAsia="Times New Roman"/>
                <w:sz w:val="16"/>
                <w:szCs w:val="16"/>
              </w:rPr>
            </w:pPr>
          </w:p>
          <w:p w:rsidR="00EA32E6" w:rsidRPr="00D463D6" w:rsidRDefault="00EA32E6" w:rsidP="00E02444">
            <w:pPr>
              <w:widowControl w:val="0"/>
              <w:rPr>
                <w:rFonts w:eastAsia="Times New Roman"/>
                <w:sz w:val="16"/>
                <w:szCs w:val="16"/>
              </w:rPr>
            </w:pPr>
            <w:r w:rsidRPr="00D463D6">
              <w:rPr>
                <w:rFonts w:eastAsia="Times New Roman"/>
                <w:sz w:val="16"/>
                <w:szCs w:val="16"/>
              </w:rPr>
              <w:t xml:space="preserve">III.6 </w:t>
            </w:r>
            <w:r w:rsidR="00B74100" w:rsidRPr="00D463D6">
              <w:rPr>
                <w:rFonts w:eastAsia="Times New Roman"/>
                <w:sz w:val="16"/>
                <w:szCs w:val="16"/>
              </w:rPr>
              <w:t xml:space="preserve"> </w:t>
            </w:r>
            <w:r w:rsidR="00B74100" w:rsidRPr="00D463D6">
              <w:rPr>
                <w:sz w:val="16"/>
                <w:szCs w:val="16"/>
                <w:lang w:val="es-ES_tradnl"/>
              </w:rPr>
              <w:t>Mayor capacidad de las pymes para utilizar con éxito la P.I. con el fin de apoyar la innovación</w:t>
            </w:r>
          </w:p>
        </w:tc>
        <w:tc>
          <w:tcPr>
            <w:tcW w:w="2780" w:type="dxa"/>
            <w:tcBorders>
              <w:top w:val="nil"/>
              <w:left w:val="nil"/>
              <w:bottom w:val="nil"/>
              <w:right w:val="nil"/>
            </w:tcBorders>
            <w:shd w:val="clear" w:color="000000" w:fill="FFFFFF"/>
            <w:hideMark/>
          </w:tcPr>
          <w:p w:rsidR="00EA32E6" w:rsidRPr="006763AC" w:rsidRDefault="00EA32E6" w:rsidP="00E02444">
            <w:pPr>
              <w:widowControl w:val="0"/>
              <w:ind w:left="206"/>
              <w:rPr>
                <w:rFonts w:eastAsia="Times New Roman"/>
                <w:sz w:val="16"/>
                <w:szCs w:val="16"/>
              </w:rPr>
            </w:pPr>
          </w:p>
          <w:p w:rsidR="00EA32E6" w:rsidRPr="006763AC" w:rsidRDefault="00EA32E6" w:rsidP="001E701B">
            <w:pPr>
              <w:widowControl w:val="0"/>
              <w:ind w:left="64"/>
              <w:rPr>
                <w:rFonts w:eastAsia="Times New Roman"/>
                <w:sz w:val="16"/>
                <w:szCs w:val="16"/>
              </w:rPr>
            </w:pPr>
            <w:r w:rsidRPr="006763AC">
              <w:rPr>
                <w:rFonts w:eastAsia="Times New Roman"/>
                <w:sz w:val="16"/>
                <w:szCs w:val="16"/>
              </w:rPr>
              <w:t>Porcentaje de participantes en programas de formación destinados a instituciones de apoyo a las pymes que manifiestan satisfacción con el contenido y la organización de esos eventos.</w:t>
            </w:r>
          </w:p>
          <w:p w:rsidR="00EA32E6" w:rsidRPr="006763AC" w:rsidRDefault="00EA32E6" w:rsidP="00E02444">
            <w:pPr>
              <w:widowControl w:val="0"/>
              <w:ind w:left="206"/>
              <w:rPr>
                <w:rFonts w:eastAsia="Times New Roman"/>
                <w:sz w:val="16"/>
                <w:szCs w:val="16"/>
              </w:rPr>
            </w:pPr>
          </w:p>
        </w:tc>
        <w:tc>
          <w:tcPr>
            <w:tcW w:w="1480" w:type="dxa"/>
            <w:tcBorders>
              <w:top w:val="nil"/>
              <w:left w:val="nil"/>
              <w:bottom w:val="nil"/>
              <w:right w:val="nil"/>
            </w:tcBorders>
            <w:shd w:val="clear" w:color="000000" w:fill="FFFFFF"/>
            <w:hideMark/>
          </w:tcPr>
          <w:p w:rsidR="00EA32E6" w:rsidRPr="006763AC" w:rsidRDefault="00EA32E6" w:rsidP="00E02444">
            <w:pPr>
              <w:widowControl w:val="0"/>
              <w:ind w:firstLineChars="200" w:firstLine="320"/>
              <w:rPr>
                <w:rFonts w:eastAsia="Times New Roman"/>
                <w:sz w:val="16"/>
                <w:szCs w:val="16"/>
              </w:rPr>
            </w:pPr>
          </w:p>
          <w:p w:rsidR="00EA32E6" w:rsidRPr="006763AC" w:rsidRDefault="00D463D6" w:rsidP="00D463D6">
            <w:pPr>
              <w:widowControl w:val="0"/>
              <w:ind w:left="119"/>
              <w:rPr>
                <w:rFonts w:eastAsia="Times New Roman"/>
                <w:sz w:val="16"/>
                <w:szCs w:val="16"/>
              </w:rPr>
            </w:pPr>
            <w:r>
              <w:rPr>
                <w:rFonts w:eastAsia="Times New Roman"/>
                <w:sz w:val="16"/>
                <w:szCs w:val="16"/>
              </w:rPr>
              <w:t>100%</w:t>
            </w:r>
          </w:p>
        </w:tc>
        <w:tc>
          <w:tcPr>
            <w:tcW w:w="2280" w:type="dxa"/>
            <w:tcBorders>
              <w:top w:val="nil"/>
              <w:left w:val="nil"/>
              <w:bottom w:val="nil"/>
              <w:right w:val="single" w:sz="4" w:space="0" w:color="auto"/>
            </w:tcBorders>
            <w:shd w:val="clear" w:color="000000" w:fill="FFFFFF"/>
            <w:hideMark/>
          </w:tcPr>
          <w:p w:rsidR="00EA32E6" w:rsidRPr="006763AC" w:rsidRDefault="00EA32E6" w:rsidP="00E02444">
            <w:pPr>
              <w:widowControl w:val="0"/>
              <w:ind w:firstLineChars="200" w:firstLine="320"/>
              <w:rPr>
                <w:rFonts w:eastAsia="Times New Roman"/>
                <w:sz w:val="16"/>
                <w:szCs w:val="16"/>
              </w:rPr>
            </w:pPr>
          </w:p>
          <w:p w:rsidR="00EA32E6" w:rsidRPr="006763AC" w:rsidRDefault="00D463D6" w:rsidP="00D463D6">
            <w:pPr>
              <w:widowControl w:val="0"/>
              <w:ind w:firstLineChars="200" w:firstLine="320"/>
              <w:rPr>
                <w:rFonts w:eastAsia="Times New Roman"/>
                <w:sz w:val="16"/>
                <w:szCs w:val="16"/>
              </w:rPr>
            </w:pPr>
            <w:r>
              <w:rPr>
                <w:rFonts w:eastAsia="Times New Roman"/>
                <w:sz w:val="16"/>
                <w:szCs w:val="16"/>
              </w:rPr>
              <w:t>90%</w:t>
            </w:r>
          </w:p>
        </w:tc>
      </w:tr>
      <w:tr w:rsidR="00EA32E6" w:rsidRPr="006763AC" w:rsidTr="00E02444">
        <w:trPr>
          <w:trHeight w:val="1089"/>
        </w:trPr>
        <w:tc>
          <w:tcPr>
            <w:tcW w:w="2820" w:type="dxa"/>
            <w:tcBorders>
              <w:top w:val="nil"/>
              <w:left w:val="single" w:sz="4" w:space="0" w:color="auto"/>
              <w:bottom w:val="nil"/>
              <w:right w:val="nil"/>
            </w:tcBorders>
            <w:shd w:val="clear" w:color="000000" w:fill="FFFFFF"/>
            <w:hideMark/>
          </w:tcPr>
          <w:p w:rsidR="00EA32E6" w:rsidRPr="006763AC" w:rsidRDefault="00EA32E6" w:rsidP="00E02444">
            <w:pPr>
              <w:widowControl w:val="0"/>
              <w:rPr>
                <w:rFonts w:eastAsia="Times New Roman"/>
                <w:sz w:val="16"/>
                <w:szCs w:val="16"/>
              </w:rPr>
            </w:pPr>
            <w:r w:rsidRPr="006763AC">
              <w:rPr>
                <w:rFonts w:eastAsia="Times New Roman"/>
                <w:sz w:val="16"/>
                <w:szCs w:val="16"/>
              </w:rPr>
              <w:t> </w:t>
            </w:r>
          </w:p>
        </w:tc>
        <w:tc>
          <w:tcPr>
            <w:tcW w:w="2780" w:type="dxa"/>
            <w:tcBorders>
              <w:top w:val="nil"/>
              <w:left w:val="nil"/>
              <w:bottom w:val="nil"/>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Porcentaje de instituciones de respaldo a las pymes que han recibido formación y, a su vez, proporcionan información y servicios de asesoramiento sobre la gestión de activos de P.I.</w:t>
            </w:r>
          </w:p>
          <w:p w:rsidR="00EA32E6" w:rsidRPr="006763AC" w:rsidRDefault="00EA32E6" w:rsidP="00E02444">
            <w:pPr>
              <w:widowControl w:val="0"/>
              <w:ind w:left="206"/>
              <w:rPr>
                <w:rFonts w:eastAsia="Times New Roman"/>
                <w:sz w:val="16"/>
                <w:szCs w:val="16"/>
              </w:rPr>
            </w:pPr>
          </w:p>
        </w:tc>
        <w:tc>
          <w:tcPr>
            <w:tcW w:w="1480" w:type="dxa"/>
            <w:tcBorders>
              <w:top w:val="nil"/>
              <w:left w:val="nil"/>
              <w:bottom w:val="nil"/>
              <w:right w:val="nil"/>
            </w:tcBorders>
            <w:shd w:val="clear" w:color="000000" w:fill="FFFFFF"/>
            <w:hideMark/>
          </w:tcPr>
          <w:p w:rsidR="00EA32E6" w:rsidRPr="006763AC" w:rsidRDefault="00D463D6" w:rsidP="00D463D6">
            <w:pPr>
              <w:widowControl w:val="0"/>
              <w:ind w:left="119"/>
              <w:rPr>
                <w:rFonts w:eastAsia="Times New Roman"/>
                <w:sz w:val="16"/>
                <w:szCs w:val="16"/>
              </w:rPr>
            </w:pPr>
            <w:r>
              <w:rPr>
                <w:rFonts w:eastAsia="Times New Roman"/>
                <w:sz w:val="16"/>
                <w:szCs w:val="16"/>
              </w:rPr>
              <w:t>100%</w:t>
            </w:r>
          </w:p>
        </w:tc>
        <w:tc>
          <w:tcPr>
            <w:tcW w:w="2280" w:type="dxa"/>
            <w:tcBorders>
              <w:top w:val="nil"/>
              <w:left w:val="nil"/>
              <w:bottom w:val="nil"/>
              <w:right w:val="single" w:sz="4" w:space="0" w:color="auto"/>
            </w:tcBorders>
            <w:shd w:val="clear" w:color="000000" w:fill="FFFFFF"/>
            <w:hideMark/>
          </w:tcPr>
          <w:p w:rsidR="00EA32E6" w:rsidRPr="006763AC" w:rsidRDefault="00D463D6" w:rsidP="00D463D6">
            <w:pPr>
              <w:widowControl w:val="0"/>
              <w:ind w:firstLineChars="200" w:firstLine="320"/>
              <w:rPr>
                <w:rFonts w:eastAsia="Times New Roman"/>
                <w:sz w:val="16"/>
                <w:szCs w:val="16"/>
              </w:rPr>
            </w:pPr>
            <w:r>
              <w:rPr>
                <w:rFonts w:eastAsia="Times New Roman"/>
                <w:sz w:val="16"/>
                <w:szCs w:val="16"/>
              </w:rPr>
              <w:t>80%</w:t>
            </w:r>
          </w:p>
        </w:tc>
      </w:tr>
      <w:tr w:rsidR="00EA32E6" w:rsidRPr="006763AC" w:rsidTr="00E02444">
        <w:trPr>
          <w:trHeight w:val="720"/>
        </w:trPr>
        <w:tc>
          <w:tcPr>
            <w:tcW w:w="2820" w:type="dxa"/>
            <w:tcBorders>
              <w:top w:val="nil"/>
              <w:left w:val="single" w:sz="4" w:space="0" w:color="auto"/>
              <w:right w:val="nil"/>
            </w:tcBorders>
            <w:shd w:val="clear" w:color="000000" w:fill="FFFFFF"/>
            <w:hideMark/>
          </w:tcPr>
          <w:p w:rsidR="00EA32E6" w:rsidRPr="006763AC" w:rsidRDefault="00EA32E6" w:rsidP="00E02444">
            <w:pPr>
              <w:widowControl w:val="0"/>
              <w:rPr>
                <w:rFonts w:eastAsia="Times New Roman"/>
                <w:sz w:val="16"/>
                <w:szCs w:val="16"/>
              </w:rPr>
            </w:pPr>
            <w:r w:rsidRPr="006763AC">
              <w:rPr>
                <w:rFonts w:eastAsia="Times New Roman"/>
                <w:sz w:val="16"/>
                <w:szCs w:val="16"/>
              </w:rPr>
              <w:t> </w:t>
            </w:r>
          </w:p>
        </w:tc>
        <w:tc>
          <w:tcPr>
            <w:tcW w:w="2780" w:type="dxa"/>
            <w:tcBorders>
              <w:top w:val="nil"/>
              <w:left w:val="nil"/>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N</w:t>
            </w:r>
            <w:r w:rsidR="001E701B">
              <w:rPr>
                <w:rFonts w:eastAsia="Times New Roman"/>
                <w:sz w:val="16"/>
                <w:szCs w:val="16"/>
              </w:rPr>
              <w:t>º</w:t>
            </w:r>
            <w:r w:rsidRPr="006763AC">
              <w:rPr>
                <w:rFonts w:eastAsia="Times New Roman"/>
                <w:sz w:val="16"/>
                <w:szCs w:val="16"/>
              </w:rPr>
              <w:t xml:space="preserve"> de países que han establecido o perfeccionado programas de formación sobre P.I. para pymes.</w:t>
            </w:r>
          </w:p>
          <w:p w:rsidR="00EA32E6" w:rsidRPr="006763AC" w:rsidRDefault="00EA32E6" w:rsidP="00E02444">
            <w:pPr>
              <w:widowControl w:val="0"/>
              <w:ind w:left="206"/>
              <w:rPr>
                <w:rFonts w:eastAsia="Times New Roman"/>
                <w:sz w:val="16"/>
                <w:szCs w:val="16"/>
              </w:rPr>
            </w:pPr>
          </w:p>
        </w:tc>
        <w:tc>
          <w:tcPr>
            <w:tcW w:w="1480" w:type="dxa"/>
            <w:tcBorders>
              <w:top w:val="nil"/>
              <w:left w:val="nil"/>
              <w:right w:val="nil"/>
            </w:tcBorders>
            <w:shd w:val="clear" w:color="000000" w:fill="FFFFFF"/>
            <w:hideMark/>
          </w:tcPr>
          <w:p w:rsidR="00EA32E6" w:rsidRPr="006763AC" w:rsidRDefault="00D463D6" w:rsidP="00D463D6">
            <w:pPr>
              <w:widowControl w:val="0"/>
              <w:ind w:left="119"/>
              <w:rPr>
                <w:rFonts w:eastAsia="Times New Roman"/>
                <w:sz w:val="16"/>
                <w:szCs w:val="16"/>
              </w:rPr>
            </w:pPr>
            <w:r>
              <w:rPr>
                <w:rFonts w:eastAsia="Times New Roman"/>
                <w:sz w:val="16"/>
                <w:szCs w:val="16"/>
              </w:rPr>
              <w:t>13</w:t>
            </w:r>
          </w:p>
        </w:tc>
        <w:tc>
          <w:tcPr>
            <w:tcW w:w="2280" w:type="dxa"/>
            <w:tcBorders>
              <w:top w:val="nil"/>
              <w:left w:val="nil"/>
              <w:right w:val="single" w:sz="4" w:space="0" w:color="auto"/>
            </w:tcBorders>
            <w:shd w:val="clear" w:color="000000" w:fill="FFFFFF"/>
            <w:hideMark/>
          </w:tcPr>
          <w:p w:rsidR="00EA32E6" w:rsidRPr="006763AC" w:rsidRDefault="00EA32E6" w:rsidP="00D463D6">
            <w:pPr>
              <w:widowControl w:val="0"/>
              <w:ind w:firstLineChars="200" w:firstLine="320"/>
              <w:rPr>
                <w:rFonts w:eastAsia="Times New Roman"/>
                <w:sz w:val="16"/>
                <w:szCs w:val="16"/>
              </w:rPr>
            </w:pPr>
            <w:r w:rsidRPr="006763AC">
              <w:rPr>
                <w:rFonts w:eastAsia="Times New Roman"/>
                <w:sz w:val="16"/>
                <w:szCs w:val="16"/>
              </w:rPr>
              <w:t xml:space="preserve">10 </w:t>
            </w:r>
            <w:r w:rsidR="00D463D6">
              <w:rPr>
                <w:rFonts w:eastAsia="Times New Roman"/>
                <w:sz w:val="16"/>
                <w:szCs w:val="16"/>
              </w:rPr>
              <w:t>más</w:t>
            </w:r>
          </w:p>
        </w:tc>
      </w:tr>
      <w:tr w:rsidR="00EA32E6" w:rsidRPr="006763AC" w:rsidTr="001C77D9">
        <w:trPr>
          <w:trHeight w:val="729"/>
        </w:trPr>
        <w:tc>
          <w:tcPr>
            <w:tcW w:w="2820" w:type="dxa"/>
            <w:tcBorders>
              <w:top w:val="nil"/>
              <w:left w:val="single" w:sz="4" w:space="0" w:color="auto"/>
              <w:right w:val="nil"/>
            </w:tcBorders>
            <w:shd w:val="clear" w:color="000000" w:fill="FFFFFF"/>
            <w:hideMark/>
          </w:tcPr>
          <w:p w:rsidR="00EA32E6" w:rsidRPr="006763AC" w:rsidRDefault="00EA32E6" w:rsidP="00E02444">
            <w:pPr>
              <w:widowControl w:val="0"/>
              <w:rPr>
                <w:rFonts w:eastAsia="Times New Roman"/>
                <w:sz w:val="16"/>
                <w:szCs w:val="16"/>
              </w:rPr>
            </w:pPr>
            <w:r w:rsidRPr="006763AC">
              <w:rPr>
                <w:rFonts w:eastAsia="Times New Roman"/>
                <w:sz w:val="16"/>
                <w:szCs w:val="16"/>
              </w:rPr>
              <w:t> </w:t>
            </w:r>
          </w:p>
        </w:tc>
        <w:tc>
          <w:tcPr>
            <w:tcW w:w="2780" w:type="dxa"/>
            <w:tcBorders>
              <w:top w:val="nil"/>
              <w:left w:val="nil"/>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N</w:t>
            </w:r>
            <w:r w:rsidR="001E701B">
              <w:rPr>
                <w:rFonts w:eastAsia="Times New Roman"/>
                <w:sz w:val="16"/>
                <w:szCs w:val="16"/>
              </w:rPr>
              <w:t>º</w:t>
            </w:r>
            <w:r w:rsidRPr="006763AC">
              <w:rPr>
                <w:rFonts w:eastAsia="Times New Roman"/>
                <w:sz w:val="16"/>
                <w:szCs w:val="16"/>
              </w:rPr>
              <w:t xml:space="preserve"> de países que han desarrollado o adoptado políticas de P.I. para pymes. </w:t>
            </w:r>
          </w:p>
        </w:tc>
        <w:tc>
          <w:tcPr>
            <w:tcW w:w="1480" w:type="dxa"/>
            <w:tcBorders>
              <w:top w:val="nil"/>
              <w:left w:val="nil"/>
              <w:right w:val="nil"/>
            </w:tcBorders>
            <w:shd w:val="clear" w:color="000000" w:fill="FFFFFF"/>
            <w:hideMark/>
          </w:tcPr>
          <w:p w:rsidR="00EA32E6" w:rsidRPr="006763AC" w:rsidRDefault="00D463D6" w:rsidP="00D463D6">
            <w:pPr>
              <w:widowControl w:val="0"/>
              <w:ind w:left="119"/>
              <w:rPr>
                <w:rFonts w:eastAsia="Times New Roman"/>
                <w:sz w:val="16"/>
                <w:szCs w:val="16"/>
              </w:rPr>
            </w:pPr>
            <w:proofErr w:type="spellStart"/>
            <w:r>
              <w:rPr>
                <w:rFonts w:eastAsia="Times New Roman"/>
                <w:sz w:val="16"/>
                <w:szCs w:val="16"/>
              </w:rPr>
              <w:t>n.d</w:t>
            </w:r>
            <w:proofErr w:type="spellEnd"/>
            <w:r>
              <w:rPr>
                <w:rFonts w:eastAsia="Times New Roman"/>
                <w:sz w:val="16"/>
                <w:szCs w:val="16"/>
              </w:rPr>
              <w:t>.</w:t>
            </w:r>
          </w:p>
        </w:tc>
        <w:tc>
          <w:tcPr>
            <w:tcW w:w="2280" w:type="dxa"/>
            <w:tcBorders>
              <w:top w:val="nil"/>
              <w:left w:val="nil"/>
              <w:right w:val="single" w:sz="4" w:space="0" w:color="auto"/>
            </w:tcBorders>
            <w:shd w:val="clear" w:color="000000" w:fill="FFFFFF"/>
            <w:hideMark/>
          </w:tcPr>
          <w:p w:rsidR="00EA32E6" w:rsidRPr="006763AC" w:rsidRDefault="00D463D6" w:rsidP="00E02444">
            <w:pPr>
              <w:widowControl w:val="0"/>
              <w:ind w:firstLineChars="200" w:firstLine="320"/>
              <w:rPr>
                <w:rFonts w:eastAsia="Times New Roman"/>
                <w:sz w:val="16"/>
                <w:szCs w:val="16"/>
              </w:rPr>
            </w:pPr>
            <w:r>
              <w:rPr>
                <w:rFonts w:eastAsia="Times New Roman"/>
                <w:sz w:val="16"/>
                <w:szCs w:val="16"/>
              </w:rPr>
              <w:t>5 países</w:t>
            </w:r>
          </w:p>
        </w:tc>
      </w:tr>
      <w:tr w:rsidR="00EA32E6" w:rsidRPr="006763AC" w:rsidTr="001E701B">
        <w:trPr>
          <w:trHeight w:val="1062"/>
        </w:trPr>
        <w:tc>
          <w:tcPr>
            <w:tcW w:w="2820" w:type="dxa"/>
            <w:tcBorders>
              <w:left w:val="single" w:sz="4" w:space="0" w:color="auto"/>
              <w:bottom w:val="nil"/>
              <w:right w:val="nil"/>
            </w:tcBorders>
            <w:shd w:val="clear" w:color="000000" w:fill="FFFFFF"/>
            <w:hideMark/>
          </w:tcPr>
          <w:p w:rsidR="00EA32E6" w:rsidRPr="006763AC" w:rsidRDefault="00B74100" w:rsidP="00B74100">
            <w:pPr>
              <w:keepNext/>
              <w:widowControl w:val="0"/>
              <w:rPr>
                <w:rFonts w:eastAsia="Times New Roman"/>
                <w:sz w:val="16"/>
                <w:szCs w:val="16"/>
              </w:rPr>
            </w:pPr>
            <w:r>
              <w:rPr>
                <w:rFonts w:eastAsia="Times New Roman"/>
                <w:sz w:val="16"/>
                <w:szCs w:val="16"/>
              </w:rPr>
              <w:t xml:space="preserve">IV.2  </w:t>
            </w:r>
            <w:r w:rsidRPr="00D463D6">
              <w:rPr>
                <w:sz w:val="16"/>
                <w:szCs w:val="16"/>
                <w:lang w:val="es-ES_tradnl"/>
              </w:rPr>
              <w:t>Mejora del acceso y uso de información de P.I. por parte de instituciones de P.I. y el público para fomentar la innovación y la creatividad</w:t>
            </w:r>
          </w:p>
        </w:tc>
        <w:tc>
          <w:tcPr>
            <w:tcW w:w="2780" w:type="dxa"/>
            <w:tcBorders>
              <w:left w:val="nil"/>
              <w:bottom w:val="nil"/>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N</w:t>
            </w:r>
            <w:r w:rsidR="001E701B">
              <w:rPr>
                <w:rFonts w:eastAsia="Times New Roman"/>
                <w:sz w:val="16"/>
                <w:szCs w:val="16"/>
              </w:rPr>
              <w:t>º</w:t>
            </w:r>
            <w:r w:rsidRPr="006763AC">
              <w:rPr>
                <w:rFonts w:eastAsia="Times New Roman"/>
                <w:sz w:val="16"/>
                <w:szCs w:val="16"/>
              </w:rPr>
              <w:t xml:space="preserve"> de </w:t>
            </w:r>
            <w:r w:rsidR="00D463D6">
              <w:rPr>
                <w:rFonts w:eastAsia="Times New Roman"/>
                <w:sz w:val="16"/>
                <w:szCs w:val="16"/>
              </w:rPr>
              <w:t>OTT</w:t>
            </w:r>
            <w:r w:rsidRPr="006763AC">
              <w:rPr>
                <w:rFonts w:eastAsia="Times New Roman"/>
                <w:sz w:val="16"/>
                <w:szCs w:val="16"/>
              </w:rPr>
              <w:t xml:space="preserve"> que se han establecido o reforzado en universidades o instituciones de I+D en el marco del programa Iniciativa Universitaria de la OMPI.</w:t>
            </w:r>
          </w:p>
          <w:p w:rsidR="00EA32E6" w:rsidRPr="006763AC" w:rsidRDefault="00EA32E6" w:rsidP="00E02444">
            <w:pPr>
              <w:keepNext/>
              <w:widowControl w:val="0"/>
              <w:ind w:left="206"/>
              <w:rPr>
                <w:rFonts w:eastAsia="Times New Roman"/>
                <w:sz w:val="16"/>
                <w:szCs w:val="16"/>
              </w:rPr>
            </w:pPr>
          </w:p>
        </w:tc>
        <w:tc>
          <w:tcPr>
            <w:tcW w:w="1480" w:type="dxa"/>
            <w:tcBorders>
              <w:left w:val="nil"/>
              <w:bottom w:val="nil"/>
              <w:right w:val="nil"/>
            </w:tcBorders>
            <w:shd w:val="clear" w:color="000000" w:fill="FFFFFF"/>
            <w:hideMark/>
          </w:tcPr>
          <w:p w:rsidR="00EA32E6" w:rsidRPr="006763AC" w:rsidRDefault="00EA32E6" w:rsidP="00D463D6">
            <w:pPr>
              <w:widowControl w:val="0"/>
              <w:ind w:left="119"/>
              <w:rPr>
                <w:rFonts w:eastAsia="Times New Roman"/>
                <w:sz w:val="16"/>
                <w:szCs w:val="16"/>
              </w:rPr>
            </w:pPr>
            <w:r w:rsidRPr="006763AC">
              <w:rPr>
                <w:rFonts w:eastAsia="Times New Roman"/>
                <w:sz w:val="16"/>
                <w:szCs w:val="16"/>
              </w:rPr>
              <w:t>Por determinar</w:t>
            </w:r>
          </w:p>
        </w:tc>
        <w:tc>
          <w:tcPr>
            <w:tcW w:w="2280" w:type="dxa"/>
            <w:tcBorders>
              <w:left w:val="nil"/>
              <w:bottom w:val="nil"/>
              <w:right w:val="single" w:sz="4" w:space="0" w:color="auto"/>
            </w:tcBorders>
            <w:shd w:val="clear" w:color="000000" w:fill="FFFFFF"/>
            <w:hideMark/>
          </w:tcPr>
          <w:p w:rsidR="00EA32E6" w:rsidRPr="006763AC" w:rsidRDefault="00EA32E6" w:rsidP="00E22F01">
            <w:pPr>
              <w:keepNext/>
              <w:widowControl w:val="0"/>
              <w:ind w:firstLineChars="200" w:firstLine="320"/>
              <w:rPr>
                <w:rFonts w:eastAsia="Times New Roman"/>
                <w:sz w:val="16"/>
                <w:szCs w:val="16"/>
              </w:rPr>
            </w:pPr>
            <w:r w:rsidRPr="006763AC">
              <w:rPr>
                <w:rFonts w:eastAsia="Times New Roman"/>
                <w:sz w:val="16"/>
                <w:szCs w:val="16"/>
              </w:rPr>
              <w:t xml:space="preserve">6 </w:t>
            </w:r>
            <w:r w:rsidR="00E22F01">
              <w:rPr>
                <w:rFonts w:eastAsia="Times New Roman"/>
                <w:sz w:val="16"/>
                <w:szCs w:val="16"/>
              </w:rPr>
              <w:t>OTT</w:t>
            </w:r>
          </w:p>
        </w:tc>
      </w:tr>
      <w:tr w:rsidR="00EA32E6" w:rsidRPr="006763AC" w:rsidTr="00E02444">
        <w:trPr>
          <w:trHeight w:val="800"/>
        </w:trPr>
        <w:tc>
          <w:tcPr>
            <w:tcW w:w="2820" w:type="dxa"/>
            <w:tcBorders>
              <w:top w:val="nil"/>
              <w:left w:val="single" w:sz="4" w:space="0" w:color="auto"/>
              <w:bottom w:val="single" w:sz="4" w:space="0" w:color="auto"/>
              <w:right w:val="nil"/>
            </w:tcBorders>
            <w:shd w:val="clear" w:color="000000" w:fill="FFFFFF"/>
            <w:hideMark/>
          </w:tcPr>
          <w:p w:rsidR="00EA32E6" w:rsidRPr="006763AC" w:rsidRDefault="00EA32E6" w:rsidP="00E02444">
            <w:pPr>
              <w:widowControl w:val="0"/>
              <w:rPr>
                <w:rFonts w:eastAsia="Times New Roman"/>
                <w:sz w:val="16"/>
                <w:szCs w:val="16"/>
              </w:rPr>
            </w:pPr>
            <w:r w:rsidRPr="006763AC">
              <w:rPr>
                <w:rFonts w:eastAsia="Times New Roman"/>
                <w:sz w:val="16"/>
                <w:szCs w:val="16"/>
              </w:rPr>
              <w:t> </w:t>
            </w:r>
          </w:p>
        </w:tc>
        <w:tc>
          <w:tcPr>
            <w:tcW w:w="2780" w:type="dxa"/>
            <w:tcBorders>
              <w:top w:val="nil"/>
              <w:left w:val="nil"/>
              <w:bottom w:val="single" w:sz="4" w:space="0" w:color="auto"/>
              <w:right w:val="nil"/>
            </w:tcBorders>
            <w:shd w:val="clear" w:color="000000" w:fill="FFFFFF"/>
            <w:hideMark/>
          </w:tcPr>
          <w:p w:rsidR="00EA32E6" w:rsidRPr="006763AC" w:rsidRDefault="00EA32E6" w:rsidP="001E701B">
            <w:pPr>
              <w:widowControl w:val="0"/>
              <w:ind w:left="64"/>
              <w:rPr>
                <w:rFonts w:eastAsia="Times New Roman"/>
                <w:sz w:val="16"/>
                <w:szCs w:val="16"/>
              </w:rPr>
            </w:pPr>
            <w:r w:rsidRPr="006763AC">
              <w:rPr>
                <w:rFonts w:eastAsia="Times New Roman"/>
                <w:sz w:val="16"/>
                <w:szCs w:val="16"/>
              </w:rPr>
              <w:t>N</w:t>
            </w:r>
            <w:r w:rsidR="001E701B">
              <w:rPr>
                <w:rFonts w:eastAsia="Times New Roman"/>
                <w:sz w:val="16"/>
                <w:szCs w:val="16"/>
              </w:rPr>
              <w:t>º</w:t>
            </w:r>
            <w:r w:rsidRPr="006763AC">
              <w:rPr>
                <w:rFonts w:eastAsia="Times New Roman"/>
                <w:sz w:val="16"/>
                <w:szCs w:val="16"/>
              </w:rPr>
              <w:t xml:space="preserve"> de universidades o instituciones de investigación que han desarrollado o mejorado sus políticas de P.I. </w:t>
            </w:r>
          </w:p>
        </w:tc>
        <w:tc>
          <w:tcPr>
            <w:tcW w:w="1480" w:type="dxa"/>
            <w:tcBorders>
              <w:top w:val="nil"/>
              <w:left w:val="nil"/>
              <w:bottom w:val="single" w:sz="4" w:space="0" w:color="auto"/>
              <w:right w:val="nil"/>
            </w:tcBorders>
            <w:shd w:val="clear" w:color="000000" w:fill="FFFFFF"/>
            <w:hideMark/>
          </w:tcPr>
          <w:p w:rsidR="00EA32E6" w:rsidRPr="006763AC" w:rsidRDefault="00E22F01" w:rsidP="00E22F01">
            <w:pPr>
              <w:widowControl w:val="0"/>
              <w:ind w:left="119"/>
              <w:rPr>
                <w:rFonts w:eastAsia="Times New Roman"/>
                <w:sz w:val="16"/>
                <w:szCs w:val="16"/>
              </w:rPr>
            </w:pPr>
            <w:r>
              <w:rPr>
                <w:rFonts w:eastAsia="Times New Roman"/>
                <w:sz w:val="16"/>
                <w:szCs w:val="16"/>
              </w:rPr>
              <w:t>150 universidades en países en transición.</w:t>
            </w:r>
          </w:p>
        </w:tc>
        <w:tc>
          <w:tcPr>
            <w:tcW w:w="2280" w:type="dxa"/>
            <w:tcBorders>
              <w:top w:val="nil"/>
              <w:left w:val="nil"/>
              <w:bottom w:val="single" w:sz="4" w:space="0" w:color="auto"/>
              <w:right w:val="single" w:sz="4" w:space="0" w:color="auto"/>
            </w:tcBorders>
            <w:shd w:val="clear" w:color="000000" w:fill="FFFFFF"/>
            <w:hideMark/>
          </w:tcPr>
          <w:p w:rsidR="00EA32E6" w:rsidRPr="006763AC" w:rsidRDefault="00EA32E6" w:rsidP="00E22F01">
            <w:pPr>
              <w:widowControl w:val="0"/>
              <w:ind w:leftChars="141" w:left="310"/>
              <w:rPr>
                <w:rFonts w:eastAsia="Times New Roman"/>
                <w:sz w:val="16"/>
                <w:szCs w:val="16"/>
              </w:rPr>
            </w:pPr>
            <w:r w:rsidRPr="006763AC">
              <w:rPr>
                <w:rFonts w:eastAsia="Times New Roman"/>
                <w:sz w:val="16"/>
                <w:szCs w:val="16"/>
              </w:rPr>
              <w:t xml:space="preserve">10 </w:t>
            </w:r>
            <w:r w:rsidR="00E22F01">
              <w:rPr>
                <w:rFonts w:eastAsia="Times New Roman"/>
                <w:sz w:val="16"/>
                <w:szCs w:val="16"/>
              </w:rPr>
              <w:t>más</w:t>
            </w:r>
          </w:p>
        </w:tc>
      </w:tr>
    </w:tbl>
    <w:p w:rsidR="00EA32E6" w:rsidRPr="006763AC" w:rsidRDefault="00EA32E6" w:rsidP="00EA32E6">
      <w:pPr>
        <w:widowControl w:val="0"/>
        <w:rPr>
          <w:rFonts w:eastAsia="Arial"/>
          <w:szCs w:val="22"/>
        </w:rPr>
      </w:pPr>
    </w:p>
    <w:p w:rsidR="00EA32E6" w:rsidRPr="006763AC" w:rsidRDefault="00EA32E6" w:rsidP="00EA32E6">
      <w:pPr>
        <w:widowControl w:val="0"/>
        <w:rPr>
          <w:rFonts w:eastAsia="Arial"/>
          <w:szCs w:val="22"/>
        </w:rPr>
      </w:pPr>
    </w:p>
    <w:p w:rsidR="00EA32E6" w:rsidRPr="006763AC" w:rsidRDefault="00EA32E6" w:rsidP="00340C4D">
      <w:pPr>
        <w:keepNext/>
        <w:rPr>
          <w:rFonts w:eastAsia="Arial"/>
          <w:szCs w:val="22"/>
        </w:rPr>
      </w:pPr>
      <w:r w:rsidRPr="006763AC">
        <w:rPr>
          <w:rFonts w:eastAsia="Arial"/>
          <w:szCs w:val="22"/>
        </w:rPr>
        <w:t xml:space="preserve">RECURSOS PARA EL PROGRAMA 30 </w:t>
      </w:r>
    </w:p>
    <w:p w:rsidR="00EA32E6" w:rsidRPr="006763AC" w:rsidRDefault="00EA32E6" w:rsidP="00340C4D">
      <w:pPr>
        <w:keepNext/>
        <w:rPr>
          <w:rFonts w:eastAsia="Arial"/>
          <w:szCs w:val="22"/>
        </w:rPr>
      </w:pPr>
    </w:p>
    <w:p w:rsidR="00EA32E6" w:rsidRDefault="0052708D" w:rsidP="00340C4D">
      <w:pPr>
        <w:pStyle w:val="ListParagraph"/>
        <w:keepNext/>
        <w:numPr>
          <w:ilvl w:val="0"/>
          <w:numId w:val="29"/>
        </w:numPr>
        <w:tabs>
          <w:tab w:val="left" w:pos="709"/>
        </w:tabs>
        <w:ind w:left="0" w:firstLine="0"/>
        <w:jc w:val="both"/>
        <w:rPr>
          <w:rFonts w:ascii="Arial" w:eastAsia="Arial" w:hAnsi="Arial" w:cs="Arial"/>
          <w:sz w:val="20"/>
          <w:szCs w:val="20"/>
          <w:lang w:val="es-ES"/>
        </w:rPr>
      </w:pPr>
      <w:r w:rsidRPr="00EB43D0">
        <w:rPr>
          <w:rFonts w:ascii="Arial" w:eastAsia="Arial" w:hAnsi="Arial" w:cs="Arial"/>
          <w:sz w:val="20"/>
          <w:szCs w:val="20"/>
          <w:lang w:val="es-ES_tradnl"/>
        </w:rPr>
        <w:t xml:space="preserve">Se observa un aumento </w:t>
      </w:r>
      <w:r w:rsidR="001E701B">
        <w:rPr>
          <w:rFonts w:ascii="Arial" w:eastAsia="Arial" w:hAnsi="Arial" w:cs="Arial"/>
          <w:sz w:val="20"/>
          <w:szCs w:val="20"/>
          <w:lang w:val="es-ES_tradnl"/>
        </w:rPr>
        <w:t>en la dotación global</w:t>
      </w:r>
      <w:r w:rsidRPr="00EB43D0">
        <w:rPr>
          <w:rFonts w:ascii="Arial" w:eastAsia="Arial" w:hAnsi="Arial" w:cs="Arial"/>
          <w:sz w:val="20"/>
          <w:szCs w:val="20"/>
          <w:lang w:val="es-ES_tradnl"/>
        </w:rPr>
        <w:t xml:space="preserve"> de</w:t>
      </w:r>
      <w:r w:rsidR="001E701B">
        <w:rPr>
          <w:rFonts w:ascii="Arial" w:eastAsia="Arial" w:hAnsi="Arial" w:cs="Arial"/>
          <w:sz w:val="20"/>
          <w:szCs w:val="20"/>
          <w:lang w:val="es-ES_tradnl"/>
        </w:rPr>
        <w:t xml:space="preserve"> recursos para </w:t>
      </w:r>
      <w:r w:rsidRPr="00EB43D0">
        <w:rPr>
          <w:rFonts w:ascii="Arial" w:eastAsia="Arial" w:hAnsi="Arial" w:cs="Arial"/>
          <w:sz w:val="20"/>
          <w:szCs w:val="20"/>
          <w:lang w:val="es-ES_tradnl"/>
        </w:rPr>
        <w:t>el programa 30 en 2016/17 en relación con el presupuesto de 2014/</w:t>
      </w:r>
      <w:r w:rsidR="00ED0A05">
        <w:rPr>
          <w:rFonts w:ascii="Arial" w:eastAsia="Arial" w:hAnsi="Arial" w:cs="Arial"/>
          <w:sz w:val="20"/>
          <w:szCs w:val="20"/>
          <w:lang w:val="es-ES_tradnl"/>
        </w:rPr>
        <w:t>15 tras las</w:t>
      </w:r>
      <w:r w:rsidRPr="00EB43D0">
        <w:rPr>
          <w:rFonts w:ascii="Arial" w:eastAsia="Arial" w:hAnsi="Arial" w:cs="Arial"/>
          <w:sz w:val="20"/>
          <w:szCs w:val="20"/>
          <w:lang w:val="es-ES_tradnl"/>
        </w:rPr>
        <w:t xml:space="preserve"> transferencias.  Esto refleja la redistribución de los </w:t>
      </w:r>
      <w:r w:rsidRPr="00EB43D0">
        <w:rPr>
          <w:rFonts w:ascii="Arial" w:eastAsia="Arial" w:hAnsi="Arial" w:cs="Arial"/>
          <w:sz w:val="20"/>
          <w:szCs w:val="20"/>
          <w:lang w:val="es-ES_tradnl"/>
        </w:rPr>
        <w:lastRenderedPageBreak/>
        <w:t>recursos de personal al programa en el bienio 2014/15, con el objeto de reforzar particularmente la labor sobre las estrategias nacionales de P.I. y el fortalecimiento de la capacidad de las pymes, como queda reflejado en los resultados previstos III.1 y III.2.</w:t>
      </w:r>
    </w:p>
    <w:p w:rsidR="00C35C71" w:rsidRDefault="00C35C71" w:rsidP="00C35C71">
      <w:pPr>
        <w:pStyle w:val="ListParagraph"/>
        <w:widowControl w:val="0"/>
        <w:tabs>
          <w:tab w:val="left" w:pos="709"/>
        </w:tabs>
        <w:ind w:left="0"/>
        <w:jc w:val="both"/>
        <w:rPr>
          <w:rFonts w:ascii="Arial" w:eastAsia="Arial" w:hAnsi="Arial" w:cs="Arial"/>
          <w:sz w:val="20"/>
          <w:szCs w:val="20"/>
          <w:lang w:val="es-ES"/>
        </w:rPr>
      </w:pPr>
    </w:p>
    <w:p w:rsidR="00C35C71" w:rsidRPr="0052708D" w:rsidRDefault="0052708D" w:rsidP="00EA32E6">
      <w:pPr>
        <w:pStyle w:val="ListParagraph"/>
        <w:widowControl w:val="0"/>
        <w:numPr>
          <w:ilvl w:val="0"/>
          <w:numId w:val="29"/>
        </w:numPr>
        <w:tabs>
          <w:tab w:val="left" w:pos="709"/>
        </w:tabs>
        <w:ind w:left="0" w:firstLine="0"/>
        <w:jc w:val="both"/>
        <w:rPr>
          <w:rFonts w:ascii="Arial" w:eastAsia="Arial" w:hAnsi="Arial" w:cs="Arial"/>
          <w:sz w:val="20"/>
          <w:szCs w:val="20"/>
          <w:lang w:val="es-ES"/>
        </w:rPr>
      </w:pPr>
      <w:r w:rsidRPr="00EB43D0">
        <w:rPr>
          <w:rFonts w:ascii="Arial" w:eastAsia="Arial" w:hAnsi="Arial" w:cs="Arial"/>
          <w:sz w:val="20"/>
          <w:szCs w:val="20"/>
          <w:lang w:val="es-ES_tradnl"/>
        </w:rPr>
        <w:t>La disminución de los recursos de personal en el presupuesto de 2014/</w:t>
      </w:r>
      <w:r w:rsidR="00ED0A05">
        <w:rPr>
          <w:rFonts w:ascii="Arial" w:eastAsia="Arial" w:hAnsi="Arial" w:cs="Arial"/>
          <w:sz w:val="20"/>
          <w:szCs w:val="20"/>
          <w:lang w:val="es-ES_tradnl"/>
        </w:rPr>
        <w:t>15 tras las</w:t>
      </w:r>
      <w:r w:rsidRPr="00EB43D0">
        <w:rPr>
          <w:rFonts w:ascii="Arial" w:eastAsia="Arial" w:hAnsi="Arial" w:cs="Arial"/>
          <w:sz w:val="20"/>
          <w:szCs w:val="20"/>
          <w:lang w:val="es-ES_tradnl"/>
        </w:rPr>
        <w:t xml:space="preserve"> transferencias, con respecto al presupuesto aprobado de 2014/15 se debe a:  i) la transferencia de las responsabilidades relativas a la ejecución de los </w:t>
      </w:r>
      <w:r w:rsidRPr="00EB43D0">
        <w:rPr>
          <w:rFonts w:ascii="Arial" w:eastAsia="Arial" w:hAnsi="Arial" w:cs="Arial"/>
          <w:bCs/>
          <w:sz w:val="20"/>
          <w:szCs w:val="20"/>
          <w:lang w:val="es-ES_tradnl"/>
        </w:rPr>
        <w:t>proyectos de la A.D. sobre colaboración abierta y los modelos de P.I.</w:t>
      </w:r>
      <w:r w:rsidRPr="00EB43D0">
        <w:rPr>
          <w:rFonts w:ascii="Arial" w:eastAsia="SimSun" w:hAnsi="Arial" w:cs="Arial"/>
          <w:bCs/>
          <w:sz w:val="20"/>
          <w:szCs w:val="20"/>
          <w:lang w:val="es-ES_tradnl" w:eastAsia="zh-CN"/>
        </w:rPr>
        <w:t xml:space="preserve"> y la </w:t>
      </w:r>
      <w:r w:rsidRPr="00EB43D0">
        <w:rPr>
          <w:rFonts w:ascii="Arial" w:eastAsia="Arial" w:hAnsi="Arial" w:cs="Arial"/>
          <w:bCs/>
          <w:sz w:val="20"/>
          <w:szCs w:val="20"/>
          <w:lang w:val="es-ES_tradnl"/>
        </w:rPr>
        <w:t xml:space="preserve">transferencia de tecnología al programa 5 </w:t>
      </w:r>
      <w:r w:rsidRPr="00EB43D0">
        <w:rPr>
          <w:rFonts w:ascii="Arial" w:eastAsia="Arial" w:hAnsi="Arial" w:cs="Arial"/>
          <w:sz w:val="20"/>
          <w:szCs w:val="20"/>
          <w:lang w:val="es-ES_tradnl"/>
        </w:rPr>
        <w:t>(Sistema del PCT), y ii) los retrasos en la determinación de las aptitudes y competencias necesarias para apoyar las actividades del programa para compensar la salida de un empleado del programa.</w:t>
      </w:r>
    </w:p>
    <w:p w:rsidR="00EA32E6" w:rsidRPr="0052708D" w:rsidRDefault="00EA32E6" w:rsidP="00EA32E6">
      <w:pPr>
        <w:widowControl w:val="0"/>
        <w:tabs>
          <w:tab w:val="left" w:pos="1427"/>
        </w:tabs>
        <w:jc w:val="center"/>
        <w:rPr>
          <w:b/>
          <w:sz w:val="20"/>
        </w:rPr>
      </w:pPr>
    </w:p>
    <w:p w:rsidR="00C35C71" w:rsidRPr="0052708D" w:rsidRDefault="00C35C71" w:rsidP="00EA32E6">
      <w:pPr>
        <w:widowControl w:val="0"/>
        <w:tabs>
          <w:tab w:val="left" w:pos="1427"/>
        </w:tabs>
        <w:jc w:val="center"/>
        <w:rPr>
          <w:b/>
          <w:sz w:val="20"/>
        </w:rPr>
      </w:pPr>
    </w:p>
    <w:p w:rsidR="00EA32E6" w:rsidRPr="006763AC" w:rsidRDefault="00810833" w:rsidP="00EA32E6">
      <w:pPr>
        <w:widowControl w:val="0"/>
        <w:tabs>
          <w:tab w:val="left" w:pos="1427"/>
        </w:tabs>
        <w:jc w:val="center"/>
        <w:rPr>
          <w:sz w:val="20"/>
        </w:rPr>
      </w:pPr>
      <w:r>
        <w:rPr>
          <w:b/>
          <w:sz w:val="20"/>
        </w:rPr>
        <w:t xml:space="preserve">Programa </w:t>
      </w:r>
      <w:r w:rsidR="00EA32E6" w:rsidRPr="006763AC">
        <w:rPr>
          <w:b/>
          <w:sz w:val="20"/>
        </w:rPr>
        <w:t>30</w:t>
      </w:r>
      <w:proofErr w:type="gramStart"/>
      <w:r w:rsidR="00EA32E6" w:rsidRPr="006763AC">
        <w:rPr>
          <w:b/>
          <w:sz w:val="20"/>
        </w:rPr>
        <w:t>:  Recursos</w:t>
      </w:r>
      <w:proofErr w:type="gramEnd"/>
      <w:r w:rsidR="00EA32E6" w:rsidRPr="006763AC">
        <w:rPr>
          <w:b/>
          <w:sz w:val="20"/>
        </w:rPr>
        <w:t xml:space="preserve"> por resultado</w:t>
      </w:r>
    </w:p>
    <w:p w:rsidR="00EA32E6" w:rsidRPr="006763AC" w:rsidRDefault="00EA32E6" w:rsidP="00EA32E6">
      <w:pPr>
        <w:widowControl w:val="0"/>
        <w:tabs>
          <w:tab w:val="left" w:pos="1427"/>
        </w:tabs>
        <w:jc w:val="center"/>
        <w:rPr>
          <w:i/>
          <w:sz w:val="20"/>
          <w:lang w:eastAsia="ja-JP"/>
        </w:rPr>
      </w:pPr>
      <w:r w:rsidRPr="006763AC">
        <w:rPr>
          <w:i/>
          <w:sz w:val="20"/>
          <w:lang w:eastAsia="ja-JP"/>
        </w:rPr>
        <w:t>(</w:t>
      </w:r>
      <w:proofErr w:type="gramStart"/>
      <w:r w:rsidRPr="006763AC">
        <w:rPr>
          <w:i/>
          <w:sz w:val="20"/>
          <w:lang w:eastAsia="ja-JP"/>
        </w:rPr>
        <w:t>en</w:t>
      </w:r>
      <w:proofErr w:type="gramEnd"/>
      <w:r w:rsidRPr="006763AC">
        <w:rPr>
          <w:i/>
          <w:sz w:val="20"/>
          <w:lang w:eastAsia="ja-JP"/>
        </w:rPr>
        <w:t xml:space="preserve"> miles de francos suizos)</w:t>
      </w:r>
    </w:p>
    <w:p w:rsidR="00EA32E6" w:rsidRPr="006763AC" w:rsidRDefault="00EA32E6" w:rsidP="00EA32E6">
      <w:pPr>
        <w:widowControl w:val="0"/>
        <w:tabs>
          <w:tab w:val="left" w:pos="1427"/>
        </w:tabs>
        <w:jc w:val="center"/>
        <w:rPr>
          <w:i/>
          <w:sz w:val="20"/>
          <w:lang w:eastAsia="ja-JP"/>
        </w:rPr>
      </w:pPr>
    </w:p>
    <w:p w:rsidR="00EA32E6" w:rsidRPr="006763AC" w:rsidRDefault="00E22F01" w:rsidP="00EA32E6">
      <w:pPr>
        <w:widowControl w:val="0"/>
        <w:tabs>
          <w:tab w:val="left" w:pos="1427"/>
        </w:tabs>
        <w:jc w:val="center"/>
        <w:rPr>
          <w:i/>
          <w:sz w:val="20"/>
          <w:lang w:eastAsia="ja-JP"/>
        </w:rPr>
      </w:pPr>
      <w:r w:rsidRPr="00E22F01">
        <w:rPr>
          <w:noProof/>
          <w:lang w:val="en-US" w:eastAsia="en-US"/>
        </w:rPr>
        <w:drawing>
          <wp:inline distT="0" distB="0" distL="0" distR="0">
            <wp:extent cx="5735320" cy="318960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35320" cy="3189605"/>
                    </a:xfrm>
                    <a:prstGeom prst="rect">
                      <a:avLst/>
                    </a:prstGeom>
                    <a:noFill/>
                    <a:ln>
                      <a:noFill/>
                    </a:ln>
                  </pic:spPr>
                </pic:pic>
              </a:graphicData>
            </a:graphic>
          </wp:inline>
        </w:drawing>
      </w:r>
    </w:p>
    <w:p w:rsidR="00EA32E6" w:rsidRPr="006763AC" w:rsidRDefault="00EA32E6" w:rsidP="00EA32E6">
      <w:pPr>
        <w:widowControl w:val="0"/>
        <w:tabs>
          <w:tab w:val="left" w:pos="1427"/>
        </w:tabs>
        <w:jc w:val="center"/>
        <w:rPr>
          <w:i/>
          <w:sz w:val="20"/>
          <w:lang w:eastAsia="ja-JP"/>
        </w:rPr>
      </w:pPr>
    </w:p>
    <w:p w:rsidR="00EA32E6" w:rsidRPr="006763AC" w:rsidRDefault="00EA32E6" w:rsidP="00EA32E6">
      <w:pPr>
        <w:widowControl w:val="0"/>
        <w:tabs>
          <w:tab w:val="left" w:pos="1427"/>
        </w:tabs>
        <w:jc w:val="center"/>
        <w:rPr>
          <w:b/>
          <w:sz w:val="20"/>
          <w:lang w:eastAsia="ja-JP"/>
        </w:rPr>
      </w:pPr>
    </w:p>
    <w:p w:rsidR="00EA32E6" w:rsidRPr="006763AC" w:rsidRDefault="00EA32E6" w:rsidP="00EA32E6">
      <w:pPr>
        <w:keepNext/>
        <w:widowControl w:val="0"/>
        <w:tabs>
          <w:tab w:val="left" w:pos="1427"/>
        </w:tabs>
        <w:jc w:val="center"/>
        <w:rPr>
          <w:sz w:val="20"/>
        </w:rPr>
      </w:pPr>
      <w:r w:rsidRPr="006763AC">
        <w:rPr>
          <w:b/>
          <w:sz w:val="20"/>
        </w:rPr>
        <w:lastRenderedPageBreak/>
        <w:t>Programa</w:t>
      </w:r>
      <w:r w:rsidR="005012AC">
        <w:rPr>
          <w:b/>
          <w:sz w:val="20"/>
        </w:rPr>
        <w:t xml:space="preserve"> </w:t>
      </w:r>
      <w:r w:rsidRPr="006763AC">
        <w:rPr>
          <w:b/>
          <w:sz w:val="20"/>
        </w:rPr>
        <w:t>30</w:t>
      </w:r>
      <w:proofErr w:type="gramStart"/>
      <w:r w:rsidRPr="006763AC">
        <w:rPr>
          <w:b/>
          <w:sz w:val="20"/>
        </w:rPr>
        <w:t>:  Recursos</w:t>
      </w:r>
      <w:proofErr w:type="gramEnd"/>
      <w:r w:rsidRPr="006763AC">
        <w:rPr>
          <w:b/>
          <w:sz w:val="20"/>
        </w:rPr>
        <w:t xml:space="preserve"> por objeto de gasto</w:t>
      </w:r>
    </w:p>
    <w:p w:rsidR="00EA32E6" w:rsidRPr="006763AC" w:rsidRDefault="00EA32E6" w:rsidP="00EA32E6">
      <w:pPr>
        <w:keepNext/>
        <w:widowControl w:val="0"/>
        <w:tabs>
          <w:tab w:val="left" w:pos="1427"/>
        </w:tabs>
        <w:jc w:val="center"/>
        <w:rPr>
          <w:i/>
          <w:sz w:val="20"/>
          <w:lang w:eastAsia="ja-JP"/>
        </w:rPr>
      </w:pPr>
      <w:r w:rsidRPr="006763AC">
        <w:rPr>
          <w:i/>
          <w:sz w:val="20"/>
          <w:lang w:eastAsia="ja-JP"/>
        </w:rPr>
        <w:t>(</w:t>
      </w:r>
      <w:proofErr w:type="gramStart"/>
      <w:r w:rsidRPr="006763AC">
        <w:rPr>
          <w:i/>
          <w:sz w:val="20"/>
          <w:lang w:eastAsia="ja-JP"/>
        </w:rPr>
        <w:t>en</w:t>
      </w:r>
      <w:proofErr w:type="gramEnd"/>
      <w:r w:rsidRPr="006763AC">
        <w:rPr>
          <w:i/>
          <w:sz w:val="20"/>
          <w:lang w:eastAsia="ja-JP"/>
        </w:rPr>
        <w:t xml:space="preserve"> miles de francos suizos)</w:t>
      </w:r>
    </w:p>
    <w:p w:rsidR="00EA32E6" w:rsidRPr="006763AC" w:rsidRDefault="00EA32E6" w:rsidP="00EA32E6">
      <w:pPr>
        <w:keepNext/>
        <w:widowControl w:val="0"/>
        <w:tabs>
          <w:tab w:val="left" w:pos="1427"/>
        </w:tabs>
        <w:jc w:val="center"/>
        <w:rPr>
          <w:i/>
          <w:sz w:val="20"/>
          <w:lang w:eastAsia="ja-JP"/>
        </w:rPr>
      </w:pPr>
    </w:p>
    <w:p w:rsidR="00EA32E6" w:rsidRPr="006763AC" w:rsidRDefault="00835617" w:rsidP="00EA32E6">
      <w:pPr>
        <w:widowControl w:val="0"/>
        <w:tabs>
          <w:tab w:val="left" w:pos="1427"/>
        </w:tabs>
        <w:jc w:val="center"/>
        <w:rPr>
          <w:i/>
          <w:sz w:val="20"/>
          <w:lang w:eastAsia="ja-JP"/>
        </w:rPr>
      </w:pPr>
      <w:r>
        <w:rPr>
          <w:noProof/>
          <w:lang w:val="en-US" w:eastAsia="en-US"/>
        </w:rPr>
        <w:drawing>
          <wp:inline distT="0" distB="0" distL="0" distR="0" wp14:anchorId="47FD8392" wp14:editId="63AD42AA">
            <wp:extent cx="5940425" cy="6118130"/>
            <wp:effectExtent l="0" t="0" r="3175" b="0"/>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EA32E6" w:rsidRPr="006763AC" w:rsidRDefault="00EA32E6" w:rsidP="00EA32E6">
      <w:pPr>
        <w:widowControl w:val="0"/>
        <w:rPr>
          <w:rFonts w:eastAsia="Arial"/>
          <w:sz w:val="20"/>
          <w:szCs w:val="22"/>
        </w:rPr>
      </w:pPr>
    </w:p>
    <w:p w:rsidR="00EA32E6" w:rsidRPr="006763AC" w:rsidRDefault="00EA32E6" w:rsidP="00EA32E6">
      <w:pPr>
        <w:widowControl w:val="0"/>
        <w:rPr>
          <w:rFonts w:eastAsia="Arial"/>
          <w:sz w:val="20"/>
          <w:szCs w:val="22"/>
        </w:rPr>
      </w:pPr>
    </w:p>
    <w:p w:rsidR="00C35C71" w:rsidRDefault="00C35C71">
      <w:pPr>
        <w:rPr>
          <w:szCs w:val="22"/>
          <w:lang w:val="en-US"/>
        </w:rPr>
      </w:pPr>
      <w:r>
        <w:rPr>
          <w:szCs w:val="22"/>
          <w:lang w:val="en-US"/>
        </w:rPr>
        <w:br w:type="page"/>
      </w:r>
    </w:p>
    <w:p w:rsidR="00C35C71" w:rsidRPr="00B51FDD" w:rsidRDefault="005376EA" w:rsidP="005376EA">
      <w:pPr>
        <w:pStyle w:val="StyleHeading3ComplexItalic"/>
        <w:tabs>
          <w:tab w:val="clear" w:pos="1985"/>
          <w:tab w:val="left" w:pos="3119"/>
        </w:tabs>
        <w:ind w:left="3119" w:hanging="3119"/>
        <w:rPr>
          <w:rStyle w:val="StyleStyleHeading3ComplexItalicLatin12ptChar"/>
          <w:rFonts w:eastAsia="SimSun"/>
          <w:b/>
          <w:lang w:val="es-ES_tradnl"/>
        </w:rPr>
      </w:pPr>
      <w:bookmarkStart w:id="46" w:name="_Toc367350587"/>
      <w:bookmarkStart w:id="47" w:name="_Toc419283256"/>
      <w:bookmarkStart w:id="48" w:name="_Toc420681146"/>
      <w:r w:rsidRPr="00B51FDD">
        <w:rPr>
          <w:rStyle w:val="StyleStyleHeading3ComplexItalicLatin12ptChar"/>
          <w:rFonts w:eastAsia="SimSun"/>
          <w:b/>
          <w:lang w:val="es-ES_tradnl"/>
        </w:rPr>
        <w:lastRenderedPageBreak/>
        <w:t>META ESTRATÉGICA IV</w:t>
      </w:r>
      <w:r w:rsidR="00C35C71" w:rsidRPr="00B51FDD">
        <w:rPr>
          <w:rStyle w:val="StyleStyleHeading3ComplexItalicLatin12ptChar"/>
          <w:rFonts w:eastAsia="SimSun"/>
          <w:b/>
          <w:lang w:val="es-ES_tradnl"/>
        </w:rPr>
        <w:tab/>
      </w:r>
      <w:bookmarkEnd w:id="46"/>
      <w:bookmarkEnd w:id="47"/>
      <w:r w:rsidRPr="00B51FDD">
        <w:rPr>
          <w:rStyle w:val="StyleStyleHeading3ComplexItalicLatin12ptChar"/>
          <w:rFonts w:eastAsia="SimSun"/>
          <w:b/>
          <w:lang w:val="es-ES_tradnl"/>
        </w:rPr>
        <w:t>COORDINACIÓN Y DESARROLLO DE LA INFRAESTRUCTURA MUNDIAL DE LA P.I.</w:t>
      </w:r>
      <w:bookmarkEnd w:id="48"/>
    </w:p>
    <w:p w:rsidR="00C35C71" w:rsidRPr="0020391E" w:rsidRDefault="00C35C71" w:rsidP="005376EA">
      <w:pPr>
        <w:tabs>
          <w:tab w:val="left" w:pos="1701"/>
        </w:tabs>
        <w:ind w:left="1701" w:hanging="1701"/>
        <w:rPr>
          <w:bCs/>
          <w:caps/>
          <w:szCs w:val="24"/>
          <w:highlight w:val="lightGray"/>
          <w:lang w:val="es-ES_tradnl"/>
        </w:rPr>
      </w:pPr>
    </w:p>
    <w:p w:rsidR="00C35C71" w:rsidRPr="0020391E" w:rsidRDefault="00C35C71" w:rsidP="005376EA">
      <w:pPr>
        <w:tabs>
          <w:tab w:val="left" w:pos="1701"/>
        </w:tabs>
        <w:ind w:left="1701" w:hanging="1701"/>
        <w:rPr>
          <w:bCs/>
          <w:caps/>
          <w:szCs w:val="24"/>
          <w:highlight w:val="lightGray"/>
          <w:lang w:val="es-ES_tradnl"/>
        </w:rPr>
      </w:pPr>
    </w:p>
    <w:p w:rsidR="0020391E" w:rsidRPr="000979DD" w:rsidRDefault="0020391E" w:rsidP="0020391E">
      <w:pPr>
        <w:autoSpaceDE w:val="0"/>
        <w:autoSpaceDN w:val="0"/>
        <w:adjustRightInd w:val="0"/>
        <w:jc w:val="both"/>
        <w:rPr>
          <w:sz w:val="20"/>
          <w:highlight w:val="lightGray"/>
          <w:lang w:val="es-ES_tradnl"/>
        </w:rPr>
      </w:pPr>
      <w:r w:rsidRPr="000979DD">
        <w:rPr>
          <w:sz w:val="20"/>
          <w:lang w:val="es-ES_tradnl"/>
        </w:rPr>
        <w:t>Las tecnologías de la información y la comunicación (TIC) han permitido incrementar la eficiencia en el sistema internacional de P.I., facilitar el acceso a las ventajas que se derivan del sistema e intensificar la participación de los países menos adelantados, países en desarrollo y países con economías en transición.  El propósito de esta meta estratégica es fortalecer la infraestructura de los Estados miembros, en particular los países citados, intensificar la cooperación internacional para mejorar la infraestructura y el flujo de datos en el sistema y establecer bases de datos mundiales de P.I. y plataformas de participación voluntaria para incrementar la cooperación técnica.</w:t>
      </w:r>
    </w:p>
    <w:p w:rsidR="00C35C71" w:rsidRPr="005376EA" w:rsidRDefault="0020391E" w:rsidP="0020391E">
      <w:pPr>
        <w:autoSpaceDE w:val="0"/>
        <w:autoSpaceDN w:val="0"/>
        <w:adjustRightInd w:val="0"/>
        <w:spacing w:before="120"/>
        <w:jc w:val="both"/>
        <w:rPr>
          <w:i/>
          <w:iCs/>
          <w:sz w:val="20"/>
          <w:highlight w:val="lightGray"/>
          <w:lang w:val="es-ES_tradnl"/>
        </w:rPr>
      </w:pPr>
      <w:r w:rsidRPr="000979DD">
        <w:rPr>
          <w:iCs/>
          <w:sz w:val="20"/>
          <w:lang w:val="es-ES_tradnl"/>
        </w:rPr>
        <w:t>La coordinación y desarrollo de la infraestructura mundial de P.I. también contribuye al logro de la meta estratégica III (Facilitar el uso de la P.I. en aras del desarrollo), la meta estratégica II (Prestación de servicios mundiales de P.I. de calidad.) y la meta estratégica V (Fuente de referencia en el mundo de información y análisis en materia de P.I.).  Abarca también la aplicación de varias recomendaciones  de la Agenda para el Desarrollo.</w:t>
      </w:r>
    </w:p>
    <w:p w:rsidR="00C35C71" w:rsidRPr="005376EA" w:rsidRDefault="00C35C71" w:rsidP="005376EA">
      <w:pPr>
        <w:tabs>
          <w:tab w:val="left" w:pos="1701"/>
        </w:tabs>
        <w:ind w:left="1701" w:hanging="1701"/>
        <w:rPr>
          <w:bCs/>
          <w:iCs/>
          <w:caps/>
          <w:sz w:val="20"/>
          <w:highlight w:val="lightGray"/>
          <w:lang w:val="es-ES_tradnl"/>
        </w:rPr>
      </w:pPr>
    </w:p>
    <w:p w:rsidR="00C35C71" w:rsidRPr="005376EA" w:rsidRDefault="00C35C71" w:rsidP="00C35C71">
      <w:pPr>
        <w:rPr>
          <w:rFonts w:eastAsia="Arial"/>
          <w:sz w:val="20"/>
          <w:highlight w:val="lightGray"/>
          <w:lang w:val="es-ES_tradnl"/>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5"/>
        <w:gridCol w:w="2722"/>
        <w:gridCol w:w="3058"/>
      </w:tblGrid>
      <w:tr w:rsidR="00FC41CE" w:rsidRPr="000979DD" w:rsidTr="00E61A24">
        <w:trPr>
          <w:cantSplit/>
          <w:trHeight w:val="334"/>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rsidR="00FC41CE" w:rsidRPr="000979DD" w:rsidRDefault="00FC41CE" w:rsidP="00E61A24">
            <w:pPr>
              <w:spacing w:after="120"/>
              <w:jc w:val="center"/>
              <w:rPr>
                <w:b/>
                <w:bCs/>
                <w:sz w:val="18"/>
                <w:szCs w:val="18"/>
              </w:rPr>
            </w:pPr>
            <w:r w:rsidRPr="000979DD">
              <w:rPr>
                <w:b/>
                <w:bCs/>
                <w:sz w:val="18"/>
                <w:szCs w:val="18"/>
                <w:lang w:val="es-ES_tradnl"/>
              </w:rPr>
              <w:t>Resultados previstos</w:t>
            </w:r>
          </w:p>
        </w:tc>
        <w:tc>
          <w:tcPr>
            <w:tcW w:w="1464" w:type="pct"/>
            <w:tcBorders>
              <w:top w:val="single" w:sz="4" w:space="0" w:color="auto"/>
              <w:bottom w:val="single" w:sz="4" w:space="0" w:color="auto"/>
            </w:tcBorders>
            <w:shd w:val="clear" w:color="auto" w:fill="C6D9F1" w:themeFill="text2" w:themeFillTint="33"/>
            <w:tcMar>
              <w:top w:w="85" w:type="dxa"/>
              <w:bottom w:w="85" w:type="dxa"/>
            </w:tcMar>
            <w:vAlign w:val="center"/>
          </w:tcPr>
          <w:p w:rsidR="00FC41CE" w:rsidRPr="000979DD" w:rsidRDefault="00FC41CE" w:rsidP="00E61A24">
            <w:pPr>
              <w:spacing w:after="120"/>
              <w:jc w:val="center"/>
              <w:rPr>
                <w:b/>
                <w:sz w:val="18"/>
                <w:szCs w:val="18"/>
              </w:rPr>
            </w:pPr>
            <w:r w:rsidRPr="000979DD">
              <w:rPr>
                <w:b/>
                <w:sz w:val="18"/>
                <w:szCs w:val="18"/>
                <w:lang w:val="es-ES_tradnl"/>
              </w:rPr>
              <w:t>Indicadores de rendimiento</w:t>
            </w:r>
          </w:p>
        </w:tc>
        <w:tc>
          <w:tcPr>
            <w:tcW w:w="1645" w:type="pct"/>
            <w:tcBorders>
              <w:top w:val="single" w:sz="4" w:space="0" w:color="auto"/>
              <w:bottom w:val="single" w:sz="4" w:space="0" w:color="auto"/>
            </w:tcBorders>
            <w:shd w:val="clear" w:color="auto" w:fill="C6D9F1" w:themeFill="text2" w:themeFillTint="33"/>
            <w:tcMar>
              <w:top w:w="85" w:type="dxa"/>
              <w:bottom w:w="85" w:type="dxa"/>
            </w:tcMar>
            <w:vAlign w:val="center"/>
          </w:tcPr>
          <w:p w:rsidR="00FC41CE" w:rsidRPr="000979DD" w:rsidRDefault="00FC41CE" w:rsidP="00E61A24">
            <w:pPr>
              <w:spacing w:after="120"/>
              <w:ind w:left="85"/>
              <w:jc w:val="center"/>
              <w:rPr>
                <w:sz w:val="18"/>
                <w:szCs w:val="18"/>
              </w:rPr>
            </w:pPr>
            <w:r w:rsidRPr="000979DD">
              <w:rPr>
                <w:b/>
                <w:sz w:val="18"/>
                <w:szCs w:val="18"/>
                <w:lang w:val="es-ES_tradnl"/>
              </w:rPr>
              <w:t>Programas responsables</w:t>
            </w:r>
          </w:p>
        </w:tc>
      </w:tr>
      <w:tr w:rsidR="00FC41CE" w:rsidRPr="000979DD" w:rsidTr="00E61A24">
        <w:trPr>
          <w:cantSplit/>
          <w:trHeight w:val="949"/>
        </w:trPr>
        <w:tc>
          <w:tcPr>
            <w:tcW w:w="1891" w:type="pct"/>
            <w:tcBorders>
              <w:top w:val="single" w:sz="4" w:space="0" w:color="auto"/>
            </w:tcBorders>
            <w:shd w:val="clear" w:color="auto" w:fill="auto"/>
            <w:tcMar>
              <w:top w:w="85" w:type="dxa"/>
              <w:bottom w:w="85" w:type="dxa"/>
            </w:tcMar>
          </w:tcPr>
          <w:p w:rsidR="00FC41CE" w:rsidRPr="00E22F01" w:rsidRDefault="00FC41CE" w:rsidP="00E61A24">
            <w:pPr>
              <w:rPr>
                <w:sz w:val="16"/>
                <w:szCs w:val="16"/>
              </w:rPr>
            </w:pPr>
            <w:r w:rsidRPr="00E22F01">
              <w:rPr>
                <w:sz w:val="16"/>
                <w:szCs w:val="16"/>
                <w:lang w:val="es-ES_tradnl"/>
              </w:rPr>
              <w:t xml:space="preserve">IV.1  </w:t>
            </w:r>
            <w:r w:rsidR="00B74100" w:rsidRPr="00E22F01">
              <w:rPr>
                <w:sz w:val="16"/>
                <w:szCs w:val="16"/>
                <w:lang w:val="es-ES_tradnl"/>
              </w:rPr>
              <w:t>Sistema actualizado y aceptado mundialmente de clasificaciones internacionales y normas técnicas de la OMPI para facilitar el acceso, el uso y la difusión de información de P.I. entre las partes interesadas de todo el mundo</w:t>
            </w:r>
          </w:p>
        </w:tc>
        <w:tc>
          <w:tcPr>
            <w:tcW w:w="1464" w:type="pct"/>
            <w:tcBorders>
              <w:top w:val="single" w:sz="4" w:space="0" w:color="auto"/>
            </w:tcBorders>
            <w:shd w:val="clear" w:color="auto" w:fill="auto"/>
            <w:tcMar>
              <w:top w:w="85" w:type="dxa"/>
              <w:bottom w:w="85" w:type="dxa"/>
            </w:tcMar>
          </w:tcPr>
          <w:p w:rsidR="00FC41CE" w:rsidRPr="000979DD" w:rsidRDefault="00FC41CE" w:rsidP="00E61A24">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modificaciones y ficheros de información introducidos en la Clasificación de Niza </w:t>
            </w:r>
          </w:p>
          <w:p w:rsidR="00FC41CE" w:rsidRPr="000979DD" w:rsidRDefault="00FC41CE" w:rsidP="00E61A24">
            <w:pPr>
              <w:rPr>
                <w:sz w:val="16"/>
                <w:szCs w:val="16"/>
                <w:lang w:val="es-ES_tradnl"/>
              </w:rPr>
            </w:pPr>
          </w:p>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nuevas subdivisiones introducidas anualmente en la CIP</w:t>
            </w:r>
          </w:p>
        </w:tc>
        <w:tc>
          <w:tcPr>
            <w:tcW w:w="1645" w:type="pct"/>
            <w:tcBorders>
              <w:top w:val="single" w:sz="4" w:space="0" w:color="auto"/>
            </w:tcBorders>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12</w:t>
            </w:r>
          </w:p>
          <w:p w:rsidR="00FC41CE" w:rsidRPr="000979DD" w:rsidRDefault="00FC41CE" w:rsidP="00E61A24">
            <w:pPr>
              <w:ind w:left="660"/>
              <w:rPr>
                <w:sz w:val="16"/>
                <w:szCs w:val="16"/>
                <w:lang w:bidi="th-TH"/>
              </w:rPr>
            </w:pPr>
          </w:p>
          <w:p w:rsidR="00FC41CE" w:rsidRPr="000979DD" w:rsidRDefault="00FC41CE" w:rsidP="00E61A24">
            <w:pPr>
              <w:ind w:left="660"/>
              <w:rPr>
                <w:sz w:val="16"/>
                <w:szCs w:val="16"/>
                <w:lang w:bidi="th-TH"/>
              </w:rPr>
            </w:pPr>
          </w:p>
          <w:p w:rsidR="00FC41CE" w:rsidRPr="000979DD" w:rsidRDefault="00FC41CE" w:rsidP="00E61A24">
            <w:pPr>
              <w:ind w:left="660"/>
              <w:rPr>
                <w:sz w:val="16"/>
                <w:szCs w:val="16"/>
                <w:lang w:bidi="th-TH"/>
              </w:rPr>
            </w:pPr>
          </w:p>
          <w:p w:rsidR="00FC41CE" w:rsidRPr="000979DD" w:rsidRDefault="00FC41CE" w:rsidP="00E61A24">
            <w:pPr>
              <w:ind w:left="660"/>
              <w:rPr>
                <w:sz w:val="16"/>
                <w:szCs w:val="16"/>
              </w:rPr>
            </w:pPr>
            <w:r w:rsidRPr="000979DD">
              <w:rPr>
                <w:sz w:val="16"/>
                <w:szCs w:val="16"/>
                <w:lang w:bidi="th-TH"/>
              </w:rPr>
              <w:t>Programa 12</w:t>
            </w:r>
          </w:p>
        </w:tc>
      </w:tr>
      <w:tr w:rsidR="00FC41CE" w:rsidRPr="000979DD" w:rsidTr="00E61A24">
        <w:trPr>
          <w:cantSplit/>
          <w:trHeight w:val="454"/>
        </w:trPr>
        <w:tc>
          <w:tcPr>
            <w:tcW w:w="1891" w:type="pct"/>
            <w:shd w:val="clear" w:color="auto" w:fill="auto"/>
            <w:tcMar>
              <w:top w:w="85" w:type="dxa"/>
              <w:bottom w:w="85" w:type="dxa"/>
            </w:tcMar>
          </w:tcPr>
          <w:p w:rsidR="00FC41CE" w:rsidRPr="00E22F01"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normas técnicas modificadas y nuevas normas técnicas adoptadas</w:t>
            </w:r>
          </w:p>
        </w:tc>
        <w:tc>
          <w:tcPr>
            <w:tcW w:w="1645" w:type="pct"/>
            <w:shd w:val="clear" w:color="auto" w:fill="FFFFFF"/>
            <w:tcMar>
              <w:top w:w="85" w:type="dxa"/>
              <w:bottom w:w="85" w:type="dxa"/>
            </w:tcMar>
          </w:tcPr>
          <w:p w:rsidR="00FC41CE" w:rsidRPr="000979DD" w:rsidRDefault="00FC41CE" w:rsidP="00E61A24">
            <w:pPr>
              <w:ind w:left="660"/>
              <w:rPr>
                <w:sz w:val="16"/>
                <w:szCs w:val="16"/>
              </w:rPr>
            </w:pPr>
            <w:r w:rsidRPr="000979DD">
              <w:rPr>
                <w:sz w:val="16"/>
                <w:szCs w:val="16"/>
                <w:lang w:bidi="th-TH"/>
              </w:rPr>
              <w:t>Programa 12</w:t>
            </w:r>
          </w:p>
        </w:tc>
      </w:tr>
      <w:tr w:rsidR="00FC41CE" w:rsidRPr="000979DD" w:rsidTr="00E61A24">
        <w:trPr>
          <w:cantSplit/>
          <w:trHeight w:val="883"/>
        </w:trPr>
        <w:tc>
          <w:tcPr>
            <w:tcW w:w="1891" w:type="pct"/>
            <w:shd w:val="clear" w:color="auto" w:fill="auto"/>
            <w:tcMar>
              <w:top w:w="85" w:type="dxa"/>
              <w:bottom w:w="85" w:type="dxa"/>
            </w:tcMar>
          </w:tcPr>
          <w:p w:rsidR="00FC41CE" w:rsidRPr="00E22F01"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usuarios que acceden a las publicaciones en Internet de las clasificaciones y normas internacionales, especialmente de países en desarrollo</w:t>
            </w:r>
          </w:p>
        </w:tc>
        <w:tc>
          <w:tcPr>
            <w:tcW w:w="1645" w:type="pct"/>
            <w:shd w:val="clear" w:color="auto" w:fill="FFFFFF"/>
            <w:tcMar>
              <w:top w:w="85" w:type="dxa"/>
              <w:bottom w:w="85" w:type="dxa"/>
            </w:tcMar>
          </w:tcPr>
          <w:p w:rsidR="00FC41CE" w:rsidRPr="000979DD" w:rsidRDefault="00FC41CE" w:rsidP="00E61A24">
            <w:pPr>
              <w:ind w:left="660"/>
              <w:rPr>
                <w:sz w:val="16"/>
                <w:szCs w:val="16"/>
              </w:rPr>
            </w:pPr>
            <w:r w:rsidRPr="000979DD">
              <w:rPr>
                <w:sz w:val="16"/>
                <w:szCs w:val="16"/>
                <w:lang w:bidi="th-TH"/>
              </w:rPr>
              <w:t>Programa 12</w:t>
            </w:r>
          </w:p>
        </w:tc>
      </w:tr>
      <w:tr w:rsidR="00FC41CE" w:rsidRPr="000979DD" w:rsidTr="001E701B">
        <w:trPr>
          <w:cantSplit/>
          <w:trHeight w:val="696"/>
        </w:trPr>
        <w:tc>
          <w:tcPr>
            <w:tcW w:w="1891" w:type="pct"/>
            <w:shd w:val="clear" w:color="auto" w:fill="auto"/>
            <w:tcMar>
              <w:top w:w="85" w:type="dxa"/>
              <w:bottom w:w="85" w:type="dxa"/>
            </w:tcMar>
          </w:tcPr>
          <w:p w:rsidR="00FC41CE" w:rsidRPr="00E22F01" w:rsidRDefault="00FC41CE" w:rsidP="00E61A24">
            <w:pPr>
              <w:rPr>
                <w:sz w:val="16"/>
                <w:szCs w:val="16"/>
                <w:lang w:val="es-ES_tradnl"/>
              </w:rPr>
            </w:pPr>
            <w:r w:rsidRPr="00E22F01">
              <w:rPr>
                <w:sz w:val="16"/>
                <w:szCs w:val="16"/>
                <w:lang w:val="es-ES_tradnl"/>
              </w:rPr>
              <w:t xml:space="preserve">IV.2  </w:t>
            </w:r>
            <w:r w:rsidR="00B74100" w:rsidRPr="00E22F01">
              <w:rPr>
                <w:sz w:val="16"/>
                <w:szCs w:val="16"/>
                <w:lang w:val="es-ES_tradnl"/>
              </w:rPr>
              <w:t>Mejora del acceso y uso de información de P.I. por parte de instituciones de P.I. y el público para fomentar la innovación y la creatividad</w:t>
            </w: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miembros constitutivos del Consorcio</w:t>
            </w:r>
            <w:r w:rsidR="001E701B">
              <w:rPr>
                <w:sz w:val="16"/>
                <w:szCs w:val="16"/>
              </w:rPr>
              <w:t xml:space="preserve"> de Libros Accesibles (</w:t>
            </w:r>
            <w:r w:rsidRPr="000979DD">
              <w:rPr>
                <w:sz w:val="16"/>
                <w:szCs w:val="16"/>
              </w:rPr>
              <w:t>ABC</w:t>
            </w:r>
            <w:r w:rsidR="001E701B">
              <w:rPr>
                <w:sz w:val="16"/>
                <w:szCs w:val="16"/>
              </w:rPr>
              <w:t>)</w:t>
            </w:r>
            <w:r w:rsidRPr="000979DD">
              <w:rPr>
                <w:sz w:val="16"/>
                <w:szCs w:val="16"/>
              </w:rPr>
              <w:br/>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3</w:t>
            </w:r>
          </w:p>
        </w:tc>
      </w:tr>
      <w:tr w:rsidR="00FC41CE" w:rsidRPr="000979DD" w:rsidTr="00E61A24">
        <w:trPr>
          <w:cantSplit/>
          <w:trHeight w:val="326"/>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lang w:val="es-ES_tradnl"/>
              </w:rPr>
              <w:t>N</w:t>
            </w:r>
            <w:r w:rsidR="001E701B">
              <w:rPr>
                <w:sz w:val="16"/>
                <w:szCs w:val="16"/>
                <w:lang w:val="es-ES_tradnl"/>
              </w:rPr>
              <w:t>º</w:t>
            </w:r>
            <w:r w:rsidRPr="000979DD">
              <w:rPr>
                <w:sz w:val="16"/>
                <w:szCs w:val="16"/>
                <w:lang w:val="es-ES_tradnl"/>
              </w:rPr>
              <w:t xml:space="preserve"> de </w:t>
            </w:r>
            <w:r w:rsidRPr="000979DD">
              <w:rPr>
                <w:sz w:val="16"/>
                <w:szCs w:val="16"/>
              </w:rPr>
              <w:t>donantes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3</w:t>
            </w:r>
          </w:p>
        </w:tc>
      </w:tr>
      <w:tr w:rsidR="00FC41CE" w:rsidRPr="000979DD" w:rsidTr="00E61A24">
        <w:trPr>
          <w:cantSplit/>
          <w:trHeight w:val="620"/>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instrumentos jurídicos, directrices y declaraciones de principios, aparte de los instrumentos vinculantes, con la participación de las partes interesadas en cuestión, en ámbitos como los nuevos tratados de derecho de autor y el derecho de autor en el entorno digital.</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3</w:t>
            </w:r>
          </w:p>
        </w:tc>
      </w:tr>
      <w:tr w:rsidR="00FC41CE" w:rsidRPr="000979DD" w:rsidTr="00E61A24">
        <w:trPr>
          <w:cantSplit/>
          <w:trHeight w:val="620"/>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Porcentaje de participantes en seminarios y talleres sobre derecho de autor en el entorno digital que han formulado comentarios favorables.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3</w:t>
            </w:r>
          </w:p>
        </w:tc>
      </w:tr>
      <w:tr w:rsidR="00FC41CE" w:rsidRPr="000979DD" w:rsidTr="00E61A24">
        <w:trPr>
          <w:cantSplit/>
          <w:trHeight w:val="437"/>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redes </w:t>
            </w:r>
            <w:r w:rsidRPr="001E701B">
              <w:rPr>
                <w:sz w:val="16"/>
                <w:szCs w:val="16"/>
              </w:rPr>
              <w:t>nacionales s</w:t>
            </w:r>
            <w:r w:rsidRPr="000979DD">
              <w:rPr>
                <w:sz w:val="16"/>
                <w:szCs w:val="16"/>
              </w:rPr>
              <w:t>ostenibles de CATI (cifras totales)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p w:rsidR="00FC41CE" w:rsidRPr="000979DD" w:rsidRDefault="00FC41CE" w:rsidP="00E61A24">
            <w:pPr>
              <w:ind w:left="660"/>
              <w:rPr>
                <w:sz w:val="16"/>
                <w:szCs w:val="16"/>
                <w:lang w:bidi="th-TH"/>
              </w:rPr>
            </w:pPr>
            <w:r w:rsidRPr="000979DD">
              <w:rPr>
                <w:sz w:val="16"/>
                <w:szCs w:val="16"/>
                <w:lang w:bidi="th-TH"/>
              </w:rPr>
              <w:t>Programa 14</w:t>
            </w:r>
          </w:p>
          <w:p w:rsidR="00FC41CE" w:rsidRPr="000979DD" w:rsidRDefault="00FC41CE" w:rsidP="00E61A24">
            <w:pPr>
              <w:ind w:left="660"/>
              <w:rPr>
                <w:sz w:val="16"/>
                <w:szCs w:val="16"/>
                <w:lang w:bidi="th-TH"/>
              </w:rPr>
            </w:pPr>
            <w:r w:rsidRPr="000979DD">
              <w:rPr>
                <w:sz w:val="16"/>
                <w:szCs w:val="16"/>
                <w:lang w:bidi="th-TH"/>
              </w:rPr>
              <w:t xml:space="preserve">Programa 20 </w:t>
            </w:r>
          </w:p>
        </w:tc>
      </w:tr>
      <w:tr w:rsidR="00FC41CE" w:rsidRPr="000979DD" w:rsidTr="00E61A24">
        <w:trPr>
          <w:cantSplit/>
          <w:trHeight w:val="762"/>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organizaciones, comunidades y personas que aplicaron y usaron tecnologías apropiadas como solución para los desafíos de desarrollo identificados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762"/>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Uso de tecnologías apropiadas en pro del desarrollo mediante informes y búsquedas de patentes,  análisis de las tecnologías, planes operacionales (número de expertos, grupos de expertos nacionales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1E701B">
        <w:trPr>
          <w:cantSplit/>
          <w:trHeight w:val="638"/>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Determinación de tecnologías apropiadas comercializadas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386"/>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Proyectos reproducidos en otros ámbitos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652"/>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Establecimiento de instituciones que sigan trabajando sobre la tecnología apropiada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762"/>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Continuación y ampliación de los programas nacionales de fortalecimiento de capacidad tecnológica sobre las tecnologías apropiadas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762"/>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rPr>
            </w:pPr>
            <w:r w:rsidRPr="000979DD">
              <w:rPr>
                <w:sz w:val="16"/>
                <w:szCs w:val="16"/>
              </w:rPr>
              <w:t>Utilización de tecnología apropiada para el desarrollo económico incluida en las políticas y estrategias nacionales de innovación y P.I. en los PMA</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tc>
      </w:tr>
      <w:tr w:rsidR="00FC41CE" w:rsidRPr="000979DD" w:rsidTr="00E61A24">
        <w:trPr>
          <w:cantSplit/>
          <w:trHeight w:val="550"/>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usuarios por trimestre en todos los sistemas de bases de datos mundiales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E61A24">
        <w:trPr>
          <w:cantSplit/>
          <w:trHeight w:val="399"/>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idiomas en los que se pueden efectuar búsquedas plurilingües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E61A24">
        <w:trPr>
          <w:cantSplit/>
          <w:trHeight w:val="615"/>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pares de idiomas disponibles para la traducción de descripciones y reivindicaciones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1E701B">
        <w:trPr>
          <w:cantSplit/>
          <w:trHeight w:val="420"/>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registros contenidos en PATENSCOPE</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E61A24">
        <w:trPr>
          <w:cantSplit/>
          <w:trHeight w:val="389"/>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lang w:val="es-ES_tradnl"/>
              </w:rPr>
              <w:t>N</w:t>
            </w:r>
            <w:r w:rsidR="001E701B">
              <w:rPr>
                <w:sz w:val="16"/>
                <w:szCs w:val="16"/>
                <w:lang w:val="es-ES_tradnl"/>
              </w:rPr>
              <w:t>º</w:t>
            </w:r>
            <w:r w:rsidRPr="000979DD">
              <w:rPr>
                <w:sz w:val="16"/>
                <w:szCs w:val="16"/>
                <w:lang w:val="es-ES_tradnl"/>
              </w:rPr>
              <w:t xml:space="preserve"> de usuarios anuales en promedio atendidos por los CATI</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14</w:t>
            </w:r>
          </w:p>
        </w:tc>
      </w:tr>
      <w:tr w:rsidR="00FC41CE" w:rsidRPr="000979DD" w:rsidTr="00E61A24">
        <w:trPr>
          <w:cantSplit/>
          <w:trHeight w:val="769"/>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lang w:val="es-ES_tradnl"/>
              </w:rPr>
              <w:t>N</w:t>
            </w:r>
            <w:r w:rsidR="001E701B">
              <w:rPr>
                <w:sz w:val="16"/>
                <w:szCs w:val="16"/>
                <w:lang w:val="es-ES_tradnl"/>
              </w:rPr>
              <w:t>º</w:t>
            </w:r>
            <w:r w:rsidRPr="000979DD">
              <w:rPr>
                <w:sz w:val="16"/>
                <w:szCs w:val="16"/>
                <w:lang w:val="es-ES_tradnl"/>
              </w:rPr>
              <w:t xml:space="preserve"> de Estados miembros en sus respectivas regiones que colaboran con las bases de datos mundiales.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14</w:t>
            </w:r>
          </w:p>
        </w:tc>
      </w:tr>
      <w:tr w:rsidR="00FC41CE" w:rsidRPr="000979DD" w:rsidTr="00E61A24">
        <w:trPr>
          <w:cantSplit/>
          <w:trHeight w:val="163"/>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usuarios inscritos en ARDI y ASPI que utilizan dichos instrumentos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14</w:t>
            </w:r>
          </w:p>
        </w:tc>
      </w:tr>
      <w:tr w:rsidR="00FC41CE" w:rsidRPr="000979DD" w:rsidTr="00E61A24">
        <w:trPr>
          <w:cantSplit/>
          <w:trHeight w:val="163"/>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lang w:val="es-ES_tradnl"/>
              </w:rPr>
              <w:t>N</w:t>
            </w:r>
            <w:r w:rsidR="001E701B">
              <w:rPr>
                <w:sz w:val="16"/>
                <w:szCs w:val="16"/>
                <w:lang w:val="es-ES_tradnl"/>
              </w:rPr>
              <w:t>º</w:t>
            </w:r>
            <w:r w:rsidRPr="000979DD">
              <w:rPr>
                <w:sz w:val="16"/>
                <w:szCs w:val="16"/>
                <w:lang w:val="es-ES_tradnl"/>
              </w:rPr>
              <w:t xml:space="preserve"> de solicitudes cursadas a los CATI</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14</w:t>
            </w:r>
          </w:p>
        </w:tc>
      </w:tr>
      <w:tr w:rsidR="00FC41CE" w:rsidRPr="000979DD" w:rsidTr="00E61A24">
        <w:trPr>
          <w:cantSplit/>
          <w:trHeight w:val="516"/>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lang w:val="es-ES_tradnl"/>
              </w:rPr>
              <w:t>N</w:t>
            </w:r>
            <w:r w:rsidR="001E701B">
              <w:rPr>
                <w:sz w:val="16"/>
                <w:szCs w:val="16"/>
                <w:lang w:val="es-ES_tradnl"/>
              </w:rPr>
              <w:t>º</w:t>
            </w:r>
            <w:r w:rsidRPr="000979DD">
              <w:rPr>
                <w:sz w:val="16"/>
                <w:szCs w:val="16"/>
                <w:lang w:val="es-ES_tradnl"/>
              </w:rPr>
              <w:t xml:space="preserve"> de CATI que ofrecen servicios de análisis de patentes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14</w:t>
            </w:r>
          </w:p>
        </w:tc>
      </w:tr>
      <w:tr w:rsidR="00FC41CE" w:rsidRPr="000979DD" w:rsidTr="00E61A24">
        <w:trPr>
          <w:cantSplit/>
          <w:trHeight w:val="163"/>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usuarios de las bases de datos mundiales de la OMPI: PATENTSCOPE, Base Mundial de Datos sobre Marcas, Base Mundial de Datos sobre Dibujos y Modelos Industriales  </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 xml:space="preserve">Programa 20 </w:t>
            </w:r>
          </w:p>
        </w:tc>
      </w:tr>
      <w:tr w:rsidR="00FC41CE" w:rsidRPr="000979DD" w:rsidTr="00E61A24">
        <w:trPr>
          <w:cantSplit/>
          <w:trHeight w:val="346"/>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lang w:val="es-ES_tradnl"/>
              </w:rPr>
            </w:pPr>
            <w:r w:rsidRPr="000979DD">
              <w:rPr>
                <w:sz w:val="16"/>
                <w:szCs w:val="16"/>
                <w:lang w:val="es-ES_tradnl"/>
              </w:rPr>
              <w:t xml:space="preserve">Aumento del número de usuarios de WIPO </w:t>
            </w:r>
            <w:proofErr w:type="spellStart"/>
            <w:r w:rsidRPr="000979DD">
              <w:rPr>
                <w:sz w:val="16"/>
                <w:szCs w:val="16"/>
                <w:lang w:val="es-ES_tradnl"/>
              </w:rPr>
              <w:t>Lex</w:t>
            </w:r>
            <w:proofErr w:type="spellEnd"/>
          </w:p>
          <w:p w:rsidR="00FC41CE" w:rsidRPr="000979DD" w:rsidRDefault="00FC41CE" w:rsidP="00E61A24">
            <w:pPr>
              <w:rPr>
                <w:sz w:val="16"/>
                <w:szCs w:val="16"/>
                <w:lang w:val="es-ES_tradnl"/>
              </w:rPr>
            </w:pPr>
          </w:p>
          <w:p w:rsidR="00FC41CE" w:rsidRPr="000979DD" w:rsidRDefault="00FC41CE" w:rsidP="00E61A24">
            <w:pPr>
              <w:rPr>
                <w:sz w:val="16"/>
                <w:szCs w:val="16"/>
              </w:rPr>
            </w:pPr>
            <w:r w:rsidRPr="000979DD">
              <w:rPr>
                <w:sz w:val="16"/>
                <w:szCs w:val="16"/>
              </w:rPr>
              <w:t>N</w:t>
            </w:r>
            <w:r w:rsidR="001E701B">
              <w:rPr>
                <w:sz w:val="16"/>
                <w:szCs w:val="16"/>
              </w:rPr>
              <w:t>º</w:t>
            </w:r>
            <w:r w:rsidRPr="000979DD">
              <w:rPr>
                <w:sz w:val="16"/>
                <w:szCs w:val="16"/>
              </w:rPr>
              <w:t xml:space="preserve"> de unidades de gestión de la tecnología que se han establecido o reforzado en universidades o instituciones de I+D en el marco del programa Iniciativa Universitaria de la OMPI.</w:t>
            </w:r>
          </w:p>
          <w:p w:rsidR="00FC41CE" w:rsidRPr="000979DD" w:rsidRDefault="00FC41CE" w:rsidP="00E61A24">
            <w:pPr>
              <w:rPr>
                <w:sz w:val="16"/>
                <w:szCs w:val="16"/>
              </w:rPr>
            </w:pPr>
          </w:p>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universidades o instituciones de investigación que han desarrollado o mejorado sus políticas de P.I.</w:t>
            </w:r>
          </w:p>
        </w:tc>
        <w:tc>
          <w:tcPr>
            <w:tcW w:w="1645" w:type="pct"/>
            <w:shd w:val="clear" w:color="auto" w:fill="FFFFFF"/>
            <w:tcMar>
              <w:top w:w="85" w:type="dxa"/>
              <w:bottom w:w="85" w:type="dxa"/>
            </w:tcMar>
          </w:tcPr>
          <w:p w:rsidR="00FC41CE" w:rsidRPr="000979DD" w:rsidRDefault="00FC41CE" w:rsidP="00E61A24">
            <w:pPr>
              <w:ind w:left="660"/>
              <w:rPr>
                <w:sz w:val="16"/>
                <w:szCs w:val="16"/>
                <w:lang w:val="en-US" w:bidi="th-TH"/>
              </w:rPr>
            </w:pPr>
            <w:r w:rsidRPr="00E22F01">
              <w:rPr>
                <w:sz w:val="16"/>
                <w:szCs w:val="16"/>
                <w:lang w:bidi="th-TH"/>
              </w:rPr>
              <w:t>Programa</w:t>
            </w:r>
            <w:r w:rsidRPr="000979DD">
              <w:rPr>
                <w:sz w:val="16"/>
                <w:szCs w:val="16"/>
                <w:lang w:val="en-US" w:bidi="th-TH"/>
              </w:rPr>
              <w:t xml:space="preserve"> 21</w:t>
            </w: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r w:rsidRPr="00E22F01">
              <w:rPr>
                <w:sz w:val="16"/>
                <w:szCs w:val="16"/>
                <w:lang w:bidi="th-TH"/>
              </w:rPr>
              <w:t>Programa</w:t>
            </w:r>
            <w:r w:rsidRPr="000979DD">
              <w:rPr>
                <w:sz w:val="16"/>
                <w:szCs w:val="16"/>
                <w:lang w:val="en-US" w:bidi="th-TH"/>
              </w:rPr>
              <w:t xml:space="preserve"> 30</w:t>
            </w: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p>
          <w:p w:rsidR="00FC41CE" w:rsidRPr="000979DD" w:rsidRDefault="00FC41CE" w:rsidP="00E61A24">
            <w:pPr>
              <w:ind w:left="660"/>
              <w:rPr>
                <w:sz w:val="16"/>
                <w:szCs w:val="16"/>
                <w:lang w:val="en-US" w:bidi="th-TH"/>
              </w:rPr>
            </w:pPr>
            <w:r w:rsidRPr="00E22F01">
              <w:rPr>
                <w:sz w:val="16"/>
                <w:szCs w:val="16"/>
                <w:lang w:bidi="th-TH"/>
              </w:rPr>
              <w:t>Programa</w:t>
            </w:r>
            <w:r w:rsidRPr="000979DD">
              <w:rPr>
                <w:sz w:val="16"/>
                <w:szCs w:val="16"/>
                <w:lang w:val="en-US" w:bidi="th-TH"/>
              </w:rPr>
              <w:t xml:space="preserve"> 30</w:t>
            </w:r>
          </w:p>
        </w:tc>
      </w:tr>
      <w:tr w:rsidR="00FC41CE" w:rsidRPr="000979DD" w:rsidTr="00E61A24">
        <w:trPr>
          <w:cantSplit/>
          <w:trHeight w:val="157"/>
        </w:trPr>
        <w:tc>
          <w:tcPr>
            <w:tcW w:w="1891" w:type="pct"/>
            <w:shd w:val="clear" w:color="auto" w:fill="auto"/>
            <w:tcMar>
              <w:top w:w="85" w:type="dxa"/>
              <w:bottom w:w="85" w:type="dxa"/>
            </w:tcMar>
          </w:tcPr>
          <w:p w:rsidR="00FC41CE" w:rsidRPr="00E22F01" w:rsidRDefault="00FC41CE" w:rsidP="00E61A24">
            <w:pPr>
              <w:rPr>
                <w:sz w:val="16"/>
                <w:szCs w:val="16"/>
              </w:rPr>
            </w:pPr>
            <w:r w:rsidRPr="00E22F01">
              <w:rPr>
                <w:sz w:val="16"/>
                <w:szCs w:val="16"/>
              </w:rPr>
              <w:t xml:space="preserve">IV.3  </w:t>
            </w:r>
            <w:r w:rsidR="00B74100" w:rsidRPr="00E22F01">
              <w:rPr>
                <w:sz w:val="16"/>
                <w:szCs w:val="16"/>
                <w:lang w:val="es-ES_tradnl"/>
              </w:rPr>
              <w:t>Amplia cobertura geográfica en cuanto al contenido y al uso de las bases de datos mundiales de la OMPI en materia de P.I.</w:t>
            </w:r>
          </w:p>
        </w:tc>
        <w:tc>
          <w:tcPr>
            <w:tcW w:w="1464" w:type="pct"/>
            <w:shd w:val="clear" w:color="auto" w:fill="auto"/>
            <w:tcMar>
              <w:top w:w="85" w:type="dxa"/>
              <w:bottom w:w="85" w:type="dxa"/>
            </w:tcMar>
          </w:tcPr>
          <w:p w:rsidR="00FC41CE" w:rsidRPr="000979DD" w:rsidRDefault="00FC41CE" w:rsidP="00E61A24">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registros que figuran en la Base Mundial de Datos sobre Marcas</w:t>
            </w:r>
          </w:p>
          <w:p w:rsidR="00FC41CE" w:rsidRPr="000979DD" w:rsidRDefault="00FC41CE" w:rsidP="00E61A24">
            <w:pPr>
              <w:rPr>
                <w:sz w:val="16"/>
                <w:szCs w:val="16"/>
                <w:lang w:val="es-ES_tradnl"/>
              </w:rPr>
            </w:pPr>
          </w:p>
          <w:p w:rsidR="00FC41CE" w:rsidRPr="000979DD" w:rsidRDefault="00FC41CE" w:rsidP="001E701B">
            <w:pPr>
              <w:rPr>
                <w:sz w:val="16"/>
                <w:szCs w:val="16"/>
              </w:rPr>
            </w:pPr>
            <w:r w:rsidRPr="000979DD">
              <w:rPr>
                <w:sz w:val="16"/>
                <w:szCs w:val="16"/>
              </w:rPr>
              <w:t>N</w:t>
            </w:r>
            <w:r w:rsidR="001E701B">
              <w:rPr>
                <w:sz w:val="16"/>
                <w:szCs w:val="16"/>
              </w:rPr>
              <w:t>º</w:t>
            </w:r>
            <w:r w:rsidRPr="000979DD">
              <w:rPr>
                <w:sz w:val="16"/>
                <w:szCs w:val="16"/>
              </w:rPr>
              <w:t xml:space="preserve"> de registros que figuran en la Base Mundial de Datos sobre Dibujos y Modelos Industriales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 xml:space="preserve">Programa 13 </w:t>
            </w:r>
          </w:p>
          <w:p w:rsidR="00FC41CE" w:rsidRPr="000979DD" w:rsidRDefault="00FC41CE" w:rsidP="00E61A24">
            <w:pPr>
              <w:ind w:left="660"/>
              <w:rPr>
                <w:sz w:val="16"/>
                <w:szCs w:val="16"/>
                <w:lang w:bidi="th-TH"/>
              </w:rPr>
            </w:pPr>
          </w:p>
          <w:p w:rsidR="00FC41CE" w:rsidRPr="000979DD" w:rsidRDefault="00FC41CE" w:rsidP="00E61A24">
            <w:pPr>
              <w:ind w:left="660"/>
              <w:rPr>
                <w:sz w:val="16"/>
                <w:szCs w:val="16"/>
                <w:lang w:bidi="th-TH"/>
              </w:rPr>
            </w:pPr>
          </w:p>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E61A24">
        <w:trPr>
          <w:cantSplit/>
          <w:trHeight w:val="370"/>
        </w:trPr>
        <w:tc>
          <w:tcPr>
            <w:tcW w:w="1891" w:type="pct"/>
            <w:shd w:val="clear" w:color="auto" w:fill="auto"/>
            <w:tcMar>
              <w:top w:w="85" w:type="dxa"/>
              <w:bottom w:w="85" w:type="dxa"/>
            </w:tcMar>
          </w:tcPr>
          <w:p w:rsidR="00FC41CE" w:rsidRPr="00E22F01"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colecciones nacionales en PATENTSCOPE.</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0979DD" w:rsidTr="00E61A24">
        <w:trPr>
          <w:cantSplit/>
          <w:trHeight w:val="445"/>
        </w:trPr>
        <w:tc>
          <w:tcPr>
            <w:tcW w:w="1891" w:type="pct"/>
            <w:shd w:val="clear" w:color="auto" w:fill="auto"/>
            <w:tcMar>
              <w:top w:w="85" w:type="dxa"/>
              <w:bottom w:w="85" w:type="dxa"/>
            </w:tcMar>
          </w:tcPr>
          <w:p w:rsidR="00FC41CE" w:rsidRPr="00E22F01"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colecciones nacionales en la Base Mundial de Datos sobre Marcas</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13</w:t>
            </w:r>
          </w:p>
        </w:tc>
      </w:tr>
      <w:tr w:rsidR="00FC41CE" w:rsidRPr="0080529E" w:rsidTr="00E61A24">
        <w:trPr>
          <w:cantSplit/>
          <w:trHeight w:val="853"/>
        </w:trPr>
        <w:tc>
          <w:tcPr>
            <w:tcW w:w="1891" w:type="pct"/>
            <w:shd w:val="clear" w:color="auto" w:fill="auto"/>
            <w:tcMar>
              <w:top w:w="85" w:type="dxa"/>
              <w:bottom w:w="85" w:type="dxa"/>
            </w:tcMar>
          </w:tcPr>
          <w:p w:rsidR="00FC41CE" w:rsidRPr="00E22F01" w:rsidRDefault="00FC41CE" w:rsidP="00E61A24">
            <w:pPr>
              <w:rPr>
                <w:sz w:val="16"/>
                <w:szCs w:val="16"/>
              </w:rPr>
            </w:pPr>
            <w:r w:rsidRPr="00E22F01">
              <w:rPr>
                <w:sz w:val="16"/>
                <w:szCs w:val="16"/>
              </w:rPr>
              <w:t xml:space="preserve">IV.4  </w:t>
            </w:r>
            <w:r w:rsidR="00B74100" w:rsidRPr="00E22F01">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tc>
        <w:tc>
          <w:tcPr>
            <w:tcW w:w="1464" w:type="pct"/>
            <w:shd w:val="clear" w:color="auto" w:fill="auto"/>
            <w:tcMar>
              <w:top w:w="85" w:type="dxa"/>
              <w:bottom w:w="85" w:type="dxa"/>
            </w:tcMar>
          </w:tcPr>
          <w:p w:rsidR="00FC41CE" w:rsidRPr="0080529E" w:rsidRDefault="00FC41CE" w:rsidP="001E701B">
            <w:pPr>
              <w:rPr>
                <w:sz w:val="16"/>
                <w:szCs w:val="16"/>
                <w:lang w:val="es-ES_tradnl"/>
              </w:rPr>
            </w:pPr>
            <w:r w:rsidRPr="0080529E">
              <w:rPr>
                <w:sz w:val="16"/>
                <w:szCs w:val="16"/>
                <w:lang w:val="es-ES_tradnl"/>
              </w:rPr>
              <w:t>N</w:t>
            </w:r>
            <w:r w:rsidR="001E701B">
              <w:rPr>
                <w:sz w:val="16"/>
                <w:szCs w:val="16"/>
                <w:lang w:val="es-ES_tradnl"/>
              </w:rPr>
              <w:t>º</w:t>
            </w:r>
            <w:r w:rsidRPr="0080529E">
              <w:rPr>
                <w:sz w:val="16"/>
                <w:szCs w:val="16"/>
                <w:lang w:val="es-ES_tradnl"/>
              </w:rPr>
              <w:t xml:space="preserve"> de oficinas que utilizan las plataformas de infraestructura de la OMPI</w:t>
            </w:r>
          </w:p>
        </w:tc>
        <w:tc>
          <w:tcPr>
            <w:tcW w:w="1645" w:type="pct"/>
            <w:shd w:val="clear" w:color="auto" w:fill="FFFFFF"/>
            <w:tcMar>
              <w:top w:w="85" w:type="dxa"/>
              <w:bottom w:w="85" w:type="dxa"/>
            </w:tcMar>
          </w:tcPr>
          <w:p w:rsidR="00FC41CE" w:rsidRPr="0080529E" w:rsidRDefault="00FC41CE" w:rsidP="00E61A24">
            <w:pPr>
              <w:ind w:left="660"/>
              <w:rPr>
                <w:sz w:val="16"/>
                <w:szCs w:val="16"/>
                <w:lang w:bidi="th-TH"/>
              </w:rPr>
            </w:pPr>
            <w:r w:rsidRPr="0080529E">
              <w:rPr>
                <w:sz w:val="16"/>
                <w:szCs w:val="16"/>
                <w:lang w:bidi="th-TH"/>
              </w:rPr>
              <w:t>Programa 15</w:t>
            </w:r>
          </w:p>
          <w:p w:rsidR="00FC41CE" w:rsidRPr="0080529E" w:rsidRDefault="00FC41CE" w:rsidP="00E61A24">
            <w:pPr>
              <w:ind w:left="660"/>
              <w:rPr>
                <w:sz w:val="16"/>
                <w:szCs w:val="16"/>
                <w:lang w:bidi="th-TH"/>
              </w:rPr>
            </w:pPr>
            <w:r w:rsidRPr="0080529E">
              <w:rPr>
                <w:sz w:val="16"/>
                <w:szCs w:val="16"/>
                <w:lang w:bidi="th-TH"/>
              </w:rPr>
              <w:t xml:space="preserve">Programa 20 </w:t>
            </w:r>
          </w:p>
          <w:p w:rsidR="00FC41CE" w:rsidRPr="0080529E" w:rsidRDefault="00FC41CE" w:rsidP="00E61A24">
            <w:pPr>
              <w:ind w:left="660"/>
              <w:rPr>
                <w:sz w:val="16"/>
                <w:szCs w:val="16"/>
                <w:lang w:bidi="th-TH"/>
              </w:rPr>
            </w:pPr>
          </w:p>
        </w:tc>
      </w:tr>
      <w:tr w:rsidR="00FC41CE" w:rsidRPr="000979DD" w:rsidTr="00E61A24">
        <w:trPr>
          <w:cantSplit/>
          <w:trHeight w:val="546"/>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E61A24">
            <w:pPr>
              <w:rPr>
                <w:sz w:val="16"/>
                <w:szCs w:val="16"/>
                <w:lang w:val="es-ES_tradnl"/>
              </w:rPr>
            </w:pPr>
            <w:r w:rsidRPr="000979DD">
              <w:rPr>
                <w:sz w:val="16"/>
                <w:szCs w:val="16"/>
                <w:lang w:val="es-ES_tradnl"/>
              </w:rPr>
              <w:t>Media del nivel de los servicios prestados por las Oficinas de P.I. que reciben asistencia (en una escala del 1 al 5</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9</w:t>
            </w:r>
          </w:p>
          <w:p w:rsidR="00FC41CE" w:rsidRPr="000979DD" w:rsidRDefault="00FC41CE" w:rsidP="00E61A24">
            <w:pPr>
              <w:ind w:left="660"/>
              <w:rPr>
                <w:sz w:val="16"/>
                <w:szCs w:val="16"/>
                <w:lang w:bidi="th-TH"/>
              </w:rPr>
            </w:pPr>
            <w:r w:rsidRPr="000979DD">
              <w:rPr>
                <w:sz w:val="16"/>
                <w:szCs w:val="16"/>
                <w:lang w:bidi="th-TH"/>
              </w:rPr>
              <w:t>Programa 15</w:t>
            </w:r>
          </w:p>
        </w:tc>
      </w:tr>
      <w:tr w:rsidR="00FC41CE" w:rsidRPr="000979DD" w:rsidTr="00E61A24">
        <w:trPr>
          <w:cantSplit/>
          <w:trHeight w:val="404"/>
        </w:trPr>
        <w:tc>
          <w:tcPr>
            <w:tcW w:w="1891" w:type="pct"/>
            <w:shd w:val="clear" w:color="auto" w:fill="auto"/>
            <w:tcMar>
              <w:top w:w="85" w:type="dxa"/>
              <w:bottom w:w="85" w:type="dxa"/>
            </w:tcMar>
          </w:tcPr>
          <w:p w:rsidR="00FC41CE" w:rsidRPr="000979DD" w:rsidRDefault="00FC41CE" w:rsidP="00E61A24">
            <w:pPr>
              <w:rPr>
                <w:sz w:val="16"/>
                <w:szCs w:val="16"/>
              </w:rPr>
            </w:pPr>
          </w:p>
        </w:tc>
        <w:tc>
          <w:tcPr>
            <w:tcW w:w="1464" w:type="pct"/>
            <w:shd w:val="clear" w:color="auto" w:fill="auto"/>
            <w:tcMar>
              <w:top w:w="85" w:type="dxa"/>
              <w:bottom w:w="85" w:type="dxa"/>
            </w:tcMar>
          </w:tcPr>
          <w:p w:rsidR="00FC41CE" w:rsidRPr="000979DD" w:rsidRDefault="00FC41CE" w:rsidP="001E701B">
            <w:pPr>
              <w:rPr>
                <w:sz w:val="16"/>
                <w:szCs w:val="16"/>
                <w:lang w:val="es-ES_tradnl"/>
              </w:rPr>
            </w:pPr>
            <w:r w:rsidRPr="000979DD">
              <w:rPr>
                <w:sz w:val="16"/>
                <w:szCs w:val="16"/>
                <w:lang w:val="es-ES_tradnl"/>
              </w:rPr>
              <w:t>N</w:t>
            </w:r>
            <w:r w:rsidR="001E701B">
              <w:rPr>
                <w:sz w:val="16"/>
                <w:szCs w:val="16"/>
                <w:lang w:val="es-ES_tradnl"/>
              </w:rPr>
              <w:t>º</w:t>
            </w:r>
            <w:r w:rsidRPr="000979DD">
              <w:rPr>
                <w:sz w:val="16"/>
                <w:szCs w:val="16"/>
                <w:lang w:val="es-ES_tradnl"/>
              </w:rPr>
              <w:t xml:space="preserve"> de </w:t>
            </w:r>
            <w:r w:rsidR="001E701B">
              <w:rPr>
                <w:sz w:val="16"/>
                <w:szCs w:val="16"/>
                <w:lang w:val="es-ES_tradnl"/>
              </w:rPr>
              <w:t>organismos de gestión colectiva</w:t>
            </w:r>
            <w:r w:rsidRPr="000979DD">
              <w:rPr>
                <w:sz w:val="16"/>
                <w:szCs w:val="16"/>
                <w:lang w:val="es-ES_tradnl"/>
              </w:rPr>
              <w:t xml:space="preserve"> de países en desarrollo y PMA que participan en las redes regionales y mundiales facilitadas por la OMPI</w:t>
            </w:r>
          </w:p>
        </w:tc>
        <w:tc>
          <w:tcPr>
            <w:tcW w:w="1645" w:type="pct"/>
            <w:shd w:val="clear" w:color="auto" w:fill="FFFFFF"/>
            <w:tcMar>
              <w:top w:w="85" w:type="dxa"/>
              <w:bottom w:w="85" w:type="dxa"/>
            </w:tcMar>
          </w:tcPr>
          <w:p w:rsidR="00FC41CE" w:rsidRPr="000979DD" w:rsidRDefault="00FC41CE" w:rsidP="00E61A24">
            <w:pPr>
              <w:ind w:left="660"/>
              <w:rPr>
                <w:sz w:val="16"/>
                <w:szCs w:val="16"/>
                <w:lang w:bidi="th-TH"/>
              </w:rPr>
            </w:pPr>
            <w:r w:rsidRPr="000979DD">
              <w:rPr>
                <w:sz w:val="16"/>
                <w:szCs w:val="16"/>
                <w:lang w:bidi="th-TH"/>
              </w:rPr>
              <w:t>Programa 15</w:t>
            </w:r>
          </w:p>
        </w:tc>
      </w:tr>
    </w:tbl>
    <w:p w:rsidR="00FC41CE" w:rsidRPr="000979DD" w:rsidRDefault="00FC41CE" w:rsidP="00FC41CE">
      <w:pPr>
        <w:rPr>
          <w:rFonts w:eastAsia="Arial"/>
          <w:sz w:val="20"/>
        </w:rPr>
      </w:pPr>
    </w:p>
    <w:p w:rsidR="00C35C71" w:rsidRPr="009B4A78" w:rsidRDefault="00C35C71" w:rsidP="00C35C71">
      <w:pPr>
        <w:rPr>
          <w:sz w:val="20"/>
        </w:rPr>
      </w:pPr>
      <w:r w:rsidRPr="009B4A78">
        <w:rPr>
          <w:sz w:val="20"/>
        </w:rPr>
        <w:br w:type="page"/>
      </w:r>
    </w:p>
    <w:p w:rsidR="00C35C71" w:rsidRPr="00C35C71" w:rsidRDefault="00C35C71" w:rsidP="00C35C71">
      <w:pPr>
        <w:pStyle w:val="StyleHeading3ComplexItalic"/>
        <w:ind w:left="1985" w:hanging="1985"/>
        <w:rPr>
          <w:rStyle w:val="StyleStyleHeading3ComplexItalicLatin12ptChar"/>
          <w:b/>
          <w:lang w:val="es-ES"/>
        </w:rPr>
      </w:pPr>
      <w:bookmarkStart w:id="49" w:name="_Toc420681147"/>
      <w:r w:rsidRPr="00C35C71">
        <w:rPr>
          <w:rStyle w:val="StyleStyleHeading3ComplexItalicLatin12ptChar"/>
          <w:b/>
          <w:lang w:val="es-ES"/>
        </w:rPr>
        <w:lastRenderedPageBreak/>
        <w:t>PROGRAMA 12</w:t>
      </w:r>
      <w:r w:rsidRPr="00C35C71">
        <w:rPr>
          <w:rStyle w:val="StyleStyleHeading3ComplexItalicLatin12ptChar"/>
          <w:b/>
          <w:lang w:val="es-ES"/>
        </w:rPr>
        <w:tab/>
        <w:t>CLASIFICACIONES INTERNACIONALES Y NORMAS TÉCNICAS</w:t>
      </w:r>
      <w:bookmarkEnd w:id="49"/>
    </w:p>
    <w:p w:rsidR="00C35C71" w:rsidRPr="0098726F" w:rsidRDefault="00C35C71" w:rsidP="00C35C71">
      <w:pPr>
        <w:pStyle w:val="Body1"/>
        <w:rPr>
          <w:rFonts w:ascii="Arial" w:hAnsi="Arial" w:cs="Arial"/>
          <w:color w:val="auto"/>
          <w:lang w:val="es-ES"/>
        </w:rPr>
      </w:pPr>
    </w:p>
    <w:p w:rsidR="00C35C71" w:rsidRPr="0098726F" w:rsidRDefault="00C35C71" w:rsidP="00C35C71">
      <w:pPr>
        <w:pStyle w:val="Body1"/>
        <w:rPr>
          <w:rFonts w:ascii="Arial" w:hAnsi="Arial" w:cs="Arial"/>
          <w:color w:val="auto"/>
          <w:lang w:val="es-ES"/>
        </w:rPr>
      </w:pPr>
    </w:p>
    <w:p w:rsidR="00C35C71" w:rsidRPr="0098726F" w:rsidRDefault="00C35C71" w:rsidP="00C35C71">
      <w:pPr>
        <w:pStyle w:val="Body1"/>
        <w:rPr>
          <w:rFonts w:ascii="Arial" w:hAnsi="Arial" w:cs="Arial"/>
          <w:color w:val="auto"/>
          <w:sz w:val="22"/>
          <w:szCs w:val="24"/>
          <w:lang w:val="es-ES"/>
        </w:rPr>
      </w:pPr>
      <w:r w:rsidRPr="0098726F">
        <w:rPr>
          <w:rFonts w:ascii="Arial" w:hAnsi="Arial" w:cs="Arial"/>
          <w:color w:val="auto"/>
          <w:sz w:val="22"/>
          <w:szCs w:val="24"/>
          <w:lang w:val="es-ES"/>
        </w:rPr>
        <w:t>CONTEXTO DE PLANIFICACIÓN</w:t>
      </w:r>
    </w:p>
    <w:p w:rsidR="00C35C71" w:rsidRPr="0098726F" w:rsidRDefault="00C35C71" w:rsidP="00C35C71">
      <w:pPr>
        <w:pStyle w:val="Body1"/>
        <w:jc w:val="both"/>
        <w:rPr>
          <w:rFonts w:ascii="Arial" w:hAnsi="Arial" w:cs="Arial"/>
          <w:color w:val="auto"/>
          <w:sz w:val="20"/>
          <w:szCs w:val="22"/>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szCs w:val="22"/>
          <w:lang w:val="es-ES"/>
        </w:rPr>
      </w:pPr>
      <w:r w:rsidRPr="0098726F">
        <w:rPr>
          <w:rFonts w:ascii="Arial" w:hAnsi="Arial" w:cs="Arial"/>
          <w:color w:val="auto"/>
          <w:sz w:val="20"/>
          <w:szCs w:val="22"/>
          <w:lang w:val="es-ES"/>
        </w:rPr>
        <w:t>La infraestructura mundial de sistemas de P.I. precisa cada vez más de plataformas y bases de datos interconectadas y compatibles entre sí.  Las clasificaciones internacionales y las normas técnicas son herramientas e instrumentos esenciales que permiten conectar distintas Oficinas de P.I. que utilizan distintos sistemas e idiomas y hacen posible el flujo de datos entre las Oficinas y las plataformas y bases de datos comunes.  Dados los constantes cambios que se producen en las tecnologías, las soluciones operativas y los acuerdos de colaboración entre las Oficinas de P.I., también es necesario que las clasificaciones internacionales y las normas técnicas se actualicen y revisen de manera continuada.</w:t>
      </w:r>
    </w:p>
    <w:p w:rsidR="00C35C71" w:rsidRPr="0098726F" w:rsidRDefault="00C35C71" w:rsidP="00C35C71">
      <w:pPr>
        <w:pStyle w:val="Body1"/>
        <w:jc w:val="both"/>
        <w:rPr>
          <w:rFonts w:ascii="Arial" w:hAnsi="Arial" w:cs="Arial"/>
          <w:color w:val="auto"/>
          <w:sz w:val="20"/>
          <w:szCs w:val="22"/>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szCs w:val="22"/>
          <w:lang w:val="es-ES"/>
        </w:rPr>
      </w:pPr>
      <w:r w:rsidRPr="0098726F">
        <w:rPr>
          <w:rFonts w:ascii="Arial" w:hAnsi="Arial" w:cs="Arial"/>
          <w:color w:val="auto"/>
          <w:sz w:val="20"/>
          <w:szCs w:val="22"/>
          <w:lang w:val="es-ES"/>
        </w:rPr>
        <w:t>En ese contexto, la OMPI tiene como objetivo proporcionar a los Estados miembros el sistema más actualizado y mundialmente aceptado de clasificaciones internacionales y normas técnicas de la Organización para facilitar el acceso, el uso y la difusión de información sobre P.I. entre las distintas partes interesadas de todo el mundo.  A este respecto, las actividades de este programa tienen una vinculación directa con las recomendaciones 30 y 31 de la A.D.</w:t>
      </w:r>
    </w:p>
    <w:p w:rsidR="00C35C71" w:rsidRPr="0098726F" w:rsidRDefault="00C35C71" w:rsidP="00C35C71">
      <w:pPr>
        <w:pStyle w:val="Body1"/>
        <w:jc w:val="both"/>
        <w:rPr>
          <w:rFonts w:ascii="Arial" w:hAnsi="Arial" w:cs="Arial"/>
          <w:color w:val="auto"/>
          <w:sz w:val="20"/>
          <w:szCs w:val="22"/>
          <w:lang w:val="es-ES"/>
        </w:rPr>
      </w:pPr>
    </w:p>
    <w:p w:rsidR="00C35C71" w:rsidRPr="0098726F" w:rsidRDefault="00C35C71" w:rsidP="00C35C71">
      <w:pPr>
        <w:pStyle w:val="Body1"/>
        <w:jc w:val="both"/>
        <w:rPr>
          <w:rFonts w:ascii="Arial" w:hAnsi="Arial" w:cs="Arial"/>
          <w:color w:val="auto"/>
          <w:sz w:val="20"/>
          <w:szCs w:val="22"/>
          <w:lang w:val="es-ES"/>
        </w:rPr>
      </w:pPr>
    </w:p>
    <w:p w:rsidR="00C35C71" w:rsidRPr="0098726F" w:rsidRDefault="00C35C71" w:rsidP="00C35C71">
      <w:pPr>
        <w:pStyle w:val="Body1"/>
        <w:jc w:val="both"/>
        <w:rPr>
          <w:rFonts w:ascii="Arial" w:hAnsi="Arial" w:cs="Arial"/>
          <w:color w:val="auto"/>
          <w:sz w:val="22"/>
          <w:szCs w:val="24"/>
          <w:lang w:val="es-ES"/>
        </w:rPr>
      </w:pPr>
      <w:r w:rsidRPr="0098726F">
        <w:rPr>
          <w:rFonts w:ascii="Arial" w:hAnsi="Arial" w:cs="Arial"/>
          <w:color w:val="auto"/>
          <w:sz w:val="22"/>
          <w:szCs w:val="24"/>
          <w:lang w:val="es-ES"/>
        </w:rPr>
        <w:t>ESTRATEGIAS DE EJECUCIÓN</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En el bienio 2016/17 las estrategias se centrarán en seguir mejorando y desarrollando las clasificaciones internacionales y las normas técnicas de la OMPI haciendo un amplio uso de los foros electrónicos y las conferencias en Internet y de las reuniones de los comités pertinentes.  Se adoptarán medidas para fomentar el conocimiento de las clasificaciones y las normas técnicas entre todos los grupos de usuarios.  A este respecto, se impartirá formación en función de la demanda para facilitar la utilización de las clasificaciones y las normas técnicas, en particular en los países en desarrollo.</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jc w:val="both"/>
        <w:rPr>
          <w:rFonts w:ascii="Arial" w:hAnsi="Arial" w:cs="Arial"/>
          <w:color w:val="auto"/>
          <w:sz w:val="20"/>
          <w:u w:val="single"/>
          <w:lang w:val="es-ES"/>
        </w:rPr>
      </w:pPr>
      <w:r w:rsidRPr="0098726F">
        <w:rPr>
          <w:rFonts w:ascii="Arial" w:hAnsi="Arial" w:cs="Arial"/>
          <w:color w:val="auto"/>
          <w:sz w:val="20"/>
          <w:u w:val="single"/>
          <w:lang w:val="es-ES"/>
        </w:rPr>
        <w:t>CIP (Clasificación Internacional de Patentes)</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seguirán introduciendo mejoras en la CIP en el marco de la hoja de ruta de la revisión de la CIP, adoptada por el Comité de Expertos de la CIP en 2013.  La hoja de ruta tiene por objeto potenciar la CIP en los ámbitos técnicos en los que se presenta una gran cantidad de solicitudes de patente, y con un índice de crecimiento que va en aumento, en los países emergentes.  Bajo los auspicios del Comité de Expertos, la OMPI supervisará de cerca y facilitará la ejecución del plan y formará a los funcionarios de las Oficinas de P.I. a fin de que haya una participación más amplia en el proceso de revisión de la CIP.  Se impulsará la cooperación internacional en materia de reclasificación de documentos de patente, conforme a la última versión de la CIP, que estará además enteramente administrada por la OMPI.  La OMPI fomentará y facilitará además un uso más amplio del sistema de la CIP mediante la prestación de asistencia en la traducción de la CIP a los idiomas nacionales.</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jc w:val="both"/>
        <w:rPr>
          <w:rFonts w:ascii="Arial" w:hAnsi="Arial" w:cs="Arial"/>
          <w:color w:val="auto"/>
          <w:sz w:val="20"/>
          <w:u w:val="single"/>
          <w:lang w:val="es-ES"/>
        </w:rPr>
      </w:pPr>
      <w:r w:rsidRPr="0098726F">
        <w:rPr>
          <w:rFonts w:ascii="Arial" w:hAnsi="Arial" w:cs="Arial"/>
          <w:color w:val="auto"/>
          <w:sz w:val="20"/>
          <w:u w:val="single"/>
          <w:lang w:val="es-ES"/>
        </w:rPr>
        <w:t>Clasificación de Niza (lista de productos y servicios para el registro de marcas)</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seguirán introduciendo mejoras en la Clasificación de Niza bajo los auspicios del Comité de Expertos de la Clasificación de Niza.  Se atribuirá particular importancia a asegurar que en la lista de productos y servicios se tengan debidamente en cuenta las particularidades de los mercados emergentes y que en ella se integren con mayor rapidez las nuevas indicaciones que se utilizan asiduamente.   Para ello, deberán supervisarse de cerca las bases de datos nacionales y del Sistema de Madrid y suprimir las indicaciones obsoletas mediante un sistema de gestión de la revisión bien concebido y simplificado.  Se seguirá trabajando en la creación de una plataforma sin fisuras para los productos y servicios de la lista de la Clasificación de Niza y la base de datos del Gestor de Productos y Servicios de Madrid.  La OMPI participará activamente en las iniciativas regionales e internacionales de cooperación relativas a la clasificación de las marcas para facilitar la introducción, en la Clasificación de Niza, de las prácticas ampliamente aceptadas.  Se elaborará material claro y sencillo y se diseñarán cursos interactivos de formación sobre cómo llevar a cabo la clasificación, y se pondrán a disposición de los usuarios en Internet.  Las Oficinas de P.I. participarán más estrechamente en estos procesos.</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746B2C">
      <w:pPr>
        <w:pStyle w:val="Body1"/>
        <w:keepNext/>
        <w:keepLines/>
        <w:jc w:val="both"/>
        <w:rPr>
          <w:rFonts w:ascii="Arial" w:hAnsi="Arial" w:cs="Arial"/>
          <w:color w:val="auto"/>
          <w:sz w:val="20"/>
          <w:u w:val="single"/>
          <w:lang w:val="es-ES"/>
        </w:rPr>
      </w:pPr>
      <w:r w:rsidRPr="0098726F">
        <w:rPr>
          <w:rFonts w:ascii="Arial" w:hAnsi="Arial" w:cs="Arial"/>
          <w:color w:val="auto"/>
          <w:sz w:val="20"/>
          <w:u w:val="single"/>
          <w:lang w:val="es-ES"/>
        </w:rPr>
        <w:lastRenderedPageBreak/>
        <w:t>Clasificación de Viena (elementos figurativos de las marcas) y Clasificación de Locarno (dibujos y modelos industriales)</w:t>
      </w:r>
    </w:p>
    <w:p w:rsidR="00C35C71" w:rsidRPr="0098726F" w:rsidRDefault="00C35C71" w:rsidP="00746B2C">
      <w:pPr>
        <w:pStyle w:val="Body1"/>
        <w:keepNext/>
        <w:keepLines/>
        <w:jc w:val="both"/>
        <w:rPr>
          <w:rFonts w:ascii="Arial" w:hAnsi="Arial" w:cs="Arial"/>
          <w:color w:val="auto"/>
          <w:sz w:val="20"/>
          <w:u w:val="single"/>
          <w:lang w:val="es-ES"/>
        </w:rPr>
      </w:pPr>
    </w:p>
    <w:p w:rsidR="00C35C71" w:rsidRPr="0098726F" w:rsidRDefault="00C35C71" w:rsidP="00746B2C">
      <w:pPr>
        <w:pStyle w:val="Body1"/>
        <w:keepNext/>
        <w:keepLines/>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finalizarán las nuevas plataformas de publicación para las Clasificaciones de Viena y de Locarno, siguiendo el ejemplo de la Clasificación de Niza.  Las Oficinas de P.I. participarán más estrechamente en las labores de revisión de las Clasificaciones de Viena y de Locarno.  Tras la decisión del Comité de Expertos de la Clasificación de Locarno, en el otoño de 2015, las subclases de la Clasificación de Locarno se seguirán subdividiendo para que las búsquedas en las bases de datos de dibujos y modelos industriales sean más eficientes.   Se elaborará material claro y sencillo y se diseñarán cursos interactivos de formación sobre cómo llevar a cabo la clasificación, y se pondrán a disposición de los usuarios en Internet.</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jc w:val="both"/>
        <w:rPr>
          <w:rFonts w:ascii="Arial" w:hAnsi="Arial" w:cs="Arial"/>
          <w:color w:val="auto"/>
          <w:sz w:val="20"/>
          <w:u w:val="single"/>
          <w:lang w:val="es-ES"/>
        </w:rPr>
      </w:pPr>
      <w:r w:rsidRPr="0098726F">
        <w:rPr>
          <w:rFonts w:ascii="Arial" w:hAnsi="Arial" w:cs="Arial"/>
          <w:color w:val="auto"/>
          <w:sz w:val="20"/>
          <w:u w:val="single"/>
          <w:lang w:val="es-ES"/>
        </w:rPr>
        <w:t>Normas técnicas de la OMPI</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 xml:space="preserve">Las normas técnicas de la OMPI proporcionan una base para tramitar, transmitir, intercambiar, difundir y compartir información y documentos de P.I.  Al elaborar nuevas normas técnicas de la OMPI, o al revisar las existentes, la OMPI se coordinará con las Oficinas de P.I. de manera más flexible y eficiente a fin de satisfacer más adecuadamente las necesidades y las solicitudes de los usuarios.  Se fomentará además la utilización de medios electrónicos para la revisión y aprobación de las normas técnicas.  Entre las tareas de revisión de las actuales normas técnicas figurará la actualización de las normas sobre XML (a fin de disponer de un formato digital de datos estructurado más adecuadamente) y la elaboración de las herramientas pertinentes para facilitar su uso, mientras que en la elaboración de nuevas normas técnicas se tendrá en cuenta la difusión y el intercambio de información sobre la situación jurídica de las patentes y datos sobre nuevos tipos de marcas.  La OMPI seguirá colaborando con las Oficinas de P.I. para publicar información actualizada sobre las prácticas de dichas Oficinas en relación con las normas técnicas de la OMPI, y ayudará a las Oficinas en la aplicación de las mismas.  Se facilitará el acceso a las normas técnicas de la OMPI, así como a los estudios conexos, en las bases de datos de P.I. </w:t>
      </w:r>
    </w:p>
    <w:p w:rsidR="00C35C71" w:rsidRPr="0098726F" w:rsidRDefault="00C35C71" w:rsidP="00C35C71">
      <w:pPr>
        <w:pStyle w:val="Body1"/>
        <w:jc w:val="both"/>
        <w:rPr>
          <w:rFonts w:ascii="Arial" w:hAnsi="Arial" w:cs="Arial"/>
          <w:color w:val="auto"/>
          <w:sz w:val="20"/>
          <w:lang w:val="es-ES"/>
        </w:rPr>
      </w:pPr>
    </w:p>
    <w:p w:rsidR="00C35C71" w:rsidRPr="0098726F" w:rsidRDefault="00C35C71" w:rsidP="00C35C71">
      <w:pPr>
        <w:pStyle w:val="Body1"/>
        <w:jc w:val="both"/>
        <w:rPr>
          <w:rFonts w:ascii="Arial" w:hAnsi="Arial" w:cs="Arial"/>
          <w:color w:val="auto"/>
          <w:sz w:val="20"/>
          <w:u w:val="single"/>
          <w:lang w:val="es-ES"/>
        </w:rPr>
      </w:pPr>
      <w:r w:rsidRPr="0098726F">
        <w:rPr>
          <w:rFonts w:ascii="Arial" w:hAnsi="Arial" w:cs="Arial"/>
          <w:color w:val="auto"/>
          <w:sz w:val="20"/>
          <w:u w:val="single"/>
          <w:lang w:val="es-ES"/>
        </w:rPr>
        <w:t>Sistemas de TIC para las clasificaciones internacionales y las normas técnicas</w:t>
      </w:r>
    </w:p>
    <w:p w:rsidR="00C35C71" w:rsidRPr="0098726F" w:rsidRDefault="00C35C71" w:rsidP="00C35C71">
      <w:pPr>
        <w:pStyle w:val="Body1"/>
        <w:jc w:val="both"/>
        <w:rPr>
          <w:rFonts w:ascii="Arial" w:hAnsi="Arial" w:cs="Arial"/>
          <w:color w:val="auto"/>
          <w:sz w:val="20"/>
          <w:lang w:val="es-ES"/>
        </w:rPr>
      </w:pPr>
    </w:p>
    <w:p w:rsidR="00C35C71" w:rsidRDefault="00C35C71" w:rsidP="00C35C71">
      <w:pPr>
        <w:pStyle w:val="Body1"/>
        <w:numPr>
          <w:ilvl w:val="0"/>
          <w:numId w:val="30"/>
        </w:numPr>
        <w:tabs>
          <w:tab w:val="left" w:pos="709"/>
        </w:tabs>
        <w:ind w:left="0" w:firstLine="0"/>
        <w:jc w:val="both"/>
        <w:rPr>
          <w:rFonts w:ascii="Arial" w:hAnsi="Arial" w:cs="Arial"/>
          <w:color w:val="auto"/>
          <w:sz w:val="20"/>
          <w:lang w:val="es-ES"/>
        </w:rPr>
      </w:pPr>
      <w:r w:rsidRPr="0098726F">
        <w:rPr>
          <w:rFonts w:ascii="Arial" w:hAnsi="Arial" w:cs="Arial"/>
          <w:color w:val="auto"/>
          <w:sz w:val="20"/>
          <w:lang w:val="es-ES"/>
        </w:rPr>
        <w:t>Se renovarán y consolidarán los sistemas de TIC que sirven para administrar las clasificaciones internacionales y normas técnicas.  Se elaborarán nuevas herramientas para incrementar la eficacia de la cooperación internacional en la reclasificación de los documentos de patente.  Se crearán sistemas de gestión de la revisión con respecto a las Clasificaciones de Niza, Viena y Locarno a fin de facilitar el control, por parte de la OMPI, de los datos respectivos;  permitir un intercambio más eficiente con las Oficinas de P.I. durante el proceso de revisión, y fomentar el ahorro de tiempo y dinero en la publicación regular de las clasificaciones.  Se examinará la publicación de las normas técnicas y de los estudios para facilitar su integración en las bases de datos de información sobre P.I.</w:t>
      </w:r>
    </w:p>
    <w:p w:rsidR="00C35C71" w:rsidRDefault="00C35C71" w:rsidP="00C35C71">
      <w:pPr>
        <w:pStyle w:val="Body1"/>
        <w:tabs>
          <w:tab w:val="left" w:pos="709"/>
        </w:tabs>
        <w:jc w:val="both"/>
        <w:rPr>
          <w:rFonts w:ascii="Arial" w:hAnsi="Arial" w:cs="Arial"/>
          <w:color w:val="auto"/>
          <w:sz w:val="20"/>
          <w:lang w:val="es-ES"/>
        </w:rPr>
      </w:pPr>
    </w:p>
    <w:p w:rsidR="00C35C71" w:rsidRPr="00E22F01" w:rsidRDefault="00E22F01" w:rsidP="00C35C71">
      <w:pPr>
        <w:pStyle w:val="Body1"/>
        <w:numPr>
          <w:ilvl w:val="0"/>
          <w:numId w:val="30"/>
        </w:numPr>
        <w:tabs>
          <w:tab w:val="left" w:pos="709"/>
        </w:tabs>
        <w:ind w:left="0" w:firstLine="0"/>
        <w:jc w:val="both"/>
        <w:rPr>
          <w:rFonts w:ascii="Arial" w:hAnsi="Arial" w:cs="Arial"/>
          <w:color w:val="auto"/>
          <w:sz w:val="20"/>
          <w:lang w:val="es-ES"/>
        </w:rPr>
      </w:pPr>
      <w:r>
        <w:rPr>
          <w:rFonts w:ascii="Arial" w:hAnsi="Arial" w:cs="Arial"/>
          <w:sz w:val="20"/>
          <w:lang w:val="es-ES"/>
        </w:rPr>
        <w:t>El p</w:t>
      </w:r>
      <w:r w:rsidR="00C35C71" w:rsidRPr="00E22F01">
        <w:rPr>
          <w:rFonts w:ascii="Arial" w:hAnsi="Arial" w:cs="Arial"/>
          <w:sz w:val="20"/>
          <w:lang w:val="es-ES"/>
        </w:rPr>
        <w:t>rogram</w:t>
      </w:r>
      <w:r>
        <w:rPr>
          <w:rFonts w:ascii="Arial" w:hAnsi="Arial" w:cs="Arial"/>
          <w:sz w:val="20"/>
          <w:lang w:val="es-ES"/>
        </w:rPr>
        <w:t>a</w:t>
      </w:r>
      <w:r w:rsidR="00C35C71" w:rsidRPr="00E22F01">
        <w:rPr>
          <w:rFonts w:ascii="Arial" w:hAnsi="Arial" w:cs="Arial"/>
          <w:sz w:val="20"/>
          <w:lang w:val="es-ES"/>
        </w:rPr>
        <w:t xml:space="preserve"> 12 colabora</w:t>
      </w:r>
      <w:r>
        <w:rPr>
          <w:rFonts w:ascii="Arial" w:hAnsi="Arial" w:cs="Arial"/>
          <w:sz w:val="20"/>
          <w:lang w:val="es-ES"/>
        </w:rPr>
        <w:t xml:space="preserve"> principalmente con los programas siguientes</w:t>
      </w:r>
      <w:r w:rsidR="00C35C71" w:rsidRPr="00E22F01">
        <w:rPr>
          <w:rFonts w:ascii="Arial" w:hAnsi="Arial" w:cs="Arial"/>
          <w:sz w:val="20"/>
          <w:lang w:val="es-ES"/>
        </w:rPr>
        <w:t>:</w:t>
      </w:r>
    </w:p>
    <w:p w:rsidR="00C35C71" w:rsidRPr="006A3CA4" w:rsidRDefault="00C35C71" w:rsidP="00C35C71">
      <w:pPr>
        <w:pStyle w:val="Body1"/>
        <w:jc w:val="both"/>
        <w:rPr>
          <w:rFonts w:ascii="Arial" w:hAnsi="Arial" w:cs="Arial"/>
          <w:color w:val="auto"/>
          <w:sz w:val="22"/>
          <w:szCs w:val="22"/>
          <w:lang w:val="es-ES_tradnl"/>
        </w:rPr>
      </w:pPr>
    </w:p>
    <w:p w:rsidR="00C54904" w:rsidRPr="006A3CA4" w:rsidRDefault="00C54904" w:rsidP="00C35C71">
      <w:pPr>
        <w:pStyle w:val="Body1"/>
        <w:jc w:val="both"/>
        <w:rPr>
          <w:rFonts w:ascii="Arial" w:hAnsi="Arial" w:cs="Arial"/>
          <w:color w:val="auto"/>
          <w:sz w:val="22"/>
          <w:szCs w:val="22"/>
          <w:lang w:val="es-ES_tradnl"/>
        </w:rPr>
      </w:pPr>
    </w:p>
    <w:p w:rsidR="00C35C71" w:rsidRDefault="00C35C71" w:rsidP="00C35C71">
      <w:r w:rsidRPr="000229D9">
        <w:rPr>
          <w:noProof/>
          <w:lang w:val="en-US" w:eastAsia="en-US"/>
        </w:rPr>
        <w:drawing>
          <wp:inline distT="0" distB="0" distL="0" distR="0" wp14:anchorId="08E370AB" wp14:editId="1865FBBB">
            <wp:extent cx="5759533" cy="1769424"/>
            <wp:effectExtent l="57150" t="0" r="50800" b="78740"/>
            <wp:docPr id="25" name="Diagram 2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rsidR="00C35C71" w:rsidRPr="0098726F" w:rsidRDefault="00C35C71" w:rsidP="00C35C71">
      <w:r w:rsidRPr="0098726F">
        <w:br w:type="page"/>
      </w:r>
    </w:p>
    <w:p w:rsidR="00C35C71" w:rsidRPr="004B371E" w:rsidRDefault="004B371E" w:rsidP="004B371E">
      <w:pPr>
        <w:pStyle w:val="Body1"/>
        <w:widowControl w:val="0"/>
        <w:rPr>
          <w:rFonts w:ascii="Arial" w:hAnsi="Arial" w:cs="Arial"/>
          <w:color w:val="auto"/>
          <w:sz w:val="22"/>
          <w:lang w:val="es-ES"/>
        </w:rPr>
      </w:pPr>
      <w:r w:rsidRPr="004B371E">
        <w:rPr>
          <w:rFonts w:ascii="Arial" w:hAnsi="Arial" w:cs="Arial"/>
          <w:color w:val="auto"/>
          <w:sz w:val="22"/>
          <w:lang w:val="es-ES"/>
        </w:rPr>
        <w:lastRenderedPageBreak/>
        <w:t>PRINCIPALES RIESGOS Y ESTRATEGIAS DE MITIGACIÓN</w:t>
      </w:r>
    </w:p>
    <w:p w:rsidR="00C35C71" w:rsidRPr="0098726F" w:rsidRDefault="00C35C71" w:rsidP="00C35C71">
      <w:pPr>
        <w:rPr>
          <w:szCs w:val="22"/>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C35C71" w:rsidRPr="0098726F" w:rsidTr="00E02444">
        <w:trPr>
          <w:trHeight w:val="558"/>
        </w:trPr>
        <w:tc>
          <w:tcPr>
            <w:tcW w:w="4253" w:type="dxa"/>
            <w:tcBorders>
              <w:top w:val="single" w:sz="4" w:space="0" w:color="auto"/>
              <w:bottom w:val="single" w:sz="4" w:space="0" w:color="auto"/>
            </w:tcBorders>
            <w:shd w:val="clear" w:color="auto" w:fill="C6D9F1" w:themeFill="text2" w:themeFillTint="33"/>
            <w:vAlign w:val="center"/>
          </w:tcPr>
          <w:p w:rsidR="00C35C71" w:rsidRPr="0098726F" w:rsidRDefault="00C35C71" w:rsidP="00E02444">
            <w:pPr>
              <w:jc w:val="center"/>
              <w:rPr>
                <w:b/>
                <w:bCs/>
                <w:sz w:val="18"/>
                <w:szCs w:val="18"/>
              </w:rPr>
            </w:pPr>
            <w:r w:rsidRPr="0098726F">
              <w:rPr>
                <w:b/>
                <w:bCs/>
                <w:sz w:val="18"/>
                <w:szCs w:val="18"/>
              </w:rPr>
              <w:t>Riesgo</w:t>
            </w:r>
          </w:p>
        </w:tc>
        <w:tc>
          <w:tcPr>
            <w:tcW w:w="4961" w:type="dxa"/>
            <w:tcBorders>
              <w:top w:val="single" w:sz="4" w:space="0" w:color="auto"/>
              <w:bottom w:val="single" w:sz="4" w:space="0" w:color="auto"/>
            </w:tcBorders>
            <w:shd w:val="clear" w:color="auto" w:fill="C6D9F1" w:themeFill="text2" w:themeFillTint="33"/>
            <w:vAlign w:val="center"/>
          </w:tcPr>
          <w:p w:rsidR="00C35C71" w:rsidRPr="0098726F" w:rsidRDefault="00C35C71" w:rsidP="00E02444">
            <w:pPr>
              <w:jc w:val="center"/>
              <w:rPr>
                <w:b/>
                <w:bCs/>
                <w:sz w:val="18"/>
                <w:szCs w:val="18"/>
              </w:rPr>
            </w:pPr>
            <w:r w:rsidRPr="0098726F">
              <w:rPr>
                <w:b/>
                <w:bCs/>
                <w:sz w:val="18"/>
                <w:szCs w:val="18"/>
              </w:rPr>
              <w:t>Mitigación</w:t>
            </w:r>
          </w:p>
        </w:tc>
      </w:tr>
      <w:tr w:rsidR="00C35C71" w:rsidRPr="00261379" w:rsidTr="00E02444">
        <w:trPr>
          <w:trHeight w:val="14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C35C71" w:rsidRPr="0098726F" w:rsidRDefault="00C35C71" w:rsidP="00E02444">
            <w:pPr>
              <w:rPr>
                <w:sz w:val="16"/>
                <w:szCs w:val="16"/>
              </w:rPr>
            </w:pPr>
            <w:r w:rsidRPr="0098726F">
              <w:rPr>
                <w:sz w:val="16"/>
              </w:rPr>
              <w:t>Las diferencias de opinión entre los grupos de países traen aparejada una limitación del desarrollo técnico de las normas y las clasificaciones.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C35C71" w:rsidRPr="0098726F" w:rsidRDefault="00C35C71" w:rsidP="00E02444">
            <w:pPr>
              <w:rPr>
                <w:sz w:val="16"/>
                <w:szCs w:val="16"/>
              </w:rPr>
            </w:pPr>
            <w:r w:rsidRPr="0098726F">
              <w:rPr>
                <w:sz w:val="16"/>
              </w:rPr>
              <w:t xml:space="preserve">Examen y solución de las cuestiones al margen de los comités. Intensificar los debates técnicos en el seno de estos.   Supervisión de la aplicación de los planes a largo plazo.  </w:t>
            </w:r>
          </w:p>
        </w:tc>
      </w:tr>
      <w:tr w:rsidR="00C35C71" w:rsidRPr="00261379" w:rsidTr="00E02444">
        <w:trPr>
          <w:trHeight w:val="145"/>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C35C71" w:rsidRPr="0098726F" w:rsidRDefault="00C35C71" w:rsidP="00E02444">
            <w:pPr>
              <w:rPr>
                <w:sz w:val="16"/>
                <w:szCs w:val="16"/>
              </w:rPr>
            </w:pP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C35C71" w:rsidRPr="0098726F" w:rsidRDefault="00C35C71" w:rsidP="00E02444">
            <w:pPr>
              <w:rPr>
                <w:sz w:val="16"/>
                <w:szCs w:val="16"/>
              </w:rPr>
            </w:pPr>
            <w:r w:rsidRPr="0098726F">
              <w:rPr>
                <w:sz w:val="16"/>
              </w:rPr>
              <w:t xml:space="preserve">Llevar a cabo misiones de formación en los países en desarrollo, en particular en el plano regional, para aumentar el conocimiento acerca de las clasificaciones y las normas técnicas.  Tener en cuenta las necesidades regionales en la elaboración de las clasificaciones y las normas técnicas. </w:t>
            </w:r>
          </w:p>
        </w:tc>
      </w:tr>
    </w:tbl>
    <w:p w:rsidR="00C35C71" w:rsidRPr="0098726F" w:rsidRDefault="00C35C71" w:rsidP="00C35C71">
      <w:pPr>
        <w:widowControl w:val="0"/>
        <w:rPr>
          <w:sz w:val="20"/>
          <w:szCs w:val="22"/>
        </w:rPr>
      </w:pPr>
    </w:p>
    <w:p w:rsidR="00C35C71" w:rsidRPr="0098726F" w:rsidRDefault="00C35C71" w:rsidP="00C35C71">
      <w:pPr>
        <w:pStyle w:val="Body1"/>
        <w:widowControl w:val="0"/>
        <w:rPr>
          <w:rFonts w:ascii="Arial" w:hAnsi="Arial" w:cs="Arial"/>
          <w:color w:val="auto"/>
          <w:sz w:val="20"/>
          <w:szCs w:val="22"/>
          <w:lang w:val="es-ES"/>
        </w:rPr>
      </w:pPr>
    </w:p>
    <w:p w:rsidR="00C35C71" w:rsidRPr="0098726F" w:rsidRDefault="00C35C71" w:rsidP="00C35C71">
      <w:pPr>
        <w:pStyle w:val="Body1"/>
        <w:widowControl w:val="0"/>
        <w:rPr>
          <w:rFonts w:ascii="Arial" w:hAnsi="Arial" w:cs="Arial"/>
          <w:color w:val="auto"/>
          <w:sz w:val="22"/>
          <w:lang w:val="es-ES"/>
        </w:rPr>
      </w:pPr>
      <w:r w:rsidRPr="0098726F">
        <w:rPr>
          <w:rFonts w:ascii="Arial" w:hAnsi="Arial" w:cs="Arial"/>
          <w:color w:val="auto"/>
          <w:sz w:val="22"/>
          <w:lang w:val="es-ES"/>
        </w:rPr>
        <w:t>MARCO DE RESULTADOS</w:t>
      </w:r>
    </w:p>
    <w:p w:rsidR="00C35C71" w:rsidRPr="0098726F" w:rsidRDefault="00C35C71" w:rsidP="00C35C71">
      <w:pPr>
        <w:pStyle w:val="Body1"/>
        <w:widowControl w:val="0"/>
        <w:rPr>
          <w:rFonts w:ascii="Arial" w:hAnsi="Arial" w:cs="Arial"/>
          <w:color w:val="auto"/>
          <w:sz w:val="20"/>
          <w:lang w:val="es-ES"/>
        </w:rPr>
      </w:pPr>
    </w:p>
    <w:tbl>
      <w:tblPr>
        <w:tblW w:w="9280" w:type="dxa"/>
        <w:tblInd w:w="93" w:type="dxa"/>
        <w:tblLook w:val="04A0" w:firstRow="1" w:lastRow="0" w:firstColumn="1" w:lastColumn="0" w:noHBand="0" w:noVBand="1"/>
      </w:tblPr>
      <w:tblGrid>
        <w:gridCol w:w="2200"/>
        <w:gridCol w:w="2640"/>
        <w:gridCol w:w="2300"/>
        <w:gridCol w:w="2140"/>
      </w:tblGrid>
      <w:tr w:rsidR="00C35C71" w:rsidRPr="0098726F" w:rsidTr="00E02444">
        <w:trPr>
          <w:trHeight w:val="630"/>
        </w:trPr>
        <w:tc>
          <w:tcPr>
            <w:tcW w:w="220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C35C71" w:rsidRPr="0098726F" w:rsidRDefault="00C35C71" w:rsidP="00E02444">
            <w:pPr>
              <w:widowControl w:val="0"/>
              <w:rPr>
                <w:b/>
                <w:bCs/>
                <w:sz w:val="18"/>
                <w:szCs w:val="18"/>
              </w:rPr>
            </w:pPr>
            <w:r w:rsidRPr="0098726F">
              <w:rPr>
                <w:b/>
                <w:bCs/>
                <w:sz w:val="18"/>
                <w:szCs w:val="18"/>
              </w:rPr>
              <w:t xml:space="preserve">Resultados previstos </w:t>
            </w:r>
          </w:p>
        </w:tc>
        <w:tc>
          <w:tcPr>
            <w:tcW w:w="2640" w:type="dxa"/>
            <w:tcBorders>
              <w:top w:val="single" w:sz="4" w:space="0" w:color="auto"/>
              <w:left w:val="nil"/>
              <w:bottom w:val="single" w:sz="4" w:space="0" w:color="auto"/>
              <w:right w:val="nil"/>
            </w:tcBorders>
            <w:shd w:val="clear" w:color="auto" w:fill="C6D9F1" w:themeFill="text2" w:themeFillTint="33"/>
            <w:vAlign w:val="center"/>
            <w:hideMark/>
          </w:tcPr>
          <w:p w:rsidR="00C35C71" w:rsidRPr="0098726F" w:rsidRDefault="00C35C71" w:rsidP="00E02444">
            <w:pPr>
              <w:keepNext/>
              <w:keepLines/>
              <w:jc w:val="center"/>
              <w:rPr>
                <w:b/>
                <w:bCs/>
                <w:sz w:val="18"/>
                <w:szCs w:val="18"/>
              </w:rPr>
            </w:pPr>
            <w:r w:rsidRPr="0098726F">
              <w:rPr>
                <w:b/>
                <w:bCs/>
                <w:sz w:val="18"/>
                <w:szCs w:val="18"/>
              </w:rPr>
              <w:t>Indicadores de rendimiento</w:t>
            </w:r>
          </w:p>
        </w:tc>
        <w:tc>
          <w:tcPr>
            <w:tcW w:w="2300" w:type="dxa"/>
            <w:tcBorders>
              <w:top w:val="single" w:sz="4" w:space="0" w:color="auto"/>
              <w:left w:val="nil"/>
              <w:bottom w:val="single" w:sz="4" w:space="0" w:color="auto"/>
              <w:right w:val="nil"/>
            </w:tcBorders>
            <w:shd w:val="clear" w:color="auto" w:fill="C6D9F1" w:themeFill="text2" w:themeFillTint="33"/>
            <w:vAlign w:val="center"/>
            <w:hideMark/>
          </w:tcPr>
          <w:p w:rsidR="00C35C71" w:rsidRPr="0098726F" w:rsidRDefault="00C35C71" w:rsidP="00E02444">
            <w:pPr>
              <w:keepNext/>
              <w:keepLines/>
              <w:jc w:val="center"/>
              <w:rPr>
                <w:b/>
                <w:bCs/>
                <w:sz w:val="18"/>
                <w:szCs w:val="18"/>
              </w:rPr>
            </w:pPr>
            <w:r w:rsidRPr="0098726F">
              <w:rPr>
                <w:b/>
                <w:bCs/>
                <w:sz w:val="18"/>
                <w:szCs w:val="18"/>
              </w:rPr>
              <w:t>Referencia</w:t>
            </w:r>
          </w:p>
        </w:tc>
        <w:tc>
          <w:tcPr>
            <w:tcW w:w="2140"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C35C71" w:rsidRPr="0098726F" w:rsidRDefault="00C35C71" w:rsidP="00E02444">
            <w:pPr>
              <w:keepNext/>
              <w:keepLines/>
              <w:jc w:val="center"/>
              <w:rPr>
                <w:b/>
                <w:bCs/>
                <w:sz w:val="18"/>
                <w:szCs w:val="18"/>
              </w:rPr>
            </w:pPr>
            <w:r w:rsidRPr="0098726F">
              <w:rPr>
                <w:b/>
                <w:bCs/>
                <w:sz w:val="18"/>
                <w:szCs w:val="18"/>
              </w:rPr>
              <w:t>Objetivos</w:t>
            </w:r>
          </w:p>
        </w:tc>
      </w:tr>
      <w:tr w:rsidR="00C35C71" w:rsidRPr="00261379" w:rsidTr="00E02444">
        <w:trPr>
          <w:trHeight w:val="1312"/>
        </w:trPr>
        <w:tc>
          <w:tcPr>
            <w:tcW w:w="2200" w:type="dxa"/>
            <w:vMerge w:val="restart"/>
            <w:tcBorders>
              <w:top w:val="nil"/>
              <w:left w:val="single" w:sz="4" w:space="0" w:color="auto"/>
              <w:bottom w:val="single" w:sz="4" w:space="0" w:color="000000"/>
              <w:right w:val="nil"/>
            </w:tcBorders>
            <w:shd w:val="clear" w:color="000000" w:fill="FFFFFF"/>
            <w:hideMark/>
          </w:tcPr>
          <w:p w:rsidR="00C35C71" w:rsidRPr="0098726F" w:rsidRDefault="00C35C71" w:rsidP="00177522">
            <w:pPr>
              <w:widowControl w:val="0"/>
              <w:rPr>
                <w:sz w:val="16"/>
                <w:szCs w:val="16"/>
              </w:rPr>
            </w:pPr>
            <w:r w:rsidRPr="0098726F">
              <w:rPr>
                <w:sz w:val="16"/>
                <w:szCs w:val="16"/>
              </w:rPr>
              <w:t>IV.1</w:t>
            </w:r>
            <w:r w:rsidR="00177522">
              <w:rPr>
                <w:sz w:val="16"/>
                <w:szCs w:val="16"/>
              </w:rPr>
              <w:t xml:space="preserve"> </w:t>
            </w:r>
            <w:r w:rsidRPr="0098726F">
              <w:rPr>
                <w:sz w:val="16"/>
                <w:szCs w:val="16"/>
              </w:rPr>
              <w:t xml:space="preserve"> </w:t>
            </w:r>
            <w:r w:rsidR="00B74100" w:rsidRPr="007E09B2">
              <w:rPr>
                <w:sz w:val="16"/>
                <w:szCs w:val="16"/>
                <w:lang w:val="es-ES_tradnl"/>
              </w:rPr>
              <w:t>Sistema actualizado y aceptado mundialmente de clasificaciones internacionales y normas técnicas de la OMPI para facilitar el acceso, el uso y la difusión de información de P.I. entre las partes interesadas de todo el mundo</w:t>
            </w:r>
          </w:p>
        </w:tc>
        <w:tc>
          <w:tcPr>
            <w:tcW w:w="2640" w:type="dxa"/>
            <w:tcBorders>
              <w:top w:val="nil"/>
              <w:left w:val="nil"/>
              <w:bottom w:val="nil"/>
              <w:right w:val="nil"/>
            </w:tcBorders>
            <w:shd w:val="clear" w:color="000000" w:fill="FFFFFF"/>
            <w:hideMark/>
          </w:tcPr>
          <w:p w:rsidR="00C35C71" w:rsidRPr="0098726F" w:rsidRDefault="00C35C71" w:rsidP="001E701B">
            <w:pPr>
              <w:keepNext/>
              <w:keepLines/>
              <w:ind w:left="117"/>
              <w:rPr>
                <w:sz w:val="16"/>
                <w:szCs w:val="16"/>
              </w:rPr>
            </w:pPr>
            <w:r w:rsidRPr="0098726F">
              <w:rPr>
                <w:sz w:val="16"/>
                <w:szCs w:val="16"/>
              </w:rPr>
              <w:t>N</w:t>
            </w:r>
            <w:r w:rsidR="001E701B">
              <w:rPr>
                <w:sz w:val="16"/>
                <w:szCs w:val="16"/>
              </w:rPr>
              <w:t>º</w:t>
            </w:r>
            <w:r w:rsidRPr="0098726F">
              <w:rPr>
                <w:sz w:val="16"/>
                <w:szCs w:val="16"/>
              </w:rPr>
              <w:t xml:space="preserve"> de modificaciones y ficheros de información introducidos en la Clasificación de Niza.</w:t>
            </w:r>
          </w:p>
        </w:tc>
        <w:tc>
          <w:tcPr>
            <w:tcW w:w="2300" w:type="dxa"/>
            <w:tcBorders>
              <w:top w:val="nil"/>
              <w:left w:val="nil"/>
              <w:bottom w:val="nil"/>
              <w:right w:val="nil"/>
            </w:tcBorders>
            <w:shd w:val="clear" w:color="000000" w:fill="FFFFFF"/>
            <w:hideMark/>
          </w:tcPr>
          <w:p w:rsidR="00C35C71" w:rsidRPr="0098726F" w:rsidRDefault="00C35C71" w:rsidP="00E02444">
            <w:pPr>
              <w:keepNext/>
              <w:keepLines/>
              <w:ind w:left="170" w:firstLineChars="93" w:firstLine="149"/>
              <w:rPr>
                <w:sz w:val="16"/>
                <w:szCs w:val="16"/>
              </w:rPr>
            </w:pPr>
            <w:r w:rsidRPr="0098726F">
              <w:rPr>
                <w:sz w:val="16"/>
                <w:szCs w:val="16"/>
              </w:rPr>
              <w:br/>
              <w:t xml:space="preserve">570 modificaciones en inglés y francés, </w:t>
            </w:r>
            <w:r w:rsidRPr="0098726F">
              <w:rPr>
                <w:sz w:val="16"/>
                <w:szCs w:val="16"/>
              </w:rPr>
              <w:br/>
              <w:t>50 ficheros de información nuevos o modificados (2014).</w:t>
            </w:r>
          </w:p>
        </w:tc>
        <w:tc>
          <w:tcPr>
            <w:tcW w:w="2140" w:type="dxa"/>
            <w:tcBorders>
              <w:top w:val="nil"/>
              <w:left w:val="nil"/>
              <w:bottom w:val="nil"/>
              <w:right w:val="single" w:sz="4" w:space="0" w:color="auto"/>
            </w:tcBorders>
            <w:shd w:val="clear" w:color="000000" w:fill="FFFFFF"/>
            <w:hideMark/>
          </w:tcPr>
          <w:p w:rsidR="00C35C71" w:rsidRPr="0098726F" w:rsidRDefault="00C35C71" w:rsidP="00E02444">
            <w:pPr>
              <w:keepNext/>
              <w:keepLines/>
              <w:ind w:left="280" w:firstLineChars="25" w:firstLine="40"/>
              <w:rPr>
                <w:sz w:val="16"/>
                <w:szCs w:val="16"/>
              </w:rPr>
            </w:pPr>
            <w:r w:rsidRPr="0098726F">
              <w:rPr>
                <w:sz w:val="16"/>
                <w:szCs w:val="16"/>
              </w:rPr>
              <w:t>Aumento en comparación con la referencia.</w:t>
            </w:r>
          </w:p>
        </w:tc>
      </w:tr>
      <w:tr w:rsidR="00C35C71" w:rsidRPr="00261379" w:rsidTr="00E02444">
        <w:trPr>
          <w:trHeight w:val="661"/>
        </w:trPr>
        <w:tc>
          <w:tcPr>
            <w:tcW w:w="2200" w:type="dxa"/>
            <w:vMerge/>
            <w:tcBorders>
              <w:top w:val="nil"/>
              <w:left w:val="single" w:sz="4" w:space="0" w:color="auto"/>
              <w:bottom w:val="single" w:sz="4" w:space="0" w:color="000000"/>
              <w:right w:val="nil"/>
            </w:tcBorders>
            <w:vAlign w:val="center"/>
            <w:hideMark/>
          </w:tcPr>
          <w:p w:rsidR="00C35C71" w:rsidRPr="0098726F" w:rsidRDefault="00C35C71" w:rsidP="00E02444">
            <w:pPr>
              <w:keepNext/>
              <w:keepLines/>
              <w:rPr>
                <w:sz w:val="16"/>
                <w:szCs w:val="16"/>
              </w:rPr>
            </w:pPr>
          </w:p>
        </w:tc>
        <w:tc>
          <w:tcPr>
            <w:tcW w:w="2640" w:type="dxa"/>
            <w:tcBorders>
              <w:top w:val="nil"/>
              <w:left w:val="nil"/>
              <w:bottom w:val="nil"/>
              <w:right w:val="nil"/>
            </w:tcBorders>
            <w:shd w:val="clear" w:color="000000" w:fill="FFFFFF"/>
            <w:hideMark/>
          </w:tcPr>
          <w:p w:rsidR="00C35C71" w:rsidRPr="0098726F" w:rsidRDefault="00C35C71" w:rsidP="001E701B">
            <w:pPr>
              <w:keepNext/>
              <w:keepLines/>
              <w:ind w:left="117"/>
              <w:rPr>
                <w:sz w:val="16"/>
                <w:szCs w:val="16"/>
              </w:rPr>
            </w:pPr>
            <w:r w:rsidRPr="0098726F">
              <w:rPr>
                <w:sz w:val="16"/>
                <w:szCs w:val="16"/>
              </w:rPr>
              <w:t>N</w:t>
            </w:r>
            <w:r w:rsidR="001E701B">
              <w:rPr>
                <w:sz w:val="16"/>
                <w:szCs w:val="16"/>
              </w:rPr>
              <w:t xml:space="preserve">º </w:t>
            </w:r>
            <w:r w:rsidRPr="0098726F">
              <w:rPr>
                <w:sz w:val="16"/>
                <w:szCs w:val="16"/>
              </w:rPr>
              <w:t>de nuevas subdivisiones introducidas anualmente en la CIP.</w:t>
            </w:r>
          </w:p>
        </w:tc>
        <w:tc>
          <w:tcPr>
            <w:tcW w:w="2300" w:type="dxa"/>
            <w:tcBorders>
              <w:top w:val="nil"/>
              <w:left w:val="nil"/>
              <w:bottom w:val="nil"/>
              <w:right w:val="nil"/>
            </w:tcBorders>
            <w:shd w:val="clear" w:color="000000" w:fill="FFFFFF"/>
            <w:hideMark/>
          </w:tcPr>
          <w:p w:rsidR="00C35C71" w:rsidRPr="0098726F" w:rsidRDefault="00C35C71" w:rsidP="00E02444">
            <w:pPr>
              <w:keepNext/>
              <w:keepLines/>
              <w:ind w:firstLineChars="106" w:firstLine="170"/>
              <w:rPr>
                <w:sz w:val="16"/>
                <w:szCs w:val="16"/>
              </w:rPr>
            </w:pPr>
            <w:r w:rsidRPr="0098726F">
              <w:rPr>
                <w:sz w:val="16"/>
                <w:szCs w:val="16"/>
              </w:rPr>
              <w:t>337 nuevos grupos (2014).</w:t>
            </w:r>
          </w:p>
        </w:tc>
        <w:tc>
          <w:tcPr>
            <w:tcW w:w="2140" w:type="dxa"/>
            <w:tcBorders>
              <w:top w:val="nil"/>
              <w:left w:val="nil"/>
              <w:bottom w:val="nil"/>
              <w:right w:val="single" w:sz="4" w:space="0" w:color="auto"/>
            </w:tcBorders>
            <w:shd w:val="clear" w:color="000000" w:fill="FFFFFF"/>
            <w:hideMark/>
          </w:tcPr>
          <w:p w:rsidR="00C35C71" w:rsidRPr="0098726F" w:rsidRDefault="00C35C71" w:rsidP="00E02444">
            <w:pPr>
              <w:keepNext/>
              <w:keepLines/>
              <w:ind w:left="280"/>
              <w:rPr>
                <w:sz w:val="16"/>
                <w:szCs w:val="16"/>
              </w:rPr>
            </w:pPr>
            <w:r w:rsidRPr="0098726F">
              <w:rPr>
                <w:sz w:val="16"/>
                <w:szCs w:val="16"/>
              </w:rPr>
              <w:t>Aumento en comparación con la referencia.</w:t>
            </w:r>
          </w:p>
        </w:tc>
      </w:tr>
      <w:tr w:rsidR="00C35C71" w:rsidRPr="00261379" w:rsidTr="00E02444">
        <w:trPr>
          <w:trHeight w:val="557"/>
        </w:trPr>
        <w:tc>
          <w:tcPr>
            <w:tcW w:w="2200" w:type="dxa"/>
            <w:vMerge/>
            <w:tcBorders>
              <w:top w:val="nil"/>
              <w:left w:val="single" w:sz="4" w:space="0" w:color="auto"/>
              <w:bottom w:val="single" w:sz="4" w:space="0" w:color="000000"/>
              <w:right w:val="nil"/>
            </w:tcBorders>
            <w:vAlign w:val="center"/>
            <w:hideMark/>
          </w:tcPr>
          <w:p w:rsidR="00C35C71" w:rsidRPr="0098726F" w:rsidRDefault="00C35C71" w:rsidP="00E02444">
            <w:pPr>
              <w:rPr>
                <w:sz w:val="16"/>
                <w:szCs w:val="16"/>
              </w:rPr>
            </w:pPr>
          </w:p>
        </w:tc>
        <w:tc>
          <w:tcPr>
            <w:tcW w:w="2640" w:type="dxa"/>
            <w:tcBorders>
              <w:top w:val="nil"/>
              <w:left w:val="nil"/>
              <w:bottom w:val="nil"/>
              <w:right w:val="nil"/>
            </w:tcBorders>
            <w:shd w:val="clear" w:color="000000" w:fill="FFFFFF"/>
            <w:hideMark/>
          </w:tcPr>
          <w:p w:rsidR="00C35C71" w:rsidRPr="0098726F" w:rsidRDefault="00C35C71" w:rsidP="001E701B">
            <w:pPr>
              <w:keepNext/>
              <w:keepLines/>
              <w:ind w:left="117"/>
              <w:rPr>
                <w:sz w:val="16"/>
                <w:szCs w:val="16"/>
              </w:rPr>
            </w:pPr>
            <w:r w:rsidRPr="0098726F">
              <w:rPr>
                <w:sz w:val="16"/>
                <w:szCs w:val="16"/>
              </w:rPr>
              <w:t>N</w:t>
            </w:r>
            <w:r w:rsidR="001E701B">
              <w:rPr>
                <w:sz w:val="16"/>
                <w:szCs w:val="16"/>
              </w:rPr>
              <w:t>º</w:t>
            </w:r>
            <w:r w:rsidRPr="0098726F">
              <w:rPr>
                <w:sz w:val="16"/>
                <w:szCs w:val="16"/>
              </w:rPr>
              <w:t xml:space="preserve"> de normas técnicas modificadas y nuevas normas técnicas adoptadas.</w:t>
            </w:r>
            <w:r w:rsidR="00324B68">
              <w:rPr>
                <w:sz w:val="16"/>
                <w:szCs w:val="16"/>
              </w:rPr>
              <w:br/>
            </w:r>
          </w:p>
        </w:tc>
        <w:tc>
          <w:tcPr>
            <w:tcW w:w="2300" w:type="dxa"/>
            <w:tcBorders>
              <w:top w:val="nil"/>
              <w:left w:val="nil"/>
              <w:bottom w:val="nil"/>
              <w:right w:val="nil"/>
            </w:tcBorders>
            <w:shd w:val="clear" w:color="000000" w:fill="FFFFFF"/>
            <w:hideMark/>
          </w:tcPr>
          <w:p w:rsidR="00C35C71" w:rsidRPr="0098726F" w:rsidRDefault="00C35C71" w:rsidP="00E02444">
            <w:pPr>
              <w:ind w:left="170"/>
              <w:rPr>
                <w:sz w:val="16"/>
                <w:szCs w:val="16"/>
              </w:rPr>
            </w:pPr>
            <w:r w:rsidRPr="0098726F">
              <w:rPr>
                <w:sz w:val="16"/>
                <w:szCs w:val="16"/>
              </w:rPr>
              <w:t>Dos nuevas normas técnicas (2014).</w:t>
            </w:r>
          </w:p>
        </w:tc>
        <w:tc>
          <w:tcPr>
            <w:tcW w:w="2140" w:type="dxa"/>
            <w:tcBorders>
              <w:top w:val="nil"/>
              <w:left w:val="nil"/>
              <w:bottom w:val="nil"/>
              <w:right w:val="single" w:sz="4" w:space="0" w:color="auto"/>
            </w:tcBorders>
            <w:shd w:val="clear" w:color="000000" w:fill="FFFFFF"/>
            <w:hideMark/>
          </w:tcPr>
          <w:p w:rsidR="00C35C71" w:rsidRPr="0098726F" w:rsidRDefault="00C35C71" w:rsidP="00E02444">
            <w:pPr>
              <w:ind w:left="280"/>
              <w:rPr>
                <w:sz w:val="16"/>
                <w:szCs w:val="16"/>
              </w:rPr>
            </w:pPr>
            <w:r w:rsidRPr="0098726F">
              <w:rPr>
                <w:sz w:val="16"/>
                <w:szCs w:val="16"/>
              </w:rPr>
              <w:t>Aumento en comparación con la referencia.</w:t>
            </w:r>
          </w:p>
        </w:tc>
      </w:tr>
      <w:tr w:rsidR="00C35C71" w:rsidRPr="00261379" w:rsidTr="00E02444">
        <w:trPr>
          <w:trHeight w:val="1409"/>
        </w:trPr>
        <w:tc>
          <w:tcPr>
            <w:tcW w:w="2200" w:type="dxa"/>
            <w:vMerge/>
            <w:tcBorders>
              <w:top w:val="nil"/>
              <w:left w:val="single" w:sz="4" w:space="0" w:color="auto"/>
              <w:bottom w:val="single" w:sz="4" w:space="0" w:color="000000"/>
              <w:right w:val="nil"/>
            </w:tcBorders>
            <w:vAlign w:val="center"/>
            <w:hideMark/>
          </w:tcPr>
          <w:p w:rsidR="00C35C71" w:rsidRPr="0098726F" w:rsidRDefault="00C35C71" w:rsidP="00E02444">
            <w:pPr>
              <w:rPr>
                <w:sz w:val="16"/>
                <w:szCs w:val="16"/>
              </w:rPr>
            </w:pPr>
          </w:p>
        </w:tc>
        <w:tc>
          <w:tcPr>
            <w:tcW w:w="2640" w:type="dxa"/>
            <w:tcBorders>
              <w:top w:val="nil"/>
              <w:left w:val="nil"/>
              <w:bottom w:val="single" w:sz="4" w:space="0" w:color="auto"/>
              <w:right w:val="nil"/>
            </w:tcBorders>
            <w:shd w:val="clear" w:color="000000" w:fill="FFFFFF"/>
            <w:hideMark/>
          </w:tcPr>
          <w:p w:rsidR="00C35C71" w:rsidRPr="0098726F" w:rsidRDefault="00C35C71" w:rsidP="001E701B">
            <w:pPr>
              <w:keepNext/>
              <w:keepLines/>
              <w:ind w:left="117"/>
              <w:rPr>
                <w:sz w:val="16"/>
                <w:szCs w:val="16"/>
              </w:rPr>
            </w:pPr>
            <w:r w:rsidRPr="0098726F">
              <w:rPr>
                <w:sz w:val="16"/>
                <w:szCs w:val="16"/>
              </w:rPr>
              <w:t>N</w:t>
            </w:r>
            <w:r w:rsidR="001E701B">
              <w:rPr>
                <w:sz w:val="16"/>
                <w:szCs w:val="16"/>
              </w:rPr>
              <w:t>º</w:t>
            </w:r>
            <w:r w:rsidRPr="0098726F">
              <w:rPr>
                <w:sz w:val="16"/>
                <w:szCs w:val="16"/>
              </w:rPr>
              <w:t xml:space="preserve"> de usuarios que tienen acceso a las publicaciones de clasificaciones internacionales y normas técnicas, especialmente de países en desarrollo.</w:t>
            </w:r>
          </w:p>
        </w:tc>
        <w:tc>
          <w:tcPr>
            <w:tcW w:w="2300" w:type="dxa"/>
            <w:tcBorders>
              <w:top w:val="nil"/>
              <w:left w:val="nil"/>
              <w:bottom w:val="single" w:sz="4" w:space="0" w:color="auto"/>
              <w:right w:val="nil"/>
            </w:tcBorders>
            <w:shd w:val="clear" w:color="000000" w:fill="FFFFFF"/>
            <w:hideMark/>
          </w:tcPr>
          <w:p w:rsidR="00C35C71" w:rsidRDefault="00C35C71" w:rsidP="00E02444">
            <w:pPr>
              <w:ind w:left="170"/>
              <w:rPr>
                <w:sz w:val="16"/>
                <w:szCs w:val="16"/>
              </w:rPr>
            </w:pPr>
            <w:r w:rsidRPr="0098726F">
              <w:rPr>
                <w:sz w:val="16"/>
                <w:szCs w:val="16"/>
              </w:rPr>
              <w:t>Publicación de la C. de Niza: 2.587.788</w:t>
            </w:r>
            <w:r w:rsidRPr="0098726F">
              <w:rPr>
                <w:sz w:val="16"/>
                <w:szCs w:val="16"/>
              </w:rPr>
              <w:br/>
              <w:t>Locarno:  44.557</w:t>
            </w:r>
            <w:r w:rsidRPr="0098726F">
              <w:rPr>
                <w:sz w:val="16"/>
                <w:szCs w:val="16"/>
              </w:rPr>
              <w:br/>
              <w:t>Viena: 29.596</w:t>
            </w:r>
            <w:r w:rsidRPr="0098726F">
              <w:rPr>
                <w:sz w:val="16"/>
                <w:szCs w:val="16"/>
              </w:rPr>
              <w:br/>
              <w:t>Publicación de la CIP: 1.170.000</w:t>
            </w:r>
            <w:r w:rsidRPr="0098726F">
              <w:rPr>
                <w:sz w:val="16"/>
                <w:szCs w:val="16"/>
              </w:rPr>
              <w:br/>
              <w:t>Normas técnicas de la OMPI (Manual):  66.399</w:t>
            </w:r>
          </w:p>
          <w:p w:rsidR="00947358" w:rsidRPr="0098726F" w:rsidRDefault="00947358" w:rsidP="00E02444">
            <w:pPr>
              <w:ind w:left="170"/>
              <w:rPr>
                <w:sz w:val="16"/>
                <w:szCs w:val="16"/>
              </w:rPr>
            </w:pPr>
          </w:p>
        </w:tc>
        <w:tc>
          <w:tcPr>
            <w:tcW w:w="2140" w:type="dxa"/>
            <w:tcBorders>
              <w:top w:val="nil"/>
              <w:left w:val="nil"/>
              <w:bottom w:val="single" w:sz="4" w:space="0" w:color="auto"/>
              <w:right w:val="single" w:sz="4" w:space="0" w:color="auto"/>
            </w:tcBorders>
            <w:shd w:val="clear" w:color="000000" w:fill="FFFFFF"/>
            <w:hideMark/>
          </w:tcPr>
          <w:p w:rsidR="00C35C71" w:rsidRPr="0098726F" w:rsidRDefault="00C35C71" w:rsidP="00E02444">
            <w:pPr>
              <w:ind w:left="280"/>
              <w:rPr>
                <w:sz w:val="16"/>
                <w:szCs w:val="16"/>
              </w:rPr>
            </w:pPr>
            <w:r w:rsidRPr="0098726F">
              <w:rPr>
                <w:sz w:val="16"/>
                <w:szCs w:val="16"/>
              </w:rPr>
              <w:t xml:space="preserve">5% de aumento en comparación con la referencia. </w:t>
            </w:r>
          </w:p>
        </w:tc>
      </w:tr>
    </w:tbl>
    <w:p w:rsidR="00C35C71" w:rsidRPr="0098726F" w:rsidRDefault="00C35C71" w:rsidP="00C35C71">
      <w:pPr>
        <w:pStyle w:val="Body1"/>
        <w:rPr>
          <w:rFonts w:ascii="Arial" w:hAnsi="Arial" w:cs="Arial"/>
          <w:color w:val="auto"/>
          <w:sz w:val="20"/>
          <w:lang w:val="es-ES"/>
        </w:rPr>
      </w:pPr>
    </w:p>
    <w:p w:rsidR="00C35C71" w:rsidRPr="0098726F" w:rsidRDefault="00C35C71" w:rsidP="00C35C71">
      <w:pPr>
        <w:pStyle w:val="Body1"/>
        <w:rPr>
          <w:rFonts w:ascii="Arial" w:hAnsi="Arial" w:cs="Arial"/>
          <w:color w:val="auto"/>
          <w:sz w:val="20"/>
          <w:lang w:val="es-ES"/>
        </w:rPr>
      </w:pPr>
    </w:p>
    <w:p w:rsidR="004B1FA8" w:rsidRPr="00746B2C" w:rsidRDefault="00810964" w:rsidP="004B1FA8">
      <w:pPr>
        <w:pStyle w:val="Body1"/>
        <w:rPr>
          <w:rFonts w:ascii="Arial" w:hAnsi="Arial" w:cs="Arial"/>
          <w:color w:val="auto"/>
          <w:sz w:val="22"/>
        </w:rPr>
      </w:pPr>
      <w:r w:rsidRPr="00746B2C">
        <w:rPr>
          <w:rFonts w:ascii="Arial" w:hAnsi="Arial" w:cs="Arial"/>
          <w:color w:val="auto"/>
          <w:sz w:val="22"/>
        </w:rPr>
        <w:t>RECURSOS PARA EL PROGRAMA 12</w:t>
      </w:r>
    </w:p>
    <w:p w:rsidR="00983325" w:rsidRPr="00746B2C" w:rsidRDefault="00983325" w:rsidP="002E3E28">
      <w:pPr>
        <w:rPr>
          <w:szCs w:val="22"/>
        </w:rPr>
      </w:pPr>
    </w:p>
    <w:p w:rsidR="004B1FA8" w:rsidRPr="00746B2C" w:rsidRDefault="00746B2C" w:rsidP="004B1FA8">
      <w:pPr>
        <w:pStyle w:val="Body1"/>
        <w:numPr>
          <w:ilvl w:val="0"/>
          <w:numId w:val="30"/>
        </w:numPr>
        <w:tabs>
          <w:tab w:val="left" w:pos="709"/>
        </w:tabs>
        <w:ind w:left="0" w:firstLine="0"/>
        <w:jc w:val="both"/>
        <w:rPr>
          <w:rFonts w:ascii="Arial" w:hAnsi="Arial" w:cs="Arial"/>
          <w:color w:val="auto"/>
          <w:sz w:val="20"/>
          <w:lang w:val="es-ES"/>
        </w:rPr>
      </w:pPr>
      <w:r w:rsidRPr="00EB43D0">
        <w:rPr>
          <w:rFonts w:ascii="Arial" w:hAnsi="Arial" w:cs="Arial"/>
          <w:sz w:val="20"/>
          <w:lang w:val="es-ES_tradnl"/>
        </w:rPr>
        <w:t>Se observa un</w:t>
      </w:r>
      <w:r w:rsidR="00324B68">
        <w:rPr>
          <w:rFonts w:ascii="Arial" w:hAnsi="Arial" w:cs="Arial"/>
          <w:sz w:val="20"/>
          <w:lang w:val="es-ES_tradnl"/>
        </w:rPr>
        <w:t>a</w:t>
      </w:r>
      <w:r w:rsidRPr="00EB43D0">
        <w:rPr>
          <w:rFonts w:ascii="Arial" w:hAnsi="Arial" w:cs="Arial"/>
          <w:sz w:val="20"/>
          <w:lang w:val="es-ES_tradnl"/>
        </w:rPr>
        <w:t xml:space="preserve"> liger</w:t>
      </w:r>
      <w:r w:rsidR="00324B68">
        <w:rPr>
          <w:rFonts w:ascii="Arial" w:hAnsi="Arial" w:cs="Arial"/>
          <w:sz w:val="20"/>
          <w:lang w:val="es-ES_tradnl"/>
        </w:rPr>
        <w:t>a disminución en la dotación global de</w:t>
      </w:r>
      <w:r w:rsidRPr="00EB43D0">
        <w:rPr>
          <w:rFonts w:ascii="Arial" w:hAnsi="Arial" w:cs="Arial"/>
          <w:sz w:val="20"/>
          <w:lang w:val="es-ES_tradnl"/>
        </w:rPr>
        <w:t xml:space="preserve"> recursos </w:t>
      </w:r>
      <w:r w:rsidR="00324B68">
        <w:rPr>
          <w:rFonts w:ascii="Arial" w:hAnsi="Arial" w:cs="Arial"/>
          <w:sz w:val="20"/>
          <w:lang w:val="es-ES_tradnl"/>
        </w:rPr>
        <w:t>para el</w:t>
      </w:r>
      <w:r w:rsidRPr="00EB43D0">
        <w:rPr>
          <w:rFonts w:ascii="Arial" w:hAnsi="Arial" w:cs="Arial"/>
          <w:sz w:val="20"/>
          <w:lang w:val="es-ES_tradnl"/>
        </w:rPr>
        <w:t xml:space="preserve"> programa en 2016/17 en comparación con el presupuesto de 2014/</w:t>
      </w:r>
      <w:r w:rsidR="00ED0A05">
        <w:rPr>
          <w:rFonts w:ascii="Arial" w:hAnsi="Arial" w:cs="Arial"/>
          <w:sz w:val="20"/>
          <w:lang w:val="es-ES_tradnl"/>
        </w:rPr>
        <w:t>15 tras las</w:t>
      </w:r>
      <w:r w:rsidRPr="00EB43D0">
        <w:rPr>
          <w:rFonts w:ascii="Arial" w:hAnsi="Arial" w:cs="Arial"/>
          <w:sz w:val="20"/>
          <w:lang w:val="es-ES_tradnl"/>
        </w:rPr>
        <w:t xml:space="preserve"> transferencias. </w:t>
      </w:r>
      <w:r w:rsidR="008B4DB8">
        <w:rPr>
          <w:rFonts w:ascii="Arial" w:hAnsi="Arial" w:cs="Arial"/>
          <w:sz w:val="20"/>
          <w:lang w:val="es-ES_tradnl"/>
        </w:rPr>
        <w:t xml:space="preserve"> </w:t>
      </w:r>
      <w:r w:rsidRPr="00EB43D0">
        <w:rPr>
          <w:rFonts w:ascii="Arial" w:hAnsi="Arial" w:cs="Arial"/>
          <w:sz w:val="20"/>
          <w:lang w:val="es-ES_tradnl"/>
        </w:rPr>
        <w:t xml:space="preserve">Los </w:t>
      </w:r>
      <w:r w:rsidR="00ED0A05">
        <w:rPr>
          <w:rFonts w:ascii="Arial" w:hAnsi="Arial" w:cs="Arial"/>
          <w:sz w:val="20"/>
          <w:lang w:val="es-ES_tradnl"/>
        </w:rPr>
        <w:t>recursos no relativos</w:t>
      </w:r>
      <w:r w:rsidRPr="00EB43D0">
        <w:rPr>
          <w:rFonts w:ascii="Arial" w:hAnsi="Arial" w:cs="Arial"/>
          <w:sz w:val="20"/>
          <w:lang w:val="es-ES_tradnl"/>
        </w:rPr>
        <w:t xml:space="preserve"> a personal en 2016/17 se mantienen al nivel del presupuesto de 2014/</w:t>
      </w:r>
      <w:r w:rsidR="00ED0A05">
        <w:rPr>
          <w:rFonts w:ascii="Arial" w:hAnsi="Arial" w:cs="Arial"/>
          <w:sz w:val="20"/>
          <w:lang w:val="es-ES_tradnl"/>
        </w:rPr>
        <w:t>15 tras las</w:t>
      </w:r>
      <w:r w:rsidRPr="00EB43D0">
        <w:rPr>
          <w:rFonts w:ascii="Arial" w:hAnsi="Arial" w:cs="Arial"/>
          <w:sz w:val="20"/>
          <w:lang w:val="es-ES_tradnl"/>
        </w:rPr>
        <w:t xml:space="preserve"> transferencias.  La disminución de los recursos de personal se debe a la transferencia de un puesto del programa 15 (Soluciones operativas para las oficinas de P.I.), con el fin de reforzar el apoyo a las oficinas de P.I. a nivel mundial.</w:t>
      </w:r>
    </w:p>
    <w:p w:rsidR="004B1FA8" w:rsidRPr="00746B2C" w:rsidRDefault="004B1FA8" w:rsidP="004B1FA8">
      <w:pPr>
        <w:pStyle w:val="Body1"/>
        <w:tabs>
          <w:tab w:val="left" w:pos="709"/>
        </w:tabs>
        <w:jc w:val="both"/>
        <w:rPr>
          <w:rFonts w:ascii="Arial" w:hAnsi="Arial" w:cs="Arial"/>
          <w:color w:val="auto"/>
          <w:sz w:val="20"/>
          <w:lang w:val="es-ES"/>
        </w:rPr>
      </w:pPr>
    </w:p>
    <w:p w:rsidR="004B1FA8" w:rsidRPr="00746B2C" w:rsidRDefault="004B1FA8" w:rsidP="004B1FA8">
      <w:pPr>
        <w:pStyle w:val="Body1"/>
        <w:tabs>
          <w:tab w:val="left" w:pos="709"/>
        </w:tabs>
        <w:jc w:val="both"/>
        <w:rPr>
          <w:rFonts w:ascii="Arial" w:hAnsi="Arial" w:cs="Arial"/>
          <w:color w:val="auto"/>
          <w:sz w:val="20"/>
          <w:lang w:val="es-ES"/>
        </w:rPr>
      </w:pPr>
    </w:p>
    <w:p w:rsidR="00810964" w:rsidRPr="00746B2C" w:rsidRDefault="00810964" w:rsidP="00810964">
      <w:pPr>
        <w:keepNext/>
        <w:keepLines/>
        <w:autoSpaceDE w:val="0"/>
        <w:autoSpaceDN w:val="0"/>
        <w:jc w:val="center"/>
        <w:rPr>
          <w:b/>
          <w:sz w:val="20"/>
          <w:lang w:val="es-ES_tradnl"/>
        </w:rPr>
      </w:pPr>
      <w:r w:rsidRPr="00746B2C">
        <w:rPr>
          <w:b/>
          <w:sz w:val="20"/>
          <w:lang w:val="es-ES_tradnl"/>
        </w:rPr>
        <w:lastRenderedPageBreak/>
        <w:t>Programa 12</w:t>
      </w:r>
      <w:proofErr w:type="gramStart"/>
      <w:r w:rsidRPr="00746B2C">
        <w:rPr>
          <w:b/>
          <w:sz w:val="20"/>
          <w:lang w:val="es-ES_tradnl"/>
        </w:rPr>
        <w:t>:  Recursos</w:t>
      </w:r>
      <w:proofErr w:type="gramEnd"/>
      <w:r w:rsidRPr="00746B2C">
        <w:rPr>
          <w:b/>
          <w:sz w:val="20"/>
          <w:lang w:val="es-ES_tradnl"/>
        </w:rPr>
        <w:t xml:space="preserve"> por resultado</w:t>
      </w:r>
    </w:p>
    <w:p w:rsidR="004B1FA8" w:rsidRPr="00746B2C" w:rsidRDefault="00810964" w:rsidP="00810964">
      <w:pPr>
        <w:keepNext/>
        <w:keepLines/>
        <w:autoSpaceDE w:val="0"/>
        <w:autoSpaceDN w:val="0"/>
        <w:jc w:val="center"/>
        <w:rPr>
          <w:i/>
          <w:sz w:val="20"/>
          <w:highlight w:val="lightGray"/>
          <w:lang w:val="es-ES_tradnl"/>
        </w:rPr>
      </w:pPr>
      <w:r w:rsidRPr="00746B2C">
        <w:rPr>
          <w:i/>
          <w:sz w:val="20"/>
          <w:lang w:val="es-ES_tradnl"/>
        </w:rPr>
        <w:t>(</w:t>
      </w:r>
      <w:proofErr w:type="gramStart"/>
      <w:r w:rsidRPr="00746B2C">
        <w:rPr>
          <w:i/>
          <w:sz w:val="20"/>
          <w:lang w:val="es-ES_tradnl"/>
        </w:rPr>
        <w:t>en</w:t>
      </w:r>
      <w:proofErr w:type="gramEnd"/>
      <w:r w:rsidRPr="00746B2C">
        <w:rPr>
          <w:i/>
          <w:sz w:val="20"/>
          <w:lang w:val="es-ES_tradnl"/>
        </w:rPr>
        <w:t xml:space="preserve"> miles de francos suizos)</w:t>
      </w:r>
    </w:p>
    <w:p w:rsidR="004B1FA8" w:rsidRPr="00746B2C" w:rsidRDefault="004B1FA8" w:rsidP="004B1FA8">
      <w:pPr>
        <w:keepNext/>
        <w:keepLines/>
        <w:autoSpaceDE w:val="0"/>
        <w:autoSpaceDN w:val="0"/>
        <w:jc w:val="center"/>
        <w:rPr>
          <w:i/>
          <w:sz w:val="20"/>
          <w:highlight w:val="lightGray"/>
          <w:lang w:val="es-ES_tradnl"/>
        </w:rPr>
      </w:pPr>
    </w:p>
    <w:p w:rsidR="004B1FA8" w:rsidRPr="004B1FA8" w:rsidRDefault="007E09B2" w:rsidP="004B1FA8">
      <w:pPr>
        <w:keepNext/>
        <w:keepLines/>
        <w:autoSpaceDE w:val="0"/>
        <w:autoSpaceDN w:val="0"/>
        <w:jc w:val="center"/>
        <w:rPr>
          <w:i/>
          <w:sz w:val="20"/>
          <w:highlight w:val="lightGray"/>
        </w:rPr>
      </w:pPr>
      <w:r w:rsidRPr="007E09B2">
        <w:rPr>
          <w:noProof/>
          <w:lang w:val="en-US" w:eastAsia="en-US"/>
        </w:rPr>
        <w:drawing>
          <wp:inline distT="0" distB="0" distL="0" distR="0">
            <wp:extent cx="5676900" cy="14554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676900" cy="1455420"/>
                    </a:xfrm>
                    <a:prstGeom prst="rect">
                      <a:avLst/>
                    </a:prstGeom>
                    <a:noFill/>
                    <a:ln>
                      <a:noFill/>
                    </a:ln>
                  </pic:spPr>
                </pic:pic>
              </a:graphicData>
            </a:graphic>
          </wp:inline>
        </w:drawing>
      </w:r>
    </w:p>
    <w:p w:rsidR="004B1FA8" w:rsidRPr="004B1FA8" w:rsidRDefault="004B1FA8" w:rsidP="004B1FA8">
      <w:pPr>
        <w:autoSpaceDE w:val="0"/>
        <w:autoSpaceDN w:val="0"/>
        <w:ind w:left="-141" w:hanging="284"/>
        <w:rPr>
          <w:i/>
          <w:sz w:val="20"/>
          <w:highlight w:val="lightGray"/>
        </w:rPr>
      </w:pPr>
    </w:p>
    <w:p w:rsidR="004B1FA8" w:rsidRPr="004B1FA8" w:rsidRDefault="004B1FA8" w:rsidP="004B1FA8">
      <w:pPr>
        <w:autoSpaceDE w:val="0"/>
        <w:autoSpaceDN w:val="0"/>
        <w:ind w:left="-141" w:hanging="284"/>
        <w:rPr>
          <w:i/>
          <w:sz w:val="20"/>
          <w:highlight w:val="lightGray"/>
        </w:rPr>
      </w:pPr>
    </w:p>
    <w:p w:rsidR="00810964" w:rsidRPr="008B4DB8" w:rsidRDefault="00810964" w:rsidP="005012AC">
      <w:pPr>
        <w:keepNext/>
        <w:keepLines/>
        <w:autoSpaceDE w:val="0"/>
        <w:autoSpaceDN w:val="0"/>
        <w:jc w:val="center"/>
        <w:rPr>
          <w:b/>
          <w:sz w:val="20"/>
          <w:lang w:val="es-ES_tradnl"/>
        </w:rPr>
      </w:pPr>
      <w:r w:rsidRPr="008B4DB8">
        <w:rPr>
          <w:b/>
          <w:sz w:val="20"/>
          <w:lang w:val="es-ES_tradnl"/>
        </w:rPr>
        <w:t>Programa 12</w:t>
      </w:r>
      <w:proofErr w:type="gramStart"/>
      <w:r w:rsidRPr="008B4DB8">
        <w:rPr>
          <w:b/>
          <w:sz w:val="20"/>
          <w:lang w:val="es-ES_tradnl"/>
        </w:rPr>
        <w:t>:  Recursos</w:t>
      </w:r>
      <w:proofErr w:type="gramEnd"/>
      <w:r w:rsidRPr="008B4DB8">
        <w:rPr>
          <w:b/>
          <w:sz w:val="20"/>
          <w:lang w:val="es-ES_tradnl"/>
        </w:rPr>
        <w:t xml:space="preserve"> por objeto de gasto</w:t>
      </w:r>
    </w:p>
    <w:p w:rsidR="004B1FA8" w:rsidRPr="008B4DB8" w:rsidRDefault="00810964" w:rsidP="005012AC">
      <w:pPr>
        <w:keepNext/>
        <w:keepLines/>
        <w:autoSpaceDE w:val="0"/>
        <w:autoSpaceDN w:val="0"/>
        <w:jc w:val="center"/>
        <w:rPr>
          <w:i/>
          <w:sz w:val="20"/>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r w:rsidR="004B1FA8" w:rsidRPr="008B4DB8">
        <w:rPr>
          <w:i/>
          <w:sz w:val="20"/>
          <w:highlight w:val="lightGray"/>
          <w:lang w:val="es-ES_tradnl"/>
        </w:rPr>
        <w:t xml:space="preserve"> </w:t>
      </w:r>
    </w:p>
    <w:p w:rsidR="004B1FA8" w:rsidRPr="008B4DB8" w:rsidRDefault="004B1FA8" w:rsidP="004B1FA8">
      <w:pPr>
        <w:keepNext/>
        <w:keepLines/>
        <w:autoSpaceDE w:val="0"/>
        <w:autoSpaceDN w:val="0"/>
        <w:ind w:left="-142" w:hanging="284"/>
        <w:jc w:val="center"/>
        <w:rPr>
          <w:i/>
          <w:sz w:val="20"/>
          <w:highlight w:val="lightGray"/>
          <w:lang w:val="es-ES_tradnl"/>
        </w:rPr>
      </w:pPr>
    </w:p>
    <w:p w:rsidR="004B1FA8" w:rsidRPr="009B4A78" w:rsidRDefault="00835617" w:rsidP="004B1FA8">
      <w:pPr>
        <w:keepNext/>
        <w:keepLines/>
        <w:tabs>
          <w:tab w:val="left" w:pos="9356"/>
        </w:tabs>
        <w:autoSpaceDE w:val="0"/>
        <w:autoSpaceDN w:val="0"/>
        <w:jc w:val="center"/>
        <w:rPr>
          <w:i/>
          <w:sz w:val="20"/>
        </w:rPr>
      </w:pPr>
      <w:r>
        <w:rPr>
          <w:noProof/>
          <w:lang w:val="en-US" w:eastAsia="en-US"/>
        </w:rPr>
        <w:drawing>
          <wp:inline distT="0" distB="0" distL="0" distR="0" wp14:anchorId="4BC8F04C" wp14:editId="76B777DC">
            <wp:extent cx="5940425" cy="6147324"/>
            <wp:effectExtent l="0" t="0" r="3175" b="635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40425" cy="6147324"/>
                    </a:xfrm>
                    <a:prstGeom prst="rect">
                      <a:avLst/>
                    </a:prstGeom>
                    <a:noFill/>
                    <a:ln>
                      <a:noFill/>
                    </a:ln>
                  </pic:spPr>
                </pic:pic>
              </a:graphicData>
            </a:graphic>
          </wp:inline>
        </w:drawing>
      </w:r>
    </w:p>
    <w:p w:rsidR="004B1FA8" w:rsidRPr="009B4A78" w:rsidRDefault="004B1FA8" w:rsidP="004B1FA8">
      <w:pPr>
        <w:pStyle w:val="Body1"/>
        <w:rPr>
          <w:rFonts w:ascii="Arial" w:hAnsi="Arial" w:cs="Arial"/>
          <w:sz w:val="22"/>
        </w:rPr>
      </w:pPr>
    </w:p>
    <w:p w:rsidR="00115879" w:rsidRDefault="00115879">
      <w:pPr>
        <w:rPr>
          <w:rFonts w:eastAsia="Arial Unicode MS"/>
          <w:sz w:val="20"/>
          <w:lang w:val="en-US" w:eastAsia="en-US"/>
        </w:rPr>
      </w:pPr>
      <w:r>
        <w:rPr>
          <w:sz w:val="20"/>
        </w:rPr>
        <w:br w:type="page"/>
      </w:r>
    </w:p>
    <w:p w:rsidR="00115879" w:rsidRPr="00115879" w:rsidRDefault="00115879" w:rsidP="00115879">
      <w:pPr>
        <w:pStyle w:val="StyleHeading3ComplexItalic"/>
        <w:ind w:left="1985" w:hanging="1985"/>
        <w:rPr>
          <w:rStyle w:val="StyleStyleHeading3ComplexItalicLatin12ptChar"/>
          <w:b/>
          <w:lang w:val="es-ES"/>
        </w:rPr>
      </w:pPr>
      <w:bookmarkStart w:id="50" w:name="_Toc420681148"/>
      <w:r w:rsidRPr="00115879">
        <w:rPr>
          <w:rStyle w:val="StyleStyleHeading3ComplexItalicLatin12ptChar"/>
          <w:b/>
          <w:lang w:val="es-ES"/>
        </w:rPr>
        <w:lastRenderedPageBreak/>
        <w:t>PROGRAMA 13</w:t>
      </w:r>
      <w:r w:rsidRPr="00115879">
        <w:rPr>
          <w:rStyle w:val="StyleStyleHeading3ComplexItalicLatin12ptChar"/>
          <w:b/>
          <w:lang w:val="es-ES"/>
        </w:rPr>
        <w:tab/>
        <w:t xml:space="preserve">SERVICIO DE BASES </w:t>
      </w:r>
      <w:r w:rsidR="00A47448">
        <w:rPr>
          <w:rStyle w:val="StyleStyleHeading3ComplexItalicLatin12ptChar"/>
          <w:b/>
          <w:lang w:val="es-ES"/>
        </w:rPr>
        <w:t xml:space="preserve">MUNDIALES </w:t>
      </w:r>
      <w:r w:rsidRPr="00115879">
        <w:rPr>
          <w:rStyle w:val="StyleStyleHeading3ComplexItalicLatin12ptChar"/>
          <w:b/>
          <w:lang w:val="es-ES"/>
        </w:rPr>
        <w:t>DE DATOS</w:t>
      </w:r>
      <w:bookmarkEnd w:id="50"/>
    </w:p>
    <w:p w:rsidR="00115879" w:rsidRPr="00993C93" w:rsidRDefault="00115879" w:rsidP="00115879">
      <w:pPr>
        <w:autoSpaceDE w:val="0"/>
        <w:autoSpaceDN w:val="0"/>
        <w:adjustRightInd w:val="0"/>
        <w:rPr>
          <w:szCs w:val="22"/>
        </w:rPr>
      </w:pPr>
    </w:p>
    <w:p w:rsidR="00115879" w:rsidRPr="00993C93" w:rsidRDefault="00115879" w:rsidP="00115879">
      <w:pPr>
        <w:autoSpaceDE w:val="0"/>
        <w:autoSpaceDN w:val="0"/>
        <w:adjustRightInd w:val="0"/>
        <w:rPr>
          <w:szCs w:val="22"/>
        </w:rPr>
      </w:pPr>
    </w:p>
    <w:p w:rsidR="00115879" w:rsidRPr="00993C93" w:rsidRDefault="00115879" w:rsidP="00115879">
      <w:pPr>
        <w:autoSpaceDE w:val="0"/>
        <w:autoSpaceDN w:val="0"/>
        <w:adjustRightInd w:val="0"/>
        <w:rPr>
          <w:szCs w:val="22"/>
        </w:rPr>
      </w:pPr>
      <w:r w:rsidRPr="00993C93">
        <w:rPr>
          <w:szCs w:val="22"/>
        </w:rPr>
        <w:t>CONTEXTO DE PLANIFICACIÓN</w:t>
      </w:r>
    </w:p>
    <w:p w:rsidR="00115879" w:rsidRPr="00993C93" w:rsidRDefault="00115879" w:rsidP="00115879">
      <w:pPr>
        <w:tabs>
          <w:tab w:val="left" w:pos="567"/>
        </w:tabs>
        <w:autoSpaceDE w:val="0"/>
        <w:autoSpaceDN w:val="0"/>
        <w:adjustRightInd w:val="0"/>
        <w:rPr>
          <w:sz w:val="20"/>
          <w:szCs w:val="22"/>
        </w:rPr>
      </w:pPr>
    </w:p>
    <w:p w:rsidR="00115879" w:rsidRP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lang w:val="es-ES"/>
        </w:rPr>
      </w:pPr>
      <w:r w:rsidRPr="00115879">
        <w:rPr>
          <w:rFonts w:ascii="Arial" w:hAnsi="Arial" w:cs="Arial"/>
          <w:sz w:val="20"/>
          <w:lang w:val="es-ES"/>
        </w:rPr>
        <w:t xml:space="preserve">La OMPI contribuye a la creación de la infraestructura mundial de P.I. proporcionando conocimientos de P.I. en forma de bienes públicos, disponibles por medio de las bases de datos mundiales.  Las bases </w:t>
      </w:r>
      <w:r w:rsidR="00A47448">
        <w:rPr>
          <w:rFonts w:ascii="Arial" w:hAnsi="Arial" w:cs="Arial"/>
          <w:sz w:val="20"/>
          <w:lang w:val="es-ES"/>
        </w:rPr>
        <w:t xml:space="preserve">mundiales </w:t>
      </w:r>
      <w:r w:rsidRPr="00115879">
        <w:rPr>
          <w:rFonts w:ascii="Arial" w:hAnsi="Arial" w:cs="Arial"/>
          <w:sz w:val="20"/>
          <w:lang w:val="es-ES"/>
        </w:rPr>
        <w:t xml:space="preserve">de datos de la OMPI (PATENTSCOPE, Base Mundial de Datos sobre Marcas y Base Mundial de Datos sobre </w:t>
      </w:r>
      <w:r w:rsidR="00B16DE0">
        <w:rPr>
          <w:rFonts w:ascii="Arial" w:hAnsi="Arial" w:cs="Arial"/>
          <w:sz w:val="20"/>
          <w:lang w:val="es-ES"/>
        </w:rPr>
        <w:t>Dibujos y Modelos Industriales</w:t>
      </w:r>
      <w:r w:rsidRPr="00115879">
        <w:rPr>
          <w:rFonts w:ascii="Arial" w:hAnsi="Arial" w:cs="Arial"/>
          <w:sz w:val="20"/>
          <w:lang w:val="es-ES"/>
        </w:rPr>
        <w:t xml:space="preserve">) contienen datos de las colecciones de los Sistemas del PCT, Madrid, Lisboa, </w:t>
      </w:r>
      <w:r w:rsidR="003B0DF0">
        <w:rPr>
          <w:rFonts w:ascii="Arial" w:hAnsi="Arial" w:cs="Arial"/>
          <w:sz w:val="20"/>
          <w:lang w:val="es-ES"/>
        </w:rPr>
        <w:t>La Haya</w:t>
      </w:r>
      <w:r w:rsidRPr="00115879">
        <w:rPr>
          <w:rFonts w:ascii="Arial" w:hAnsi="Arial" w:cs="Arial"/>
          <w:sz w:val="20"/>
          <w:lang w:val="es-ES"/>
        </w:rPr>
        <w:t>, y los emblemas protegidos en virtud del artículo 6</w:t>
      </w:r>
      <w:r w:rsidRPr="00115879">
        <w:rPr>
          <w:rFonts w:ascii="Arial" w:hAnsi="Arial" w:cs="Arial"/>
          <w:i/>
          <w:sz w:val="20"/>
          <w:lang w:val="es-ES"/>
        </w:rPr>
        <w:t xml:space="preserve">ter </w:t>
      </w:r>
      <w:r w:rsidRPr="00115879">
        <w:rPr>
          <w:rFonts w:ascii="Arial" w:hAnsi="Arial" w:cs="Arial"/>
          <w:sz w:val="20"/>
          <w:lang w:val="es-ES"/>
        </w:rPr>
        <w:t>del Convenio de París.  Las bases de datos incluyen además las solicitudes o los registros nacionales y regionales que han aportado las Oficinas de P.I. que han acordado cooperar en la ampliación de la cobertura de las bases de datos de la OMPI.  Las bases de datos reducen las lagunas de conocimientos fomentando la utilización de información sobre P.I., también en los países en desarrollo y los PMA, y aportando datos para impulsar la innovación.</w:t>
      </w:r>
    </w:p>
    <w:p w:rsidR="00115879" w:rsidRPr="00993C93" w:rsidRDefault="00115879" w:rsidP="00115879">
      <w:pPr>
        <w:tabs>
          <w:tab w:val="left" w:pos="567"/>
        </w:tabs>
        <w:autoSpaceDE w:val="0"/>
        <w:autoSpaceDN w:val="0"/>
        <w:adjustRightInd w:val="0"/>
        <w:rPr>
          <w:sz w:val="20"/>
          <w:szCs w:val="22"/>
        </w:rPr>
      </w:pPr>
    </w:p>
    <w:p w:rsidR="00115879" w:rsidRP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lang w:val="es-ES"/>
        </w:rPr>
      </w:pPr>
      <w:r w:rsidRPr="00115879">
        <w:rPr>
          <w:rFonts w:ascii="Arial" w:hAnsi="Arial" w:cs="Arial"/>
          <w:sz w:val="20"/>
          <w:lang w:val="es-ES"/>
        </w:rPr>
        <w:t xml:space="preserve">En el marco del programa se publican las solicitudes internacionales PCT y se tiene por meta publicar también las solicitudes de los Sistemas de Madrid y de </w:t>
      </w:r>
      <w:r w:rsidR="003B0DF0">
        <w:rPr>
          <w:rFonts w:ascii="Arial" w:hAnsi="Arial" w:cs="Arial"/>
          <w:sz w:val="20"/>
          <w:lang w:val="es-ES"/>
        </w:rPr>
        <w:t>La Haya</w:t>
      </w:r>
      <w:r w:rsidRPr="00115879">
        <w:rPr>
          <w:rFonts w:ascii="Arial" w:hAnsi="Arial" w:cs="Arial"/>
          <w:sz w:val="20"/>
          <w:lang w:val="es-ES"/>
        </w:rPr>
        <w:t xml:space="preserve">.  Las Bases Mundiales de la OMPI dan apoyo a los programas 5 (Sistema del PCT), 6 (Sistemas de Madrid y de Lisboa) y 31 (Sistema de </w:t>
      </w:r>
      <w:r w:rsidR="003B0DF0">
        <w:rPr>
          <w:rFonts w:ascii="Arial" w:hAnsi="Arial" w:cs="Arial"/>
          <w:sz w:val="20"/>
          <w:lang w:val="es-ES"/>
        </w:rPr>
        <w:t>La Haya</w:t>
      </w:r>
      <w:r w:rsidRPr="00115879">
        <w:rPr>
          <w:rFonts w:ascii="Arial" w:hAnsi="Arial" w:cs="Arial"/>
          <w:sz w:val="20"/>
          <w:lang w:val="es-ES"/>
        </w:rPr>
        <w:t>) y contribuyen a la aplicación de la recomendación 8 de la A.D.</w:t>
      </w:r>
    </w:p>
    <w:p w:rsidR="00115879" w:rsidRPr="00993C93" w:rsidRDefault="00115879" w:rsidP="00115879">
      <w:pPr>
        <w:autoSpaceDE w:val="0"/>
        <w:autoSpaceDN w:val="0"/>
        <w:adjustRightInd w:val="0"/>
        <w:rPr>
          <w:sz w:val="20"/>
          <w:szCs w:val="22"/>
        </w:rPr>
      </w:pPr>
    </w:p>
    <w:p w:rsidR="00115879" w:rsidRPr="00993C93" w:rsidRDefault="00115879" w:rsidP="00115879">
      <w:pPr>
        <w:autoSpaceDE w:val="0"/>
        <w:autoSpaceDN w:val="0"/>
        <w:adjustRightInd w:val="0"/>
        <w:rPr>
          <w:sz w:val="20"/>
          <w:szCs w:val="22"/>
        </w:rPr>
      </w:pPr>
    </w:p>
    <w:p w:rsidR="00115879" w:rsidRPr="00993C93" w:rsidRDefault="00115879" w:rsidP="00115879">
      <w:pPr>
        <w:rPr>
          <w:bCs/>
          <w:szCs w:val="22"/>
        </w:rPr>
      </w:pPr>
      <w:r w:rsidRPr="00993C93">
        <w:rPr>
          <w:bCs/>
          <w:szCs w:val="22"/>
        </w:rPr>
        <w:t>ESTRATEGIAS DE EJECUCIÓN</w:t>
      </w:r>
    </w:p>
    <w:p w:rsidR="00115879" w:rsidRPr="00993C93" w:rsidRDefault="00115879" w:rsidP="00115879">
      <w:pPr>
        <w:rPr>
          <w:b/>
          <w:bCs/>
          <w:sz w:val="20"/>
        </w:rPr>
      </w:pPr>
    </w:p>
    <w:p w:rsidR="00115879" w:rsidRP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sz w:val="20"/>
          <w:lang w:val="es-ES"/>
        </w:rPr>
        <w:t xml:space="preserve">La OMPI seguirá ampliando las bases de datos en lo que respecta a la cobertura geográfica de las colecciones nacionales de datos y mejorando la calidad de los datos y la puntualidad de las actualizaciones.  Se seguirán perfeccionando las complejas herramientas de búsqueda de la OMPI para ayudar a los innovadores y a otros usuarios a efectuar búsquedas y analizar datos de P.I.  En particular, se seguirá mejorando la búsqueda plurilingüe de patentes (la herramienta CLIR), la herramienta de traducción automática </w:t>
      </w:r>
      <w:r w:rsidRPr="00A47448">
        <w:rPr>
          <w:rFonts w:ascii="Arial" w:hAnsi="Arial" w:cs="Arial"/>
          <w:i/>
          <w:sz w:val="20"/>
          <w:lang w:val="es-ES"/>
        </w:rPr>
        <w:t xml:space="preserve">WIPO </w:t>
      </w:r>
      <w:proofErr w:type="spellStart"/>
      <w:r w:rsidRPr="00A47448">
        <w:rPr>
          <w:rFonts w:ascii="Arial" w:hAnsi="Arial" w:cs="Arial"/>
          <w:i/>
          <w:sz w:val="20"/>
          <w:lang w:val="es-ES"/>
        </w:rPr>
        <w:t>Translate</w:t>
      </w:r>
      <w:proofErr w:type="spellEnd"/>
      <w:r w:rsidRPr="00115879">
        <w:rPr>
          <w:rFonts w:ascii="Arial" w:hAnsi="Arial" w:cs="Arial"/>
          <w:sz w:val="20"/>
          <w:lang w:val="es-ES"/>
        </w:rPr>
        <w:t xml:space="preserve"> y el sistema de recuperación de imágenes a partir de los contenidos para marcas visualmente similares.  También se investigará la posibilidad de buscar unidades complejas (como fórmulas químicas) en los textos de patentes disponibles en PATENTSCOPE.</w:t>
      </w:r>
    </w:p>
    <w:p w:rsidR="00115879" w:rsidRPr="00993C93" w:rsidRDefault="00115879" w:rsidP="00115879">
      <w:pPr>
        <w:autoSpaceDE w:val="0"/>
        <w:autoSpaceDN w:val="0"/>
        <w:adjustRightInd w:val="0"/>
        <w:rPr>
          <w:sz w:val="20"/>
        </w:rPr>
      </w:pPr>
    </w:p>
    <w:p w:rsidR="00115879" w:rsidRP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lang w:val="es-ES"/>
        </w:rPr>
      </w:pPr>
      <w:r w:rsidRPr="00115879">
        <w:rPr>
          <w:rFonts w:ascii="Arial" w:hAnsi="Arial" w:cs="Arial"/>
          <w:b/>
          <w:bCs/>
          <w:sz w:val="20"/>
          <w:szCs w:val="20"/>
          <w:lang w:val="es-ES"/>
        </w:rPr>
        <w:t>PATENTSCOPE</w:t>
      </w:r>
      <w:r w:rsidRPr="00115879">
        <w:rPr>
          <w:rFonts w:ascii="Arial" w:hAnsi="Arial" w:cs="Arial"/>
          <w:b/>
          <w:bCs/>
          <w:sz w:val="20"/>
          <w:lang w:val="es-ES"/>
        </w:rPr>
        <w:t xml:space="preserve">:  </w:t>
      </w:r>
      <w:r w:rsidRPr="00115879">
        <w:rPr>
          <w:rFonts w:ascii="Arial" w:hAnsi="Arial" w:cs="Arial"/>
          <w:sz w:val="20"/>
          <w:szCs w:val="20"/>
          <w:lang w:val="es-ES"/>
        </w:rPr>
        <w:t>PATENTSCOPE</w:t>
      </w:r>
      <w:r w:rsidRPr="00115879">
        <w:rPr>
          <w:rFonts w:ascii="Arial" w:hAnsi="Arial" w:cs="Arial"/>
          <w:sz w:val="20"/>
          <w:lang w:val="es-ES"/>
        </w:rPr>
        <w:t xml:space="preserve"> no es solamente la base de datos mundial sobre patentes que abarca las colecciones nacionales y regionales de datos sobre patentes, sino también el mecanismo jurídico para cumplir la obligación convencional en virtud del PCT, a saber, la publicación internacional de solicitudes PCT.  </w:t>
      </w:r>
      <w:r w:rsidRPr="00115879">
        <w:rPr>
          <w:rFonts w:ascii="Arial" w:hAnsi="Arial" w:cs="Arial"/>
          <w:sz w:val="20"/>
          <w:szCs w:val="20"/>
          <w:lang w:val="es-ES"/>
        </w:rPr>
        <w:t>Se utilizarán los procesos de conversión de la OMPI para el reconocimiento óptico de caracteres a fin de convertir en texto íntegro las colecciones nacionales de datos</w:t>
      </w:r>
      <w:r w:rsidRPr="00115879">
        <w:rPr>
          <w:rFonts w:ascii="Arial" w:hAnsi="Arial" w:cs="Arial"/>
          <w:sz w:val="20"/>
          <w:lang w:val="es-ES"/>
        </w:rPr>
        <w:t>.  El sistema continuará ampliándose para que abarque unas 50 colecciones de datos nacionales o regionales y 50 millones de invenciones a finales del bienio.  Entre los principales retos figuran los de tramitar el elevado volumen de datos y mejorar la calidad de los datos recibidos, velar por la puntualidad y la integridad de los datos difundidos, superar los obstáculos lingüísticos mediante las complejas herramientas de traducción y ampliar al máximo el número de colecciones nacionales.  Se pondrá a disposición del público información sobre los expedientes mediante enlaces a WIPO-CASE y a otros sistemas de expedientes, mundiales y de carácter público, de oficinas de P.I.  Por último, se llevará a cabo un estudio para evaluar la viabilidad de indexar publicaciones científicas de acceso libre en PATENTSCOPE para facilitar la búsqueda del estado de la técnica en publicaciones distintas de las de patentes.</w:t>
      </w:r>
    </w:p>
    <w:p w:rsidR="00115879" w:rsidRPr="00993C93" w:rsidRDefault="00115879" w:rsidP="00115879">
      <w:pPr>
        <w:autoSpaceDE w:val="0"/>
        <w:autoSpaceDN w:val="0"/>
        <w:adjustRightInd w:val="0"/>
        <w:rPr>
          <w:sz w:val="20"/>
        </w:rPr>
      </w:pPr>
    </w:p>
    <w:p w:rsidR="00115879" w:rsidRP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b/>
          <w:sz w:val="20"/>
          <w:szCs w:val="20"/>
          <w:lang w:val="es-ES"/>
        </w:rPr>
        <w:t>BASE MUNDIAL DE LA OMPI DE DATOS SOBRE MARCAS</w:t>
      </w:r>
      <w:r w:rsidR="003D53A9">
        <w:rPr>
          <w:rFonts w:ascii="Arial" w:hAnsi="Arial" w:cs="Arial"/>
          <w:b/>
          <w:sz w:val="20"/>
          <w:szCs w:val="20"/>
          <w:lang w:val="es-ES"/>
        </w:rPr>
        <w:t xml:space="preserve"> (GBD)</w:t>
      </w:r>
      <w:proofErr w:type="gramStart"/>
      <w:r w:rsidRPr="00115879">
        <w:rPr>
          <w:rFonts w:ascii="Arial" w:hAnsi="Arial" w:cs="Arial"/>
          <w:sz w:val="20"/>
          <w:szCs w:val="20"/>
          <w:lang w:val="es-ES"/>
        </w:rPr>
        <w:t>:  La</w:t>
      </w:r>
      <w:proofErr w:type="gramEnd"/>
      <w:r w:rsidRPr="00115879">
        <w:rPr>
          <w:rFonts w:ascii="Arial" w:hAnsi="Arial" w:cs="Arial"/>
          <w:sz w:val="20"/>
          <w:szCs w:val="20"/>
          <w:lang w:val="es-ES"/>
        </w:rPr>
        <w:t xml:space="preserve"> base de datos que contiene los registros internacionales en virtud de los Sistemas de Madrid y Lisboa, varias colecciones nacionales y regionales de datos sobre marcas y los emblemas protegidos en virtud del artículo 6</w:t>
      </w:r>
      <w:r w:rsidRPr="00115879">
        <w:rPr>
          <w:rFonts w:ascii="Arial" w:hAnsi="Arial" w:cs="Arial"/>
          <w:i/>
          <w:sz w:val="20"/>
          <w:szCs w:val="20"/>
          <w:lang w:val="es-ES"/>
        </w:rPr>
        <w:t>ter</w:t>
      </w:r>
      <w:r w:rsidRPr="00115879">
        <w:rPr>
          <w:rFonts w:ascii="Arial" w:hAnsi="Arial" w:cs="Arial"/>
          <w:sz w:val="20"/>
          <w:szCs w:val="20"/>
          <w:lang w:val="es-ES"/>
        </w:rPr>
        <w:t xml:space="preserve"> del Convenio de París, se perfeccionarán para dar cabida a unas 30 colecciones nacionales de datos durante el bienio.  Entre los principales retos figura la carga de mayor número de datos en diferentes formatos y la aplicación de un sistema de búsqueda eficaz que permita encontrar marcas similares en función de su imagen.  </w:t>
      </w:r>
    </w:p>
    <w:p w:rsidR="00115879" w:rsidRPr="00993C93" w:rsidRDefault="00115879" w:rsidP="00115879">
      <w:pPr>
        <w:autoSpaceDE w:val="0"/>
        <w:autoSpaceDN w:val="0"/>
        <w:adjustRightInd w:val="0"/>
        <w:rPr>
          <w:sz w:val="20"/>
        </w:rPr>
      </w:pPr>
    </w:p>
    <w:p w:rsidR="00115879" w:rsidRDefault="00115879" w:rsidP="00115879">
      <w:pPr>
        <w:pStyle w:val="ListParagraph"/>
        <w:numPr>
          <w:ilvl w:val="0"/>
          <w:numId w:val="31"/>
        </w:numPr>
        <w:tabs>
          <w:tab w:val="left" w:pos="709"/>
        </w:tabs>
        <w:autoSpaceDE w:val="0"/>
        <w:autoSpaceDN w:val="0"/>
        <w:adjustRightInd w:val="0"/>
        <w:ind w:left="0" w:firstLine="0"/>
        <w:rPr>
          <w:rFonts w:ascii="Arial" w:hAnsi="Arial" w:cs="Arial"/>
          <w:sz w:val="20"/>
          <w:szCs w:val="20"/>
          <w:lang w:val="es-ES"/>
        </w:rPr>
      </w:pPr>
      <w:r w:rsidRPr="00115879">
        <w:rPr>
          <w:rFonts w:ascii="Arial" w:hAnsi="Arial" w:cs="Arial"/>
          <w:b/>
          <w:bCs/>
          <w:sz w:val="20"/>
          <w:szCs w:val="20"/>
          <w:lang w:val="es-ES"/>
        </w:rPr>
        <w:t>BASE MUNDIAL DE LA OMPI DE DATOS SOBRE DISEÑOS</w:t>
      </w:r>
      <w:r w:rsidR="003D53A9">
        <w:rPr>
          <w:rFonts w:ascii="Arial" w:hAnsi="Arial" w:cs="Arial"/>
          <w:b/>
          <w:bCs/>
          <w:sz w:val="20"/>
          <w:szCs w:val="20"/>
          <w:lang w:val="es-ES"/>
        </w:rPr>
        <w:t xml:space="preserve"> (GDD)</w:t>
      </w:r>
      <w:proofErr w:type="gramStart"/>
      <w:r w:rsidRPr="00115879">
        <w:rPr>
          <w:rFonts w:ascii="Arial" w:hAnsi="Arial" w:cs="Arial"/>
          <w:sz w:val="20"/>
          <w:szCs w:val="20"/>
          <w:lang w:val="es-ES"/>
        </w:rPr>
        <w:t>:  La</w:t>
      </w:r>
      <w:proofErr w:type="gramEnd"/>
      <w:r w:rsidRPr="00115879">
        <w:rPr>
          <w:rFonts w:ascii="Arial" w:hAnsi="Arial" w:cs="Arial"/>
          <w:sz w:val="20"/>
          <w:szCs w:val="20"/>
          <w:lang w:val="es-ES"/>
        </w:rPr>
        <w:t xml:space="preserve"> base de datos que contiene registros internacionales en virtud del Sistema de </w:t>
      </w:r>
      <w:r w:rsidR="003B0DF0">
        <w:rPr>
          <w:rFonts w:ascii="Arial" w:hAnsi="Arial" w:cs="Arial"/>
          <w:sz w:val="20"/>
          <w:szCs w:val="20"/>
          <w:lang w:val="es-ES"/>
        </w:rPr>
        <w:t>La Haya</w:t>
      </w:r>
      <w:r w:rsidRPr="00115879">
        <w:rPr>
          <w:rFonts w:ascii="Arial" w:hAnsi="Arial" w:cs="Arial"/>
          <w:sz w:val="20"/>
          <w:szCs w:val="20"/>
          <w:lang w:val="es-ES"/>
        </w:rPr>
        <w:t xml:space="preserve"> y las colecciones nacionales y regionales de datos sobre diseños se seguirán perfeccionando para dar cabida a unas 10 colecciones de datos nacionales durante el bienio.  Entre los principales retos figura la carga de imágenes en distintos formatos y la aplicación de un sistema de búsqueda de la similitud de las imágenes respecto de los diseños registrados en dos dimensiones (clase 32 de la Clasificación de Locarno).</w:t>
      </w:r>
    </w:p>
    <w:p w:rsidR="00CD722F" w:rsidRDefault="00CD722F" w:rsidP="00CD722F">
      <w:pPr>
        <w:pStyle w:val="ListParagraph"/>
        <w:tabs>
          <w:tab w:val="left" w:pos="709"/>
        </w:tabs>
        <w:autoSpaceDE w:val="0"/>
        <w:autoSpaceDN w:val="0"/>
        <w:adjustRightInd w:val="0"/>
        <w:ind w:left="0"/>
        <w:rPr>
          <w:rFonts w:ascii="Arial" w:hAnsi="Arial" w:cs="Arial"/>
          <w:sz w:val="20"/>
          <w:szCs w:val="20"/>
          <w:lang w:val="es-ES"/>
        </w:rPr>
      </w:pPr>
    </w:p>
    <w:p w:rsidR="00CD722F" w:rsidRPr="007E09B2" w:rsidRDefault="007E09B2" w:rsidP="00115879">
      <w:pPr>
        <w:pStyle w:val="ListParagraph"/>
        <w:numPr>
          <w:ilvl w:val="0"/>
          <w:numId w:val="31"/>
        </w:numPr>
        <w:tabs>
          <w:tab w:val="left" w:pos="709"/>
        </w:tabs>
        <w:autoSpaceDE w:val="0"/>
        <w:autoSpaceDN w:val="0"/>
        <w:adjustRightInd w:val="0"/>
        <w:ind w:left="0" w:firstLine="0"/>
        <w:rPr>
          <w:rFonts w:ascii="Arial" w:hAnsi="Arial" w:cs="Arial"/>
          <w:sz w:val="20"/>
          <w:szCs w:val="20"/>
          <w:lang w:val="es-ES"/>
        </w:rPr>
      </w:pPr>
      <w:r>
        <w:rPr>
          <w:rFonts w:ascii="Arial" w:hAnsi="Arial" w:cs="Arial"/>
          <w:color w:val="000000"/>
          <w:sz w:val="20"/>
          <w:szCs w:val="20"/>
          <w:lang w:val="es-ES"/>
        </w:rPr>
        <w:t>El p</w:t>
      </w:r>
      <w:r w:rsidR="00CD722F" w:rsidRPr="007E09B2">
        <w:rPr>
          <w:rFonts w:ascii="Arial" w:hAnsi="Arial" w:cs="Arial"/>
          <w:color w:val="000000"/>
          <w:sz w:val="20"/>
          <w:szCs w:val="20"/>
          <w:lang w:val="es-ES"/>
        </w:rPr>
        <w:t>rogram</w:t>
      </w:r>
      <w:r>
        <w:rPr>
          <w:rFonts w:ascii="Arial" w:hAnsi="Arial" w:cs="Arial"/>
          <w:color w:val="000000"/>
          <w:sz w:val="20"/>
          <w:szCs w:val="20"/>
          <w:lang w:val="es-ES"/>
        </w:rPr>
        <w:t>a</w:t>
      </w:r>
      <w:r w:rsidR="00CD722F" w:rsidRPr="007E09B2">
        <w:rPr>
          <w:rFonts w:ascii="Arial" w:hAnsi="Arial" w:cs="Arial"/>
          <w:color w:val="000000"/>
          <w:sz w:val="20"/>
          <w:szCs w:val="20"/>
          <w:lang w:val="es-ES"/>
        </w:rPr>
        <w:t xml:space="preserve"> 13 colabora</w:t>
      </w:r>
      <w:r>
        <w:rPr>
          <w:rFonts w:ascii="Arial" w:hAnsi="Arial" w:cs="Arial"/>
          <w:color w:val="000000"/>
          <w:sz w:val="20"/>
          <w:szCs w:val="20"/>
          <w:lang w:val="es-ES"/>
        </w:rPr>
        <w:t xml:space="preserve"> principalmente con los programas siguientes</w:t>
      </w:r>
      <w:r w:rsidR="00CD722F" w:rsidRPr="007E09B2">
        <w:rPr>
          <w:rFonts w:ascii="Arial" w:hAnsi="Arial" w:cs="Arial"/>
          <w:color w:val="000000"/>
          <w:sz w:val="20"/>
          <w:szCs w:val="20"/>
          <w:lang w:val="es-ES"/>
        </w:rPr>
        <w:t>:</w:t>
      </w:r>
    </w:p>
    <w:p w:rsidR="00115879" w:rsidRPr="006A3CA4" w:rsidRDefault="00115879" w:rsidP="00115879">
      <w:pPr>
        <w:rPr>
          <w:bCs/>
          <w:szCs w:val="22"/>
          <w:lang w:val="es-ES_tradnl"/>
        </w:rPr>
      </w:pPr>
    </w:p>
    <w:p w:rsidR="00115879" w:rsidRPr="006A3CA4" w:rsidRDefault="00115879" w:rsidP="00115879">
      <w:pPr>
        <w:tabs>
          <w:tab w:val="left" w:pos="7275"/>
        </w:tabs>
        <w:rPr>
          <w:bCs/>
          <w:sz w:val="20"/>
          <w:szCs w:val="22"/>
          <w:lang w:val="es-ES_tradnl"/>
        </w:rPr>
      </w:pPr>
    </w:p>
    <w:p w:rsidR="00115879" w:rsidRDefault="00CD722F" w:rsidP="00115879">
      <w:pPr>
        <w:rPr>
          <w:bCs/>
          <w:sz w:val="20"/>
          <w:szCs w:val="22"/>
        </w:rPr>
      </w:pPr>
      <w:r>
        <w:rPr>
          <w:noProof/>
          <w:lang w:val="en-US" w:eastAsia="en-US"/>
        </w:rPr>
        <w:drawing>
          <wp:inline distT="0" distB="0" distL="0" distR="0" wp14:anchorId="777E3478" wp14:editId="3FAFE20B">
            <wp:extent cx="5937662" cy="1900052"/>
            <wp:effectExtent l="0" t="38100" r="0" b="100330"/>
            <wp:docPr id="985"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3" r:lo="rId134" r:qs="rId135" r:cs="rId136"/>
              </a:graphicData>
            </a:graphic>
          </wp:inline>
        </w:drawing>
      </w:r>
    </w:p>
    <w:p w:rsidR="00CD722F" w:rsidRDefault="00CD722F" w:rsidP="00115879">
      <w:pPr>
        <w:rPr>
          <w:bCs/>
          <w:sz w:val="20"/>
          <w:szCs w:val="22"/>
        </w:rPr>
      </w:pPr>
    </w:p>
    <w:p w:rsidR="00CD722F" w:rsidRPr="00993C93" w:rsidRDefault="00CD722F" w:rsidP="00115879">
      <w:pPr>
        <w:rPr>
          <w:bCs/>
          <w:sz w:val="20"/>
          <w:szCs w:val="22"/>
        </w:rPr>
      </w:pPr>
    </w:p>
    <w:p w:rsidR="00115879" w:rsidRPr="00993C93" w:rsidRDefault="00115879" w:rsidP="00115879">
      <w:pPr>
        <w:tabs>
          <w:tab w:val="num" w:pos="709"/>
          <w:tab w:val="left" w:pos="7112"/>
        </w:tabs>
        <w:rPr>
          <w:bCs/>
          <w:szCs w:val="22"/>
        </w:rPr>
      </w:pPr>
      <w:r w:rsidRPr="00993C93">
        <w:rPr>
          <w:bCs/>
          <w:szCs w:val="22"/>
        </w:rPr>
        <w:t>PRINCIPALES RIESGOS Y ESTRATEGIAS DE MITIGACIÓN</w:t>
      </w:r>
    </w:p>
    <w:p w:rsidR="00115879" w:rsidRPr="00993C93" w:rsidRDefault="00115879" w:rsidP="00115879">
      <w:pPr>
        <w:keepNext/>
        <w:keepLines/>
        <w:rPr>
          <w:sz w:val="20"/>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03"/>
      </w:tblGrid>
      <w:tr w:rsidR="00115879" w:rsidRPr="00993C93" w:rsidTr="007E09B2">
        <w:trPr>
          <w:trHeight w:val="577"/>
        </w:trPr>
        <w:tc>
          <w:tcPr>
            <w:tcW w:w="4253" w:type="dxa"/>
            <w:tcBorders>
              <w:top w:val="single" w:sz="4" w:space="0" w:color="auto"/>
              <w:bottom w:val="single" w:sz="4" w:space="0" w:color="auto"/>
            </w:tcBorders>
            <w:shd w:val="clear" w:color="auto" w:fill="C6D9F1"/>
            <w:vAlign w:val="center"/>
          </w:tcPr>
          <w:p w:rsidR="00115879" w:rsidRPr="00993C93" w:rsidRDefault="00115879" w:rsidP="007E09B2">
            <w:pPr>
              <w:keepNext/>
              <w:keepLines/>
              <w:jc w:val="center"/>
              <w:rPr>
                <w:b/>
                <w:bCs/>
                <w:sz w:val="18"/>
                <w:szCs w:val="18"/>
              </w:rPr>
            </w:pPr>
            <w:r w:rsidRPr="00993C93">
              <w:rPr>
                <w:b/>
                <w:bCs/>
                <w:sz w:val="18"/>
                <w:szCs w:val="18"/>
              </w:rPr>
              <w:t>Riesgo</w:t>
            </w:r>
          </w:p>
        </w:tc>
        <w:tc>
          <w:tcPr>
            <w:tcW w:w="5103" w:type="dxa"/>
            <w:tcBorders>
              <w:top w:val="single" w:sz="4" w:space="0" w:color="auto"/>
              <w:bottom w:val="single" w:sz="4" w:space="0" w:color="auto"/>
            </w:tcBorders>
            <w:shd w:val="clear" w:color="auto" w:fill="C6D9F1"/>
            <w:vAlign w:val="center"/>
          </w:tcPr>
          <w:p w:rsidR="00115879" w:rsidRPr="00993C93" w:rsidRDefault="00115879" w:rsidP="007E09B2">
            <w:pPr>
              <w:keepNext/>
              <w:keepLines/>
              <w:jc w:val="center"/>
              <w:rPr>
                <w:b/>
                <w:bCs/>
                <w:sz w:val="18"/>
                <w:szCs w:val="18"/>
              </w:rPr>
            </w:pPr>
            <w:r w:rsidRPr="00993C93">
              <w:rPr>
                <w:b/>
                <w:bCs/>
                <w:sz w:val="18"/>
                <w:szCs w:val="18"/>
              </w:rPr>
              <w:t>Mitigación</w:t>
            </w:r>
          </w:p>
        </w:tc>
      </w:tr>
      <w:tr w:rsidR="00115879" w:rsidRPr="00993C93" w:rsidTr="00E02444">
        <w:trPr>
          <w:trHeight w:val="720"/>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115879" w:rsidRPr="00993C93" w:rsidRDefault="00115879" w:rsidP="00E02444">
            <w:pPr>
              <w:keepNext/>
              <w:keepLines/>
              <w:rPr>
                <w:sz w:val="12"/>
                <w:szCs w:val="16"/>
              </w:rPr>
            </w:pPr>
            <w:r w:rsidRPr="00993C93">
              <w:rPr>
                <w:sz w:val="16"/>
              </w:rPr>
              <w:t>Imposibilidad de acceder a las bases de datos mundiales a consecuencia de trastornos en el servicio de Internet o de fallos técnicos en la sede de la OMPI en Ginebra.</w:t>
            </w:r>
          </w:p>
        </w:tc>
        <w:tc>
          <w:tcPr>
            <w:tcW w:w="5103"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115879" w:rsidRPr="00993C93" w:rsidRDefault="00115879" w:rsidP="00E02444">
            <w:pPr>
              <w:keepNext/>
              <w:keepLines/>
              <w:rPr>
                <w:sz w:val="12"/>
                <w:szCs w:val="16"/>
              </w:rPr>
            </w:pPr>
            <w:r w:rsidRPr="00993C93">
              <w:rPr>
                <w:sz w:val="16"/>
              </w:rPr>
              <w:t>La duplicación del servicio y la diversidad geográfica se lograrán mediante la instalación de servidores espejo para prestar mejores servicios a los usuarios y mantener el acceso a la información en caso de trastornos del servicio en Ginebra.</w:t>
            </w:r>
          </w:p>
        </w:tc>
      </w:tr>
    </w:tbl>
    <w:p w:rsidR="00115879" w:rsidRPr="00993C93" w:rsidRDefault="00115879" w:rsidP="00115879">
      <w:pPr>
        <w:rPr>
          <w:bCs/>
          <w:sz w:val="20"/>
        </w:rPr>
      </w:pPr>
    </w:p>
    <w:p w:rsidR="00115879" w:rsidRPr="00993C93" w:rsidRDefault="00115879" w:rsidP="00115879">
      <w:pPr>
        <w:rPr>
          <w:bCs/>
          <w:sz w:val="20"/>
        </w:rPr>
      </w:pPr>
    </w:p>
    <w:p w:rsidR="00115879" w:rsidRPr="00993C93" w:rsidRDefault="00115879" w:rsidP="00115879">
      <w:pPr>
        <w:tabs>
          <w:tab w:val="left" w:pos="567"/>
          <w:tab w:val="left" w:pos="1985"/>
        </w:tabs>
        <w:rPr>
          <w:bCs/>
        </w:rPr>
      </w:pPr>
      <w:r w:rsidRPr="00993C93">
        <w:rPr>
          <w:bCs/>
        </w:rPr>
        <w:t>MARCO DE RESULTADOS</w:t>
      </w:r>
    </w:p>
    <w:p w:rsidR="00115879" w:rsidRPr="00993C93" w:rsidRDefault="00115879" w:rsidP="00115879">
      <w:pPr>
        <w:tabs>
          <w:tab w:val="left" w:pos="567"/>
          <w:tab w:val="left" w:pos="1985"/>
        </w:tabs>
        <w:rPr>
          <w:bCs/>
          <w:sz w:val="20"/>
        </w:rPr>
      </w:pPr>
    </w:p>
    <w:tbl>
      <w:tblPr>
        <w:tblW w:w="9320" w:type="dxa"/>
        <w:tblInd w:w="93" w:type="dxa"/>
        <w:tblLook w:val="04A0" w:firstRow="1" w:lastRow="0" w:firstColumn="1" w:lastColumn="0" w:noHBand="0" w:noVBand="1"/>
      </w:tblPr>
      <w:tblGrid>
        <w:gridCol w:w="2320"/>
        <w:gridCol w:w="2380"/>
        <w:gridCol w:w="2380"/>
        <w:gridCol w:w="2240"/>
      </w:tblGrid>
      <w:tr w:rsidR="00115879" w:rsidRPr="00993C93" w:rsidTr="007E09B2">
        <w:trPr>
          <w:trHeight w:val="510"/>
          <w:tblHeader/>
        </w:trPr>
        <w:tc>
          <w:tcPr>
            <w:tcW w:w="2320" w:type="dxa"/>
            <w:tcBorders>
              <w:top w:val="single" w:sz="4" w:space="0" w:color="auto"/>
              <w:left w:val="single" w:sz="4" w:space="0" w:color="auto"/>
              <w:bottom w:val="single" w:sz="4" w:space="0" w:color="auto"/>
              <w:right w:val="nil"/>
            </w:tcBorders>
            <w:shd w:val="clear" w:color="auto" w:fill="C6D9F1"/>
            <w:vAlign w:val="center"/>
            <w:hideMark/>
          </w:tcPr>
          <w:p w:rsidR="00115879" w:rsidRPr="00993C93" w:rsidRDefault="00115879" w:rsidP="00E02444">
            <w:pPr>
              <w:rPr>
                <w:b/>
                <w:bCs/>
                <w:sz w:val="18"/>
                <w:szCs w:val="18"/>
              </w:rPr>
            </w:pPr>
            <w:r w:rsidRPr="00993C93">
              <w:rPr>
                <w:b/>
                <w:bCs/>
                <w:sz w:val="18"/>
                <w:szCs w:val="18"/>
              </w:rPr>
              <w:t>Resultados previstos</w:t>
            </w:r>
          </w:p>
        </w:tc>
        <w:tc>
          <w:tcPr>
            <w:tcW w:w="2380" w:type="dxa"/>
            <w:tcBorders>
              <w:top w:val="single" w:sz="4" w:space="0" w:color="auto"/>
              <w:left w:val="nil"/>
              <w:bottom w:val="single" w:sz="4" w:space="0" w:color="auto"/>
              <w:right w:val="nil"/>
            </w:tcBorders>
            <w:shd w:val="clear" w:color="auto" w:fill="C6D9F1"/>
            <w:vAlign w:val="center"/>
            <w:hideMark/>
          </w:tcPr>
          <w:p w:rsidR="00115879" w:rsidRPr="00993C93" w:rsidRDefault="00115879" w:rsidP="00E02444">
            <w:pPr>
              <w:ind w:left="281"/>
              <w:rPr>
                <w:b/>
                <w:bCs/>
                <w:sz w:val="18"/>
                <w:szCs w:val="18"/>
              </w:rPr>
            </w:pPr>
            <w:r w:rsidRPr="00993C93">
              <w:rPr>
                <w:b/>
                <w:bCs/>
                <w:sz w:val="18"/>
                <w:szCs w:val="18"/>
              </w:rPr>
              <w:t>Indicadores de rendimiento</w:t>
            </w:r>
          </w:p>
        </w:tc>
        <w:tc>
          <w:tcPr>
            <w:tcW w:w="2380" w:type="dxa"/>
            <w:tcBorders>
              <w:top w:val="single" w:sz="4" w:space="0" w:color="auto"/>
              <w:left w:val="nil"/>
              <w:bottom w:val="single" w:sz="4" w:space="0" w:color="auto"/>
              <w:right w:val="nil"/>
            </w:tcBorders>
            <w:shd w:val="clear" w:color="auto" w:fill="C6D9F1"/>
            <w:vAlign w:val="center"/>
            <w:hideMark/>
          </w:tcPr>
          <w:p w:rsidR="00115879" w:rsidRPr="00993C93" w:rsidRDefault="00115879" w:rsidP="00E02444">
            <w:pPr>
              <w:ind w:left="310"/>
              <w:rPr>
                <w:b/>
                <w:bCs/>
                <w:sz w:val="18"/>
                <w:szCs w:val="18"/>
              </w:rPr>
            </w:pPr>
            <w:r w:rsidRPr="00993C93">
              <w:rPr>
                <w:b/>
                <w:bCs/>
                <w:sz w:val="18"/>
                <w:szCs w:val="18"/>
              </w:rPr>
              <w:t>Referencia</w:t>
            </w:r>
          </w:p>
        </w:tc>
        <w:tc>
          <w:tcPr>
            <w:tcW w:w="2240" w:type="dxa"/>
            <w:tcBorders>
              <w:top w:val="single" w:sz="4" w:space="0" w:color="auto"/>
              <w:left w:val="nil"/>
              <w:bottom w:val="single" w:sz="4" w:space="0" w:color="auto"/>
              <w:right w:val="single" w:sz="4" w:space="0" w:color="auto"/>
            </w:tcBorders>
            <w:shd w:val="clear" w:color="auto" w:fill="C6D9F1"/>
            <w:vAlign w:val="center"/>
            <w:hideMark/>
          </w:tcPr>
          <w:p w:rsidR="00115879" w:rsidRPr="00993C93" w:rsidRDefault="00115879" w:rsidP="00E02444">
            <w:pPr>
              <w:rPr>
                <w:b/>
                <w:bCs/>
                <w:sz w:val="18"/>
                <w:szCs w:val="18"/>
              </w:rPr>
            </w:pPr>
            <w:r w:rsidRPr="00993C93">
              <w:rPr>
                <w:b/>
                <w:bCs/>
                <w:sz w:val="18"/>
                <w:szCs w:val="18"/>
              </w:rPr>
              <w:t>Objetivos</w:t>
            </w:r>
          </w:p>
        </w:tc>
      </w:tr>
      <w:tr w:rsidR="00115879" w:rsidRPr="00993C93" w:rsidTr="00324B68">
        <w:trPr>
          <w:trHeight w:val="1212"/>
        </w:trPr>
        <w:tc>
          <w:tcPr>
            <w:tcW w:w="2320" w:type="dxa"/>
            <w:vMerge w:val="restart"/>
            <w:tcBorders>
              <w:top w:val="nil"/>
              <w:left w:val="single" w:sz="4" w:space="0" w:color="auto"/>
              <w:bottom w:val="nil"/>
              <w:right w:val="nil"/>
            </w:tcBorders>
            <w:shd w:val="clear" w:color="000000" w:fill="FFFFFF"/>
            <w:hideMark/>
          </w:tcPr>
          <w:p w:rsidR="00115879" w:rsidRPr="007E09B2" w:rsidRDefault="00115879" w:rsidP="00E02444">
            <w:pPr>
              <w:rPr>
                <w:sz w:val="16"/>
                <w:szCs w:val="16"/>
              </w:rPr>
            </w:pPr>
          </w:p>
          <w:p w:rsidR="00115879" w:rsidRPr="007E09B2" w:rsidRDefault="005B1060" w:rsidP="00E02444">
            <w:pPr>
              <w:rPr>
                <w:sz w:val="16"/>
                <w:szCs w:val="16"/>
              </w:rPr>
            </w:pPr>
            <w:r w:rsidRPr="007E09B2">
              <w:rPr>
                <w:sz w:val="16"/>
                <w:szCs w:val="16"/>
              </w:rPr>
              <w:t xml:space="preserve">IV.2 </w:t>
            </w:r>
            <w:r w:rsidR="00602252" w:rsidRPr="007E09B2">
              <w:rPr>
                <w:sz w:val="16"/>
                <w:szCs w:val="16"/>
              </w:rPr>
              <w:t xml:space="preserve"> </w:t>
            </w:r>
            <w:r w:rsidRPr="007E09B2">
              <w:rPr>
                <w:sz w:val="16"/>
                <w:szCs w:val="16"/>
                <w:lang w:val="es-ES_tradnl"/>
              </w:rPr>
              <w:t>Mejora del acceso y uso de información de P.I. por parte de instituciones de P.I. y el público para fomentar la innovación y la creatividad</w:t>
            </w:r>
          </w:p>
        </w:tc>
        <w:tc>
          <w:tcPr>
            <w:tcW w:w="2380" w:type="dxa"/>
            <w:tcBorders>
              <w:top w:val="nil"/>
              <w:left w:val="nil"/>
              <w:bottom w:val="nil"/>
              <w:right w:val="nil"/>
            </w:tcBorders>
            <w:shd w:val="clear" w:color="000000" w:fill="FFFFFF"/>
            <w:hideMark/>
          </w:tcPr>
          <w:p w:rsidR="00115879" w:rsidRPr="00993C93" w:rsidRDefault="00115879" w:rsidP="00E02444">
            <w:pPr>
              <w:ind w:left="281" w:firstLineChars="200" w:firstLine="320"/>
              <w:rPr>
                <w:sz w:val="16"/>
                <w:szCs w:val="16"/>
              </w:rPr>
            </w:pPr>
          </w:p>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usuarios por trimestre en todos los sistemas de bases de datos mundiales.</w:t>
            </w:r>
          </w:p>
          <w:p w:rsidR="00115879" w:rsidRPr="00993C93" w:rsidRDefault="00115879" w:rsidP="00E02444">
            <w:pPr>
              <w:ind w:left="281"/>
              <w:rPr>
                <w:sz w:val="16"/>
                <w:szCs w:val="16"/>
              </w:rPr>
            </w:pPr>
          </w:p>
        </w:tc>
        <w:tc>
          <w:tcPr>
            <w:tcW w:w="2380" w:type="dxa"/>
            <w:tcBorders>
              <w:top w:val="nil"/>
              <w:left w:val="nil"/>
              <w:bottom w:val="nil"/>
              <w:right w:val="nil"/>
            </w:tcBorders>
            <w:shd w:val="clear" w:color="000000" w:fill="FFFFFF"/>
            <w:hideMark/>
          </w:tcPr>
          <w:p w:rsidR="00115879" w:rsidRPr="00993C93" w:rsidRDefault="00115879" w:rsidP="00E02444">
            <w:pPr>
              <w:ind w:left="310" w:firstLineChars="200" w:firstLine="320"/>
              <w:rPr>
                <w:sz w:val="16"/>
                <w:szCs w:val="16"/>
              </w:rPr>
            </w:pPr>
          </w:p>
          <w:p w:rsidR="00115879" w:rsidRPr="00993C93" w:rsidRDefault="00115879" w:rsidP="003D53A9">
            <w:pPr>
              <w:ind w:left="310"/>
              <w:rPr>
                <w:sz w:val="16"/>
                <w:szCs w:val="16"/>
              </w:rPr>
            </w:pPr>
            <w:r w:rsidRPr="00993C93">
              <w:rPr>
                <w:sz w:val="16"/>
                <w:szCs w:val="16"/>
              </w:rPr>
              <w:t>Usuarios distintos (4</w:t>
            </w:r>
            <w:r w:rsidR="003D53A9">
              <w:rPr>
                <w:sz w:val="16"/>
                <w:szCs w:val="16"/>
              </w:rPr>
              <w:t>ºtrim.</w:t>
            </w:r>
            <w:r w:rsidRPr="00993C93">
              <w:rPr>
                <w:sz w:val="16"/>
                <w:szCs w:val="16"/>
              </w:rPr>
              <w:t xml:space="preserve"> 2014) PATENTSCOPE 592.000; GBD 49.000; GDD </w:t>
            </w:r>
            <w:proofErr w:type="spellStart"/>
            <w:r w:rsidR="003D53A9">
              <w:rPr>
                <w:sz w:val="16"/>
                <w:szCs w:val="16"/>
              </w:rPr>
              <w:t>n.d</w:t>
            </w:r>
            <w:proofErr w:type="spellEnd"/>
            <w:r w:rsidR="003D53A9">
              <w:rPr>
                <w:sz w:val="16"/>
                <w:szCs w:val="16"/>
              </w:rPr>
              <w:t>.</w:t>
            </w:r>
          </w:p>
        </w:tc>
        <w:tc>
          <w:tcPr>
            <w:tcW w:w="2240" w:type="dxa"/>
            <w:tcBorders>
              <w:top w:val="nil"/>
              <w:left w:val="nil"/>
              <w:bottom w:val="nil"/>
              <w:right w:val="single" w:sz="4" w:space="0" w:color="auto"/>
            </w:tcBorders>
            <w:shd w:val="clear" w:color="000000" w:fill="FFFFFF"/>
            <w:hideMark/>
          </w:tcPr>
          <w:p w:rsidR="00115879" w:rsidRPr="00993C93" w:rsidRDefault="00115879" w:rsidP="00E02444">
            <w:pPr>
              <w:ind w:left="340" w:firstLineChars="200" w:firstLine="320"/>
              <w:rPr>
                <w:sz w:val="16"/>
                <w:szCs w:val="16"/>
              </w:rPr>
            </w:pPr>
          </w:p>
          <w:p w:rsidR="00115879" w:rsidRPr="00993C93" w:rsidRDefault="00115879" w:rsidP="00E02444">
            <w:pPr>
              <w:ind w:left="340"/>
              <w:rPr>
                <w:sz w:val="16"/>
                <w:szCs w:val="16"/>
              </w:rPr>
            </w:pPr>
            <w:r w:rsidRPr="00993C93">
              <w:rPr>
                <w:sz w:val="16"/>
                <w:szCs w:val="16"/>
              </w:rPr>
              <w:t>PATENTSCOPE 650.000; GBD 70.000; GDD 15.000</w:t>
            </w:r>
          </w:p>
        </w:tc>
      </w:tr>
      <w:tr w:rsidR="00115879" w:rsidRPr="00993C93" w:rsidTr="00E02444">
        <w:trPr>
          <w:trHeight w:val="810"/>
        </w:trPr>
        <w:tc>
          <w:tcPr>
            <w:tcW w:w="2320" w:type="dxa"/>
            <w:vMerge/>
            <w:tcBorders>
              <w:top w:val="nil"/>
              <w:left w:val="single" w:sz="4" w:space="0" w:color="auto"/>
              <w:bottom w:val="nil"/>
              <w:right w:val="nil"/>
            </w:tcBorders>
            <w:vAlign w:val="center"/>
            <w:hideMark/>
          </w:tcPr>
          <w:p w:rsidR="00115879" w:rsidRPr="007E09B2" w:rsidRDefault="00115879" w:rsidP="00E02444">
            <w:pPr>
              <w:rPr>
                <w:sz w:val="16"/>
                <w:szCs w:val="16"/>
              </w:rPr>
            </w:pPr>
          </w:p>
        </w:tc>
        <w:tc>
          <w:tcPr>
            <w:tcW w:w="2380" w:type="dxa"/>
            <w:tcBorders>
              <w:top w:val="nil"/>
              <w:left w:val="nil"/>
              <w:bottom w:val="nil"/>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idiomas en los que se pueden efectuar búsquedas plurilingües.</w:t>
            </w:r>
          </w:p>
        </w:tc>
        <w:tc>
          <w:tcPr>
            <w:tcW w:w="2380" w:type="dxa"/>
            <w:tcBorders>
              <w:top w:val="nil"/>
              <w:left w:val="nil"/>
              <w:bottom w:val="nil"/>
              <w:right w:val="nil"/>
            </w:tcBorders>
            <w:shd w:val="clear" w:color="000000" w:fill="FFFFFF"/>
            <w:hideMark/>
          </w:tcPr>
          <w:p w:rsidR="00115879" w:rsidRPr="00993C93" w:rsidRDefault="00115879" w:rsidP="00E02444">
            <w:pPr>
              <w:ind w:firstLineChars="200" w:firstLine="320"/>
              <w:rPr>
                <w:sz w:val="16"/>
                <w:szCs w:val="16"/>
              </w:rPr>
            </w:pPr>
            <w:r w:rsidRPr="00993C93">
              <w:rPr>
                <w:sz w:val="16"/>
                <w:szCs w:val="16"/>
              </w:rPr>
              <w:t>12 (al final de 2014).</w:t>
            </w:r>
          </w:p>
        </w:tc>
        <w:tc>
          <w:tcPr>
            <w:tcW w:w="2240" w:type="dxa"/>
            <w:tcBorders>
              <w:top w:val="nil"/>
              <w:left w:val="nil"/>
              <w:bottom w:val="nil"/>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14</w:t>
            </w:r>
          </w:p>
        </w:tc>
      </w:tr>
      <w:tr w:rsidR="00115879" w:rsidRPr="00993C93" w:rsidTr="00E02444">
        <w:trPr>
          <w:trHeight w:val="810"/>
        </w:trPr>
        <w:tc>
          <w:tcPr>
            <w:tcW w:w="2320" w:type="dxa"/>
            <w:vMerge/>
            <w:tcBorders>
              <w:top w:val="nil"/>
              <w:left w:val="single" w:sz="4" w:space="0" w:color="auto"/>
              <w:bottom w:val="nil"/>
              <w:right w:val="nil"/>
            </w:tcBorders>
            <w:vAlign w:val="center"/>
            <w:hideMark/>
          </w:tcPr>
          <w:p w:rsidR="00115879" w:rsidRPr="007E09B2" w:rsidRDefault="00115879" w:rsidP="00E02444">
            <w:pPr>
              <w:rPr>
                <w:sz w:val="16"/>
                <w:szCs w:val="16"/>
              </w:rPr>
            </w:pPr>
          </w:p>
        </w:tc>
        <w:tc>
          <w:tcPr>
            <w:tcW w:w="2380" w:type="dxa"/>
            <w:tcBorders>
              <w:top w:val="nil"/>
              <w:left w:val="nil"/>
              <w:bottom w:val="nil"/>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pares de idiomas disponibles para la traducción de descripciones y reivindicaciones.</w:t>
            </w:r>
          </w:p>
          <w:p w:rsidR="00115879" w:rsidRPr="00993C93" w:rsidRDefault="00115879" w:rsidP="00E02444">
            <w:pPr>
              <w:ind w:left="281"/>
              <w:rPr>
                <w:sz w:val="16"/>
                <w:szCs w:val="16"/>
              </w:rPr>
            </w:pPr>
          </w:p>
        </w:tc>
        <w:tc>
          <w:tcPr>
            <w:tcW w:w="2380" w:type="dxa"/>
            <w:tcBorders>
              <w:top w:val="nil"/>
              <w:left w:val="nil"/>
              <w:bottom w:val="nil"/>
              <w:right w:val="nil"/>
            </w:tcBorders>
            <w:shd w:val="clear" w:color="000000" w:fill="FFFFFF"/>
            <w:hideMark/>
          </w:tcPr>
          <w:p w:rsidR="00115879" w:rsidRPr="00993C93" w:rsidRDefault="00115879" w:rsidP="00E02444">
            <w:pPr>
              <w:ind w:firstLineChars="200" w:firstLine="320"/>
              <w:rPr>
                <w:sz w:val="16"/>
                <w:szCs w:val="16"/>
              </w:rPr>
            </w:pPr>
            <w:r w:rsidRPr="00993C93">
              <w:rPr>
                <w:sz w:val="16"/>
                <w:szCs w:val="16"/>
              </w:rPr>
              <w:t>0 (al final de 2014).</w:t>
            </w:r>
          </w:p>
        </w:tc>
        <w:tc>
          <w:tcPr>
            <w:tcW w:w="2240" w:type="dxa"/>
            <w:tcBorders>
              <w:top w:val="nil"/>
              <w:left w:val="nil"/>
              <w:bottom w:val="nil"/>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4</w:t>
            </w:r>
          </w:p>
        </w:tc>
      </w:tr>
      <w:tr w:rsidR="00115879" w:rsidRPr="00993C93" w:rsidTr="00AE0E58">
        <w:trPr>
          <w:trHeight w:val="750"/>
        </w:trPr>
        <w:tc>
          <w:tcPr>
            <w:tcW w:w="2320" w:type="dxa"/>
            <w:vMerge/>
            <w:tcBorders>
              <w:top w:val="nil"/>
              <w:left w:val="single" w:sz="4" w:space="0" w:color="auto"/>
              <w:right w:val="nil"/>
            </w:tcBorders>
            <w:vAlign w:val="center"/>
            <w:hideMark/>
          </w:tcPr>
          <w:p w:rsidR="00115879" w:rsidRPr="007E09B2" w:rsidRDefault="00115879" w:rsidP="00E02444">
            <w:pPr>
              <w:rPr>
                <w:sz w:val="16"/>
                <w:szCs w:val="16"/>
              </w:rPr>
            </w:pPr>
          </w:p>
        </w:tc>
        <w:tc>
          <w:tcPr>
            <w:tcW w:w="2380" w:type="dxa"/>
            <w:tcBorders>
              <w:top w:val="nil"/>
              <w:left w:val="nil"/>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registros contenidos en PATENSCOPE.</w:t>
            </w:r>
          </w:p>
        </w:tc>
        <w:tc>
          <w:tcPr>
            <w:tcW w:w="2380" w:type="dxa"/>
            <w:tcBorders>
              <w:top w:val="nil"/>
              <w:left w:val="nil"/>
              <w:right w:val="nil"/>
            </w:tcBorders>
            <w:shd w:val="clear" w:color="000000" w:fill="FFFFFF"/>
            <w:hideMark/>
          </w:tcPr>
          <w:p w:rsidR="00115879" w:rsidRPr="00993C93" w:rsidRDefault="00115879" w:rsidP="00E02444">
            <w:pPr>
              <w:ind w:left="310" w:firstLineChars="6" w:firstLine="10"/>
              <w:rPr>
                <w:sz w:val="16"/>
                <w:szCs w:val="16"/>
              </w:rPr>
            </w:pPr>
            <w:r w:rsidRPr="00993C93">
              <w:rPr>
                <w:sz w:val="16"/>
                <w:szCs w:val="16"/>
              </w:rPr>
              <w:t>43.000.000 (al final de 2014).</w:t>
            </w:r>
          </w:p>
        </w:tc>
        <w:tc>
          <w:tcPr>
            <w:tcW w:w="2240" w:type="dxa"/>
            <w:tcBorders>
              <w:top w:val="nil"/>
              <w:left w:val="nil"/>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50.000.000</w:t>
            </w:r>
          </w:p>
        </w:tc>
      </w:tr>
      <w:tr w:rsidR="00115879" w:rsidRPr="00993C93" w:rsidTr="00324B68">
        <w:trPr>
          <w:trHeight w:val="769"/>
        </w:trPr>
        <w:tc>
          <w:tcPr>
            <w:tcW w:w="2320" w:type="dxa"/>
            <w:vMerge w:val="restart"/>
            <w:tcBorders>
              <w:top w:val="nil"/>
              <w:left w:val="single" w:sz="4" w:space="0" w:color="auto"/>
              <w:bottom w:val="single" w:sz="4" w:space="0" w:color="auto"/>
              <w:right w:val="nil"/>
            </w:tcBorders>
            <w:shd w:val="clear" w:color="000000" w:fill="FFFFFF"/>
            <w:hideMark/>
          </w:tcPr>
          <w:p w:rsidR="00115879" w:rsidRPr="007E09B2" w:rsidRDefault="00115879" w:rsidP="005B1060">
            <w:pPr>
              <w:rPr>
                <w:sz w:val="16"/>
                <w:szCs w:val="16"/>
              </w:rPr>
            </w:pPr>
            <w:r w:rsidRPr="007E09B2">
              <w:rPr>
                <w:sz w:val="16"/>
                <w:szCs w:val="16"/>
              </w:rPr>
              <w:t>IV.3</w:t>
            </w:r>
            <w:r w:rsidR="005B1060" w:rsidRPr="007E09B2">
              <w:rPr>
                <w:sz w:val="16"/>
                <w:szCs w:val="16"/>
              </w:rPr>
              <w:t xml:space="preserve">  </w:t>
            </w:r>
            <w:r w:rsidR="005B1060" w:rsidRPr="007E09B2">
              <w:rPr>
                <w:sz w:val="16"/>
                <w:szCs w:val="16"/>
                <w:lang w:val="es-ES_tradnl"/>
              </w:rPr>
              <w:t>Amplia cobertura geográfica en cuanto al contenido y al uso de las bases de datos mundiales de la OMPI en materia de P.I.</w:t>
            </w:r>
          </w:p>
        </w:tc>
        <w:tc>
          <w:tcPr>
            <w:tcW w:w="2380" w:type="dxa"/>
            <w:tcBorders>
              <w:top w:val="nil"/>
              <w:left w:val="nil"/>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registros que figuran en la Base Mundial de Datos sobre Marcas. </w:t>
            </w:r>
          </w:p>
          <w:p w:rsidR="00115879" w:rsidRPr="00993C93" w:rsidRDefault="00115879" w:rsidP="00E02444">
            <w:pPr>
              <w:ind w:left="281"/>
              <w:rPr>
                <w:sz w:val="16"/>
                <w:szCs w:val="16"/>
              </w:rPr>
            </w:pPr>
          </w:p>
        </w:tc>
        <w:tc>
          <w:tcPr>
            <w:tcW w:w="2380" w:type="dxa"/>
            <w:tcBorders>
              <w:top w:val="nil"/>
              <w:left w:val="nil"/>
              <w:right w:val="nil"/>
            </w:tcBorders>
            <w:shd w:val="clear" w:color="000000" w:fill="FFFFFF"/>
            <w:hideMark/>
          </w:tcPr>
          <w:p w:rsidR="00115879" w:rsidRPr="00993C93" w:rsidRDefault="00115879" w:rsidP="00E02444">
            <w:pPr>
              <w:ind w:left="310" w:firstLineChars="6" w:firstLine="10"/>
              <w:rPr>
                <w:sz w:val="16"/>
                <w:szCs w:val="16"/>
              </w:rPr>
            </w:pPr>
            <w:r w:rsidRPr="00993C93">
              <w:rPr>
                <w:sz w:val="16"/>
                <w:szCs w:val="16"/>
              </w:rPr>
              <w:t>15.800.000 (al final de 2014).</w:t>
            </w:r>
          </w:p>
        </w:tc>
        <w:tc>
          <w:tcPr>
            <w:tcW w:w="2240" w:type="dxa"/>
            <w:tcBorders>
              <w:top w:val="nil"/>
              <w:left w:val="nil"/>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25.000.000</w:t>
            </w:r>
          </w:p>
        </w:tc>
      </w:tr>
      <w:tr w:rsidR="00115879" w:rsidRPr="00993C93" w:rsidTr="00324B68">
        <w:trPr>
          <w:trHeight w:val="720"/>
        </w:trPr>
        <w:tc>
          <w:tcPr>
            <w:tcW w:w="2320" w:type="dxa"/>
            <w:vMerge/>
            <w:tcBorders>
              <w:top w:val="nil"/>
              <w:left w:val="single" w:sz="4" w:space="0" w:color="auto"/>
              <w:bottom w:val="single" w:sz="4" w:space="0" w:color="auto"/>
              <w:right w:val="nil"/>
            </w:tcBorders>
            <w:vAlign w:val="center"/>
            <w:hideMark/>
          </w:tcPr>
          <w:p w:rsidR="00115879" w:rsidRPr="00993C93" w:rsidRDefault="00115879" w:rsidP="00E02444">
            <w:pPr>
              <w:rPr>
                <w:sz w:val="16"/>
                <w:szCs w:val="16"/>
              </w:rPr>
            </w:pPr>
          </w:p>
        </w:tc>
        <w:tc>
          <w:tcPr>
            <w:tcW w:w="2380" w:type="dxa"/>
            <w:tcBorders>
              <w:top w:val="nil"/>
              <w:left w:val="nil"/>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registros que figuran en la Base Mundial de Datos sobre </w:t>
            </w:r>
            <w:r w:rsidR="00B16DE0">
              <w:rPr>
                <w:sz w:val="16"/>
                <w:szCs w:val="16"/>
              </w:rPr>
              <w:t>Dibujos y Modelos Industriales</w:t>
            </w:r>
            <w:r w:rsidR="00324B68">
              <w:rPr>
                <w:sz w:val="16"/>
                <w:szCs w:val="16"/>
              </w:rPr>
              <w:br/>
            </w:r>
          </w:p>
        </w:tc>
        <w:tc>
          <w:tcPr>
            <w:tcW w:w="2380" w:type="dxa"/>
            <w:tcBorders>
              <w:top w:val="nil"/>
              <w:left w:val="nil"/>
              <w:right w:val="nil"/>
            </w:tcBorders>
            <w:shd w:val="clear" w:color="000000" w:fill="FFFFFF"/>
            <w:hideMark/>
          </w:tcPr>
          <w:p w:rsidR="00115879" w:rsidRPr="00993C93" w:rsidRDefault="007E09B2" w:rsidP="007E09B2">
            <w:pPr>
              <w:ind w:firstLineChars="200" w:firstLine="320"/>
              <w:rPr>
                <w:sz w:val="16"/>
                <w:szCs w:val="16"/>
              </w:rPr>
            </w:pPr>
            <w:proofErr w:type="spellStart"/>
            <w:r>
              <w:rPr>
                <w:sz w:val="16"/>
                <w:szCs w:val="16"/>
              </w:rPr>
              <w:t>n.d</w:t>
            </w:r>
            <w:proofErr w:type="spellEnd"/>
            <w:r>
              <w:rPr>
                <w:sz w:val="16"/>
                <w:szCs w:val="16"/>
              </w:rPr>
              <w:t>.</w:t>
            </w:r>
          </w:p>
        </w:tc>
        <w:tc>
          <w:tcPr>
            <w:tcW w:w="2240" w:type="dxa"/>
            <w:tcBorders>
              <w:top w:val="nil"/>
              <w:left w:val="nil"/>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1.000.000</w:t>
            </w:r>
          </w:p>
        </w:tc>
      </w:tr>
      <w:tr w:rsidR="00115879" w:rsidRPr="00993C93" w:rsidTr="00324B68">
        <w:trPr>
          <w:trHeight w:val="353"/>
        </w:trPr>
        <w:tc>
          <w:tcPr>
            <w:tcW w:w="2320" w:type="dxa"/>
            <w:vMerge/>
            <w:tcBorders>
              <w:top w:val="single" w:sz="4" w:space="0" w:color="auto"/>
              <w:left w:val="single" w:sz="4" w:space="0" w:color="auto"/>
              <w:bottom w:val="single" w:sz="4" w:space="0" w:color="auto"/>
              <w:right w:val="nil"/>
            </w:tcBorders>
            <w:vAlign w:val="center"/>
            <w:hideMark/>
          </w:tcPr>
          <w:p w:rsidR="00115879" w:rsidRPr="00993C93" w:rsidRDefault="00115879" w:rsidP="00E02444">
            <w:pPr>
              <w:rPr>
                <w:sz w:val="16"/>
                <w:szCs w:val="16"/>
              </w:rPr>
            </w:pPr>
          </w:p>
        </w:tc>
        <w:tc>
          <w:tcPr>
            <w:tcW w:w="2380" w:type="dxa"/>
            <w:tcBorders>
              <w:left w:val="nil"/>
              <w:bottom w:val="single" w:sz="4" w:space="0" w:color="auto"/>
              <w:right w:val="nil"/>
            </w:tcBorders>
            <w:shd w:val="clear" w:color="000000" w:fill="FFFFFF"/>
            <w:hideMark/>
          </w:tcPr>
          <w:p w:rsidR="00115879" w:rsidRPr="00993C93" w:rsidRDefault="00115879" w:rsidP="00324B68">
            <w:pPr>
              <w:ind w:left="-3"/>
              <w:rPr>
                <w:sz w:val="16"/>
                <w:szCs w:val="16"/>
              </w:rPr>
            </w:pPr>
            <w:r w:rsidRPr="00993C93">
              <w:rPr>
                <w:sz w:val="16"/>
                <w:szCs w:val="16"/>
              </w:rPr>
              <w:t>N</w:t>
            </w:r>
            <w:r w:rsidR="00324B68">
              <w:rPr>
                <w:sz w:val="16"/>
                <w:szCs w:val="16"/>
              </w:rPr>
              <w:t>º</w:t>
            </w:r>
            <w:r w:rsidRPr="00993C93">
              <w:rPr>
                <w:sz w:val="16"/>
                <w:szCs w:val="16"/>
              </w:rPr>
              <w:t xml:space="preserve"> de colecciones nacionales en PATENTSCOPE.</w:t>
            </w:r>
          </w:p>
        </w:tc>
        <w:tc>
          <w:tcPr>
            <w:tcW w:w="2380" w:type="dxa"/>
            <w:tcBorders>
              <w:left w:val="nil"/>
              <w:bottom w:val="single" w:sz="4" w:space="0" w:color="auto"/>
              <w:right w:val="nil"/>
            </w:tcBorders>
            <w:shd w:val="clear" w:color="000000" w:fill="FFFFFF"/>
            <w:hideMark/>
          </w:tcPr>
          <w:p w:rsidR="00115879" w:rsidRPr="00993C93" w:rsidRDefault="00115879" w:rsidP="00E02444">
            <w:pPr>
              <w:ind w:firstLineChars="200" w:firstLine="320"/>
              <w:rPr>
                <w:sz w:val="16"/>
                <w:szCs w:val="16"/>
              </w:rPr>
            </w:pPr>
            <w:r w:rsidRPr="00993C93">
              <w:rPr>
                <w:sz w:val="16"/>
                <w:szCs w:val="16"/>
              </w:rPr>
              <w:t>40 (al final de 2014).</w:t>
            </w:r>
          </w:p>
        </w:tc>
        <w:tc>
          <w:tcPr>
            <w:tcW w:w="2240" w:type="dxa"/>
            <w:tcBorders>
              <w:left w:val="nil"/>
              <w:bottom w:val="single" w:sz="4" w:space="0" w:color="auto"/>
              <w:right w:val="single" w:sz="4" w:space="0" w:color="auto"/>
            </w:tcBorders>
            <w:shd w:val="clear" w:color="000000" w:fill="FFFFFF"/>
            <w:hideMark/>
          </w:tcPr>
          <w:p w:rsidR="00115879" w:rsidRPr="00993C93" w:rsidRDefault="00115879" w:rsidP="00E02444">
            <w:pPr>
              <w:ind w:firstLineChars="200" w:firstLine="320"/>
              <w:rPr>
                <w:sz w:val="16"/>
                <w:szCs w:val="16"/>
              </w:rPr>
            </w:pPr>
            <w:r w:rsidRPr="00993C93">
              <w:rPr>
                <w:sz w:val="16"/>
                <w:szCs w:val="16"/>
              </w:rPr>
              <w:t>50</w:t>
            </w:r>
          </w:p>
        </w:tc>
      </w:tr>
      <w:tr w:rsidR="00115879" w:rsidRPr="00993C93" w:rsidTr="00324B68">
        <w:trPr>
          <w:trHeight w:val="570"/>
        </w:trPr>
        <w:tc>
          <w:tcPr>
            <w:tcW w:w="2320" w:type="dxa"/>
            <w:vMerge/>
            <w:tcBorders>
              <w:top w:val="nil"/>
              <w:left w:val="single" w:sz="4" w:space="0" w:color="auto"/>
              <w:bottom w:val="single" w:sz="4" w:space="0" w:color="auto"/>
              <w:right w:val="nil"/>
            </w:tcBorders>
            <w:vAlign w:val="center"/>
            <w:hideMark/>
          </w:tcPr>
          <w:p w:rsidR="00115879" w:rsidRPr="00993C93" w:rsidRDefault="00115879" w:rsidP="00E02444">
            <w:pPr>
              <w:rPr>
                <w:sz w:val="16"/>
                <w:szCs w:val="16"/>
              </w:rPr>
            </w:pPr>
          </w:p>
        </w:tc>
        <w:tc>
          <w:tcPr>
            <w:tcW w:w="2380" w:type="dxa"/>
            <w:tcBorders>
              <w:top w:val="single" w:sz="4" w:space="0" w:color="auto"/>
              <w:left w:val="nil"/>
              <w:bottom w:val="single" w:sz="4" w:space="0" w:color="auto"/>
              <w:right w:val="nil"/>
            </w:tcBorders>
            <w:shd w:val="clear" w:color="000000" w:fill="FFFFFF"/>
            <w:hideMark/>
          </w:tcPr>
          <w:p w:rsidR="00115879" w:rsidRPr="00993C93" w:rsidRDefault="00324B68" w:rsidP="00324B68">
            <w:pPr>
              <w:ind w:left="-3"/>
              <w:rPr>
                <w:sz w:val="16"/>
                <w:szCs w:val="16"/>
              </w:rPr>
            </w:pPr>
            <w:r>
              <w:rPr>
                <w:sz w:val="16"/>
                <w:szCs w:val="16"/>
              </w:rPr>
              <w:br/>
            </w:r>
            <w:r w:rsidR="00115879" w:rsidRPr="00993C93">
              <w:rPr>
                <w:sz w:val="16"/>
                <w:szCs w:val="16"/>
              </w:rPr>
              <w:t>N</w:t>
            </w:r>
            <w:r>
              <w:rPr>
                <w:sz w:val="16"/>
                <w:szCs w:val="16"/>
              </w:rPr>
              <w:t>º</w:t>
            </w:r>
            <w:r w:rsidR="00115879" w:rsidRPr="00993C93">
              <w:rPr>
                <w:sz w:val="16"/>
                <w:szCs w:val="16"/>
              </w:rPr>
              <w:t xml:space="preserve"> de colecciones nacionales en la Base Mundial de Datos sobre Marcas.</w:t>
            </w:r>
            <w:r w:rsidR="007E09B2">
              <w:rPr>
                <w:sz w:val="16"/>
                <w:szCs w:val="16"/>
              </w:rPr>
              <w:br/>
            </w:r>
          </w:p>
        </w:tc>
        <w:tc>
          <w:tcPr>
            <w:tcW w:w="2380" w:type="dxa"/>
            <w:tcBorders>
              <w:top w:val="single" w:sz="4" w:space="0" w:color="auto"/>
              <w:left w:val="nil"/>
              <w:bottom w:val="single" w:sz="4" w:space="0" w:color="auto"/>
              <w:right w:val="nil"/>
            </w:tcBorders>
            <w:shd w:val="clear" w:color="000000" w:fill="FFFFFF"/>
            <w:hideMark/>
          </w:tcPr>
          <w:p w:rsidR="00115879" w:rsidRPr="00993C93" w:rsidRDefault="00324B68" w:rsidP="00E02444">
            <w:pPr>
              <w:ind w:firstLineChars="200" w:firstLine="320"/>
              <w:rPr>
                <w:sz w:val="16"/>
                <w:szCs w:val="16"/>
              </w:rPr>
            </w:pPr>
            <w:r>
              <w:rPr>
                <w:sz w:val="16"/>
                <w:szCs w:val="16"/>
              </w:rPr>
              <w:br/>
            </w:r>
            <w:r w:rsidR="00115879" w:rsidRPr="00993C93">
              <w:rPr>
                <w:sz w:val="16"/>
                <w:szCs w:val="16"/>
              </w:rPr>
              <w:t>18 (al final de 2014).</w:t>
            </w:r>
          </w:p>
        </w:tc>
        <w:tc>
          <w:tcPr>
            <w:tcW w:w="2240" w:type="dxa"/>
            <w:tcBorders>
              <w:top w:val="single" w:sz="4" w:space="0" w:color="auto"/>
              <w:left w:val="nil"/>
              <w:bottom w:val="single" w:sz="4" w:space="0" w:color="auto"/>
              <w:right w:val="single" w:sz="4" w:space="0" w:color="auto"/>
            </w:tcBorders>
            <w:shd w:val="clear" w:color="000000" w:fill="FFFFFF"/>
            <w:hideMark/>
          </w:tcPr>
          <w:p w:rsidR="00115879" w:rsidRPr="00993C93" w:rsidRDefault="00324B68" w:rsidP="00E02444">
            <w:pPr>
              <w:ind w:firstLineChars="200" w:firstLine="320"/>
              <w:rPr>
                <w:sz w:val="16"/>
                <w:szCs w:val="16"/>
              </w:rPr>
            </w:pPr>
            <w:r>
              <w:rPr>
                <w:sz w:val="16"/>
                <w:szCs w:val="16"/>
              </w:rPr>
              <w:br/>
            </w:r>
            <w:r w:rsidR="00115879" w:rsidRPr="00993C93">
              <w:rPr>
                <w:sz w:val="16"/>
                <w:szCs w:val="16"/>
              </w:rPr>
              <w:t>32</w:t>
            </w:r>
          </w:p>
        </w:tc>
      </w:tr>
    </w:tbl>
    <w:p w:rsidR="00115879" w:rsidRDefault="00115879" w:rsidP="00115879">
      <w:pPr>
        <w:tabs>
          <w:tab w:val="left" w:pos="567"/>
          <w:tab w:val="left" w:pos="1985"/>
        </w:tabs>
        <w:rPr>
          <w:bCs/>
          <w:sz w:val="20"/>
        </w:rPr>
      </w:pPr>
    </w:p>
    <w:p w:rsidR="006B2A19" w:rsidRDefault="006B2A19" w:rsidP="00115879">
      <w:pPr>
        <w:tabs>
          <w:tab w:val="left" w:pos="567"/>
          <w:tab w:val="left" w:pos="1985"/>
        </w:tabs>
        <w:rPr>
          <w:bCs/>
          <w:sz w:val="20"/>
        </w:rPr>
      </w:pPr>
    </w:p>
    <w:p w:rsidR="006B2A19" w:rsidRPr="008B4DB8" w:rsidRDefault="00810964" w:rsidP="006B2A19">
      <w:pPr>
        <w:keepNext/>
        <w:keepLines/>
        <w:tabs>
          <w:tab w:val="left" w:pos="567"/>
          <w:tab w:val="left" w:pos="1985"/>
        </w:tabs>
        <w:jc w:val="both"/>
        <w:rPr>
          <w:bCs/>
        </w:rPr>
      </w:pPr>
      <w:r w:rsidRPr="008B4DB8">
        <w:rPr>
          <w:bCs/>
          <w:lang w:val="es-ES_tradnl"/>
        </w:rPr>
        <w:t>RECURSOS PARA EL PROGRAMA 13</w:t>
      </w:r>
    </w:p>
    <w:p w:rsidR="006B2A19" w:rsidRPr="008B4DB8" w:rsidRDefault="006B2A19" w:rsidP="006B2A19">
      <w:pPr>
        <w:keepNext/>
        <w:keepLines/>
        <w:tabs>
          <w:tab w:val="left" w:pos="567"/>
          <w:tab w:val="left" w:pos="1985"/>
        </w:tabs>
        <w:jc w:val="both"/>
        <w:rPr>
          <w:bCs/>
        </w:rPr>
      </w:pPr>
    </w:p>
    <w:p w:rsidR="00A22ABF" w:rsidRPr="008B4DB8" w:rsidRDefault="008B4DB8" w:rsidP="00A22ABF">
      <w:pPr>
        <w:pStyle w:val="ListParagraph"/>
        <w:numPr>
          <w:ilvl w:val="0"/>
          <w:numId w:val="31"/>
        </w:numPr>
        <w:tabs>
          <w:tab w:val="left" w:pos="709"/>
        </w:tabs>
        <w:autoSpaceDE w:val="0"/>
        <w:autoSpaceDN w:val="0"/>
        <w:adjustRightInd w:val="0"/>
        <w:ind w:left="0" w:firstLine="0"/>
        <w:rPr>
          <w:rFonts w:ascii="Arial" w:hAnsi="Arial" w:cs="Arial"/>
          <w:sz w:val="20"/>
          <w:szCs w:val="20"/>
          <w:lang w:val="es-ES"/>
        </w:rPr>
      </w:pPr>
      <w:r w:rsidRPr="00EB43D0">
        <w:rPr>
          <w:rFonts w:ascii="Arial" w:hAnsi="Arial" w:cs="Arial"/>
          <w:sz w:val="20"/>
          <w:szCs w:val="20"/>
          <w:lang w:val="es-ES_tradnl"/>
        </w:rPr>
        <w:t>L</w:t>
      </w:r>
      <w:r w:rsidR="00324B68">
        <w:rPr>
          <w:rFonts w:ascii="Arial" w:hAnsi="Arial" w:cs="Arial"/>
          <w:sz w:val="20"/>
          <w:szCs w:val="20"/>
          <w:lang w:val="es-ES_tradnl"/>
        </w:rPr>
        <w:t>a dotación global de</w:t>
      </w:r>
      <w:r w:rsidRPr="00EB43D0">
        <w:rPr>
          <w:rFonts w:ascii="Arial" w:hAnsi="Arial" w:cs="Arial"/>
          <w:sz w:val="20"/>
          <w:szCs w:val="20"/>
          <w:lang w:val="es-ES_tradnl"/>
        </w:rPr>
        <w:t xml:space="preserve"> recursos </w:t>
      </w:r>
      <w:r w:rsidR="00324B68">
        <w:rPr>
          <w:rFonts w:ascii="Arial" w:hAnsi="Arial" w:cs="Arial"/>
          <w:sz w:val="20"/>
          <w:szCs w:val="20"/>
          <w:lang w:val="es-ES_tradnl"/>
        </w:rPr>
        <w:t xml:space="preserve">para </w:t>
      </w:r>
      <w:r w:rsidRPr="00EB43D0">
        <w:rPr>
          <w:rFonts w:ascii="Arial" w:hAnsi="Arial" w:cs="Arial"/>
          <w:sz w:val="20"/>
          <w:szCs w:val="20"/>
          <w:lang w:val="es-ES_tradnl"/>
        </w:rPr>
        <w:t xml:space="preserve">el programa aumenta en aproximadamente </w:t>
      </w:r>
      <w:r w:rsidR="00324B68">
        <w:rPr>
          <w:rFonts w:ascii="Arial" w:hAnsi="Arial" w:cs="Arial"/>
          <w:sz w:val="20"/>
          <w:szCs w:val="20"/>
          <w:lang w:val="es-ES_tradnl"/>
        </w:rPr>
        <w:t xml:space="preserve">un </w:t>
      </w:r>
      <w:r w:rsidRPr="00EB43D0">
        <w:rPr>
          <w:rFonts w:ascii="Arial" w:hAnsi="Arial" w:cs="Arial"/>
          <w:sz w:val="20"/>
          <w:szCs w:val="20"/>
          <w:lang w:val="es-ES_tradnl"/>
        </w:rPr>
        <w:t>20% en 2016/17 con respecto al presupuesto de 2014/</w:t>
      </w:r>
      <w:r w:rsidR="00ED0A05">
        <w:rPr>
          <w:rFonts w:ascii="Arial" w:hAnsi="Arial" w:cs="Arial"/>
          <w:sz w:val="20"/>
          <w:szCs w:val="20"/>
          <w:lang w:val="es-ES_tradnl"/>
        </w:rPr>
        <w:t>15 tras las</w:t>
      </w:r>
      <w:r w:rsidRPr="00EB43D0">
        <w:rPr>
          <w:rFonts w:ascii="Arial" w:hAnsi="Arial" w:cs="Arial"/>
          <w:sz w:val="20"/>
          <w:szCs w:val="20"/>
          <w:lang w:val="es-ES_tradnl"/>
        </w:rPr>
        <w:t xml:space="preserve"> transferencias.  Los </w:t>
      </w:r>
      <w:r w:rsidR="00ED0A05">
        <w:rPr>
          <w:rFonts w:ascii="Arial" w:hAnsi="Arial" w:cs="Arial"/>
          <w:sz w:val="20"/>
          <w:szCs w:val="20"/>
          <w:lang w:val="es-ES_tradnl"/>
        </w:rPr>
        <w:t>recursos no relativos</w:t>
      </w:r>
      <w:r w:rsidRPr="00EB43D0">
        <w:rPr>
          <w:rFonts w:ascii="Arial" w:hAnsi="Arial" w:cs="Arial"/>
          <w:sz w:val="20"/>
          <w:szCs w:val="20"/>
          <w:lang w:val="es-ES_tradnl"/>
        </w:rPr>
        <w:t xml:space="preserve"> a personal se mantienen al nivel del presupuesto de 2014/</w:t>
      </w:r>
      <w:r w:rsidR="00ED0A05">
        <w:rPr>
          <w:rFonts w:ascii="Arial" w:hAnsi="Arial" w:cs="Arial"/>
          <w:sz w:val="20"/>
          <w:szCs w:val="20"/>
          <w:lang w:val="es-ES_tradnl"/>
        </w:rPr>
        <w:t>15 tras las</w:t>
      </w:r>
      <w:r w:rsidRPr="00EB43D0">
        <w:rPr>
          <w:rFonts w:ascii="Arial" w:hAnsi="Arial" w:cs="Arial"/>
          <w:sz w:val="20"/>
          <w:szCs w:val="20"/>
          <w:lang w:val="es-ES_tradnl"/>
        </w:rPr>
        <w:t xml:space="preserve"> transferencias.  El aumento de los recursos de personal se debe a la redistribución interna de los recursos para apoyar las actividades relacionadas con el desarrollo del motor y la interfaz de búsqueda de las bases mundiales de datos.  Además, se ha vuelto a consignar recursos dentro del programa como resultado de la creciente importancia que se otorga a la expansión de la cobertura geográfica de las bases mundiales de datos</w:t>
      </w:r>
      <w:r w:rsidRPr="00EB43D0">
        <w:rPr>
          <w:rFonts w:ascii="Arial" w:hAnsi="Arial" w:cs="Arial"/>
          <w:color w:val="000000"/>
          <w:sz w:val="20"/>
          <w:szCs w:val="20"/>
          <w:lang w:val="es-ES_tradnl"/>
        </w:rPr>
        <w:t xml:space="preserve">.  El resultado neto de lo anterior queda reflejado en el aumento de los recursos destinados a los resultados previstos </w:t>
      </w:r>
      <w:r w:rsidRPr="00EB43D0">
        <w:rPr>
          <w:rFonts w:ascii="Arial" w:hAnsi="Arial" w:cs="Arial"/>
          <w:sz w:val="20"/>
          <w:szCs w:val="20"/>
          <w:lang w:val="es-ES_tradnl"/>
        </w:rPr>
        <w:t xml:space="preserve">IV.2 </w:t>
      </w:r>
      <w:proofErr w:type="gramStart"/>
      <w:r w:rsidRPr="00EB43D0">
        <w:rPr>
          <w:rFonts w:ascii="Arial" w:hAnsi="Arial" w:cs="Arial"/>
          <w:sz w:val="20"/>
          <w:szCs w:val="20"/>
          <w:lang w:val="es-ES_tradnl"/>
        </w:rPr>
        <w:t>y</w:t>
      </w:r>
      <w:proofErr w:type="gramEnd"/>
      <w:r w:rsidRPr="00EB43D0">
        <w:rPr>
          <w:rFonts w:ascii="Arial" w:hAnsi="Arial" w:cs="Arial"/>
          <w:sz w:val="20"/>
          <w:szCs w:val="20"/>
          <w:lang w:val="es-ES_tradnl"/>
        </w:rPr>
        <w:t xml:space="preserve"> IV.3.</w:t>
      </w:r>
    </w:p>
    <w:p w:rsidR="00A22ABF" w:rsidRPr="008B4DB8" w:rsidRDefault="00A22ABF" w:rsidP="00A22ABF">
      <w:pPr>
        <w:pStyle w:val="ListParagraph"/>
        <w:tabs>
          <w:tab w:val="left" w:pos="709"/>
        </w:tabs>
        <w:autoSpaceDE w:val="0"/>
        <w:autoSpaceDN w:val="0"/>
        <w:adjustRightInd w:val="0"/>
        <w:ind w:left="0"/>
        <w:rPr>
          <w:rFonts w:ascii="Arial" w:hAnsi="Arial" w:cs="Arial"/>
          <w:sz w:val="20"/>
          <w:lang w:val="es-ES"/>
        </w:rPr>
      </w:pPr>
    </w:p>
    <w:p w:rsidR="00A22ABF" w:rsidRPr="008B4DB8" w:rsidRDefault="00A22ABF" w:rsidP="00A22ABF">
      <w:pPr>
        <w:tabs>
          <w:tab w:val="left" w:pos="567"/>
          <w:tab w:val="left" w:pos="1985"/>
        </w:tabs>
        <w:jc w:val="center"/>
        <w:rPr>
          <w:bCs/>
        </w:rPr>
      </w:pPr>
    </w:p>
    <w:p w:rsidR="00810964" w:rsidRPr="008B4DB8" w:rsidRDefault="00810964" w:rsidP="00810964">
      <w:pPr>
        <w:tabs>
          <w:tab w:val="left" w:pos="567"/>
          <w:tab w:val="left" w:pos="1985"/>
        </w:tabs>
        <w:jc w:val="center"/>
        <w:rPr>
          <w:bCs/>
          <w:sz w:val="20"/>
          <w:lang w:val="es-ES_tradnl"/>
        </w:rPr>
      </w:pPr>
      <w:r w:rsidRPr="008B4DB8">
        <w:rPr>
          <w:b/>
          <w:bCs/>
          <w:sz w:val="20"/>
          <w:lang w:val="es-ES_tradnl"/>
        </w:rPr>
        <w:t>Programa 13</w:t>
      </w:r>
      <w:proofErr w:type="gramStart"/>
      <w:r w:rsidRPr="008B4DB8">
        <w:rPr>
          <w:b/>
          <w:bCs/>
          <w:sz w:val="20"/>
          <w:lang w:val="es-ES_tradnl"/>
        </w:rPr>
        <w:t>:  Recursos</w:t>
      </w:r>
      <w:proofErr w:type="gramEnd"/>
      <w:r w:rsidRPr="008B4DB8">
        <w:rPr>
          <w:b/>
          <w:bCs/>
          <w:sz w:val="20"/>
          <w:lang w:val="es-ES_tradnl"/>
        </w:rPr>
        <w:t xml:space="preserve"> por resultado</w:t>
      </w:r>
    </w:p>
    <w:p w:rsidR="00A22ABF" w:rsidRPr="008B4DB8" w:rsidRDefault="00810964" w:rsidP="00810964">
      <w:pPr>
        <w:tabs>
          <w:tab w:val="left" w:pos="567"/>
          <w:tab w:val="left" w:pos="1985"/>
        </w:tabs>
        <w:jc w:val="center"/>
        <w:rPr>
          <w:i/>
          <w:sz w:val="20"/>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p>
    <w:p w:rsidR="00A22ABF" w:rsidRPr="008B4DB8" w:rsidRDefault="00A22ABF" w:rsidP="00A22ABF">
      <w:pPr>
        <w:tabs>
          <w:tab w:val="left" w:pos="567"/>
          <w:tab w:val="left" w:pos="1985"/>
        </w:tabs>
        <w:jc w:val="center"/>
        <w:rPr>
          <w:i/>
          <w:sz w:val="20"/>
          <w:szCs w:val="24"/>
          <w:highlight w:val="lightGray"/>
          <w:lang w:val="es-ES_tradnl"/>
        </w:rPr>
      </w:pPr>
    </w:p>
    <w:p w:rsidR="00A22ABF" w:rsidRPr="00A22ABF" w:rsidRDefault="007E09B2" w:rsidP="00A22ABF">
      <w:pPr>
        <w:tabs>
          <w:tab w:val="left" w:pos="567"/>
          <w:tab w:val="left" w:pos="1985"/>
        </w:tabs>
        <w:jc w:val="center"/>
        <w:rPr>
          <w:i/>
          <w:sz w:val="20"/>
          <w:szCs w:val="24"/>
          <w:highlight w:val="lightGray"/>
        </w:rPr>
      </w:pPr>
      <w:r w:rsidRPr="007E09B2">
        <w:rPr>
          <w:noProof/>
          <w:lang w:val="en-US" w:eastAsia="en-US"/>
        </w:rPr>
        <w:drawing>
          <wp:inline distT="0" distB="0" distL="0" distR="0">
            <wp:extent cx="5676900" cy="1806575"/>
            <wp:effectExtent l="0" t="0" r="0"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676900" cy="1806575"/>
                    </a:xfrm>
                    <a:prstGeom prst="rect">
                      <a:avLst/>
                    </a:prstGeom>
                    <a:noFill/>
                    <a:ln>
                      <a:noFill/>
                    </a:ln>
                  </pic:spPr>
                </pic:pic>
              </a:graphicData>
            </a:graphic>
          </wp:inline>
        </w:drawing>
      </w:r>
    </w:p>
    <w:p w:rsidR="00A22ABF" w:rsidRPr="00A22ABF" w:rsidRDefault="00A22ABF" w:rsidP="00A22ABF">
      <w:pPr>
        <w:tabs>
          <w:tab w:val="left" w:pos="567"/>
          <w:tab w:val="left" w:pos="1985"/>
        </w:tabs>
        <w:jc w:val="center"/>
        <w:rPr>
          <w:i/>
          <w:sz w:val="20"/>
          <w:szCs w:val="24"/>
          <w:highlight w:val="lightGray"/>
        </w:rPr>
      </w:pPr>
    </w:p>
    <w:p w:rsidR="00A22ABF" w:rsidRPr="00A22ABF" w:rsidRDefault="00A22ABF" w:rsidP="00A22ABF">
      <w:pPr>
        <w:tabs>
          <w:tab w:val="left" w:pos="567"/>
          <w:tab w:val="left" w:pos="1985"/>
        </w:tabs>
        <w:jc w:val="center"/>
        <w:rPr>
          <w:i/>
          <w:sz w:val="20"/>
          <w:szCs w:val="24"/>
          <w:highlight w:val="lightGray"/>
        </w:rPr>
      </w:pPr>
    </w:p>
    <w:p w:rsidR="00810964" w:rsidRPr="008B4DB8" w:rsidRDefault="00810964" w:rsidP="00810964">
      <w:pPr>
        <w:keepNext/>
        <w:keepLines/>
        <w:tabs>
          <w:tab w:val="left" w:pos="1427"/>
        </w:tabs>
        <w:jc w:val="center"/>
        <w:rPr>
          <w:sz w:val="20"/>
          <w:lang w:val="es-ES_tradnl"/>
        </w:rPr>
      </w:pPr>
      <w:r w:rsidRPr="008B4DB8">
        <w:rPr>
          <w:b/>
          <w:sz w:val="20"/>
          <w:lang w:val="es-ES_tradnl"/>
        </w:rPr>
        <w:lastRenderedPageBreak/>
        <w:t>Programa 13</w:t>
      </w:r>
      <w:proofErr w:type="gramStart"/>
      <w:r w:rsidRPr="008B4DB8">
        <w:rPr>
          <w:b/>
          <w:sz w:val="20"/>
          <w:lang w:val="es-ES_tradnl"/>
        </w:rPr>
        <w:t>:  Recursos</w:t>
      </w:r>
      <w:proofErr w:type="gramEnd"/>
      <w:r w:rsidRPr="008B4DB8">
        <w:rPr>
          <w:b/>
          <w:sz w:val="20"/>
          <w:lang w:val="es-ES_tradnl"/>
        </w:rPr>
        <w:t xml:space="preserve"> por objeto de gasto</w:t>
      </w:r>
    </w:p>
    <w:p w:rsidR="00A22ABF" w:rsidRPr="008B4DB8" w:rsidRDefault="00810964" w:rsidP="00810964">
      <w:pPr>
        <w:keepNext/>
        <w:keepLines/>
        <w:tabs>
          <w:tab w:val="left" w:pos="1427"/>
        </w:tabs>
        <w:jc w:val="center"/>
        <w:rPr>
          <w:i/>
          <w:sz w:val="20"/>
          <w:szCs w:val="24"/>
          <w:highlight w:val="lightGray"/>
          <w:lang w:val="es-ES_tradnl"/>
        </w:rPr>
      </w:pPr>
      <w:r w:rsidRPr="008B4DB8">
        <w:rPr>
          <w:i/>
          <w:sz w:val="20"/>
          <w:lang w:val="es-ES_tradnl"/>
        </w:rPr>
        <w:t>(</w:t>
      </w:r>
      <w:proofErr w:type="gramStart"/>
      <w:r w:rsidRPr="008B4DB8">
        <w:rPr>
          <w:i/>
          <w:sz w:val="20"/>
          <w:lang w:val="es-ES_tradnl"/>
        </w:rPr>
        <w:t>en</w:t>
      </w:r>
      <w:proofErr w:type="gramEnd"/>
      <w:r w:rsidRPr="008B4DB8">
        <w:rPr>
          <w:i/>
          <w:sz w:val="20"/>
          <w:lang w:val="es-ES_tradnl"/>
        </w:rPr>
        <w:t xml:space="preserve"> miles de francos suizos)</w:t>
      </w:r>
    </w:p>
    <w:p w:rsidR="00A22ABF" w:rsidRPr="008B4DB8" w:rsidRDefault="00A22ABF" w:rsidP="00A22ABF">
      <w:pPr>
        <w:keepNext/>
        <w:keepLines/>
        <w:tabs>
          <w:tab w:val="left" w:pos="1427"/>
        </w:tabs>
        <w:jc w:val="center"/>
        <w:rPr>
          <w:highlight w:val="lightGray"/>
          <w:lang w:val="es-ES_tradnl"/>
        </w:rPr>
      </w:pPr>
    </w:p>
    <w:p w:rsidR="00A22ABF" w:rsidRPr="009B4A78" w:rsidRDefault="00835617" w:rsidP="00A22ABF">
      <w:pPr>
        <w:keepNext/>
        <w:keepLines/>
        <w:autoSpaceDE w:val="0"/>
        <w:autoSpaceDN w:val="0"/>
        <w:ind w:left="-142" w:firstLine="142"/>
        <w:jc w:val="center"/>
        <w:rPr>
          <w:i/>
          <w:sz w:val="20"/>
          <w:szCs w:val="24"/>
        </w:rPr>
      </w:pPr>
      <w:r>
        <w:rPr>
          <w:noProof/>
          <w:lang w:val="en-US" w:eastAsia="en-US"/>
        </w:rPr>
        <w:drawing>
          <wp:inline distT="0" distB="0" distL="0" distR="0" wp14:anchorId="51CFCA8F" wp14:editId="2B9AA585">
            <wp:extent cx="5940425" cy="6147324"/>
            <wp:effectExtent l="0" t="0" r="3175" b="635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40425" cy="6147324"/>
                    </a:xfrm>
                    <a:prstGeom prst="rect">
                      <a:avLst/>
                    </a:prstGeom>
                    <a:noFill/>
                    <a:ln>
                      <a:noFill/>
                    </a:ln>
                  </pic:spPr>
                </pic:pic>
              </a:graphicData>
            </a:graphic>
          </wp:inline>
        </w:drawing>
      </w:r>
      <w:r w:rsidR="00A22ABF" w:rsidRPr="009B4A78">
        <w:rPr>
          <w:i/>
          <w:sz w:val="20"/>
          <w:szCs w:val="24"/>
        </w:rPr>
        <w:t xml:space="preserve"> </w:t>
      </w:r>
    </w:p>
    <w:p w:rsidR="00A22ABF" w:rsidRPr="009B4A78" w:rsidRDefault="00A22ABF" w:rsidP="00A22ABF">
      <w:pPr>
        <w:keepNext/>
        <w:keepLines/>
        <w:autoSpaceDE w:val="0"/>
        <w:autoSpaceDN w:val="0"/>
        <w:ind w:left="-142" w:hanging="284"/>
        <w:jc w:val="center"/>
        <w:rPr>
          <w:i/>
          <w:sz w:val="20"/>
          <w:szCs w:val="24"/>
        </w:rPr>
      </w:pPr>
    </w:p>
    <w:p w:rsidR="00A22ABF" w:rsidRPr="009B4A78" w:rsidRDefault="00A22ABF" w:rsidP="00A22ABF">
      <w:pPr>
        <w:tabs>
          <w:tab w:val="left" w:pos="567"/>
          <w:tab w:val="left" w:pos="1985"/>
        </w:tabs>
        <w:jc w:val="both"/>
        <w:rPr>
          <w:bCs/>
          <w:sz w:val="20"/>
        </w:rPr>
      </w:pPr>
    </w:p>
    <w:p w:rsidR="007E7189" w:rsidRPr="0074473B" w:rsidRDefault="007E7189">
      <w:pPr>
        <w:rPr>
          <w:rFonts w:eastAsiaTheme="minorEastAsia"/>
          <w:sz w:val="20"/>
          <w:lang w:val="es-ES_tradnl" w:eastAsia="ja-JP"/>
        </w:rPr>
      </w:pPr>
      <w:r>
        <w:rPr>
          <w:sz w:val="20"/>
        </w:rPr>
        <w:br w:type="page"/>
      </w:r>
    </w:p>
    <w:p w:rsidR="007E7189" w:rsidRPr="00F4741E" w:rsidRDefault="007E7189" w:rsidP="00A714D4">
      <w:pPr>
        <w:pStyle w:val="StyleStyleHeading3ComplexItalicLatin12pt"/>
        <w:ind w:left="1985" w:hanging="1985"/>
        <w:rPr>
          <w:lang w:val="es-ES"/>
        </w:rPr>
      </w:pPr>
      <w:bookmarkStart w:id="51" w:name="_Toc420681149"/>
      <w:r w:rsidRPr="00F4741E">
        <w:rPr>
          <w:lang w:val="es-ES"/>
        </w:rPr>
        <w:lastRenderedPageBreak/>
        <w:t>PROGRAMA 14</w:t>
      </w:r>
      <w:r w:rsidR="005460FA" w:rsidRPr="00F4741E">
        <w:rPr>
          <w:lang w:val="es-ES"/>
        </w:rPr>
        <w:tab/>
      </w:r>
      <w:r w:rsidRPr="00F4741E">
        <w:rPr>
          <w:lang w:val="es-ES"/>
        </w:rPr>
        <w:t>SERVICIOS DE ACCESO A LA INFORMACIÓN Y A LOS CONOCIMIENTOS</w:t>
      </w:r>
      <w:bookmarkEnd w:id="51"/>
    </w:p>
    <w:p w:rsidR="007E7189" w:rsidRPr="00457309" w:rsidRDefault="007E7189" w:rsidP="007E7189">
      <w:pPr>
        <w:rPr>
          <w:rFonts w:eastAsia="Times New Roman"/>
          <w:sz w:val="20"/>
          <w:lang w:val="es-ES_tradnl"/>
        </w:rPr>
      </w:pPr>
    </w:p>
    <w:p w:rsidR="007E7189" w:rsidRPr="00457309" w:rsidRDefault="007E7189" w:rsidP="007E7189">
      <w:pPr>
        <w:rPr>
          <w:rFonts w:eastAsia="Times New Roman"/>
          <w:sz w:val="20"/>
          <w:lang w:val="es-ES_tradnl"/>
        </w:rPr>
      </w:pPr>
    </w:p>
    <w:p w:rsidR="007E7189" w:rsidRPr="00457309" w:rsidRDefault="007E7189" w:rsidP="007E7189">
      <w:pPr>
        <w:ind w:left="1985" w:hanging="1985"/>
        <w:jc w:val="both"/>
        <w:rPr>
          <w:rFonts w:eastAsia="Times New Roman"/>
          <w:lang w:val="es-ES_tradnl"/>
        </w:rPr>
      </w:pPr>
      <w:r w:rsidRPr="00457309">
        <w:rPr>
          <w:rFonts w:eastAsia="Times New Roman"/>
          <w:lang w:val="es-ES_tradnl"/>
        </w:rPr>
        <w:t>CONTEXTO DE PLANIFICACIÓN</w:t>
      </w:r>
    </w:p>
    <w:p w:rsidR="007E7189" w:rsidRPr="00457309" w:rsidRDefault="007E7189" w:rsidP="007E7189">
      <w:pPr>
        <w:rPr>
          <w:rFonts w:eastAsia="Times New Roman" w:cs="Times New Roman"/>
          <w:sz w:val="20"/>
          <w:lang w:val="es-ES_tradnl"/>
        </w:rPr>
      </w:pPr>
    </w:p>
    <w:p w:rsidR="007E7189" w:rsidRPr="0045730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Se ha reconocido que el acceso a la información tecnológica contenida en las patentes y las publicaciones científicas y técnicas es un elemento esencial para reducir la brecha de los conocimientos.  Si bien se han registrado avances en la facilitación del acceso a dicha información, ha surgido una nueva necesidad de fortalecer la capacidad de los países en desarrollo y los países menos adelantados para usar y analizar esta información.</w:t>
      </w:r>
    </w:p>
    <w:p w:rsidR="007E7189" w:rsidRPr="00457309" w:rsidRDefault="007E7189" w:rsidP="007E7189">
      <w:pPr>
        <w:jc w:val="both"/>
        <w:rPr>
          <w:rFonts w:eastAsia="Times New Roman"/>
          <w:bCs/>
          <w:sz w:val="20"/>
          <w:lang w:val="es-ES_tradnl"/>
        </w:rPr>
      </w:pPr>
    </w:p>
    <w:p w:rsidR="007E7189" w:rsidRPr="00457309" w:rsidRDefault="007E7189" w:rsidP="007E7189">
      <w:pPr>
        <w:pStyle w:val="ListParagraph"/>
        <w:numPr>
          <w:ilvl w:val="0"/>
          <w:numId w:val="32"/>
        </w:numPr>
        <w:tabs>
          <w:tab w:val="clear" w:pos="825"/>
          <w:tab w:val="num" w:pos="683"/>
        </w:tabs>
        <w:ind w:left="0"/>
        <w:jc w:val="both"/>
        <w:rPr>
          <w:rFonts w:ascii="Arial" w:eastAsia="MS Mincho" w:hAnsi="Arial" w:cs="Arial"/>
          <w:sz w:val="20"/>
          <w:szCs w:val="20"/>
          <w:lang w:val="es-ES_tradnl" w:bidi="th-TH"/>
        </w:rPr>
      </w:pPr>
      <w:r w:rsidRPr="00457309">
        <w:rPr>
          <w:rFonts w:ascii="Arial" w:eastAsia="MS Mincho" w:hAnsi="Arial" w:cs="Arial"/>
          <w:sz w:val="20"/>
          <w:szCs w:val="20"/>
          <w:lang w:val="es-ES_tradnl" w:bidi="th-TH"/>
        </w:rPr>
        <w:t>La labor del programa guarda relación con las recomendaciones de la A.D. destinadas a mejorar el acceso a la información sobre tecnología y su utilización, así como el fortalecimiento de las instituciones de P.I., a saber, las recomendaciones 1, 8, 10, 11, 19, 30 y 31.  Además, mediante el programa se establecerá una coordinación estrecha con los Estados miembros, las OIG y las ONG en aras del desarrollo de plataformas, herramientas e infraestructuras de la P.I. compatibles.</w:t>
      </w:r>
    </w:p>
    <w:p w:rsidR="007E7189" w:rsidRPr="00457309" w:rsidRDefault="007E7189" w:rsidP="007E7189">
      <w:pPr>
        <w:pStyle w:val="ListParagraph"/>
        <w:ind w:left="0"/>
        <w:rPr>
          <w:rFonts w:ascii="Arial" w:eastAsia="MS Mincho" w:hAnsi="Arial" w:cs="Arial"/>
          <w:sz w:val="20"/>
          <w:szCs w:val="20"/>
          <w:lang w:val="es-ES_tradnl" w:bidi="th-TH"/>
        </w:rPr>
      </w:pPr>
    </w:p>
    <w:p w:rsidR="007E7189" w:rsidRPr="00457309" w:rsidRDefault="007E7189" w:rsidP="007E7189">
      <w:pPr>
        <w:tabs>
          <w:tab w:val="num" w:pos="709"/>
        </w:tabs>
        <w:jc w:val="both"/>
        <w:rPr>
          <w:rFonts w:eastAsia="Times New Roman"/>
          <w:sz w:val="20"/>
          <w:lang w:val="es-ES_tradnl"/>
        </w:rPr>
      </w:pPr>
    </w:p>
    <w:p w:rsidR="007E7189" w:rsidRPr="00457309" w:rsidRDefault="007E7189" w:rsidP="007E7189">
      <w:pPr>
        <w:tabs>
          <w:tab w:val="num" w:pos="709"/>
        </w:tabs>
        <w:jc w:val="both"/>
        <w:rPr>
          <w:rFonts w:eastAsia="Times New Roman"/>
          <w:bCs/>
          <w:lang w:val="es-ES_tradnl"/>
        </w:rPr>
      </w:pPr>
      <w:r w:rsidRPr="00457309">
        <w:rPr>
          <w:rFonts w:eastAsia="Times New Roman"/>
          <w:bCs/>
          <w:lang w:val="es-ES_tradnl"/>
        </w:rPr>
        <w:t>ESTRATEGIAS DE EJECUCIÓN</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El programa sigue facilitando el acceso de los países menos adelantados a las herramientas de búsqueda y las bases de datos de patentes y de otro tipo disponibles en el comercio, y asistiendo a los Estados miembros en el establecimiento de puntos institucionales de acceso a servicios de información sobre tecnología de alta calidad.  El programa centrará sus esfuerzos en respaldar las actividades de los Centros de Apoyo a la Tecnología y la Innovación (CATI), y mejorar su capacidad para analizar la información a fin de fomentar la innovación autóctona local.</w:t>
      </w:r>
    </w:p>
    <w:p w:rsidR="007E7189" w:rsidRPr="00457309" w:rsidRDefault="007E7189" w:rsidP="007E7189">
      <w:pPr>
        <w:tabs>
          <w:tab w:val="num" w:pos="709"/>
        </w:tabs>
        <w:jc w:val="both"/>
        <w:rPr>
          <w:rFonts w:eastAsia="Times New Roman"/>
          <w:bCs/>
          <w:u w:val="single"/>
          <w:lang w:val="es-ES_tradnl"/>
        </w:rPr>
      </w:pPr>
    </w:p>
    <w:p w:rsidR="007E7189" w:rsidRPr="00457309" w:rsidRDefault="007E7189" w:rsidP="007E7189">
      <w:pPr>
        <w:tabs>
          <w:tab w:val="num" w:pos="709"/>
        </w:tabs>
        <w:jc w:val="both"/>
        <w:rPr>
          <w:rFonts w:eastAsia="Times New Roman"/>
          <w:bCs/>
          <w:u w:val="single"/>
          <w:lang w:val="es-ES_tradnl"/>
        </w:rPr>
      </w:pPr>
      <w:r w:rsidRPr="00457309">
        <w:rPr>
          <w:rFonts w:eastAsia="Times New Roman"/>
          <w:bCs/>
          <w:u w:val="single"/>
          <w:lang w:val="es-ES_tradnl"/>
        </w:rPr>
        <w:t>Suministrar acceso a las bases</w:t>
      </w:r>
      <w:r w:rsidR="00A47448">
        <w:rPr>
          <w:rFonts w:eastAsia="Times New Roman"/>
          <w:bCs/>
          <w:u w:val="single"/>
          <w:lang w:val="es-ES_tradnl"/>
        </w:rPr>
        <w:t xml:space="preserve"> comerciales</w:t>
      </w:r>
      <w:r w:rsidRPr="00457309">
        <w:rPr>
          <w:rFonts w:eastAsia="Times New Roman"/>
          <w:bCs/>
          <w:u w:val="single"/>
          <w:lang w:val="es-ES_tradnl"/>
        </w:rPr>
        <w:t xml:space="preserve"> de datos de información científica, técnica y d</w:t>
      </w:r>
      <w:r w:rsidR="00A47448">
        <w:rPr>
          <w:rFonts w:eastAsia="Times New Roman"/>
          <w:bCs/>
          <w:u w:val="single"/>
          <w:lang w:val="es-ES_tradnl"/>
        </w:rPr>
        <w:t>e patentes</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Seguirá suministrándose acceso, sin cargo o a bajo costo, a bases de datos con información científica y técnica a través de los programas de acceso a la información especializada sobre patentes (ASPI) y de acceso a la investigación para el desarrollo y la innovación (ARDI).  Ambos programas permiten que las oficinas de P.I. y las instituciones académicas y de investigación de más de 100 Estados miembros calificados puedan acceder, sin cargo o a bajo costo, a más de 20.000 revistas revisadas por expertos, libros, obras de referencia y herramientas de búsqueda y análisis de patentes.  ARDI continuará su integración en las actividades del programa Research4Life (R4L), en el que colaboran la OMS, la FAO y el PNUMA, sobre todo en lo que concierne a las funciones auxiliares de gestión técnica de los programas, como la comunicación, la mercadotecnia y la formación.</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tabs>
          <w:tab w:val="num" w:pos="709"/>
        </w:tabs>
        <w:jc w:val="both"/>
        <w:rPr>
          <w:rFonts w:eastAsia="Times New Roman"/>
          <w:bCs/>
          <w:u w:val="single"/>
          <w:lang w:val="es-ES_tradnl"/>
        </w:rPr>
      </w:pPr>
      <w:r w:rsidRPr="00457309">
        <w:rPr>
          <w:rFonts w:eastAsia="Times New Roman"/>
          <w:bCs/>
          <w:u w:val="single"/>
          <w:lang w:val="es-ES_tradnl"/>
        </w:rPr>
        <w:t>Desarrollo de redes de CATI eficaces y sostenibles</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 xml:space="preserve">Mientras que en los dos bienios anteriores el objetivo se centró en establecer los CATI, en 2016/17, los esfuerzos se concentrarán cada vez más en respaldar y fortalecer la eficacia y sostenibilidad de sus servicios.  Entre las actividades de apoyo se incluirán:  </w:t>
      </w:r>
      <w:r w:rsidR="00DA34AE">
        <w:rPr>
          <w:rFonts w:eastAsia="Times New Roman"/>
          <w:bCs/>
          <w:sz w:val="20"/>
          <w:lang w:val="es-ES_tradnl"/>
        </w:rPr>
        <w:t xml:space="preserve">puesta disposición de </w:t>
      </w:r>
      <w:r w:rsidRPr="00457309">
        <w:rPr>
          <w:rFonts w:eastAsia="Times New Roman"/>
          <w:bCs/>
          <w:sz w:val="20"/>
          <w:lang w:val="es-ES_tradnl"/>
        </w:rPr>
        <w:t xml:space="preserve">una mayor variedad de programas de formación de formadores </w:t>
      </w:r>
      <w:r w:rsidRPr="00457309">
        <w:rPr>
          <w:rFonts w:eastAsia="Times New Roman"/>
          <w:bCs/>
          <w:i/>
          <w:sz w:val="20"/>
          <w:lang w:val="es-ES_tradnl"/>
        </w:rPr>
        <w:t>in situ</w:t>
      </w:r>
      <w:r w:rsidRPr="00457309">
        <w:rPr>
          <w:rFonts w:eastAsia="Times New Roman"/>
          <w:bCs/>
          <w:sz w:val="20"/>
          <w:lang w:val="es-ES_tradnl"/>
        </w:rPr>
        <w:t xml:space="preserve"> y en línea para miembros del personal de los CATI;  el perfeccionamiento de la guía electrónica interactiva sobre el uso y el aprovechamiento de la información sobre patentes;  el fomento de la creación de redes y el intercambio de conocimientos mediante la plataforma </w:t>
      </w:r>
      <w:proofErr w:type="spellStart"/>
      <w:r w:rsidRPr="00457309">
        <w:rPr>
          <w:rFonts w:eastAsia="Times New Roman"/>
          <w:bCs/>
          <w:sz w:val="20"/>
          <w:lang w:val="es-ES_tradnl"/>
        </w:rPr>
        <w:t>eTISC</w:t>
      </w:r>
      <w:proofErr w:type="spellEnd"/>
      <w:r w:rsidRPr="00457309">
        <w:rPr>
          <w:rFonts w:eastAsia="Times New Roman"/>
          <w:bCs/>
          <w:sz w:val="20"/>
          <w:lang w:val="es-ES_tradnl"/>
        </w:rPr>
        <w:t xml:space="preserve"> y la creación de redes y plataformas de los CATI;  la realización de evaluaciones continuas en materia de sostenibilidad;  y el intercambio de "</w:t>
      </w:r>
      <w:r w:rsidR="00DA34AE">
        <w:rPr>
          <w:rFonts w:eastAsia="Times New Roman"/>
          <w:bCs/>
          <w:sz w:val="20"/>
          <w:lang w:val="es-ES_tradnl"/>
        </w:rPr>
        <w:t>experiencias positivas</w:t>
      </w:r>
      <w:r w:rsidRPr="00457309">
        <w:rPr>
          <w:rFonts w:eastAsia="Times New Roman"/>
          <w:bCs/>
          <w:sz w:val="20"/>
          <w:lang w:val="es-ES_tradnl"/>
        </w:rPr>
        <w:t>" que hayan logrado resultados concretos a través de los servicios que prestan los CATI.</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tabs>
          <w:tab w:val="num" w:pos="709"/>
        </w:tabs>
        <w:jc w:val="both"/>
        <w:rPr>
          <w:rFonts w:eastAsia="Times New Roman"/>
          <w:bCs/>
          <w:u w:val="single"/>
          <w:lang w:val="es-ES_tradnl"/>
        </w:rPr>
      </w:pPr>
      <w:r w:rsidRPr="00457309">
        <w:rPr>
          <w:rFonts w:eastAsia="Times New Roman"/>
          <w:bCs/>
          <w:u w:val="single"/>
          <w:lang w:val="es-ES_tradnl"/>
        </w:rPr>
        <w:t>Perfeccionamiento de los servicios de valor añadido</w:t>
      </w:r>
    </w:p>
    <w:p w:rsidR="007E7189" w:rsidRPr="00457309" w:rsidRDefault="007E7189" w:rsidP="007E7189">
      <w:pPr>
        <w:tabs>
          <w:tab w:val="num" w:pos="709"/>
        </w:tabs>
        <w:jc w:val="both"/>
        <w:rPr>
          <w:rFonts w:eastAsia="Times New Roman"/>
          <w:bCs/>
          <w:lang w:val="es-ES_tradnl"/>
        </w:rPr>
      </w:pPr>
    </w:p>
    <w:p w:rsidR="007E7189" w:rsidRPr="0045730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Se seguirán perfeccionando los servicios de los CATI, tomando en cuenta las demandas de los usuarios que piden una gama más amplia de servicios de valor añadido, como el análisis de la información contenida en patentes.  El apoyo permitirá que los CATI proporcionen a los usuarios servicios de valor añadido, como</w:t>
      </w:r>
      <w:proofErr w:type="gramStart"/>
      <w:r w:rsidRPr="00457309">
        <w:rPr>
          <w:rFonts w:eastAsia="Times New Roman"/>
          <w:bCs/>
          <w:sz w:val="20"/>
          <w:lang w:val="es-ES_tradnl"/>
        </w:rPr>
        <w:t>:  búsquedas</w:t>
      </w:r>
      <w:proofErr w:type="gramEnd"/>
      <w:r w:rsidRPr="00457309">
        <w:rPr>
          <w:rFonts w:eastAsia="Times New Roman"/>
          <w:bCs/>
          <w:sz w:val="20"/>
          <w:lang w:val="es-ES_tradnl"/>
        </w:rPr>
        <w:t xml:space="preserve"> del estado de la técnica realizadas hasta la fecha por los servicios de la OMPI de información sobre patentes;  e informes sobre la actividad de </w:t>
      </w:r>
      <w:proofErr w:type="spellStart"/>
      <w:r w:rsidRPr="00457309">
        <w:rPr>
          <w:rFonts w:eastAsia="Times New Roman"/>
          <w:bCs/>
          <w:sz w:val="20"/>
          <w:lang w:val="es-ES_tradnl"/>
        </w:rPr>
        <w:t>patentamiento</w:t>
      </w:r>
      <w:proofErr w:type="spellEnd"/>
      <w:r w:rsidRPr="00457309">
        <w:rPr>
          <w:rFonts w:eastAsia="Times New Roman"/>
          <w:bCs/>
          <w:sz w:val="20"/>
          <w:lang w:val="es-ES_tradnl"/>
        </w:rPr>
        <w:t xml:space="preserve"> mediante el uso de las directrices de la OMPI para el análisis de la información contenida en patentes </w:t>
      </w:r>
      <w:r w:rsidRPr="00457309">
        <w:rPr>
          <w:rFonts w:eastAsia="Times New Roman"/>
          <w:bCs/>
          <w:sz w:val="20"/>
          <w:lang w:val="es-ES_tradnl"/>
        </w:rPr>
        <w:lastRenderedPageBreak/>
        <w:t>(“</w:t>
      </w:r>
      <w:proofErr w:type="spellStart"/>
      <w:r w:rsidRPr="00457309">
        <w:rPr>
          <w:rFonts w:eastAsia="Times New Roman"/>
          <w:bCs/>
          <w:sz w:val="20"/>
          <w:lang w:val="es-ES_tradnl"/>
        </w:rPr>
        <w:t>Guidelines</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for</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Preparing</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Patent</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Landscape</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Reports</w:t>
      </w:r>
      <w:proofErr w:type="spellEnd"/>
      <w:r w:rsidRPr="00457309">
        <w:rPr>
          <w:rFonts w:eastAsia="Times New Roman"/>
          <w:bCs/>
          <w:sz w:val="20"/>
          <w:lang w:val="es-ES_tradnl"/>
        </w:rPr>
        <w:t xml:space="preserve">” y “Manual </w:t>
      </w:r>
      <w:proofErr w:type="spellStart"/>
      <w:r w:rsidRPr="00457309">
        <w:rPr>
          <w:rFonts w:eastAsia="Times New Roman"/>
          <w:bCs/>
          <w:sz w:val="20"/>
          <w:lang w:val="es-ES_tradnl"/>
        </w:rPr>
        <w:t>on</w:t>
      </w:r>
      <w:proofErr w:type="spellEnd"/>
      <w:r w:rsidRPr="00457309">
        <w:rPr>
          <w:rFonts w:eastAsia="Times New Roman"/>
          <w:bCs/>
          <w:sz w:val="20"/>
          <w:lang w:val="es-ES_tradnl"/>
        </w:rPr>
        <w:t xml:space="preserve"> Open </w:t>
      </w:r>
      <w:proofErr w:type="spellStart"/>
      <w:r w:rsidRPr="00457309">
        <w:rPr>
          <w:rFonts w:eastAsia="Times New Roman"/>
          <w:bCs/>
          <w:sz w:val="20"/>
          <w:lang w:val="es-ES_tradnl"/>
        </w:rPr>
        <w:t>Source</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Patent</w:t>
      </w:r>
      <w:proofErr w:type="spellEnd"/>
      <w:r w:rsidRPr="00457309">
        <w:rPr>
          <w:rFonts w:eastAsia="Times New Roman"/>
          <w:bCs/>
          <w:sz w:val="20"/>
          <w:lang w:val="es-ES_tradnl"/>
        </w:rPr>
        <w:t xml:space="preserve"> </w:t>
      </w:r>
      <w:proofErr w:type="spellStart"/>
      <w:r w:rsidRPr="00457309">
        <w:rPr>
          <w:rFonts w:eastAsia="Times New Roman"/>
          <w:bCs/>
          <w:sz w:val="20"/>
          <w:lang w:val="es-ES_tradnl"/>
        </w:rPr>
        <w:t>Analytics</w:t>
      </w:r>
      <w:proofErr w:type="spellEnd"/>
      <w:r w:rsidRPr="00457309">
        <w:rPr>
          <w:rFonts w:eastAsia="Times New Roman"/>
          <w:bCs/>
          <w:sz w:val="20"/>
          <w:lang w:val="es-ES_tradnl"/>
        </w:rPr>
        <w:t xml:space="preserve"> Tools”).  Para satisfacer la demanda de asesoramiento en gestión y comercialización de activos de P.I., en el marco de los servicios de los CATI también se pondrán en marcha dos proyectos:  el portal de la OMPI que da acceso a bases de datos nacionales con información sobre la situación jurídica de las patentes;  y el "Centro de asesoramiento de los CATI" a través del cual los inventores locales que cumplan las condiciones correspondientes podrán presentar una invención para que los CATI realicen una búsqueda del estado de la técnica y recibir asesoramiento de un abogado voluntario sobre la mejor manera de aprovechar la invención.  Como parte de ese servicio, se puede prever la eventual presentación de una solicitud de patente y otros aspectos comerciales conexos.</w:t>
      </w:r>
    </w:p>
    <w:p w:rsidR="007E7189" w:rsidRPr="00457309" w:rsidRDefault="007E7189" w:rsidP="007E7189">
      <w:pPr>
        <w:jc w:val="both"/>
        <w:rPr>
          <w:rFonts w:eastAsia="Times New Roman"/>
          <w:bCs/>
          <w:sz w:val="20"/>
          <w:lang w:val="es-ES_tradnl"/>
        </w:rPr>
      </w:pPr>
    </w:p>
    <w:p w:rsidR="007E7189" w:rsidRDefault="007E7189" w:rsidP="007E7189">
      <w:pPr>
        <w:numPr>
          <w:ilvl w:val="0"/>
          <w:numId w:val="32"/>
        </w:numPr>
        <w:tabs>
          <w:tab w:val="clear" w:pos="825"/>
        </w:tabs>
        <w:ind w:left="0"/>
        <w:jc w:val="both"/>
        <w:rPr>
          <w:rFonts w:eastAsia="Times New Roman"/>
          <w:bCs/>
          <w:sz w:val="20"/>
          <w:lang w:val="es-ES_tradnl"/>
        </w:rPr>
      </w:pPr>
      <w:r w:rsidRPr="00457309">
        <w:rPr>
          <w:rFonts w:eastAsia="Times New Roman"/>
          <w:bCs/>
          <w:sz w:val="20"/>
          <w:lang w:val="es-ES_tradnl"/>
        </w:rPr>
        <w:t>En coordinación con los programas 13 (Bases</w:t>
      </w:r>
      <w:r w:rsidR="00DA34AE">
        <w:rPr>
          <w:rFonts w:eastAsia="Times New Roman"/>
          <w:bCs/>
          <w:sz w:val="20"/>
          <w:lang w:val="es-ES_tradnl"/>
        </w:rPr>
        <w:t xml:space="preserve"> mundiales</w:t>
      </w:r>
      <w:r w:rsidRPr="00457309">
        <w:rPr>
          <w:rFonts w:eastAsia="Times New Roman"/>
          <w:bCs/>
          <w:sz w:val="20"/>
          <w:lang w:val="es-ES_tradnl"/>
        </w:rPr>
        <w:t xml:space="preserve"> de datos) y 15 (Soluciones operativas para las oficinas de P.I.), el programa continuará prestando asistencia a los países en desarrollo en la creación de información sobre la situación jurídica de patentes en formato digital y legible por máquina, y en texto completo, a través de programas como LATIPAT (una base de datos para países de América Latina) y ARABPAT (una base de datos regional para ciertos países árabes).</w:t>
      </w:r>
    </w:p>
    <w:p w:rsidR="007E7189" w:rsidRDefault="007E7189" w:rsidP="007E7189">
      <w:pPr>
        <w:jc w:val="both"/>
        <w:rPr>
          <w:rFonts w:eastAsia="Times New Roman"/>
          <w:bCs/>
          <w:sz w:val="20"/>
          <w:lang w:val="es-ES_tradnl"/>
        </w:rPr>
      </w:pPr>
    </w:p>
    <w:p w:rsidR="007E7189" w:rsidRPr="00DA34AE" w:rsidRDefault="00DA34AE" w:rsidP="007E7189">
      <w:pPr>
        <w:numPr>
          <w:ilvl w:val="0"/>
          <w:numId w:val="32"/>
        </w:numPr>
        <w:tabs>
          <w:tab w:val="clear" w:pos="825"/>
        </w:tabs>
        <w:ind w:left="0"/>
        <w:jc w:val="both"/>
        <w:rPr>
          <w:rFonts w:eastAsia="Times New Roman"/>
          <w:bCs/>
          <w:sz w:val="20"/>
        </w:rPr>
      </w:pPr>
      <w:r>
        <w:rPr>
          <w:rFonts w:eastAsia="Times New Roman"/>
          <w:bCs/>
          <w:sz w:val="20"/>
        </w:rPr>
        <w:t>El p</w:t>
      </w:r>
      <w:r w:rsidR="007E7189" w:rsidRPr="00DA34AE">
        <w:rPr>
          <w:rFonts w:eastAsia="Times New Roman"/>
          <w:bCs/>
          <w:sz w:val="20"/>
        </w:rPr>
        <w:t>rogram</w:t>
      </w:r>
      <w:r>
        <w:rPr>
          <w:rFonts w:eastAsia="Times New Roman"/>
          <w:bCs/>
          <w:sz w:val="20"/>
        </w:rPr>
        <w:t>a</w:t>
      </w:r>
      <w:r w:rsidR="007E7189" w:rsidRPr="00DA34AE">
        <w:rPr>
          <w:rFonts w:eastAsia="Times New Roman"/>
          <w:bCs/>
          <w:sz w:val="20"/>
        </w:rPr>
        <w:t xml:space="preserve"> 14 colabora</w:t>
      </w:r>
      <w:r>
        <w:rPr>
          <w:rFonts w:eastAsia="Times New Roman"/>
          <w:bCs/>
          <w:sz w:val="20"/>
        </w:rPr>
        <w:t xml:space="preserve"> principalmente con los programas siguientes</w:t>
      </w:r>
      <w:r w:rsidR="007E7189" w:rsidRPr="00DA34AE">
        <w:rPr>
          <w:rFonts w:eastAsia="Times New Roman"/>
          <w:bCs/>
          <w:sz w:val="20"/>
        </w:rPr>
        <w:t>:</w:t>
      </w:r>
    </w:p>
    <w:p w:rsidR="007E7189" w:rsidRPr="006A3CA4" w:rsidRDefault="007E7189" w:rsidP="007E7189">
      <w:pPr>
        <w:ind w:left="142"/>
        <w:jc w:val="both"/>
        <w:rPr>
          <w:rFonts w:eastAsia="Times New Roman"/>
          <w:bCs/>
          <w:sz w:val="20"/>
          <w:lang w:val="es-ES_tradnl"/>
        </w:rPr>
      </w:pPr>
    </w:p>
    <w:p w:rsidR="007E7189" w:rsidRPr="006A3CA4" w:rsidRDefault="007E7189" w:rsidP="007E7189">
      <w:pPr>
        <w:ind w:left="142"/>
        <w:jc w:val="both"/>
        <w:rPr>
          <w:rFonts w:eastAsia="Times New Roman"/>
          <w:bCs/>
          <w:sz w:val="20"/>
          <w:lang w:val="es-ES_tradnl"/>
        </w:rPr>
      </w:pPr>
    </w:p>
    <w:p w:rsidR="007E7189" w:rsidRPr="00457309" w:rsidRDefault="007E7189" w:rsidP="007E7189">
      <w:pPr>
        <w:ind w:left="142"/>
        <w:jc w:val="both"/>
        <w:rPr>
          <w:rFonts w:eastAsia="Times New Roman"/>
          <w:bCs/>
          <w:lang w:val="es-ES_tradnl"/>
        </w:rPr>
      </w:pPr>
      <w:r w:rsidRPr="00457309">
        <w:rPr>
          <w:rFonts w:eastAsia="Times New Roman"/>
          <w:noProof/>
          <w:lang w:val="en-US" w:eastAsia="en-US"/>
        </w:rPr>
        <w:drawing>
          <wp:inline distT="0" distB="0" distL="0" distR="0" wp14:anchorId="66CCA36D" wp14:editId="53A66AB5">
            <wp:extent cx="5943600" cy="1898650"/>
            <wp:effectExtent l="0" t="38100" r="57150" b="0"/>
            <wp:docPr id="986" name="Diagram 9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rsidR="007E7189" w:rsidRPr="00457309" w:rsidRDefault="007E7189" w:rsidP="007E7189">
      <w:pPr>
        <w:ind w:left="142"/>
        <w:jc w:val="both"/>
        <w:rPr>
          <w:rFonts w:eastAsia="Times New Roman"/>
          <w:bCs/>
          <w:lang w:val="es-ES_tradnl"/>
        </w:rPr>
      </w:pPr>
    </w:p>
    <w:p w:rsidR="007E7189" w:rsidRPr="00457309" w:rsidRDefault="007E7189" w:rsidP="007E7189">
      <w:pPr>
        <w:ind w:left="142"/>
        <w:jc w:val="both"/>
        <w:rPr>
          <w:rFonts w:eastAsia="Times New Roman"/>
          <w:bCs/>
          <w:lang w:val="es-ES_tradnl"/>
        </w:rPr>
      </w:pPr>
    </w:p>
    <w:p w:rsidR="007E7189" w:rsidRPr="00457309" w:rsidRDefault="007E7189" w:rsidP="007E7189">
      <w:pPr>
        <w:jc w:val="both"/>
        <w:rPr>
          <w:rFonts w:eastAsia="Times New Roman"/>
          <w:bCs/>
          <w:lang w:val="es-ES_tradnl"/>
        </w:rPr>
      </w:pPr>
      <w:r w:rsidRPr="00457309">
        <w:rPr>
          <w:bCs/>
          <w:lang w:val="es-ES_tradnl"/>
        </w:rPr>
        <w:t>PRINCIPALES RIESGOS Y ESTRATEGIAS DE MITIGACIÓN</w:t>
      </w:r>
    </w:p>
    <w:p w:rsidR="007E7189" w:rsidRPr="00457309" w:rsidRDefault="007E7189" w:rsidP="007E7189">
      <w:pPr>
        <w:keepNext/>
        <w:keepLines/>
        <w:rPr>
          <w:rFonts w:eastAsia="Times New Roman" w:cs="Times New Roman"/>
          <w:sz w:val="20"/>
          <w:lang w:val="es-ES_tradnl"/>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245"/>
      </w:tblGrid>
      <w:tr w:rsidR="007E7189" w:rsidRPr="00457309" w:rsidTr="00E02444">
        <w:trPr>
          <w:trHeight w:val="459"/>
        </w:trPr>
        <w:tc>
          <w:tcPr>
            <w:tcW w:w="4253" w:type="dxa"/>
            <w:tcBorders>
              <w:top w:val="single" w:sz="4" w:space="0" w:color="auto"/>
              <w:bottom w:val="single" w:sz="4" w:space="0" w:color="auto"/>
            </w:tcBorders>
            <w:shd w:val="clear" w:color="auto" w:fill="C6D9F1" w:themeFill="text2" w:themeFillTint="33"/>
            <w:vAlign w:val="center"/>
          </w:tcPr>
          <w:p w:rsidR="007E7189" w:rsidRPr="00457309" w:rsidRDefault="007E7189" w:rsidP="00E02444">
            <w:pPr>
              <w:jc w:val="center"/>
              <w:rPr>
                <w:rFonts w:eastAsia="Times New Roman"/>
                <w:b/>
                <w:bCs/>
                <w:sz w:val="18"/>
                <w:szCs w:val="18"/>
                <w:lang w:val="es-ES_tradnl"/>
              </w:rPr>
            </w:pPr>
            <w:r w:rsidRPr="00457309">
              <w:rPr>
                <w:rFonts w:eastAsia="Times New Roman"/>
                <w:b/>
                <w:bCs/>
                <w:sz w:val="18"/>
                <w:szCs w:val="18"/>
                <w:lang w:val="es-ES_tradnl"/>
              </w:rPr>
              <w:t>Riesgo</w:t>
            </w:r>
          </w:p>
        </w:tc>
        <w:tc>
          <w:tcPr>
            <w:tcW w:w="5245" w:type="dxa"/>
            <w:tcBorders>
              <w:top w:val="single" w:sz="4" w:space="0" w:color="auto"/>
              <w:bottom w:val="single" w:sz="4" w:space="0" w:color="auto"/>
            </w:tcBorders>
            <w:shd w:val="clear" w:color="auto" w:fill="C6D9F1" w:themeFill="text2" w:themeFillTint="33"/>
            <w:vAlign w:val="center"/>
          </w:tcPr>
          <w:p w:rsidR="007E7189" w:rsidRPr="00457309" w:rsidRDefault="007E7189" w:rsidP="00E02444">
            <w:pPr>
              <w:jc w:val="center"/>
              <w:rPr>
                <w:rFonts w:eastAsia="Times New Roman"/>
                <w:b/>
                <w:bCs/>
                <w:sz w:val="18"/>
                <w:szCs w:val="18"/>
                <w:lang w:val="es-ES_tradnl"/>
              </w:rPr>
            </w:pPr>
            <w:r w:rsidRPr="00457309">
              <w:rPr>
                <w:rFonts w:eastAsia="Times New Roman"/>
                <w:b/>
                <w:bCs/>
                <w:sz w:val="18"/>
                <w:szCs w:val="18"/>
                <w:lang w:val="es-ES_tradnl"/>
              </w:rPr>
              <w:t>Mitigación</w:t>
            </w:r>
          </w:p>
        </w:tc>
      </w:tr>
      <w:tr w:rsidR="007E7189" w:rsidRPr="00457309" w:rsidTr="00E02444">
        <w:trPr>
          <w:trHeight w:val="512"/>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7E7189" w:rsidRPr="00457309" w:rsidRDefault="007E7189" w:rsidP="00E02444">
            <w:pPr>
              <w:rPr>
                <w:rFonts w:eastAsia="Times New Roman"/>
                <w:sz w:val="16"/>
                <w:lang w:val="es-ES_tradnl"/>
              </w:rPr>
            </w:pPr>
            <w:r w:rsidRPr="00457309">
              <w:rPr>
                <w:rFonts w:eastAsia="Times New Roman"/>
                <w:sz w:val="16"/>
                <w:lang w:val="es-ES_tradnl"/>
              </w:rPr>
              <w:t xml:space="preserve">Incapacidad del país anfitrión de mantener y continuar apoyando el funcionamiento autónomo de las redes de CATI.  Esto podría tener como consecuencia el cierre de ciertos centros CATI. </w:t>
            </w:r>
          </w:p>
        </w:tc>
        <w:tc>
          <w:tcPr>
            <w:tcW w:w="5245"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7E7189" w:rsidRPr="00457309" w:rsidRDefault="007E7189" w:rsidP="00E02444">
            <w:pPr>
              <w:rPr>
                <w:rFonts w:eastAsia="Times New Roman"/>
                <w:sz w:val="16"/>
                <w:lang w:val="es-ES_tradnl"/>
              </w:rPr>
            </w:pPr>
            <w:r w:rsidRPr="00457309">
              <w:rPr>
                <w:rFonts w:eastAsia="Times New Roman"/>
                <w:sz w:val="16"/>
                <w:lang w:val="es-ES_tradnl"/>
              </w:rPr>
              <w:t>Una mayor colaboración con los países en los que se han establecido CATI en lo relativo a la planificación y ejecución del proyecto de CATI.</w:t>
            </w:r>
          </w:p>
        </w:tc>
      </w:tr>
    </w:tbl>
    <w:p w:rsidR="007E7189" w:rsidRPr="00457309" w:rsidRDefault="007E7189" w:rsidP="007E7189">
      <w:pPr>
        <w:rPr>
          <w:rFonts w:eastAsia="Times New Roman"/>
          <w:lang w:val="es-ES_tradnl"/>
        </w:rPr>
      </w:pPr>
    </w:p>
    <w:p w:rsidR="007E7189" w:rsidRPr="00457309" w:rsidRDefault="007E7189" w:rsidP="007E7189">
      <w:pPr>
        <w:rPr>
          <w:rFonts w:eastAsia="Times New Roman"/>
          <w:lang w:val="es-ES_tradnl"/>
        </w:rPr>
      </w:pPr>
    </w:p>
    <w:p w:rsidR="007E7189" w:rsidRPr="00457309" w:rsidRDefault="007E7189" w:rsidP="007E7189">
      <w:pPr>
        <w:keepNext/>
        <w:tabs>
          <w:tab w:val="left" w:pos="567"/>
          <w:tab w:val="left" w:pos="1985"/>
        </w:tabs>
        <w:jc w:val="both"/>
        <w:rPr>
          <w:rFonts w:eastAsia="Times New Roman"/>
          <w:lang w:val="es-ES_tradnl"/>
        </w:rPr>
      </w:pPr>
      <w:r w:rsidRPr="00457309">
        <w:rPr>
          <w:rFonts w:eastAsia="Times New Roman"/>
          <w:lang w:val="es-ES_tradnl"/>
        </w:rPr>
        <w:t>MARCO DE RESULTADOS</w:t>
      </w:r>
    </w:p>
    <w:p w:rsidR="007E7189" w:rsidRPr="00457309" w:rsidRDefault="007E7189" w:rsidP="007E7189">
      <w:pPr>
        <w:keepNext/>
        <w:tabs>
          <w:tab w:val="left" w:pos="567"/>
          <w:tab w:val="left" w:pos="1985"/>
        </w:tabs>
        <w:jc w:val="both"/>
        <w:rPr>
          <w:rFonts w:eastAsia="Times New Roman"/>
          <w:lang w:val="es-ES_tradnl"/>
        </w:rPr>
      </w:pPr>
    </w:p>
    <w:tbl>
      <w:tblPr>
        <w:tblW w:w="9513" w:type="dxa"/>
        <w:tblInd w:w="93" w:type="dxa"/>
        <w:tblLook w:val="04A0" w:firstRow="1" w:lastRow="0" w:firstColumn="1" w:lastColumn="0" w:noHBand="0" w:noVBand="1"/>
      </w:tblPr>
      <w:tblGrid>
        <w:gridCol w:w="2380"/>
        <w:gridCol w:w="2200"/>
        <w:gridCol w:w="2560"/>
        <w:gridCol w:w="2373"/>
      </w:tblGrid>
      <w:tr w:rsidR="007E7189" w:rsidRPr="00457309" w:rsidTr="007E7189">
        <w:trPr>
          <w:trHeight w:val="465"/>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7E7189" w:rsidRPr="00457309" w:rsidRDefault="007E7189" w:rsidP="00E02444">
            <w:pPr>
              <w:keepNext/>
              <w:jc w:val="center"/>
              <w:rPr>
                <w:rFonts w:eastAsia="Times New Roman"/>
                <w:b/>
                <w:bCs/>
                <w:sz w:val="18"/>
                <w:szCs w:val="18"/>
                <w:lang w:val="es-ES_tradnl"/>
              </w:rPr>
            </w:pPr>
            <w:r w:rsidRPr="00457309">
              <w:rPr>
                <w:rFonts w:eastAsia="Times New Roman"/>
                <w:b/>
                <w:bCs/>
                <w:sz w:val="18"/>
                <w:szCs w:val="18"/>
                <w:lang w:val="es-ES_tradnl"/>
              </w:rPr>
              <w:t>Resultados previstos</w:t>
            </w:r>
          </w:p>
        </w:tc>
        <w:tc>
          <w:tcPr>
            <w:tcW w:w="220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7E7189" w:rsidRPr="00457309" w:rsidRDefault="007E7189" w:rsidP="00E02444">
            <w:pPr>
              <w:keepNext/>
              <w:ind w:hanging="63"/>
              <w:jc w:val="center"/>
              <w:rPr>
                <w:rFonts w:eastAsia="Times New Roman"/>
                <w:b/>
                <w:bCs/>
                <w:sz w:val="18"/>
                <w:szCs w:val="18"/>
                <w:lang w:val="es-ES_tradnl"/>
              </w:rPr>
            </w:pPr>
            <w:r w:rsidRPr="00457309">
              <w:rPr>
                <w:rFonts w:eastAsia="Times New Roman"/>
                <w:b/>
                <w:bCs/>
                <w:sz w:val="18"/>
                <w:szCs w:val="18"/>
                <w:lang w:val="es-ES_tradnl"/>
              </w:rPr>
              <w:t>Indicadores de rendimiento</w:t>
            </w:r>
          </w:p>
        </w:tc>
        <w:tc>
          <w:tcPr>
            <w:tcW w:w="256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7E7189" w:rsidRPr="00457309" w:rsidRDefault="007E7189" w:rsidP="00E02444">
            <w:pPr>
              <w:keepNext/>
              <w:jc w:val="center"/>
              <w:rPr>
                <w:rFonts w:eastAsia="Times New Roman"/>
                <w:b/>
                <w:bCs/>
                <w:sz w:val="18"/>
                <w:szCs w:val="18"/>
                <w:lang w:val="es-ES_tradnl"/>
              </w:rPr>
            </w:pPr>
            <w:r w:rsidRPr="00457309">
              <w:rPr>
                <w:rFonts w:eastAsia="Times New Roman"/>
                <w:b/>
                <w:bCs/>
                <w:sz w:val="18"/>
                <w:szCs w:val="18"/>
                <w:lang w:val="es-ES_tradnl"/>
              </w:rPr>
              <w:t>Referencia</w:t>
            </w:r>
          </w:p>
        </w:tc>
        <w:tc>
          <w:tcPr>
            <w:tcW w:w="2373"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7E7189" w:rsidRPr="00457309" w:rsidRDefault="007E7189" w:rsidP="00E02444">
            <w:pPr>
              <w:keepNext/>
              <w:jc w:val="center"/>
              <w:rPr>
                <w:rFonts w:eastAsia="Times New Roman"/>
                <w:b/>
                <w:bCs/>
                <w:sz w:val="18"/>
                <w:szCs w:val="18"/>
                <w:lang w:val="es-ES_tradnl"/>
              </w:rPr>
            </w:pPr>
            <w:r w:rsidRPr="00457309">
              <w:rPr>
                <w:rFonts w:eastAsia="Times New Roman"/>
                <w:b/>
                <w:bCs/>
                <w:sz w:val="18"/>
                <w:szCs w:val="18"/>
                <w:lang w:val="es-ES_tradnl"/>
              </w:rPr>
              <w:t>Objetivos</w:t>
            </w:r>
          </w:p>
        </w:tc>
      </w:tr>
      <w:tr w:rsidR="007E7189" w:rsidRPr="00457309" w:rsidTr="00DA34AE">
        <w:trPr>
          <w:trHeight w:val="1971"/>
        </w:trPr>
        <w:tc>
          <w:tcPr>
            <w:tcW w:w="2380" w:type="dxa"/>
            <w:vMerge w:val="restart"/>
            <w:tcBorders>
              <w:top w:val="single" w:sz="4" w:space="0" w:color="auto"/>
              <w:left w:val="single" w:sz="4" w:space="0" w:color="auto"/>
              <w:right w:val="nil"/>
            </w:tcBorders>
            <w:shd w:val="clear" w:color="000000" w:fill="FFFFFF"/>
            <w:tcMar>
              <w:top w:w="85" w:type="dxa"/>
            </w:tcMar>
            <w:hideMark/>
          </w:tcPr>
          <w:p w:rsidR="007E7189" w:rsidRPr="00457309" w:rsidRDefault="00B74100" w:rsidP="00E02444">
            <w:pPr>
              <w:rPr>
                <w:rFonts w:eastAsia="Times New Roman"/>
                <w:sz w:val="16"/>
                <w:szCs w:val="16"/>
                <w:lang w:val="es-ES_tradnl"/>
              </w:rPr>
            </w:pPr>
            <w:r>
              <w:rPr>
                <w:rFonts w:eastAsia="Times New Roman"/>
                <w:sz w:val="16"/>
                <w:szCs w:val="16"/>
                <w:lang w:val="es-ES_tradnl"/>
              </w:rPr>
              <w:t xml:space="preserve">IV.2 </w:t>
            </w:r>
            <w:r w:rsidR="007E7189" w:rsidRPr="00457309">
              <w:rPr>
                <w:rFonts w:eastAsia="Times New Roman"/>
                <w:sz w:val="16"/>
                <w:szCs w:val="16"/>
                <w:lang w:val="es-ES_tradnl"/>
              </w:rPr>
              <w:t xml:space="preserve"> </w:t>
            </w:r>
            <w:r w:rsidRPr="00DA34AE">
              <w:rPr>
                <w:sz w:val="16"/>
                <w:szCs w:val="16"/>
                <w:lang w:val="es-ES_tradnl"/>
              </w:rPr>
              <w:t>Mejora del acceso y uso de información de P.I. por parte de instituciones de P.I. y el público para fomentar la innovación y la creatividad</w:t>
            </w:r>
          </w:p>
        </w:tc>
        <w:tc>
          <w:tcPr>
            <w:tcW w:w="2200" w:type="dxa"/>
            <w:tcBorders>
              <w:top w:val="single" w:sz="4" w:space="0" w:color="auto"/>
              <w:left w:val="nil"/>
              <w:right w:val="nil"/>
            </w:tcBorders>
            <w:shd w:val="clear" w:color="000000" w:fill="FFFFFF"/>
            <w:tcMar>
              <w:top w:w="85" w:type="dxa"/>
            </w:tcMar>
            <w:hideMark/>
          </w:tcPr>
          <w:p w:rsidR="007E7189" w:rsidRPr="00457309" w:rsidRDefault="007E7189"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redes nacionales sostenibles de CATI.</w:t>
            </w:r>
          </w:p>
        </w:tc>
        <w:tc>
          <w:tcPr>
            <w:tcW w:w="2560" w:type="dxa"/>
            <w:tcBorders>
              <w:top w:val="single" w:sz="4" w:space="0" w:color="auto"/>
              <w:left w:val="nil"/>
              <w:right w:val="nil"/>
            </w:tcBorders>
            <w:shd w:val="clear" w:color="000000" w:fill="FFFFFF"/>
            <w:tcMar>
              <w:top w:w="85" w:type="dxa"/>
            </w:tcMar>
            <w:hideMark/>
          </w:tcPr>
          <w:p w:rsidR="007E7189" w:rsidRPr="00457309" w:rsidRDefault="007E7189" w:rsidP="00E02444">
            <w:pPr>
              <w:ind w:left="289" w:firstLineChars="19" w:firstLine="30"/>
              <w:rPr>
                <w:rFonts w:eastAsia="Times New Roman"/>
                <w:sz w:val="16"/>
                <w:szCs w:val="16"/>
                <w:lang w:val="es-ES_tradnl"/>
              </w:rPr>
            </w:pPr>
            <w:r w:rsidRPr="00457309">
              <w:rPr>
                <w:rFonts w:eastAsia="Times New Roman"/>
                <w:sz w:val="16"/>
                <w:szCs w:val="16"/>
                <w:lang w:val="es-ES_tradnl"/>
              </w:rPr>
              <w:t>20 redes nacionales sostenibles de CATI de las 45 establecidas (en total)</w:t>
            </w:r>
            <w:proofErr w:type="gramStart"/>
            <w:r w:rsidRPr="00457309">
              <w:rPr>
                <w:rFonts w:eastAsia="Times New Roman"/>
                <w:sz w:val="16"/>
                <w:szCs w:val="16"/>
                <w:lang w:val="es-ES_tradnl"/>
              </w:rPr>
              <w:t>:  África</w:t>
            </w:r>
            <w:proofErr w:type="gramEnd"/>
            <w:r w:rsidRPr="00457309">
              <w:rPr>
                <w:rFonts w:eastAsia="Times New Roman"/>
                <w:sz w:val="16"/>
                <w:szCs w:val="16"/>
                <w:lang w:val="es-ES_tradnl"/>
              </w:rPr>
              <w:t xml:space="preserve"> (9 de los que 6 son PMA);  región de los Países Árabes (2);  Asia y el Pacífico (2 de los que 1 es PMA);  América Latina y el Caribe (5);  determinados Países de Europa y Asia (1).</w:t>
            </w:r>
          </w:p>
        </w:tc>
        <w:tc>
          <w:tcPr>
            <w:tcW w:w="2373" w:type="dxa"/>
            <w:tcBorders>
              <w:top w:val="single" w:sz="4" w:space="0" w:color="auto"/>
              <w:left w:val="nil"/>
              <w:right w:val="single" w:sz="4" w:space="0" w:color="auto"/>
            </w:tcBorders>
            <w:shd w:val="clear" w:color="000000" w:fill="FFFFFF"/>
            <w:tcMar>
              <w:top w:w="85" w:type="dxa"/>
            </w:tcMar>
            <w:hideMark/>
          </w:tcPr>
          <w:p w:rsidR="007E7189" w:rsidRPr="00457309" w:rsidRDefault="007E7189" w:rsidP="00E02444">
            <w:pPr>
              <w:ind w:left="280"/>
              <w:rPr>
                <w:rFonts w:eastAsia="Times New Roman"/>
                <w:sz w:val="16"/>
                <w:szCs w:val="16"/>
                <w:lang w:val="es-ES_tradnl"/>
              </w:rPr>
            </w:pPr>
            <w:r w:rsidRPr="00457309">
              <w:rPr>
                <w:rFonts w:eastAsia="Times New Roman"/>
                <w:sz w:val="16"/>
                <w:szCs w:val="16"/>
                <w:lang w:val="es-ES_tradnl"/>
              </w:rPr>
              <w:t>30 redes nacionales CATI (en total)</w:t>
            </w:r>
            <w:proofErr w:type="gramStart"/>
            <w:r w:rsidRPr="00457309">
              <w:rPr>
                <w:rFonts w:eastAsia="Times New Roman"/>
                <w:sz w:val="16"/>
                <w:szCs w:val="16"/>
                <w:lang w:val="es-ES_tradnl"/>
              </w:rPr>
              <w:t>:  región</w:t>
            </w:r>
            <w:proofErr w:type="gramEnd"/>
            <w:r w:rsidRPr="00457309">
              <w:rPr>
                <w:rFonts w:eastAsia="Times New Roman"/>
                <w:sz w:val="16"/>
                <w:szCs w:val="16"/>
                <w:lang w:val="es-ES_tradnl"/>
              </w:rPr>
              <w:t xml:space="preserve"> de África (11 de los que 8 son PMA);  región de los Países Árabes (4);  Asia y el Pacífico (5 de los que 2 son PMA);  región de América Latina y el Caribe (7);  determinados Países de Europa y Asia (3).</w:t>
            </w:r>
          </w:p>
        </w:tc>
      </w:tr>
      <w:tr w:rsidR="007E7189" w:rsidRPr="00457309" w:rsidTr="00DA34AE">
        <w:trPr>
          <w:trHeight w:val="306"/>
        </w:trPr>
        <w:tc>
          <w:tcPr>
            <w:tcW w:w="2380" w:type="dxa"/>
            <w:vMerge/>
            <w:tcBorders>
              <w:top w:val="nil"/>
              <w:left w:val="single" w:sz="4" w:space="0" w:color="auto"/>
              <w:bottom w:val="single" w:sz="4" w:space="0" w:color="auto"/>
              <w:right w:val="nil"/>
            </w:tcBorders>
            <w:tcMar>
              <w:top w:w="85" w:type="dxa"/>
            </w:tcMar>
            <w:vAlign w:val="center"/>
            <w:hideMark/>
          </w:tcPr>
          <w:p w:rsidR="007E7189" w:rsidRPr="00457309" w:rsidRDefault="007E7189" w:rsidP="00E02444">
            <w:pPr>
              <w:rPr>
                <w:rFonts w:eastAsia="Times New Roman"/>
                <w:sz w:val="16"/>
                <w:szCs w:val="16"/>
                <w:lang w:val="es-ES_tradnl"/>
              </w:rPr>
            </w:pPr>
          </w:p>
        </w:tc>
        <w:tc>
          <w:tcPr>
            <w:tcW w:w="2200" w:type="dxa"/>
            <w:tcBorders>
              <w:top w:val="nil"/>
              <w:left w:val="nil"/>
              <w:bottom w:val="single" w:sz="4" w:space="0" w:color="auto"/>
              <w:right w:val="nil"/>
            </w:tcBorders>
            <w:shd w:val="clear" w:color="000000" w:fill="FFFFFF"/>
            <w:tcMar>
              <w:top w:w="85" w:type="dxa"/>
            </w:tcMar>
          </w:tcPr>
          <w:p w:rsidR="007E7189" w:rsidRPr="00457309" w:rsidRDefault="00DA34AE"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usuarios anuales en promedio atendidos por los CATI.</w:t>
            </w:r>
            <w:r w:rsidR="00B36ED0">
              <w:rPr>
                <w:rFonts w:eastAsia="Times New Roman"/>
                <w:sz w:val="16"/>
                <w:szCs w:val="16"/>
                <w:lang w:val="es-ES_tradnl"/>
              </w:rPr>
              <w:br/>
            </w:r>
          </w:p>
        </w:tc>
        <w:tc>
          <w:tcPr>
            <w:tcW w:w="2560" w:type="dxa"/>
            <w:tcBorders>
              <w:top w:val="nil"/>
              <w:left w:val="nil"/>
              <w:bottom w:val="single" w:sz="4" w:space="0" w:color="auto"/>
              <w:right w:val="nil"/>
            </w:tcBorders>
            <w:shd w:val="clear" w:color="000000" w:fill="FFFFFF"/>
            <w:tcMar>
              <w:top w:w="85" w:type="dxa"/>
            </w:tcMar>
          </w:tcPr>
          <w:p w:rsidR="007E7189" w:rsidRPr="00457309" w:rsidRDefault="00DA34AE" w:rsidP="00E02444">
            <w:pPr>
              <w:ind w:firstLineChars="200" w:firstLine="320"/>
              <w:rPr>
                <w:rFonts w:eastAsia="Times New Roman"/>
                <w:sz w:val="16"/>
                <w:szCs w:val="16"/>
                <w:lang w:val="es-ES_tradnl"/>
              </w:rPr>
            </w:pPr>
            <w:r w:rsidRPr="00457309">
              <w:rPr>
                <w:rFonts w:eastAsia="Times New Roman"/>
                <w:sz w:val="16"/>
                <w:szCs w:val="16"/>
                <w:lang w:val="es-ES_tradnl"/>
              </w:rPr>
              <w:t>548 (mín.) a 1625 (máx.).</w:t>
            </w:r>
          </w:p>
        </w:tc>
        <w:tc>
          <w:tcPr>
            <w:tcW w:w="2373" w:type="dxa"/>
            <w:tcBorders>
              <w:top w:val="nil"/>
              <w:left w:val="nil"/>
              <w:bottom w:val="single" w:sz="4" w:space="0" w:color="auto"/>
              <w:right w:val="single" w:sz="4" w:space="0" w:color="auto"/>
            </w:tcBorders>
            <w:shd w:val="clear" w:color="000000" w:fill="FFFFFF"/>
            <w:tcMar>
              <w:top w:w="85" w:type="dxa"/>
            </w:tcMar>
          </w:tcPr>
          <w:p w:rsidR="007E7189" w:rsidRPr="00457309" w:rsidRDefault="00DA34AE" w:rsidP="00E02444">
            <w:pPr>
              <w:ind w:firstLineChars="200" w:firstLine="320"/>
              <w:rPr>
                <w:rFonts w:eastAsia="Times New Roman"/>
                <w:sz w:val="16"/>
                <w:szCs w:val="16"/>
                <w:lang w:val="es-ES_tradnl"/>
              </w:rPr>
            </w:pPr>
            <w:r>
              <w:rPr>
                <w:rFonts w:eastAsia="Times New Roman"/>
                <w:sz w:val="16"/>
                <w:szCs w:val="16"/>
                <w:lang w:val="es-ES_tradnl"/>
              </w:rPr>
              <w:t>1.100</w:t>
            </w:r>
          </w:p>
        </w:tc>
      </w:tr>
      <w:tr w:rsidR="007E7189" w:rsidRPr="00457309" w:rsidTr="00E02444">
        <w:trPr>
          <w:trHeight w:val="1050"/>
        </w:trPr>
        <w:tc>
          <w:tcPr>
            <w:tcW w:w="2380" w:type="dxa"/>
            <w:vMerge/>
            <w:tcBorders>
              <w:top w:val="single" w:sz="4" w:space="0" w:color="auto"/>
              <w:left w:val="single" w:sz="4" w:space="0" w:color="auto"/>
              <w:bottom w:val="single" w:sz="4" w:space="0" w:color="000000"/>
              <w:right w:val="nil"/>
            </w:tcBorders>
            <w:tcMar>
              <w:top w:w="85" w:type="dxa"/>
            </w:tcMar>
            <w:vAlign w:val="center"/>
            <w:hideMark/>
          </w:tcPr>
          <w:p w:rsidR="007E7189" w:rsidRPr="00457309" w:rsidRDefault="007E7189" w:rsidP="00E02444">
            <w:pPr>
              <w:rPr>
                <w:rFonts w:eastAsia="Times New Roman"/>
                <w:sz w:val="16"/>
                <w:szCs w:val="16"/>
                <w:lang w:val="es-ES_tradnl"/>
              </w:rPr>
            </w:pPr>
          </w:p>
        </w:tc>
        <w:tc>
          <w:tcPr>
            <w:tcW w:w="2200" w:type="dxa"/>
            <w:tcBorders>
              <w:left w:val="nil"/>
              <w:bottom w:val="nil"/>
              <w:right w:val="nil"/>
            </w:tcBorders>
            <w:shd w:val="clear" w:color="000000" w:fill="FFFFFF"/>
            <w:tcMar>
              <w:top w:w="85" w:type="dxa"/>
            </w:tcMar>
            <w:hideMark/>
          </w:tcPr>
          <w:p w:rsidR="007E7189" w:rsidRPr="00457309" w:rsidRDefault="007E7189"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Estados miembros en sus respectivas regiones que colaboran con las bases de datos mundiales.</w:t>
            </w:r>
          </w:p>
        </w:tc>
        <w:tc>
          <w:tcPr>
            <w:tcW w:w="2560" w:type="dxa"/>
            <w:tcBorders>
              <w:left w:val="nil"/>
              <w:bottom w:val="nil"/>
              <w:right w:val="nil"/>
            </w:tcBorders>
            <w:shd w:val="clear" w:color="000000" w:fill="FFFFFF"/>
            <w:tcMar>
              <w:top w:w="85" w:type="dxa"/>
            </w:tcMar>
            <w:hideMark/>
          </w:tcPr>
          <w:p w:rsidR="007E7189" w:rsidRPr="00457309" w:rsidRDefault="007E7189" w:rsidP="00E02444">
            <w:pPr>
              <w:ind w:left="289"/>
              <w:rPr>
                <w:rFonts w:eastAsia="Times New Roman"/>
                <w:sz w:val="16"/>
                <w:szCs w:val="16"/>
                <w:lang w:val="es-ES_tradnl"/>
              </w:rPr>
            </w:pPr>
            <w:r w:rsidRPr="00457309">
              <w:rPr>
                <w:rFonts w:eastAsia="Times New Roman"/>
                <w:sz w:val="16"/>
                <w:szCs w:val="16"/>
                <w:lang w:val="es-ES_tradnl"/>
              </w:rPr>
              <w:t>15 PATENTSCOPE, 1 GBD, 0 GDD LATIPAT</w:t>
            </w:r>
            <w:r w:rsidRPr="00457309">
              <w:rPr>
                <w:rFonts w:eastAsia="Times New Roman"/>
                <w:sz w:val="16"/>
                <w:szCs w:val="16"/>
                <w:lang w:val="es-ES_tradnl"/>
              </w:rPr>
              <w:br/>
              <w:t>3 PATENTSCOPE, 1 GBD, 0 GDD ARABPAT (febrero de 2015).</w:t>
            </w:r>
          </w:p>
        </w:tc>
        <w:tc>
          <w:tcPr>
            <w:tcW w:w="2373" w:type="dxa"/>
            <w:tcBorders>
              <w:left w:val="nil"/>
              <w:bottom w:val="nil"/>
              <w:right w:val="single" w:sz="4" w:space="0" w:color="auto"/>
            </w:tcBorders>
            <w:shd w:val="clear" w:color="000000" w:fill="FFFFFF"/>
            <w:tcMar>
              <w:top w:w="85" w:type="dxa"/>
            </w:tcMar>
            <w:hideMark/>
          </w:tcPr>
          <w:p w:rsidR="007E7189" w:rsidRPr="00457309" w:rsidRDefault="007E7189" w:rsidP="00E02444">
            <w:pPr>
              <w:ind w:left="280"/>
              <w:rPr>
                <w:rFonts w:eastAsia="Times New Roman"/>
                <w:sz w:val="16"/>
                <w:szCs w:val="16"/>
                <w:lang w:val="es-ES_tradnl"/>
              </w:rPr>
            </w:pPr>
            <w:r w:rsidRPr="00457309">
              <w:rPr>
                <w:rFonts w:eastAsia="Times New Roman"/>
                <w:sz w:val="16"/>
                <w:szCs w:val="16"/>
                <w:lang w:val="es-ES_tradnl"/>
              </w:rPr>
              <w:t>+2 PATENTSCOPE, +4 GBD, +2 GDD, global</w:t>
            </w:r>
          </w:p>
        </w:tc>
      </w:tr>
      <w:tr w:rsidR="007E7189" w:rsidRPr="00457309" w:rsidTr="00E02444">
        <w:trPr>
          <w:trHeight w:val="660"/>
        </w:trPr>
        <w:tc>
          <w:tcPr>
            <w:tcW w:w="2380" w:type="dxa"/>
            <w:vMerge/>
            <w:tcBorders>
              <w:top w:val="nil"/>
              <w:left w:val="single" w:sz="4" w:space="0" w:color="auto"/>
              <w:bottom w:val="single" w:sz="4" w:space="0" w:color="000000"/>
              <w:right w:val="nil"/>
            </w:tcBorders>
            <w:tcMar>
              <w:top w:w="85" w:type="dxa"/>
            </w:tcMar>
            <w:vAlign w:val="center"/>
            <w:hideMark/>
          </w:tcPr>
          <w:p w:rsidR="007E7189" w:rsidRPr="00457309" w:rsidRDefault="007E7189" w:rsidP="00E02444">
            <w:pPr>
              <w:rPr>
                <w:rFonts w:eastAsia="Times New Roman"/>
                <w:sz w:val="16"/>
                <w:szCs w:val="16"/>
                <w:lang w:val="es-ES_tradnl"/>
              </w:rPr>
            </w:pPr>
          </w:p>
        </w:tc>
        <w:tc>
          <w:tcPr>
            <w:tcW w:w="2200" w:type="dxa"/>
            <w:tcBorders>
              <w:top w:val="nil"/>
              <w:left w:val="nil"/>
              <w:bottom w:val="nil"/>
              <w:right w:val="nil"/>
            </w:tcBorders>
            <w:shd w:val="clear" w:color="000000" w:fill="FFFFFF"/>
            <w:tcMar>
              <w:top w:w="85" w:type="dxa"/>
            </w:tcMar>
            <w:hideMark/>
          </w:tcPr>
          <w:p w:rsidR="007E7189" w:rsidRPr="00457309" w:rsidRDefault="007E7189"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usuarios inscritos en ARDI y ASPI que utilizan dichos instrumentos.</w:t>
            </w:r>
          </w:p>
        </w:tc>
        <w:tc>
          <w:tcPr>
            <w:tcW w:w="2560" w:type="dxa"/>
            <w:tcBorders>
              <w:top w:val="nil"/>
              <w:left w:val="nil"/>
              <w:bottom w:val="nil"/>
              <w:right w:val="nil"/>
            </w:tcBorders>
            <w:shd w:val="clear" w:color="000000" w:fill="FFFFFF"/>
            <w:tcMar>
              <w:top w:w="85" w:type="dxa"/>
            </w:tcMar>
            <w:hideMark/>
          </w:tcPr>
          <w:p w:rsidR="007E7189" w:rsidRPr="00457309" w:rsidRDefault="007E7189" w:rsidP="00E02444">
            <w:pPr>
              <w:ind w:left="274"/>
              <w:rPr>
                <w:rFonts w:eastAsia="Times New Roman"/>
                <w:sz w:val="16"/>
                <w:szCs w:val="16"/>
                <w:lang w:val="es-ES_tradnl"/>
              </w:rPr>
            </w:pPr>
            <w:r w:rsidRPr="00457309">
              <w:rPr>
                <w:rFonts w:eastAsia="Times New Roman"/>
                <w:sz w:val="16"/>
                <w:szCs w:val="16"/>
                <w:lang w:val="es-ES_tradnl"/>
              </w:rPr>
              <w:t xml:space="preserve">ARDI (411 usuarios activos) </w:t>
            </w:r>
          </w:p>
          <w:p w:rsidR="007E7189" w:rsidRPr="00457309" w:rsidRDefault="007E7189" w:rsidP="00E02444">
            <w:pPr>
              <w:ind w:left="277"/>
              <w:rPr>
                <w:rFonts w:eastAsia="Times New Roman"/>
                <w:sz w:val="16"/>
                <w:szCs w:val="16"/>
                <w:lang w:val="es-ES_tradnl"/>
              </w:rPr>
            </w:pPr>
            <w:r w:rsidRPr="00457309">
              <w:rPr>
                <w:rFonts w:eastAsia="Times New Roman"/>
                <w:sz w:val="16"/>
                <w:szCs w:val="16"/>
                <w:lang w:val="es-ES_tradnl"/>
              </w:rPr>
              <w:t xml:space="preserve">ASPI (35 usuarios activos) </w:t>
            </w:r>
          </w:p>
          <w:p w:rsidR="007E7189" w:rsidRPr="00457309" w:rsidRDefault="007E7189" w:rsidP="00E02444">
            <w:pPr>
              <w:ind w:left="277"/>
              <w:rPr>
                <w:rFonts w:eastAsia="Times New Roman"/>
                <w:sz w:val="16"/>
                <w:szCs w:val="16"/>
                <w:lang w:val="es-ES_tradnl"/>
              </w:rPr>
            </w:pPr>
            <w:r w:rsidRPr="00457309">
              <w:rPr>
                <w:rFonts w:eastAsia="Times New Roman"/>
                <w:sz w:val="16"/>
                <w:szCs w:val="16"/>
                <w:lang w:val="es-ES_tradnl"/>
              </w:rPr>
              <w:t>(</w:t>
            </w:r>
            <w:proofErr w:type="gramStart"/>
            <w:r w:rsidRPr="00457309">
              <w:rPr>
                <w:rFonts w:eastAsia="Times New Roman"/>
                <w:sz w:val="16"/>
                <w:szCs w:val="16"/>
                <w:lang w:val="es-ES_tradnl"/>
              </w:rPr>
              <w:t>fines</w:t>
            </w:r>
            <w:proofErr w:type="gramEnd"/>
            <w:r w:rsidRPr="00457309">
              <w:rPr>
                <w:rFonts w:eastAsia="Times New Roman"/>
                <w:sz w:val="16"/>
                <w:szCs w:val="16"/>
                <w:lang w:val="es-ES_tradnl"/>
              </w:rPr>
              <w:t xml:space="preserve"> de 2014).</w:t>
            </w:r>
          </w:p>
        </w:tc>
        <w:tc>
          <w:tcPr>
            <w:tcW w:w="2373" w:type="dxa"/>
            <w:tcBorders>
              <w:top w:val="nil"/>
              <w:left w:val="nil"/>
              <w:bottom w:val="nil"/>
              <w:right w:val="single" w:sz="4" w:space="0" w:color="auto"/>
            </w:tcBorders>
            <w:shd w:val="clear" w:color="000000" w:fill="FFFFFF"/>
            <w:tcMar>
              <w:top w:w="85" w:type="dxa"/>
            </w:tcMar>
            <w:hideMark/>
          </w:tcPr>
          <w:p w:rsidR="007E7189" w:rsidRPr="00457309" w:rsidRDefault="007E7189" w:rsidP="00E02444">
            <w:pPr>
              <w:ind w:left="280"/>
              <w:rPr>
                <w:rFonts w:eastAsia="Times New Roman"/>
                <w:sz w:val="16"/>
                <w:szCs w:val="16"/>
                <w:lang w:val="es-ES_tradnl"/>
              </w:rPr>
            </w:pPr>
            <w:r w:rsidRPr="00457309">
              <w:rPr>
                <w:rFonts w:eastAsia="Times New Roman"/>
                <w:sz w:val="16"/>
                <w:szCs w:val="16"/>
                <w:lang w:val="es-ES_tradnl"/>
              </w:rPr>
              <w:t>ARDI (600), ASPI (60)</w:t>
            </w:r>
          </w:p>
        </w:tc>
      </w:tr>
      <w:tr w:rsidR="007E7189" w:rsidRPr="00457309" w:rsidTr="00324B68">
        <w:trPr>
          <w:trHeight w:val="376"/>
        </w:trPr>
        <w:tc>
          <w:tcPr>
            <w:tcW w:w="2380" w:type="dxa"/>
            <w:vMerge/>
            <w:tcBorders>
              <w:top w:val="nil"/>
              <w:left w:val="single" w:sz="4" w:space="0" w:color="auto"/>
              <w:bottom w:val="single" w:sz="4" w:space="0" w:color="000000"/>
              <w:right w:val="nil"/>
            </w:tcBorders>
            <w:tcMar>
              <w:top w:w="85" w:type="dxa"/>
            </w:tcMar>
            <w:vAlign w:val="center"/>
            <w:hideMark/>
          </w:tcPr>
          <w:p w:rsidR="007E7189" w:rsidRPr="00457309" w:rsidRDefault="007E7189" w:rsidP="00E02444">
            <w:pPr>
              <w:rPr>
                <w:rFonts w:eastAsia="Times New Roman"/>
                <w:sz w:val="16"/>
                <w:szCs w:val="16"/>
                <w:lang w:val="es-ES_tradnl"/>
              </w:rPr>
            </w:pPr>
          </w:p>
        </w:tc>
        <w:tc>
          <w:tcPr>
            <w:tcW w:w="2200" w:type="dxa"/>
            <w:tcBorders>
              <w:top w:val="nil"/>
              <w:left w:val="nil"/>
              <w:bottom w:val="nil"/>
              <w:right w:val="nil"/>
            </w:tcBorders>
            <w:shd w:val="clear" w:color="000000" w:fill="FFFFFF"/>
            <w:tcMar>
              <w:top w:w="85" w:type="dxa"/>
            </w:tcMar>
            <w:hideMark/>
          </w:tcPr>
          <w:p w:rsidR="007E7189" w:rsidRPr="00457309" w:rsidRDefault="007E7189"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solicitudes cursadas a los CATI.</w:t>
            </w:r>
          </w:p>
        </w:tc>
        <w:tc>
          <w:tcPr>
            <w:tcW w:w="2560" w:type="dxa"/>
            <w:tcBorders>
              <w:top w:val="nil"/>
              <w:left w:val="nil"/>
              <w:bottom w:val="nil"/>
              <w:right w:val="nil"/>
            </w:tcBorders>
            <w:shd w:val="clear" w:color="000000" w:fill="FFFFFF"/>
            <w:tcMar>
              <w:top w:w="85" w:type="dxa"/>
            </w:tcMar>
            <w:hideMark/>
          </w:tcPr>
          <w:p w:rsidR="007E7189" w:rsidRPr="00457309" w:rsidRDefault="007E7189" w:rsidP="00E02444">
            <w:pPr>
              <w:ind w:firstLineChars="200" w:firstLine="320"/>
              <w:rPr>
                <w:rFonts w:eastAsia="Times New Roman"/>
                <w:sz w:val="16"/>
                <w:szCs w:val="16"/>
                <w:lang w:val="es-ES_tradnl"/>
              </w:rPr>
            </w:pPr>
            <w:proofErr w:type="spellStart"/>
            <w:r w:rsidRPr="00457309">
              <w:rPr>
                <w:rFonts w:eastAsia="Times New Roman"/>
                <w:sz w:val="16"/>
                <w:szCs w:val="16"/>
                <w:lang w:val="es-ES_tradnl"/>
              </w:rPr>
              <w:t>n.d</w:t>
            </w:r>
            <w:proofErr w:type="spellEnd"/>
            <w:r w:rsidRPr="00457309">
              <w:rPr>
                <w:rFonts w:eastAsia="Times New Roman"/>
                <w:sz w:val="16"/>
                <w:szCs w:val="16"/>
                <w:lang w:val="es-ES_tradnl"/>
              </w:rPr>
              <w:t>.  (nuevo)</w:t>
            </w:r>
          </w:p>
        </w:tc>
        <w:tc>
          <w:tcPr>
            <w:tcW w:w="2373" w:type="dxa"/>
            <w:tcBorders>
              <w:top w:val="nil"/>
              <w:left w:val="nil"/>
              <w:bottom w:val="nil"/>
              <w:right w:val="single" w:sz="4" w:space="0" w:color="auto"/>
            </w:tcBorders>
            <w:shd w:val="clear" w:color="000000" w:fill="FFFFFF"/>
            <w:tcMar>
              <w:top w:w="85" w:type="dxa"/>
            </w:tcMar>
            <w:hideMark/>
          </w:tcPr>
          <w:p w:rsidR="007E7189" w:rsidRPr="00457309" w:rsidRDefault="007E7189" w:rsidP="00E02444">
            <w:pPr>
              <w:ind w:firstLineChars="200" w:firstLine="320"/>
              <w:rPr>
                <w:rFonts w:eastAsia="Times New Roman"/>
                <w:sz w:val="16"/>
                <w:szCs w:val="16"/>
                <w:lang w:val="es-ES_tradnl"/>
              </w:rPr>
            </w:pPr>
            <w:r w:rsidRPr="00457309">
              <w:rPr>
                <w:rFonts w:eastAsia="Times New Roman"/>
                <w:sz w:val="16"/>
                <w:szCs w:val="16"/>
                <w:lang w:val="es-ES_tradnl"/>
              </w:rPr>
              <w:t>10</w:t>
            </w:r>
          </w:p>
        </w:tc>
      </w:tr>
      <w:tr w:rsidR="007E7189" w:rsidRPr="00457309" w:rsidTr="00E02444">
        <w:trPr>
          <w:trHeight w:val="692"/>
        </w:trPr>
        <w:tc>
          <w:tcPr>
            <w:tcW w:w="2380" w:type="dxa"/>
            <w:vMerge/>
            <w:tcBorders>
              <w:top w:val="nil"/>
              <w:left w:val="single" w:sz="4" w:space="0" w:color="auto"/>
              <w:bottom w:val="single" w:sz="4" w:space="0" w:color="000000"/>
              <w:right w:val="nil"/>
            </w:tcBorders>
            <w:tcMar>
              <w:top w:w="85" w:type="dxa"/>
            </w:tcMar>
            <w:vAlign w:val="center"/>
            <w:hideMark/>
          </w:tcPr>
          <w:p w:rsidR="007E7189" w:rsidRPr="00457309" w:rsidRDefault="007E7189" w:rsidP="00E02444">
            <w:pPr>
              <w:rPr>
                <w:rFonts w:eastAsia="Times New Roman"/>
                <w:sz w:val="16"/>
                <w:szCs w:val="16"/>
                <w:lang w:val="es-ES_tradnl"/>
              </w:rPr>
            </w:pPr>
          </w:p>
        </w:tc>
        <w:tc>
          <w:tcPr>
            <w:tcW w:w="2200" w:type="dxa"/>
            <w:tcBorders>
              <w:top w:val="nil"/>
              <w:left w:val="nil"/>
              <w:bottom w:val="single" w:sz="4" w:space="0" w:color="auto"/>
              <w:right w:val="nil"/>
            </w:tcBorders>
            <w:shd w:val="clear" w:color="000000" w:fill="FFFFFF"/>
            <w:tcMar>
              <w:top w:w="85" w:type="dxa"/>
            </w:tcMar>
            <w:hideMark/>
          </w:tcPr>
          <w:p w:rsidR="007E7189" w:rsidRPr="00457309" w:rsidRDefault="007E7189" w:rsidP="00324B68">
            <w:pPr>
              <w:ind w:left="103"/>
              <w:rPr>
                <w:rFonts w:eastAsia="Times New Roman"/>
                <w:sz w:val="16"/>
                <w:szCs w:val="16"/>
                <w:lang w:val="es-ES_tradnl"/>
              </w:rPr>
            </w:pPr>
            <w:r w:rsidRPr="00457309">
              <w:rPr>
                <w:rFonts w:eastAsia="Times New Roman"/>
                <w:sz w:val="16"/>
                <w:szCs w:val="16"/>
                <w:lang w:val="es-ES_tradnl"/>
              </w:rPr>
              <w:t>N</w:t>
            </w:r>
            <w:r w:rsidR="00324B68">
              <w:rPr>
                <w:rFonts w:eastAsia="Times New Roman"/>
                <w:sz w:val="16"/>
                <w:szCs w:val="16"/>
                <w:lang w:val="es-ES_tradnl"/>
              </w:rPr>
              <w:t>º</w:t>
            </w:r>
            <w:r w:rsidRPr="00457309">
              <w:rPr>
                <w:rFonts w:eastAsia="Times New Roman"/>
                <w:sz w:val="16"/>
                <w:szCs w:val="16"/>
                <w:lang w:val="es-ES_tradnl"/>
              </w:rPr>
              <w:t xml:space="preserve"> de CATI que ofrecen servicios de análisis de patentes.</w:t>
            </w:r>
          </w:p>
        </w:tc>
        <w:tc>
          <w:tcPr>
            <w:tcW w:w="2560" w:type="dxa"/>
            <w:tcBorders>
              <w:top w:val="nil"/>
              <w:left w:val="nil"/>
              <w:bottom w:val="single" w:sz="4" w:space="0" w:color="auto"/>
              <w:right w:val="nil"/>
            </w:tcBorders>
            <w:shd w:val="clear" w:color="000000" w:fill="FFFFFF"/>
            <w:tcMar>
              <w:top w:w="85" w:type="dxa"/>
            </w:tcMar>
            <w:hideMark/>
          </w:tcPr>
          <w:p w:rsidR="007E7189" w:rsidRPr="00457309" w:rsidRDefault="007E7189" w:rsidP="00E02444">
            <w:pPr>
              <w:ind w:firstLineChars="200" w:firstLine="320"/>
              <w:rPr>
                <w:rFonts w:eastAsia="Times New Roman"/>
                <w:sz w:val="16"/>
                <w:szCs w:val="16"/>
                <w:lang w:val="es-ES_tradnl"/>
              </w:rPr>
            </w:pPr>
            <w:proofErr w:type="spellStart"/>
            <w:r w:rsidRPr="00457309">
              <w:rPr>
                <w:rFonts w:eastAsia="Times New Roman"/>
                <w:sz w:val="16"/>
                <w:szCs w:val="16"/>
                <w:lang w:val="es-ES_tradnl"/>
              </w:rPr>
              <w:t>n.d</w:t>
            </w:r>
            <w:proofErr w:type="spellEnd"/>
            <w:r w:rsidRPr="00457309">
              <w:rPr>
                <w:rFonts w:eastAsia="Times New Roman"/>
                <w:sz w:val="16"/>
                <w:szCs w:val="16"/>
                <w:lang w:val="es-ES_tradnl"/>
              </w:rPr>
              <w:t>.  (nuevo)</w:t>
            </w:r>
          </w:p>
        </w:tc>
        <w:tc>
          <w:tcPr>
            <w:tcW w:w="2373" w:type="dxa"/>
            <w:tcBorders>
              <w:top w:val="nil"/>
              <w:left w:val="nil"/>
              <w:bottom w:val="single" w:sz="4" w:space="0" w:color="auto"/>
              <w:right w:val="single" w:sz="4" w:space="0" w:color="auto"/>
            </w:tcBorders>
            <w:shd w:val="clear" w:color="000000" w:fill="FFFFFF"/>
            <w:tcMar>
              <w:top w:w="85" w:type="dxa"/>
            </w:tcMar>
            <w:hideMark/>
          </w:tcPr>
          <w:p w:rsidR="007E7189" w:rsidRPr="00457309" w:rsidRDefault="007E7189" w:rsidP="00E02444">
            <w:pPr>
              <w:ind w:firstLineChars="200" w:firstLine="320"/>
              <w:rPr>
                <w:rFonts w:eastAsia="Times New Roman"/>
                <w:sz w:val="16"/>
                <w:szCs w:val="16"/>
                <w:lang w:val="es-ES_tradnl"/>
              </w:rPr>
            </w:pPr>
            <w:r w:rsidRPr="00457309">
              <w:rPr>
                <w:rFonts w:eastAsia="Times New Roman"/>
                <w:sz w:val="16"/>
                <w:szCs w:val="16"/>
                <w:lang w:val="es-ES_tradnl"/>
              </w:rPr>
              <w:t>5</w:t>
            </w:r>
          </w:p>
        </w:tc>
      </w:tr>
    </w:tbl>
    <w:p w:rsidR="007E7189" w:rsidRPr="00457309" w:rsidRDefault="007E7189" w:rsidP="007E7189">
      <w:pPr>
        <w:rPr>
          <w:rFonts w:eastAsia="Times New Roman"/>
          <w:sz w:val="20"/>
          <w:lang w:val="es-ES_tradnl"/>
        </w:rPr>
      </w:pPr>
    </w:p>
    <w:p w:rsidR="00A22ABF" w:rsidRDefault="00A22ABF" w:rsidP="00A22ABF">
      <w:pPr>
        <w:pStyle w:val="ListParagraph"/>
        <w:tabs>
          <w:tab w:val="left" w:pos="709"/>
        </w:tabs>
        <w:autoSpaceDE w:val="0"/>
        <w:autoSpaceDN w:val="0"/>
        <w:adjustRightInd w:val="0"/>
        <w:ind w:left="0"/>
        <w:rPr>
          <w:rFonts w:ascii="Arial" w:hAnsi="Arial" w:cs="Arial"/>
          <w:sz w:val="20"/>
          <w:szCs w:val="20"/>
        </w:rPr>
      </w:pPr>
    </w:p>
    <w:p w:rsidR="00086E2A" w:rsidRPr="00F8163F" w:rsidRDefault="00810964" w:rsidP="00086E2A">
      <w:pPr>
        <w:rPr>
          <w:rFonts w:eastAsia="Times New Roman"/>
        </w:rPr>
      </w:pPr>
      <w:r w:rsidRPr="00F8163F">
        <w:rPr>
          <w:rFonts w:eastAsia="Times New Roman"/>
        </w:rPr>
        <w:t>RECURSOS PARA EL PROGRAMA 14</w:t>
      </w:r>
    </w:p>
    <w:p w:rsidR="00086E2A" w:rsidRPr="00F8163F" w:rsidRDefault="00086E2A" w:rsidP="00086E2A">
      <w:pPr>
        <w:rPr>
          <w:rFonts w:eastAsia="Times New Roman"/>
        </w:rPr>
      </w:pPr>
    </w:p>
    <w:p w:rsidR="00086E2A" w:rsidRPr="00F8163F" w:rsidRDefault="00F8163F" w:rsidP="00086E2A">
      <w:pPr>
        <w:numPr>
          <w:ilvl w:val="0"/>
          <w:numId w:val="32"/>
        </w:numPr>
        <w:tabs>
          <w:tab w:val="clear" w:pos="825"/>
        </w:tabs>
        <w:ind w:left="0"/>
        <w:jc w:val="both"/>
        <w:rPr>
          <w:rFonts w:eastAsia="Times New Roman"/>
          <w:bCs/>
          <w:sz w:val="20"/>
        </w:rPr>
      </w:pPr>
      <w:r w:rsidRPr="00F8163F">
        <w:rPr>
          <w:sz w:val="20"/>
        </w:rPr>
        <w:t>En 2016/17, la dotación global de recursos para el programa 14 se mantiene aproximadamente en el mismo nivel con respecto al presupuesto de 2014/</w:t>
      </w:r>
      <w:r w:rsidR="00ED0A05">
        <w:rPr>
          <w:sz w:val="20"/>
        </w:rPr>
        <w:t>15 tras las</w:t>
      </w:r>
      <w:r w:rsidRPr="00F8163F">
        <w:rPr>
          <w:sz w:val="20"/>
        </w:rPr>
        <w:t xml:space="preserve"> transferencias.  Ese es el resultado neto de una disminución en los recursos de personal debido a la redistribución de un puesto del programa y a un incremento general de 450.000 francos suizos para la aplicación del proyecto de la A.D. “Uso de la información en el dominio público para la investigación y el desarrollo en los países en desarrollo”.</w:t>
      </w:r>
    </w:p>
    <w:p w:rsidR="00086E2A" w:rsidRPr="00F8163F" w:rsidRDefault="00086E2A" w:rsidP="00086E2A">
      <w:pPr>
        <w:jc w:val="both"/>
        <w:rPr>
          <w:sz w:val="20"/>
        </w:rPr>
      </w:pPr>
    </w:p>
    <w:p w:rsidR="00810964" w:rsidRPr="00F8163F" w:rsidRDefault="00810964" w:rsidP="00810964">
      <w:pPr>
        <w:tabs>
          <w:tab w:val="left" w:pos="1427"/>
        </w:tabs>
        <w:jc w:val="center"/>
        <w:rPr>
          <w:sz w:val="20"/>
          <w:lang w:val="es-ES_tradnl"/>
        </w:rPr>
      </w:pPr>
      <w:r w:rsidRPr="00F8163F">
        <w:rPr>
          <w:b/>
          <w:sz w:val="20"/>
          <w:lang w:val="es-ES_tradnl"/>
        </w:rPr>
        <w:t>Programa 14</w:t>
      </w:r>
      <w:proofErr w:type="gramStart"/>
      <w:r w:rsidRPr="00F8163F">
        <w:rPr>
          <w:b/>
          <w:sz w:val="20"/>
          <w:lang w:val="es-ES_tradnl"/>
        </w:rPr>
        <w:t>:  Recursos</w:t>
      </w:r>
      <w:proofErr w:type="gramEnd"/>
      <w:r w:rsidRPr="00F8163F">
        <w:rPr>
          <w:b/>
          <w:sz w:val="20"/>
          <w:lang w:val="es-ES_tradnl"/>
        </w:rPr>
        <w:t xml:space="preserve"> por resultado</w:t>
      </w:r>
    </w:p>
    <w:p w:rsidR="00086E2A" w:rsidRPr="00F8163F" w:rsidRDefault="00810964" w:rsidP="00810964">
      <w:pPr>
        <w:tabs>
          <w:tab w:val="left" w:pos="1427"/>
        </w:tabs>
        <w:jc w:val="center"/>
        <w:rPr>
          <w:i/>
          <w:sz w:val="20"/>
          <w:szCs w:val="24"/>
          <w:lang w:val="es-ES_tradnl"/>
        </w:rPr>
      </w:pPr>
      <w:r w:rsidRPr="00F8163F">
        <w:rPr>
          <w:i/>
          <w:sz w:val="20"/>
          <w:lang w:val="es-ES_tradnl"/>
        </w:rPr>
        <w:t>(</w:t>
      </w:r>
      <w:proofErr w:type="gramStart"/>
      <w:r w:rsidRPr="00F8163F">
        <w:rPr>
          <w:i/>
          <w:sz w:val="20"/>
          <w:lang w:val="es-ES_tradnl"/>
        </w:rPr>
        <w:t>en</w:t>
      </w:r>
      <w:proofErr w:type="gramEnd"/>
      <w:r w:rsidRPr="00F8163F">
        <w:rPr>
          <w:i/>
          <w:sz w:val="20"/>
          <w:lang w:val="es-ES_tradnl"/>
        </w:rPr>
        <w:t xml:space="preserve"> miles de francos suizos)</w:t>
      </w:r>
    </w:p>
    <w:p w:rsidR="00086E2A" w:rsidRPr="00810964" w:rsidRDefault="00086E2A" w:rsidP="00086E2A">
      <w:pPr>
        <w:tabs>
          <w:tab w:val="left" w:pos="1427"/>
        </w:tabs>
        <w:jc w:val="center"/>
        <w:rPr>
          <w:i/>
          <w:sz w:val="20"/>
          <w:szCs w:val="24"/>
          <w:lang w:val="es-ES_tradnl"/>
        </w:rPr>
      </w:pPr>
    </w:p>
    <w:p w:rsidR="00086E2A" w:rsidRPr="009B4A78" w:rsidRDefault="00B36ED0" w:rsidP="00086E2A">
      <w:pPr>
        <w:tabs>
          <w:tab w:val="left" w:pos="1427"/>
        </w:tabs>
        <w:jc w:val="center"/>
        <w:rPr>
          <w:i/>
          <w:sz w:val="20"/>
          <w:szCs w:val="24"/>
        </w:rPr>
      </w:pPr>
      <w:r w:rsidRPr="00B36ED0">
        <w:rPr>
          <w:noProof/>
          <w:lang w:val="en-US" w:eastAsia="en-US"/>
        </w:rPr>
        <w:drawing>
          <wp:inline distT="0" distB="0" distL="0" distR="0">
            <wp:extent cx="5676900" cy="1360805"/>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676900" cy="1360805"/>
                    </a:xfrm>
                    <a:prstGeom prst="rect">
                      <a:avLst/>
                    </a:prstGeom>
                    <a:noFill/>
                    <a:ln>
                      <a:noFill/>
                    </a:ln>
                  </pic:spPr>
                </pic:pic>
              </a:graphicData>
            </a:graphic>
          </wp:inline>
        </w:drawing>
      </w:r>
    </w:p>
    <w:p w:rsidR="00086E2A" w:rsidRPr="009B4A78" w:rsidRDefault="00086E2A" w:rsidP="00086E2A">
      <w:pPr>
        <w:tabs>
          <w:tab w:val="left" w:pos="1427"/>
        </w:tabs>
        <w:jc w:val="center"/>
        <w:rPr>
          <w:i/>
          <w:sz w:val="20"/>
          <w:szCs w:val="24"/>
        </w:rPr>
      </w:pPr>
    </w:p>
    <w:p w:rsidR="00086E2A" w:rsidRPr="009B4A78" w:rsidRDefault="00086E2A" w:rsidP="00086E2A">
      <w:pPr>
        <w:tabs>
          <w:tab w:val="left" w:pos="1427"/>
        </w:tabs>
        <w:jc w:val="center"/>
        <w:rPr>
          <w:i/>
          <w:sz w:val="20"/>
          <w:szCs w:val="24"/>
        </w:rPr>
      </w:pPr>
    </w:p>
    <w:p w:rsidR="00810964" w:rsidRPr="005012AC" w:rsidRDefault="00810964" w:rsidP="00810964">
      <w:pPr>
        <w:keepNext/>
        <w:keepLines/>
        <w:tabs>
          <w:tab w:val="left" w:pos="1427"/>
        </w:tabs>
        <w:jc w:val="center"/>
        <w:rPr>
          <w:sz w:val="20"/>
          <w:lang w:val="es-ES_tradnl"/>
        </w:rPr>
      </w:pPr>
      <w:r w:rsidRPr="005012AC">
        <w:rPr>
          <w:b/>
          <w:sz w:val="20"/>
          <w:lang w:val="es-ES_tradnl"/>
        </w:rPr>
        <w:lastRenderedPageBreak/>
        <w:t>Programa 14</w:t>
      </w:r>
      <w:proofErr w:type="gramStart"/>
      <w:r w:rsidRPr="005012AC">
        <w:rPr>
          <w:b/>
          <w:sz w:val="20"/>
          <w:lang w:val="es-ES_tradnl"/>
        </w:rPr>
        <w:t>:  Recursos</w:t>
      </w:r>
      <w:proofErr w:type="gramEnd"/>
      <w:r w:rsidRPr="005012AC">
        <w:rPr>
          <w:b/>
          <w:sz w:val="20"/>
          <w:lang w:val="es-ES_tradnl"/>
        </w:rPr>
        <w:t xml:space="preserve"> por objeto de gasto</w:t>
      </w:r>
    </w:p>
    <w:p w:rsidR="00086E2A" w:rsidRPr="005012AC" w:rsidRDefault="00810964" w:rsidP="00810964">
      <w:pPr>
        <w:keepNext/>
        <w:keepLines/>
        <w:tabs>
          <w:tab w:val="left" w:pos="1427"/>
        </w:tabs>
        <w:jc w:val="center"/>
        <w:rPr>
          <w:lang w:val="es-ES_tradnl"/>
        </w:rPr>
      </w:pPr>
      <w:r w:rsidRPr="005012AC">
        <w:rPr>
          <w:i/>
          <w:sz w:val="20"/>
          <w:lang w:val="es-ES_tradnl"/>
        </w:rPr>
        <w:t>(</w:t>
      </w:r>
      <w:proofErr w:type="gramStart"/>
      <w:r w:rsidRPr="005012AC">
        <w:rPr>
          <w:i/>
          <w:sz w:val="20"/>
          <w:lang w:val="es-ES_tradnl"/>
        </w:rPr>
        <w:t>en</w:t>
      </w:r>
      <w:proofErr w:type="gramEnd"/>
      <w:r w:rsidRPr="005012AC">
        <w:rPr>
          <w:i/>
          <w:sz w:val="20"/>
          <w:lang w:val="es-ES_tradnl"/>
        </w:rPr>
        <w:t xml:space="preserve"> miles de francos suizos)</w:t>
      </w:r>
    </w:p>
    <w:p w:rsidR="00086E2A" w:rsidRPr="005012AC" w:rsidRDefault="00086E2A" w:rsidP="00086E2A">
      <w:pPr>
        <w:keepNext/>
        <w:keepLines/>
        <w:tabs>
          <w:tab w:val="left" w:pos="1427"/>
        </w:tabs>
        <w:jc w:val="center"/>
        <w:rPr>
          <w:lang w:val="es-ES_tradnl"/>
        </w:rPr>
      </w:pPr>
    </w:p>
    <w:p w:rsidR="00086E2A" w:rsidRPr="009B4A78" w:rsidRDefault="00835617" w:rsidP="00086E2A">
      <w:pPr>
        <w:jc w:val="center"/>
        <w:rPr>
          <w:rFonts w:eastAsia="Times New Roman"/>
          <w:sz w:val="20"/>
        </w:rPr>
      </w:pPr>
      <w:r>
        <w:rPr>
          <w:noProof/>
          <w:lang w:val="en-US" w:eastAsia="en-US"/>
        </w:rPr>
        <w:drawing>
          <wp:inline distT="0" distB="0" distL="0" distR="0" wp14:anchorId="62C29758" wp14:editId="5E34F42B">
            <wp:extent cx="5940425" cy="6676632"/>
            <wp:effectExtent l="0" t="0" r="3175"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940425" cy="6676632"/>
                    </a:xfrm>
                    <a:prstGeom prst="rect">
                      <a:avLst/>
                    </a:prstGeom>
                    <a:noFill/>
                    <a:ln>
                      <a:noFill/>
                    </a:ln>
                  </pic:spPr>
                </pic:pic>
              </a:graphicData>
            </a:graphic>
          </wp:inline>
        </w:drawing>
      </w:r>
    </w:p>
    <w:p w:rsidR="00086E2A" w:rsidRPr="009B4A78" w:rsidRDefault="00086E2A" w:rsidP="00086E2A">
      <w:pPr>
        <w:rPr>
          <w:rFonts w:eastAsia="Times New Roman"/>
          <w:sz w:val="20"/>
        </w:rPr>
      </w:pPr>
    </w:p>
    <w:p w:rsidR="00086E2A" w:rsidRDefault="00086E2A" w:rsidP="00086E2A">
      <w:pPr>
        <w:jc w:val="both"/>
        <w:rPr>
          <w:rFonts w:eastAsia="Times New Roman"/>
          <w:bCs/>
          <w:sz w:val="20"/>
          <w:lang w:val="en-US"/>
        </w:rPr>
      </w:pPr>
    </w:p>
    <w:p w:rsidR="00086E2A" w:rsidRDefault="00086E2A">
      <w:pPr>
        <w:rPr>
          <w:rFonts w:eastAsia="Times New Roman"/>
          <w:bCs/>
          <w:sz w:val="20"/>
          <w:lang w:val="en-US"/>
        </w:rPr>
      </w:pPr>
      <w:r>
        <w:rPr>
          <w:rFonts w:eastAsia="Times New Roman"/>
          <w:bCs/>
          <w:sz w:val="20"/>
          <w:lang w:val="en-US"/>
        </w:rPr>
        <w:br w:type="page"/>
      </w:r>
    </w:p>
    <w:p w:rsidR="005460FA" w:rsidRPr="005460FA" w:rsidRDefault="005460FA" w:rsidP="005460FA">
      <w:pPr>
        <w:pStyle w:val="StyleHeading3ComplexItalic"/>
        <w:rPr>
          <w:rStyle w:val="StyleStyleHeading3ComplexItalicLatin12ptChar"/>
          <w:b/>
          <w:lang w:val="es-ES"/>
        </w:rPr>
      </w:pPr>
      <w:bookmarkStart w:id="52" w:name="_Toc420681150"/>
      <w:r w:rsidRPr="005460FA">
        <w:rPr>
          <w:rStyle w:val="StyleStyleHeading3ComplexItalicLatin12ptChar"/>
          <w:b/>
          <w:lang w:val="es-ES"/>
        </w:rPr>
        <w:lastRenderedPageBreak/>
        <w:t>PROGRAMA 15</w:t>
      </w:r>
      <w:r w:rsidRPr="005460FA">
        <w:rPr>
          <w:rStyle w:val="StyleStyleHeading3ComplexItalicLatin12ptChar"/>
          <w:b/>
          <w:lang w:val="es-ES"/>
        </w:rPr>
        <w:tab/>
        <w:t>SOLUCIONES OPERATIVAS PARA LAS OFICINAS DE P.I.</w:t>
      </w:r>
      <w:bookmarkEnd w:id="52"/>
    </w:p>
    <w:p w:rsidR="005460FA" w:rsidRPr="000957E1" w:rsidRDefault="005460FA" w:rsidP="005460FA">
      <w:pPr>
        <w:rPr>
          <w:bCs/>
          <w:sz w:val="20"/>
          <w:szCs w:val="24"/>
        </w:rPr>
      </w:pPr>
    </w:p>
    <w:p w:rsidR="005460FA" w:rsidRPr="000957E1" w:rsidRDefault="005460FA" w:rsidP="005460FA">
      <w:pPr>
        <w:rPr>
          <w:bCs/>
          <w:sz w:val="20"/>
          <w:szCs w:val="24"/>
        </w:rPr>
      </w:pPr>
    </w:p>
    <w:p w:rsidR="005460FA" w:rsidRPr="00E12F14" w:rsidRDefault="005460FA" w:rsidP="005460FA">
      <w:pPr>
        <w:rPr>
          <w:bCs/>
          <w:szCs w:val="22"/>
        </w:rPr>
      </w:pPr>
      <w:r w:rsidRPr="00E12F14">
        <w:rPr>
          <w:bCs/>
          <w:szCs w:val="22"/>
        </w:rPr>
        <w:t>CONTEXTO DE PLANIFICACIÓN</w:t>
      </w:r>
    </w:p>
    <w:p w:rsidR="005460FA" w:rsidRPr="000957E1" w:rsidRDefault="005460FA" w:rsidP="005460FA">
      <w:pPr>
        <w:jc w:val="both"/>
        <w:rPr>
          <w:bCs/>
          <w:sz w:val="20"/>
          <w:szCs w:val="21"/>
        </w:rPr>
      </w:pPr>
    </w:p>
    <w:p w:rsidR="005460FA" w:rsidRPr="000957E1" w:rsidRDefault="005460FA" w:rsidP="005460FA">
      <w:pPr>
        <w:numPr>
          <w:ilvl w:val="0"/>
          <w:numId w:val="33"/>
        </w:numPr>
        <w:shd w:val="clear" w:color="auto" w:fill="FFFFFF"/>
        <w:tabs>
          <w:tab w:val="left" w:pos="709"/>
        </w:tabs>
        <w:suppressAutoHyphens/>
        <w:ind w:left="0" w:firstLine="0"/>
        <w:jc w:val="both"/>
        <w:rPr>
          <w:sz w:val="18"/>
        </w:rPr>
      </w:pPr>
      <w:r w:rsidRPr="000957E1">
        <w:rPr>
          <w:sz w:val="20"/>
        </w:rPr>
        <w:t xml:space="preserve">Este programa constituye la base de la infraestructura mundial, en la que la arquitectura técnica del sistema de P.I. complementa la arquitectura jurídica y operativa.  </w:t>
      </w:r>
      <w:r w:rsidRPr="000957E1">
        <w:rPr>
          <w:rFonts w:eastAsia="Calibri"/>
          <w:sz w:val="20"/>
          <w:szCs w:val="21"/>
        </w:rPr>
        <w:t xml:space="preserve">El programa aporta soluciones de </w:t>
      </w:r>
      <w:r w:rsidRPr="000957E1">
        <w:rPr>
          <w:rFonts w:eastAsia="Calibri"/>
          <w:i/>
          <w:sz w:val="20"/>
          <w:szCs w:val="21"/>
        </w:rPr>
        <w:t>software</w:t>
      </w:r>
      <w:r w:rsidRPr="000957E1">
        <w:rPr>
          <w:rFonts w:eastAsia="Calibri"/>
          <w:sz w:val="20"/>
          <w:szCs w:val="21"/>
        </w:rPr>
        <w:t xml:space="preserve"> adaptadas a cada caso y servicios conexos de formación y de gestión de proyectos para facilitar la tramitación eficiente de las solicitudes de derechos de P.I. en los Estados miembros y la colaboración efectiva entre las oficinas de P.I. y dar apoyo a los organismos de gestión colectiva del derecho de autor.  Las actividades del programa se dirigen especialmente a las Oficinas de P.I. de los países en desarrollo y los países menos adelantados.</w:t>
      </w:r>
    </w:p>
    <w:p w:rsidR="005460FA" w:rsidRPr="000957E1" w:rsidRDefault="005460FA" w:rsidP="005460FA">
      <w:pPr>
        <w:shd w:val="clear" w:color="auto" w:fill="FFFFFF"/>
        <w:tabs>
          <w:tab w:val="left" w:pos="709"/>
        </w:tabs>
        <w:jc w:val="both"/>
        <w:rPr>
          <w:sz w:val="18"/>
        </w:rPr>
      </w:pPr>
    </w:p>
    <w:p w:rsidR="005460FA" w:rsidRPr="000957E1" w:rsidRDefault="00AD3267" w:rsidP="006A3CA4">
      <w:pPr>
        <w:pStyle w:val="p1"/>
        <w:shd w:val="clear" w:color="auto" w:fill="FFFFFF"/>
        <w:rPr>
          <w:rFonts w:ascii="Arial" w:hAnsi="Arial" w:cs="Arial"/>
          <w:lang w:val="es-ES" w:eastAsia="en-GB"/>
        </w:rPr>
      </w:pPr>
      <w:r>
        <w:rPr>
          <w:rFonts w:ascii="Arial" w:hAnsi="Arial" w:cs="Arial"/>
          <w:noProof/>
          <w:lang w:eastAsia="en-US"/>
        </w:rPr>
        <w:drawing>
          <wp:inline distT="0" distB="0" distL="0" distR="0" wp14:anchorId="0722F4A0">
            <wp:extent cx="5857200" cy="3416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57200" cy="3416400"/>
                    </a:xfrm>
                    <a:prstGeom prst="rect">
                      <a:avLst/>
                    </a:prstGeom>
                    <a:noFill/>
                  </pic:spPr>
                </pic:pic>
              </a:graphicData>
            </a:graphic>
          </wp:inline>
        </w:drawing>
      </w:r>
    </w:p>
    <w:p w:rsidR="005460FA" w:rsidRPr="000957E1" w:rsidRDefault="005460FA" w:rsidP="005460FA">
      <w:pPr>
        <w:shd w:val="clear" w:color="auto" w:fill="FFFFFF"/>
        <w:jc w:val="both"/>
        <w:rPr>
          <w:rFonts w:eastAsia="Calibri"/>
          <w:sz w:val="20"/>
          <w:szCs w:val="21"/>
        </w:rPr>
      </w:pPr>
    </w:p>
    <w:p w:rsidR="005460FA" w:rsidRPr="000957E1" w:rsidRDefault="005460FA" w:rsidP="005460FA">
      <w:pPr>
        <w:numPr>
          <w:ilvl w:val="0"/>
          <w:numId w:val="33"/>
        </w:numPr>
        <w:shd w:val="clear" w:color="auto" w:fill="FFFFFF"/>
        <w:tabs>
          <w:tab w:val="left" w:pos="709"/>
        </w:tabs>
        <w:suppressAutoHyphens/>
        <w:ind w:left="0" w:firstLine="0"/>
        <w:jc w:val="both"/>
        <w:rPr>
          <w:rFonts w:eastAsia="Calibri"/>
          <w:sz w:val="20"/>
          <w:szCs w:val="21"/>
        </w:rPr>
      </w:pPr>
      <w:r w:rsidRPr="000957E1">
        <w:rPr>
          <w:rFonts w:eastAsia="Calibri"/>
          <w:sz w:val="20"/>
          <w:szCs w:val="21"/>
        </w:rPr>
        <w:t xml:space="preserve">Todas las soluciones operativas de la OMPI se facilitan gratuitamente, si bien los demás costos del proyecto (por ejemplo, los costos de los equipos informáticos de T.I. y los costos de personal) corren a cargo de la Oficina de P.I.  De las Oficinas de P.I. que utilizan las plataformas de </w:t>
      </w:r>
      <w:r w:rsidRPr="000957E1">
        <w:rPr>
          <w:rFonts w:eastAsia="Calibri"/>
          <w:i/>
          <w:sz w:val="20"/>
          <w:szCs w:val="21"/>
        </w:rPr>
        <w:t>software</w:t>
      </w:r>
      <w:r w:rsidRPr="000957E1">
        <w:rPr>
          <w:rFonts w:eastAsia="Calibri"/>
          <w:sz w:val="20"/>
          <w:szCs w:val="21"/>
        </w:rPr>
        <w:t xml:space="preserve"> de la OMPI, 17 están en PMA.  Entre los sistemas facilitados figuran el Sistema de Automatización de la Propiedad Intelectual (IPAS), </w:t>
      </w:r>
      <w:r w:rsidRPr="00D842AD">
        <w:rPr>
          <w:rFonts w:eastAsia="Calibri"/>
          <w:i/>
          <w:sz w:val="20"/>
          <w:szCs w:val="21"/>
        </w:rPr>
        <w:t xml:space="preserve">WIPO </w:t>
      </w:r>
      <w:proofErr w:type="spellStart"/>
      <w:r w:rsidRPr="00D842AD">
        <w:rPr>
          <w:rFonts w:eastAsia="Calibri"/>
          <w:i/>
          <w:sz w:val="20"/>
          <w:szCs w:val="21"/>
        </w:rPr>
        <w:t>Scan</w:t>
      </w:r>
      <w:proofErr w:type="spellEnd"/>
      <w:r w:rsidRPr="000957E1">
        <w:rPr>
          <w:rFonts w:eastAsia="Calibri"/>
          <w:sz w:val="20"/>
          <w:szCs w:val="21"/>
        </w:rPr>
        <w:t xml:space="preserve"> y </w:t>
      </w:r>
      <w:r w:rsidRPr="00D842AD">
        <w:rPr>
          <w:rFonts w:eastAsia="Calibri"/>
          <w:i/>
          <w:sz w:val="20"/>
          <w:szCs w:val="21"/>
        </w:rPr>
        <w:t>WIPO EDMS</w:t>
      </w:r>
      <w:r w:rsidRPr="000957E1">
        <w:rPr>
          <w:rFonts w:eastAsia="Calibri"/>
          <w:sz w:val="20"/>
          <w:szCs w:val="21"/>
        </w:rPr>
        <w:t xml:space="preserve"> (Sistema de Gestión Electrónica de Documentos).  En el marco de este programa, también se crean y ofrecen plataformas internacionales de tramitación de solicitudes de derechos de P.I., como </w:t>
      </w:r>
      <w:r w:rsidRPr="00D842AD">
        <w:rPr>
          <w:rFonts w:eastAsia="Calibri"/>
          <w:i/>
          <w:sz w:val="20"/>
          <w:szCs w:val="21"/>
        </w:rPr>
        <w:t>WIPO DAS</w:t>
      </w:r>
      <w:r w:rsidRPr="000957E1">
        <w:rPr>
          <w:rFonts w:eastAsia="Calibri"/>
          <w:sz w:val="20"/>
          <w:szCs w:val="21"/>
        </w:rPr>
        <w:t xml:space="preserve"> (servicio de acceso digital para la transmisión de documentos de prioridad) y </w:t>
      </w:r>
      <w:r w:rsidRPr="00D842AD">
        <w:rPr>
          <w:rFonts w:eastAsia="Calibri"/>
          <w:i/>
          <w:sz w:val="20"/>
          <w:szCs w:val="21"/>
        </w:rPr>
        <w:t>WIPO CASE</w:t>
      </w:r>
      <w:r w:rsidRPr="000957E1">
        <w:rPr>
          <w:rFonts w:eastAsia="Calibri"/>
          <w:sz w:val="20"/>
          <w:szCs w:val="21"/>
        </w:rPr>
        <w:t xml:space="preserve"> (acceso centralizado a documentos de búsqueda y examen), para facilitar la cooperación internacional de las Oficinas de P.I. y prestar servicios baratos y eficientes a los usuarios del sistema de P.I. de todo el mundo. </w:t>
      </w:r>
    </w:p>
    <w:p w:rsidR="005460FA" w:rsidRPr="000957E1" w:rsidRDefault="005460FA" w:rsidP="005460FA">
      <w:pPr>
        <w:pStyle w:val="p1"/>
        <w:shd w:val="clear" w:color="auto" w:fill="FFFFFF"/>
        <w:jc w:val="both"/>
        <w:rPr>
          <w:rFonts w:ascii="Arial" w:hAnsi="Arial" w:cs="Arial"/>
          <w:sz w:val="20"/>
          <w:szCs w:val="21"/>
          <w:lang w:val="es-ES"/>
        </w:rPr>
      </w:pPr>
    </w:p>
    <w:p w:rsidR="005460FA" w:rsidRPr="000957E1" w:rsidRDefault="005460FA" w:rsidP="005460FA">
      <w:pPr>
        <w:pStyle w:val="p1"/>
        <w:shd w:val="clear" w:color="auto" w:fill="FFFFFF"/>
        <w:jc w:val="both"/>
        <w:rPr>
          <w:rFonts w:ascii="Arial" w:hAnsi="Arial" w:cs="Arial"/>
          <w:sz w:val="20"/>
          <w:szCs w:val="21"/>
          <w:lang w:val="es-ES"/>
        </w:rPr>
      </w:pPr>
    </w:p>
    <w:p w:rsidR="005460FA" w:rsidRPr="000957E1" w:rsidRDefault="005460FA" w:rsidP="005460FA">
      <w:pPr>
        <w:jc w:val="both"/>
        <w:rPr>
          <w:bCs/>
          <w:sz w:val="21"/>
          <w:szCs w:val="21"/>
        </w:rPr>
      </w:pPr>
      <w:r w:rsidRPr="000957E1">
        <w:rPr>
          <w:bCs/>
          <w:sz w:val="21"/>
          <w:szCs w:val="21"/>
        </w:rPr>
        <w:t>ESTRATEGIAS DE EJECUCIÓN</w:t>
      </w:r>
    </w:p>
    <w:p w:rsidR="005460FA" w:rsidRPr="000957E1" w:rsidRDefault="005460FA" w:rsidP="005460FA">
      <w:pPr>
        <w:pStyle w:val="p2"/>
        <w:shd w:val="clear" w:color="auto" w:fill="FFFFFF"/>
        <w:jc w:val="both"/>
        <w:rPr>
          <w:rFonts w:ascii="Arial" w:hAnsi="Arial" w:cs="Arial"/>
          <w:sz w:val="20"/>
          <w:szCs w:val="21"/>
          <w:lang w:val="es-ES"/>
        </w:rPr>
      </w:pPr>
    </w:p>
    <w:p w:rsidR="005460FA" w:rsidRPr="000957E1" w:rsidRDefault="005460FA" w:rsidP="005460FA">
      <w:pPr>
        <w:numPr>
          <w:ilvl w:val="0"/>
          <w:numId w:val="33"/>
        </w:numPr>
        <w:shd w:val="clear" w:color="auto" w:fill="FFFFFF"/>
        <w:tabs>
          <w:tab w:val="left" w:pos="709"/>
        </w:tabs>
        <w:suppressAutoHyphens/>
        <w:ind w:left="0" w:firstLine="0"/>
        <w:jc w:val="both"/>
        <w:rPr>
          <w:rFonts w:eastAsia="Calibri"/>
          <w:sz w:val="20"/>
          <w:szCs w:val="21"/>
        </w:rPr>
      </w:pPr>
      <w:r w:rsidRPr="000957E1">
        <w:rPr>
          <w:rFonts w:eastAsia="Calibri"/>
          <w:sz w:val="20"/>
          <w:szCs w:val="21"/>
        </w:rPr>
        <w:t xml:space="preserve">A la luz de las actuales tendencias y demandas de las Oficinas de P.I., se prevé que el número de Oficinas de P.I. que han recibido soluciones de la OMPI aumente y pase a ser de unas 80.  Sin dejar de dar respuesta a las nuevas demandas, las estrategias de ejecución se orientarán progresivamente hacia la mejora, la consolidación y la integración de las plataformas de </w:t>
      </w:r>
      <w:r w:rsidRPr="000957E1">
        <w:rPr>
          <w:rFonts w:eastAsia="Calibri"/>
          <w:i/>
          <w:sz w:val="20"/>
          <w:szCs w:val="21"/>
        </w:rPr>
        <w:t>software</w:t>
      </w:r>
      <w:r w:rsidRPr="000957E1">
        <w:rPr>
          <w:rFonts w:eastAsia="Calibri"/>
          <w:sz w:val="20"/>
          <w:szCs w:val="21"/>
        </w:rPr>
        <w:t xml:space="preserve"> de la OMPI y de sus servicios, así como a la sostenibilidad de los sistemas de administración y a que las Oficinas de P.I. los asuman como propios.</w:t>
      </w:r>
    </w:p>
    <w:p w:rsidR="005460FA" w:rsidRPr="000957E1" w:rsidRDefault="005460FA" w:rsidP="005460FA">
      <w:pPr>
        <w:shd w:val="clear" w:color="auto" w:fill="FFFFFF"/>
        <w:jc w:val="both"/>
        <w:rPr>
          <w:rFonts w:eastAsia="Calibri"/>
          <w:sz w:val="20"/>
          <w:szCs w:val="21"/>
        </w:rPr>
      </w:pPr>
    </w:p>
    <w:p w:rsidR="005460FA" w:rsidRPr="000957E1" w:rsidRDefault="005460FA" w:rsidP="005460FA">
      <w:pPr>
        <w:numPr>
          <w:ilvl w:val="0"/>
          <w:numId w:val="33"/>
        </w:numPr>
        <w:shd w:val="clear" w:color="auto" w:fill="FFFFFF"/>
        <w:tabs>
          <w:tab w:val="left" w:pos="709"/>
          <w:tab w:val="left" w:pos="1985"/>
        </w:tabs>
        <w:suppressAutoHyphens/>
        <w:ind w:left="0" w:firstLine="0"/>
        <w:jc w:val="both"/>
        <w:rPr>
          <w:sz w:val="20"/>
          <w:szCs w:val="21"/>
        </w:rPr>
      </w:pPr>
      <w:r w:rsidRPr="000957E1">
        <w:rPr>
          <w:sz w:val="20"/>
          <w:szCs w:val="21"/>
        </w:rPr>
        <w:t xml:space="preserve">La utilización de las soluciones operativas de la OMPI seguirá siendo una opción muy barata para las Oficinas de P.I., lo que supondrá un ahorro y un índice de riesgo menor que otras alternativas disponibles.  Se seguirán mejorando las soluciones operativas de la OMPI y se seguirán consolidando </w:t>
      </w:r>
      <w:r w:rsidRPr="000957E1">
        <w:rPr>
          <w:sz w:val="20"/>
          <w:szCs w:val="21"/>
        </w:rPr>
        <w:lastRenderedPageBreak/>
        <w:t>los servicios</w:t>
      </w:r>
      <w:r w:rsidR="00037E5E">
        <w:rPr>
          <w:sz w:val="20"/>
          <w:szCs w:val="21"/>
        </w:rPr>
        <w:t xml:space="preserve"> que presta</w:t>
      </w:r>
      <w:r w:rsidRPr="000957E1">
        <w:rPr>
          <w:sz w:val="20"/>
          <w:szCs w:val="21"/>
        </w:rPr>
        <w:t>.  El reto con respecto al bienio será continuar prestando servicios de alta calidad y baratos al tiempo que aumenta la demanda.</w:t>
      </w:r>
    </w:p>
    <w:p w:rsidR="005460FA" w:rsidRPr="000957E1" w:rsidRDefault="005460FA" w:rsidP="005460FA">
      <w:pPr>
        <w:pStyle w:val="p1"/>
        <w:widowControl w:val="0"/>
        <w:shd w:val="clear" w:color="auto" w:fill="FFFFFF"/>
        <w:suppressAutoHyphens w:val="0"/>
        <w:jc w:val="both"/>
        <w:rPr>
          <w:rFonts w:ascii="Arial" w:hAnsi="Arial" w:cs="Arial"/>
          <w:sz w:val="20"/>
          <w:szCs w:val="21"/>
          <w:lang w:val="es-ES"/>
        </w:rPr>
      </w:pPr>
    </w:p>
    <w:p w:rsidR="005460FA" w:rsidRPr="000957E1" w:rsidRDefault="005460FA" w:rsidP="005460FA">
      <w:pPr>
        <w:widowControl w:val="0"/>
        <w:numPr>
          <w:ilvl w:val="0"/>
          <w:numId w:val="33"/>
        </w:numPr>
        <w:shd w:val="clear" w:color="auto" w:fill="FFFFFF"/>
        <w:tabs>
          <w:tab w:val="left" w:pos="709"/>
        </w:tabs>
        <w:ind w:left="0" w:firstLine="0"/>
        <w:jc w:val="both"/>
        <w:rPr>
          <w:sz w:val="20"/>
          <w:szCs w:val="21"/>
        </w:rPr>
      </w:pPr>
      <w:r w:rsidRPr="000957E1">
        <w:rPr>
          <w:sz w:val="20"/>
          <w:szCs w:val="21"/>
        </w:rPr>
        <w:t>A continuación se enuncian las prioridades específicas del bienio:</w:t>
      </w:r>
    </w:p>
    <w:p w:rsidR="005460FA" w:rsidRPr="000957E1" w:rsidRDefault="005460FA" w:rsidP="005460FA">
      <w:pPr>
        <w:pStyle w:val="p1"/>
        <w:widowControl w:val="0"/>
        <w:shd w:val="clear" w:color="auto" w:fill="FFFFFF"/>
        <w:suppressAutoHyphens w:val="0"/>
        <w:ind w:left="360"/>
        <w:jc w:val="both"/>
        <w:rPr>
          <w:rFonts w:ascii="Arial" w:hAnsi="Arial" w:cs="Arial"/>
          <w:sz w:val="18"/>
          <w:szCs w:val="21"/>
          <w:lang w:val="es-ES"/>
        </w:rPr>
      </w:pPr>
    </w:p>
    <w:p w:rsidR="005460FA" w:rsidRPr="000957E1" w:rsidRDefault="005460FA" w:rsidP="005460FA">
      <w:pPr>
        <w:pStyle w:val="p1"/>
        <w:widowControl w:val="0"/>
        <w:numPr>
          <w:ilvl w:val="0"/>
          <w:numId w:val="34"/>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 xml:space="preserve">Se seguirá impulsando la sostenibilidad de los niveles de los servicios prestados y la continuidad de las operaciones mediante la ejecución de un plan de urgencia y de continuidad de las operaciones y la atribución de prioridad a la transferencia de conocimientos, las actividades de formación y los servicios de soporte reactivo; </w:t>
      </w:r>
    </w:p>
    <w:p w:rsidR="005460FA" w:rsidRPr="000957E1" w:rsidRDefault="005460FA" w:rsidP="005460FA">
      <w:pPr>
        <w:pStyle w:val="p1"/>
        <w:widowControl w:val="0"/>
        <w:shd w:val="clear" w:color="auto" w:fill="FFFFFF"/>
        <w:suppressAutoHyphens w:val="0"/>
        <w:ind w:left="993" w:hanging="426"/>
        <w:jc w:val="both"/>
        <w:rPr>
          <w:rFonts w:ascii="Arial" w:hAnsi="Arial" w:cs="Arial"/>
          <w:sz w:val="20"/>
          <w:szCs w:val="21"/>
          <w:lang w:val="es-ES"/>
        </w:rPr>
      </w:pPr>
    </w:p>
    <w:p w:rsidR="005460FA" w:rsidRPr="000957E1" w:rsidRDefault="005460FA" w:rsidP="005460FA">
      <w:pPr>
        <w:pStyle w:val="p1"/>
        <w:widowControl w:val="0"/>
        <w:numPr>
          <w:ilvl w:val="0"/>
          <w:numId w:val="34"/>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 xml:space="preserve">Se llevarán a término los nuevos módulos de </w:t>
      </w:r>
      <w:r w:rsidRPr="000957E1">
        <w:rPr>
          <w:rFonts w:ascii="Arial" w:hAnsi="Arial" w:cs="Arial"/>
          <w:i/>
          <w:sz w:val="20"/>
          <w:szCs w:val="21"/>
          <w:lang w:val="es-ES"/>
        </w:rPr>
        <w:t>software</w:t>
      </w:r>
      <w:r w:rsidRPr="000957E1">
        <w:rPr>
          <w:rFonts w:ascii="Arial" w:hAnsi="Arial" w:cs="Arial"/>
          <w:sz w:val="20"/>
          <w:szCs w:val="21"/>
          <w:lang w:val="es-ES"/>
        </w:rPr>
        <w:t xml:space="preserve"> para la presentación electrónica de solicitudes (</w:t>
      </w:r>
      <w:r w:rsidRPr="00A47448">
        <w:rPr>
          <w:rFonts w:ascii="Arial" w:hAnsi="Arial" w:cs="Arial"/>
          <w:i/>
          <w:sz w:val="20"/>
          <w:szCs w:val="21"/>
          <w:lang w:val="es-ES"/>
        </w:rPr>
        <w:t>WIPO File</w:t>
      </w:r>
      <w:r w:rsidRPr="000957E1">
        <w:rPr>
          <w:rFonts w:ascii="Arial" w:hAnsi="Arial" w:cs="Arial"/>
          <w:sz w:val="20"/>
          <w:szCs w:val="21"/>
          <w:lang w:val="es-ES"/>
        </w:rPr>
        <w:t>) y para la publicación e intercambio de datos por medios electrónicos (</w:t>
      </w:r>
      <w:r w:rsidRPr="00A47448">
        <w:rPr>
          <w:rFonts w:ascii="Arial" w:hAnsi="Arial" w:cs="Arial"/>
          <w:i/>
          <w:sz w:val="20"/>
          <w:szCs w:val="21"/>
          <w:lang w:val="es-ES"/>
        </w:rPr>
        <w:t>WIPO </w:t>
      </w:r>
      <w:proofErr w:type="spellStart"/>
      <w:r w:rsidRPr="00A47448">
        <w:rPr>
          <w:rFonts w:ascii="Arial" w:hAnsi="Arial" w:cs="Arial"/>
          <w:i/>
          <w:sz w:val="20"/>
          <w:szCs w:val="21"/>
          <w:lang w:val="es-ES"/>
        </w:rPr>
        <w:t>Publish</w:t>
      </w:r>
      <w:proofErr w:type="spellEnd"/>
      <w:r w:rsidRPr="000957E1">
        <w:rPr>
          <w:rFonts w:ascii="Arial" w:hAnsi="Arial" w:cs="Arial"/>
          <w:sz w:val="20"/>
          <w:szCs w:val="21"/>
          <w:lang w:val="es-ES"/>
        </w:rPr>
        <w:t>), y se pondrán a disposición de las Oficinas de P.I. que estén preparadas para ponerlos en funcionamiento;</w:t>
      </w:r>
    </w:p>
    <w:p w:rsidR="005460FA" w:rsidRPr="000957E1" w:rsidRDefault="005460FA" w:rsidP="005460FA">
      <w:pPr>
        <w:pStyle w:val="p1"/>
        <w:widowControl w:val="0"/>
        <w:shd w:val="clear" w:color="auto" w:fill="FFFFFF"/>
        <w:suppressAutoHyphens w:val="0"/>
        <w:ind w:left="993" w:hanging="426"/>
        <w:jc w:val="both"/>
        <w:rPr>
          <w:rFonts w:ascii="Arial" w:hAnsi="Arial" w:cs="Arial"/>
          <w:sz w:val="20"/>
          <w:szCs w:val="21"/>
          <w:lang w:val="es-ES"/>
        </w:rPr>
      </w:pPr>
    </w:p>
    <w:p w:rsidR="005460FA" w:rsidRPr="000957E1" w:rsidRDefault="005460FA" w:rsidP="005460FA">
      <w:pPr>
        <w:pStyle w:val="p1"/>
        <w:widowControl w:val="0"/>
        <w:numPr>
          <w:ilvl w:val="0"/>
          <w:numId w:val="34"/>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mejorará el sistema IPAS para albergar nuevas funciones, entre otras, las destinadas a facilitar la tramitación de las solicitudes de los Sistemas de Madrid y del PCT y la tramitación relativa a los diseños industriales, y otras funciones que soliciten los usuarios;</w:t>
      </w:r>
    </w:p>
    <w:p w:rsidR="005460FA" w:rsidRPr="000957E1" w:rsidRDefault="005460FA" w:rsidP="005460FA">
      <w:pPr>
        <w:pStyle w:val="p1"/>
        <w:widowControl w:val="0"/>
        <w:shd w:val="clear" w:color="auto" w:fill="FFFFFF"/>
        <w:suppressAutoHyphens w:val="0"/>
        <w:ind w:left="993" w:hanging="426"/>
        <w:jc w:val="both"/>
        <w:rPr>
          <w:rFonts w:ascii="Arial" w:hAnsi="Arial" w:cs="Arial"/>
          <w:sz w:val="20"/>
          <w:szCs w:val="21"/>
          <w:lang w:val="es-ES"/>
        </w:rPr>
      </w:pPr>
    </w:p>
    <w:p w:rsidR="005460FA" w:rsidRPr="000957E1" w:rsidRDefault="005460FA" w:rsidP="005460FA">
      <w:pPr>
        <w:pStyle w:val="p1"/>
        <w:widowControl w:val="0"/>
        <w:numPr>
          <w:ilvl w:val="0"/>
          <w:numId w:val="34"/>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desmantelará el sistema AIPMS y se sustituirá por el sistema IPAS, que ahora está totalmente adaptado al árabe;</w:t>
      </w:r>
    </w:p>
    <w:p w:rsidR="005460FA" w:rsidRPr="000957E1" w:rsidRDefault="005460FA" w:rsidP="005460FA">
      <w:pPr>
        <w:pStyle w:val="p1"/>
        <w:widowControl w:val="0"/>
        <w:shd w:val="clear" w:color="auto" w:fill="FFFFFF"/>
        <w:suppressAutoHyphens w:val="0"/>
        <w:ind w:left="993" w:hanging="426"/>
        <w:jc w:val="both"/>
        <w:rPr>
          <w:rFonts w:ascii="Arial" w:hAnsi="Arial" w:cs="Arial"/>
          <w:sz w:val="20"/>
          <w:szCs w:val="21"/>
          <w:lang w:val="es-ES"/>
        </w:rPr>
      </w:pPr>
    </w:p>
    <w:p w:rsidR="005460FA" w:rsidRPr="000957E1" w:rsidRDefault="005460FA" w:rsidP="005460FA">
      <w:pPr>
        <w:pStyle w:val="p1"/>
        <w:widowControl w:val="0"/>
        <w:numPr>
          <w:ilvl w:val="0"/>
          <w:numId w:val="34"/>
        </w:numPr>
        <w:shd w:val="clear" w:color="auto" w:fill="FFFFFF"/>
        <w:suppressAutoHyphens w:val="0"/>
        <w:ind w:left="993" w:hanging="426"/>
        <w:jc w:val="both"/>
        <w:rPr>
          <w:rFonts w:ascii="Arial" w:hAnsi="Arial" w:cs="Arial"/>
          <w:sz w:val="20"/>
          <w:szCs w:val="21"/>
          <w:lang w:val="es-ES"/>
        </w:rPr>
      </w:pPr>
      <w:r w:rsidRPr="000957E1">
        <w:rPr>
          <w:rFonts w:ascii="Arial" w:hAnsi="Arial" w:cs="Arial"/>
          <w:sz w:val="20"/>
          <w:szCs w:val="21"/>
          <w:lang w:val="es-ES"/>
        </w:rPr>
        <w:t>Se seguirán perfeccionando los sistemas de apoyo (servicio de ayuda en Internet);</w:t>
      </w:r>
    </w:p>
    <w:p w:rsidR="005460FA" w:rsidRPr="000957E1" w:rsidRDefault="005460FA" w:rsidP="005460FA">
      <w:pPr>
        <w:pStyle w:val="ListParagraph"/>
        <w:ind w:left="993" w:hanging="426"/>
        <w:jc w:val="both"/>
        <w:rPr>
          <w:rFonts w:ascii="Arial" w:hAnsi="Arial" w:cs="Arial"/>
          <w:sz w:val="20"/>
          <w:szCs w:val="21"/>
          <w:lang w:val="es-ES"/>
        </w:rPr>
      </w:pPr>
    </w:p>
    <w:p w:rsidR="005460FA" w:rsidRPr="000957E1" w:rsidRDefault="005460FA" w:rsidP="005460FA">
      <w:pPr>
        <w:pStyle w:val="p1"/>
        <w:numPr>
          <w:ilvl w:val="0"/>
          <w:numId w:val="34"/>
        </w:numPr>
        <w:shd w:val="clear" w:color="auto" w:fill="FFFFFF"/>
        <w:ind w:left="993" w:hanging="426"/>
        <w:jc w:val="both"/>
        <w:rPr>
          <w:rFonts w:ascii="Arial" w:hAnsi="Arial" w:cs="Arial"/>
          <w:sz w:val="20"/>
          <w:szCs w:val="21"/>
          <w:lang w:val="es-ES"/>
        </w:rPr>
      </w:pPr>
      <w:r w:rsidRPr="000957E1">
        <w:rPr>
          <w:rFonts w:ascii="Arial" w:hAnsi="Arial" w:cs="Arial"/>
          <w:sz w:val="20"/>
          <w:szCs w:val="21"/>
          <w:lang w:val="es-ES"/>
        </w:rPr>
        <w:t xml:space="preserve">Se pondrá a disposición de un primer grupo de organismos de gestión colectiva ubicados en países en desarrollo o PMA una primera versión del </w:t>
      </w:r>
      <w:r w:rsidR="00A47448" w:rsidRPr="000957E1">
        <w:rPr>
          <w:rFonts w:ascii="Arial" w:hAnsi="Arial" w:cs="Arial"/>
          <w:sz w:val="20"/>
          <w:szCs w:val="21"/>
          <w:lang w:val="es-ES"/>
        </w:rPr>
        <w:t xml:space="preserve">Sistema </w:t>
      </w:r>
      <w:r w:rsidRPr="000957E1">
        <w:rPr>
          <w:rFonts w:ascii="Arial" w:hAnsi="Arial" w:cs="Arial"/>
          <w:sz w:val="20"/>
          <w:szCs w:val="21"/>
          <w:lang w:val="es-ES"/>
        </w:rPr>
        <w:t>WCC;</w:t>
      </w:r>
    </w:p>
    <w:p w:rsidR="005460FA" w:rsidRPr="000957E1" w:rsidRDefault="005460FA" w:rsidP="005460FA">
      <w:pPr>
        <w:pStyle w:val="p1"/>
        <w:shd w:val="clear" w:color="auto" w:fill="FFFFFF"/>
        <w:ind w:left="993" w:hanging="426"/>
        <w:jc w:val="both"/>
        <w:rPr>
          <w:rFonts w:ascii="Arial" w:hAnsi="Arial" w:cs="Arial"/>
          <w:sz w:val="20"/>
          <w:szCs w:val="21"/>
          <w:lang w:val="es-ES"/>
        </w:rPr>
      </w:pPr>
    </w:p>
    <w:p w:rsidR="005460FA" w:rsidRPr="000957E1" w:rsidRDefault="005460FA" w:rsidP="005460FA">
      <w:pPr>
        <w:pStyle w:val="p1"/>
        <w:numPr>
          <w:ilvl w:val="0"/>
          <w:numId w:val="34"/>
        </w:numPr>
        <w:shd w:val="clear" w:color="auto" w:fill="FFFFFF"/>
        <w:ind w:left="993" w:hanging="426"/>
        <w:jc w:val="both"/>
        <w:rPr>
          <w:rFonts w:ascii="Arial" w:hAnsi="Arial" w:cs="Arial"/>
          <w:bCs/>
          <w:sz w:val="20"/>
          <w:szCs w:val="21"/>
          <w:lang w:val="es-ES"/>
        </w:rPr>
      </w:pPr>
      <w:r w:rsidRPr="000957E1">
        <w:rPr>
          <w:rFonts w:ascii="Arial" w:hAnsi="Arial" w:cs="Arial"/>
          <w:sz w:val="20"/>
          <w:szCs w:val="21"/>
          <w:lang w:val="es-ES"/>
        </w:rPr>
        <w:t xml:space="preserve">Se facilitará el sistema </w:t>
      </w:r>
      <w:r w:rsidRPr="00D842AD">
        <w:rPr>
          <w:rFonts w:ascii="Arial" w:hAnsi="Arial" w:cs="Arial"/>
          <w:i/>
          <w:sz w:val="20"/>
          <w:szCs w:val="21"/>
          <w:lang w:val="es-ES"/>
        </w:rPr>
        <w:t>WIPO CASE</w:t>
      </w:r>
      <w:r w:rsidRPr="000957E1">
        <w:rPr>
          <w:rFonts w:ascii="Arial" w:hAnsi="Arial" w:cs="Arial"/>
          <w:sz w:val="20"/>
          <w:szCs w:val="21"/>
          <w:lang w:val="es-ES"/>
        </w:rPr>
        <w:t xml:space="preserve"> (acceso centralizado a los informes de búsqueda y examen) a nuevas oficinas participantes y se creará una versión pública para dar acceso, desde cualquier parte del mundo, a los expedientes de las oficinas participantes; </w:t>
      </w:r>
    </w:p>
    <w:p w:rsidR="005460FA" w:rsidRPr="000957E1" w:rsidRDefault="005460FA" w:rsidP="005460FA">
      <w:pPr>
        <w:pStyle w:val="p1"/>
        <w:shd w:val="clear" w:color="auto" w:fill="FFFFFF"/>
        <w:ind w:left="993" w:hanging="426"/>
        <w:jc w:val="both"/>
        <w:rPr>
          <w:rFonts w:ascii="Arial" w:hAnsi="Arial" w:cs="Arial"/>
          <w:bCs/>
          <w:sz w:val="20"/>
          <w:szCs w:val="21"/>
          <w:lang w:val="es-ES"/>
        </w:rPr>
      </w:pPr>
    </w:p>
    <w:p w:rsidR="005460FA" w:rsidRPr="000957E1" w:rsidRDefault="005460FA" w:rsidP="005460FA">
      <w:pPr>
        <w:pStyle w:val="p1"/>
        <w:numPr>
          <w:ilvl w:val="0"/>
          <w:numId w:val="34"/>
        </w:numPr>
        <w:shd w:val="clear" w:color="auto" w:fill="FFFFFF"/>
        <w:ind w:left="993" w:hanging="426"/>
        <w:jc w:val="both"/>
        <w:rPr>
          <w:rFonts w:ascii="Arial" w:hAnsi="Arial" w:cs="Arial"/>
          <w:bCs/>
          <w:sz w:val="20"/>
          <w:szCs w:val="21"/>
          <w:lang w:val="es-ES"/>
        </w:rPr>
      </w:pPr>
      <w:r w:rsidRPr="000957E1">
        <w:rPr>
          <w:rFonts w:ascii="Arial" w:hAnsi="Arial" w:cs="Arial"/>
          <w:bCs/>
          <w:sz w:val="20"/>
          <w:szCs w:val="21"/>
          <w:lang w:val="es-ES"/>
        </w:rPr>
        <w:t>Se prestará asistencia técnica a las Oficinas de P.I. de PMA en la digitalización y la captación de datos de archivos de P.I. pendientes.</w:t>
      </w:r>
    </w:p>
    <w:p w:rsidR="005460FA" w:rsidRPr="000957E1" w:rsidRDefault="005460FA" w:rsidP="005460FA">
      <w:pPr>
        <w:pStyle w:val="ListParagraph"/>
        <w:ind w:left="0"/>
        <w:jc w:val="both"/>
        <w:rPr>
          <w:rFonts w:ascii="Arial" w:hAnsi="Arial" w:cs="Arial"/>
          <w:bCs/>
          <w:sz w:val="20"/>
          <w:szCs w:val="21"/>
          <w:lang w:val="es-ES"/>
        </w:rPr>
      </w:pPr>
    </w:p>
    <w:p w:rsidR="005460FA" w:rsidRDefault="005460FA" w:rsidP="005460FA">
      <w:pPr>
        <w:numPr>
          <w:ilvl w:val="0"/>
          <w:numId w:val="33"/>
        </w:numPr>
        <w:shd w:val="clear" w:color="auto" w:fill="FFFFFF"/>
        <w:tabs>
          <w:tab w:val="left" w:pos="709"/>
        </w:tabs>
        <w:suppressAutoHyphens/>
        <w:ind w:left="0" w:firstLine="0"/>
        <w:jc w:val="both"/>
        <w:rPr>
          <w:sz w:val="20"/>
          <w:szCs w:val="21"/>
        </w:rPr>
      </w:pPr>
      <w:r w:rsidRPr="000957E1">
        <w:rPr>
          <w:sz w:val="20"/>
          <w:szCs w:val="21"/>
        </w:rPr>
        <w:t xml:space="preserve">La elaboración, planificación y ejecución de las actividades en el marco del programa 15 se fundamentan y orientan por las recomendaciones pertinentes de la A.D., en particular </w:t>
      </w:r>
      <w:r>
        <w:rPr>
          <w:sz w:val="20"/>
          <w:szCs w:val="21"/>
        </w:rPr>
        <w:t>las recomendaciones 1, 2 y 10.</w:t>
      </w:r>
    </w:p>
    <w:p w:rsidR="005460FA" w:rsidRDefault="005460FA" w:rsidP="005460FA">
      <w:pPr>
        <w:shd w:val="clear" w:color="auto" w:fill="FFFFFF"/>
        <w:tabs>
          <w:tab w:val="left" w:pos="709"/>
        </w:tabs>
        <w:suppressAutoHyphens/>
        <w:jc w:val="both"/>
        <w:rPr>
          <w:sz w:val="20"/>
          <w:szCs w:val="21"/>
        </w:rPr>
      </w:pPr>
    </w:p>
    <w:p w:rsidR="005460FA" w:rsidRPr="00037E5E" w:rsidRDefault="00037E5E" w:rsidP="005460FA">
      <w:pPr>
        <w:numPr>
          <w:ilvl w:val="0"/>
          <w:numId w:val="33"/>
        </w:numPr>
        <w:shd w:val="clear" w:color="auto" w:fill="FFFFFF"/>
        <w:tabs>
          <w:tab w:val="left" w:pos="709"/>
        </w:tabs>
        <w:suppressAutoHyphens/>
        <w:ind w:left="0" w:firstLine="0"/>
        <w:jc w:val="both"/>
        <w:rPr>
          <w:sz w:val="20"/>
          <w:szCs w:val="21"/>
        </w:rPr>
      </w:pPr>
      <w:r>
        <w:rPr>
          <w:color w:val="000000"/>
          <w:sz w:val="20"/>
          <w:szCs w:val="21"/>
        </w:rPr>
        <w:t>El p</w:t>
      </w:r>
      <w:r w:rsidR="005460FA" w:rsidRPr="00037E5E">
        <w:rPr>
          <w:color w:val="000000"/>
          <w:sz w:val="20"/>
          <w:szCs w:val="21"/>
        </w:rPr>
        <w:t>rogram</w:t>
      </w:r>
      <w:r>
        <w:rPr>
          <w:color w:val="000000"/>
          <w:sz w:val="20"/>
          <w:szCs w:val="21"/>
        </w:rPr>
        <w:t>a</w:t>
      </w:r>
      <w:r w:rsidR="005460FA" w:rsidRPr="00037E5E">
        <w:rPr>
          <w:color w:val="000000"/>
          <w:sz w:val="20"/>
          <w:szCs w:val="21"/>
        </w:rPr>
        <w:t xml:space="preserve"> 15 colabora</w:t>
      </w:r>
      <w:r>
        <w:rPr>
          <w:color w:val="000000"/>
          <w:sz w:val="20"/>
          <w:szCs w:val="21"/>
        </w:rPr>
        <w:t xml:space="preserve"> principalmente con los programas siguientes</w:t>
      </w:r>
      <w:r w:rsidR="005460FA" w:rsidRPr="00037E5E">
        <w:rPr>
          <w:color w:val="000000"/>
          <w:sz w:val="20"/>
          <w:szCs w:val="21"/>
        </w:rPr>
        <w:t>:</w:t>
      </w:r>
    </w:p>
    <w:p w:rsidR="005460FA" w:rsidRPr="006A3CA4" w:rsidRDefault="005460FA" w:rsidP="005460FA">
      <w:pPr>
        <w:rPr>
          <w:sz w:val="18"/>
          <w:lang w:val="es-ES_tradnl"/>
        </w:rPr>
      </w:pPr>
    </w:p>
    <w:p w:rsidR="005460FA" w:rsidRPr="006A3CA4" w:rsidRDefault="005460FA" w:rsidP="005460FA">
      <w:pPr>
        <w:pStyle w:val="p1"/>
        <w:shd w:val="clear" w:color="auto" w:fill="FFFFFF"/>
        <w:rPr>
          <w:rFonts w:ascii="Arial" w:hAnsi="Arial" w:cs="Arial"/>
          <w:bCs/>
          <w:lang w:val="es-ES_tradnl"/>
        </w:rPr>
      </w:pPr>
      <w:r w:rsidRPr="000957E1">
        <w:rPr>
          <w:rFonts w:ascii="Arial" w:hAnsi="Arial" w:cs="Arial"/>
          <w:noProof/>
          <w:lang w:eastAsia="en-US"/>
        </w:rPr>
        <w:drawing>
          <wp:anchor distT="0" distB="0" distL="114300" distR="114300" simplePos="0" relativeHeight="251663360" behindDoc="0" locked="0" layoutInCell="1" allowOverlap="1" wp14:anchorId="6EB0A535" wp14:editId="09BEDB57">
            <wp:simplePos x="0" y="0"/>
            <wp:positionH relativeFrom="column">
              <wp:posOffset>-1270</wp:posOffset>
            </wp:positionH>
            <wp:positionV relativeFrom="paragraph">
              <wp:posOffset>635</wp:posOffset>
            </wp:positionV>
            <wp:extent cx="5759450" cy="1794510"/>
            <wp:effectExtent l="0" t="0" r="0" b="34290"/>
            <wp:wrapTopAndBottom/>
            <wp:docPr id="988" name="Diagram 98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14:sizeRelH relativeFrom="page">
              <wp14:pctWidth>0</wp14:pctWidth>
            </wp14:sizeRelH>
            <wp14:sizeRelV relativeFrom="page">
              <wp14:pctHeight>0</wp14:pctHeight>
            </wp14:sizeRelV>
          </wp:anchor>
        </w:drawing>
      </w:r>
    </w:p>
    <w:p w:rsidR="005460FA" w:rsidRPr="006A3CA4" w:rsidRDefault="005460FA" w:rsidP="00077271">
      <w:pPr>
        <w:pStyle w:val="p1"/>
        <w:keepNext/>
        <w:keepLines/>
        <w:shd w:val="clear" w:color="auto" w:fill="FFFFFF"/>
        <w:rPr>
          <w:rFonts w:ascii="Arial" w:hAnsi="Arial" w:cs="Arial"/>
          <w:bCs/>
          <w:lang w:val="es-ES_tradnl"/>
        </w:rPr>
      </w:pPr>
    </w:p>
    <w:p w:rsidR="005460FA" w:rsidRPr="000957E1" w:rsidRDefault="005460FA" w:rsidP="00077271">
      <w:pPr>
        <w:pStyle w:val="p1"/>
        <w:keepNext/>
        <w:keepLines/>
        <w:shd w:val="clear" w:color="auto" w:fill="FFFFFF"/>
        <w:rPr>
          <w:rFonts w:ascii="Arial" w:hAnsi="Arial" w:cs="Arial"/>
          <w:bCs/>
          <w:sz w:val="22"/>
          <w:lang w:val="es-ES"/>
        </w:rPr>
      </w:pPr>
      <w:r w:rsidRPr="000957E1">
        <w:rPr>
          <w:rFonts w:ascii="Arial" w:hAnsi="Arial" w:cs="Arial"/>
          <w:bCs/>
          <w:sz w:val="22"/>
          <w:lang w:val="es-ES"/>
        </w:rPr>
        <w:t>PRINCIPALES RIESGOS Y ESTRATEGIAS DE MITIGACIÓN</w:t>
      </w:r>
    </w:p>
    <w:p w:rsidR="005460FA" w:rsidRPr="000957E1" w:rsidRDefault="005460FA" w:rsidP="00077271">
      <w:pPr>
        <w:keepNext/>
        <w:keepLines/>
        <w:rPr>
          <w:szCs w:val="22"/>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4961"/>
      </w:tblGrid>
      <w:tr w:rsidR="005460FA" w:rsidRPr="000957E1" w:rsidTr="00037E5E">
        <w:trPr>
          <w:trHeight w:val="577"/>
        </w:trPr>
        <w:tc>
          <w:tcPr>
            <w:tcW w:w="4253" w:type="dxa"/>
            <w:tcBorders>
              <w:top w:val="single" w:sz="4" w:space="0" w:color="auto"/>
              <w:bottom w:val="single" w:sz="4" w:space="0" w:color="auto"/>
            </w:tcBorders>
            <w:shd w:val="clear" w:color="auto" w:fill="C6D9F1"/>
            <w:vAlign w:val="center"/>
          </w:tcPr>
          <w:p w:rsidR="005460FA" w:rsidRPr="000957E1" w:rsidRDefault="005460FA" w:rsidP="00077271">
            <w:pPr>
              <w:keepNext/>
              <w:keepLines/>
              <w:jc w:val="center"/>
              <w:rPr>
                <w:b/>
                <w:bCs/>
                <w:sz w:val="18"/>
                <w:szCs w:val="18"/>
                <w:lang w:eastAsia="en-US"/>
              </w:rPr>
            </w:pPr>
            <w:r w:rsidRPr="000957E1">
              <w:rPr>
                <w:b/>
                <w:bCs/>
                <w:sz w:val="18"/>
                <w:szCs w:val="18"/>
                <w:lang w:eastAsia="en-US"/>
              </w:rPr>
              <w:t>Riesgo</w:t>
            </w:r>
          </w:p>
        </w:tc>
        <w:tc>
          <w:tcPr>
            <w:tcW w:w="4961" w:type="dxa"/>
            <w:tcBorders>
              <w:top w:val="single" w:sz="4" w:space="0" w:color="auto"/>
              <w:bottom w:val="single" w:sz="4" w:space="0" w:color="auto"/>
            </w:tcBorders>
            <w:shd w:val="clear" w:color="auto" w:fill="C6D9F1"/>
            <w:vAlign w:val="center"/>
          </w:tcPr>
          <w:p w:rsidR="005460FA" w:rsidRPr="000957E1" w:rsidRDefault="005460FA" w:rsidP="00077271">
            <w:pPr>
              <w:keepNext/>
              <w:keepLines/>
              <w:jc w:val="center"/>
              <w:rPr>
                <w:b/>
                <w:bCs/>
                <w:sz w:val="18"/>
                <w:szCs w:val="18"/>
                <w:lang w:eastAsia="en-US"/>
              </w:rPr>
            </w:pPr>
            <w:r w:rsidRPr="000957E1">
              <w:rPr>
                <w:b/>
                <w:bCs/>
                <w:sz w:val="18"/>
                <w:szCs w:val="18"/>
                <w:lang w:eastAsia="en-US"/>
              </w:rPr>
              <w:t>Mitigación</w:t>
            </w:r>
          </w:p>
        </w:tc>
      </w:tr>
      <w:tr w:rsidR="005460FA" w:rsidRPr="000957E1" w:rsidTr="00077271">
        <w:trPr>
          <w:trHeight w:val="175"/>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5460FA" w:rsidRPr="000957E1" w:rsidRDefault="005460FA" w:rsidP="00077271">
            <w:pPr>
              <w:keepNext/>
              <w:keepLines/>
              <w:rPr>
                <w:sz w:val="16"/>
                <w:szCs w:val="16"/>
                <w:lang w:eastAsia="en-US"/>
              </w:rPr>
            </w:pPr>
            <w:r w:rsidRPr="000957E1">
              <w:rPr>
                <w:sz w:val="16"/>
                <w:lang w:eastAsia="en-US"/>
              </w:rPr>
              <w:t xml:space="preserve">Incapacidad de las oficinas de P.I. para mantener y continuar apoyando el funcionamiento autónomo de los sistemas de </w:t>
            </w:r>
            <w:r w:rsidRPr="000957E1">
              <w:rPr>
                <w:i/>
                <w:sz w:val="16"/>
                <w:lang w:eastAsia="en-US"/>
              </w:rPr>
              <w:t>software</w:t>
            </w:r>
            <w:r w:rsidRPr="000957E1">
              <w:rPr>
                <w:sz w:val="16"/>
                <w:lang w:eastAsia="en-US"/>
              </w:rPr>
              <w:t xml:space="preserve"> de la OMPI utilizados para sus actividades principales.</w:t>
            </w:r>
          </w:p>
        </w:tc>
        <w:tc>
          <w:tcPr>
            <w:tcW w:w="4961" w:type="dxa"/>
            <w:tcBorders>
              <w:top w:val="single" w:sz="4" w:space="0" w:color="auto"/>
              <w:left w:val="nil"/>
              <w:bottom w:val="nil"/>
              <w:right w:val="single" w:sz="4" w:space="0" w:color="auto"/>
            </w:tcBorders>
            <w:shd w:val="clear" w:color="auto" w:fill="auto"/>
            <w:tcMar>
              <w:top w:w="113" w:type="dxa"/>
              <w:bottom w:w="113" w:type="dxa"/>
            </w:tcMar>
          </w:tcPr>
          <w:p w:rsidR="005460FA" w:rsidRPr="000957E1" w:rsidRDefault="005460FA" w:rsidP="00077271">
            <w:pPr>
              <w:keepNext/>
              <w:keepLines/>
              <w:rPr>
                <w:sz w:val="16"/>
                <w:szCs w:val="16"/>
                <w:lang w:eastAsia="en-US"/>
              </w:rPr>
            </w:pPr>
            <w:r w:rsidRPr="000957E1">
              <w:rPr>
                <w:sz w:val="16"/>
                <w:lang w:eastAsia="en-US"/>
              </w:rPr>
              <w:t xml:space="preserve">Asegurar que el personal local de las Oficinas de P.I. reciba formación.  Establecimiento de procedimientos formales relacionados con los programas informáticos y el apoyo que se presta a estos.  </w:t>
            </w:r>
          </w:p>
        </w:tc>
      </w:tr>
      <w:tr w:rsidR="005460FA" w:rsidRPr="000957E1" w:rsidTr="00E02444">
        <w:trPr>
          <w:trHeight w:val="487"/>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5460FA" w:rsidRPr="000957E1" w:rsidRDefault="005460FA" w:rsidP="00077271">
            <w:pPr>
              <w:keepNext/>
              <w:keepLines/>
              <w:rPr>
                <w:sz w:val="16"/>
                <w:lang w:eastAsia="en-US"/>
              </w:rPr>
            </w:pPr>
            <w:r w:rsidRPr="000957E1">
              <w:rPr>
                <w:sz w:val="16"/>
                <w:lang w:eastAsia="en-US"/>
              </w:rPr>
              <w:t xml:space="preserve">Falta de acceso a la información técnica y de dominio privado de que disponen los sectores interesados pertinentes, que podría ser necesaria para la aplicación del proyecto WCC. </w:t>
            </w:r>
          </w:p>
        </w:tc>
        <w:tc>
          <w:tcPr>
            <w:tcW w:w="4961" w:type="dxa"/>
            <w:tcBorders>
              <w:top w:val="nil"/>
              <w:left w:val="nil"/>
              <w:bottom w:val="single" w:sz="4" w:space="0" w:color="auto"/>
              <w:right w:val="single" w:sz="4" w:space="0" w:color="auto"/>
            </w:tcBorders>
            <w:shd w:val="clear" w:color="auto" w:fill="auto"/>
            <w:tcMar>
              <w:top w:w="113" w:type="dxa"/>
              <w:bottom w:w="113" w:type="dxa"/>
            </w:tcMar>
          </w:tcPr>
          <w:p w:rsidR="005460FA" w:rsidRPr="000957E1" w:rsidRDefault="005460FA" w:rsidP="00077271">
            <w:pPr>
              <w:keepNext/>
              <w:keepLines/>
              <w:rPr>
                <w:sz w:val="16"/>
                <w:lang w:eastAsia="en-US"/>
              </w:rPr>
            </w:pPr>
            <w:r w:rsidRPr="000957E1">
              <w:rPr>
                <w:sz w:val="16"/>
                <w:lang w:eastAsia="en-US"/>
              </w:rPr>
              <w:t>Invitar a los sectores interesados pertinentes a participar en las reuniones del grupo de expertos operativos del proyecto WCC para intercambiar información pertinente.</w:t>
            </w:r>
          </w:p>
        </w:tc>
      </w:tr>
    </w:tbl>
    <w:p w:rsidR="005460FA" w:rsidRPr="000957E1" w:rsidRDefault="005460FA" w:rsidP="00077271">
      <w:pPr>
        <w:keepNext/>
        <w:keepLines/>
        <w:rPr>
          <w:szCs w:val="22"/>
          <w:lang w:eastAsia="en-US"/>
        </w:rPr>
      </w:pPr>
    </w:p>
    <w:p w:rsidR="005460FA" w:rsidRPr="000957E1" w:rsidRDefault="005460FA" w:rsidP="00077271">
      <w:pPr>
        <w:keepNext/>
        <w:keepLines/>
        <w:rPr>
          <w:b/>
          <w:bCs/>
          <w:sz w:val="20"/>
        </w:rPr>
      </w:pPr>
    </w:p>
    <w:p w:rsidR="005460FA" w:rsidRPr="000957E1" w:rsidRDefault="005460FA" w:rsidP="00077271">
      <w:pPr>
        <w:keepNext/>
        <w:keepLines/>
        <w:rPr>
          <w:bCs/>
          <w:szCs w:val="24"/>
        </w:rPr>
      </w:pPr>
      <w:r w:rsidRPr="000957E1">
        <w:rPr>
          <w:bCs/>
          <w:szCs w:val="24"/>
        </w:rPr>
        <w:t>MARCO DE RESULTADOS</w:t>
      </w:r>
    </w:p>
    <w:p w:rsidR="005460FA" w:rsidRPr="000957E1" w:rsidRDefault="005460FA" w:rsidP="005460FA">
      <w:pPr>
        <w:rPr>
          <w:sz w:val="20"/>
        </w:rPr>
      </w:pPr>
    </w:p>
    <w:tbl>
      <w:tblPr>
        <w:tblW w:w="9340" w:type="dxa"/>
        <w:tblInd w:w="93" w:type="dxa"/>
        <w:tblLook w:val="04A0" w:firstRow="1" w:lastRow="0" w:firstColumn="1" w:lastColumn="0" w:noHBand="0" w:noVBand="1"/>
      </w:tblPr>
      <w:tblGrid>
        <w:gridCol w:w="2940"/>
        <w:gridCol w:w="2620"/>
        <w:gridCol w:w="1980"/>
        <w:gridCol w:w="1800"/>
      </w:tblGrid>
      <w:tr w:rsidR="005460FA" w:rsidRPr="000957E1" w:rsidTr="00037E5E">
        <w:trPr>
          <w:trHeight w:val="585"/>
        </w:trPr>
        <w:tc>
          <w:tcPr>
            <w:tcW w:w="2940" w:type="dxa"/>
            <w:tcBorders>
              <w:top w:val="single" w:sz="4" w:space="0" w:color="auto"/>
              <w:left w:val="single" w:sz="4" w:space="0" w:color="auto"/>
              <w:bottom w:val="single" w:sz="4" w:space="0" w:color="auto"/>
              <w:right w:val="nil"/>
            </w:tcBorders>
            <w:shd w:val="clear" w:color="auto" w:fill="C6D9F1"/>
            <w:noWrap/>
            <w:vAlign w:val="center"/>
            <w:hideMark/>
          </w:tcPr>
          <w:p w:rsidR="005460FA" w:rsidRPr="000957E1" w:rsidRDefault="005460FA" w:rsidP="00E02444">
            <w:pPr>
              <w:jc w:val="center"/>
              <w:rPr>
                <w:b/>
                <w:bCs/>
                <w:sz w:val="18"/>
                <w:szCs w:val="18"/>
                <w:lang w:eastAsia="en-US"/>
              </w:rPr>
            </w:pPr>
            <w:r w:rsidRPr="000957E1">
              <w:rPr>
                <w:b/>
                <w:bCs/>
                <w:sz w:val="18"/>
                <w:szCs w:val="18"/>
                <w:lang w:eastAsia="en-US"/>
              </w:rPr>
              <w:t>Resultados previstos</w:t>
            </w:r>
          </w:p>
        </w:tc>
        <w:tc>
          <w:tcPr>
            <w:tcW w:w="2620" w:type="dxa"/>
            <w:tcBorders>
              <w:top w:val="single" w:sz="4" w:space="0" w:color="auto"/>
              <w:left w:val="nil"/>
              <w:bottom w:val="single" w:sz="4" w:space="0" w:color="auto"/>
              <w:right w:val="nil"/>
            </w:tcBorders>
            <w:shd w:val="clear" w:color="auto" w:fill="C6D9F1"/>
            <w:noWrap/>
            <w:vAlign w:val="center"/>
            <w:hideMark/>
          </w:tcPr>
          <w:p w:rsidR="005460FA" w:rsidRPr="000957E1" w:rsidRDefault="005460FA" w:rsidP="00E02444">
            <w:pPr>
              <w:jc w:val="center"/>
              <w:rPr>
                <w:b/>
                <w:bCs/>
                <w:sz w:val="18"/>
                <w:szCs w:val="18"/>
                <w:lang w:eastAsia="en-US"/>
              </w:rPr>
            </w:pPr>
            <w:r w:rsidRPr="000957E1">
              <w:rPr>
                <w:b/>
                <w:bCs/>
                <w:sz w:val="18"/>
                <w:szCs w:val="18"/>
                <w:lang w:eastAsia="en-US"/>
              </w:rPr>
              <w:t>Indicadores de rendimiento</w:t>
            </w:r>
          </w:p>
        </w:tc>
        <w:tc>
          <w:tcPr>
            <w:tcW w:w="1980" w:type="dxa"/>
            <w:tcBorders>
              <w:top w:val="single" w:sz="4" w:space="0" w:color="auto"/>
              <w:left w:val="nil"/>
              <w:bottom w:val="single" w:sz="4" w:space="0" w:color="auto"/>
              <w:right w:val="nil"/>
            </w:tcBorders>
            <w:shd w:val="clear" w:color="auto" w:fill="C6D9F1"/>
            <w:noWrap/>
            <w:vAlign w:val="center"/>
            <w:hideMark/>
          </w:tcPr>
          <w:p w:rsidR="005460FA" w:rsidRPr="000957E1" w:rsidRDefault="005460FA" w:rsidP="00E02444">
            <w:pPr>
              <w:jc w:val="center"/>
              <w:rPr>
                <w:b/>
                <w:bCs/>
                <w:sz w:val="18"/>
                <w:szCs w:val="18"/>
                <w:lang w:eastAsia="en-US"/>
              </w:rPr>
            </w:pPr>
            <w:r w:rsidRPr="000957E1">
              <w:rPr>
                <w:b/>
                <w:bCs/>
                <w:sz w:val="18"/>
                <w:szCs w:val="18"/>
                <w:lang w:eastAsia="en-US"/>
              </w:rPr>
              <w:t>Referencia</w:t>
            </w:r>
          </w:p>
        </w:tc>
        <w:tc>
          <w:tcPr>
            <w:tcW w:w="1800" w:type="dxa"/>
            <w:tcBorders>
              <w:top w:val="single" w:sz="4" w:space="0" w:color="auto"/>
              <w:left w:val="nil"/>
              <w:bottom w:val="single" w:sz="4" w:space="0" w:color="auto"/>
              <w:right w:val="single" w:sz="4" w:space="0" w:color="auto"/>
            </w:tcBorders>
            <w:shd w:val="clear" w:color="auto" w:fill="C6D9F1"/>
            <w:noWrap/>
            <w:vAlign w:val="center"/>
            <w:hideMark/>
          </w:tcPr>
          <w:p w:rsidR="005460FA" w:rsidRPr="000957E1" w:rsidRDefault="005460FA" w:rsidP="00E02444">
            <w:pPr>
              <w:jc w:val="center"/>
              <w:rPr>
                <w:b/>
                <w:bCs/>
                <w:sz w:val="18"/>
                <w:szCs w:val="18"/>
                <w:lang w:eastAsia="en-US"/>
              </w:rPr>
            </w:pPr>
            <w:r w:rsidRPr="000957E1">
              <w:rPr>
                <w:b/>
                <w:bCs/>
                <w:sz w:val="18"/>
                <w:szCs w:val="18"/>
                <w:lang w:eastAsia="en-US"/>
              </w:rPr>
              <w:t>Objetivos</w:t>
            </w:r>
          </w:p>
        </w:tc>
      </w:tr>
      <w:tr w:rsidR="005460FA" w:rsidRPr="000957E1" w:rsidTr="00E02444">
        <w:trPr>
          <w:trHeight w:val="1409"/>
        </w:trPr>
        <w:tc>
          <w:tcPr>
            <w:tcW w:w="2940" w:type="dxa"/>
            <w:vMerge w:val="restart"/>
            <w:tcBorders>
              <w:top w:val="nil"/>
              <w:left w:val="single" w:sz="4" w:space="0" w:color="auto"/>
              <w:bottom w:val="single" w:sz="4" w:space="0" w:color="000000"/>
              <w:right w:val="nil"/>
            </w:tcBorders>
            <w:shd w:val="clear" w:color="000000" w:fill="FFFFFF"/>
            <w:hideMark/>
          </w:tcPr>
          <w:p w:rsidR="005460FA" w:rsidRPr="000957E1" w:rsidRDefault="005460FA" w:rsidP="00E02444">
            <w:pPr>
              <w:rPr>
                <w:sz w:val="16"/>
                <w:szCs w:val="16"/>
                <w:lang w:eastAsia="en-US"/>
              </w:rPr>
            </w:pPr>
          </w:p>
          <w:p w:rsidR="005460FA" w:rsidRPr="000957E1" w:rsidRDefault="005460FA" w:rsidP="00EF5C0E">
            <w:pPr>
              <w:rPr>
                <w:sz w:val="16"/>
                <w:szCs w:val="16"/>
                <w:lang w:eastAsia="en-US"/>
              </w:rPr>
            </w:pPr>
            <w:r w:rsidRPr="000957E1">
              <w:rPr>
                <w:sz w:val="16"/>
                <w:szCs w:val="16"/>
                <w:lang w:eastAsia="en-US"/>
              </w:rPr>
              <w:t xml:space="preserve">IV.4 </w:t>
            </w:r>
            <w:r w:rsidR="00EF5C0E">
              <w:rPr>
                <w:sz w:val="16"/>
                <w:szCs w:val="16"/>
                <w:lang w:eastAsia="en-US"/>
              </w:rPr>
              <w:t xml:space="preserve"> </w:t>
            </w:r>
            <w:r w:rsidR="005B1060" w:rsidRPr="00037E5E">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p>
        </w:tc>
        <w:tc>
          <w:tcPr>
            <w:tcW w:w="2620" w:type="dxa"/>
            <w:tcBorders>
              <w:top w:val="nil"/>
              <w:left w:val="nil"/>
              <w:bottom w:val="nil"/>
              <w:right w:val="nil"/>
            </w:tcBorders>
            <w:shd w:val="clear" w:color="000000" w:fill="FFFFFF"/>
            <w:hideMark/>
          </w:tcPr>
          <w:p w:rsidR="005460FA" w:rsidRPr="000957E1" w:rsidRDefault="005460FA" w:rsidP="00E02444">
            <w:pPr>
              <w:ind w:left="228"/>
              <w:rPr>
                <w:sz w:val="16"/>
                <w:szCs w:val="16"/>
                <w:lang w:eastAsia="en-US"/>
              </w:rPr>
            </w:pPr>
          </w:p>
          <w:p w:rsidR="005460FA" w:rsidRPr="000957E1" w:rsidRDefault="005460FA" w:rsidP="00324B68">
            <w:pPr>
              <w:ind w:left="89"/>
              <w:rPr>
                <w:sz w:val="16"/>
                <w:szCs w:val="16"/>
                <w:lang w:eastAsia="en-US"/>
              </w:rPr>
            </w:pPr>
            <w:r w:rsidRPr="000957E1">
              <w:rPr>
                <w:sz w:val="16"/>
                <w:szCs w:val="16"/>
                <w:lang w:eastAsia="en-US"/>
              </w:rPr>
              <w:t>N</w:t>
            </w:r>
            <w:r w:rsidR="00324B68">
              <w:rPr>
                <w:sz w:val="16"/>
                <w:szCs w:val="16"/>
                <w:lang w:eastAsia="en-US"/>
              </w:rPr>
              <w:t>º</w:t>
            </w:r>
            <w:r w:rsidRPr="000957E1">
              <w:rPr>
                <w:sz w:val="16"/>
                <w:szCs w:val="16"/>
                <w:lang w:eastAsia="en-US"/>
              </w:rPr>
              <w:t xml:space="preserve"> de oficinas que utilizan las plataformas de infraestructura de la OMPI.</w:t>
            </w:r>
          </w:p>
        </w:tc>
        <w:tc>
          <w:tcPr>
            <w:tcW w:w="1980" w:type="dxa"/>
            <w:tcBorders>
              <w:top w:val="nil"/>
              <w:left w:val="nil"/>
              <w:bottom w:val="nil"/>
              <w:right w:val="nil"/>
            </w:tcBorders>
            <w:shd w:val="clear" w:color="000000" w:fill="FFFFFF"/>
            <w:hideMark/>
          </w:tcPr>
          <w:p w:rsidR="005460FA" w:rsidRPr="000957E1" w:rsidRDefault="005460FA" w:rsidP="00FE556D">
            <w:pPr>
              <w:ind w:left="17"/>
              <w:rPr>
                <w:sz w:val="16"/>
                <w:szCs w:val="16"/>
                <w:lang w:eastAsia="en-US"/>
              </w:rPr>
            </w:pPr>
          </w:p>
          <w:p w:rsidR="005460FA" w:rsidRPr="000957E1" w:rsidRDefault="005460FA" w:rsidP="00FE556D">
            <w:pPr>
              <w:ind w:left="17"/>
              <w:rPr>
                <w:sz w:val="16"/>
                <w:szCs w:val="16"/>
                <w:lang w:eastAsia="en-US"/>
              </w:rPr>
            </w:pPr>
            <w:r w:rsidRPr="000957E1">
              <w:rPr>
                <w:sz w:val="16"/>
                <w:szCs w:val="16"/>
                <w:lang w:eastAsia="en-US"/>
              </w:rPr>
              <w:t>22 Oficinas en marzo de 2015</w:t>
            </w:r>
          </w:p>
          <w:p w:rsidR="005460FA" w:rsidRPr="000957E1" w:rsidRDefault="005460FA" w:rsidP="00FE556D">
            <w:pPr>
              <w:ind w:left="17"/>
              <w:rPr>
                <w:sz w:val="16"/>
                <w:szCs w:val="16"/>
                <w:lang w:eastAsia="en-US"/>
              </w:rPr>
            </w:pPr>
            <w:r w:rsidRPr="000957E1">
              <w:rPr>
                <w:sz w:val="16"/>
                <w:szCs w:val="16"/>
                <w:lang w:eastAsia="en-US"/>
              </w:rPr>
              <w:t>Asia-Pacífico: 12</w:t>
            </w:r>
          </w:p>
          <w:p w:rsidR="005460FA" w:rsidRPr="000957E1" w:rsidRDefault="00FE556D" w:rsidP="00FE556D">
            <w:pPr>
              <w:ind w:left="17"/>
              <w:rPr>
                <w:sz w:val="16"/>
                <w:szCs w:val="16"/>
                <w:lang w:eastAsia="en-US"/>
              </w:rPr>
            </w:pPr>
            <w:r>
              <w:rPr>
                <w:sz w:val="16"/>
                <w:szCs w:val="16"/>
                <w:lang w:eastAsia="en-US"/>
              </w:rPr>
              <w:t>P</w:t>
            </w:r>
            <w:r w:rsidR="005460FA" w:rsidRPr="000957E1">
              <w:rPr>
                <w:sz w:val="16"/>
                <w:szCs w:val="16"/>
                <w:lang w:eastAsia="en-US"/>
              </w:rPr>
              <w:t xml:space="preserve">aíses </w:t>
            </w:r>
            <w:r>
              <w:rPr>
                <w:sz w:val="16"/>
                <w:szCs w:val="16"/>
                <w:lang w:eastAsia="en-US"/>
              </w:rPr>
              <w:t>en transición</w:t>
            </w:r>
            <w:r w:rsidR="005460FA" w:rsidRPr="000957E1">
              <w:rPr>
                <w:sz w:val="16"/>
                <w:szCs w:val="16"/>
                <w:lang w:eastAsia="en-US"/>
              </w:rPr>
              <w:t>: 1</w:t>
            </w:r>
          </w:p>
          <w:p w:rsidR="005460FA" w:rsidRPr="000957E1" w:rsidRDefault="00B0119F" w:rsidP="00B0119F">
            <w:pPr>
              <w:ind w:left="17"/>
              <w:rPr>
                <w:sz w:val="16"/>
                <w:szCs w:val="16"/>
                <w:lang w:eastAsia="en-US"/>
              </w:rPr>
            </w:pPr>
            <w:r>
              <w:rPr>
                <w:sz w:val="16"/>
                <w:szCs w:val="16"/>
                <w:lang w:eastAsia="en-US"/>
              </w:rPr>
              <w:t>Países d</w:t>
            </w:r>
            <w:r w:rsidR="005460FA" w:rsidRPr="000957E1">
              <w:rPr>
                <w:sz w:val="16"/>
                <w:szCs w:val="16"/>
                <w:lang w:eastAsia="en-US"/>
              </w:rPr>
              <w:t>esarrollados: 9</w:t>
            </w:r>
          </w:p>
        </w:tc>
        <w:tc>
          <w:tcPr>
            <w:tcW w:w="1800" w:type="dxa"/>
            <w:tcBorders>
              <w:top w:val="nil"/>
              <w:left w:val="nil"/>
              <w:bottom w:val="nil"/>
              <w:right w:val="single" w:sz="4" w:space="0" w:color="auto"/>
            </w:tcBorders>
            <w:shd w:val="clear" w:color="000000" w:fill="FFFFFF"/>
            <w:hideMark/>
          </w:tcPr>
          <w:p w:rsidR="005460FA" w:rsidRPr="000957E1" w:rsidRDefault="005460FA" w:rsidP="00E02444">
            <w:pPr>
              <w:ind w:left="305"/>
              <w:rPr>
                <w:sz w:val="16"/>
                <w:szCs w:val="16"/>
                <w:lang w:eastAsia="en-US"/>
              </w:rPr>
            </w:pPr>
          </w:p>
          <w:p w:rsidR="005460FA" w:rsidRPr="000957E1" w:rsidRDefault="005460FA" w:rsidP="00E02444">
            <w:pPr>
              <w:ind w:left="305"/>
              <w:rPr>
                <w:sz w:val="16"/>
                <w:szCs w:val="16"/>
                <w:lang w:eastAsia="en-US"/>
              </w:rPr>
            </w:pPr>
            <w:r w:rsidRPr="000957E1">
              <w:rPr>
                <w:sz w:val="16"/>
                <w:szCs w:val="16"/>
                <w:lang w:eastAsia="en-US"/>
              </w:rPr>
              <w:t>29 oficinas (al final de 2017)</w:t>
            </w:r>
          </w:p>
        </w:tc>
      </w:tr>
      <w:tr w:rsidR="005460FA" w:rsidRPr="000957E1" w:rsidTr="00E02444">
        <w:trPr>
          <w:trHeight w:val="716"/>
        </w:trPr>
        <w:tc>
          <w:tcPr>
            <w:tcW w:w="2940" w:type="dxa"/>
            <w:vMerge/>
            <w:tcBorders>
              <w:top w:val="nil"/>
              <w:left w:val="single" w:sz="4" w:space="0" w:color="auto"/>
              <w:bottom w:val="single" w:sz="4" w:space="0" w:color="000000"/>
              <w:right w:val="nil"/>
            </w:tcBorders>
            <w:vAlign w:val="center"/>
            <w:hideMark/>
          </w:tcPr>
          <w:p w:rsidR="005460FA" w:rsidRPr="000957E1" w:rsidRDefault="005460FA" w:rsidP="00E02444">
            <w:pPr>
              <w:rPr>
                <w:sz w:val="16"/>
                <w:szCs w:val="16"/>
                <w:lang w:eastAsia="en-US"/>
              </w:rPr>
            </w:pPr>
          </w:p>
        </w:tc>
        <w:tc>
          <w:tcPr>
            <w:tcW w:w="2620" w:type="dxa"/>
            <w:tcBorders>
              <w:top w:val="nil"/>
              <w:left w:val="nil"/>
              <w:bottom w:val="nil"/>
              <w:right w:val="nil"/>
            </w:tcBorders>
            <w:shd w:val="clear" w:color="000000" w:fill="FFFFFF"/>
            <w:hideMark/>
          </w:tcPr>
          <w:p w:rsidR="005460FA" w:rsidRPr="000957E1" w:rsidRDefault="00FE556D" w:rsidP="00324B68">
            <w:pPr>
              <w:ind w:left="89"/>
              <w:rPr>
                <w:sz w:val="16"/>
                <w:szCs w:val="16"/>
                <w:lang w:eastAsia="en-US"/>
              </w:rPr>
            </w:pPr>
            <w:r>
              <w:rPr>
                <w:sz w:val="16"/>
                <w:szCs w:val="16"/>
                <w:lang w:eastAsia="en-US"/>
              </w:rPr>
              <w:br/>
            </w:r>
            <w:r w:rsidR="005460FA" w:rsidRPr="000957E1">
              <w:rPr>
                <w:sz w:val="16"/>
                <w:szCs w:val="16"/>
                <w:lang w:eastAsia="en-US"/>
              </w:rPr>
              <w:t>Media del nivel de los servicios prestados por las Oficinas de P.I. que reciben asistencia (en una escala del 1 al 5).</w:t>
            </w:r>
            <w:r w:rsidR="00037E5E">
              <w:rPr>
                <w:sz w:val="16"/>
                <w:szCs w:val="16"/>
                <w:lang w:eastAsia="en-US"/>
              </w:rPr>
              <w:br/>
            </w:r>
          </w:p>
        </w:tc>
        <w:tc>
          <w:tcPr>
            <w:tcW w:w="1980" w:type="dxa"/>
            <w:tcBorders>
              <w:top w:val="nil"/>
              <w:left w:val="nil"/>
              <w:bottom w:val="nil"/>
              <w:right w:val="nil"/>
            </w:tcBorders>
            <w:shd w:val="clear" w:color="000000" w:fill="FFFFFF"/>
            <w:hideMark/>
          </w:tcPr>
          <w:p w:rsidR="005460FA" w:rsidRPr="000957E1" w:rsidRDefault="00FE556D" w:rsidP="00FE556D">
            <w:pPr>
              <w:ind w:left="17"/>
              <w:rPr>
                <w:sz w:val="16"/>
                <w:szCs w:val="16"/>
                <w:lang w:eastAsia="en-US"/>
              </w:rPr>
            </w:pPr>
            <w:r>
              <w:rPr>
                <w:sz w:val="16"/>
                <w:szCs w:val="16"/>
                <w:lang w:eastAsia="en-US"/>
              </w:rPr>
              <w:br/>
            </w:r>
            <w:r w:rsidR="005460FA" w:rsidRPr="000957E1">
              <w:rPr>
                <w:sz w:val="16"/>
                <w:szCs w:val="16"/>
                <w:lang w:eastAsia="en-US"/>
              </w:rPr>
              <w:t>2</w:t>
            </w:r>
            <w:r>
              <w:rPr>
                <w:sz w:val="16"/>
                <w:szCs w:val="16"/>
                <w:lang w:eastAsia="en-US"/>
              </w:rPr>
              <w:t>,</w:t>
            </w:r>
            <w:r w:rsidR="005460FA" w:rsidRPr="000957E1">
              <w:rPr>
                <w:sz w:val="16"/>
                <w:szCs w:val="16"/>
                <w:lang w:eastAsia="en-US"/>
              </w:rPr>
              <w:t>9 (al final de 2015).</w:t>
            </w:r>
          </w:p>
        </w:tc>
        <w:tc>
          <w:tcPr>
            <w:tcW w:w="1800" w:type="dxa"/>
            <w:tcBorders>
              <w:top w:val="nil"/>
              <w:left w:val="nil"/>
              <w:bottom w:val="nil"/>
              <w:right w:val="single" w:sz="4" w:space="0" w:color="auto"/>
            </w:tcBorders>
            <w:shd w:val="clear" w:color="000000" w:fill="FFFFFF"/>
            <w:hideMark/>
          </w:tcPr>
          <w:p w:rsidR="005460FA" w:rsidRPr="000957E1" w:rsidRDefault="00FE556D" w:rsidP="00E02444">
            <w:pPr>
              <w:ind w:left="228"/>
              <w:rPr>
                <w:sz w:val="16"/>
                <w:szCs w:val="16"/>
                <w:lang w:eastAsia="en-US"/>
              </w:rPr>
            </w:pPr>
            <w:r>
              <w:rPr>
                <w:sz w:val="16"/>
                <w:szCs w:val="16"/>
                <w:lang w:eastAsia="en-US"/>
              </w:rPr>
              <w:br/>
            </w:r>
            <w:r w:rsidR="005460FA" w:rsidRPr="000957E1">
              <w:rPr>
                <w:sz w:val="16"/>
                <w:szCs w:val="16"/>
                <w:lang w:eastAsia="en-US"/>
              </w:rPr>
              <w:t>3 (al final de 2017).</w:t>
            </w:r>
          </w:p>
        </w:tc>
      </w:tr>
      <w:tr w:rsidR="005460FA" w:rsidRPr="000957E1" w:rsidTr="00E02444">
        <w:trPr>
          <w:trHeight w:val="1166"/>
        </w:trPr>
        <w:tc>
          <w:tcPr>
            <w:tcW w:w="2940" w:type="dxa"/>
            <w:vMerge/>
            <w:tcBorders>
              <w:top w:val="nil"/>
              <w:left w:val="single" w:sz="4" w:space="0" w:color="auto"/>
              <w:bottom w:val="single" w:sz="4" w:space="0" w:color="000000"/>
              <w:right w:val="nil"/>
            </w:tcBorders>
            <w:vAlign w:val="center"/>
            <w:hideMark/>
          </w:tcPr>
          <w:p w:rsidR="005460FA" w:rsidRPr="000957E1" w:rsidRDefault="005460FA" w:rsidP="00E02444">
            <w:pPr>
              <w:rPr>
                <w:sz w:val="16"/>
                <w:szCs w:val="16"/>
                <w:lang w:eastAsia="en-US"/>
              </w:rPr>
            </w:pPr>
          </w:p>
        </w:tc>
        <w:tc>
          <w:tcPr>
            <w:tcW w:w="2620" w:type="dxa"/>
            <w:tcBorders>
              <w:top w:val="nil"/>
              <w:left w:val="nil"/>
              <w:bottom w:val="single" w:sz="4" w:space="0" w:color="auto"/>
              <w:right w:val="nil"/>
            </w:tcBorders>
            <w:shd w:val="clear" w:color="000000" w:fill="FFFFFF"/>
            <w:hideMark/>
          </w:tcPr>
          <w:p w:rsidR="005460FA" w:rsidRPr="000957E1" w:rsidRDefault="005460FA" w:rsidP="00324B68">
            <w:pPr>
              <w:ind w:left="89"/>
              <w:rPr>
                <w:sz w:val="16"/>
                <w:szCs w:val="16"/>
                <w:lang w:eastAsia="en-US"/>
              </w:rPr>
            </w:pPr>
            <w:r w:rsidRPr="000957E1">
              <w:rPr>
                <w:sz w:val="16"/>
                <w:szCs w:val="16"/>
                <w:lang w:eastAsia="en-US"/>
              </w:rPr>
              <w:t>N</w:t>
            </w:r>
            <w:r w:rsidR="00324B68">
              <w:rPr>
                <w:sz w:val="16"/>
                <w:szCs w:val="16"/>
                <w:lang w:eastAsia="en-US"/>
              </w:rPr>
              <w:t>º</w:t>
            </w:r>
            <w:r w:rsidRPr="000957E1">
              <w:rPr>
                <w:sz w:val="16"/>
                <w:szCs w:val="16"/>
                <w:lang w:eastAsia="en-US"/>
              </w:rPr>
              <w:t xml:space="preserve"> de organismos de gestión colectiva de países en desarrollo y PMA que participan en las redes regionales y mundiales facilitadas por la OMPI.</w:t>
            </w:r>
            <w:r w:rsidR="00037E5E">
              <w:rPr>
                <w:sz w:val="16"/>
                <w:szCs w:val="16"/>
                <w:lang w:eastAsia="en-US"/>
              </w:rPr>
              <w:br/>
            </w:r>
          </w:p>
        </w:tc>
        <w:tc>
          <w:tcPr>
            <w:tcW w:w="1980" w:type="dxa"/>
            <w:tcBorders>
              <w:top w:val="nil"/>
              <w:left w:val="nil"/>
              <w:bottom w:val="single" w:sz="4" w:space="0" w:color="auto"/>
              <w:right w:val="nil"/>
            </w:tcBorders>
            <w:shd w:val="clear" w:color="000000" w:fill="FFFFFF"/>
            <w:hideMark/>
          </w:tcPr>
          <w:p w:rsidR="005460FA" w:rsidRPr="000957E1" w:rsidRDefault="005460FA" w:rsidP="00FE556D">
            <w:pPr>
              <w:ind w:left="17"/>
              <w:rPr>
                <w:sz w:val="16"/>
                <w:szCs w:val="16"/>
                <w:lang w:eastAsia="en-US"/>
              </w:rPr>
            </w:pPr>
            <w:r w:rsidRPr="000957E1">
              <w:rPr>
                <w:sz w:val="16"/>
                <w:szCs w:val="16"/>
                <w:lang w:eastAsia="en-US"/>
              </w:rPr>
              <w:t>Ningún organismo de gestión colectiva al final de 2015</w:t>
            </w:r>
          </w:p>
        </w:tc>
        <w:tc>
          <w:tcPr>
            <w:tcW w:w="1800" w:type="dxa"/>
            <w:tcBorders>
              <w:top w:val="nil"/>
              <w:left w:val="nil"/>
              <w:bottom w:val="single" w:sz="4" w:space="0" w:color="auto"/>
              <w:right w:val="single" w:sz="4" w:space="0" w:color="auto"/>
            </w:tcBorders>
            <w:shd w:val="clear" w:color="000000" w:fill="FFFFFF"/>
            <w:hideMark/>
          </w:tcPr>
          <w:p w:rsidR="005460FA" w:rsidRPr="000957E1" w:rsidRDefault="005460FA" w:rsidP="00E02444">
            <w:pPr>
              <w:ind w:left="305"/>
              <w:rPr>
                <w:sz w:val="16"/>
                <w:szCs w:val="16"/>
                <w:lang w:eastAsia="en-US"/>
              </w:rPr>
            </w:pPr>
            <w:r w:rsidRPr="000957E1">
              <w:rPr>
                <w:sz w:val="16"/>
                <w:szCs w:val="16"/>
                <w:lang w:eastAsia="en-US"/>
              </w:rPr>
              <w:t>7 organismos de gestión colectiva al final de 2017</w:t>
            </w:r>
          </w:p>
        </w:tc>
      </w:tr>
    </w:tbl>
    <w:p w:rsidR="005460FA" w:rsidRPr="000957E1" w:rsidRDefault="005460FA" w:rsidP="005460FA">
      <w:pPr>
        <w:rPr>
          <w:sz w:val="20"/>
        </w:rPr>
      </w:pPr>
    </w:p>
    <w:p w:rsidR="005460FA" w:rsidRPr="000957E1" w:rsidRDefault="005460FA" w:rsidP="005460FA">
      <w:pPr>
        <w:rPr>
          <w:sz w:val="20"/>
        </w:rPr>
      </w:pPr>
    </w:p>
    <w:p w:rsidR="00F32F10" w:rsidRPr="00F8163F" w:rsidRDefault="00810964" w:rsidP="00F32F10">
      <w:pPr>
        <w:rPr>
          <w:highlight w:val="lightGray"/>
          <w:lang w:val="en-US"/>
        </w:rPr>
      </w:pPr>
      <w:r w:rsidRPr="00F8163F">
        <w:rPr>
          <w:lang w:val="en-US"/>
        </w:rPr>
        <w:t>RECURSOS PARA EL PROGRAMA 15</w:t>
      </w:r>
    </w:p>
    <w:p w:rsidR="00F32F10" w:rsidRDefault="00F32F10" w:rsidP="00F32F10">
      <w:pPr>
        <w:rPr>
          <w:highlight w:val="lightGray"/>
          <w:lang w:val="en-US"/>
        </w:rPr>
      </w:pPr>
    </w:p>
    <w:p w:rsidR="002F1327" w:rsidRDefault="002F1327" w:rsidP="002F1327">
      <w:pPr>
        <w:numPr>
          <w:ilvl w:val="0"/>
          <w:numId w:val="33"/>
        </w:numPr>
        <w:shd w:val="clear" w:color="auto" w:fill="FFFFFF"/>
        <w:tabs>
          <w:tab w:val="left" w:pos="709"/>
        </w:tabs>
        <w:suppressAutoHyphens/>
        <w:ind w:left="0" w:firstLine="0"/>
        <w:jc w:val="both"/>
        <w:rPr>
          <w:sz w:val="20"/>
          <w:szCs w:val="21"/>
        </w:rPr>
      </w:pPr>
      <w:r w:rsidRPr="00892A2A">
        <w:rPr>
          <w:sz w:val="20"/>
        </w:rPr>
        <w:t>En 2016/17, el aumento en la dotación global de recursos (recursos de personal y no relativos a personal) con respecto al presupuesto de 2014/</w:t>
      </w:r>
      <w:r w:rsidR="00ED0A05">
        <w:rPr>
          <w:sz w:val="20"/>
        </w:rPr>
        <w:t>15 tras las</w:t>
      </w:r>
      <w:r w:rsidRPr="00892A2A">
        <w:rPr>
          <w:sz w:val="20"/>
        </w:rPr>
        <w:t xml:space="preserve"> transferencias refleja la transferencia de responsabilidades del desarrollo y la puesta en marcha de la plataforma de software del WCC y el apoyo consiguiente a las organizaciones de gestión colectiva desde el programa 3 (Derecho de autor y derechos conexos) a este programa.  Por otra parte, dicho aumento refleja los recursos de personal adicionales procedentes del programa 12 para reforzar el apoyo a las Oficinas de P.I. de todo el mundo.</w:t>
      </w:r>
    </w:p>
    <w:p w:rsidR="002F1327" w:rsidRPr="002F1327" w:rsidRDefault="002F1327" w:rsidP="00F32F10">
      <w:pPr>
        <w:rPr>
          <w:highlight w:val="lightGray"/>
        </w:rPr>
      </w:pPr>
    </w:p>
    <w:p w:rsidR="00F32F10" w:rsidRPr="00E61A24" w:rsidRDefault="00F32F10" w:rsidP="00F32F10">
      <w:pPr>
        <w:shd w:val="clear" w:color="auto" w:fill="FFFFFF"/>
        <w:tabs>
          <w:tab w:val="left" w:pos="709"/>
        </w:tabs>
        <w:suppressAutoHyphens/>
        <w:jc w:val="both"/>
        <w:rPr>
          <w:sz w:val="20"/>
          <w:highlight w:val="lightGray"/>
        </w:rPr>
      </w:pPr>
    </w:p>
    <w:p w:rsidR="00810964" w:rsidRPr="002F1327" w:rsidRDefault="00810964" w:rsidP="00037E5E">
      <w:pPr>
        <w:keepNext/>
        <w:keepLines/>
        <w:tabs>
          <w:tab w:val="left" w:pos="1427"/>
        </w:tabs>
        <w:jc w:val="center"/>
        <w:rPr>
          <w:sz w:val="20"/>
          <w:lang w:val="es-ES_tradnl" w:eastAsia="en-US"/>
        </w:rPr>
      </w:pPr>
      <w:r w:rsidRPr="002F1327">
        <w:rPr>
          <w:b/>
          <w:sz w:val="20"/>
          <w:lang w:val="es-ES_tradnl" w:eastAsia="en-US"/>
        </w:rPr>
        <w:lastRenderedPageBreak/>
        <w:t>Programa 15</w:t>
      </w:r>
      <w:proofErr w:type="gramStart"/>
      <w:r w:rsidRPr="002F1327">
        <w:rPr>
          <w:b/>
          <w:sz w:val="20"/>
          <w:lang w:val="es-ES_tradnl" w:eastAsia="en-US"/>
        </w:rPr>
        <w:t>:  Recursos</w:t>
      </w:r>
      <w:proofErr w:type="gramEnd"/>
      <w:r w:rsidRPr="002F1327">
        <w:rPr>
          <w:b/>
          <w:sz w:val="20"/>
          <w:lang w:val="es-ES_tradnl" w:eastAsia="en-US"/>
        </w:rPr>
        <w:t xml:space="preserve"> por resultado</w:t>
      </w:r>
    </w:p>
    <w:p w:rsidR="0025311B" w:rsidRPr="002F1327" w:rsidRDefault="00810964" w:rsidP="00037E5E">
      <w:pPr>
        <w:keepNext/>
        <w:keepLines/>
        <w:tabs>
          <w:tab w:val="left" w:pos="1427"/>
        </w:tabs>
        <w:jc w:val="center"/>
        <w:rPr>
          <w:highlight w:val="lightGray"/>
          <w:lang w:val="es-ES_tradnl" w:eastAsia="en-US"/>
        </w:rPr>
      </w:pPr>
      <w:r w:rsidRPr="002F1327">
        <w:rPr>
          <w:i/>
          <w:sz w:val="20"/>
          <w:lang w:val="es-ES_tradnl" w:eastAsia="en-US"/>
        </w:rPr>
        <w:t>(</w:t>
      </w:r>
      <w:proofErr w:type="gramStart"/>
      <w:r w:rsidRPr="002F1327">
        <w:rPr>
          <w:i/>
          <w:sz w:val="20"/>
          <w:lang w:val="es-ES_tradnl" w:eastAsia="en-US"/>
        </w:rPr>
        <w:t>en</w:t>
      </w:r>
      <w:proofErr w:type="gramEnd"/>
      <w:r w:rsidRPr="002F1327">
        <w:rPr>
          <w:i/>
          <w:sz w:val="20"/>
          <w:lang w:val="es-ES_tradnl" w:eastAsia="en-US"/>
        </w:rPr>
        <w:t xml:space="preserve"> miles de francos suizos)</w:t>
      </w:r>
    </w:p>
    <w:p w:rsidR="0025311B" w:rsidRPr="00810964" w:rsidRDefault="0025311B" w:rsidP="00037E5E">
      <w:pPr>
        <w:keepNext/>
        <w:keepLines/>
        <w:rPr>
          <w:highlight w:val="lightGray"/>
          <w:lang w:val="es-ES_tradnl"/>
        </w:rPr>
      </w:pPr>
    </w:p>
    <w:p w:rsidR="0025311B" w:rsidRPr="0025311B" w:rsidRDefault="00037E5E" w:rsidP="00037E5E">
      <w:pPr>
        <w:keepNext/>
        <w:keepLines/>
        <w:jc w:val="center"/>
        <w:rPr>
          <w:highlight w:val="lightGray"/>
        </w:rPr>
      </w:pPr>
      <w:r w:rsidRPr="00037E5E">
        <w:rPr>
          <w:noProof/>
          <w:lang w:val="en-US" w:eastAsia="en-US"/>
        </w:rPr>
        <w:drawing>
          <wp:inline distT="0" distB="0" distL="0" distR="0">
            <wp:extent cx="5676900" cy="1572895"/>
            <wp:effectExtent l="0" t="0" r="0" b="8255"/>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676900" cy="1572895"/>
                    </a:xfrm>
                    <a:prstGeom prst="rect">
                      <a:avLst/>
                    </a:prstGeom>
                    <a:noFill/>
                    <a:ln>
                      <a:noFill/>
                    </a:ln>
                  </pic:spPr>
                </pic:pic>
              </a:graphicData>
            </a:graphic>
          </wp:inline>
        </w:drawing>
      </w:r>
    </w:p>
    <w:p w:rsidR="0025311B" w:rsidRPr="0025311B" w:rsidRDefault="0025311B" w:rsidP="00037E5E">
      <w:pPr>
        <w:keepNext/>
        <w:keepLines/>
        <w:rPr>
          <w:sz w:val="20"/>
          <w:highlight w:val="lightGray"/>
        </w:rPr>
      </w:pPr>
    </w:p>
    <w:p w:rsidR="00810964" w:rsidRPr="005012AC" w:rsidRDefault="00810964" w:rsidP="00810964">
      <w:pPr>
        <w:keepNext/>
        <w:keepLines/>
        <w:tabs>
          <w:tab w:val="left" w:pos="1427"/>
        </w:tabs>
        <w:jc w:val="center"/>
        <w:rPr>
          <w:sz w:val="20"/>
          <w:lang w:val="es-ES_tradnl" w:eastAsia="en-US"/>
        </w:rPr>
      </w:pPr>
      <w:r w:rsidRPr="005012AC">
        <w:rPr>
          <w:b/>
          <w:sz w:val="20"/>
          <w:lang w:val="es-ES_tradnl" w:eastAsia="en-US"/>
        </w:rPr>
        <w:t>Programa 15</w:t>
      </w:r>
      <w:proofErr w:type="gramStart"/>
      <w:r w:rsidRPr="005012AC">
        <w:rPr>
          <w:b/>
          <w:sz w:val="20"/>
          <w:lang w:val="es-ES_tradnl" w:eastAsia="en-US"/>
        </w:rPr>
        <w:t>:  Recursos</w:t>
      </w:r>
      <w:proofErr w:type="gramEnd"/>
      <w:r w:rsidRPr="005012AC">
        <w:rPr>
          <w:b/>
          <w:sz w:val="20"/>
          <w:lang w:val="es-ES_tradnl" w:eastAsia="en-US"/>
        </w:rPr>
        <w:t xml:space="preserve"> por objeto de gasto</w:t>
      </w:r>
    </w:p>
    <w:p w:rsidR="0025311B" w:rsidRPr="005012AC" w:rsidRDefault="00810964" w:rsidP="00810964">
      <w:pPr>
        <w:keepNext/>
        <w:keepLines/>
        <w:tabs>
          <w:tab w:val="left" w:pos="1427"/>
        </w:tabs>
        <w:jc w:val="center"/>
        <w:rPr>
          <w:highlight w:val="lightGray"/>
          <w:lang w:val="es-ES_tradnl" w:eastAsia="en-US"/>
        </w:rPr>
      </w:pPr>
      <w:r w:rsidRPr="005012AC">
        <w:rPr>
          <w:i/>
          <w:sz w:val="20"/>
          <w:lang w:val="es-ES_tradnl" w:eastAsia="en-US"/>
        </w:rPr>
        <w:t>(</w:t>
      </w:r>
      <w:proofErr w:type="gramStart"/>
      <w:r w:rsidRPr="005012AC">
        <w:rPr>
          <w:i/>
          <w:sz w:val="20"/>
          <w:lang w:val="es-ES_tradnl" w:eastAsia="en-US"/>
        </w:rPr>
        <w:t>en</w:t>
      </w:r>
      <w:proofErr w:type="gramEnd"/>
      <w:r w:rsidRPr="005012AC">
        <w:rPr>
          <w:i/>
          <w:sz w:val="20"/>
          <w:lang w:val="es-ES_tradnl" w:eastAsia="en-US"/>
        </w:rPr>
        <w:t xml:space="preserve"> miles de francos suizos)</w:t>
      </w:r>
    </w:p>
    <w:p w:rsidR="0025311B" w:rsidRPr="005012AC" w:rsidRDefault="0025311B" w:rsidP="0025311B">
      <w:pPr>
        <w:keepNext/>
        <w:keepLines/>
        <w:rPr>
          <w:sz w:val="20"/>
          <w:highlight w:val="lightGray"/>
          <w:lang w:val="es-ES_tradnl"/>
        </w:rPr>
      </w:pPr>
    </w:p>
    <w:p w:rsidR="0025311B" w:rsidRPr="009B4A78" w:rsidRDefault="00835617" w:rsidP="0025311B">
      <w:pPr>
        <w:jc w:val="center"/>
        <w:rPr>
          <w:sz w:val="20"/>
        </w:rPr>
      </w:pPr>
      <w:r>
        <w:rPr>
          <w:noProof/>
          <w:lang w:val="en-US" w:eastAsia="en-US"/>
        </w:rPr>
        <w:drawing>
          <wp:inline distT="0" distB="0" distL="0" distR="0" wp14:anchorId="10F04CA0" wp14:editId="6DB85729">
            <wp:extent cx="5940425" cy="6157479"/>
            <wp:effectExtent l="0" t="0" r="3175"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940425" cy="6157479"/>
                    </a:xfrm>
                    <a:prstGeom prst="rect">
                      <a:avLst/>
                    </a:prstGeom>
                    <a:noFill/>
                    <a:ln>
                      <a:noFill/>
                    </a:ln>
                  </pic:spPr>
                </pic:pic>
              </a:graphicData>
            </a:graphic>
          </wp:inline>
        </w:drawing>
      </w:r>
    </w:p>
    <w:p w:rsidR="0010019E" w:rsidRDefault="0010019E" w:rsidP="00F32F10">
      <w:pPr>
        <w:shd w:val="clear" w:color="auto" w:fill="FFFFFF"/>
        <w:tabs>
          <w:tab w:val="left" w:pos="709"/>
        </w:tabs>
        <w:suppressAutoHyphens/>
        <w:jc w:val="both"/>
        <w:rPr>
          <w:sz w:val="20"/>
          <w:szCs w:val="21"/>
          <w:lang w:val="en-US"/>
        </w:rPr>
      </w:pPr>
    </w:p>
    <w:p w:rsidR="0010019E" w:rsidRDefault="0010019E">
      <w:pPr>
        <w:rPr>
          <w:sz w:val="20"/>
          <w:szCs w:val="21"/>
          <w:lang w:val="en-US"/>
        </w:rPr>
      </w:pPr>
      <w:r>
        <w:rPr>
          <w:sz w:val="20"/>
          <w:szCs w:val="21"/>
          <w:lang w:val="en-US"/>
        </w:rPr>
        <w:br w:type="page"/>
      </w:r>
    </w:p>
    <w:p w:rsidR="004F590E" w:rsidRPr="00FE556D" w:rsidRDefault="00336FF1" w:rsidP="00037E5E">
      <w:pPr>
        <w:pStyle w:val="StyleHeading3ComplexItalic"/>
        <w:tabs>
          <w:tab w:val="clear" w:pos="1985"/>
          <w:tab w:val="left" w:pos="3119"/>
        </w:tabs>
        <w:ind w:left="3119" w:hanging="3119"/>
        <w:rPr>
          <w:rStyle w:val="StyleStyleHeading3ComplexItalicLatin12ptChar"/>
          <w:rFonts w:eastAsia="SimSun"/>
          <w:b/>
          <w:color w:val="808080"/>
          <w:lang w:val="es-ES_tradnl"/>
        </w:rPr>
      </w:pPr>
      <w:bookmarkStart w:id="53" w:name="_Toc367350592"/>
      <w:bookmarkStart w:id="54" w:name="_Toc419283261"/>
      <w:bookmarkStart w:id="55" w:name="_Toc420681151"/>
      <w:r w:rsidRPr="00FE556D">
        <w:rPr>
          <w:rStyle w:val="StyleStyleHeading3ComplexItalicLatin12ptChar"/>
          <w:rFonts w:eastAsia="SimSun"/>
          <w:b/>
          <w:lang w:val="es-ES_tradnl"/>
        </w:rPr>
        <w:lastRenderedPageBreak/>
        <w:t>META ESTRATÉGICA V</w:t>
      </w:r>
      <w:r w:rsidR="004F590E" w:rsidRPr="00FE556D">
        <w:rPr>
          <w:rStyle w:val="StyleStyleHeading3ComplexItalicLatin12ptChar"/>
          <w:rFonts w:eastAsia="SimSun"/>
          <w:b/>
          <w:lang w:val="es-ES_tradnl"/>
        </w:rPr>
        <w:tab/>
      </w:r>
      <w:bookmarkEnd w:id="53"/>
      <w:bookmarkEnd w:id="54"/>
      <w:r w:rsidR="004F79D7" w:rsidRPr="00FE556D">
        <w:rPr>
          <w:rStyle w:val="StyleStyleHeading3ComplexItalicLatin12ptChar"/>
          <w:rFonts w:eastAsia="SimSun"/>
          <w:b/>
          <w:lang w:val="es-ES_tradnl"/>
        </w:rPr>
        <w:t>FUENTE DE REFERENCIA EN EL MUNDO DE INFORMACIÓN Y ANÁLISIS EN MATERIA DE P.I.</w:t>
      </w:r>
      <w:bookmarkEnd w:id="55"/>
    </w:p>
    <w:p w:rsidR="004F590E" w:rsidRPr="00336FF1" w:rsidRDefault="004F590E" w:rsidP="004F590E">
      <w:pPr>
        <w:tabs>
          <w:tab w:val="left" w:pos="1701"/>
        </w:tabs>
        <w:ind w:left="1701" w:hanging="1701"/>
        <w:jc w:val="center"/>
        <w:rPr>
          <w:b/>
          <w:bCs/>
          <w:caps/>
          <w:szCs w:val="24"/>
          <w:lang w:val="es-ES_tradnl"/>
        </w:rPr>
      </w:pPr>
    </w:p>
    <w:p w:rsidR="004F590E" w:rsidRPr="00336FF1" w:rsidRDefault="004F590E" w:rsidP="004F590E">
      <w:pPr>
        <w:tabs>
          <w:tab w:val="left" w:pos="1701"/>
        </w:tabs>
        <w:ind w:left="1701" w:hanging="1701"/>
        <w:jc w:val="center"/>
        <w:rPr>
          <w:b/>
          <w:bCs/>
          <w:caps/>
          <w:szCs w:val="24"/>
          <w:highlight w:val="lightGray"/>
          <w:lang w:val="es-ES_tradnl"/>
        </w:rPr>
      </w:pPr>
    </w:p>
    <w:p w:rsidR="004F590E" w:rsidRPr="00336FF1" w:rsidRDefault="004F79D7" w:rsidP="004F590E">
      <w:pPr>
        <w:jc w:val="both"/>
        <w:rPr>
          <w:sz w:val="20"/>
          <w:highlight w:val="lightGray"/>
          <w:lang w:val="es-ES_tradnl"/>
        </w:rPr>
      </w:pPr>
      <w:r w:rsidRPr="00245E53">
        <w:rPr>
          <w:sz w:val="20"/>
          <w:lang w:val="es-ES_tradnl"/>
        </w:rPr>
        <w:t>En la OMPI se crean y se mantienen destacadas colecciones de información sobre tecnología divulgada, datos sobre marcas e información técnica y jurídica del ámbito de la P.I.  Esas colecciones reflejan lo que sucede en sectores importantes de la economía y en el sistema de P.I.;  su valor es inmenso para los encargados de la adopción de políticas, el sector industrial, las empresas y otros usuarios del sistema de P.I., además del público interesado.  Ese valor ha sido reconocido también en la Agenda para el Desarrollo, en cuyo marco se insta a la OMPI a que realice análisis y estudios económicos de base empírica.</w:t>
      </w:r>
    </w:p>
    <w:p w:rsidR="004F590E" w:rsidRPr="00336FF1" w:rsidRDefault="004F79D7" w:rsidP="004F590E">
      <w:pPr>
        <w:autoSpaceDE w:val="0"/>
        <w:autoSpaceDN w:val="0"/>
        <w:adjustRightInd w:val="0"/>
        <w:spacing w:before="120"/>
        <w:jc w:val="both"/>
        <w:rPr>
          <w:sz w:val="20"/>
          <w:highlight w:val="lightGray"/>
          <w:lang w:val="es-ES_tradnl"/>
        </w:rPr>
      </w:pPr>
      <w:r w:rsidRPr="00245E53">
        <w:rPr>
          <w:sz w:val="20"/>
          <w:lang w:val="es-ES_tradnl"/>
        </w:rPr>
        <w:t>Sin embargo, el valor referencial de las colecciones de datos de la OMPI depende de que esas colecciones sean exactas, estén actualizadas y respondan a las necesidades de los sectores interesados, además de ser de acceso libre y universal.  La OMPI se encuentra en una posición de privilegio para servir de anfitrión de las colecciones de información sobre P.I. más vastas y valiosas del mundo y crear un portal de acceso a ellas.  En el marco de esta meta estratégica, la OMPI procurará aprovechar el potencial que le da esa posición de privilegio.</w:t>
      </w:r>
    </w:p>
    <w:p w:rsidR="004F590E" w:rsidRPr="00336FF1" w:rsidRDefault="004F590E" w:rsidP="00336FF1">
      <w:pPr>
        <w:tabs>
          <w:tab w:val="left" w:pos="1701"/>
        </w:tabs>
        <w:ind w:left="1701" w:hanging="1701"/>
        <w:rPr>
          <w:bCs/>
          <w:caps/>
          <w:sz w:val="20"/>
          <w:highlight w:val="lightGray"/>
          <w:lang w:val="es-ES_tradnl"/>
        </w:rPr>
      </w:pPr>
    </w:p>
    <w:p w:rsidR="004F590E" w:rsidRPr="00336FF1" w:rsidRDefault="004F590E" w:rsidP="004F590E">
      <w:pPr>
        <w:rPr>
          <w:bCs/>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723"/>
        <w:gridCol w:w="3056"/>
      </w:tblGrid>
      <w:tr w:rsidR="00BA1546" w:rsidRPr="00245E53" w:rsidTr="00801092">
        <w:trPr>
          <w:cantSplit/>
          <w:trHeight w:val="470"/>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1546" w:rsidRPr="00245E53" w:rsidRDefault="00BA1546" w:rsidP="00801092">
            <w:pPr>
              <w:spacing w:after="120"/>
              <w:jc w:val="center"/>
              <w:rPr>
                <w:b/>
                <w:bCs/>
                <w:sz w:val="18"/>
                <w:szCs w:val="18"/>
              </w:rPr>
            </w:pPr>
            <w:r w:rsidRPr="00245E53">
              <w:rPr>
                <w:b/>
                <w:bCs/>
                <w:sz w:val="18"/>
                <w:szCs w:val="18"/>
                <w:lang w:val="es-ES_tradnl"/>
              </w:rPr>
              <w:t>Resultados previstos</w:t>
            </w:r>
          </w:p>
        </w:tc>
        <w:tc>
          <w:tcPr>
            <w:tcW w:w="1465"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1546" w:rsidRPr="00245E53" w:rsidRDefault="00BA1546" w:rsidP="00801092">
            <w:pPr>
              <w:spacing w:after="120"/>
              <w:jc w:val="center"/>
              <w:rPr>
                <w:b/>
                <w:bCs/>
                <w:sz w:val="18"/>
                <w:szCs w:val="18"/>
              </w:rPr>
            </w:pPr>
            <w:r w:rsidRPr="00245E53">
              <w:rPr>
                <w:b/>
                <w:bCs/>
                <w:sz w:val="18"/>
                <w:szCs w:val="18"/>
                <w:lang w:val="es-ES_tradnl"/>
              </w:rPr>
              <w:t>Indicadores de rendimiento</w:t>
            </w:r>
          </w:p>
        </w:tc>
        <w:tc>
          <w:tcPr>
            <w:tcW w:w="1644"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1546" w:rsidRPr="00245E53" w:rsidRDefault="00BA1546" w:rsidP="00801092">
            <w:pPr>
              <w:spacing w:after="120"/>
              <w:ind w:left="85"/>
              <w:jc w:val="center"/>
              <w:rPr>
                <w:b/>
                <w:bCs/>
                <w:sz w:val="18"/>
                <w:szCs w:val="18"/>
              </w:rPr>
            </w:pPr>
            <w:r w:rsidRPr="00245E53">
              <w:rPr>
                <w:b/>
                <w:bCs/>
                <w:sz w:val="18"/>
                <w:szCs w:val="18"/>
                <w:lang w:val="es-ES_tradnl"/>
              </w:rPr>
              <w:t>Programas responsables</w:t>
            </w:r>
          </w:p>
        </w:tc>
      </w:tr>
      <w:tr w:rsidR="00BA1546" w:rsidRPr="00245E53" w:rsidTr="00801092">
        <w:trPr>
          <w:cantSplit/>
        </w:trPr>
        <w:tc>
          <w:tcPr>
            <w:tcW w:w="1891" w:type="pct"/>
            <w:tcBorders>
              <w:top w:val="single" w:sz="4" w:space="0" w:color="auto"/>
            </w:tcBorders>
            <w:shd w:val="clear" w:color="auto" w:fill="auto"/>
            <w:tcMar>
              <w:top w:w="113" w:type="dxa"/>
              <w:bottom w:w="85" w:type="dxa"/>
            </w:tcMar>
          </w:tcPr>
          <w:p w:rsidR="00BA1546" w:rsidRPr="00037E5E" w:rsidRDefault="00BA1546" w:rsidP="00801092">
            <w:pPr>
              <w:rPr>
                <w:sz w:val="16"/>
                <w:szCs w:val="16"/>
              </w:rPr>
            </w:pPr>
            <w:r w:rsidRPr="00037E5E">
              <w:rPr>
                <w:sz w:val="16"/>
                <w:szCs w:val="16"/>
              </w:rPr>
              <w:t xml:space="preserve">V.1  </w:t>
            </w:r>
            <w:r w:rsidR="005B1060" w:rsidRPr="00037E5E">
              <w:rPr>
                <w:sz w:val="16"/>
                <w:szCs w:val="16"/>
                <w:lang w:val="es-ES_tradnl"/>
              </w:rPr>
              <w:t>Mayor y mejor utilización de la información estadística de la OMPI en materia de P.I.</w:t>
            </w:r>
          </w:p>
        </w:tc>
        <w:tc>
          <w:tcPr>
            <w:tcW w:w="1465" w:type="pct"/>
            <w:tcBorders>
              <w:top w:val="single" w:sz="4" w:space="0" w:color="auto"/>
            </w:tcBorders>
            <w:shd w:val="clear" w:color="auto" w:fill="auto"/>
            <w:tcMar>
              <w:top w:w="113" w:type="dxa"/>
              <w:bottom w:w="85" w:type="dxa"/>
            </w:tcMar>
          </w:tcPr>
          <w:p w:rsidR="00BA1546" w:rsidRPr="00245E53" w:rsidRDefault="00BA1546" w:rsidP="00324B68">
            <w:pPr>
              <w:rPr>
                <w:sz w:val="16"/>
                <w:szCs w:val="16"/>
              </w:rPr>
            </w:pPr>
            <w:r w:rsidRPr="00245E53">
              <w:rPr>
                <w:sz w:val="16"/>
                <w:szCs w:val="16"/>
                <w:lang w:val="es-ES_tradnl"/>
              </w:rPr>
              <w:t>N</w:t>
            </w:r>
            <w:r w:rsidR="00324B68">
              <w:rPr>
                <w:sz w:val="16"/>
                <w:szCs w:val="16"/>
                <w:lang w:val="es-ES_tradnl"/>
              </w:rPr>
              <w:t>º</w:t>
            </w:r>
            <w:r w:rsidRPr="00245E53">
              <w:rPr>
                <w:sz w:val="16"/>
                <w:szCs w:val="16"/>
                <w:lang w:val="es-ES_tradnl"/>
              </w:rPr>
              <w:t xml:space="preserve"> de búsquedas en el Centro de Datos Estadísticos de P.I.</w:t>
            </w:r>
          </w:p>
        </w:tc>
        <w:tc>
          <w:tcPr>
            <w:tcW w:w="1644" w:type="pct"/>
            <w:tcBorders>
              <w:top w:val="single" w:sz="4" w:space="0" w:color="auto"/>
            </w:tcBorders>
            <w:shd w:val="clear" w:color="auto" w:fill="FFFFFF"/>
            <w:tcMar>
              <w:top w:w="113" w:type="dxa"/>
              <w:bottom w:w="85" w:type="dxa"/>
            </w:tcMar>
          </w:tcPr>
          <w:p w:rsidR="00BA1546" w:rsidRPr="00245E53" w:rsidRDefault="00BA1546" w:rsidP="00801092">
            <w:pPr>
              <w:ind w:left="768"/>
              <w:rPr>
                <w:sz w:val="16"/>
                <w:szCs w:val="16"/>
              </w:rPr>
            </w:pPr>
            <w:r w:rsidRPr="00245E53">
              <w:rPr>
                <w:sz w:val="16"/>
                <w:szCs w:val="16"/>
                <w:lang w:bidi="th-TH"/>
              </w:rPr>
              <w:t>Programa 16</w:t>
            </w:r>
          </w:p>
        </w:tc>
      </w:tr>
      <w:tr w:rsidR="00BA1546" w:rsidRPr="00245E53" w:rsidTr="00801092">
        <w:trPr>
          <w:cantSplit/>
          <w:trHeight w:val="500"/>
        </w:trPr>
        <w:tc>
          <w:tcPr>
            <w:tcW w:w="1891" w:type="pct"/>
            <w:shd w:val="clear" w:color="auto" w:fill="auto"/>
            <w:tcMar>
              <w:top w:w="113" w:type="dxa"/>
              <w:bottom w:w="85" w:type="dxa"/>
            </w:tcMar>
          </w:tcPr>
          <w:p w:rsidR="00BA1546" w:rsidRPr="00037E5E" w:rsidRDefault="00BA1546" w:rsidP="00801092">
            <w:pPr>
              <w:rPr>
                <w:sz w:val="16"/>
                <w:szCs w:val="16"/>
              </w:rPr>
            </w:pPr>
          </w:p>
        </w:tc>
        <w:tc>
          <w:tcPr>
            <w:tcW w:w="1465" w:type="pct"/>
            <w:shd w:val="clear" w:color="auto" w:fill="auto"/>
            <w:tcMar>
              <w:top w:w="113" w:type="dxa"/>
              <w:bottom w:w="85" w:type="dxa"/>
            </w:tcMar>
          </w:tcPr>
          <w:p w:rsidR="00BA1546" w:rsidRPr="00245E53" w:rsidRDefault="00BA1546" w:rsidP="00324B68">
            <w:pPr>
              <w:rPr>
                <w:sz w:val="16"/>
                <w:szCs w:val="16"/>
              </w:rPr>
            </w:pPr>
            <w:r w:rsidRPr="00245E53">
              <w:rPr>
                <w:sz w:val="16"/>
                <w:szCs w:val="16"/>
              </w:rPr>
              <w:t>N</w:t>
            </w:r>
            <w:r w:rsidR="00324B68">
              <w:rPr>
                <w:sz w:val="16"/>
                <w:szCs w:val="16"/>
              </w:rPr>
              <w:t>º</w:t>
            </w:r>
            <w:r w:rsidRPr="00245E53">
              <w:rPr>
                <w:sz w:val="16"/>
                <w:szCs w:val="16"/>
              </w:rPr>
              <w:t xml:space="preserve"> de descargas de los informes estadísticos anuales en el plazo de 6 meses desde su publicación</w:t>
            </w:r>
          </w:p>
        </w:tc>
        <w:tc>
          <w:tcPr>
            <w:tcW w:w="1644" w:type="pct"/>
            <w:shd w:val="clear" w:color="auto" w:fill="FFFFFF"/>
            <w:tcMar>
              <w:top w:w="113" w:type="dxa"/>
              <w:bottom w:w="85" w:type="dxa"/>
            </w:tcMar>
          </w:tcPr>
          <w:p w:rsidR="00BA1546" w:rsidRPr="00245E53" w:rsidRDefault="00BA1546" w:rsidP="00801092">
            <w:pPr>
              <w:ind w:left="768"/>
              <w:rPr>
                <w:sz w:val="16"/>
                <w:szCs w:val="16"/>
              </w:rPr>
            </w:pPr>
            <w:r w:rsidRPr="00245E53">
              <w:rPr>
                <w:sz w:val="16"/>
                <w:szCs w:val="16"/>
                <w:lang w:bidi="th-TH"/>
              </w:rPr>
              <w:t>Programa 16</w:t>
            </w:r>
          </w:p>
        </w:tc>
      </w:tr>
      <w:tr w:rsidR="00BA1546" w:rsidRPr="00245E53" w:rsidTr="00801092">
        <w:trPr>
          <w:cantSplit/>
          <w:trHeight w:val="500"/>
        </w:trPr>
        <w:tc>
          <w:tcPr>
            <w:tcW w:w="1891" w:type="pct"/>
            <w:shd w:val="clear" w:color="auto" w:fill="auto"/>
            <w:tcMar>
              <w:top w:w="113" w:type="dxa"/>
              <w:bottom w:w="85" w:type="dxa"/>
            </w:tcMar>
          </w:tcPr>
          <w:p w:rsidR="00BA1546" w:rsidRPr="00037E5E" w:rsidRDefault="00BA1546" w:rsidP="00801092">
            <w:pPr>
              <w:rPr>
                <w:sz w:val="16"/>
                <w:szCs w:val="16"/>
              </w:rPr>
            </w:pPr>
          </w:p>
        </w:tc>
        <w:tc>
          <w:tcPr>
            <w:tcW w:w="1465" w:type="pct"/>
            <w:shd w:val="clear" w:color="auto" w:fill="auto"/>
            <w:tcMar>
              <w:top w:w="113" w:type="dxa"/>
              <w:bottom w:w="85" w:type="dxa"/>
            </w:tcMar>
          </w:tcPr>
          <w:p w:rsidR="00BA1546" w:rsidRPr="00245E53" w:rsidRDefault="00BA1546" w:rsidP="00801092">
            <w:pPr>
              <w:rPr>
                <w:sz w:val="16"/>
                <w:szCs w:val="16"/>
              </w:rPr>
            </w:pPr>
            <w:r w:rsidRPr="00245E53">
              <w:rPr>
                <w:sz w:val="16"/>
                <w:szCs w:val="16"/>
              </w:rPr>
              <w:t xml:space="preserve">La diferencia entre las previsiones de enero y el número real de solicitudes PCT, Madrid y </w:t>
            </w:r>
            <w:r w:rsidR="003B0DF0">
              <w:rPr>
                <w:sz w:val="16"/>
                <w:szCs w:val="16"/>
              </w:rPr>
              <w:t>La Haya</w:t>
            </w:r>
            <w:r w:rsidRPr="00245E53">
              <w:rPr>
                <w:sz w:val="16"/>
                <w:szCs w:val="16"/>
              </w:rPr>
              <w:t xml:space="preserve"> presentadas se mantiene dentro de los límites.</w:t>
            </w:r>
          </w:p>
        </w:tc>
        <w:tc>
          <w:tcPr>
            <w:tcW w:w="1644" w:type="pct"/>
            <w:shd w:val="clear" w:color="auto" w:fill="FFFFFF"/>
            <w:tcMar>
              <w:top w:w="113" w:type="dxa"/>
              <w:bottom w:w="85" w:type="dxa"/>
            </w:tcMar>
          </w:tcPr>
          <w:p w:rsidR="00BA1546" w:rsidRPr="00245E53" w:rsidRDefault="00BA1546" w:rsidP="00801092">
            <w:pPr>
              <w:ind w:left="768"/>
              <w:rPr>
                <w:sz w:val="16"/>
                <w:szCs w:val="16"/>
                <w:lang w:bidi="th-TH"/>
              </w:rPr>
            </w:pPr>
            <w:r w:rsidRPr="00245E53">
              <w:rPr>
                <w:sz w:val="16"/>
                <w:szCs w:val="16"/>
                <w:lang w:bidi="th-TH"/>
              </w:rPr>
              <w:t>Programa 16</w:t>
            </w:r>
          </w:p>
        </w:tc>
      </w:tr>
      <w:tr w:rsidR="00BA1546" w:rsidRPr="00245E53" w:rsidTr="00801092">
        <w:trPr>
          <w:cantSplit/>
          <w:trHeight w:val="522"/>
        </w:trPr>
        <w:tc>
          <w:tcPr>
            <w:tcW w:w="1891" w:type="pct"/>
            <w:shd w:val="clear" w:color="auto" w:fill="auto"/>
            <w:tcMar>
              <w:top w:w="113" w:type="dxa"/>
              <w:bottom w:w="85" w:type="dxa"/>
            </w:tcMar>
          </w:tcPr>
          <w:p w:rsidR="00BA1546" w:rsidRPr="00037E5E" w:rsidRDefault="00BA1546" w:rsidP="00801092">
            <w:pPr>
              <w:tabs>
                <w:tab w:val="right" w:pos="2835"/>
              </w:tabs>
              <w:spacing w:after="60"/>
              <w:rPr>
                <w:sz w:val="16"/>
                <w:szCs w:val="16"/>
                <w:lang w:val="es-ES_tradnl"/>
              </w:rPr>
            </w:pPr>
            <w:r w:rsidRPr="00037E5E">
              <w:rPr>
                <w:sz w:val="16"/>
                <w:szCs w:val="16"/>
                <w:lang w:val="es-ES_tradnl"/>
              </w:rPr>
              <w:t>V.2</w:t>
            </w:r>
            <w:r w:rsidRPr="00037E5E">
              <w:rPr>
                <w:sz w:val="15"/>
                <w:szCs w:val="15"/>
                <w:lang w:val="es-ES_tradnl"/>
              </w:rPr>
              <w:t xml:space="preserve">  </w:t>
            </w:r>
            <w:r w:rsidR="005B1060" w:rsidRPr="00037E5E">
              <w:rPr>
                <w:sz w:val="16"/>
                <w:szCs w:val="16"/>
                <w:lang w:val="es-ES_tradnl"/>
              </w:rPr>
              <w:t>Uso más amplio y mejor de los análisis económicos de la OMPI en la formulación de políticas</w:t>
            </w:r>
          </w:p>
        </w:tc>
        <w:tc>
          <w:tcPr>
            <w:tcW w:w="1465" w:type="pct"/>
            <w:shd w:val="clear" w:color="auto" w:fill="auto"/>
            <w:tcMar>
              <w:top w:w="113" w:type="dxa"/>
              <w:bottom w:w="85" w:type="dxa"/>
            </w:tcMar>
          </w:tcPr>
          <w:p w:rsidR="00BA1546" w:rsidRPr="00245E53" w:rsidRDefault="00BA1546" w:rsidP="00324B68">
            <w:pPr>
              <w:rPr>
                <w:sz w:val="16"/>
                <w:szCs w:val="16"/>
              </w:rPr>
            </w:pPr>
            <w:r w:rsidRPr="00245E53">
              <w:rPr>
                <w:sz w:val="16"/>
                <w:szCs w:val="16"/>
              </w:rPr>
              <w:t>N</w:t>
            </w:r>
            <w:r w:rsidR="00324B68">
              <w:rPr>
                <w:sz w:val="16"/>
                <w:szCs w:val="16"/>
              </w:rPr>
              <w:t>º</w:t>
            </w:r>
            <w:r w:rsidRPr="00245E53">
              <w:rPr>
                <w:sz w:val="16"/>
                <w:szCs w:val="16"/>
              </w:rPr>
              <w:t xml:space="preserve"> de visitas por año </w:t>
            </w:r>
            <w:r w:rsidR="00324B68">
              <w:rPr>
                <w:sz w:val="16"/>
                <w:szCs w:val="16"/>
              </w:rPr>
              <w:t>a</w:t>
            </w:r>
            <w:r w:rsidRPr="00245E53">
              <w:rPr>
                <w:sz w:val="16"/>
                <w:szCs w:val="16"/>
              </w:rPr>
              <w:t xml:space="preserve"> los sitios web del Índice Mundial de Innovación</w:t>
            </w:r>
          </w:p>
        </w:tc>
        <w:tc>
          <w:tcPr>
            <w:tcW w:w="1644" w:type="pct"/>
            <w:shd w:val="clear" w:color="auto" w:fill="FFFFFF"/>
            <w:tcMar>
              <w:top w:w="113" w:type="dxa"/>
              <w:bottom w:w="85" w:type="dxa"/>
            </w:tcMar>
          </w:tcPr>
          <w:p w:rsidR="00BA1546" w:rsidRPr="00245E53" w:rsidRDefault="00BA1546" w:rsidP="00801092">
            <w:pPr>
              <w:ind w:left="768"/>
              <w:rPr>
                <w:sz w:val="16"/>
                <w:szCs w:val="16"/>
              </w:rPr>
            </w:pPr>
            <w:r w:rsidRPr="00245E53">
              <w:rPr>
                <w:sz w:val="16"/>
                <w:szCs w:val="16"/>
                <w:lang w:bidi="th-TH"/>
              </w:rPr>
              <w:t>Programa 16</w:t>
            </w:r>
          </w:p>
        </w:tc>
      </w:tr>
      <w:tr w:rsidR="00BA1546" w:rsidRPr="00245E53" w:rsidTr="00801092">
        <w:trPr>
          <w:cantSplit/>
          <w:trHeight w:val="720"/>
        </w:trPr>
        <w:tc>
          <w:tcPr>
            <w:tcW w:w="1891" w:type="pct"/>
            <w:shd w:val="clear" w:color="auto" w:fill="auto"/>
            <w:tcMar>
              <w:top w:w="113" w:type="dxa"/>
              <w:bottom w:w="85" w:type="dxa"/>
            </w:tcMar>
          </w:tcPr>
          <w:p w:rsidR="00BA1546" w:rsidRPr="00245E53" w:rsidRDefault="00BA1546" w:rsidP="00801092">
            <w:pPr>
              <w:rPr>
                <w:sz w:val="16"/>
                <w:szCs w:val="16"/>
              </w:rPr>
            </w:pPr>
          </w:p>
        </w:tc>
        <w:tc>
          <w:tcPr>
            <w:tcW w:w="1465" w:type="pct"/>
            <w:shd w:val="clear" w:color="auto" w:fill="auto"/>
            <w:tcMar>
              <w:top w:w="113" w:type="dxa"/>
              <w:bottom w:w="85" w:type="dxa"/>
            </w:tcMar>
          </w:tcPr>
          <w:p w:rsidR="00BA1546" w:rsidRPr="00245E53" w:rsidRDefault="00BA1546" w:rsidP="00324B68">
            <w:pPr>
              <w:rPr>
                <w:sz w:val="16"/>
                <w:szCs w:val="16"/>
              </w:rPr>
            </w:pPr>
            <w:r w:rsidRPr="00245E53">
              <w:rPr>
                <w:sz w:val="16"/>
                <w:szCs w:val="16"/>
              </w:rPr>
              <w:t>N</w:t>
            </w:r>
            <w:r w:rsidR="00324B68">
              <w:rPr>
                <w:sz w:val="16"/>
                <w:szCs w:val="16"/>
              </w:rPr>
              <w:t>º</w:t>
            </w:r>
            <w:r w:rsidRPr="00245E53">
              <w:rPr>
                <w:sz w:val="16"/>
                <w:szCs w:val="16"/>
              </w:rPr>
              <w:t xml:space="preserve"> de descargas del Informe mundial sobre la P.I. en el plazo de 6 meses desde su publicación.</w:t>
            </w:r>
          </w:p>
        </w:tc>
        <w:tc>
          <w:tcPr>
            <w:tcW w:w="1644" w:type="pct"/>
            <w:shd w:val="clear" w:color="auto" w:fill="FFFFFF"/>
            <w:tcMar>
              <w:top w:w="113" w:type="dxa"/>
              <w:bottom w:w="85" w:type="dxa"/>
            </w:tcMar>
          </w:tcPr>
          <w:p w:rsidR="00BA1546" w:rsidRPr="00245E53" w:rsidRDefault="00BA1546" w:rsidP="00801092">
            <w:pPr>
              <w:ind w:left="768"/>
              <w:rPr>
                <w:sz w:val="16"/>
                <w:szCs w:val="16"/>
              </w:rPr>
            </w:pPr>
            <w:r w:rsidRPr="00245E53">
              <w:rPr>
                <w:sz w:val="16"/>
                <w:szCs w:val="16"/>
                <w:lang w:bidi="th-TH"/>
              </w:rPr>
              <w:t>Programa 16</w:t>
            </w:r>
          </w:p>
        </w:tc>
      </w:tr>
    </w:tbl>
    <w:p w:rsidR="00BA1546" w:rsidRPr="00245E53" w:rsidRDefault="00BA1546" w:rsidP="00BA1546">
      <w:pPr>
        <w:rPr>
          <w:bCs/>
          <w:sz w:val="20"/>
        </w:rPr>
      </w:pPr>
    </w:p>
    <w:p w:rsidR="0010019E" w:rsidRDefault="0010019E" w:rsidP="00F32F10">
      <w:pPr>
        <w:shd w:val="clear" w:color="auto" w:fill="FFFFFF"/>
        <w:tabs>
          <w:tab w:val="left" w:pos="709"/>
        </w:tabs>
        <w:suppressAutoHyphens/>
        <w:jc w:val="both"/>
        <w:rPr>
          <w:sz w:val="20"/>
          <w:szCs w:val="21"/>
          <w:lang w:val="en-US"/>
        </w:rPr>
      </w:pPr>
    </w:p>
    <w:p w:rsidR="00102AF5" w:rsidRDefault="00102AF5">
      <w:pPr>
        <w:rPr>
          <w:sz w:val="20"/>
          <w:szCs w:val="21"/>
          <w:lang w:val="en-US"/>
        </w:rPr>
      </w:pPr>
      <w:r>
        <w:rPr>
          <w:sz w:val="20"/>
          <w:szCs w:val="21"/>
          <w:lang w:val="en-US"/>
        </w:rPr>
        <w:br w:type="page"/>
      </w:r>
    </w:p>
    <w:p w:rsidR="00E02444" w:rsidRPr="004F598F" w:rsidRDefault="00F4741E" w:rsidP="006719E9">
      <w:pPr>
        <w:pStyle w:val="StyleStyleHeading3ComplexItalicLatin12pt"/>
        <w:rPr>
          <w:lang w:val="es-ES"/>
        </w:rPr>
      </w:pPr>
      <w:bookmarkStart w:id="56" w:name="_Toc420681152"/>
      <w:r>
        <w:rPr>
          <w:caps w:val="0"/>
        </w:rPr>
        <w:lastRenderedPageBreak/>
        <w:t>PROGRAMA 16</w:t>
      </w:r>
      <w:r w:rsidR="006719E9" w:rsidRPr="004F598F">
        <w:rPr>
          <w:caps w:val="0"/>
        </w:rPr>
        <w:tab/>
        <w:t>ECONOMÍA Y ESTADÍSTICA</w:t>
      </w:r>
      <w:bookmarkEnd w:id="56"/>
    </w:p>
    <w:p w:rsidR="00E02444" w:rsidRPr="004F598F" w:rsidRDefault="00E02444" w:rsidP="00E02444">
      <w:pPr>
        <w:rPr>
          <w:bCs/>
          <w:i/>
          <w:szCs w:val="22"/>
        </w:rPr>
      </w:pPr>
    </w:p>
    <w:p w:rsidR="00E02444" w:rsidRPr="004F598F" w:rsidRDefault="00E02444" w:rsidP="00E02444">
      <w:pPr>
        <w:rPr>
          <w:bCs/>
          <w:i/>
          <w:szCs w:val="22"/>
        </w:rPr>
      </w:pPr>
    </w:p>
    <w:p w:rsidR="00E02444" w:rsidRPr="004F598F" w:rsidRDefault="00E02444" w:rsidP="00E02444">
      <w:pPr>
        <w:rPr>
          <w:bCs/>
          <w:sz w:val="24"/>
          <w:szCs w:val="24"/>
        </w:rPr>
      </w:pPr>
      <w:r w:rsidRPr="004F598F">
        <w:rPr>
          <w:bCs/>
          <w:sz w:val="24"/>
          <w:szCs w:val="24"/>
          <w:lang w:val="es-ES_tradnl"/>
        </w:rPr>
        <w:t>CONTEXTO DE PLANIFICACIÓN</w:t>
      </w:r>
    </w:p>
    <w:p w:rsidR="00E02444" w:rsidRPr="004F598F" w:rsidRDefault="00E02444" w:rsidP="00E02444">
      <w:pPr>
        <w:rPr>
          <w:sz w:val="20"/>
        </w:rPr>
      </w:pPr>
    </w:p>
    <w:p w:rsidR="00E02444" w:rsidRPr="004F598F" w:rsidRDefault="00E02444" w:rsidP="00E02444">
      <w:pPr>
        <w:numPr>
          <w:ilvl w:val="0"/>
          <w:numId w:val="35"/>
        </w:numPr>
        <w:jc w:val="both"/>
        <w:rPr>
          <w:bCs/>
          <w:sz w:val="20"/>
        </w:rPr>
      </w:pPr>
      <w:r w:rsidRPr="004F598F">
        <w:rPr>
          <w:bCs/>
          <w:sz w:val="20"/>
        </w:rPr>
        <w:t>En la medida en que la recuperación de la economía mundial prosiga a un ritmo desigual, la innovación continuará siendo esencial para sustentar el crecimiento a largo plazo y fomentar el desarrollo humano.</w:t>
      </w:r>
      <w:r w:rsidRPr="004F598F">
        <w:rPr>
          <w:bCs/>
          <w:sz w:val="20"/>
          <w:lang w:val="es-ES_tradnl"/>
        </w:rPr>
        <w:t xml:space="preserve">  </w:t>
      </w:r>
      <w:r w:rsidRPr="004F598F">
        <w:rPr>
          <w:bCs/>
          <w:sz w:val="20"/>
        </w:rPr>
        <w:t>Afortunadamente, el entorno cambiante de la innovación ofrece nuevas oportunidades para poner los conocimientos al servicio de las sociedades. En particular, los países están invirtiendo más recursos que nunca en la economía del conocimiento y han surgido nuevas fuentes de innovación, especialmente en Asia.  Sin embargo, y a pesar del rápido crecimiento registrado por algunos países en desarrollo, una parte importante de la población mundial sigue sumida en la pobreza y no ha podido aprovechar los conocimientos para crear prosperidad económica.</w:t>
      </w:r>
    </w:p>
    <w:p w:rsidR="00E02444" w:rsidRPr="004F598F" w:rsidRDefault="00E02444" w:rsidP="00E02444">
      <w:pPr>
        <w:tabs>
          <w:tab w:val="num" w:pos="709"/>
        </w:tabs>
        <w:jc w:val="both"/>
        <w:rPr>
          <w:bCs/>
          <w:sz w:val="20"/>
        </w:rPr>
      </w:pPr>
    </w:p>
    <w:p w:rsidR="00E02444" w:rsidRPr="004F598F" w:rsidRDefault="00E02444" w:rsidP="00E02444">
      <w:pPr>
        <w:numPr>
          <w:ilvl w:val="0"/>
          <w:numId w:val="35"/>
        </w:numPr>
        <w:jc w:val="both"/>
        <w:rPr>
          <w:bCs/>
          <w:sz w:val="20"/>
        </w:rPr>
      </w:pPr>
      <w:r w:rsidRPr="004F598F">
        <w:rPr>
          <w:bCs/>
          <w:sz w:val="20"/>
          <w:lang w:val="es-ES_tradnl"/>
        </w:rPr>
        <w:t>En este contexto, al sistema mundial de P.I. se le plantean importantes retos.  Los responsables de la adopción de políticas se ven confrontados con una demanda continuamente creciente de derechos de P.I., nuevas tecnologías y nuevos modelos de negocios, así como la necesidad de promover un marco internacional conducente a una protección equilibrada de la P.I.  A los encargados de la adopción de políticas de los países en desarrollo incumbe además la tarea de adaptar la política de P.I. a las necesidades de sus economías, habida cuenta de sus diferentes dotaciones de recursos y estructuras industriales.</w:t>
      </w:r>
    </w:p>
    <w:p w:rsidR="00E02444" w:rsidRPr="004F598F" w:rsidRDefault="00E02444" w:rsidP="00E02444">
      <w:pPr>
        <w:tabs>
          <w:tab w:val="num" w:pos="709"/>
        </w:tabs>
        <w:jc w:val="both"/>
        <w:rPr>
          <w:bCs/>
          <w:sz w:val="20"/>
        </w:rPr>
      </w:pPr>
    </w:p>
    <w:p w:rsidR="00E02444" w:rsidRPr="004F598F" w:rsidRDefault="00E02444" w:rsidP="00E02444">
      <w:pPr>
        <w:numPr>
          <w:ilvl w:val="0"/>
          <w:numId w:val="35"/>
        </w:numPr>
        <w:jc w:val="both"/>
        <w:rPr>
          <w:bCs/>
          <w:sz w:val="20"/>
          <w:lang w:val="es-ES_tradnl"/>
        </w:rPr>
      </w:pPr>
      <w:r w:rsidRPr="004F598F">
        <w:rPr>
          <w:bCs/>
          <w:sz w:val="20"/>
        </w:rPr>
        <w:t>Así, se persiguen dos objetivos</w:t>
      </w:r>
      <w:proofErr w:type="gramStart"/>
      <w:r w:rsidRPr="004F598F">
        <w:rPr>
          <w:bCs/>
          <w:sz w:val="20"/>
        </w:rPr>
        <w:t>:  en</w:t>
      </w:r>
      <w:proofErr w:type="gramEnd"/>
      <w:r w:rsidRPr="004F598F">
        <w:rPr>
          <w:bCs/>
          <w:sz w:val="20"/>
        </w:rPr>
        <w:t xml:space="preserve"> primer lugar, facilitar información estadística precisa, exhaustiva y puntual sobre los resultados del sistema de P.I. a escala mundial;  en segundo lugar, elaborar análisis empíricos de alta calidad en apoyo de la elaboración de políticas bien fundamentadas</w:t>
      </w:r>
      <w:r w:rsidRPr="004F598F">
        <w:rPr>
          <w:bCs/>
          <w:sz w:val="20"/>
          <w:lang w:val="es-ES_tradnl"/>
        </w:rPr>
        <w:t>.</w:t>
      </w:r>
    </w:p>
    <w:p w:rsidR="00E02444" w:rsidRPr="004F598F" w:rsidRDefault="00E02444" w:rsidP="00E02444">
      <w:pPr>
        <w:tabs>
          <w:tab w:val="num" w:pos="709"/>
        </w:tabs>
        <w:jc w:val="both"/>
        <w:rPr>
          <w:bCs/>
          <w:sz w:val="20"/>
          <w:lang w:val="es-ES_tradnl"/>
        </w:rPr>
      </w:pPr>
    </w:p>
    <w:p w:rsidR="00E02444" w:rsidRPr="004F598F" w:rsidRDefault="00E02444" w:rsidP="00E02444">
      <w:pPr>
        <w:tabs>
          <w:tab w:val="num" w:pos="709"/>
        </w:tabs>
        <w:jc w:val="both"/>
        <w:rPr>
          <w:bCs/>
          <w:sz w:val="20"/>
          <w:lang w:val="es-ES_tradnl"/>
        </w:rPr>
      </w:pPr>
    </w:p>
    <w:p w:rsidR="00E02444" w:rsidRPr="004F598F" w:rsidRDefault="00E02444" w:rsidP="00E02444">
      <w:pPr>
        <w:tabs>
          <w:tab w:val="num" w:pos="709"/>
        </w:tabs>
        <w:jc w:val="both"/>
        <w:rPr>
          <w:bCs/>
          <w:sz w:val="20"/>
        </w:rPr>
      </w:pPr>
      <w:r w:rsidRPr="004F598F">
        <w:rPr>
          <w:bCs/>
          <w:sz w:val="20"/>
          <w:lang w:val="es-ES_tradnl"/>
        </w:rPr>
        <w:t>ESTRATEGIAS DE EJECUCIÓN</w:t>
      </w:r>
    </w:p>
    <w:p w:rsidR="00E02444" w:rsidRPr="004F598F" w:rsidRDefault="00E02444" w:rsidP="00E02444">
      <w:pPr>
        <w:tabs>
          <w:tab w:val="num" w:pos="709"/>
        </w:tabs>
        <w:jc w:val="both"/>
        <w:rPr>
          <w:bCs/>
          <w:sz w:val="20"/>
        </w:rPr>
      </w:pPr>
    </w:p>
    <w:p w:rsidR="00E02444" w:rsidRPr="004F598F" w:rsidRDefault="00E02444" w:rsidP="00E02444">
      <w:pPr>
        <w:numPr>
          <w:ilvl w:val="0"/>
          <w:numId w:val="35"/>
        </w:numPr>
        <w:jc w:val="both"/>
        <w:rPr>
          <w:bCs/>
          <w:sz w:val="20"/>
          <w:lang w:val="es-ES_tradnl"/>
        </w:rPr>
      </w:pPr>
      <w:r w:rsidRPr="004F598F">
        <w:rPr>
          <w:bCs/>
          <w:sz w:val="20"/>
          <w:lang w:val="es-ES_tradnl"/>
        </w:rPr>
        <w:t>En el ámbito de las estadísticas de P.I., la OMPI colabora con las oficinas nacionales y regionales de P.I. recopilando datos sobre la actividad de P.I. a escala mundial a través de su encuesta estadística anual.   Las estadísticas relativas a los tratados administrados por la OMPI en virtud de los cuales se presentan solicitudes de registro de derechos de P.I. se generan internamente.</w:t>
      </w:r>
      <w:r w:rsidRPr="004F598F">
        <w:rPr>
          <w:bCs/>
          <w:sz w:val="20"/>
        </w:rPr>
        <w:t xml:space="preserve">  </w:t>
      </w:r>
      <w:r w:rsidRPr="004F598F">
        <w:rPr>
          <w:bCs/>
          <w:sz w:val="20"/>
          <w:lang w:val="es-ES_tradnl"/>
        </w:rPr>
        <w:t>La principal publicación estadística de la OMPI, los “Indicadores mundiales de propiedad intelectual”, continuará resumiendo las grandes tendencias estadísticas en el ámbito de las patentes, los modelos de utilidad, las marcas, los diseños industriales y las variedades vegetales.</w:t>
      </w:r>
      <w:r w:rsidRPr="004F598F">
        <w:rPr>
          <w:bCs/>
          <w:sz w:val="20"/>
        </w:rPr>
        <w:t xml:space="preserve">  </w:t>
      </w:r>
      <w:r w:rsidRPr="004F598F">
        <w:rPr>
          <w:bCs/>
          <w:sz w:val="20"/>
          <w:lang w:val="es-ES_tradnl"/>
        </w:rPr>
        <w:t xml:space="preserve">Existen otras publicaciones estadísticas dedicadas a informar sobre los resultados de los Sistemas del PCT, Madrid y </w:t>
      </w:r>
      <w:r w:rsidR="003B0DF0">
        <w:rPr>
          <w:bCs/>
          <w:sz w:val="20"/>
          <w:lang w:val="es-ES_tradnl"/>
        </w:rPr>
        <w:t>La Haya</w:t>
      </w:r>
      <w:r w:rsidRPr="004F598F">
        <w:rPr>
          <w:bCs/>
          <w:sz w:val="20"/>
          <w:lang w:val="es-ES_tradnl"/>
        </w:rPr>
        <w:t>.</w:t>
      </w:r>
      <w:r w:rsidRPr="004F598F">
        <w:rPr>
          <w:bCs/>
          <w:sz w:val="20"/>
        </w:rPr>
        <w:t xml:space="preserve">  </w:t>
      </w:r>
      <w:r w:rsidRPr="004F598F">
        <w:rPr>
          <w:bCs/>
          <w:sz w:val="20"/>
          <w:lang w:val="es-ES_tradnl"/>
        </w:rPr>
        <w:t>El Centro de Datos Estadísticos de P.I. continuará facilitando todas las estadísticas a los usuarios de todo el mundo.</w:t>
      </w:r>
      <w:r w:rsidRPr="004F598F">
        <w:rPr>
          <w:bCs/>
          <w:sz w:val="20"/>
        </w:rPr>
        <w:t xml:space="preserve">  En consonancia con las antedichas prioridades, en el marco del programa se desplegarán especiales esfuerzos para compilar datos, y presentar informes, de nuevas estadísticas sobre indicaciones geográficas y actividades relacionadas con el derecho de autor, y para seguir mejorando la fácil consulta de las estadísticas de la OMPI.</w:t>
      </w:r>
    </w:p>
    <w:p w:rsidR="00E02444" w:rsidRPr="004F598F" w:rsidRDefault="00E02444" w:rsidP="00E02444">
      <w:pPr>
        <w:tabs>
          <w:tab w:val="num" w:pos="709"/>
        </w:tabs>
        <w:jc w:val="both"/>
        <w:rPr>
          <w:bCs/>
          <w:sz w:val="20"/>
          <w:lang w:val="es-ES_tradnl"/>
        </w:rPr>
      </w:pPr>
    </w:p>
    <w:p w:rsidR="00E02444" w:rsidRPr="004F598F" w:rsidRDefault="00E02444" w:rsidP="00E02444">
      <w:pPr>
        <w:numPr>
          <w:ilvl w:val="0"/>
          <w:numId w:val="35"/>
        </w:numPr>
        <w:jc w:val="both"/>
        <w:rPr>
          <w:bCs/>
          <w:sz w:val="20"/>
          <w:lang w:val="es-ES_tradnl"/>
        </w:rPr>
      </w:pPr>
      <w:r w:rsidRPr="004F598F">
        <w:rPr>
          <w:bCs/>
          <w:sz w:val="20"/>
          <w:lang w:val="es-ES_tradnl"/>
        </w:rPr>
        <w:t xml:space="preserve">En el ámbito del análisis económico, la OMPI continuará siendo </w:t>
      </w:r>
      <w:proofErr w:type="spellStart"/>
      <w:r w:rsidRPr="004F598F">
        <w:rPr>
          <w:bCs/>
          <w:sz w:val="20"/>
          <w:lang w:val="es-ES_tradnl"/>
        </w:rPr>
        <w:t>co</w:t>
      </w:r>
      <w:proofErr w:type="spellEnd"/>
      <w:r w:rsidRPr="004F598F">
        <w:rPr>
          <w:bCs/>
          <w:sz w:val="20"/>
          <w:lang w:val="es-ES_tradnl"/>
        </w:rPr>
        <w:t>-editor del Índice mundial de innovación, en el empeño de coadyuvar a la medición de la innovación y proporcionar a los responsables de la adopción de políticas una herramienta apropiada para la evaluación comparativa de los resultados de la innovación.</w:t>
      </w:r>
      <w:r w:rsidRPr="004F598F">
        <w:rPr>
          <w:bCs/>
          <w:sz w:val="20"/>
        </w:rPr>
        <w:t xml:space="preserve">  </w:t>
      </w:r>
      <w:r w:rsidRPr="004F598F">
        <w:rPr>
          <w:bCs/>
          <w:sz w:val="20"/>
          <w:lang w:val="es-ES_tradnl"/>
        </w:rPr>
        <w:t>La OMPI continuará asimismo publicando la serie "Informe mundial sobre la propiedad intelectual" con la voluntad de explorar nuevos temas y profundizar los  análisis realizados hasta la fecha en torno a la problemática mundial de P.I.</w:t>
      </w:r>
      <w:r w:rsidRPr="004F598F">
        <w:rPr>
          <w:bCs/>
          <w:sz w:val="20"/>
        </w:rPr>
        <w:t xml:space="preserve">  Además, en el marco del programa se intentará establecer una nueva línea de investigación sobre políticas y resultados en </w:t>
      </w:r>
      <w:r w:rsidR="00037E5E">
        <w:rPr>
          <w:bCs/>
          <w:sz w:val="20"/>
        </w:rPr>
        <w:t>la economía creativa</w:t>
      </w:r>
      <w:r w:rsidRPr="004F598F">
        <w:rPr>
          <w:bCs/>
          <w:sz w:val="20"/>
          <w:lang w:val="es-ES_tradnl"/>
        </w:rPr>
        <w:t>.</w:t>
      </w:r>
    </w:p>
    <w:p w:rsidR="00E02444" w:rsidRPr="004F598F" w:rsidRDefault="00E02444" w:rsidP="00E02444">
      <w:pPr>
        <w:tabs>
          <w:tab w:val="num" w:pos="709"/>
        </w:tabs>
        <w:jc w:val="both"/>
        <w:rPr>
          <w:bCs/>
          <w:sz w:val="20"/>
          <w:lang w:val="es-ES_tradnl"/>
        </w:rPr>
      </w:pPr>
    </w:p>
    <w:p w:rsidR="00E02444" w:rsidRPr="004F598F" w:rsidRDefault="00E02444" w:rsidP="00E02444">
      <w:pPr>
        <w:numPr>
          <w:ilvl w:val="0"/>
          <w:numId w:val="35"/>
        </w:numPr>
        <w:jc w:val="both"/>
        <w:rPr>
          <w:bCs/>
          <w:sz w:val="20"/>
          <w:lang w:val="es-ES_tradnl"/>
        </w:rPr>
      </w:pPr>
      <w:r w:rsidRPr="004F598F">
        <w:rPr>
          <w:bCs/>
          <w:sz w:val="20"/>
          <w:lang w:val="es-ES_tradnl"/>
        </w:rPr>
        <w:t>Al igual que en el pasado, el programa se mantendrá en todo momento dispuesto para atender las solicitudes de análisis económicos que puedan formular los comités de la OMPI.</w:t>
      </w:r>
      <w:r w:rsidRPr="004F598F">
        <w:rPr>
          <w:bCs/>
          <w:sz w:val="20"/>
        </w:rPr>
        <w:t xml:space="preserve">  Finalmente, los estudios en los países en desarrollo, como parte del proyecto de la A.D., se ampliarán de cuatro a cinco nuevos países.  En respuesta a las necesidades de los Estados miembros, dichos estudios seguirán ajustándose a las recomendaciones de la A.D., en especial las recomendaciones 34, 35, 37 y 39, y proporcionando datos empíricos que faciliten la comprensión de los efectos económicos de las diferentes opciones de política de P.I.</w:t>
      </w:r>
    </w:p>
    <w:p w:rsidR="00E02444" w:rsidRPr="004F598F" w:rsidRDefault="00E02444" w:rsidP="00E02444">
      <w:pPr>
        <w:tabs>
          <w:tab w:val="num" w:pos="709"/>
        </w:tabs>
        <w:jc w:val="both"/>
        <w:rPr>
          <w:bCs/>
          <w:sz w:val="20"/>
          <w:lang w:val="es-ES_tradnl"/>
        </w:rPr>
      </w:pPr>
    </w:p>
    <w:p w:rsidR="00E02444" w:rsidRPr="000267B2" w:rsidRDefault="00E02444" w:rsidP="00E02444">
      <w:pPr>
        <w:numPr>
          <w:ilvl w:val="0"/>
          <w:numId w:val="35"/>
        </w:numPr>
        <w:jc w:val="both"/>
        <w:rPr>
          <w:bCs/>
          <w:sz w:val="20"/>
        </w:rPr>
      </w:pPr>
      <w:r w:rsidRPr="004F598F">
        <w:rPr>
          <w:bCs/>
          <w:sz w:val="20"/>
          <w:lang w:val="es-ES_tradnl"/>
        </w:rPr>
        <w:t>Con la doble mira de fomentar análisis económicos de elevada calidad y maximizar las sinergias, la OMPI movilizará su extensa red internacional de economistas académicos y continuará coordinando la red mundial de economistas activos en las oficinas de P.I.</w:t>
      </w:r>
    </w:p>
    <w:p w:rsidR="000267B2" w:rsidRPr="000267B2" w:rsidRDefault="000267B2" w:rsidP="000267B2">
      <w:pPr>
        <w:jc w:val="both"/>
        <w:rPr>
          <w:bCs/>
          <w:sz w:val="20"/>
        </w:rPr>
      </w:pPr>
    </w:p>
    <w:p w:rsidR="00E02444" w:rsidRPr="00037E5E" w:rsidRDefault="00037E5E" w:rsidP="00E02444">
      <w:pPr>
        <w:numPr>
          <w:ilvl w:val="0"/>
          <w:numId w:val="35"/>
        </w:numPr>
        <w:jc w:val="both"/>
        <w:rPr>
          <w:bCs/>
          <w:sz w:val="20"/>
        </w:rPr>
      </w:pPr>
      <w:r>
        <w:rPr>
          <w:bCs/>
          <w:sz w:val="20"/>
        </w:rPr>
        <w:t>El p</w:t>
      </w:r>
      <w:r w:rsidR="00E02444" w:rsidRPr="00037E5E">
        <w:rPr>
          <w:bCs/>
          <w:sz w:val="20"/>
        </w:rPr>
        <w:t>rogram</w:t>
      </w:r>
      <w:r>
        <w:rPr>
          <w:bCs/>
          <w:sz w:val="20"/>
        </w:rPr>
        <w:t>a</w:t>
      </w:r>
      <w:r w:rsidR="00E02444" w:rsidRPr="00037E5E">
        <w:rPr>
          <w:bCs/>
          <w:sz w:val="20"/>
        </w:rPr>
        <w:t xml:space="preserve"> 16 colabora</w:t>
      </w:r>
      <w:r>
        <w:rPr>
          <w:bCs/>
          <w:sz w:val="20"/>
        </w:rPr>
        <w:t xml:space="preserve"> principalmente con los programas siguientes</w:t>
      </w:r>
      <w:r w:rsidR="00E02444" w:rsidRPr="00037E5E">
        <w:rPr>
          <w:bCs/>
          <w:sz w:val="20"/>
        </w:rPr>
        <w:t>:</w:t>
      </w:r>
    </w:p>
    <w:p w:rsidR="00E02444" w:rsidRPr="006A3CA4" w:rsidRDefault="00E02444" w:rsidP="00E02444">
      <w:pPr>
        <w:tabs>
          <w:tab w:val="num" w:pos="709"/>
        </w:tabs>
        <w:jc w:val="both"/>
        <w:rPr>
          <w:bCs/>
          <w:sz w:val="20"/>
          <w:lang w:val="es-ES_tradnl"/>
        </w:rPr>
      </w:pPr>
    </w:p>
    <w:p w:rsidR="00E02444" w:rsidRPr="006A3CA4" w:rsidRDefault="00E02444" w:rsidP="00E02444">
      <w:pPr>
        <w:tabs>
          <w:tab w:val="num" w:pos="709"/>
        </w:tabs>
        <w:jc w:val="both"/>
        <w:rPr>
          <w:bCs/>
          <w:sz w:val="20"/>
          <w:lang w:val="es-ES_tradnl"/>
        </w:rPr>
      </w:pPr>
    </w:p>
    <w:p w:rsidR="00E02444" w:rsidRDefault="00E02444" w:rsidP="00E02444">
      <w:pPr>
        <w:tabs>
          <w:tab w:val="num" w:pos="709"/>
        </w:tabs>
        <w:jc w:val="both"/>
        <w:rPr>
          <w:bCs/>
          <w:sz w:val="20"/>
        </w:rPr>
      </w:pPr>
      <w:r>
        <w:rPr>
          <w:rFonts w:eastAsia="Times New Roman"/>
          <w:noProof/>
          <w:lang w:val="en-US" w:eastAsia="en-US"/>
        </w:rPr>
        <w:drawing>
          <wp:inline distT="0" distB="0" distL="0" distR="0" wp14:anchorId="53F4B335" wp14:editId="6D8BE712">
            <wp:extent cx="5890161" cy="2743200"/>
            <wp:effectExtent l="57150" t="0" r="0" b="0"/>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inline>
        </w:drawing>
      </w:r>
    </w:p>
    <w:p w:rsidR="00E02444" w:rsidRPr="004F598F" w:rsidRDefault="00E02444" w:rsidP="00E02444">
      <w:pPr>
        <w:tabs>
          <w:tab w:val="num" w:pos="709"/>
        </w:tabs>
        <w:jc w:val="both"/>
        <w:rPr>
          <w:bCs/>
          <w:sz w:val="20"/>
        </w:rPr>
      </w:pPr>
    </w:p>
    <w:p w:rsidR="00403B64" w:rsidRDefault="00403B64" w:rsidP="00403B64">
      <w:pPr>
        <w:rPr>
          <w:lang w:val="es-ES_tradnl"/>
        </w:rPr>
      </w:pPr>
    </w:p>
    <w:p w:rsidR="00E02444" w:rsidRPr="004F598F" w:rsidRDefault="00E02444" w:rsidP="00403B64">
      <w:r w:rsidRPr="004F598F">
        <w:rPr>
          <w:lang w:val="es-ES_tradnl"/>
        </w:rPr>
        <w:t>PRINCIPALES RIESGOS Y ESTRATEGIAS DE MITIGACIÓN</w:t>
      </w:r>
    </w:p>
    <w:p w:rsidR="00E02444" w:rsidRPr="004F598F" w:rsidRDefault="00E02444" w:rsidP="00E02444">
      <w:pPr>
        <w:rPr>
          <w:szCs w:val="22"/>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245"/>
      </w:tblGrid>
      <w:tr w:rsidR="00E02444" w:rsidRPr="004F598F" w:rsidTr="00037E5E">
        <w:trPr>
          <w:trHeight w:val="484"/>
        </w:trPr>
        <w:tc>
          <w:tcPr>
            <w:tcW w:w="4253" w:type="dxa"/>
            <w:tcBorders>
              <w:top w:val="single" w:sz="4" w:space="0" w:color="auto"/>
              <w:bottom w:val="single" w:sz="4" w:space="0" w:color="auto"/>
            </w:tcBorders>
            <w:shd w:val="clear" w:color="auto" w:fill="C6D9F1"/>
            <w:vAlign w:val="center"/>
          </w:tcPr>
          <w:p w:rsidR="00E02444" w:rsidRPr="004F598F" w:rsidRDefault="00E02444" w:rsidP="00E02444">
            <w:pPr>
              <w:keepNext/>
              <w:keepLines/>
              <w:jc w:val="center"/>
              <w:rPr>
                <w:b/>
                <w:bCs/>
                <w:sz w:val="18"/>
                <w:szCs w:val="18"/>
              </w:rPr>
            </w:pPr>
            <w:r w:rsidRPr="004F598F">
              <w:rPr>
                <w:b/>
                <w:bCs/>
                <w:sz w:val="18"/>
                <w:szCs w:val="18"/>
                <w:lang w:val="es-ES_tradnl"/>
              </w:rPr>
              <w:t>Riesgo</w:t>
            </w:r>
          </w:p>
        </w:tc>
        <w:tc>
          <w:tcPr>
            <w:tcW w:w="5245" w:type="dxa"/>
            <w:tcBorders>
              <w:top w:val="single" w:sz="4" w:space="0" w:color="auto"/>
              <w:bottom w:val="single" w:sz="4" w:space="0" w:color="auto"/>
            </w:tcBorders>
            <w:shd w:val="clear" w:color="auto" w:fill="C6D9F1"/>
            <w:vAlign w:val="center"/>
          </w:tcPr>
          <w:p w:rsidR="00E02444" w:rsidRPr="004F598F" w:rsidRDefault="00E02444" w:rsidP="00E02444">
            <w:pPr>
              <w:keepNext/>
              <w:keepLines/>
              <w:jc w:val="center"/>
              <w:rPr>
                <w:b/>
                <w:bCs/>
                <w:sz w:val="18"/>
                <w:szCs w:val="18"/>
              </w:rPr>
            </w:pPr>
            <w:r w:rsidRPr="004F598F">
              <w:rPr>
                <w:b/>
                <w:bCs/>
                <w:sz w:val="18"/>
                <w:szCs w:val="18"/>
              </w:rPr>
              <w:t>Mitigación</w:t>
            </w:r>
          </w:p>
        </w:tc>
      </w:tr>
      <w:tr w:rsidR="00E02444" w:rsidRPr="004F598F" w:rsidTr="00E02444">
        <w:trPr>
          <w:trHeight w:val="350"/>
        </w:trPr>
        <w:tc>
          <w:tcPr>
            <w:tcW w:w="4253" w:type="dxa"/>
            <w:tcBorders>
              <w:top w:val="single" w:sz="4" w:space="0" w:color="auto"/>
              <w:left w:val="single" w:sz="4" w:space="0" w:color="auto"/>
              <w:bottom w:val="nil"/>
              <w:right w:val="nil"/>
            </w:tcBorders>
            <w:shd w:val="clear" w:color="auto" w:fill="auto"/>
            <w:tcMar>
              <w:top w:w="113" w:type="dxa"/>
              <w:bottom w:w="113" w:type="dxa"/>
            </w:tcMar>
          </w:tcPr>
          <w:p w:rsidR="00E02444" w:rsidRPr="004F598F" w:rsidRDefault="00E02444" w:rsidP="00E02444">
            <w:pPr>
              <w:keepNext/>
              <w:keepLines/>
              <w:rPr>
                <w:sz w:val="16"/>
                <w:szCs w:val="16"/>
                <w:lang w:val="es-ES_tradnl"/>
              </w:rPr>
            </w:pPr>
            <w:r w:rsidRPr="004F598F">
              <w:rPr>
                <w:sz w:val="16"/>
              </w:rPr>
              <w:t>Publicación de información estadística incompleta (WIPI).</w:t>
            </w:r>
          </w:p>
        </w:tc>
        <w:tc>
          <w:tcPr>
            <w:tcW w:w="5245" w:type="dxa"/>
            <w:tcBorders>
              <w:top w:val="single" w:sz="4" w:space="0" w:color="auto"/>
              <w:left w:val="nil"/>
              <w:bottom w:val="nil"/>
              <w:right w:val="single" w:sz="4" w:space="0" w:color="auto"/>
            </w:tcBorders>
            <w:shd w:val="clear" w:color="auto" w:fill="auto"/>
            <w:tcMar>
              <w:top w:w="113" w:type="dxa"/>
              <w:bottom w:w="113" w:type="dxa"/>
            </w:tcMar>
          </w:tcPr>
          <w:p w:rsidR="00E02444" w:rsidRPr="004F598F" w:rsidRDefault="00E02444" w:rsidP="00E02444">
            <w:pPr>
              <w:keepNext/>
              <w:keepLines/>
              <w:rPr>
                <w:sz w:val="16"/>
                <w:szCs w:val="16"/>
                <w:lang w:val="es-ES_tradnl"/>
              </w:rPr>
            </w:pPr>
            <w:r w:rsidRPr="004F598F">
              <w:rPr>
                <w:sz w:val="16"/>
              </w:rPr>
              <w:t>Dar tiempo suficiente para responder y contribuir al desarrollo de capacidades estadísticas en el plano nacional.</w:t>
            </w:r>
          </w:p>
        </w:tc>
      </w:tr>
      <w:tr w:rsidR="00E02444" w:rsidRPr="004F598F" w:rsidTr="00E02444">
        <w:trPr>
          <w:trHeight w:val="625"/>
        </w:trPr>
        <w:tc>
          <w:tcPr>
            <w:tcW w:w="4253" w:type="dxa"/>
            <w:tcBorders>
              <w:top w:val="nil"/>
              <w:left w:val="single" w:sz="4" w:space="0" w:color="auto"/>
              <w:bottom w:val="single" w:sz="4" w:space="0" w:color="auto"/>
              <w:right w:val="nil"/>
            </w:tcBorders>
            <w:shd w:val="clear" w:color="auto" w:fill="auto"/>
            <w:tcMar>
              <w:top w:w="113" w:type="dxa"/>
              <w:bottom w:w="113" w:type="dxa"/>
            </w:tcMar>
          </w:tcPr>
          <w:p w:rsidR="00E02444" w:rsidRPr="004F598F" w:rsidRDefault="00E02444" w:rsidP="00E02444">
            <w:pPr>
              <w:keepNext/>
              <w:keepLines/>
              <w:rPr>
                <w:sz w:val="16"/>
                <w:szCs w:val="16"/>
              </w:rPr>
            </w:pPr>
            <w:r w:rsidRPr="004F598F">
              <w:rPr>
                <w:sz w:val="16"/>
                <w:lang w:val="es-ES_tradnl"/>
              </w:rPr>
              <w:t>En las publicaciones de la OMPI se proporcionan datos estadísticos erróneos o se observan deficiencias analíticas.</w:t>
            </w:r>
            <w:r w:rsidRPr="004F598F">
              <w:rPr>
                <w:sz w:val="16"/>
              </w:rPr>
              <w:t xml:space="preserve"> </w:t>
            </w:r>
          </w:p>
        </w:tc>
        <w:tc>
          <w:tcPr>
            <w:tcW w:w="5245" w:type="dxa"/>
            <w:tcBorders>
              <w:top w:val="nil"/>
              <w:left w:val="nil"/>
              <w:bottom w:val="single" w:sz="4" w:space="0" w:color="auto"/>
              <w:right w:val="single" w:sz="4" w:space="0" w:color="auto"/>
            </w:tcBorders>
            <w:shd w:val="clear" w:color="auto" w:fill="auto"/>
            <w:tcMar>
              <w:top w:w="113" w:type="dxa"/>
              <w:bottom w:w="113" w:type="dxa"/>
            </w:tcMar>
          </w:tcPr>
          <w:p w:rsidR="00E02444" w:rsidRPr="004F598F" w:rsidRDefault="00E02444" w:rsidP="00E02444">
            <w:pPr>
              <w:keepNext/>
              <w:keepLines/>
              <w:rPr>
                <w:sz w:val="16"/>
                <w:szCs w:val="16"/>
              </w:rPr>
            </w:pPr>
            <w:r w:rsidRPr="004F598F">
              <w:rPr>
                <w:sz w:val="16"/>
                <w:szCs w:val="16"/>
                <w:lang w:val="es-ES_tradnl"/>
              </w:rPr>
              <w:t>Se cuenta con mecanismos de control que permiten detectar las incoherencias de los datos durante la compilación de estadísticas de P.I.;  todas las publicaciones estadísticas son objeto de una revisión cuidadosa a cargo de especialistas en estadística y los sectores pertinentes de la OMPI;  todas las publicaciones analíticas son examinadas por expertos externos.</w:t>
            </w:r>
          </w:p>
        </w:tc>
      </w:tr>
    </w:tbl>
    <w:p w:rsidR="002A0E5F" w:rsidRDefault="002A0E5F" w:rsidP="002A0E5F">
      <w:pPr>
        <w:rPr>
          <w:lang w:val="es-ES_tradnl"/>
        </w:rPr>
      </w:pPr>
    </w:p>
    <w:p w:rsidR="00E02444" w:rsidRPr="004F598F" w:rsidRDefault="00E02444" w:rsidP="002A0E5F">
      <w:pPr>
        <w:rPr>
          <w:lang w:val="es-ES_tradnl"/>
        </w:rPr>
      </w:pPr>
      <w:r w:rsidRPr="004F598F">
        <w:rPr>
          <w:lang w:val="es-ES_tradnl"/>
        </w:rPr>
        <w:t>MARCO DE RESULTADOS</w:t>
      </w:r>
    </w:p>
    <w:p w:rsidR="00E02444" w:rsidRPr="004F598F" w:rsidRDefault="00E02444" w:rsidP="00E02444">
      <w:pPr>
        <w:rPr>
          <w:lang w:val="es-ES_tradnl"/>
        </w:rPr>
      </w:pPr>
    </w:p>
    <w:tbl>
      <w:tblPr>
        <w:tblW w:w="9513" w:type="dxa"/>
        <w:tblInd w:w="93" w:type="dxa"/>
        <w:tblLook w:val="04A0" w:firstRow="1" w:lastRow="0" w:firstColumn="1" w:lastColumn="0" w:noHBand="0" w:noVBand="1"/>
      </w:tblPr>
      <w:tblGrid>
        <w:gridCol w:w="2460"/>
        <w:gridCol w:w="3080"/>
        <w:gridCol w:w="1847"/>
        <w:gridCol w:w="2126"/>
      </w:tblGrid>
      <w:tr w:rsidR="00E02444" w:rsidRPr="004F598F" w:rsidTr="00E0093C">
        <w:trPr>
          <w:trHeight w:val="492"/>
          <w:tblHeader/>
        </w:trPr>
        <w:tc>
          <w:tcPr>
            <w:tcW w:w="2460" w:type="dxa"/>
            <w:tcBorders>
              <w:top w:val="single" w:sz="4" w:space="0" w:color="auto"/>
              <w:left w:val="single" w:sz="4" w:space="0" w:color="auto"/>
              <w:bottom w:val="single" w:sz="4" w:space="0" w:color="auto"/>
              <w:right w:val="nil"/>
            </w:tcBorders>
            <w:shd w:val="clear" w:color="auto" w:fill="C6D9F1"/>
            <w:noWrap/>
            <w:vAlign w:val="center"/>
            <w:hideMark/>
          </w:tcPr>
          <w:p w:rsidR="00E02444" w:rsidRPr="004F598F" w:rsidRDefault="00E02444" w:rsidP="00E02444">
            <w:pPr>
              <w:jc w:val="center"/>
              <w:rPr>
                <w:b/>
                <w:bCs/>
                <w:sz w:val="18"/>
                <w:szCs w:val="18"/>
              </w:rPr>
            </w:pPr>
            <w:r w:rsidRPr="004F598F">
              <w:rPr>
                <w:b/>
                <w:bCs/>
                <w:sz w:val="18"/>
                <w:szCs w:val="18"/>
                <w:lang w:val="es-ES_tradnl"/>
              </w:rPr>
              <w:t>Resultados previstos</w:t>
            </w:r>
            <w:r w:rsidRPr="004F598F">
              <w:rPr>
                <w:b/>
                <w:bCs/>
                <w:sz w:val="18"/>
                <w:szCs w:val="18"/>
              </w:rPr>
              <w:t xml:space="preserve"> </w:t>
            </w:r>
          </w:p>
        </w:tc>
        <w:tc>
          <w:tcPr>
            <w:tcW w:w="3080" w:type="dxa"/>
            <w:tcBorders>
              <w:top w:val="single" w:sz="4" w:space="0" w:color="auto"/>
              <w:left w:val="nil"/>
              <w:bottom w:val="single" w:sz="4" w:space="0" w:color="auto"/>
              <w:right w:val="nil"/>
            </w:tcBorders>
            <w:shd w:val="clear" w:color="auto" w:fill="C6D9F1"/>
            <w:noWrap/>
            <w:vAlign w:val="center"/>
            <w:hideMark/>
          </w:tcPr>
          <w:p w:rsidR="00E02444" w:rsidRPr="004F598F" w:rsidRDefault="00E02444" w:rsidP="00E02444">
            <w:pPr>
              <w:jc w:val="center"/>
              <w:rPr>
                <w:b/>
                <w:bCs/>
                <w:sz w:val="18"/>
                <w:szCs w:val="18"/>
              </w:rPr>
            </w:pPr>
            <w:r w:rsidRPr="004F598F">
              <w:rPr>
                <w:b/>
                <w:bCs/>
                <w:sz w:val="18"/>
                <w:szCs w:val="18"/>
                <w:lang w:val="es-ES_tradnl"/>
              </w:rPr>
              <w:t>Indicadores de rendimiento</w:t>
            </w:r>
          </w:p>
        </w:tc>
        <w:tc>
          <w:tcPr>
            <w:tcW w:w="1847" w:type="dxa"/>
            <w:tcBorders>
              <w:top w:val="single" w:sz="4" w:space="0" w:color="auto"/>
              <w:left w:val="nil"/>
              <w:bottom w:val="single" w:sz="4" w:space="0" w:color="auto"/>
              <w:right w:val="nil"/>
            </w:tcBorders>
            <w:shd w:val="clear" w:color="auto" w:fill="C6D9F1"/>
            <w:noWrap/>
            <w:vAlign w:val="center"/>
            <w:hideMark/>
          </w:tcPr>
          <w:p w:rsidR="00E02444" w:rsidRPr="004F598F" w:rsidRDefault="00E02444" w:rsidP="00E02444">
            <w:pPr>
              <w:jc w:val="center"/>
              <w:rPr>
                <w:b/>
                <w:bCs/>
                <w:sz w:val="18"/>
                <w:szCs w:val="18"/>
              </w:rPr>
            </w:pPr>
            <w:r w:rsidRPr="004F598F">
              <w:rPr>
                <w:b/>
                <w:bCs/>
                <w:sz w:val="18"/>
                <w:szCs w:val="18"/>
                <w:lang w:val="es-ES_tradnl"/>
              </w:rPr>
              <w:t>Referencia</w:t>
            </w:r>
          </w:p>
        </w:tc>
        <w:tc>
          <w:tcPr>
            <w:tcW w:w="2126" w:type="dxa"/>
            <w:tcBorders>
              <w:top w:val="single" w:sz="4" w:space="0" w:color="auto"/>
              <w:left w:val="nil"/>
              <w:bottom w:val="single" w:sz="4" w:space="0" w:color="auto"/>
              <w:right w:val="single" w:sz="4" w:space="0" w:color="auto"/>
            </w:tcBorders>
            <w:shd w:val="clear" w:color="auto" w:fill="C6D9F1"/>
            <w:noWrap/>
            <w:vAlign w:val="center"/>
            <w:hideMark/>
          </w:tcPr>
          <w:p w:rsidR="00E02444" w:rsidRPr="004F598F" w:rsidRDefault="00E02444" w:rsidP="00E02444">
            <w:pPr>
              <w:jc w:val="center"/>
              <w:rPr>
                <w:b/>
                <w:bCs/>
                <w:sz w:val="18"/>
                <w:szCs w:val="18"/>
              </w:rPr>
            </w:pPr>
            <w:r w:rsidRPr="004F598F">
              <w:rPr>
                <w:b/>
                <w:bCs/>
                <w:sz w:val="18"/>
                <w:szCs w:val="18"/>
                <w:lang w:val="es-ES_tradnl"/>
              </w:rPr>
              <w:t>Objetivos</w:t>
            </w:r>
          </w:p>
        </w:tc>
      </w:tr>
      <w:tr w:rsidR="00E02444" w:rsidRPr="004F598F" w:rsidTr="00D02B11">
        <w:trPr>
          <w:trHeight w:val="698"/>
        </w:trPr>
        <w:tc>
          <w:tcPr>
            <w:tcW w:w="2460" w:type="dxa"/>
            <w:vMerge w:val="restart"/>
            <w:tcBorders>
              <w:top w:val="single" w:sz="4" w:space="0" w:color="auto"/>
              <w:left w:val="single" w:sz="4" w:space="0" w:color="auto"/>
              <w:bottom w:val="nil"/>
              <w:right w:val="nil"/>
            </w:tcBorders>
            <w:shd w:val="clear" w:color="000000" w:fill="FFFFFF"/>
            <w:hideMark/>
          </w:tcPr>
          <w:p w:rsidR="00E02444" w:rsidRPr="00037E5E" w:rsidRDefault="005B1060" w:rsidP="005B1060">
            <w:pPr>
              <w:rPr>
                <w:sz w:val="16"/>
                <w:szCs w:val="16"/>
              </w:rPr>
            </w:pPr>
            <w:r w:rsidRPr="00037E5E">
              <w:rPr>
                <w:sz w:val="16"/>
                <w:szCs w:val="16"/>
                <w:lang w:val="es-ES_tradnl"/>
              </w:rPr>
              <w:t>V.1  Mayor y mejor utilización de la información estadística de la OMPI en materia de P.I.</w:t>
            </w:r>
          </w:p>
        </w:tc>
        <w:tc>
          <w:tcPr>
            <w:tcW w:w="3080" w:type="dxa"/>
            <w:tcBorders>
              <w:top w:val="single" w:sz="4" w:space="0" w:color="auto"/>
              <w:left w:val="nil"/>
              <w:bottom w:val="nil"/>
              <w:right w:val="nil"/>
            </w:tcBorders>
            <w:shd w:val="clear" w:color="000000" w:fill="FFFFFF"/>
            <w:hideMark/>
          </w:tcPr>
          <w:p w:rsidR="00E02444" w:rsidRPr="004F598F" w:rsidRDefault="00E02444" w:rsidP="00E0093C">
            <w:pPr>
              <w:ind w:leftChars="64" w:left="141"/>
              <w:rPr>
                <w:sz w:val="16"/>
                <w:szCs w:val="16"/>
              </w:rPr>
            </w:pPr>
            <w:r w:rsidRPr="004F598F">
              <w:rPr>
                <w:sz w:val="16"/>
                <w:szCs w:val="16"/>
                <w:lang w:val="es-ES_tradnl"/>
              </w:rPr>
              <w:t>N</w:t>
            </w:r>
            <w:r w:rsidR="00E0093C">
              <w:rPr>
                <w:sz w:val="16"/>
                <w:szCs w:val="16"/>
                <w:lang w:val="es-ES_tradnl"/>
              </w:rPr>
              <w:t>º</w:t>
            </w:r>
            <w:r w:rsidRPr="004F598F">
              <w:rPr>
                <w:sz w:val="16"/>
                <w:szCs w:val="16"/>
                <w:lang w:val="es-ES_tradnl"/>
              </w:rPr>
              <w:t xml:space="preserve"> de búsquedas en el Centro de Datos Estadísticos de P.I.</w:t>
            </w:r>
          </w:p>
        </w:tc>
        <w:tc>
          <w:tcPr>
            <w:tcW w:w="1847" w:type="dxa"/>
            <w:tcBorders>
              <w:top w:val="single" w:sz="4" w:space="0" w:color="auto"/>
              <w:left w:val="nil"/>
              <w:bottom w:val="nil"/>
              <w:right w:val="nil"/>
            </w:tcBorders>
            <w:shd w:val="clear" w:color="000000" w:fill="FFFFFF"/>
            <w:hideMark/>
          </w:tcPr>
          <w:p w:rsidR="00E02444" w:rsidRPr="004F598F" w:rsidRDefault="00E02444" w:rsidP="00E02444">
            <w:pPr>
              <w:ind w:left="321" w:hanging="1"/>
              <w:rPr>
                <w:sz w:val="16"/>
                <w:szCs w:val="16"/>
              </w:rPr>
            </w:pPr>
            <w:r w:rsidRPr="004F598F">
              <w:rPr>
                <w:sz w:val="16"/>
                <w:szCs w:val="16"/>
                <w:lang w:val="es-ES_tradnl"/>
              </w:rPr>
              <w:t>A determinar a fines de 2015.</w:t>
            </w:r>
          </w:p>
        </w:tc>
        <w:tc>
          <w:tcPr>
            <w:tcW w:w="2126" w:type="dxa"/>
            <w:tcBorders>
              <w:top w:val="single" w:sz="4" w:space="0" w:color="auto"/>
              <w:left w:val="nil"/>
              <w:bottom w:val="nil"/>
              <w:right w:val="single" w:sz="4" w:space="0" w:color="auto"/>
            </w:tcBorders>
            <w:shd w:val="clear" w:color="000000" w:fill="FFFFFF"/>
            <w:hideMark/>
          </w:tcPr>
          <w:p w:rsidR="00E02444" w:rsidRPr="004F598F" w:rsidRDefault="00E02444" w:rsidP="00E02444">
            <w:pPr>
              <w:ind w:left="382"/>
              <w:rPr>
                <w:sz w:val="16"/>
                <w:szCs w:val="16"/>
              </w:rPr>
            </w:pPr>
            <w:r w:rsidRPr="004F598F">
              <w:rPr>
                <w:sz w:val="16"/>
                <w:szCs w:val="16"/>
                <w:lang w:val="es-ES_tradnl"/>
              </w:rPr>
              <w:t>Por determinar.</w:t>
            </w:r>
          </w:p>
        </w:tc>
      </w:tr>
      <w:tr w:rsidR="00E02444" w:rsidRPr="004F598F" w:rsidTr="00D02B11">
        <w:trPr>
          <w:trHeight w:val="718"/>
        </w:trPr>
        <w:tc>
          <w:tcPr>
            <w:tcW w:w="2460" w:type="dxa"/>
            <w:vMerge/>
            <w:tcBorders>
              <w:top w:val="nil"/>
              <w:left w:val="single" w:sz="4" w:space="0" w:color="auto"/>
              <w:right w:val="nil"/>
            </w:tcBorders>
            <w:vAlign w:val="center"/>
            <w:hideMark/>
          </w:tcPr>
          <w:p w:rsidR="00E02444" w:rsidRPr="00037E5E" w:rsidRDefault="00E02444" w:rsidP="00E02444">
            <w:pPr>
              <w:rPr>
                <w:sz w:val="16"/>
                <w:szCs w:val="16"/>
              </w:rPr>
            </w:pPr>
          </w:p>
        </w:tc>
        <w:tc>
          <w:tcPr>
            <w:tcW w:w="3080" w:type="dxa"/>
            <w:tcBorders>
              <w:top w:val="nil"/>
              <w:left w:val="nil"/>
              <w:right w:val="nil"/>
            </w:tcBorders>
            <w:shd w:val="clear" w:color="000000" w:fill="FFFFFF"/>
            <w:hideMark/>
          </w:tcPr>
          <w:p w:rsidR="00E02444" w:rsidRPr="004F598F" w:rsidRDefault="00E02444" w:rsidP="00E0093C">
            <w:pPr>
              <w:ind w:leftChars="64" w:left="141"/>
              <w:rPr>
                <w:sz w:val="16"/>
                <w:szCs w:val="16"/>
                <w:lang w:val="es-ES_tradnl"/>
              </w:rPr>
            </w:pPr>
            <w:r w:rsidRPr="004F598F">
              <w:rPr>
                <w:sz w:val="16"/>
                <w:szCs w:val="16"/>
              </w:rPr>
              <w:t>N</w:t>
            </w:r>
            <w:r w:rsidR="00E0093C">
              <w:rPr>
                <w:sz w:val="16"/>
                <w:szCs w:val="16"/>
              </w:rPr>
              <w:t>º</w:t>
            </w:r>
            <w:r w:rsidRPr="004F598F">
              <w:rPr>
                <w:sz w:val="16"/>
                <w:szCs w:val="16"/>
              </w:rPr>
              <w:t xml:space="preserve"> de descargas de los informes </w:t>
            </w:r>
            <w:r w:rsidRPr="00E0093C">
              <w:rPr>
                <w:sz w:val="16"/>
                <w:szCs w:val="16"/>
                <w:lang w:val="es-ES_tradnl"/>
              </w:rPr>
              <w:t>estadísticos</w:t>
            </w:r>
            <w:r w:rsidRPr="004F598F">
              <w:rPr>
                <w:sz w:val="16"/>
                <w:szCs w:val="16"/>
              </w:rPr>
              <w:t xml:space="preserve"> anuales en el plazo de 6 meses desde su publicación</w:t>
            </w:r>
            <w:r w:rsidRPr="004F598F">
              <w:rPr>
                <w:sz w:val="16"/>
                <w:szCs w:val="16"/>
                <w:lang w:val="es-ES_tradnl"/>
              </w:rPr>
              <w:t>.</w:t>
            </w:r>
          </w:p>
        </w:tc>
        <w:tc>
          <w:tcPr>
            <w:tcW w:w="1847" w:type="dxa"/>
            <w:tcBorders>
              <w:top w:val="nil"/>
              <w:left w:val="nil"/>
              <w:right w:val="nil"/>
            </w:tcBorders>
            <w:shd w:val="clear" w:color="000000" w:fill="FFFFFF"/>
            <w:hideMark/>
          </w:tcPr>
          <w:p w:rsidR="00E02444" w:rsidRPr="004F598F" w:rsidRDefault="00E02444" w:rsidP="00D02B11">
            <w:pPr>
              <w:ind w:firstLineChars="200" w:firstLine="320"/>
              <w:rPr>
                <w:sz w:val="16"/>
                <w:szCs w:val="16"/>
              </w:rPr>
            </w:pPr>
            <w:r w:rsidRPr="004F598F">
              <w:rPr>
                <w:sz w:val="16"/>
                <w:szCs w:val="16"/>
                <w:lang w:val="es-ES_tradnl"/>
              </w:rPr>
              <w:t>Por determinar.</w:t>
            </w:r>
            <w:r w:rsidR="00533D8D">
              <w:rPr>
                <w:rStyle w:val="FootnoteReference"/>
                <w:color w:val="000000"/>
                <w:sz w:val="16"/>
                <w:szCs w:val="16"/>
              </w:rPr>
              <w:footnoteReference w:id="17"/>
            </w:r>
          </w:p>
        </w:tc>
        <w:tc>
          <w:tcPr>
            <w:tcW w:w="2126" w:type="dxa"/>
            <w:tcBorders>
              <w:top w:val="nil"/>
              <w:left w:val="nil"/>
              <w:right w:val="single" w:sz="4" w:space="0" w:color="auto"/>
            </w:tcBorders>
            <w:shd w:val="clear" w:color="000000" w:fill="FFFFFF"/>
            <w:hideMark/>
          </w:tcPr>
          <w:p w:rsidR="00E02444" w:rsidRPr="004F598F" w:rsidRDefault="00E02444" w:rsidP="00E02444">
            <w:pPr>
              <w:ind w:left="382"/>
              <w:rPr>
                <w:sz w:val="16"/>
                <w:szCs w:val="16"/>
              </w:rPr>
            </w:pPr>
            <w:r w:rsidRPr="004F598F">
              <w:rPr>
                <w:sz w:val="16"/>
                <w:szCs w:val="16"/>
                <w:lang w:val="es-ES_tradnl"/>
              </w:rPr>
              <w:t>Por determinar.</w:t>
            </w:r>
          </w:p>
        </w:tc>
      </w:tr>
      <w:tr w:rsidR="00E02444" w:rsidRPr="004F598F" w:rsidTr="00E0093C">
        <w:trPr>
          <w:trHeight w:val="822"/>
        </w:trPr>
        <w:tc>
          <w:tcPr>
            <w:tcW w:w="2460" w:type="dxa"/>
            <w:vMerge/>
            <w:tcBorders>
              <w:top w:val="nil"/>
              <w:left w:val="single" w:sz="4" w:space="0" w:color="auto"/>
              <w:right w:val="nil"/>
            </w:tcBorders>
            <w:vAlign w:val="center"/>
            <w:hideMark/>
          </w:tcPr>
          <w:p w:rsidR="00E02444" w:rsidRPr="00037E5E" w:rsidRDefault="00E02444" w:rsidP="00E02444">
            <w:pPr>
              <w:rPr>
                <w:sz w:val="16"/>
                <w:szCs w:val="16"/>
              </w:rPr>
            </w:pPr>
          </w:p>
        </w:tc>
        <w:tc>
          <w:tcPr>
            <w:tcW w:w="3080" w:type="dxa"/>
            <w:tcBorders>
              <w:top w:val="nil"/>
              <w:left w:val="nil"/>
              <w:right w:val="nil"/>
            </w:tcBorders>
            <w:shd w:val="clear" w:color="000000" w:fill="FFFFFF"/>
            <w:hideMark/>
          </w:tcPr>
          <w:p w:rsidR="00E02444" w:rsidRDefault="00E02444" w:rsidP="00E0093C">
            <w:pPr>
              <w:ind w:leftChars="64" w:left="141"/>
              <w:rPr>
                <w:sz w:val="16"/>
                <w:szCs w:val="16"/>
              </w:rPr>
            </w:pPr>
            <w:r w:rsidRPr="004F598F">
              <w:rPr>
                <w:sz w:val="16"/>
                <w:szCs w:val="16"/>
              </w:rPr>
              <w:t xml:space="preserve">La </w:t>
            </w:r>
            <w:r w:rsidRPr="00E0093C">
              <w:rPr>
                <w:sz w:val="16"/>
                <w:szCs w:val="16"/>
                <w:lang w:val="es-ES_tradnl"/>
              </w:rPr>
              <w:t>diferencia</w:t>
            </w:r>
            <w:r w:rsidRPr="004F598F">
              <w:rPr>
                <w:sz w:val="16"/>
                <w:szCs w:val="16"/>
              </w:rPr>
              <w:t xml:space="preserve"> entre las previsiones de enero y el número real de solicitudes PCT, Madrid y </w:t>
            </w:r>
            <w:r w:rsidR="003B0DF0">
              <w:rPr>
                <w:sz w:val="16"/>
                <w:szCs w:val="16"/>
              </w:rPr>
              <w:t>La Haya</w:t>
            </w:r>
            <w:r w:rsidRPr="004F598F">
              <w:rPr>
                <w:sz w:val="16"/>
                <w:szCs w:val="16"/>
              </w:rPr>
              <w:t xml:space="preserve"> presentadas se mantiene dentro de los límites.</w:t>
            </w:r>
          </w:p>
          <w:p w:rsidR="00037E5E" w:rsidRPr="004F598F" w:rsidRDefault="00037E5E" w:rsidP="00037E5E">
            <w:pPr>
              <w:ind w:left="282"/>
              <w:rPr>
                <w:sz w:val="16"/>
                <w:szCs w:val="16"/>
              </w:rPr>
            </w:pPr>
          </w:p>
        </w:tc>
        <w:tc>
          <w:tcPr>
            <w:tcW w:w="1847" w:type="dxa"/>
            <w:tcBorders>
              <w:top w:val="nil"/>
              <w:left w:val="nil"/>
              <w:right w:val="nil"/>
            </w:tcBorders>
            <w:shd w:val="clear" w:color="000000" w:fill="FFFFFF"/>
            <w:hideMark/>
          </w:tcPr>
          <w:p w:rsidR="00E02444" w:rsidRPr="004F598F" w:rsidRDefault="00E02444" w:rsidP="00037E5E">
            <w:pPr>
              <w:ind w:left="321" w:hanging="1"/>
              <w:rPr>
                <w:sz w:val="16"/>
                <w:szCs w:val="16"/>
              </w:rPr>
            </w:pPr>
            <w:r w:rsidRPr="004F598F">
              <w:rPr>
                <w:sz w:val="16"/>
                <w:szCs w:val="16"/>
                <w:lang w:val="es-ES_tradnl"/>
              </w:rPr>
              <w:t xml:space="preserve">A determinar a </w:t>
            </w:r>
            <w:r w:rsidR="00037E5E">
              <w:rPr>
                <w:sz w:val="16"/>
                <w:szCs w:val="16"/>
                <w:lang w:val="es-ES_tradnl"/>
              </w:rPr>
              <w:t>comienzos</w:t>
            </w:r>
            <w:r w:rsidRPr="004F598F">
              <w:rPr>
                <w:sz w:val="16"/>
                <w:szCs w:val="16"/>
                <w:lang w:val="es-ES_tradnl"/>
              </w:rPr>
              <w:t xml:space="preserve"> de 201</w:t>
            </w:r>
            <w:r w:rsidRPr="004F598F">
              <w:rPr>
                <w:sz w:val="16"/>
                <w:szCs w:val="16"/>
              </w:rPr>
              <w:t>6.</w:t>
            </w:r>
          </w:p>
        </w:tc>
        <w:tc>
          <w:tcPr>
            <w:tcW w:w="2126" w:type="dxa"/>
            <w:tcBorders>
              <w:top w:val="nil"/>
              <w:left w:val="nil"/>
              <w:right w:val="single" w:sz="4" w:space="0" w:color="auto"/>
            </w:tcBorders>
            <w:shd w:val="clear" w:color="000000" w:fill="FFFFFF"/>
            <w:hideMark/>
          </w:tcPr>
          <w:p w:rsidR="00E02444" w:rsidRPr="004F598F" w:rsidRDefault="00E02444" w:rsidP="00E02444">
            <w:pPr>
              <w:ind w:left="382"/>
              <w:rPr>
                <w:sz w:val="16"/>
                <w:szCs w:val="16"/>
                <w:lang w:val="es-ES_tradnl"/>
              </w:rPr>
            </w:pPr>
            <w:r w:rsidRPr="004F598F">
              <w:rPr>
                <w:sz w:val="16"/>
                <w:szCs w:val="16"/>
              </w:rPr>
              <w:t>Previsiones en un 80% de intervalo de confianza</w:t>
            </w:r>
          </w:p>
        </w:tc>
      </w:tr>
      <w:tr w:rsidR="00E02444" w:rsidRPr="004F598F" w:rsidTr="00E0093C">
        <w:trPr>
          <w:trHeight w:val="563"/>
        </w:trPr>
        <w:tc>
          <w:tcPr>
            <w:tcW w:w="2460" w:type="dxa"/>
            <w:vMerge w:val="restart"/>
            <w:tcBorders>
              <w:left w:val="single" w:sz="4" w:space="0" w:color="auto"/>
              <w:bottom w:val="single" w:sz="4" w:space="0" w:color="auto"/>
              <w:right w:val="nil"/>
            </w:tcBorders>
            <w:shd w:val="clear" w:color="000000" w:fill="FFFFFF"/>
            <w:hideMark/>
          </w:tcPr>
          <w:p w:rsidR="00E02444" w:rsidRPr="00037E5E" w:rsidRDefault="005B1060" w:rsidP="00E0093C">
            <w:pPr>
              <w:rPr>
                <w:sz w:val="16"/>
                <w:szCs w:val="16"/>
              </w:rPr>
            </w:pPr>
            <w:r w:rsidRPr="00037E5E">
              <w:rPr>
                <w:sz w:val="16"/>
                <w:szCs w:val="16"/>
                <w:lang w:val="es-ES_tradnl"/>
              </w:rPr>
              <w:t>V.2  Uso más amplio y mejor de los análisis económicos de la OMPI en la formulación de políticas</w:t>
            </w:r>
          </w:p>
        </w:tc>
        <w:tc>
          <w:tcPr>
            <w:tcW w:w="3080" w:type="dxa"/>
            <w:tcBorders>
              <w:left w:val="nil"/>
              <w:right w:val="nil"/>
            </w:tcBorders>
            <w:shd w:val="clear" w:color="000000" w:fill="FFFFFF"/>
            <w:hideMark/>
          </w:tcPr>
          <w:p w:rsidR="00E02444" w:rsidRPr="004F598F" w:rsidRDefault="00E02444" w:rsidP="00E0093C">
            <w:pPr>
              <w:ind w:leftChars="64" w:left="141"/>
              <w:rPr>
                <w:sz w:val="16"/>
                <w:szCs w:val="16"/>
                <w:lang w:val="es-ES_tradnl"/>
              </w:rPr>
            </w:pPr>
            <w:r w:rsidRPr="004F598F">
              <w:rPr>
                <w:sz w:val="16"/>
                <w:szCs w:val="16"/>
              </w:rPr>
              <w:t>N</w:t>
            </w:r>
            <w:r w:rsidR="00E0093C">
              <w:rPr>
                <w:sz w:val="16"/>
                <w:szCs w:val="16"/>
              </w:rPr>
              <w:t>º</w:t>
            </w:r>
            <w:r w:rsidRPr="004F598F">
              <w:rPr>
                <w:sz w:val="16"/>
                <w:szCs w:val="16"/>
              </w:rPr>
              <w:t xml:space="preserve"> de visitantes por año de los sitios web del Índice Mundial de Innovación.</w:t>
            </w:r>
            <w:r w:rsidR="00E0093C">
              <w:rPr>
                <w:sz w:val="16"/>
                <w:szCs w:val="16"/>
              </w:rPr>
              <w:br/>
            </w:r>
          </w:p>
        </w:tc>
        <w:tc>
          <w:tcPr>
            <w:tcW w:w="1847" w:type="dxa"/>
            <w:tcBorders>
              <w:left w:val="nil"/>
              <w:right w:val="nil"/>
            </w:tcBorders>
            <w:shd w:val="clear" w:color="000000" w:fill="FFFFFF"/>
            <w:hideMark/>
          </w:tcPr>
          <w:p w:rsidR="00E02444" w:rsidRPr="004F598F" w:rsidRDefault="00E02444" w:rsidP="00E02444">
            <w:pPr>
              <w:ind w:left="321" w:hanging="1"/>
              <w:rPr>
                <w:sz w:val="16"/>
                <w:szCs w:val="16"/>
              </w:rPr>
            </w:pPr>
            <w:r w:rsidRPr="004F598F">
              <w:rPr>
                <w:sz w:val="16"/>
                <w:szCs w:val="16"/>
                <w:lang w:val="es-ES_tradnl"/>
              </w:rPr>
              <w:t>A determinar a fines de 2015.</w:t>
            </w:r>
          </w:p>
        </w:tc>
        <w:tc>
          <w:tcPr>
            <w:tcW w:w="2126" w:type="dxa"/>
            <w:tcBorders>
              <w:left w:val="nil"/>
              <w:right w:val="single" w:sz="4" w:space="0" w:color="auto"/>
            </w:tcBorders>
            <w:shd w:val="clear" w:color="000000" w:fill="FFFFFF"/>
            <w:hideMark/>
          </w:tcPr>
          <w:p w:rsidR="00E02444" w:rsidRPr="004F598F" w:rsidRDefault="00E02444" w:rsidP="00E02444">
            <w:pPr>
              <w:ind w:left="382"/>
              <w:rPr>
                <w:sz w:val="16"/>
                <w:szCs w:val="16"/>
                <w:lang w:val="es-ES_tradnl"/>
              </w:rPr>
            </w:pPr>
            <w:r w:rsidRPr="004F598F">
              <w:rPr>
                <w:sz w:val="16"/>
                <w:szCs w:val="16"/>
                <w:lang w:val="es-ES_tradnl"/>
              </w:rPr>
              <w:t>Por determinar.</w:t>
            </w:r>
          </w:p>
        </w:tc>
      </w:tr>
      <w:tr w:rsidR="00E02444" w:rsidRPr="004F598F" w:rsidTr="00D02B11">
        <w:trPr>
          <w:trHeight w:val="690"/>
        </w:trPr>
        <w:tc>
          <w:tcPr>
            <w:tcW w:w="2460" w:type="dxa"/>
            <w:vMerge/>
            <w:tcBorders>
              <w:top w:val="single" w:sz="4" w:space="0" w:color="auto"/>
              <w:left w:val="single" w:sz="4" w:space="0" w:color="auto"/>
              <w:bottom w:val="single" w:sz="4" w:space="0" w:color="auto"/>
              <w:right w:val="nil"/>
            </w:tcBorders>
            <w:vAlign w:val="center"/>
            <w:hideMark/>
          </w:tcPr>
          <w:p w:rsidR="00E02444" w:rsidRPr="004F598F" w:rsidRDefault="00E02444" w:rsidP="00E02444">
            <w:pPr>
              <w:rPr>
                <w:sz w:val="16"/>
                <w:szCs w:val="16"/>
              </w:rPr>
            </w:pPr>
          </w:p>
        </w:tc>
        <w:tc>
          <w:tcPr>
            <w:tcW w:w="3080" w:type="dxa"/>
            <w:tcBorders>
              <w:left w:val="nil"/>
              <w:bottom w:val="single" w:sz="4" w:space="0" w:color="auto"/>
              <w:right w:val="nil"/>
            </w:tcBorders>
            <w:shd w:val="clear" w:color="000000" w:fill="FFFFFF"/>
            <w:hideMark/>
          </w:tcPr>
          <w:p w:rsidR="00E02444" w:rsidRPr="004F598F" w:rsidRDefault="00E02444" w:rsidP="00E0093C">
            <w:pPr>
              <w:ind w:leftChars="64" w:left="141"/>
              <w:rPr>
                <w:sz w:val="16"/>
                <w:szCs w:val="16"/>
                <w:lang w:val="es-ES_tradnl"/>
              </w:rPr>
            </w:pPr>
            <w:r w:rsidRPr="004F598F">
              <w:rPr>
                <w:sz w:val="16"/>
                <w:szCs w:val="16"/>
              </w:rPr>
              <w:t>N</w:t>
            </w:r>
            <w:r w:rsidR="00E0093C">
              <w:rPr>
                <w:sz w:val="16"/>
                <w:szCs w:val="16"/>
              </w:rPr>
              <w:t>º</w:t>
            </w:r>
            <w:r w:rsidRPr="004F598F">
              <w:rPr>
                <w:sz w:val="16"/>
                <w:szCs w:val="16"/>
              </w:rPr>
              <w:t xml:space="preserve"> de descargas del Informe mundial sobre la P.I. en el plazo de 6 meses desde su publicación.</w:t>
            </w:r>
          </w:p>
        </w:tc>
        <w:tc>
          <w:tcPr>
            <w:tcW w:w="1847" w:type="dxa"/>
            <w:tcBorders>
              <w:left w:val="nil"/>
              <w:bottom w:val="single" w:sz="4" w:space="0" w:color="auto"/>
              <w:right w:val="nil"/>
            </w:tcBorders>
            <w:shd w:val="clear" w:color="000000" w:fill="FFFFFF"/>
            <w:hideMark/>
          </w:tcPr>
          <w:p w:rsidR="00E02444" w:rsidRPr="00E0093C" w:rsidRDefault="00E02444" w:rsidP="00E02444">
            <w:pPr>
              <w:ind w:left="382"/>
              <w:rPr>
                <w:sz w:val="16"/>
                <w:szCs w:val="16"/>
                <w:vertAlign w:val="superscript"/>
                <w:lang w:val="es-ES_tradnl"/>
              </w:rPr>
            </w:pPr>
            <w:r w:rsidRPr="004F598F">
              <w:rPr>
                <w:sz w:val="16"/>
                <w:szCs w:val="16"/>
                <w:lang w:val="es-ES_tradnl"/>
              </w:rPr>
              <w:t>Por determinar.</w:t>
            </w:r>
            <w:r w:rsidR="00E0093C">
              <w:rPr>
                <w:sz w:val="16"/>
                <w:szCs w:val="16"/>
                <w:vertAlign w:val="superscript"/>
                <w:lang w:val="es-ES_tradnl"/>
              </w:rPr>
              <w:t>16</w:t>
            </w:r>
          </w:p>
        </w:tc>
        <w:tc>
          <w:tcPr>
            <w:tcW w:w="2126" w:type="dxa"/>
            <w:tcBorders>
              <w:left w:val="nil"/>
              <w:bottom w:val="single" w:sz="4" w:space="0" w:color="auto"/>
              <w:right w:val="single" w:sz="4" w:space="0" w:color="auto"/>
            </w:tcBorders>
            <w:shd w:val="clear" w:color="000000" w:fill="FFFFFF"/>
            <w:hideMark/>
          </w:tcPr>
          <w:p w:rsidR="00E02444" w:rsidRPr="004F598F" w:rsidRDefault="00E02444" w:rsidP="00E02444">
            <w:pPr>
              <w:ind w:left="382"/>
              <w:rPr>
                <w:sz w:val="16"/>
                <w:szCs w:val="16"/>
                <w:lang w:val="es-ES_tradnl"/>
              </w:rPr>
            </w:pPr>
            <w:r w:rsidRPr="004F598F">
              <w:rPr>
                <w:sz w:val="16"/>
                <w:szCs w:val="16"/>
                <w:lang w:val="es-ES_tradnl"/>
              </w:rPr>
              <w:t>Por determinar.</w:t>
            </w:r>
          </w:p>
        </w:tc>
      </w:tr>
    </w:tbl>
    <w:p w:rsidR="00E02444" w:rsidRPr="004F598F" w:rsidRDefault="00E02444" w:rsidP="00E02444">
      <w:pPr>
        <w:jc w:val="both"/>
        <w:rPr>
          <w:bCs/>
          <w:sz w:val="20"/>
        </w:rPr>
      </w:pPr>
    </w:p>
    <w:p w:rsidR="00102AF5" w:rsidRDefault="00102AF5" w:rsidP="00F32F10">
      <w:pPr>
        <w:shd w:val="clear" w:color="auto" w:fill="FFFFFF"/>
        <w:tabs>
          <w:tab w:val="left" w:pos="709"/>
        </w:tabs>
        <w:suppressAutoHyphens/>
        <w:jc w:val="both"/>
        <w:rPr>
          <w:sz w:val="20"/>
          <w:szCs w:val="21"/>
          <w:lang w:val="en-US"/>
        </w:rPr>
      </w:pPr>
    </w:p>
    <w:p w:rsidR="004B302D" w:rsidRPr="009D11D1" w:rsidRDefault="00336FF1" w:rsidP="004B302D">
      <w:pPr>
        <w:jc w:val="both"/>
        <w:rPr>
          <w:bCs/>
          <w:highlight w:val="lightGray"/>
        </w:rPr>
      </w:pPr>
      <w:r w:rsidRPr="009D11D1">
        <w:rPr>
          <w:bCs/>
          <w:lang w:val="es-ES_tradnl"/>
        </w:rPr>
        <w:t>RECURSOS PARA EL PROGRAMA 16</w:t>
      </w:r>
    </w:p>
    <w:p w:rsidR="004B302D" w:rsidRPr="002908DF" w:rsidRDefault="004B302D" w:rsidP="004B302D">
      <w:pPr>
        <w:jc w:val="both"/>
        <w:rPr>
          <w:bCs/>
          <w:sz w:val="20"/>
          <w:highlight w:val="lightGray"/>
        </w:rPr>
      </w:pPr>
    </w:p>
    <w:p w:rsidR="009D11D1" w:rsidRPr="00892A2A" w:rsidRDefault="009D11D1" w:rsidP="009D11D1">
      <w:pPr>
        <w:tabs>
          <w:tab w:val="left" w:pos="709"/>
        </w:tabs>
        <w:rPr>
          <w:sz w:val="20"/>
        </w:rPr>
      </w:pPr>
      <w:r w:rsidRPr="00892A2A">
        <w:rPr>
          <w:sz w:val="20"/>
        </w:rPr>
        <w:t>16.9.</w:t>
      </w:r>
      <w:r w:rsidRPr="00892A2A">
        <w:rPr>
          <w:sz w:val="20"/>
        </w:rPr>
        <w:tab/>
        <w:t>El aumento de la dotación de recursos de personal y no relativos a personal en el marco del resultado previsto V.1 (Uso más amplio y eficaz de la información estad</w:t>
      </w:r>
      <w:r>
        <w:rPr>
          <w:sz w:val="20"/>
        </w:rPr>
        <w:t>ística de la OMPI en materia de </w:t>
      </w:r>
      <w:r w:rsidRPr="00892A2A">
        <w:rPr>
          <w:sz w:val="20"/>
        </w:rPr>
        <w:t>P.I.) refleja los mayores esfuerzos invertidos para facilitar información estadística sobre los resultados del sistema de P.I. en todo el mundo y, en particular, para recabar nuevas estadísticas sobre indicaciones geográficas y derechos de autor y presentar informes al respecto.</w:t>
      </w:r>
    </w:p>
    <w:p w:rsidR="009D11D1" w:rsidRPr="00892A2A" w:rsidRDefault="009D11D1" w:rsidP="009D11D1">
      <w:pPr>
        <w:rPr>
          <w:sz w:val="20"/>
        </w:rPr>
      </w:pPr>
    </w:p>
    <w:p w:rsidR="009D11D1" w:rsidRPr="00892A2A" w:rsidRDefault="009D11D1" w:rsidP="009D11D1">
      <w:pPr>
        <w:tabs>
          <w:tab w:val="left" w:pos="709"/>
        </w:tabs>
        <w:rPr>
          <w:sz w:val="20"/>
        </w:rPr>
      </w:pPr>
      <w:r w:rsidRPr="00892A2A">
        <w:rPr>
          <w:sz w:val="20"/>
        </w:rPr>
        <w:t>16.10.</w:t>
      </w:r>
      <w:r w:rsidRPr="00892A2A">
        <w:rPr>
          <w:sz w:val="20"/>
        </w:rPr>
        <w:tab/>
        <w:t>El aumento de la dotación de recursos de personal y no relativos a personal en el marco del resultado previsto V.2 (Uso más amplio y eficaz de los análisis económicos de la OMPI) pone de manifiesto mayores compromisos de investigación, en particular, sobre políticas y resultados de las industrias creativas y sobre estudios en el marco del proyecto de la A.D “La P.I. y el desarrollo socioeconómico”.</w:t>
      </w:r>
    </w:p>
    <w:p w:rsidR="004B302D" w:rsidRPr="009D11D1" w:rsidRDefault="004B302D" w:rsidP="004B302D">
      <w:pPr>
        <w:jc w:val="both"/>
        <w:rPr>
          <w:bCs/>
          <w:highlight w:val="lightGray"/>
        </w:rPr>
      </w:pPr>
    </w:p>
    <w:p w:rsidR="004B302D" w:rsidRPr="009D11D1" w:rsidRDefault="004B302D" w:rsidP="004B302D">
      <w:pPr>
        <w:rPr>
          <w:highlight w:val="lightGray"/>
        </w:rPr>
      </w:pPr>
    </w:p>
    <w:p w:rsidR="00336FF1" w:rsidRPr="009D11D1" w:rsidRDefault="00336FF1" w:rsidP="00336FF1">
      <w:pPr>
        <w:tabs>
          <w:tab w:val="left" w:pos="1427"/>
        </w:tabs>
        <w:jc w:val="center"/>
        <w:rPr>
          <w:sz w:val="20"/>
          <w:lang w:val="es-ES_tradnl"/>
        </w:rPr>
      </w:pPr>
      <w:r w:rsidRPr="009D11D1">
        <w:rPr>
          <w:b/>
          <w:sz w:val="20"/>
          <w:lang w:val="es-ES_tradnl"/>
        </w:rPr>
        <w:t>Programa 16</w:t>
      </w:r>
      <w:proofErr w:type="gramStart"/>
      <w:r w:rsidRPr="009D11D1">
        <w:rPr>
          <w:b/>
          <w:sz w:val="20"/>
          <w:lang w:val="es-ES_tradnl"/>
        </w:rPr>
        <w:t>:  Recursos</w:t>
      </w:r>
      <w:proofErr w:type="gramEnd"/>
      <w:r w:rsidRPr="009D11D1">
        <w:rPr>
          <w:b/>
          <w:sz w:val="20"/>
          <w:lang w:val="es-ES_tradnl"/>
        </w:rPr>
        <w:t xml:space="preserve"> por resultado </w:t>
      </w:r>
    </w:p>
    <w:p w:rsidR="004B302D" w:rsidRPr="009D11D1" w:rsidRDefault="00336FF1" w:rsidP="00336FF1">
      <w:pPr>
        <w:tabs>
          <w:tab w:val="left" w:pos="1427"/>
        </w:tabs>
        <w:jc w:val="center"/>
        <w:rPr>
          <w:i/>
          <w:szCs w:val="24"/>
          <w:highlight w:val="lightGray"/>
          <w:lang w:val="es-ES_tradnl"/>
        </w:rPr>
      </w:pPr>
      <w:r w:rsidRPr="009D11D1">
        <w:rPr>
          <w:i/>
          <w:sz w:val="20"/>
          <w:lang w:val="es-ES_tradnl"/>
        </w:rPr>
        <w:t>(</w:t>
      </w:r>
      <w:proofErr w:type="gramStart"/>
      <w:r w:rsidRPr="009D11D1">
        <w:rPr>
          <w:i/>
          <w:sz w:val="20"/>
          <w:lang w:val="es-ES_tradnl"/>
        </w:rPr>
        <w:t>en</w:t>
      </w:r>
      <w:proofErr w:type="gramEnd"/>
      <w:r w:rsidRPr="009D11D1">
        <w:rPr>
          <w:i/>
          <w:sz w:val="20"/>
          <w:lang w:val="es-ES_tradnl"/>
        </w:rPr>
        <w:t xml:space="preserve"> miles de francos suizos)</w:t>
      </w:r>
    </w:p>
    <w:p w:rsidR="004B302D" w:rsidRPr="009D11D1" w:rsidRDefault="004B302D" w:rsidP="004B302D">
      <w:pPr>
        <w:tabs>
          <w:tab w:val="left" w:pos="1427"/>
        </w:tabs>
        <w:jc w:val="center"/>
        <w:rPr>
          <w:i/>
          <w:szCs w:val="24"/>
          <w:highlight w:val="lightGray"/>
          <w:lang w:val="es-ES_tradnl"/>
        </w:rPr>
      </w:pPr>
    </w:p>
    <w:p w:rsidR="004B302D" w:rsidRPr="002908DF" w:rsidRDefault="00E0093C" w:rsidP="004B302D">
      <w:pPr>
        <w:tabs>
          <w:tab w:val="left" w:pos="1427"/>
        </w:tabs>
        <w:jc w:val="center"/>
        <w:rPr>
          <w:highlight w:val="lightGray"/>
        </w:rPr>
      </w:pPr>
      <w:r w:rsidRPr="00E0093C">
        <w:rPr>
          <w:noProof/>
          <w:lang w:val="en-US" w:eastAsia="en-US"/>
        </w:rPr>
        <w:drawing>
          <wp:inline distT="0" distB="0" distL="0" distR="0">
            <wp:extent cx="5676900" cy="1521460"/>
            <wp:effectExtent l="0" t="0" r="0" b="254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676900" cy="1521460"/>
                    </a:xfrm>
                    <a:prstGeom prst="rect">
                      <a:avLst/>
                    </a:prstGeom>
                    <a:noFill/>
                    <a:ln>
                      <a:noFill/>
                    </a:ln>
                  </pic:spPr>
                </pic:pic>
              </a:graphicData>
            </a:graphic>
          </wp:inline>
        </w:drawing>
      </w:r>
    </w:p>
    <w:p w:rsidR="004B302D" w:rsidRPr="002908DF" w:rsidRDefault="004B302D" w:rsidP="004B302D">
      <w:pPr>
        <w:tabs>
          <w:tab w:val="left" w:pos="1427"/>
        </w:tabs>
        <w:jc w:val="center"/>
        <w:rPr>
          <w:highlight w:val="lightGray"/>
        </w:rPr>
      </w:pPr>
    </w:p>
    <w:p w:rsidR="004B302D" w:rsidRPr="002908DF" w:rsidRDefault="004B302D" w:rsidP="004B302D">
      <w:pPr>
        <w:rPr>
          <w:highlight w:val="lightGray"/>
        </w:rPr>
      </w:pPr>
    </w:p>
    <w:p w:rsidR="00336FF1" w:rsidRPr="005012AC" w:rsidRDefault="00336FF1" w:rsidP="00336FF1">
      <w:pPr>
        <w:keepNext/>
        <w:keepLines/>
        <w:tabs>
          <w:tab w:val="left" w:pos="1427"/>
        </w:tabs>
        <w:jc w:val="center"/>
        <w:rPr>
          <w:sz w:val="20"/>
          <w:lang w:val="es-ES_tradnl"/>
        </w:rPr>
      </w:pPr>
      <w:r w:rsidRPr="005012AC">
        <w:rPr>
          <w:b/>
          <w:sz w:val="20"/>
          <w:lang w:val="es-ES_tradnl"/>
        </w:rPr>
        <w:lastRenderedPageBreak/>
        <w:t>Programa 16</w:t>
      </w:r>
      <w:proofErr w:type="gramStart"/>
      <w:r w:rsidRPr="005012AC">
        <w:rPr>
          <w:b/>
          <w:sz w:val="20"/>
          <w:lang w:val="es-ES_tradnl"/>
        </w:rPr>
        <w:t>:  Recursos</w:t>
      </w:r>
      <w:proofErr w:type="gramEnd"/>
      <w:r w:rsidRPr="005012AC">
        <w:rPr>
          <w:b/>
          <w:sz w:val="20"/>
          <w:lang w:val="es-ES_tradnl"/>
        </w:rPr>
        <w:t xml:space="preserve"> por objeto de gasto</w:t>
      </w:r>
    </w:p>
    <w:p w:rsidR="004B302D" w:rsidRPr="005012AC" w:rsidRDefault="00336FF1" w:rsidP="00336FF1">
      <w:pPr>
        <w:keepNext/>
        <w:keepLines/>
        <w:tabs>
          <w:tab w:val="left" w:pos="1427"/>
        </w:tabs>
        <w:jc w:val="center"/>
        <w:rPr>
          <w:i/>
          <w:szCs w:val="24"/>
          <w:highlight w:val="lightGray"/>
          <w:lang w:val="es-ES_tradnl"/>
        </w:rPr>
      </w:pPr>
      <w:r w:rsidRPr="005012AC">
        <w:rPr>
          <w:i/>
          <w:sz w:val="20"/>
          <w:lang w:val="es-ES_tradnl"/>
        </w:rPr>
        <w:t>(</w:t>
      </w:r>
      <w:proofErr w:type="gramStart"/>
      <w:r w:rsidRPr="005012AC">
        <w:rPr>
          <w:i/>
          <w:sz w:val="20"/>
          <w:lang w:val="es-ES_tradnl"/>
        </w:rPr>
        <w:t>en</w:t>
      </w:r>
      <w:proofErr w:type="gramEnd"/>
      <w:r w:rsidRPr="005012AC">
        <w:rPr>
          <w:i/>
          <w:sz w:val="20"/>
          <w:lang w:val="es-ES_tradnl"/>
        </w:rPr>
        <w:t xml:space="preserve"> miles de francos suizos)</w:t>
      </w:r>
    </w:p>
    <w:p w:rsidR="004B302D" w:rsidRPr="005012AC" w:rsidRDefault="004B302D" w:rsidP="004B302D">
      <w:pPr>
        <w:keepNext/>
        <w:keepLines/>
        <w:tabs>
          <w:tab w:val="left" w:pos="1427"/>
        </w:tabs>
        <w:jc w:val="center"/>
        <w:rPr>
          <w:i/>
          <w:szCs w:val="24"/>
          <w:highlight w:val="lightGray"/>
          <w:lang w:val="es-ES_tradnl"/>
        </w:rPr>
      </w:pPr>
    </w:p>
    <w:p w:rsidR="004B302D" w:rsidRPr="009B4A78" w:rsidRDefault="00835617" w:rsidP="004B302D">
      <w:pPr>
        <w:jc w:val="center"/>
        <w:rPr>
          <w:bCs/>
        </w:rPr>
      </w:pPr>
      <w:r>
        <w:rPr>
          <w:noProof/>
          <w:lang w:val="en-US" w:eastAsia="en-US"/>
        </w:rPr>
        <w:drawing>
          <wp:inline distT="0" distB="0" distL="0" distR="0" wp14:anchorId="1B4ACED9" wp14:editId="1FEE0B9D">
            <wp:extent cx="5940425" cy="6607453"/>
            <wp:effectExtent l="0" t="0" r="3175" b="3175"/>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940425" cy="6607453"/>
                    </a:xfrm>
                    <a:prstGeom prst="rect">
                      <a:avLst/>
                    </a:prstGeom>
                    <a:noFill/>
                    <a:ln>
                      <a:noFill/>
                    </a:ln>
                  </pic:spPr>
                </pic:pic>
              </a:graphicData>
            </a:graphic>
          </wp:inline>
        </w:drawing>
      </w:r>
    </w:p>
    <w:p w:rsidR="004B302D" w:rsidRDefault="004B302D" w:rsidP="00F32F10">
      <w:pPr>
        <w:shd w:val="clear" w:color="auto" w:fill="FFFFFF"/>
        <w:tabs>
          <w:tab w:val="left" w:pos="709"/>
        </w:tabs>
        <w:suppressAutoHyphens/>
        <w:jc w:val="both"/>
        <w:rPr>
          <w:sz w:val="20"/>
          <w:szCs w:val="21"/>
          <w:lang w:val="en-US"/>
        </w:rPr>
      </w:pPr>
    </w:p>
    <w:p w:rsidR="002908DF" w:rsidRDefault="002908DF">
      <w:pPr>
        <w:rPr>
          <w:sz w:val="20"/>
          <w:szCs w:val="21"/>
          <w:lang w:val="en-US"/>
        </w:rPr>
      </w:pPr>
      <w:r>
        <w:rPr>
          <w:sz w:val="20"/>
          <w:szCs w:val="21"/>
          <w:lang w:val="en-US"/>
        </w:rPr>
        <w:br w:type="page"/>
      </w:r>
    </w:p>
    <w:p w:rsidR="00166352" w:rsidRPr="00FE556D" w:rsidRDefault="0074473B" w:rsidP="0074473B">
      <w:pPr>
        <w:pStyle w:val="StyleHeading3ComplexItalic"/>
        <w:tabs>
          <w:tab w:val="clear" w:pos="1985"/>
          <w:tab w:val="left" w:pos="3119"/>
        </w:tabs>
        <w:ind w:left="3119" w:hanging="3119"/>
        <w:rPr>
          <w:rStyle w:val="StyleStyleHeading3ComplexItalicLatin12ptChar"/>
          <w:rFonts w:eastAsia="SimSun"/>
          <w:b/>
          <w:highlight w:val="lightGray"/>
          <w:lang w:val="es-ES_tradnl"/>
        </w:rPr>
      </w:pPr>
      <w:bookmarkStart w:id="57" w:name="_Toc367350594"/>
      <w:bookmarkStart w:id="58" w:name="_Toc419283263"/>
      <w:bookmarkStart w:id="59" w:name="_Toc420681153"/>
      <w:r w:rsidRPr="00FE556D">
        <w:rPr>
          <w:rStyle w:val="StyleStyleHeading3ComplexItalicLatin12ptChar"/>
          <w:rFonts w:eastAsia="SimSun"/>
          <w:b/>
          <w:lang w:val="es-ES_tradnl"/>
        </w:rPr>
        <w:lastRenderedPageBreak/>
        <w:t>META ESTRATÉGICA VI</w:t>
      </w:r>
      <w:r w:rsidR="00166352" w:rsidRPr="00FE556D">
        <w:rPr>
          <w:rStyle w:val="StyleStyleHeading3ComplexItalicLatin12ptChar"/>
          <w:rFonts w:eastAsia="SimSun"/>
          <w:b/>
          <w:lang w:val="es-ES_tradnl"/>
        </w:rPr>
        <w:tab/>
      </w:r>
      <w:bookmarkEnd w:id="57"/>
      <w:bookmarkEnd w:id="58"/>
      <w:r w:rsidRPr="00FE556D">
        <w:rPr>
          <w:rStyle w:val="StyleStyleHeading3ComplexItalicLatin12ptChar"/>
          <w:rFonts w:eastAsia="SimSun"/>
          <w:b/>
          <w:lang w:val="es-ES_tradnl"/>
        </w:rPr>
        <w:t>COOPERACIÓN INTERNACIONAL PARA FOMENTAR EL RESPETO POR LA P.I.</w:t>
      </w:r>
      <w:bookmarkEnd w:id="59"/>
    </w:p>
    <w:p w:rsidR="00166352" w:rsidRPr="00696AF1" w:rsidRDefault="00166352" w:rsidP="00166352">
      <w:pPr>
        <w:tabs>
          <w:tab w:val="left" w:pos="1701"/>
        </w:tabs>
        <w:ind w:left="1701" w:hanging="1701"/>
        <w:jc w:val="center"/>
        <w:rPr>
          <w:b/>
          <w:bCs/>
          <w:caps/>
          <w:szCs w:val="24"/>
          <w:highlight w:val="lightGray"/>
          <w:lang w:val="es-ES_tradnl"/>
        </w:rPr>
      </w:pPr>
    </w:p>
    <w:p w:rsidR="00166352" w:rsidRPr="00696AF1" w:rsidRDefault="00166352" w:rsidP="00166352">
      <w:pPr>
        <w:tabs>
          <w:tab w:val="left" w:pos="1701"/>
        </w:tabs>
        <w:ind w:left="1701" w:hanging="1701"/>
        <w:jc w:val="center"/>
        <w:rPr>
          <w:b/>
          <w:bCs/>
          <w:caps/>
          <w:szCs w:val="24"/>
          <w:highlight w:val="lightGray"/>
          <w:lang w:val="es-ES_tradnl"/>
        </w:rPr>
      </w:pPr>
    </w:p>
    <w:p w:rsidR="00166352" w:rsidRPr="00696AF1" w:rsidRDefault="00696AF1" w:rsidP="00166352">
      <w:pPr>
        <w:jc w:val="both"/>
        <w:rPr>
          <w:sz w:val="20"/>
          <w:lang w:val="es-ES_tradnl"/>
        </w:rPr>
      </w:pPr>
      <w:r w:rsidRPr="00696AF1">
        <w:rPr>
          <w:sz w:val="20"/>
          <w:lang w:val="es-ES_tradnl"/>
        </w:rPr>
        <w:t>Fomentar el respeto por la P.I. entraña adoptar un enfoque más amplio que va más allá de la mera observancia de los derechos.  Exige dar prioridad a la cooperación internacional, ámbito en el que la OMPI puede lograr resultados tangibles.  Se trata de un amplio objetivo que atañe a distintos sectores y constituye el eje de muchas de las actividades de la Organización.  El Comité Asesor de la OMPI sobre Observancia (ACE) es un mecanismo del que se sirven los Estados miembros para coordinar la labor que se realiza en aras de ese objetivo.  Las actividades realizadas en el marco de esta meta estratégica se rigen por la recomendación 45 de la A.D.</w:t>
      </w:r>
    </w:p>
    <w:p w:rsidR="00166352" w:rsidRPr="0074473B" w:rsidRDefault="00166352" w:rsidP="00166352">
      <w:pPr>
        <w:tabs>
          <w:tab w:val="left" w:pos="1701"/>
        </w:tabs>
        <w:ind w:left="1701" w:hanging="1701"/>
        <w:jc w:val="center"/>
        <w:rPr>
          <w:bCs/>
          <w:iCs/>
          <w:caps/>
          <w:sz w:val="20"/>
          <w:highlight w:val="lightGray"/>
          <w:lang w:val="es-ES_tradnl"/>
        </w:rPr>
      </w:pPr>
    </w:p>
    <w:p w:rsidR="00166352" w:rsidRPr="0074473B" w:rsidRDefault="00166352" w:rsidP="00166352">
      <w:pPr>
        <w:tabs>
          <w:tab w:val="left" w:pos="1701"/>
        </w:tabs>
        <w:ind w:left="1701" w:hanging="1701"/>
        <w:jc w:val="center"/>
        <w:rPr>
          <w:bCs/>
          <w:iCs/>
          <w:caps/>
          <w:sz w:val="20"/>
          <w:highlight w:val="lightGray"/>
          <w:lang w:val="es-ES_tradnl"/>
        </w:rPr>
      </w:pPr>
    </w:p>
    <w:tbl>
      <w:tblPr>
        <w:tblW w:w="493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3"/>
        <w:gridCol w:w="2722"/>
        <w:gridCol w:w="3215"/>
      </w:tblGrid>
      <w:tr w:rsidR="00DE4A6F" w:rsidRPr="00245E53" w:rsidTr="00801092">
        <w:trPr>
          <w:cantSplit/>
          <w:trHeight w:val="415"/>
        </w:trPr>
        <w:tc>
          <w:tcPr>
            <w:tcW w:w="1859" w:type="pct"/>
            <w:tcBorders>
              <w:top w:val="single" w:sz="4" w:space="0" w:color="auto"/>
              <w:bottom w:val="single" w:sz="4" w:space="0" w:color="auto"/>
            </w:tcBorders>
            <w:shd w:val="clear" w:color="auto" w:fill="C6D9F1" w:themeFill="text2" w:themeFillTint="33"/>
            <w:vAlign w:val="center"/>
          </w:tcPr>
          <w:p w:rsidR="00DE4A6F" w:rsidRPr="00245E53" w:rsidRDefault="00DE4A6F" w:rsidP="00801092">
            <w:pPr>
              <w:spacing w:after="120"/>
              <w:jc w:val="center"/>
              <w:rPr>
                <w:b/>
                <w:bCs/>
                <w:sz w:val="18"/>
                <w:szCs w:val="18"/>
              </w:rPr>
            </w:pPr>
            <w:r w:rsidRPr="00245E53">
              <w:rPr>
                <w:b/>
                <w:bCs/>
                <w:sz w:val="18"/>
                <w:szCs w:val="18"/>
                <w:lang w:val="es-ES_tradnl"/>
              </w:rPr>
              <w:t>Resultados previstos</w:t>
            </w:r>
          </w:p>
        </w:tc>
        <w:tc>
          <w:tcPr>
            <w:tcW w:w="1440" w:type="pct"/>
            <w:tcBorders>
              <w:top w:val="single" w:sz="4" w:space="0" w:color="auto"/>
              <w:bottom w:val="single" w:sz="4" w:space="0" w:color="auto"/>
            </w:tcBorders>
            <w:shd w:val="clear" w:color="auto" w:fill="C6D9F1" w:themeFill="text2" w:themeFillTint="33"/>
            <w:tcMar>
              <w:top w:w="110" w:type="dxa"/>
            </w:tcMar>
            <w:vAlign w:val="center"/>
          </w:tcPr>
          <w:p w:rsidR="00DE4A6F" w:rsidRPr="00245E53" w:rsidRDefault="00DE4A6F" w:rsidP="00801092">
            <w:pPr>
              <w:spacing w:after="120"/>
              <w:jc w:val="center"/>
              <w:rPr>
                <w:b/>
                <w:bCs/>
                <w:sz w:val="18"/>
                <w:szCs w:val="18"/>
              </w:rPr>
            </w:pPr>
            <w:r w:rsidRPr="00245E53">
              <w:rPr>
                <w:b/>
                <w:bCs/>
                <w:sz w:val="18"/>
                <w:szCs w:val="18"/>
                <w:lang w:val="es-ES_tradnl"/>
              </w:rPr>
              <w:t>Indicadores de rendimiento</w:t>
            </w:r>
          </w:p>
        </w:tc>
        <w:tc>
          <w:tcPr>
            <w:tcW w:w="1701" w:type="pct"/>
            <w:tcBorders>
              <w:top w:val="single" w:sz="4" w:space="0" w:color="auto"/>
              <w:bottom w:val="single" w:sz="4" w:space="0" w:color="auto"/>
            </w:tcBorders>
            <w:shd w:val="clear" w:color="auto" w:fill="C6D9F1" w:themeFill="text2" w:themeFillTint="33"/>
            <w:tcMar>
              <w:top w:w="110" w:type="dxa"/>
            </w:tcMar>
            <w:vAlign w:val="center"/>
          </w:tcPr>
          <w:p w:rsidR="00DE4A6F" w:rsidRPr="00245E53" w:rsidRDefault="00DE4A6F" w:rsidP="00801092">
            <w:pPr>
              <w:spacing w:after="120"/>
              <w:ind w:left="85"/>
              <w:jc w:val="center"/>
              <w:rPr>
                <w:b/>
                <w:bCs/>
                <w:sz w:val="18"/>
                <w:szCs w:val="18"/>
              </w:rPr>
            </w:pPr>
            <w:r w:rsidRPr="00245E53">
              <w:rPr>
                <w:b/>
                <w:bCs/>
                <w:sz w:val="18"/>
                <w:szCs w:val="18"/>
                <w:lang w:val="es-ES_tradnl"/>
              </w:rPr>
              <w:t>Programas responsables</w:t>
            </w:r>
          </w:p>
        </w:tc>
      </w:tr>
      <w:tr w:rsidR="00DE4A6F" w:rsidRPr="00245E53" w:rsidTr="00801092">
        <w:trPr>
          <w:cantSplit/>
          <w:trHeight w:val="944"/>
        </w:trPr>
        <w:tc>
          <w:tcPr>
            <w:tcW w:w="1859" w:type="pct"/>
            <w:tcBorders>
              <w:top w:val="single" w:sz="4" w:space="0" w:color="auto"/>
            </w:tcBorders>
            <w:shd w:val="clear" w:color="auto" w:fill="auto"/>
            <w:tcMar>
              <w:top w:w="113" w:type="dxa"/>
              <w:bottom w:w="85" w:type="dxa"/>
            </w:tcMar>
          </w:tcPr>
          <w:p w:rsidR="00DE4A6F" w:rsidRPr="00E0093C" w:rsidRDefault="00DE4A6F" w:rsidP="005B1060">
            <w:pPr>
              <w:rPr>
                <w:sz w:val="16"/>
                <w:szCs w:val="16"/>
                <w:highlight w:val="lightGray"/>
                <w:lang w:val="es-ES_tradnl"/>
              </w:rPr>
            </w:pPr>
            <w:r w:rsidRPr="00E0093C">
              <w:rPr>
                <w:sz w:val="16"/>
                <w:szCs w:val="16"/>
                <w:lang w:val="es-ES_tradnl"/>
              </w:rPr>
              <w:t>VI.1</w:t>
            </w:r>
            <w:r w:rsidR="005B1060" w:rsidRPr="00E0093C">
              <w:rPr>
                <w:sz w:val="16"/>
                <w:szCs w:val="16"/>
                <w:lang w:val="es-ES_tradnl"/>
              </w:rPr>
              <w:t xml:space="preserve">  Avances en el diálogo internacional sobre políticas entre los Estados miembros de la OMPI para fomentar el respeto por la P.I. sobre la base de la recomendación 45 de la Agenda de la OMPI para el Desarrollo</w:t>
            </w:r>
          </w:p>
        </w:tc>
        <w:tc>
          <w:tcPr>
            <w:tcW w:w="1440" w:type="pct"/>
            <w:tcBorders>
              <w:top w:val="single" w:sz="4" w:space="0" w:color="auto"/>
            </w:tcBorders>
            <w:shd w:val="clear" w:color="auto" w:fill="auto"/>
            <w:tcMar>
              <w:top w:w="113" w:type="dxa"/>
              <w:bottom w:w="85" w:type="dxa"/>
            </w:tcMar>
          </w:tcPr>
          <w:p w:rsidR="00DE4A6F" w:rsidRPr="00245E53" w:rsidRDefault="00DE4A6F" w:rsidP="00801092">
            <w:pPr>
              <w:rPr>
                <w:sz w:val="16"/>
                <w:szCs w:val="16"/>
                <w:highlight w:val="lightGray"/>
                <w:lang w:val="es-ES_tradnl"/>
              </w:rPr>
            </w:pPr>
            <w:r w:rsidRPr="00245E53">
              <w:rPr>
                <w:sz w:val="16"/>
                <w:szCs w:val="16"/>
                <w:lang w:val="es-ES_tradnl"/>
              </w:rPr>
              <w:t>Acuerdo constante entre los Estados miembros sobre la labor sustantiva del Comité Asesor de la OMPI sobre Observancia (ACE), al incorporar elementos orientados al desarrollo.</w:t>
            </w:r>
          </w:p>
        </w:tc>
        <w:tc>
          <w:tcPr>
            <w:tcW w:w="1701" w:type="pct"/>
            <w:tcBorders>
              <w:top w:val="single" w:sz="4" w:space="0" w:color="auto"/>
            </w:tcBorders>
            <w:shd w:val="clear" w:color="auto" w:fill="FFFFFF"/>
            <w:tcMar>
              <w:top w:w="113" w:type="dxa"/>
              <w:bottom w:w="85" w:type="dxa"/>
            </w:tcMar>
          </w:tcPr>
          <w:p w:rsidR="00DE4A6F" w:rsidRPr="00245E53" w:rsidRDefault="00DE4A6F" w:rsidP="00801092">
            <w:pPr>
              <w:ind w:left="769"/>
              <w:rPr>
                <w:sz w:val="16"/>
                <w:szCs w:val="16"/>
                <w:highlight w:val="lightGray"/>
              </w:rPr>
            </w:pPr>
            <w:r w:rsidRPr="00245E53">
              <w:rPr>
                <w:sz w:val="16"/>
                <w:szCs w:val="16"/>
                <w:lang w:val="es-ES_tradnl"/>
              </w:rPr>
              <w:t>Programa 17</w:t>
            </w:r>
          </w:p>
        </w:tc>
      </w:tr>
      <w:tr w:rsidR="00DE4A6F" w:rsidRPr="00245E53" w:rsidTr="00801092">
        <w:trPr>
          <w:cantSplit/>
          <w:trHeight w:val="704"/>
        </w:trPr>
        <w:tc>
          <w:tcPr>
            <w:tcW w:w="1859" w:type="pct"/>
            <w:shd w:val="clear" w:color="auto" w:fill="auto"/>
            <w:tcMar>
              <w:top w:w="113" w:type="dxa"/>
              <w:bottom w:w="85" w:type="dxa"/>
            </w:tcMar>
          </w:tcPr>
          <w:p w:rsidR="00DE4A6F" w:rsidRPr="00E0093C" w:rsidRDefault="005B1060" w:rsidP="00801092">
            <w:pPr>
              <w:rPr>
                <w:sz w:val="16"/>
                <w:szCs w:val="16"/>
                <w:highlight w:val="lightGray"/>
                <w:lang w:val="es-ES_tradnl"/>
              </w:rPr>
            </w:pPr>
            <w:r w:rsidRPr="00E0093C">
              <w:rPr>
                <w:sz w:val="16"/>
                <w:szCs w:val="16"/>
                <w:lang w:val="es-ES_tradnl"/>
              </w:rPr>
              <w:t>VI.2  Cooperación y coordinación sistemáticas, eficaces y transparentes entre la OMPI y otras organizaciones internacionales en el fomento del respeto por la P.I.</w:t>
            </w:r>
          </w:p>
        </w:tc>
        <w:tc>
          <w:tcPr>
            <w:tcW w:w="1440" w:type="pct"/>
            <w:shd w:val="clear" w:color="auto" w:fill="auto"/>
            <w:tcMar>
              <w:top w:w="113" w:type="dxa"/>
              <w:bottom w:w="85" w:type="dxa"/>
            </w:tcMar>
          </w:tcPr>
          <w:p w:rsidR="00DE4A6F" w:rsidRPr="00245E53" w:rsidRDefault="00DE4A6F" w:rsidP="00324B68">
            <w:pPr>
              <w:rPr>
                <w:sz w:val="16"/>
                <w:szCs w:val="16"/>
              </w:rPr>
            </w:pPr>
            <w:r w:rsidRPr="00245E53">
              <w:rPr>
                <w:sz w:val="16"/>
                <w:szCs w:val="16"/>
              </w:rPr>
              <w:t>N</w:t>
            </w:r>
            <w:r w:rsidR="00324B68">
              <w:rPr>
                <w:sz w:val="16"/>
                <w:szCs w:val="16"/>
              </w:rPr>
              <w:t>º</w:t>
            </w:r>
            <w:r w:rsidRPr="00245E53">
              <w:rPr>
                <w:sz w:val="16"/>
                <w:szCs w:val="16"/>
              </w:rPr>
              <w:t xml:space="preserve"> de colaboraciones estratégicas u otras actividades conjuntas con organizaciones asociadas sobre el fomento del respeto por la P.I.</w:t>
            </w:r>
          </w:p>
        </w:tc>
        <w:tc>
          <w:tcPr>
            <w:tcW w:w="1701" w:type="pct"/>
            <w:shd w:val="clear" w:color="auto" w:fill="FFFFFF"/>
            <w:tcMar>
              <w:top w:w="113" w:type="dxa"/>
              <w:bottom w:w="85" w:type="dxa"/>
            </w:tcMar>
          </w:tcPr>
          <w:p w:rsidR="00DE4A6F" w:rsidRPr="00245E53" w:rsidRDefault="00DE4A6F" w:rsidP="00801092">
            <w:pPr>
              <w:ind w:left="769"/>
              <w:rPr>
                <w:sz w:val="16"/>
                <w:szCs w:val="16"/>
              </w:rPr>
            </w:pPr>
            <w:r w:rsidRPr="00245E53">
              <w:rPr>
                <w:sz w:val="16"/>
                <w:szCs w:val="16"/>
                <w:lang w:val="es-ES_tradnl"/>
              </w:rPr>
              <w:t>Programa 17</w:t>
            </w:r>
          </w:p>
        </w:tc>
      </w:tr>
    </w:tbl>
    <w:p w:rsidR="00DE4A6F" w:rsidRPr="00245E53" w:rsidRDefault="00DE4A6F" w:rsidP="00DE4A6F">
      <w:pPr>
        <w:rPr>
          <w:bCs/>
        </w:rPr>
      </w:pPr>
    </w:p>
    <w:p w:rsidR="002908DF" w:rsidRDefault="002908DF" w:rsidP="00F32F10">
      <w:pPr>
        <w:shd w:val="clear" w:color="auto" w:fill="FFFFFF"/>
        <w:tabs>
          <w:tab w:val="left" w:pos="709"/>
        </w:tabs>
        <w:suppressAutoHyphens/>
        <w:jc w:val="both"/>
        <w:rPr>
          <w:sz w:val="20"/>
          <w:szCs w:val="21"/>
          <w:lang w:val="en-US"/>
        </w:rPr>
      </w:pPr>
    </w:p>
    <w:p w:rsidR="00CE0A60" w:rsidRDefault="00CE0A60">
      <w:pPr>
        <w:rPr>
          <w:sz w:val="20"/>
          <w:szCs w:val="21"/>
          <w:lang w:val="en-US"/>
        </w:rPr>
      </w:pPr>
      <w:r>
        <w:rPr>
          <w:sz w:val="20"/>
          <w:szCs w:val="21"/>
          <w:lang w:val="en-US"/>
        </w:rPr>
        <w:br w:type="page"/>
      </w:r>
    </w:p>
    <w:p w:rsidR="00CE0A60" w:rsidRPr="00F32F10" w:rsidRDefault="00CE0A60" w:rsidP="00F32F10">
      <w:pPr>
        <w:shd w:val="clear" w:color="auto" w:fill="FFFFFF"/>
        <w:tabs>
          <w:tab w:val="left" w:pos="709"/>
        </w:tabs>
        <w:suppressAutoHyphens/>
        <w:jc w:val="both"/>
        <w:rPr>
          <w:sz w:val="20"/>
          <w:szCs w:val="21"/>
          <w:lang w:val="en-US"/>
        </w:rPr>
      </w:pPr>
    </w:p>
    <w:p w:rsidR="00336FF1" w:rsidRPr="00336FF1" w:rsidRDefault="00523279" w:rsidP="00336FF1">
      <w:pPr>
        <w:pStyle w:val="StyleStyleHeading3ComplexItalicLatin12pt"/>
        <w:rPr>
          <w:lang w:val="es-ES"/>
        </w:rPr>
      </w:pPr>
      <w:bookmarkStart w:id="60" w:name="_Toc420681154"/>
      <w:r w:rsidRPr="00336FF1">
        <w:rPr>
          <w:caps w:val="0"/>
          <w:lang w:val="es-ES"/>
        </w:rPr>
        <w:t>PROGRAMA 17</w:t>
      </w:r>
      <w:r w:rsidRPr="00336FF1">
        <w:rPr>
          <w:caps w:val="0"/>
          <w:lang w:val="es-ES"/>
        </w:rPr>
        <w:tab/>
        <w:t>FOMENTAR EL RESPETO POR LA P.I.</w:t>
      </w:r>
      <w:bookmarkEnd w:id="60"/>
    </w:p>
    <w:p w:rsidR="00336FF1" w:rsidRPr="00336FF1" w:rsidRDefault="00336FF1" w:rsidP="00336FF1">
      <w:pPr>
        <w:jc w:val="both"/>
      </w:pPr>
    </w:p>
    <w:p w:rsidR="00336FF1" w:rsidRPr="00336FF1" w:rsidRDefault="00336FF1" w:rsidP="00336FF1"/>
    <w:p w:rsidR="00336FF1" w:rsidRPr="00E0093C" w:rsidRDefault="00336FF1" w:rsidP="00336FF1">
      <w:r w:rsidRPr="00E0093C">
        <w:t>CONTEXTO DE PLANIFICACIÓN</w:t>
      </w:r>
    </w:p>
    <w:p w:rsidR="00336FF1" w:rsidRPr="00336FF1" w:rsidRDefault="00336FF1" w:rsidP="00336FF1">
      <w:pPr>
        <w:tabs>
          <w:tab w:val="left" w:pos="567"/>
          <w:tab w:val="left" w:pos="1985"/>
        </w:tabs>
        <w:jc w:val="both"/>
        <w:rPr>
          <w:bCs/>
          <w:sz w:val="20"/>
        </w:rPr>
      </w:pPr>
    </w:p>
    <w:p w:rsidR="00336FF1" w:rsidRPr="00336FF1" w:rsidRDefault="00336FF1" w:rsidP="00336FF1">
      <w:pPr>
        <w:numPr>
          <w:ilvl w:val="0"/>
          <w:numId w:val="36"/>
        </w:numPr>
        <w:jc w:val="both"/>
        <w:rPr>
          <w:bCs/>
          <w:iCs/>
          <w:sz w:val="18"/>
        </w:rPr>
      </w:pPr>
      <w:r w:rsidRPr="00336FF1">
        <w:rPr>
          <w:sz w:val="20"/>
        </w:rPr>
        <w:t>El respeto por la P.I. es un principio básico que comparten todos los Estados miembros de la OMPI.  Sin embargo, su pleno cumplimento sigue siendo una tarea difícil, ya que las actividades infractoras de la P.I., especialmente la falsificación y la piratería, constituyen un fenómeno generalizado en muchas partes del mundo.  Para elaborar respuestas apropiadas, es necesario comprender profundamente los motivos de los productores y los consumidores de productos infractores de la P.I. así como los efectos que las infracciones de P.I. tienen en el bienestar de las sociedades.  A partir de ahí, es posible adoptar un amplio repertorio de medidas correctivas y preventivas teniendo cuenta las necesidades estratégicas nacionales, centrándose, por ejemplo, en mejorar la legislación y los marcos de observancia;  las actividades de sensibilización y el cambio cultural en cuyo marco se reconoce el valor de la P.I., y las soluciones operativas y tecnológicas que potencian las alternativas de carácter jurídico o la colaboración institucional.</w:t>
      </w:r>
    </w:p>
    <w:p w:rsidR="00336FF1" w:rsidRPr="00336FF1" w:rsidRDefault="00336FF1" w:rsidP="00336FF1">
      <w:pPr>
        <w:jc w:val="both"/>
        <w:rPr>
          <w:sz w:val="20"/>
        </w:rPr>
      </w:pPr>
    </w:p>
    <w:p w:rsidR="00336FF1" w:rsidRPr="00336FF1" w:rsidRDefault="00336FF1" w:rsidP="00336FF1">
      <w:pPr>
        <w:numPr>
          <w:ilvl w:val="0"/>
          <w:numId w:val="36"/>
        </w:numPr>
        <w:jc w:val="both"/>
        <w:rPr>
          <w:sz w:val="20"/>
        </w:rPr>
      </w:pPr>
      <w:r w:rsidRPr="00336FF1">
        <w:rPr>
          <w:sz w:val="20"/>
        </w:rPr>
        <w:t>Son muchos los actores que influyen en las políticas internacionales y nacionales de P.I. en el ámbito del respeto por la P.I., a menudo desde diversos intereses y perspectivas.  Paralelamente, los Estados miembros se esfuerzan por adoptar medidas en consonancia con las diversas realidades sociales y económicas de sus respectivos países.  En el programa 17, el reto consistirá en velar por que la OMPI mantenga su pertinencia con respecto a orientar los debates sobre el equilibrio adecuado en la protección y la observancia de los derechos de P.I.  El programa tratará de velar por que las contribuciones de la OMPI para crear un entorno que propicie el respeto por la P.I. tengan un efecto sostenible.  Las contribuciones tienen por objeto desarrollar las capacidades de los Estados miembros para potenciar los mercados legítimos de productos y servicios protegidos por P.I. y mejorar la conformidad con los derechos de P.I., en aras de aumentar los beneficios para la sociedad, en particular, la protección del consumidor, y alcanzar los objetivos orientados a impulsar el desarrollo.</w:t>
      </w:r>
    </w:p>
    <w:p w:rsidR="00336FF1" w:rsidRPr="00336FF1" w:rsidRDefault="00336FF1" w:rsidP="00336FF1">
      <w:pPr>
        <w:jc w:val="both"/>
        <w:rPr>
          <w:sz w:val="20"/>
        </w:rPr>
      </w:pPr>
    </w:p>
    <w:p w:rsidR="00336FF1" w:rsidRPr="00336FF1" w:rsidRDefault="00336FF1" w:rsidP="00336FF1">
      <w:pPr>
        <w:numPr>
          <w:ilvl w:val="0"/>
          <w:numId w:val="36"/>
        </w:numPr>
        <w:jc w:val="both"/>
        <w:rPr>
          <w:sz w:val="20"/>
        </w:rPr>
      </w:pPr>
      <w:r w:rsidRPr="00336FF1">
        <w:rPr>
          <w:sz w:val="20"/>
        </w:rPr>
        <w:t>El programa 17 sigue facilitando, por conducto del Comité Asesor sobre Observancia (ACE), el diálogo político sobre el fomento del respeto por la P.I. entre los Estados miembros, además de establecer alianzas sistemáticas, efectivas y transparentes para lograr sinergias a ese respecto.  En las actividades de asistencia técnica que se prestan a petición de los interesados, el programa 17 se centra en proporcionar un asesoramiento legislativo y político equilibrado, potenciando las capacidades nacionales para fomentar el respeto por la P.I. y ofreciendo apoyo estratégico para incorporar el respeto por la P.I. en las estrategias nacionales, además de impulsar la participación de los consumidores, incluidos los jóvenes, para favorecer un entendimiento común de los beneficios sociales que ofrece un ecosistema de P.I. sólido.</w:t>
      </w:r>
    </w:p>
    <w:p w:rsidR="00336FF1" w:rsidRDefault="00336FF1" w:rsidP="00336FF1">
      <w:pPr>
        <w:jc w:val="both"/>
        <w:rPr>
          <w:sz w:val="20"/>
        </w:rPr>
      </w:pPr>
    </w:p>
    <w:p w:rsidR="00E0093C" w:rsidRPr="00336FF1" w:rsidRDefault="00E0093C" w:rsidP="00336FF1">
      <w:pPr>
        <w:jc w:val="both"/>
        <w:rPr>
          <w:sz w:val="20"/>
        </w:rPr>
      </w:pPr>
    </w:p>
    <w:p w:rsidR="00336FF1" w:rsidRPr="00E0093C" w:rsidRDefault="00336FF1" w:rsidP="00336FF1">
      <w:r w:rsidRPr="00E0093C">
        <w:t>ESTRATEGIAS DE EJECUCIÓN</w:t>
      </w:r>
    </w:p>
    <w:p w:rsidR="00336FF1" w:rsidRPr="00336FF1" w:rsidRDefault="00336FF1" w:rsidP="00336FF1">
      <w:pPr>
        <w:jc w:val="both"/>
      </w:pPr>
    </w:p>
    <w:p w:rsidR="00336FF1" w:rsidRPr="00336FF1" w:rsidRDefault="00336FF1" w:rsidP="00336FF1">
      <w:pPr>
        <w:numPr>
          <w:ilvl w:val="0"/>
          <w:numId w:val="36"/>
        </w:numPr>
        <w:jc w:val="both"/>
        <w:rPr>
          <w:sz w:val="20"/>
        </w:rPr>
      </w:pPr>
      <w:r w:rsidRPr="00336FF1">
        <w:rPr>
          <w:sz w:val="20"/>
        </w:rPr>
        <w:t xml:space="preserve">En todas sus actividades, el programa 17 está orientado por la recomendación 45 de la A.D.  El ACE, comité apreciado como “mercado de ideas”, ofrece un foro de intercambio de experiencias y prácticas nacionales.  El programa facilitará el consenso constante de los Estados miembros en torno a un programa de trabajo temático que impulse el respeto del discurso de la P.I. y lo explore en todas su complejidades.  A partir de los debates del ACE, los Estados miembros podrán diseñar individualmente estrategias nacionales para fomentar el respeto por la P.I. basándose, según sea el caso, en medidas preventivas o correctivas y teniendo plenamente en cuenta las realidades sociales y económicas existentes en el país en cuestión, así como su nivel de desarrollo. </w:t>
      </w:r>
    </w:p>
    <w:p w:rsidR="00336FF1" w:rsidRPr="00336FF1" w:rsidRDefault="00336FF1" w:rsidP="00336FF1">
      <w:pPr>
        <w:jc w:val="both"/>
        <w:rPr>
          <w:sz w:val="20"/>
        </w:rPr>
      </w:pPr>
    </w:p>
    <w:p w:rsidR="00336FF1" w:rsidRPr="00336FF1" w:rsidRDefault="00336FF1" w:rsidP="00336FF1">
      <w:pPr>
        <w:numPr>
          <w:ilvl w:val="0"/>
          <w:numId w:val="36"/>
        </w:numPr>
        <w:jc w:val="both"/>
        <w:rPr>
          <w:sz w:val="20"/>
        </w:rPr>
      </w:pPr>
      <w:r w:rsidRPr="00336FF1">
        <w:rPr>
          <w:sz w:val="20"/>
        </w:rPr>
        <w:t>A fin de lograr la cohesión política internacional y la máxima repercusión mediante recursos comunes, el programa 17 creará alianzas estratégicas de colaboración, impulsará la ejecución de actividades en común para fomentar el respeto por la P.I. y participará en las actividades pertinentes de sus socios.  Además, se facilitará el intercambio de experiencias prácticas en el fomento del respeto por la P.I. mediante la creación de foros que reúnan a un amplio grupo de actores internacionales y expertos en ese campo.  Las colaboraciones, que integran el enfoque de la OMPI de potenciación del desarrollo para fomentar el respeto por la P.I., se basan en la recomendación 40 de la A.D.</w:t>
      </w:r>
    </w:p>
    <w:p w:rsidR="00336FF1" w:rsidRPr="00336FF1" w:rsidRDefault="00336FF1" w:rsidP="00336FF1">
      <w:pPr>
        <w:jc w:val="both"/>
        <w:rPr>
          <w:sz w:val="20"/>
        </w:rPr>
      </w:pPr>
    </w:p>
    <w:p w:rsidR="00336FF1" w:rsidRDefault="00336FF1" w:rsidP="00E0093C">
      <w:pPr>
        <w:keepNext/>
        <w:keepLines/>
        <w:numPr>
          <w:ilvl w:val="0"/>
          <w:numId w:val="36"/>
        </w:numPr>
        <w:jc w:val="both"/>
        <w:rPr>
          <w:sz w:val="20"/>
        </w:rPr>
      </w:pPr>
      <w:r w:rsidRPr="00336FF1">
        <w:rPr>
          <w:sz w:val="20"/>
        </w:rPr>
        <w:lastRenderedPageBreak/>
        <w:t>En el marco del programa 17 se sigue prestando asistencia a los Estados miembros que lo soliciten en la formulación de marcos políticos, reguladores y legislativos equilibrados y adaptados a las distintas necesidades para fomentar el respeto por la P.I., en consonancia con las características y necesidades específicas de cada país.  También se presta asistencia a distintos destinatarios mediante actividades de fortalecimiento de capacidades para fomentar el respeto por la P.I.  Para obtener resultados sostenibles, se prestará especial atención a aumentar las capacidades de las instituciones nacionales de formación en el ámbito de la observancia de la ley, como, por ejemplo, academias de policía o judiciales, a fin de que tengan un efecto multiplicador, lo que se complementará mediante la facilitación de material de formación elaborado específicamente para fomentar el respeto por la P.I.  En el marco de este programa se impulsará asimismo la elaboración de estrategias nacionales de sensibilización encaminadas a reducir las infracciones de la P.I. mediante el cambio de conductas.  Dicha iniciativa se complementará con actividades encaminadas a aumentar la comprensión pública sobre la importancia de la P.I., por ejemplo, mediante concursos con motivo del Día anual de la P.I. y el programa de premios de la OMPI, haciendo especial hincapié en ayudar a los jóvenes a valorar las ventajas que la P.I. ofrece a la sociedad.  Las actividades de asistencia técnica se orientan por las recomendaciones 1, 6, 12, 13, 14 y 17 (asistencia en los ámbitos legislativo, regulador y político), 45 (asistencia en los ámbitos legislativo, regulador y político) y 3, 10 y 11 (fortalecimiento de capacidades y sensibilización).</w:t>
      </w:r>
    </w:p>
    <w:p w:rsidR="00336FF1" w:rsidRDefault="00336FF1" w:rsidP="00336FF1">
      <w:pPr>
        <w:jc w:val="both"/>
        <w:rPr>
          <w:sz w:val="20"/>
        </w:rPr>
      </w:pPr>
    </w:p>
    <w:p w:rsidR="00336FF1" w:rsidRPr="00E0093C" w:rsidRDefault="00E0093C" w:rsidP="00336FF1">
      <w:pPr>
        <w:numPr>
          <w:ilvl w:val="0"/>
          <w:numId w:val="36"/>
        </w:numPr>
        <w:jc w:val="both"/>
        <w:rPr>
          <w:sz w:val="20"/>
        </w:rPr>
      </w:pPr>
      <w:r>
        <w:rPr>
          <w:sz w:val="20"/>
        </w:rPr>
        <w:t>El p</w:t>
      </w:r>
      <w:r w:rsidR="00336FF1" w:rsidRPr="00E0093C">
        <w:rPr>
          <w:sz w:val="20"/>
        </w:rPr>
        <w:t>rogram</w:t>
      </w:r>
      <w:r>
        <w:rPr>
          <w:sz w:val="20"/>
        </w:rPr>
        <w:t>a</w:t>
      </w:r>
      <w:r w:rsidR="00336FF1" w:rsidRPr="00E0093C">
        <w:rPr>
          <w:sz w:val="20"/>
        </w:rPr>
        <w:t xml:space="preserve"> 17 colabora</w:t>
      </w:r>
      <w:r>
        <w:rPr>
          <w:sz w:val="20"/>
        </w:rPr>
        <w:t xml:space="preserve"> principalmente con los programas siguientes</w:t>
      </w:r>
      <w:r w:rsidR="00336FF1" w:rsidRPr="00E0093C">
        <w:rPr>
          <w:sz w:val="20"/>
        </w:rPr>
        <w:t>:</w:t>
      </w:r>
    </w:p>
    <w:p w:rsidR="00336FF1" w:rsidRPr="006A3CA4" w:rsidRDefault="00336FF1" w:rsidP="00336FF1">
      <w:pPr>
        <w:jc w:val="both"/>
        <w:rPr>
          <w:sz w:val="20"/>
          <w:lang w:val="es-ES_tradnl"/>
        </w:rPr>
      </w:pPr>
    </w:p>
    <w:p w:rsidR="00336FF1" w:rsidRPr="00336FF1" w:rsidRDefault="00336FF1" w:rsidP="00336FF1">
      <w:pPr>
        <w:jc w:val="both"/>
      </w:pPr>
      <w:r w:rsidRPr="00336FF1">
        <w:rPr>
          <w:noProof/>
          <w:lang w:val="en-US" w:eastAsia="en-US"/>
        </w:rPr>
        <w:drawing>
          <wp:inline distT="0" distB="0" distL="0" distR="0" wp14:anchorId="0A404308" wp14:editId="5E5837D6">
            <wp:extent cx="5940425" cy="1793875"/>
            <wp:effectExtent l="38100" t="38100" r="60325" b="15875"/>
            <wp:docPr id="28"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2" r:lo="rId163" r:qs="rId164" r:cs="rId165"/>
              </a:graphicData>
            </a:graphic>
          </wp:inline>
        </w:drawing>
      </w:r>
    </w:p>
    <w:p w:rsidR="00336FF1" w:rsidRPr="00336FF1" w:rsidRDefault="00336FF1" w:rsidP="00336FF1">
      <w:pPr>
        <w:jc w:val="both"/>
      </w:pPr>
    </w:p>
    <w:p w:rsidR="00336FF1" w:rsidRPr="00336FF1" w:rsidRDefault="00336FF1" w:rsidP="00336FF1">
      <w:pPr>
        <w:tabs>
          <w:tab w:val="left" w:pos="7526"/>
        </w:tabs>
        <w:jc w:val="both"/>
        <w:rPr>
          <w:rFonts w:eastAsia="Times New Roman"/>
          <w:lang w:eastAsia="en-US"/>
        </w:rPr>
      </w:pPr>
    </w:p>
    <w:p w:rsidR="00336FF1" w:rsidRPr="00336FF1" w:rsidRDefault="00336FF1" w:rsidP="005E6EE7">
      <w:pPr>
        <w:rPr>
          <w:lang w:eastAsia="en-US"/>
        </w:rPr>
      </w:pPr>
      <w:r w:rsidRPr="00336FF1">
        <w:rPr>
          <w:lang w:eastAsia="en-US"/>
        </w:rPr>
        <w:t>PRINCIPALES RIESGOS Y ESTRATEGIAS DE MITIGACIÓN</w:t>
      </w:r>
    </w:p>
    <w:p w:rsidR="00336FF1" w:rsidRPr="00336FF1" w:rsidRDefault="00336FF1" w:rsidP="00336FF1">
      <w:pPr>
        <w:rPr>
          <w:rFonts w:eastAsia="Times New Roman"/>
          <w:sz w:val="24"/>
          <w:lang w:eastAsia="en-US"/>
        </w:rPr>
      </w:pP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336FF1" w:rsidRPr="00336FF1" w:rsidTr="000E073C">
        <w:trPr>
          <w:trHeight w:val="577"/>
        </w:trPr>
        <w:tc>
          <w:tcPr>
            <w:tcW w:w="4253"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336FF1" w:rsidRPr="00336FF1" w:rsidRDefault="00336FF1" w:rsidP="00C6366D">
            <w:pPr>
              <w:jc w:val="center"/>
              <w:rPr>
                <w:rFonts w:eastAsiaTheme="minorHAnsi"/>
                <w:b/>
                <w:bCs/>
                <w:sz w:val="18"/>
                <w:szCs w:val="18"/>
                <w:lang w:eastAsia="en-US"/>
              </w:rPr>
            </w:pPr>
            <w:r w:rsidRPr="00336FF1">
              <w:rPr>
                <w:rFonts w:eastAsiaTheme="minorHAnsi"/>
                <w:b/>
                <w:bCs/>
                <w:sz w:val="18"/>
                <w:szCs w:val="18"/>
                <w:lang w:eastAsia="en-US"/>
              </w:rPr>
              <w:t>Riesgo</w:t>
            </w:r>
          </w:p>
        </w:tc>
        <w:tc>
          <w:tcPr>
            <w:tcW w:w="4961"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336FF1" w:rsidRPr="00336FF1" w:rsidRDefault="00336FF1" w:rsidP="00C6366D">
            <w:pPr>
              <w:jc w:val="center"/>
              <w:rPr>
                <w:rFonts w:eastAsiaTheme="minorHAnsi"/>
                <w:b/>
                <w:bCs/>
                <w:sz w:val="18"/>
                <w:szCs w:val="18"/>
                <w:lang w:eastAsia="en-US"/>
              </w:rPr>
            </w:pPr>
            <w:r w:rsidRPr="00336FF1">
              <w:rPr>
                <w:rFonts w:eastAsia="Times New Roman"/>
                <w:b/>
                <w:bCs/>
                <w:sz w:val="18"/>
                <w:szCs w:val="18"/>
                <w:lang w:eastAsia="en-US"/>
              </w:rPr>
              <w:t>Mitigación</w:t>
            </w:r>
          </w:p>
        </w:tc>
      </w:tr>
      <w:tr w:rsidR="00336FF1" w:rsidRPr="00336FF1" w:rsidTr="00C6366D">
        <w:trPr>
          <w:trHeight w:val="309"/>
        </w:trPr>
        <w:tc>
          <w:tcPr>
            <w:tcW w:w="4253" w:type="dxa"/>
            <w:tcBorders>
              <w:top w:val="nil"/>
              <w:left w:val="single" w:sz="8" w:space="0" w:color="auto"/>
              <w:bottom w:val="nil"/>
              <w:right w:val="nil"/>
            </w:tcBorders>
            <w:tcMar>
              <w:top w:w="113" w:type="dxa"/>
              <w:left w:w="108" w:type="dxa"/>
              <w:bottom w:w="113" w:type="dxa"/>
              <w:right w:w="108" w:type="dxa"/>
            </w:tcMar>
            <w:hideMark/>
          </w:tcPr>
          <w:p w:rsidR="00336FF1" w:rsidRPr="00336FF1" w:rsidRDefault="00336FF1" w:rsidP="00C6366D">
            <w:pPr>
              <w:rPr>
                <w:rFonts w:eastAsiaTheme="minorHAnsi"/>
                <w:sz w:val="16"/>
                <w:szCs w:val="16"/>
                <w:lang w:eastAsia="en-US"/>
              </w:rPr>
            </w:pPr>
            <w:r w:rsidRPr="00336FF1">
              <w:rPr>
                <w:rFonts w:eastAsia="Times New Roman"/>
                <w:sz w:val="16"/>
                <w:szCs w:val="16"/>
                <w:lang w:eastAsia="en-US"/>
              </w:rPr>
              <w:t xml:space="preserve">La falta de consenso entre los Estados miembros y de apoyo político por parte de estos a la labor de la OMPI en favor del fomento del respeto por la P.I.  Es posible que se ponga en peligro la función de la OMPI de fomentar el respeto por la P.I.   </w:t>
            </w:r>
          </w:p>
        </w:tc>
        <w:tc>
          <w:tcPr>
            <w:tcW w:w="4961" w:type="dxa"/>
            <w:tcBorders>
              <w:top w:val="nil"/>
              <w:left w:val="nil"/>
              <w:bottom w:val="nil"/>
              <w:right w:val="single" w:sz="8" w:space="0" w:color="auto"/>
            </w:tcBorders>
            <w:tcMar>
              <w:top w:w="113" w:type="dxa"/>
              <w:left w:w="108" w:type="dxa"/>
              <w:bottom w:w="113" w:type="dxa"/>
              <w:right w:w="108" w:type="dxa"/>
            </w:tcMar>
            <w:hideMark/>
          </w:tcPr>
          <w:p w:rsidR="00336FF1" w:rsidRPr="00336FF1" w:rsidRDefault="00336FF1" w:rsidP="00C6366D">
            <w:pPr>
              <w:rPr>
                <w:rFonts w:eastAsiaTheme="minorHAnsi"/>
                <w:sz w:val="16"/>
                <w:szCs w:val="16"/>
                <w:lang w:eastAsia="en-US"/>
              </w:rPr>
            </w:pPr>
            <w:r w:rsidRPr="00336FF1">
              <w:rPr>
                <w:rFonts w:eastAsia="Times New Roman"/>
                <w:sz w:val="16"/>
                <w:szCs w:val="16"/>
                <w:lang w:eastAsia="en-US"/>
              </w:rPr>
              <w:t>Participar en consultas celebradas regularmente con los Estados miembros para facilitar la convergencia de sus puntos de vista sobre la pertinencia, la labor y la función política del ACE y las actividades de fortalecimiento de capacidades conexas.  Se aplican normas rigurosas en todas las actividades con objeto de velar por la buena calidad, la transparencia, la neutralidad y un enfoque equilibrado.</w:t>
            </w:r>
          </w:p>
        </w:tc>
      </w:tr>
      <w:tr w:rsidR="00336FF1" w:rsidRPr="00336FF1" w:rsidTr="00C6366D">
        <w:trPr>
          <w:trHeight w:val="1188"/>
        </w:trPr>
        <w:tc>
          <w:tcPr>
            <w:tcW w:w="4253" w:type="dxa"/>
            <w:tcBorders>
              <w:top w:val="nil"/>
              <w:left w:val="single" w:sz="8" w:space="0" w:color="auto"/>
              <w:bottom w:val="single" w:sz="8" w:space="0" w:color="auto"/>
              <w:right w:val="nil"/>
            </w:tcBorders>
            <w:tcMar>
              <w:top w:w="113" w:type="dxa"/>
              <w:left w:w="108" w:type="dxa"/>
              <w:bottom w:w="113" w:type="dxa"/>
              <w:right w:w="108" w:type="dxa"/>
            </w:tcMar>
            <w:hideMark/>
          </w:tcPr>
          <w:p w:rsidR="00336FF1" w:rsidRPr="00336FF1" w:rsidRDefault="00336FF1" w:rsidP="00C6366D">
            <w:pPr>
              <w:rPr>
                <w:rFonts w:eastAsiaTheme="minorHAnsi"/>
                <w:sz w:val="16"/>
                <w:szCs w:val="16"/>
                <w:lang w:eastAsia="en-US"/>
              </w:rPr>
            </w:pPr>
            <w:r w:rsidRPr="00336FF1">
              <w:rPr>
                <w:rFonts w:eastAsia="Times New Roman"/>
                <w:sz w:val="16"/>
                <w:szCs w:val="16"/>
                <w:lang w:eastAsia="en-US"/>
              </w:rPr>
              <w:t>Que los países o los sectores interesados se aparten de la OMPI y se dirijan a otras organizaciones internacionales o regionales que lleven a cabo actividades en el ámbito del respeto por la P.I.</w:t>
            </w: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rsidR="00336FF1" w:rsidRPr="00336FF1" w:rsidRDefault="00336FF1" w:rsidP="00C6366D">
            <w:pPr>
              <w:rPr>
                <w:rFonts w:eastAsiaTheme="minorHAnsi"/>
                <w:sz w:val="16"/>
                <w:szCs w:val="16"/>
                <w:lang w:eastAsia="en-US"/>
              </w:rPr>
            </w:pPr>
            <w:r w:rsidRPr="00336FF1">
              <w:rPr>
                <w:rFonts w:eastAsia="Times New Roman"/>
                <w:sz w:val="16"/>
                <w:szCs w:val="16"/>
                <w:lang w:eastAsia="en-US"/>
              </w:rPr>
              <w:t>Aprovechar las alianzas, identificar y crear sinergias en que las funciones entre los socios sean claras y estén bien determinadas.</w:t>
            </w:r>
          </w:p>
          <w:p w:rsidR="00336FF1" w:rsidRPr="00336FF1" w:rsidRDefault="00336FF1" w:rsidP="00C6366D">
            <w:pPr>
              <w:rPr>
                <w:rFonts w:eastAsia="Times New Roman"/>
                <w:sz w:val="16"/>
                <w:szCs w:val="16"/>
                <w:lang w:eastAsia="en-US"/>
              </w:rPr>
            </w:pPr>
          </w:p>
          <w:p w:rsidR="00336FF1" w:rsidRPr="00336FF1" w:rsidRDefault="00336FF1" w:rsidP="00C6366D">
            <w:pPr>
              <w:rPr>
                <w:rFonts w:eastAsia="Times New Roman"/>
                <w:sz w:val="16"/>
                <w:szCs w:val="16"/>
                <w:lang w:eastAsia="en-US"/>
              </w:rPr>
            </w:pPr>
            <w:r w:rsidRPr="00336FF1">
              <w:rPr>
                <w:rFonts w:eastAsia="Times New Roman"/>
                <w:sz w:val="16"/>
                <w:szCs w:val="16"/>
                <w:lang w:eastAsia="en-US"/>
              </w:rPr>
              <w:t>Integrar las actividades y las estrategias sobre el fomento del respeto por la P.I. en las políticas nacionales en cooperación con las oficinas regionales y el Departamento de la OMPI para los Países en Transición y Países Desarrollados.</w:t>
            </w:r>
          </w:p>
          <w:p w:rsidR="00336FF1" w:rsidRPr="00336FF1" w:rsidRDefault="00336FF1" w:rsidP="00C6366D">
            <w:pPr>
              <w:rPr>
                <w:rFonts w:eastAsia="Times New Roman"/>
                <w:sz w:val="16"/>
                <w:szCs w:val="16"/>
                <w:lang w:eastAsia="en-US"/>
              </w:rPr>
            </w:pPr>
          </w:p>
          <w:p w:rsidR="00336FF1" w:rsidRPr="00336FF1" w:rsidRDefault="00336FF1" w:rsidP="00C6366D">
            <w:pPr>
              <w:rPr>
                <w:rFonts w:eastAsiaTheme="minorHAnsi"/>
                <w:sz w:val="16"/>
                <w:szCs w:val="16"/>
                <w:lang w:eastAsia="en-US"/>
              </w:rPr>
            </w:pPr>
            <w:r w:rsidRPr="00336FF1">
              <w:rPr>
                <w:rFonts w:eastAsia="Times New Roman"/>
                <w:sz w:val="16"/>
                <w:szCs w:val="16"/>
                <w:lang w:eastAsia="en-US"/>
              </w:rPr>
              <w:t>Centrar la atención en las actividades orientadas a las políticas, en que la OMPI puede ofrecer una función bien precisa y ventajas competitivas.</w:t>
            </w:r>
          </w:p>
        </w:tc>
      </w:tr>
    </w:tbl>
    <w:p w:rsidR="00336FF1" w:rsidRPr="00336FF1" w:rsidRDefault="00336FF1" w:rsidP="00336FF1">
      <w:pPr>
        <w:rPr>
          <w:rFonts w:eastAsiaTheme="minorHAnsi"/>
          <w:szCs w:val="22"/>
          <w:lang w:eastAsia="en-US"/>
        </w:rPr>
      </w:pPr>
    </w:p>
    <w:p w:rsidR="00336FF1" w:rsidRPr="00336FF1" w:rsidRDefault="00336FF1" w:rsidP="00336FF1">
      <w:pPr>
        <w:rPr>
          <w:rFonts w:eastAsiaTheme="minorHAnsi"/>
          <w:szCs w:val="22"/>
          <w:lang w:eastAsia="en-US"/>
        </w:rPr>
      </w:pPr>
    </w:p>
    <w:p w:rsidR="00336FF1" w:rsidRPr="00336FF1" w:rsidRDefault="00336FF1" w:rsidP="00336FF1">
      <w:pPr>
        <w:keepNext/>
        <w:keepLines/>
        <w:rPr>
          <w:rFonts w:eastAsiaTheme="minorHAnsi"/>
          <w:szCs w:val="22"/>
          <w:lang w:eastAsia="en-US"/>
        </w:rPr>
      </w:pPr>
      <w:r w:rsidRPr="00336FF1">
        <w:lastRenderedPageBreak/>
        <w:t>MARCO DE RESULTADOS</w:t>
      </w:r>
    </w:p>
    <w:p w:rsidR="00336FF1" w:rsidRPr="00336FF1" w:rsidRDefault="00336FF1" w:rsidP="00336FF1">
      <w:pPr>
        <w:keepNext/>
        <w:keepLines/>
        <w:jc w:val="both"/>
      </w:pPr>
    </w:p>
    <w:tbl>
      <w:tblPr>
        <w:tblW w:w="9229" w:type="dxa"/>
        <w:tblInd w:w="93" w:type="dxa"/>
        <w:tblLook w:val="04A0" w:firstRow="1" w:lastRow="0" w:firstColumn="1" w:lastColumn="0" w:noHBand="0" w:noVBand="1"/>
      </w:tblPr>
      <w:tblGrid>
        <w:gridCol w:w="2480"/>
        <w:gridCol w:w="2660"/>
        <w:gridCol w:w="2120"/>
        <w:gridCol w:w="1969"/>
      </w:tblGrid>
      <w:tr w:rsidR="00336FF1" w:rsidRPr="00336FF1" w:rsidTr="000E073C">
        <w:trPr>
          <w:trHeight w:val="615"/>
          <w:tblHeader/>
        </w:trPr>
        <w:tc>
          <w:tcPr>
            <w:tcW w:w="2480" w:type="dxa"/>
            <w:tcBorders>
              <w:top w:val="single" w:sz="4" w:space="0" w:color="auto"/>
              <w:left w:val="single" w:sz="4" w:space="0" w:color="auto"/>
              <w:bottom w:val="single" w:sz="4" w:space="0" w:color="auto"/>
              <w:right w:val="nil"/>
            </w:tcBorders>
            <w:shd w:val="clear" w:color="auto" w:fill="C6D9F1"/>
            <w:tcMar>
              <w:top w:w="85" w:type="dxa"/>
            </w:tcMar>
            <w:vAlign w:val="center"/>
            <w:hideMark/>
          </w:tcPr>
          <w:p w:rsidR="00336FF1" w:rsidRPr="00336FF1" w:rsidRDefault="00336FF1" w:rsidP="00C6366D">
            <w:pPr>
              <w:keepNext/>
              <w:keepLines/>
              <w:jc w:val="center"/>
              <w:rPr>
                <w:rFonts w:eastAsia="Times New Roman"/>
                <w:b/>
                <w:bCs/>
                <w:sz w:val="18"/>
                <w:szCs w:val="18"/>
                <w:lang w:eastAsia="en-US"/>
              </w:rPr>
            </w:pPr>
            <w:r w:rsidRPr="00336FF1">
              <w:rPr>
                <w:rFonts w:eastAsia="Times New Roman"/>
                <w:b/>
                <w:bCs/>
                <w:sz w:val="18"/>
                <w:szCs w:val="18"/>
                <w:lang w:eastAsia="en-US"/>
              </w:rPr>
              <w:t>Resultados previstos</w:t>
            </w:r>
          </w:p>
        </w:tc>
        <w:tc>
          <w:tcPr>
            <w:tcW w:w="2660" w:type="dxa"/>
            <w:tcBorders>
              <w:top w:val="single" w:sz="4" w:space="0" w:color="auto"/>
              <w:left w:val="nil"/>
              <w:bottom w:val="single" w:sz="4" w:space="0" w:color="auto"/>
              <w:right w:val="nil"/>
            </w:tcBorders>
            <w:shd w:val="clear" w:color="auto" w:fill="C6D9F1"/>
            <w:tcMar>
              <w:top w:w="85" w:type="dxa"/>
            </w:tcMar>
            <w:vAlign w:val="center"/>
            <w:hideMark/>
          </w:tcPr>
          <w:p w:rsidR="00336FF1" w:rsidRPr="00336FF1" w:rsidRDefault="00336FF1" w:rsidP="00C6366D">
            <w:pPr>
              <w:keepNext/>
              <w:keepLines/>
              <w:jc w:val="center"/>
              <w:rPr>
                <w:rFonts w:eastAsia="Times New Roman"/>
                <w:b/>
                <w:bCs/>
                <w:sz w:val="18"/>
                <w:szCs w:val="18"/>
                <w:lang w:eastAsia="en-US"/>
              </w:rPr>
            </w:pPr>
            <w:r w:rsidRPr="00336FF1">
              <w:rPr>
                <w:rFonts w:eastAsia="Times New Roman"/>
                <w:b/>
                <w:bCs/>
                <w:sz w:val="18"/>
                <w:szCs w:val="18"/>
                <w:lang w:eastAsia="en-US"/>
              </w:rPr>
              <w:t>Indicadores de rendimiento</w:t>
            </w:r>
          </w:p>
        </w:tc>
        <w:tc>
          <w:tcPr>
            <w:tcW w:w="2120" w:type="dxa"/>
            <w:tcBorders>
              <w:top w:val="single" w:sz="4" w:space="0" w:color="auto"/>
              <w:left w:val="nil"/>
              <w:bottom w:val="single" w:sz="4" w:space="0" w:color="auto"/>
              <w:right w:val="nil"/>
            </w:tcBorders>
            <w:shd w:val="clear" w:color="auto" w:fill="C6D9F1"/>
            <w:tcMar>
              <w:top w:w="85" w:type="dxa"/>
            </w:tcMar>
            <w:vAlign w:val="center"/>
            <w:hideMark/>
          </w:tcPr>
          <w:p w:rsidR="00336FF1" w:rsidRPr="00336FF1" w:rsidRDefault="00336FF1" w:rsidP="00C6366D">
            <w:pPr>
              <w:keepNext/>
              <w:keepLines/>
              <w:jc w:val="center"/>
              <w:rPr>
                <w:rFonts w:eastAsia="Times New Roman"/>
                <w:b/>
                <w:bCs/>
                <w:sz w:val="18"/>
                <w:szCs w:val="18"/>
                <w:lang w:eastAsia="en-US"/>
              </w:rPr>
            </w:pPr>
            <w:r w:rsidRPr="00336FF1">
              <w:rPr>
                <w:rFonts w:eastAsia="Times New Roman"/>
                <w:b/>
                <w:bCs/>
                <w:sz w:val="18"/>
                <w:szCs w:val="18"/>
                <w:lang w:eastAsia="en-US"/>
              </w:rPr>
              <w:t>Referencia</w:t>
            </w:r>
          </w:p>
        </w:tc>
        <w:tc>
          <w:tcPr>
            <w:tcW w:w="1969" w:type="dxa"/>
            <w:tcBorders>
              <w:top w:val="single" w:sz="4" w:space="0" w:color="auto"/>
              <w:left w:val="nil"/>
              <w:bottom w:val="single" w:sz="4" w:space="0" w:color="auto"/>
              <w:right w:val="single" w:sz="4" w:space="0" w:color="auto"/>
            </w:tcBorders>
            <w:shd w:val="clear" w:color="auto" w:fill="C6D9F1"/>
            <w:tcMar>
              <w:top w:w="85" w:type="dxa"/>
            </w:tcMar>
            <w:vAlign w:val="center"/>
            <w:hideMark/>
          </w:tcPr>
          <w:p w:rsidR="00336FF1" w:rsidRPr="00336FF1" w:rsidRDefault="00336FF1" w:rsidP="00C6366D">
            <w:pPr>
              <w:keepNext/>
              <w:keepLines/>
              <w:jc w:val="center"/>
              <w:rPr>
                <w:rFonts w:eastAsia="Times New Roman"/>
                <w:b/>
                <w:bCs/>
                <w:sz w:val="18"/>
                <w:szCs w:val="18"/>
                <w:lang w:eastAsia="en-US"/>
              </w:rPr>
            </w:pPr>
            <w:r w:rsidRPr="00336FF1">
              <w:rPr>
                <w:rFonts w:eastAsia="Times New Roman"/>
                <w:b/>
                <w:bCs/>
                <w:sz w:val="18"/>
                <w:szCs w:val="18"/>
                <w:lang w:eastAsia="en-US"/>
              </w:rPr>
              <w:t>Objetivos</w:t>
            </w:r>
          </w:p>
        </w:tc>
      </w:tr>
      <w:tr w:rsidR="00336FF1" w:rsidRPr="00336FF1" w:rsidTr="00C6366D">
        <w:trPr>
          <w:trHeight w:val="1793"/>
        </w:trPr>
        <w:tc>
          <w:tcPr>
            <w:tcW w:w="2480" w:type="dxa"/>
            <w:vMerge w:val="restart"/>
            <w:tcBorders>
              <w:top w:val="single" w:sz="4" w:space="0" w:color="auto"/>
              <w:left w:val="single" w:sz="4" w:space="0" w:color="auto"/>
              <w:bottom w:val="nil"/>
              <w:right w:val="nil"/>
            </w:tcBorders>
            <w:shd w:val="clear" w:color="000000" w:fill="FFFFFF"/>
            <w:tcMar>
              <w:top w:w="85" w:type="dxa"/>
            </w:tcMar>
            <w:hideMark/>
          </w:tcPr>
          <w:p w:rsidR="00336FF1" w:rsidRPr="00336FF1" w:rsidRDefault="00B74100" w:rsidP="00C6366D">
            <w:pPr>
              <w:keepNext/>
              <w:keepLines/>
              <w:rPr>
                <w:rFonts w:eastAsia="Times New Roman"/>
                <w:sz w:val="16"/>
                <w:szCs w:val="16"/>
                <w:lang w:eastAsia="en-US"/>
              </w:rPr>
            </w:pPr>
            <w:r>
              <w:rPr>
                <w:rFonts w:eastAsia="Times New Roman"/>
                <w:sz w:val="16"/>
                <w:szCs w:val="16"/>
                <w:lang w:eastAsia="en-US"/>
              </w:rPr>
              <w:t>I.2</w:t>
            </w:r>
            <w:r w:rsidR="00336FF1" w:rsidRPr="00336FF1">
              <w:rPr>
                <w:rFonts w:eastAsia="Times New Roman"/>
                <w:sz w:val="16"/>
                <w:szCs w:val="16"/>
                <w:lang w:eastAsia="en-US"/>
              </w:rPr>
              <w:t xml:space="preserve">  </w:t>
            </w:r>
            <w:r w:rsidRPr="000E073C">
              <w:rPr>
                <w:sz w:val="16"/>
                <w:szCs w:val="16"/>
                <w:lang w:val="es-ES_tradnl"/>
              </w:rPr>
              <w:t>Marcos de P.I. adaptados y equilibrados en el ámbito legislativo, regulador y de política</w:t>
            </w:r>
          </w:p>
        </w:tc>
        <w:tc>
          <w:tcPr>
            <w:tcW w:w="2660" w:type="dxa"/>
            <w:tcBorders>
              <w:top w:val="single" w:sz="4" w:space="0" w:color="auto"/>
              <w:left w:val="nil"/>
              <w:bottom w:val="nil"/>
              <w:right w:val="nil"/>
            </w:tcBorders>
            <w:shd w:val="clear" w:color="000000" w:fill="FFFFFF"/>
            <w:tcMar>
              <w:top w:w="85" w:type="dxa"/>
            </w:tcMar>
            <w:hideMark/>
          </w:tcPr>
          <w:p w:rsidR="00336FF1" w:rsidRPr="00336FF1" w:rsidRDefault="00336FF1" w:rsidP="000E073C">
            <w:pPr>
              <w:keepNext/>
              <w:keepLines/>
              <w:ind w:left="262"/>
              <w:rPr>
                <w:rFonts w:eastAsia="Times New Roman"/>
                <w:sz w:val="16"/>
                <w:szCs w:val="16"/>
                <w:lang w:eastAsia="en-US"/>
              </w:rPr>
            </w:pPr>
            <w:r w:rsidRPr="00336FF1">
              <w:rPr>
                <w:rFonts w:eastAsia="Times New Roman"/>
                <w:sz w:val="16"/>
                <w:szCs w:val="16"/>
                <w:lang w:eastAsia="en-US"/>
              </w:rPr>
              <w:t>N</w:t>
            </w:r>
            <w:r w:rsidR="000E073C">
              <w:rPr>
                <w:rFonts w:eastAsia="Times New Roman"/>
                <w:sz w:val="16"/>
                <w:szCs w:val="16"/>
                <w:lang w:eastAsia="en-US"/>
              </w:rPr>
              <w:t>º</w:t>
            </w:r>
            <w:r w:rsidRPr="00336FF1">
              <w:rPr>
                <w:rFonts w:eastAsia="Times New Roman"/>
                <w:sz w:val="16"/>
                <w:szCs w:val="16"/>
                <w:lang w:eastAsia="en-US"/>
              </w:rPr>
              <w:t xml:space="preserve"> de países u organizaciones regionales que han aprobado o modificado los marcos pertinentes en aras de una observancia de P.I. efectiva teniendo en cuenta la Parte III del Acuerdo sobre los ADPIC, o que lo están haciendo actualmente, tras recibir asistencia de la OMPI.</w:t>
            </w:r>
          </w:p>
        </w:tc>
        <w:tc>
          <w:tcPr>
            <w:tcW w:w="2120" w:type="dxa"/>
            <w:tcBorders>
              <w:top w:val="single" w:sz="4" w:space="0" w:color="auto"/>
              <w:left w:val="nil"/>
              <w:bottom w:val="nil"/>
              <w:right w:val="nil"/>
            </w:tcBorders>
            <w:shd w:val="clear" w:color="000000" w:fill="FFFFFF"/>
            <w:tcMar>
              <w:top w:w="85" w:type="dxa"/>
            </w:tcMar>
            <w:hideMark/>
          </w:tcPr>
          <w:p w:rsidR="00336FF1" w:rsidRPr="00336FF1" w:rsidRDefault="00336FF1" w:rsidP="00C6366D">
            <w:pPr>
              <w:keepNext/>
              <w:keepLines/>
              <w:ind w:firstLineChars="7" w:firstLine="11"/>
              <w:rPr>
                <w:rFonts w:eastAsia="Times New Roman"/>
                <w:sz w:val="16"/>
                <w:szCs w:val="16"/>
                <w:lang w:eastAsia="en-US"/>
              </w:rPr>
            </w:pPr>
            <w:r w:rsidRPr="00336FF1">
              <w:rPr>
                <w:rFonts w:eastAsia="Times New Roman"/>
                <w:sz w:val="16"/>
                <w:szCs w:val="16"/>
                <w:lang w:eastAsia="en-US"/>
              </w:rPr>
              <w:t xml:space="preserve">13 países en vías de modificar o aprobar los marcos pertinentes en aras de una observancia de P.I. efectiva (al 15 de febrero de 2015). </w:t>
            </w:r>
          </w:p>
        </w:tc>
        <w:tc>
          <w:tcPr>
            <w:tcW w:w="1969" w:type="dxa"/>
            <w:tcBorders>
              <w:top w:val="single" w:sz="4" w:space="0" w:color="auto"/>
              <w:left w:val="nil"/>
              <w:bottom w:val="nil"/>
              <w:right w:val="single" w:sz="4" w:space="0" w:color="auto"/>
            </w:tcBorders>
            <w:shd w:val="clear" w:color="000000" w:fill="FFFFFF"/>
            <w:tcMar>
              <w:top w:w="85" w:type="dxa"/>
            </w:tcMar>
            <w:hideMark/>
          </w:tcPr>
          <w:p w:rsidR="00336FF1" w:rsidRPr="00336FF1" w:rsidRDefault="00336FF1" w:rsidP="000E073C">
            <w:pPr>
              <w:ind w:left="117"/>
              <w:rPr>
                <w:rFonts w:eastAsia="Times New Roman"/>
                <w:sz w:val="16"/>
                <w:szCs w:val="16"/>
                <w:lang w:eastAsia="en-US"/>
              </w:rPr>
            </w:pPr>
            <w:r w:rsidRPr="00336FF1">
              <w:rPr>
                <w:rFonts w:eastAsia="Times New Roman"/>
                <w:sz w:val="16"/>
                <w:szCs w:val="16"/>
                <w:lang w:eastAsia="en-US"/>
              </w:rPr>
              <w:t xml:space="preserve">1 país/organización regional ha aprobado o modificado los marcos pertinentes en aras de una observancia de P.I. efectiva. </w:t>
            </w:r>
          </w:p>
        </w:tc>
      </w:tr>
      <w:tr w:rsidR="00336FF1" w:rsidRPr="00336FF1" w:rsidTr="00336FF1">
        <w:trPr>
          <w:trHeight w:val="1260"/>
        </w:trPr>
        <w:tc>
          <w:tcPr>
            <w:tcW w:w="2480" w:type="dxa"/>
            <w:vMerge/>
            <w:tcBorders>
              <w:top w:val="nil"/>
              <w:left w:val="single" w:sz="4" w:space="0" w:color="auto"/>
              <w:right w:val="nil"/>
            </w:tcBorders>
            <w:tcMar>
              <w:top w:w="85" w:type="dxa"/>
            </w:tcMar>
            <w:vAlign w:val="center"/>
            <w:hideMark/>
          </w:tcPr>
          <w:p w:rsidR="00336FF1" w:rsidRPr="00336FF1" w:rsidRDefault="00336FF1" w:rsidP="00C6366D">
            <w:pPr>
              <w:rPr>
                <w:rFonts w:eastAsia="Times New Roman"/>
                <w:sz w:val="16"/>
                <w:szCs w:val="16"/>
                <w:lang w:eastAsia="en-US"/>
              </w:rPr>
            </w:pPr>
          </w:p>
        </w:tc>
        <w:tc>
          <w:tcPr>
            <w:tcW w:w="2660" w:type="dxa"/>
            <w:tcBorders>
              <w:top w:val="nil"/>
              <w:left w:val="nil"/>
              <w:right w:val="nil"/>
            </w:tcBorders>
            <w:shd w:val="clear" w:color="000000" w:fill="FFFFFF"/>
            <w:tcMar>
              <w:top w:w="85" w:type="dxa"/>
            </w:tcMar>
            <w:hideMark/>
          </w:tcPr>
          <w:p w:rsidR="00336FF1" w:rsidRPr="00336FF1" w:rsidRDefault="00336FF1" w:rsidP="000E073C">
            <w:pPr>
              <w:ind w:left="262"/>
              <w:rPr>
                <w:rFonts w:eastAsia="Times New Roman"/>
                <w:sz w:val="16"/>
                <w:szCs w:val="16"/>
                <w:lang w:eastAsia="en-US"/>
              </w:rPr>
            </w:pPr>
            <w:r w:rsidRPr="00336FF1">
              <w:rPr>
                <w:rFonts w:eastAsia="Times New Roman"/>
                <w:sz w:val="16"/>
                <w:szCs w:val="16"/>
                <w:lang w:eastAsia="en-US"/>
              </w:rPr>
              <w:t>N</w:t>
            </w:r>
            <w:r w:rsidR="000E073C">
              <w:rPr>
                <w:rFonts w:eastAsia="Times New Roman"/>
                <w:sz w:val="16"/>
                <w:szCs w:val="16"/>
                <w:lang w:eastAsia="en-US"/>
              </w:rPr>
              <w:t xml:space="preserve">º </w:t>
            </w:r>
            <w:r w:rsidRPr="00336FF1">
              <w:rPr>
                <w:rFonts w:eastAsia="Times New Roman"/>
                <w:sz w:val="16"/>
                <w:szCs w:val="16"/>
                <w:lang w:eastAsia="en-US"/>
              </w:rPr>
              <w:t>de países que ha aprobado o aplicado una estrategia nacional sobre el fomento del respeto por la P.I., o que lo están haciendo actualmente, con ayuda de la OMPI.</w:t>
            </w:r>
          </w:p>
        </w:tc>
        <w:tc>
          <w:tcPr>
            <w:tcW w:w="2120" w:type="dxa"/>
            <w:tcBorders>
              <w:top w:val="nil"/>
              <w:left w:val="nil"/>
              <w:right w:val="nil"/>
            </w:tcBorders>
            <w:shd w:val="clear" w:color="000000" w:fill="FFFFFF"/>
            <w:tcMar>
              <w:top w:w="85" w:type="dxa"/>
            </w:tcMar>
            <w:hideMark/>
          </w:tcPr>
          <w:p w:rsidR="00336FF1" w:rsidRPr="00336FF1" w:rsidRDefault="00336FF1" w:rsidP="00C6366D">
            <w:pPr>
              <w:ind w:left="77"/>
              <w:rPr>
                <w:rFonts w:eastAsia="Times New Roman"/>
                <w:sz w:val="16"/>
                <w:szCs w:val="16"/>
                <w:lang w:eastAsia="en-US"/>
              </w:rPr>
            </w:pPr>
            <w:r w:rsidRPr="00336FF1">
              <w:rPr>
                <w:rFonts w:eastAsia="Times New Roman"/>
                <w:sz w:val="16"/>
                <w:szCs w:val="16"/>
                <w:lang w:eastAsia="en-US"/>
              </w:rPr>
              <w:t>2 países en vías de aprobar dicha estrategia.</w:t>
            </w:r>
          </w:p>
          <w:p w:rsidR="00336FF1" w:rsidRPr="00336FF1" w:rsidRDefault="00336FF1" w:rsidP="00C6366D">
            <w:pPr>
              <w:ind w:firstLineChars="200" w:firstLine="320"/>
              <w:rPr>
                <w:rFonts w:eastAsia="Times New Roman"/>
                <w:sz w:val="16"/>
                <w:szCs w:val="16"/>
                <w:lang w:eastAsia="en-US"/>
              </w:rPr>
            </w:pPr>
          </w:p>
        </w:tc>
        <w:tc>
          <w:tcPr>
            <w:tcW w:w="1969" w:type="dxa"/>
            <w:tcBorders>
              <w:top w:val="nil"/>
              <w:left w:val="nil"/>
              <w:right w:val="single" w:sz="4" w:space="0" w:color="auto"/>
            </w:tcBorders>
            <w:shd w:val="clear" w:color="000000" w:fill="FFFFFF"/>
            <w:tcMar>
              <w:top w:w="85" w:type="dxa"/>
            </w:tcMar>
            <w:hideMark/>
          </w:tcPr>
          <w:p w:rsidR="00336FF1" w:rsidRPr="00336FF1" w:rsidRDefault="00336FF1" w:rsidP="00C6366D">
            <w:pPr>
              <w:ind w:left="117"/>
              <w:rPr>
                <w:rFonts w:eastAsia="Times New Roman"/>
                <w:sz w:val="16"/>
                <w:szCs w:val="16"/>
                <w:lang w:eastAsia="en-US"/>
              </w:rPr>
            </w:pPr>
            <w:r w:rsidRPr="00336FF1">
              <w:rPr>
                <w:rFonts w:eastAsia="Times New Roman"/>
                <w:sz w:val="16"/>
                <w:szCs w:val="16"/>
                <w:lang w:eastAsia="en-US"/>
              </w:rPr>
              <w:t>2 países han aprobado dicha estrategia.</w:t>
            </w:r>
          </w:p>
        </w:tc>
      </w:tr>
      <w:tr w:rsidR="00336FF1" w:rsidRPr="00336FF1" w:rsidTr="00336FF1">
        <w:trPr>
          <w:trHeight w:val="1449"/>
        </w:trPr>
        <w:tc>
          <w:tcPr>
            <w:tcW w:w="2480" w:type="dxa"/>
            <w:tcBorders>
              <w:left w:val="single" w:sz="4" w:space="0" w:color="auto"/>
              <w:bottom w:val="nil"/>
              <w:right w:val="nil"/>
            </w:tcBorders>
            <w:shd w:val="clear" w:color="000000" w:fill="FFFFFF"/>
            <w:tcMar>
              <w:top w:w="85" w:type="dxa"/>
            </w:tcMar>
            <w:hideMark/>
          </w:tcPr>
          <w:p w:rsidR="00336FF1" w:rsidRPr="00336FF1" w:rsidRDefault="00336FF1" w:rsidP="00C6366D">
            <w:pPr>
              <w:rPr>
                <w:rFonts w:eastAsia="Times New Roman"/>
                <w:sz w:val="16"/>
                <w:szCs w:val="16"/>
                <w:lang w:eastAsia="en-US"/>
              </w:rPr>
            </w:pPr>
            <w:r w:rsidRPr="00336FF1">
              <w:rPr>
                <w:rFonts w:eastAsia="Times New Roman"/>
                <w:sz w:val="16"/>
                <w:szCs w:val="16"/>
                <w:lang w:eastAsia="en-US"/>
              </w:rPr>
              <w:t xml:space="preserve">III.2.  </w:t>
            </w:r>
            <w:r w:rsidR="006C23D5" w:rsidRPr="000E073C">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r w:rsidR="000E073C">
              <w:rPr>
                <w:sz w:val="16"/>
                <w:szCs w:val="16"/>
                <w:lang w:val="es-ES_tradnl"/>
              </w:rPr>
              <w:br/>
            </w:r>
          </w:p>
        </w:tc>
        <w:tc>
          <w:tcPr>
            <w:tcW w:w="2660" w:type="dxa"/>
            <w:tcBorders>
              <w:left w:val="nil"/>
              <w:bottom w:val="nil"/>
              <w:right w:val="nil"/>
            </w:tcBorders>
            <w:shd w:val="clear" w:color="000000" w:fill="FFFFFF"/>
            <w:tcMar>
              <w:top w:w="85" w:type="dxa"/>
            </w:tcMar>
            <w:hideMark/>
          </w:tcPr>
          <w:p w:rsidR="00336FF1" w:rsidRPr="00336FF1" w:rsidRDefault="00336FF1" w:rsidP="00C6366D">
            <w:pPr>
              <w:ind w:left="262"/>
              <w:rPr>
                <w:rFonts w:eastAsia="Times New Roman"/>
                <w:sz w:val="16"/>
                <w:szCs w:val="16"/>
                <w:lang w:eastAsia="en-US"/>
              </w:rPr>
            </w:pPr>
            <w:r w:rsidRPr="00336FF1">
              <w:rPr>
                <w:rFonts w:eastAsia="Times New Roman"/>
                <w:sz w:val="16"/>
                <w:szCs w:val="16"/>
                <w:lang w:eastAsia="en-US"/>
              </w:rPr>
              <w:t>Porcentaje de participantes que han recibido formación y que están satisfechos de la utilidad y pertinencia de la formación recibida para el desempeño de sus funciones profesionales.</w:t>
            </w:r>
          </w:p>
        </w:tc>
        <w:tc>
          <w:tcPr>
            <w:tcW w:w="2120" w:type="dxa"/>
            <w:tcBorders>
              <w:left w:val="nil"/>
              <w:bottom w:val="nil"/>
              <w:right w:val="nil"/>
            </w:tcBorders>
            <w:shd w:val="clear" w:color="000000" w:fill="FFFFFF"/>
            <w:tcMar>
              <w:top w:w="85" w:type="dxa"/>
            </w:tcMar>
            <w:hideMark/>
          </w:tcPr>
          <w:p w:rsidR="00336FF1" w:rsidRPr="00336FF1" w:rsidRDefault="00336FF1" w:rsidP="00C6366D">
            <w:pPr>
              <w:rPr>
                <w:rFonts w:eastAsia="Times New Roman"/>
                <w:sz w:val="16"/>
                <w:szCs w:val="16"/>
                <w:lang w:eastAsia="en-US"/>
              </w:rPr>
            </w:pPr>
            <w:r w:rsidRPr="00336FF1">
              <w:rPr>
                <w:rFonts w:eastAsia="Times New Roman"/>
                <w:sz w:val="16"/>
                <w:szCs w:val="16"/>
                <w:lang w:eastAsia="en-US"/>
              </w:rPr>
              <w:t>Pertinencia : 90%</w:t>
            </w:r>
            <w:r w:rsidRPr="00336FF1">
              <w:rPr>
                <w:rFonts w:eastAsia="Times New Roman"/>
                <w:sz w:val="16"/>
                <w:szCs w:val="16"/>
                <w:lang w:eastAsia="en-US"/>
              </w:rPr>
              <w:br/>
              <w:t>Utilidad : 90%</w:t>
            </w:r>
            <w:r w:rsidRPr="00336FF1">
              <w:rPr>
                <w:rFonts w:eastAsia="Times New Roman"/>
                <w:sz w:val="16"/>
                <w:szCs w:val="16"/>
                <w:lang w:eastAsia="en-US"/>
              </w:rPr>
              <w:br/>
              <w:t>(</w:t>
            </w:r>
            <w:r w:rsidRPr="00336FF1">
              <w:rPr>
                <w:rFonts w:eastAsia="Times New Roman"/>
                <w:sz w:val="16"/>
                <w:szCs w:val="16"/>
                <w:highlight w:val="white"/>
                <w:lang w:eastAsia="en-US"/>
              </w:rPr>
              <w:t xml:space="preserve">al </w:t>
            </w:r>
            <w:r w:rsidRPr="00336FF1">
              <w:rPr>
                <w:rFonts w:eastAsia="Times New Roman"/>
                <w:sz w:val="16"/>
                <w:szCs w:val="16"/>
                <w:lang w:eastAsia="en-US"/>
              </w:rPr>
              <w:t>15 de febrero de 2015)</w:t>
            </w:r>
          </w:p>
        </w:tc>
        <w:tc>
          <w:tcPr>
            <w:tcW w:w="1969" w:type="dxa"/>
            <w:tcBorders>
              <w:left w:val="nil"/>
              <w:bottom w:val="nil"/>
              <w:right w:val="single" w:sz="4" w:space="0" w:color="auto"/>
            </w:tcBorders>
            <w:shd w:val="clear" w:color="000000" w:fill="FFFFFF"/>
            <w:tcMar>
              <w:top w:w="85" w:type="dxa"/>
            </w:tcMar>
            <w:hideMark/>
          </w:tcPr>
          <w:p w:rsidR="00336FF1" w:rsidRPr="00336FF1" w:rsidRDefault="00336FF1" w:rsidP="000E073C">
            <w:pPr>
              <w:ind w:left="117"/>
              <w:rPr>
                <w:rFonts w:eastAsia="Times New Roman"/>
                <w:sz w:val="16"/>
                <w:szCs w:val="16"/>
                <w:lang w:eastAsia="en-US"/>
              </w:rPr>
            </w:pPr>
            <w:r w:rsidRPr="00336FF1">
              <w:rPr>
                <w:rFonts w:eastAsia="Times New Roman"/>
                <w:sz w:val="16"/>
                <w:szCs w:val="16"/>
                <w:lang w:eastAsia="en-US"/>
              </w:rPr>
              <w:t>Pertinencia: &gt;85%</w:t>
            </w:r>
            <w:r w:rsidRPr="00336FF1">
              <w:rPr>
                <w:rFonts w:eastAsia="Times New Roman"/>
                <w:sz w:val="16"/>
                <w:szCs w:val="16"/>
                <w:lang w:eastAsia="en-US"/>
              </w:rPr>
              <w:br/>
              <w:t>Utilidad: &gt; 85%</w:t>
            </w:r>
          </w:p>
        </w:tc>
      </w:tr>
      <w:tr w:rsidR="00336FF1" w:rsidRPr="00336FF1" w:rsidTr="00C6366D">
        <w:trPr>
          <w:trHeight w:val="1440"/>
        </w:trPr>
        <w:tc>
          <w:tcPr>
            <w:tcW w:w="2480" w:type="dxa"/>
            <w:tcBorders>
              <w:top w:val="nil"/>
              <w:left w:val="single" w:sz="4" w:space="0" w:color="auto"/>
              <w:bottom w:val="nil"/>
              <w:right w:val="nil"/>
            </w:tcBorders>
            <w:shd w:val="clear" w:color="000000" w:fill="FFFFFF"/>
            <w:tcMar>
              <w:top w:w="85" w:type="dxa"/>
            </w:tcMar>
            <w:hideMark/>
          </w:tcPr>
          <w:p w:rsidR="00336FF1" w:rsidRPr="000E073C" w:rsidRDefault="005B1060" w:rsidP="00C6366D">
            <w:pPr>
              <w:rPr>
                <w:rFonts w:eastAsia="Times New Roman"/>
                <w:sz w:val="16"/>
                <w:szCs w:val="16"/>
                <w:lang w:eastAsia="en-US"/>
              </w:rPr>
            </w:pPr>
            <w:r w:rsidRPr="000E073C">
              <w:rPr>
                <w:rFonts w:eastAsia="Times New Roman"/>
                <w:sz w:val="16"/>
                <w:szCs w:val="16"/>
                <w:lang w:eastAsia="en-US"/>
              </w:rPr>
              <w:t xml:space="preserve">VI.1 </w:t>
            </w:r>
            <w:r w:rsidR="00336FF1" w:rsidRPr="000E073C">
              <w:rPr>
                <w:rFonts w:eastAsia="Times New Roman"/>
                <w:sz w:val="16"/>
                <w:szCs w:val="16"/>
                <w:lang w:eastAsia="en-US"/>
              </w:rPr>
              <w:t xml:space="preserve"> </w:t>
            </w:r>
            <w:r w:rsidRPr="000E073C">
              <w:rPr>
                <w:sz w:val="16"/>
                <w:szCs w:val="16"/>
                <w:lang w:val="es-ES_tradnl"/>
              </w:rPr>
              <w:t>Avances en el diálogo internacional sobre políticas entre los Estados miembros de la OMPI para fomentar el respeto por la P.I. sobre la base de la recomendación 45 de la Agenda de la OMPI para el Desarrollo</w:t>
            </w:r>
          </w:p>
        </w:tc>
        <w:tc>
          <w:tcPr>
            <w:tcW w:w="2660" w:type="dxa"/>
            <w:tcBorders>
              <w:top w:val="nil"/>
              <w:left w:val="nil"/>
              <w:bottom w:val="nil"/>
              <w:right w:val="nil"/>
            </w:tcBorders>
            <w:shd w:val="clear" w:color="000000" w:fill="FFFFFF"/>
            <w:tcMar>
              <w:top w:w="85" w:type="dxa"/>
            </w:tcMar>
            <w:hideMark/>
          </w:tcPr>
          <w:p w:rsidR="00336FF1" w:rsidRPr="00336FF1" w:rsidRDefault="00336FF1" w:rsidP="00C6366D">
            <w:pPr>
              <w:ind w:left="262"/>
              <w:rPr>
                <w:rFonts w:eastAsia="Times New Roman"/>
                <w:sz w:val="16"/>
                <w:szCs w:val="16"/>
                <w:lang w:eastAsia="en-US"/>
              </w:rPr>
            </w:pPr>
            <w:r w:rsidRPr="00336FF1">
              <w:rPr>
                <w:rFonts w:eastAsia="Times New Roman"/>
                <w:sz w:val="16"/>
                <w:szCs w:val="16"/>
                <w:lang w:eastAsia="en-US"/>
              </w:rPr>
              <w:t>Acuerdo constante entre los Estados miembros sobre la labor sustantiva del Comité Asesor de la OMPI sobre Observancia (ACE), al incorporar elementos orientados al desarrollo.</w:t>
            </w:r>
          </w:p>
        </w:tc>
        <w:tc>
          <w:tcPr>
            <w:tcW w:w="2120" w:type="dxa"/>
            <w:tcBorders>
              <w:top w:val="nil"/>
              <w:left w:val="nil"/>
              <w:bottom w:val="nil"/>
              <w:right w:val="nil"/>
            </w:tcBorders>
            <w:shd w:val="clear" w:color="000000" w:fill="FFFFFF"/>
            <w:tcMar>
              <w:top w:w="85" w:type="dxa"/>
            </w:tcMar>
            <w:hideMark/>
          </w:tcPr>
          <w:p w:rsidR="00336FF1" w:rsidRPr="00336FF1" w:rsidRDefault="00336FF1" w:rsidP="00C6366D">
            <w:pPr>
              <w:rPr>
                <w:rFonts w:eastAsia="Times New Roman"/>
                <w:sz w:val="16"/>
                <w:szCs w:val="16"/>
                <w:lang w:eastAsia="en-US"/>
              </w:rPr>
            </w:pPr>
            <w:r w:rsidRPr="00336FF1">
              <w:rPr>
                <w:rFonts w:eastAsia="Times New Roman"/>
                <w:sz w:val="16"/>
                <w:szCs w:val="16"/>
                <w:lang w:eastAsia="en-US"/>
              </w:rPr>
              <w:t>Acuerdo sobre el</w:t>
            </w:r>
          </w:p>
          <w:p w:rsidR="00336FF1" w:rsidRPr="00336FF1" w:rsidRDefault="00336FF1" w:rsidP="00C6366D">
            <w:pPr>
              <w:rPr>
                <w:rFonts w:eastAsia="Times New Roman"/>
                <w:sz w:val="16"/>
                <w:szCs w:val="16"/>
                <w:lang w:eastAsia="en-US"/>
              </w:rPr>
            </w:pPr>
            <w:r w:rsidRPr="00336FF1">
              <w:rPr>
                <w:rFonts w:eastAsia="Times New Roman"/>
                <w:sz w:val="16"/>
                <w:szCs w:val="16"/>
                <w:lang w:eastAsia="en-US"/>
              </w:rPr>
              <w:t>programa de trabajo de</w:t>
            </w:r>
          </w:p>
          <w:p w:rsidR="00336FF1" w:rsidRPr="00336FF1" w:rsidRDefault="00336FF1" w:rsidP="00C6366D">
            <w:pPr>
              <w:rPr>
                <w:rFonts w:eastAsia="Times New Roman"/>
                <w:sz w:val="16"/>
                <w:szCs w:val="16"/>
                <w:lang w:eastAsia="en-US"/>
              </w:rPr>
            </w:pPr>
            <w:r w:rsidRPr="00336FF1">
              <w:rPr>
                <w:rFonts w:eastAsia="Times New Roman"/>
                <w:sz w:val="16"/>
                <w:szCs w:val="16"/>
                <w:lang w:eastAsia="en-US"/>
              </w:rPr>
              <w:t>la décima sesión del</w:t>
            </w:r>
          </w:p>
          <w:p w:rsidR="00336FF1" w:rsidRPr="00336FF1" w:rsidRDefault="00336FF1" w:rsidP="00C6366D">
            <w:pPr>
              <w:rPr>
                <w:rFonts w:eastAsia="Times New Roman"/>
                <w:sz w:val="16"/>
                <w:szCs w:val="16"/>
                <w:lang w:eastAsia="en-US"/>
              </w:rPr>
            </w:pPr>
            <w:r w:rsidRPr="00336FF1">
              <w:rPr>
                <w:rFonts w:eastAsia="Times New Roman"/>
                <w:sz w:val="16"/>
                <w:szCs w:val="16"/>
                <w:lang w:eastAsia="en-US"/>
              </w:rPr>
              <w:t>ACE</w:t>
            </w:r>
          </w:p>
        </w:tc>
        <w:tc>
          <w:tcPr>
            <w:tcW w:w="1969" w:type="dxa"/>
            <w:tcBorders>
              <w:top w:val="nil"/>
              <w:left w:val="nil"/>
              <w:bottom w:val="nil"/>
              <w:right w:val="single" w:sz="4" w:space="0" w:color="auto"/>
            </w:tcBorders>
            <w:shd w:val="clear" w:color="000000" w:fill="FFFFFF"/>
            <w:tcMar>
              <w:top w:w="85" w:type="dxa"/>
            </w:tcMar>
            <w:hideMark/>
          </w:tcPr>
          <w:p w:rsidR="00336FF1" w:rsidRPr="00336FF1" w:rsidRDefault="00336FF1" w:rsidP="000E073C">
            <w:pPr>
              <w:ind w:left="117"/>
              <w:rPr>
                <w:rFonts w:eastAsia="Times New Roman"/>
                <w:sz w:val="16"/>
                <w:szCs w:val="16"/>
                <w:lang w:eastAsia="en-US"/>
              </w:rPr>
            </w:pPr>
            <w:r w:rsidRPr="00336FF1">
              <w:rPr>
                <w:rFonts w:eastAsia="Times New Roman"/>
                <w:sz w:val="16"/>
                <w:szCs w:val="16"/>
                <w:lang w:eastAsia="en-US"/>
              </w:rPr>
              <w:t>Acuerdo sobre el programa de trabajo de la siguiente sesión del ACE</w:t>
            </w:r>
          </w:p>
        </w:tc>
      </w:tr>
      <w:tr w:rsidR="00336FF1" w:rsidRPr="00336FF1" w:rsidTr="00C6366D">
        <w:trPr>
          <w:trHeight w:val="1260"/>
        </w:trPr>
        <w:tc>
          <w:tcPr>
            <w:tcW w:w="2480" w:type="dxa"/>
            <w:tcBorders>
              <w:top w:val="nil"/>
              <w:left w:val="single" w:sz="4" w:space="0" w:color="auto"/>
              <w:bottom w:val="nil"/>
              <w:right w:val="nil"/>
            </w:tcBorders>
            <w:shd w:val="clear" w:color="000000" w:fill="FFFFFF"/>
            <w:tcMar>
              <w:top w:w="85" w:type="dxa"/>
            </w:tcMar>
            <w:hideMark/>
          </w:tcPr>
          <w:p w:rsidR="00336FF1" w:rsidRPr="000E073C" w:rsidRDefault="005B1060" w:rsidP="00C6366D">
            <w:pPr>
              <w:rPr>
                <w:rFonts w:eastAsia="Times New Roman"/>
                <w:sz w:val="16"/>
                <w:szCs w:val="16"/>
                <w:lang w:eastAsia="en-US"/>
              </w:rPr>
            </w:pPr>
            <w:r w:rsidRPr="000E073C">
              <w:rPr>
                <w:rFonts w:eastAsia="Times New Roman"/>
                <w:sz w:val="16"/>
                <w:szCs w:val="16"/>
                <w:lang w:eastAsia="en-US"/>
              </w:rPr>
              <w:t xml:space="preserve">VI.2 </w:t>
            </w:r>
            <w:r w:rsidR="00336FF1" w:rsidRPr="000E073C">
              <w:rPr>
                <w:rFonts w:eastAsia="Times New Roman"/>
                <w:sz w:val="16"/>
                <w:szCs w:val="16"/>
                <w:lang w:eastAsia="en-US"/>
              </w:rPr>
              <w:t xml:space="preserve"> </w:t>
            </w:r>
            <w:r w:rsidRPr="000E073C">
              <w:rPr>
                <w:sz w:val="16"/>
                <w:szCs w:val="16"/>
                <w:lang w:val="es-ES_tradnl"/>
              </w:rPr>
              <w:t>Cooperación y coordinación sistemáticas, eficaces y transparentes entre la OMPI y otras organizaciones internacionales en el fomento del respeto por la P.I.</w:t>
            </w:r>
          </w:p>
        </w:tc>
        <w:tc>
          <w:tcPr>
            <w:tcW w:w="2660" w:type="dxa"/>
            <w:tcBorders>
              <w:top w:val="nil"/>
              <w:left w:val="nil"/>
              <w:bottom w:val="nil"/>
              <w:right w:val="nil"/>
            </w:tcBorders>
            <w:shd w:val="clear" w:color="000000" w:fill="FFFFFF"/>
            <w:tcMar>
              <w:top w:w="85" w:type="dxa"/>
            </w:tcMar>
            <w:hideMark/>
          </w:tcPr>
          <w:p w:rsidR="00336FF1" w:rsidRPr="00336FF1" w:rsidRDefault="00336FF1" w:rsidP="000E073C">
            <w:pPr>
              <w:ind w:left="262"/>
              <w:rPr>
                <w:rFonts w:eastAsia="Times New Roman"/>
                <w:sz w:val="16"/>
                <w:szCs w:val="16"/>
                <w:lang w:eastAsia="en-US"/>
              </w:rPr>
            </w:pPr>
            <w:r w:rsidRPr="00336FF1">
              <w:rPr>
                <w:rFonts w:eastAsia="Times New Roman"/>
                <w:sz w:val="16"/>
                <w:szCs w:val="16"/>
                <w:lang w:eastAsia="en-US"/>
              </w:rPr>
              <w:t>N</w:t>
            </w:r>
            <w:r w:rsidR="000E073C">
              <w:rPr>
                <w:rFonts w:eastAsia="Times New Roman"/>
                <w:sz w:val="16"/>
                <w:szCs w:val="16"/>
                <w:lang w:eastAsia="en-US"/>
              </w:rPr>
              <w:t>º</w:t>
            </w:r>
            <w:r w:rsidRPr="00336FF1">
              <w:rPr>
                <w:rFonts w:eastAsia="Times New Roman"/>
                <w:sz w:val="16"/>
                <w:szCs w:val="16"/>
                <w:lang w:eastAsia="en-US"/>
              </w:rPr>
              <w:t xml:space="preserve"> de colaboraciones estratégicas u otras actividades conjuntas con organizaciones asociadas </w:t>
            </w:r>
            <w:r w:rsidR="000E073C">
              <w:rPr>
                <w:rFonts w:eastAsia="Times New Roman"/>
                <w:sz w:val="16"/>
                <w:szCs w:val="16"/>
                <w:lang w:eastAsia="en-US"/>
              </w:rPr>
              <w:t>para</w:t>
            </w:r>
            <w:r w:rsidRPr="00336FF1">
              <w:rPr>
                <w:rFonts w:eastAsia="Times New Roman"/>
                <w:sz w:val="16"/>
                <w:szCs w:val="16"/>
                <w:lang w:eastAsia="en-US"/>
              </w:rPr>
              <w:t xml:space="preserve"> el fomento del respeto por la P.I.</w:t>
            </w:r>
          </w:p>
        </w:tc>
        <w:tc>
          <w:tcPr>
            <w:tcW w:w="2120" w:type="dxa"/>
            <w:tcBorders>
              <w:top w:val="nil"/>
              <w:left w:val="nil"/>
              <w:bottom w:val="nil"/>
              <w:right w:val="nil"/>
            </w:tcBorders>
            <w:shd w:val="clear" w:color="000000" w:fill="FFFFFF"/>
            <w:tcMar>
              <w:top w:w="85" w:type="dxa"/>
            </w:tcMar>
            <w:hideMark/>
          </w:tcPr>
          <w:p w:rsidR="00336FF1" w:rsidRPr="00336FF1" w:rsidRDefault="00336FF1" w:rsidP="00C6366D">
            <w:pPr>
              <w:rPr>
                <w:rFonts w:eastAsia="Times New Roman"/>
                <w:sz w:val="16"/>
                <w:szCs w:val="16"/>
                <w:lang w:eastAsia="en-US"/>
              </w:rPr>
            </w:pPr>
            <w:r w:rsidRPr="00336FF1">
              <w:rPr>
                <w:rFonts w:eastAsia="Times New Roman"/>
                <w:sz w:val="16"/>
                <w:szCs w:val="16"/>
                <w:lang w:eastAsia="en-US"/>
              </w:rPr>
              <w:t>6 colaboraciones estratégicas y otras 24 actividades conjuntas (al 15 de febrero de 2015).</w:t>
            </w:r>
          </w:p>
        </w:tc>
        <w:tc>
          <w:tcPr>
            <w:tcW w:w="1969" w:type="dxa"/>
            <w:tcBorders>
              <w:top w:val="nil"/>
              <w:left w:val="nil"/>
              <w:bottom w:val="nil"/>
              <w:right w:val="single" w:sz="4" w:space="0" w:color="auto"/>
            </w:tcBorders>
            <w:shd w:val="clear" w:color="000000" w:fill="FFFFFF"/>
            <w:tcMar>
              <w:top w:w="85" w:type="dxa"/>
            </w:tcMar>
            <w:hideMark/>
          </w:tcPr>
          <w:p w:rsidR="00336FF1" w:rsidRPr="00336FF1" w:rsidRDefault="00336FF1" w:rsidP="000E073C">
            <w:pPr>
              <w:ind w:left="117"/>
              <w:rPr>
                <w:rFonts w:eastAsia="Times New Roman"/>
                <w:sz w:val="16"/>
                <w:szCs w:val="16"/>
                <w:lang w:eastAsia="en-US"/>
              </w:rPr>
            </w:pPr>
            <w:r w:rsidRPr="00336FF1">
              <w:rPr>
                <w:rFonts w:eastAsia="Times New Roman"/>
                <w:sz w:val="16"/>
                <w:szCs w:val="16"/>
                <w:lang w:eastAsia="en-US"/>
              </w:rPr>
              <w:t>6 colaboraciones estratégicas y otras 25 actividades conjuntas.</w:t>
            </w:r>
          </w:p>
        </w:tc>
      </w:tr>
      <w:tr w:rsidR="00336FF1" w:rsidRPr="00336FF1" w:rsidTr="00C6366D">
        <w:trPr>
          <w:trHeight w:val="932"/>
        </w:trPr>
        <w:tc>
          <w:tcPr>
            <w:tcW w:w="2480" w:type="dxa"/>
            <w:tcBorders>
              <w:top w:val="nil"/>
              <w:left w:val="single" w:sz="4" w:space="0" w:color="auto"/>
              <w:bottom w:val="single" w:sz="4" w:space="0" w:color="auto"/>
              <w:right w:val="nil"/>
            </w:tcBorders>
            <w:shd w:val="clear" w:color="000000" w:fill="FFFFFF"/>
            <w:tcMar>
              <w:top w:w="85" w:type="dxa"/>
            </w:tcMar>
            <w:hideMark/>
          </w:tcPr>
          <w:p w:rsidR="00336FF1" w:rsidRPr="000E073C" w:rsidRDefault="00336FF1" w:rsidP="005B1060">
            <w:pPr>
              <w:rPr>
                <w:rFonts w:eastAsia="Times New Roman"/>
                <w:sz w:val="16"/>
                <w:szCs w:val="16"/>
                <w:lang w:eastAsia="en-US"/>
              </w:rPr>
            </w:pPr>
            <w:r w:rsidRPr="000E073C">
              <w:rPr>
                <w:rFonts w:eastAsia="Times New Roman"/>
                <w:sz w:val="16"/>
                <w:szCs w:val="16"/>
                <w:lang w:eastAsia="en-US"/>
              </w:rPr>
              <w:t>VIII.1</w:t>
            </w:r>
            <w:r w:rsidR="005B1060" w:rsidRPr="000E073C">
              <w:rPr>
                <w:rFonts w:eastAsia="Times New Roman"/>
                <w:sz w:val="16"/>
                <w:szCs w:val="16"/>
                <w:lang w:eastAsia="en-US"/>
              </w:rPr>
              <w:t xml:space="preserve">  </w:t>
            </w:r>
            <w:r w:rsidR="005B1060" w:rsidRPr="000E073C">
              <w:rPr>
                <w:sz w:val="16"/>
                <w:szCs w:val="16"/>
                <w:lang w:val="es-ES_tradnl"/>
              </w:rPr>
              <w:t>Comunicación más eficaz con el público en general acerca de la P.I. y la función de la OMPI</w:t>
            </w:r>
          </w:p>
        </w:tc>
        <w:tc>
          <w:tcPr>
            <w:tcW w:w="2660" w:type="dxa"/>
            <w:tcBorders>
              <w:top w:val="nil"/>
              <w:left w:val="nil"/>
              <w:bottom w:val="single" w:sz="4" w:space="0" w:color="auto"/>
              <w:right w:val="nil"/>
            </w:tcBorders>
            <w:shd w:val="clear" w:color="000000" w:fill="FFFFFF"/>
            <w:tcMar>
              <w:top w:w="85" w:type="dxa"/>
            </w:tcMar>
            <w:hideMark/>
          </w:tcPr>
          <w:p w:rsidR="00336FF1" w:rsidRPr="00336FF1" w:rsidRDefault="000E073C" w:rsidP="000E073C">
            <w:pPr>
              <w:ind w:left="262"/>
              <w:rPr>
                <w:rFonts w:eastAsia="Times New Roman"/>
                <w:sz w:val="16"/>
                <w:szCs w:val="16"/>
                <w:lang w:eastAsia="en-US"/>
              </w:rPr>
            </w:pPr>
            <w:r>
              <w:rPr>
                <w:rFonts w:eastAsia="Times New Roman"/>
                <w:sz w:val="16"/>
                <w:szCs w:val="16"/>
                <w:lang w:eastAsia="en-US"/>
              </w:rPr>
              <w:t>Nº</w:t>
            </w:r>
            <w:r w:rsidR="00336FF1" w:rsidRPr="00336FF1">
              <w:rPr>
                <w:rFonts w:eastAsia="Times New Roman"/>
                <w:sz w:val="16"/>
                <w:szCs w:val="16"/>
                <w:lang w:eastAsia="en-US"/>
              </w:rPr>
              <w:t xml:space="preserve"> de Estados miembros participantes en el programa de Premios de la OMPI</w:t>
            </w:r>
          </w:p>
        </w:tc>
        <w:tc>
          <w:tcPr>
            <w:tcW w:w="2120" w:type="dxa"/>
            <w:tcBorders>
              <w:top w:val="nil"/>
              <w:left w:val="nil"/>
              <w:bottom w:val="single" w:sz="4" w:space="0" w:color="auto"/>
              <w:right w:val="nil"/>
            </w:tcBorders>
            <w:shd w:val="clear" w:color="000000" w:fill="FFFFFF"/>
            <w:tcMar>
              <w:top w:w="85" w:type="dxa"/>
            </w:tcMar>
            <w:hideMark/>
          </w:tcPr>
          <w:p w:rsidR="00336FF1" w:rsidRPr="00336FF1" w:rsidRDefault="00336FF1" w:rsidP="00C6366D">
            <w:pPr>
              <w:rPr>
                <w:rFonts w:eastAsia="Times New Roman"/>
                <w:sz w:val="16"/>
                <w:szCs w:val="16"/>
                <w:lang w:eastAsia="en-US"/>
              </w:rPr>
            </w:pPr>
            <w:r w:rsidRPr="00336FF1">
              <w:rPr>
                <w:rFonts w:eastAsia="Times New Roman"/>
                <w:sz w:val="16"/>
                <w:szCs w:val="16"/>
                <w:highlight w:val="white"/>
                <w:lang w:eastAsia="en-US"/>
              </w:rPr>
              <w:t>38 (en 2014</w:t>
            </w:r>
            <w:r w:rsidRPr="00336FF1">
              <w:rPr>
                <w:rFonts w:eastAsia="Times New Roman"/>
                <w:sz w:val="16"/>
                <w:szCs w:val="16"/>
                <w:lang w:eastAsia="en-US"/>
              </w:rPr>
              <w:t>)</w:t>
            </w:r>
          </w:p>
        </w:tc>
        <w:tc>
          <w:tcPr>
            <w:tcW w:w="1969" w:type="dxa"/>
            <w:tcBorders>
              <w:top w:val="nil"/>
              <w:left w:val="nil"/>
              <w:bottom w:val="single" w:sz="4" w:space="0" w:color="auto"/>
              <w:right w:val="single" w:sz="4" w:space="0" w:color="auto"/>
            </w:tcBorders>
            <w:shd w:val="clear" w:color="000000" w:fill="FFFFFF"/>
            <w:tcMar>
              <w:top w:w="85" w:type="dxa"/>
            </w:tcMar>
            <w:hideMark/>
          </w:tcPr>
          <w:p w:rsidR="00336FF1" w:rsidRPr="00336FF1" w:rsidRDefault="00336FF1" w:rsidP="00C6366D">
            <w:pPr>
              <w:ind w:firstLineChars="200" w:firstLine="320"/>
              <w:rPr>
                <w:rFonts w:eastAsia="Times New Roman"/>
                <w:sz w:val="16"/>
                <w:szCs w:val="16"/>
                <w:lang w:eastAsia="en-US"/>
              </w:rPr>
            </w:pPr>
            <w:r w:rsidRPr="00336FF1">
              <w:rPr>
                <w:rFonts w:eastAsia="Times New Roman"/>
                <w:sz w:val="16"/>
                <w:szCs w:val="16"/>
                <w:lang w:eastAsia="en-US"/>
              </w:rPr>
              <w:t xml:space="preserve">45 </w:t>
            </w:r>
            <w:r w:rsidRPr="00336FF1">
              <w:rPr>
                <w:rFonts w:eastAsia="Times New Roman"/>
                <w:sz w:val="16"/>
                <w:szCs w:val="16"/>
                <w:highlight w:val="white"/>
                <w:lang w:eastAsia="en-US"/>
              </w:rPr>
              <w:t>en 2016/17</w:t>
            </w:r>
          </w:p>
        </w:tc>
      </w:tr>
    </w:tbl>
    <w:p w:rsidR="00336FF1" w:rsidRPr="00336FF1" w:rsidRDefault="00336FF1" w:rsidP="00336FF1">
      <w:pPr>
        <w:jc w:val="both"/>
      </w:pPr>
    </w:p>
    <w:p w:rsidR="00336FF1" w:rsidRPr="00336FF1" w:rsidRDefault="00336FF1" w:rsidP="00336FF1">
      <w:pPr>
        <w:jc w:val="both"/>
      </w:pPr>
    </w:p>
    <w:p w:rsidR="00372D5D" w:rsidRPr="009C5E03" w:rsidRDefault="00336FF1">
      <w:pPr>
        <w:shd w:val="clear" w:color="auto" w:fill="FFFFFF"/>
        <w:tabs>
          <w:tab w:val="left" w:pos="709"/>
        </w:tabs>
        <w:suppressAutoHyphens/>
        <w:jc w:val="both"/>
        <w:rPr>
          <w:sz w:val="20"/>
          <w:szCs w:val="21"/>
          <w:lang w:val="en-US"/>
        </w:rPr>
      </w:pPr>
      <w:r w:rsidRPr="009C5E03">
        <w:rPr>
          <w:sz w:val="20"/>
          <w:szCs w:val="21"/>
          <w:lang w:val="en-US"/>
        </w:rPr>
        <w:t>RECURSOS PARA EL PROGRAMA 17</w:t>
      </w:r>
    </w:p>
    <w:p w:rsidR="00254709" w:rsidRPr="00892A2A" w:rsidRDefault="00254709" w:rsidP="00254709">
      <w:pPr>
        <w:rPr>
          <w:sz w:val="20"/>
        </w:rPr>
      </w:pPr>
    </w:p>
    <w:p w:rsidR="00254709" w:rsidRPr="00892A2A" w:rsidRDefault="00254709" w:rsidP="00254709">
      <w:pPr>
        <w:rPr>
          <w:sz w:val="20"/>
        </w:rPr>
      </w:pPr>
      <w:r w:rsidRPr="00892A2A">
        <w:rPr>
          <w:sz w:val="20"/>
        </w:rPr>
        <w:t>17.8.</w:t>
      </w:r>
      <w:r w:rsidRPr="00892A2A">
        <w:rPr>
          <w:sz w:val="20"/>
        </w:rPr>
        <w:tab/>
        <w:t>En el bienio 2016/17, la dotación global de recursos para el programa 17 se mantiene en el mismo nivel que el del presupuesto aprobado de 2014/15 (la disminución con respecto al presupuesto de 2014/</w:t>
      </w:r>
      <w:r w:rsidR="00ED0A05">
        <w:rPr>
          <w:sz w:val="20"/>
        </w:rPr>
        <w:t>15 tras las</w:t>
      </w:r>
      <w:r w:rsidRPr="00892A2A">
        <w:rPr>
          <w:sz w:val="20"/>
        </w:rPr>
        <w:t xml:space="preserve"> transferencias refleja la adscripción temporal al programa de un jurista en 2014/15).</w:t>
      </w:r>
    </w:p>
    <w:p w:rsidR="00254709" w:rsidRPr="00892A2A" w:rsidRDefault="00254709" w:rsidP="00254709">
      <w:pPr>
        <w:rPr>
          <w:sz w:val="20"/>
        </w:rPr>
      </w:pPr>
    </w:p>
    <w:p w:rsidR="00254709" w:rsidRPr="00892A2A" w:rsidRDefault="00254709" w:rsidP="00254709">
      <w:pPr>
        <w:rPr>
          <w:sz w:val="20"/>
        </w:rPr>
      </w:pPr>
      <w:r w:rsidRPr="00892A2A">
        <w:rPr>
          <w:sz w:val="20"/>
        </w:rPr>
        <w:t>17.9.</w:t>
      </w:r>
      <w:r w:rsidRPr="00892A2A">
        <w:rPr>
          <w:sz w:val="20"/>
        </w:rPr>
        <w:tab/>
        <w:t>Puede observarse un trasvase de recursos, del resultado previsto I</w:t>
      </w:r>
      <w:r>
        <w:rPr>
          <w:sz w:val="20"/>
        </w:rPr>
        <w:t>II.2 a los resultados previstos </w:t>
      </w:r>
      <w:r w:rsidRPr="00892A2A">
        <w:rPr>
          <w:sz w:val="20"/>
        </w:rPr>
        <w:t>1.2 y VIII.1, lo cual refleja un mayor equilibrio entre los diversos resultados previstos, con i) la consignación de recursos por la asistencia prestada, teniendo en cuenta el aumento de la demanda por parte de los Estados miembros, en relación con la asistencia legislativa y las estrategias nacionales sobre el fortalecimiento del respeto por la P.I., y ii) la consignación de recursos para el programa de Premios de la OMPI al resultado previsto VIII.1 (y no al resultado previsto III.2 en el bienio de 2014/15).</w:t>
      </w:r>
    </w:p>
    <w:p w:rsidR="00254709" w:rsidRPr="00892A2A" w:rsidRDefault="00254709" w:rsidP="00254709">
      <w:pPr>
        <w:rPr>
          <w:sz w:val="20"/>
        </w:rPr>
      </w:pPr>
    </w:p>
    <w:p w:rsidR="00D36C61" w:rsidRPr="00071638" w:rsidRDefault="00D36C61" w:rsidP="00D36C61">
      <w:pPr>
        <w:keepNext/>
        <w:keepLines/>
        <w:tabs>
          <w:tab w:val="left" w:pos="1427"/>
        </w:tabs>
        <w:jc w:val="center"/>
        <w:rPr>
          <w:color w:val="244061" w:themeColor="accent1" w:themeShade="80"/>
          <w:sz w:val="20"/>
          <w:lang w:val="es-ES_tradnl"/>
        </w:rPr>
      </w:pPr>
      <w:r w:rsidRPr="00071638">
        <w:rPr>
          <w:b/>
          <w:color w:val="244061" w:themeColor="accent1" w:themeShade="80"/>
          <w:sz w:val="20"/>
          <w:lang w:val="es-ES_tradnl"/>
        </w:rPr>
        <w:lastRenderedPageBreak/>
        <w:t>Programa 17</w:t>
      </w:r>
      <w:proofErr w:type="gramStart"/>
      <w:r w:rsidRPr="00071638">
        <w:rPr>
          <w:b/>
          <w:color w:val="244061" w:themeColor="accent1" w:themeShade="80"/>
          <w:sz w:val="20"/>
          <w:lang w:val="es-ES_tradnl"/>
        </w:rPr>
        <w:t>:  Recursos</w:t>
      </w:r>
      <w:proofErr w:type="gramEnd"/>
      <w:r w:rsidRPr="00071638">
        <w:rPr>
          <w:b/>
          <w:color w:val="244061" w:themeColor="accent1" w:themeShade="80"/>
          <w:sz w:val="20"/>
          <w:lang w:val="es-ES_tradnl"/>
        </w:rPr>
        <w:t xml:space="preserve"> por resultado</w:t>
      </w:r>
    </w:p>
    <w:p w:rsidR="00D36C61" w:rsidRPr="00071638" w:rsidRDefault="00D36C61" w:rsidP="00D36C61">
      <w:pPr>
        <w:keepNext/>
        <w:keepLines/>
        <w:tabs>
          <w:tab w:val="left" w:pos="1427"/>
        </w:tabs>
        <w:jc w:val="center"/>
        <w:rPr>
          <w:i/>
          <w:color w:val="244061" w:themeColor="accent1" w:themeShade="80"/>
          <w:sz w:val="20"/>
          <w:szCs w:val="24"/>
          <w:lang w:val="es-ES_tradnl"/>
        </w:rPr>
      </w:pPr>
      <w:r w:rsidRPr="00071638">
        <w:rPr>
          <w:i/>
          <w:color w:val="244061" w:themeColor="accent1" w:themeShade="80"/>
          <w:sz w:val="20"/>
          <w:szCs w:val="24"/>
          <w:lang w:val="es-ES_tradnl"/>
        </w:rPr>
        <w:t>(</w:t>
      </w:r>
      <w:proofErr w:type="gramStart"/>
      <w:r w:rsidRPr="00071638">
        <w:rPr>
          <w:i/>
          <w:color w:val="244061" w:themeColor="accent1" w:themeShade="80"/>
          <w:sz w:val="20"/>
          <w:szCs w:val="24"/>
          <w:lang w:val="es-ES_tradnl"/>
        </w:rPr>
        <w:t>en</w:t>
      </w:r>
      <w:proofErr w:type="gramEnd"/>
      <w:r w:rsidRPr="00071638">
        <w:rPr>
          <w:i/>
          <w:color w:val="244061" w:themeColor="accent1" w:themeShade="80"/>
          <w:sz w:val="20"/>
          <w:szCs w:val="24"/>
          <w:lang w:val="es-ES_tradnl"/>
        </w:rPr>
        <w:t xml:space="preserve"> miles de francos suizos)</w:t>
      </w:r>
    </w:p>
    <w:p w:rsidR="00D36C61" w:rsidRPr="00071638" w:rsidRDefault="00D36C61" w:rsidP="00D36C61">
      <w:pPr>
        <w:keepNext/>
        <w:keepLines/>
        <w:tabs>
          <w:tab w:val="left" w:pos="1427"/>
        </w:tabs>
        <w:jc w:val="center"/>
        <w:rPr>
          <w:i/>
          <w:color w:val="244061" w:themeColor="accent1" w:themeShade="80"/>
          <w:sz w:val="18"/>
          <w:szCs w:val="24"/>
          <w:lang w:val="es-ES_tradnl"/>
        </w:rPr>
      </w:pPr>
    </w:p>
    <w:p w:rsidR="00D36C61" w:rsidRDefault="000E073C" w:rsidP="00D36C61">
      <w:pPr>
        <w:keepNext/>
        <w:keepLines/>
        <w:tabs>
          <w:tab w:val="left" w:pos="1427"/>
        </w:tabs>
        <w:ind w:hanging="142"/>
        <w:jc w:val="center"/>
        <w:rPr>
          <w:i/>
          <w:szCs w:val="24"/>
        </w:rPr>
      </w:pPr>
      <w:r w:rsidRPr="000E073C">
        <w:rPr>
          <w:noProof/>
          <w:lang w:val="en-US" w:eastAsia="en-US"/>
        </w:rPr>
        <w:drawing>
          <wp:inline distT="0" distB="0" distL="0" distR="0">
            <wp:extent cx="5676900" cy="3591560"/>
            <wp:effectExtent l="0" t="0" r="0" b="889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676900" cy="3591560"/>
                    </a:xfrm>
                    <a:prstGeom prst="rect">
                      <a:avLst/>
                    </a:prstGeom>
                    <a:noFill/>
                    <a:ln>
                      <a:noFill/>
                    </a:ln>
                  </pic:spPr>
                </pic:pic>
              </a:graphicData>
            </a:graphic>
          </wp:inline>
        </w:drawing>
      </w:r>
    </w:p>
    <w:p w:rsidR="00D36C61" w:rsidRPr="00D36C61" w:rsidRDefault="00D36C61" w:rsidP="00D36C61">
      <w:pPr>
        <w:tabs>
          <w:tab w:val="left" w:pos="1427"/>
        </w:tabs>
        <w:ind w:hanging="142"/>
        <w:rPr>
          <w:szCs w:val="24"/>
        </w:rPr>
      </w:pPr>
    </w:p>
    <w:p w:rsidR="00D36C61" w:rsidRPr="005012AC" w:rsidRDefault="00D36C61" w:rsidP="00D36C61">
      <w:pPr>
        <w:keepNext/>
        <w:keepLines/>
        <w:tabs>
          <w:tab w:val="left" w:pos="1427"/>
        </w:tabs>
        <w:jc w:val="center"/>
        <w:rPr>
          <w:sz w:val="20"/>
          <w:lang w:val="es-ES_tradnl"/>
        </w:rPr>
      </w:pPr>
      <w:r w:rsidRPr="005012AC">
        <w:rPr>
          <w:b/>
          <w:sz w:val="20"/>
          <w:lang w:val="es-ES_tradnl"/>
        </w:rPr>
        <w:lastRenderedPageBreak/>
        <w:t>Programa 17</w:t>
      </w:r>
      <w:proofErr w:type="gramStart"/>
      <w:r w:rsidRPr="005012AC">
        <w:rPr>
          <w:b/>
          <w:sz w:val="20"/>
          <w:lang w:val="es-ES_tradnl"/>
        </w:rPr>
        <w:t>:  Recursos</w:t>
      </w:r>
      <w:proofErr w:type="gramEnd"/>
      <w:r w:rsidRPr="005012AC">
        <w:rPr>
          <w:b/>
          <w:sz w:val="20"/>
          <w:lang w:val="es-ES_tradnl"/>
        </w:rPr>
        <w:t xml:space="preserve"> por objeto de gasto</w:t>
      </w:r>
    </w:p>
    <w:p w:rsidR="00D36C61" w:rsidRPr="005012AC" w:rsidRDefault="00D36C61" w:rsidP="00D36C61">
      <w:pPr>
        <w:keepNext/>
        <w:keepLines/>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D36C61" w:rsidRPr="005012AC" w:rsidRDefault="00D36C61" w:rsidP="00D36C61">
      <w:pPr>
        <w:keepNext/>
        <w:keepLines/>
        <w:tabs>
          <w:tab w:val="left" w:pos="1427"/>
        </w:tabs>
        <w:jc w:val="center"/>
        <w:rPr>
          <w:i/>
          <w:sz w:val="20"/>
          <w:szCs w:val="24"/>
          <w:lang w:val="es-ES_tradnl"/>
        </w:rPr>
      </w:pPr>
    </w:p>
    <w:p w:rsidR="00D36C61" w:rsidRPr="00FD3ECD" w:rsidRDefault="00835617" w:rsidP="00D36C61">
      <w:pPr>
        <w:ind w:hanging="142"/>
        <w:jc w:val="center"/>
        <w:rPr>
          <w:sz w:val="20"/>
        </w:rPr>
      </w:pPr>
      <w:r>
        <w:rPr>
          <w:noProof/>
          <w:lang w:val="en-US" w:eastAsia="en-US"/>
        </w:rPr>
        <w:drawing>
          <wp:inline distT="0" distB="0" distL="0" distR="0" wp14:anchorId="5991CF95" wp14:editId="49D57845">
            <wp:extent cx="5940425" cy="6137805"/>
            <wp:effectExtent l="0" t="0" r="3175"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940425" cy="6137805"/>
                    </a:xfrm>
                    <a:prstGeom prst="rect">
                      <a:avLst/>
                    </a:prstGeom>
                    <a:noFill/>
                    <a:ln>
                      <a:noFill/>
                    </a:ln>
                  </pic:spPr>
                </pic:pic>
              </a:graphicData>
            </a:graphic>
          </wp:inline>
        </w:drawing>
      </w:r>
    </w:p>
    <w:p w:rsidR="00D36C61" w:rsidRPr="00FD3ECD" w:rsidRDefault="00D36C61" w:rsidP="00D36C61">
      <w:pPr>
        <w:jc w:val="both"/>
        <w:rPr>
          <w:sz w:val="20"/>
        </w:rPr>
      </w:pPr>
    </w:p>
    <w:p w:rsidR="00F4044A" w:rsidRPr="0037163B" w:rsidRDefault="00F4044A" w:rsidP="00685F71">
      <w:pPr>
        <w:widowControl w:val="0"/>
        <w:jc w:val="center"/>
        <w:rPr>
          <w:b/>
          <w:sz w:val="20"/>
        </w:rPr>
      </w:pPr>
    </w:p>
    <w:p w:rsidR="00F4044A" w:rsidRPr="00ED4DE9" w:rsidRDefault="00F4044A" w:rsidP="00685F71">
      <w:pPr>
        <w:keepLines/>
        <w:jc w:val="center"/>
        <w:rPr>
          <w:b/>
          <w:sz w:val="20"/>
        </w:rPr>
      </w:pPr>
      <w:r>
        <w:rPr>
          <w:b/>
          <w:sz w:val="20"/>
        </w:rPr>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F4044A" w:rsidRPr="00ED4DE9" w:rsidRDefault="00F4044A" w:rsidP="00685F71">
      <w:pPr>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D36C61" w:rsidRPr="00F4044A" w:rsidRDefault="00D36C61" w:rsidP="00685F71">
      <w:pPr>
        <w:keepLines/>
        <w:jc w:val="center"/>
        <w:rPr>
          <w:i/>
          <w:sz w:val="20"/>
        </w:rPr>
      </w:pPr>
    </w:p>
    <w:p w:rsidR="00D36C61" w:rsidRPr="007378C1" w:rsidRDefault="00DA0A15" w:rsidP="00685F71">
      <w:pPr>
        <w:keepLines/>
        <w:jc w:val="both"/>
        <w:rPr>
          <w:sz w:val="20"/>
          <w:highlight w:val="lightGray"/>
        </w:rPr>
      </w:pPr>
      <w:r w:rsidRPr="00DA0A15">
        <w:rPr>
          <w:noProof/>
          <w:lang w:val="en-US" w:eastAsia="en-US"/>
        </w:rPr>
        <w:drawing>
          <wp:inline distT="0" distB="0" distL="0" distR="0" wp14:anchorId="1D73D38C" wp14:editId="7F876B96">
            <wp:extent cx="5940425" cy="924555"/>
            <wp:effectExtent l="0" t="0" r="317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940425" cy="924555"/>
                    </a:xfrm>
                    <a:prstGeom prst="rect">
                      <a:avLst/>
                    </a:prstGeom>
                    <a:noFill/>
                    <a:ln>
                      <a:noFill/>
                    </a:ln>
                  </pic:spPr>
                </pic:pic>
              </a:graphicData>
            </a:graphic>
          </wp:inline>
        </w:drawing>
      </w:r>
    </w:p>
    <w:p w:rsidR="00F4044A" w:rsidRPr="00ED4DE9" w:rsidRDefault="00F4044A" w:rsidP="00685F71">
      <w:pPr>
        <w:keepLines/>
        <w:jc w:val="both"/>
        <w:rPr>
          <w:bCs/>
          <w:sz w:val="20"/>
        </w:rPr>
      </w:pPr>
    </w:p>
    <w:p w:rsidR="00F4044A" w:rsidRPr="00ED4DE9" w:rsidRDefault="00F4044A" w:rsidP="00685F71">
      <w:pPr>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w:t>
      </w:r>
      <w:r w:rsidR="00DA0A15">
        <w:rPr>
          <w:i/>
          <w:sz w:val="16"/>
          <w:szCs w:val="14"/>
        </w:rPr>
        <w:t xml:space="preserve">os ingresos y se incurre en </w:t>
      </w:r>
      <w:r>
        <w:rPr>
          <w:i/>
          <w:sz w:val="16"/>
          <w:szCs w:val="14"/>
        </w:rPr>
        <w:t>gastos</w:t>
      </w:r>
      <w:r w:rsidRPr="00ED4DE9">
        <w:rPr>
          <w:i/>
          <w:sz w:val="16"/>
          <w:szCs w:val="14"/>
        </w:rPr>
        <w:t>.</w:t>
      </w:r>
    </w:p>
    <w:p w:rsidR="00D36C61" w:rsidRPr="00F4044A" w:rsidRDefault="00F4044A" w:rsidP="00685F71">
      <w:pPr>
        <w:widowControl w:val="0"/>
        <w:rPr>
          <w:sz w:val="20"/>
          <w:szCs w:val="21"/>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00D36C61" w:rsidRPr="00F4044A">
        <w:rPr>
          <w:sz w:val="20"/>
          <w:szCs w:val="21"/>
        </w:rPr>
        <w:br w:type="page"/>
      </w:r>
    </w:p>
    <w:p w:rsidR="00D36C61" w:rsidRPr="00FE556D" w:rsidRDefault="00D36C61" w:rsidP="00D36C61">
      <w:pPr>
        <w:pStyle w:val="StyleHeading3ComplexItalic"/>
        <w:tabs>
          <w:tab w:val="clear" w:pos="1985"/>
          <w:tab w:val="left" w:pos="3119"/>
        </w:tabs>
        <w:ind w:left="3119" w:hanging="3119"/>
        <w:rPr>
          <w:rStyle w:val="StyleStyleHeading3ComplexItalicLatin12ptChar"/>
          <w:rFonts w:eastAsia="SimSun"/>
          <w:b/>
          <w:lang w:val="es-ES_tradnl"/>
        </w:rPr>
      </w:pPr>
      <w:bookmarkStart w:id="61" w:name="_Toc367350596"/>
      <w:bookmarkStart w:id="62" w:name="_Toc419283265"/>
      <w:bookmarkStart w:id="63" w:name="_Toc420681155"/>
      <w:r w:rsidRPr="00FE556D">
        <w:rPr>
          <w:rStyle w:val="StyleStyleHeading3ComplexItalicLatin12ptChar"/>
          <w:rFonts w:eastAsia="SimSun"/>
          <w:b/>
          <w:lang w:val="es-ES_tradnl"/>
        </w:rPr>
        <w:lastRenderedPageBreak/>
        <w:t>META ESTRATÉGICA VII</w:t>
      </w:r>
      <w:r w:rsidRPr="00FE556D">
        <w:rPr>
          <w:rStyle w:val="StyleStyleHeading3ComplexItalicLatin12ptChar"/>
          <w:rFonts w:eastAsia="SimSun"/>
          <w:b/>
          <w:lang w:val="es-ES_tradnl"/>
        </w:rPr>
        <w:tab/>
      </w:r>
      <w:bookmarkEnd w:id="61"/>
      <w:bookmarkEnd w:id="62"/>
      <w:r w:rsidRPr="00FE556D">
        <w:rPr>
          <w:rStyle w:val="StyleStyleHeading3ComplexItalicLatin12ptChar"/>
          <w:rFonts w:eastAsia="SimSun"/>
          <w:b/>
          <w:lang w:val="es-ES_tradnl"/>
        </w:rPr>
        <w:t>VÍNCULOS ENTRE LA P.I. Y LOS PROBLEMAS MUNDIALES DE POLÍTICA PÚBLICA</w:t>
      </w:r>
      <w:bookmarkEnd w:id="63"/>
    </w:p>
    <w:p w:rsidR="00D36C61" w:rsidRPr="00BA3325" w:rsidRDefault="00D36C61" w:rsidP="00D36C61">
      <w:pPr>
        <w:jc w:val="both"/>
        <w:rPr>
          <w:sz w:val="20"/>
          <w:lang w:val="es-ES_tradnl"/>
        </w:rPr>
      </w:pPr>
    </w:p>
    <w:p w:rsidR="00FE556D" w:rsidRDefault="00FE556D" w:rsidP="00D36C61">
      <w:pPr>
        <w:jc w:val="both"/>
        <w:rPr>
          <w:sz w:val="20"/>
          <w:lang w:val="es-ES_tradnl"/>
        </w:rPr>
      </w:pPr>
    </w:p>
    <w:p w:rsidR="00D36C61" w:rsidRPr="00D36C61" w:rsidRDefault="00BA3325" w:rsidP="00D36C61">
      <w:pPr>
        <w:jc w:val="both"/>
        <w:rPr>
          <w:bCs/>
          <w:i/>
          <w:iCs/>
          <w:caps/>
          <w:sz w:val="20"/>
          <w:lang w:val="es-ES_tradnl"/>
        </w:rPr>
      </w:pPr>
      <w:r w:rsidRPr="00245E53">
        <w:rPr>
          <w:sz w:val="20"/>
          <w:lang w:val="es-ES_tradnl"/>
        </w:rPr>
        <w:t>Esta meta estratégica es reflejo del potencial de la OMPI para convertirse en el principal foro intergubernamental de debate acerca de la interrelación de la P.I., la innovación y las cuestiones mundiales de política pública.  En ella está implícito un compromiso firme y fundamental con otros organismos de las NN.UU., organismos intergubernamentales y no gubernamentales con el fin de contribuir a una búsqueda compartida de soluciones para los principales problemas con que se enfrenta la humanidad, como el cambio climático, la seguridad alimentaria, la salud pública, la protección de la biodiversidad y el cumplimiento de los Objetivos de desarrollo del milenio.  Gran número de esos problemas mundiales afectan muy particularmente a los países en desarrollo y a los países menos adelantados (PMA), por lo que los programas que se lleven a cabo en el marco de esta meta estratégica estarán particularmente centrados en la consecución de determinados objetivos y recomendaciones de la Agenda para el Desarrollo.</w:t>
      </w:r>
    </w:p>
    <w:p w:rsidR="00D36C61" w:rsidRPr="00D36C61" w:rsidRDefault="00D36C61" w:rsidP="00D36C61">
      <w:pPr>
        <w:tabs>
          <w:tab w:val="left" w:pos="1701"/>
        </w:tabs>
        <w:ind w:left="1701" w:hanging="1701"/>
        <w:jc w:val="center"/>
        <w:rPr>
          <w:b/>
          <w:bCs/>
          <w:caps/>
          <w:sz w:val="20"/>
          <w:lang w:val="es-ES_tradnl"/>
        </w:rPr>
      </w:pPr>
    </w:p>
    <w:p w:rsidR="00D36C61" w:rsidRPr="00D36C61" w:rsidRDefault="00D36C61" w:rsidP="00D36C61">
      <w:pPr>
        <w:rPr>
          <w:bCs/>
          <w:sz w:val="20"/>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833"/>
        <w:gridCol w:w="2946"/>
      </w:tblGrid>
      <w:tr w:rsidR="00BA3325" w:rsidRPr="00245E53" w:rsidTr="00801092">
        <w:trPr>
          <w:cantSplit/>
          <w:tblHeader/>
        </w:trPr>
        <w:tc>
          <w:tcPr>
            <w:tcW w:w="1891"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3325" w:rsidRPr="00245E53" w:rsidRDefault="00BA3325" w:rsidP="00801092">
            <w:pPr>
              <w:spacing w:after="120"/>
              <w:jc w:val="center"/>
              <w:rPr>
                <w:b/>
                <w:bCs/>
                <w:sz w:val="18"/>
                <w:szCs w:val="18"/>
              </w:rPr>
            </w:pPr>
            <w:r w:rsidRPr="00245E53">
              <w:rPr>
                <w:b/>
                <w:bCs/>
                <w:sz w:val="18"/>
                <w:szCs w:val="18"/>
                <w:lang w:val="es-ES_tradnl"/>
              </w:rPr>
              <w:t>Resultados previstos</w:t>
            </w:r>
          </w:p>
        </w:tc>
        <w:tc>
          <w:tcPr>
            <w:tcW w:w="1524"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3325" w:rsidRPr="00245E53" w:rsidRDefault="00BA3325" w:rsidP="00801092">
            <w:pPr>
              <w:spacing w:after="120"/>
              <w:jc w:val="center"/>
              <w:rPr>
                <w:b/>
                <w:sz w:val="18"/>
                <w:szCs w:val="18"/>
              </w:rPr>
            </w:pPr>
            <w:r w:rsidRPr="00245E53">
              <w:rPr>
                <w:b/>
                <w:sz w:val="18"/>
                <w:szCs w:val="18"/>
                <w:lang w:val="es-ES_tradnl"/>
              </w:rPr>
              <w:t>Indicadores de rendimiento</w:t>
            </w:r>
          </w:p>
        </w:tc>
        <w:tc>
          <w:tcPr>
            <w:tcW w:w="1585" w:type="pct"/>
            <w:tcBorders>
              <w:top w:val="single" w:sz="4" w:space="0" w:color="auto"/>
              <w:bottom w:val="single" w:sz="4" w:space="0" w:color="auto"/>
            </w:tcBorders>
            <w:shd w:val="clear" w:color="auto" w:fill="C6D9F1" w:themeFill="text2" w:themeFillTint="33"/>
            <w:tcMar>
              <w:top w:w="113" w:type="dxa"/>
              <w:bottom w:w="85" w:type="dxa"/>
            </w:tcMar>
            <w:vAlign w:val="center"/>
          </w:tcPr>
          <w:p w:rsidR="00BA3325" w:rsidRPr="00245E53" w:rsidRDefault="00BA3325" w:rsidP="00801092">
            <w:pPr>
              <w:spacing w:after="120"/>
              <w:ind w:left="85"/>
              <w:jc w:val="center"/>
              <w:rPr>
                <w:sz w:val="18"/>
                <w:szCs w:val="18"/>
              </w:rPr>
            </w:pPr>
            <w:r w:rsidRPr="00245E53">
              <w:rPr>
                <w:b/>
                <w:sz w:val="18"/>
                <w:szCs w:val="18"/>
                <w:lang w:val="es-ES_tradnl"/>
              </w:rPr>
              <w:t>Programas responsables</w:t>
            </w:r>
          </w:p>
        </w:tc>
      </w:tr>
      <w:tr w:rsidR="00BA3325" w:rsidRPr="00245E53" w:rsidTr="00801092">
        <w:trPr>
          <w:cantSplit/>
        </w:trPr>
        <w:tc>
          <w:tcPr>
            <w:tcW w:w="1891" w:type="pct"/>
            <w:tcBorders>
              <w:top w:val="nil"/>
            </w:tcBorders>
            <w:shd w:val="clear" w:color="auto" w:fill="auto"/>
            <w:tcMar>
              <w:top w:w="113" w:type="dxa"/>
              <w:bottom w:w="85" w:type="dxa"/>
            </w:tcMar>
          </w:tcPr>
          <w:p w:rsidR="00BA3325" w:rsidRPr="00245E53" w:rsidRDefault="00BA3325" w:rsidP="00801092">
            <w:pPr>
              <w:rPr>
                <w:sz w:val="16"/>
                <w:szCs w:val="16"/>
              </w:rPr>
            </w:pPr>
            <w:r w:rsidRPr="00245E53">
              <w:rPr>
                <w:sz w:val="16"/>
                <w:szCs w:val="16"/>
              </w:rPr>
              <w:t xml:space="preserve">VII.2 </w:t>
            </w:r>
            <w:r w:rsidRPr="00245E53">
              <w:rPr>
                <w:rFonts w:eastAsiaTheme="minorHAnsi"/>
                <w:sz w:val="16"/>
                <w:szCs w:val="16"/>
                <w:lang w:eastAsia="en-US"/>
              </w:rPr>
              <w:t xml:space="preserve"> </w:t>
            </w:r>
            <w:r w:rsidRPr="00245E53">
              <w:rPr>
                <w:sz w:val="16"/>
                <w:szCs w:val="16"/>
              </w:rPr>
              <w:t>Plataformas y herramientas de P.I. utilizadas para la transferencia de conocimientos y la difusión y adaptación de tecnología de los países desarrollados a los países en desarrollo, en particular los menos adelantados, con el fin de atender los desafíos mundiales</w:t>
            </w:r>
          </w:p>
        </w:tc>
        <w:tc>
          <w:tcPr>
            <w:tcW w:w="1524" w:type="pct"/>
            <w:tcBorders>
              <w:top w:val="nil"/>
            </w:tcBorders>
            <w:shd w:val="clear" w:color="auto" w:fill="auto"/>
            <w:tcMar>
              <w:top w:w="113" w:type="dxa"/>
              <w:bottom w:w="85" w:type="dxa"/>
            </w:tcMar>
          </w:tcPr>
          <w:p w:rsidR="00BA3325" w:rsidRPr="00245E53" w:rsidRDefault="00BA3325" w:rsidP="00801092">
            <w:pPr>
              <w:rPr>
                <w:sz w:val="16"/>
                <w:szCs w:val="16"/>
              </w:rPr>
            </w:pPr>
            <w:r w:rsidRPr="00245E53">
              <w:rPr>
                <w:sz w:val="16"/>
                <w:szCs w:val="16"/>
              </w:rPr>
              <w:t>Aumento del n</w:t>
            </w:r>
            <w:r w:rsidR="00324B68">
              <w:rPr>
                <w:sz w:val="16"/>
                <w:szCs w:val="16"/>
              </w:rPr>
              <w:t>º</w:t>
            </w:r>
            <w:r w:rsidRPr="00245E53">
              <w:rPr>
                <w:sz w:val="16"/>
                <w:szCs w:val="16"/>
              </w:rPr>
              <w:t xml:space="preserve"> de miembros de </w:t>
            </w:r>
            <w:r w:rsidR="004252B2" w:rsidRPr="004252B2">
              <w:rPr>
                <w:i/>
                <w:sz w:val="16"/>
                <w:szCs w:val="16"/>
              </w:rPr>
              <w:t xml:space="preserve">WIPO </w:t>
            </w:r>
            <w:proofErr w:type="spellStart"/>
            <w:r w:rsidR="004252B2" w:rsidRPr="004252B2">
              <w:rPr>
                <w:i/>
                <w:sz w:val="16"/>
                <w:szCs w:val="16"/>
              </w:rPr>
              <w:t>Re:Search</w:t>
            </w:r>
            <w:proofErr w:type="spellEnd"/>
            <w:r w:rsidRPr="00245E53">
              <w:rPr>
                <w:sz w:val="16"/>
                <w:szCs w:val="16"/>
              </w:rPr>
              <w:t>, incluidos los procedentes de países en desarrollo y PMA</w:t>
            </w:r>
            <w:r w:rsidRPr="00245E53">
              <w:rPr>
                <w:sz w:val="16"/>
                <w:szCs w:val="16"/>
              </w:rPr>
              <w:br/>
            </w:r>
          </w:p>
          <w:p w:rsidR="00BA3325" w:rsidRPr="00245E53" w:rsidRDefault="00324B68" w:rsidP="00324B68">
            <w:pPr>
              <w:rPr>
                <w:sz w:val="16"/>
                <w:szCs w:val="16"/>
              </w:rPr>
            </w:pPr>
            <w:r>
              <w:rPr>
                <w:sz w:val="16"/>
                <w:szCs w:val="16"/>
              </w:rPr>
              <w:t>Nº</w:t>
            </w:r>
            <w:r w:rsidR="00BA3325" w:rsidRPr="00245E53">
              <w:rPr>
                <w:sz w:val="16"/>
                <w:szCs w:val="16"/>
              </w:rPr>
              <w:t xml:space="preserve"> de contribuciones en la base de datos de </w:t>
            </w:r>
            <w:r w:rsidR="004252B2" w:rsidRPr="004252B2">
              <w:rPr>
                <w:i/>
                <w:sz w:val="16"/>
                <w:szCs w:val="16"/>
              </w:rPr>
              <w:t xml:space="preserve">WIPO </w:t>
            </w:r>
            <w:proofErr w:type="spellStart"/>
            <w:r w:rsidR="004252B2" w:rsidRPr="004252B2">
              <w:rPr>
                <w:i/>
                <w:sz w:val="16"/>
                <w:szCs w:val="16"/>
              </w:rPr>
              <w:t>Re:Search</w:t>
            </w:r>
            <w:proofErr w:type="spellEnd"/>
          </w:p>
        </w:tc>
        <w:tc>
          <w:tcPr>
            <w:tcW w:w="1585" w:type="pct"/>
            <w:tcBorders>
              <w:top w:val="nil"/>
            </w:tcBorders>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 xml:space="preserve">Programa 18 </w:t>
            </w:r>
          </w:p>
          <w:p w:rsidR="00BA3325" w:rsidRPr="00245E53" w:rsidRDefault="00BA3325" w:rsidP="00801092">
            <w:pPr>
              <w:ind w:left="661"/>
              <w:rPr>
                <w:sz w:val="16"/>
                <w:szCs w:val="16"/>
                <w:lang w:bidi="th-TH"/>
              </w:rPr>
            </w:pPr>
          </w:p>
          <w:p w:rsidR="00BA3325" w:rsidRPr="00245E53" w:rsidRDefault="00BA3325" w:rsidP="00801092">
            <w:pPr>
              <w:ind w:left="661"/>
              <w:rPr>
                <w:sz w:val="16"/>
                <w:szCs w:val="16"/>
                <w:lang w:bidi="th-TH"/>
              </w:rPr>
            </w:pPr>
          </w:p>
          <w:p w:rsidR="00BA3325" w:rsidRPr="00245E53" w:rsidRDefault="00BA3325" w:rsidP="00801092">
            <w:pPr>
              <w:ind w:left="661"/>
              <w:rPr>
                <w:sz w:val="16"/>
                <w:szCs w:val="16"/>
                <w:lang w:bidi="th-TH"/>
              </w:rPr>
            </w:pPr>
          </w:p>
          <w:p w:rsidR="00BA3325" w:rsidRPr="00245E53" w:rsidRDefault="00BA3325" w:rsidP="00801092">
            <w:pPr>
              <w:ind w:left="661"/>
              <w:rPr>
                <w:sz w:val="16"/>
                <w:szCs w:val="16"/>
                <w:lang w:bidi="th-TH"/>
              </w:rPr>
            </w:pPr>
            <w:r w:rsidRPr="00245E53">
              <w:rPr>
                <w:sz w:val="16"/>
                <w:szCs w:val="16"/>
                <w:lang w:bidi="th-TH"/>
              </w:rPr>
              <w:t xml:space="preserve">Programa 18 </w:t>
            </w:r>
          </w:p>
          <w:p w:rsidR="00BA3325" w:rsidRPr="00245E53" w:rsidRDefault="00BA3325" w:rsidP="00801092">
            <w:pPr>
              <w:ind w:left="661"/>
              <w:rPr>
                <w:sz w:val="16"/>
                <w:szCs w:val="16"/>
              </w:rPr>
            </w:pPr>
          </w:p>
        </w:tc>
      </w:tr>
      <w:tr w:rsidR="00BA3325" w:rsidRPr="00245E53" w:rsidTr="00801092">
        <w:trPr>
          <w:cantSplit/>
          <w:trHeight w:val="272"/>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324B68">
            <w:pPr>
              <w:rPr>
                <w:sz w:val="16"/>
                <w:szCs w:val="16"/>
                <w:lang w:val="es-ES_tradnl"/>
              </w:rPr>
            </w:pPr>
            <w:r w:rsidRPr="00245E53">
              <w:rPr>
                <w:sz w:val="16"/>
                <w:szCs w:val="16"/>
                <w:lang w:val="es-ES_tradnl"/>
              </w:rPr>
              <w:t>Aumento del n</w:t>
            </w:r>
            <w:r w:rsidR="00324B68">
              <w:rPr>
                <w:sz w:val="16"/>
                <w:szCs w:val="16"/>
                <w:lang w:val="es-ES_tradnl"/>
              </w:rPr>
              <w:t>º</w:t>
            </w:r>
            <w:r w:rsidRPr="00245E53">
              <w:rPr>
                <w:sz w:val="16"/>
                <w:szCs w:val="16"/>
                <w:lang w:val="es-ES_tradnl"/>
              </w:rPr>
              <w:t xml:space="preserve"> de acuerdos suscritos en el marco de </w:t>
            </w:r>
            <w:r w:rsidR="004252B2" w:rsidRPr="004252B2">
              <w:rPr>
                <w:i/>
                <w:sz w:val="16"/>
                <w:szCs w:val="16"/>
                <w:lang w:val="es-ES_tradnl"/>
              </w:rPr>
              <w:t xml:space="preserve">WIPO </w:t>
            </w:r>
            <w:proofErr w:type="spellStart"/>
            <w:r w:rsidR="004252B2" w:rsidRPr="004252B2">
              <w:rPr>
                <w:i/>
                <w:sz w:val="16"/>
                <w:szCs w:val="16"/>
                <w:lang w:val="es-ES_tradnl"/>
              </w:rPr>
              <w:t>Re:Search</w:t>
            </w:r>
            <w:proofErr w:type="spellEnd"/>
            <w:r w:rsidRPr="00245E53">
              <w:rPr>
                <w:sz w:val="16"/>
                <w:szCs w:val="16"/>
                <w:lang w:val="es-ES_tradnl"/>
              </w:rPr>
              <w:t xml:space="preserve"> que conducen a nuevas actividades de I+D, o a una intensificación de las mismas, en enfermedades tropicales desatendidas, paludismo y tuberculosis</w:t>
            </w:r>
          </w:p>
        </w:tc>
        <w:tc>
          <w:tcPr>
            <w:tcW w:w="1585" w:type="pct"/>
            <w:shd w:val="clear" w:color="auto" w:fill="FFFFFF"/>
            <w:tcMar>
              <w:top w:w="113" w:type="dxa"/>
              <w:bottom w:w="85" w:type="dxa"/>
            </w:tcMar>
          </w:tcPr>
          <w:p w:rsidR="00BA3325" w:rsidRPr="00245E53" w:rsidRDefault="00BA3325" w:rsidP="00801092">
            <w:pPr>
              <w:ind w:left="661"/>
              <w:rPr>
                <w:sz w:val="16"/>
                <w:szCs w:val="16"/>
              </w:rPr>
            </w:pPr>
            <w:r w:rsidRPr="00245E53">
              <w:rPr>
                <w:sz w:val="16"/>
                <w:szCs w:val="16"/>
                <w:lang w:bidi="th-TH"/>
              </w:rPr>
              <w:t>Programa 18</w:t>
            </w:r>
          </w:p>
        </w:tc>
      </w:tr>
      <w:tr w:rsidR="00BA3325" w:rsidRPr="00245E53" w:rsidTr="00801092">
        <w:trPr>
          <w:cantSplit/>
          <w:trHeight w:val="258"/>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324B68">
            <w:pPr>
              <w:rPr>
                <w:sz w:val="16"/>
                <w:szCs w:val="16"/>
                <w:lang w:val="es-ES_tradnl"/>
              </w:rPr>
            </w:pPr>
            <w:r w:rsidRPr="00245E53">
              <w:rPr>
                <w:sz w:val="16"/>
                <w:szCs w:val="16"/>
                <w:lang w:val="es-ES_tradnl"/>
              </w:rPr>
              <w:t>N</w:t>
            </w:r>
            <w:r w:rsidR="00324B68">
              <w:rPr>
                <w:sz w:val="16"/>
                <w:szCs w:val="16"/>
                <w:lang w:val="es-ES_tradnl"/>
              </w:rPr>
              <w:t>º</w:t>
            </w:r>
            <w:r w:rsidRPr="00245E53">
              <w:rPr>
                <w:sz w:val="16"/>
                <w:szCs w:val="16"/>
                <w:lang w:val="es-ES_tradnl"/>
              </w:rPr>
              <w:t xml:space="preserve"> de miembros de </w:t>
            </w:r>
            <w:r w:rsidR="004252B2" w:rsidRPr="004252B2">
              <w:rPr>
                <w:i/>
                <w:sz w:val="16"/>
                <w:szCs w:val="16"/>
                <w:lang w:val="es-ES_tradnl"/>
              </w:rPr>
              <w:t>WIPO GREEN</w:t>
            </w:r>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18</w:t>
            </w:r>
          </w:p>
        </w:tc>
      </w:tr>
      <w:tr w:rsidR="00BA3325" w:rsidRPr="00245E53" w:rsidTr="00801092">
        <w:trPr>
          <w:cantSplit/>
          <w:trHeight w:val="296"/>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324B68">
            <w:pPr>
              <w:rPr>
                <w:sz w:val="16"/>
                <w:szCs w:val="16"/>
              </w:rPr>
            </w:pPr>
            <w:r w:rsidRPr="00245E53">
              <w:rPr>
                <w:sz w:val="16"/>
                <w:szCs w:val="16"/>
              </w:rPr>
              <w:t>N</w:t>
            </w:r>
            <w:r w:rsidR="00324B68">
              <w:rPr>
                <w:sz w:val="16"/>
                <w:szCs w:val="16"/>
              </w:rPr>
              <w:t>º</w:t>
            </w:r>
            <w:r w:rsidRPr="00245E53">
              <w:rPr>
                <w:sz w:val="16"/>
                <w:szCs w:val="16"/>
              </w:rPr>
              <w:t xml:space="preserve"> de contribuciones en la base de datos de </w:t>
            </w:r>
            <w:r w:rsidR="004252B2" w:rsidRPr="004252B2">
              <w:rPr>
                <w:i/>
                <w:sz w:val="16"/>
                <w:szCs w:val="16"/>
              </w:rPr>
              <w:t>WIPO GREEN</w:t>
            </w:r>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18</w:t>
            </w:r>
          </w:p>
        </w:tc>
      </w:tr>
      <w:tr w:rsidR="00BA3325" w:rsidRPr="00245E53" w:rsidTr="00801092">
        <w:trPr>
          <w:cantSplit/>
          <w:trHeight w:val="344"/>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324B68">
            <w:pPr>
              <w:rPr>
                <w:sz w:val="16"/>
                <w:szCs w:val="16"/>
                <w:lang w:val="es-ES_tradnl"/>
              </w:rPr>
            </w:pPr>
            <w:r w:rsidRPr="00245E53">
              <w:rPr>
                <w:sz w:val="16"/>
                <w:szCs w:val="16"/>
                <w:lang w:val="es-ES_tradnl"/>
              </w:rPr>
              <w:t>N</w:t>
            </w:r>
            <w:r w:rsidR="00324B68">
              <w:rPr>
                <w:sz w:val="16"/>
                <w:szCs w:val="16"/>
                <w:lang w:val="es-ES_tradnl"/>
              </w:rPr>
              <w:t>º</w:t>
            </w:r>
            <w:r w:rsidRPr="00245E53">
              <w:rPr>
                <w:sz w:val="16"/>
                <w:szCs w:val="16"/>
                <w:lang w:val="es-ES_tradnl"/>
              </w:rPr>
              <w:t xml:space="preserve"> de acuerdos catalizados por medio de </w:t>
            </w:r>
            <w:r w:rsidR="004252B2" w:rsidRPr="004252B2">
              <w:rPr>
                <w:i/>
                <w:sz w:val="16"/>
                <w:szCs w:val="16"/>
                <w:lang w:val="es-ES_tradnl"/>
              </w:rPr>
              <w:t>WIPO GREEN</w:t>
            </w:r>
            <w:r w:rsidRPr="00245E53">
              <w:rPr>
                <w:sz w:val="16"/>
                <w:szCs w:val="16"/>
                <w:lang w:val="es-ES_tradnl"/>
              </w:rPr>
              <w:t xml:space="preserve"> que facilitan la transferencia de conocimientos así como la adaptación, transferencia o difusión de tecnología</w:t>
            </w:r>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18</w:t>
            </w:r>
          </w:p>
        </w:tc>
      </w:tr>
      <w:tr w:rsidR="00BA3325" w:rsidRPr="00245E53" w:rsidTr="00801092">
        <w:trPr>
          <w:cantSplit/>
          <w:trHeight w:val="344"/>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801092">
            <w:pPr>
              <w:rPr>
                <w:sz w:val="16"/>
                <w:szCs w:val="16"/>
              </w:rPr>
            </w:pPr>
            <w:r w:rsidRPr="00245E53">
              <w:rPr>
                <w:sz w:val="16"/>
                <w:szCs w:val="16"/>
              </w:rPr>
              <w:t>Avances realizados en la creación de un marco internacional de colaboración para una contribución eficaz de la P.I. a la seguridad alimentaria mediante la creación de un proceso consultivo</w:t>
            </w:r>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18</w:t>
            </w:r>
          </w:p>
        </w:tc>
      </w:tr>
      <w:tr w:rsidR="00BA3325" w:rsidRPr="00245E53" w:rsidTr="00801092">
        <w:trPr>
          <w:cantSplit/>
          <w:trHeight w:val="344"/>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324B68">
            <w:pPr>
              <w:rPr>
                <w:sz w:val="16"/>
                <w:szCs w:val="16"/>
              </w:rPr>
            </w:pPr>
            <w:r w:rsidRPr="00245E53">
              <w:rPr>
                <w:sz w:val="16"/>
                <w:szCs w:val="16"/>
              </w:rPr>
              <w:t>N</w:t>
            </w:r>
            <w:r w:rsidR="00324B68">
              <w:rPr>
                <w:sz w:val="16"/>
                <w:szCs w:val="16"/>
              </w:rPr>
              <w:t>º</w:t>
            </w:r>
            <w:r w:rsidRPr="00245E53">
              <w:rPr>
                <w:sz w:val="16"/>
                <w:szCs w:val="16"/>
              </w:rPr>
              <w:t xml:space="preserve"> de visitas al sitio web </w:t>
            </w:r>
            <w:r w:rsidRPr="00245E53">
              <w:rPr>
                <w:sz w:val="16"/>
                <w:szCs w:val="16"/>
                <w:lang w:val="es-ES_tradnl"/>
              </w:rPr>
              <w:t>Desafíos Mundiales</w:t>
            </w:r>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18</w:t>
            </w:r>
          </w:p>
        </w:tc>
      </w:tr>
      <w:tr w:rsidR="00BA3325" w:rsidRPr="00245E53" w:rsidTr="00801092">
        <w:trPr>
          <w:cantSplit/>
          <w:trHeight w:val="706"/>
        </w:trPr>
        <w:tc>
          <w:tcPr>
            <w:tcW w:w="1891" w:type="pct"/>
            <w:shd w:val="clear" w:color="auto" w:fill="auto"/>
            <w:tcMar>
              <w:top w:w="113" w:type="dxa"/>
              <w:bottom w:w="85" w:type="dxa"/>
            </w:tcMar>
          </w:tcPr>
          <w:p w:rsidR="00BA3325" w:rsidRPr="00245E53" w:rsidRDefault="00BA3325" w:rsidP="00801092">
            <w:pPr>
              <w:rPr>
                <w:sz w:val="16"/>
                <w:szCs w:val="16"/>
              </w:rPr>
            </w:pPr>
          </w:p>
        </w:tc>
        <w:tc>
          <w:tcPr>
            <w:tcW w:w="1524" w:type="pct"/>
            <w:shd w:val="clear" w:color="auto" w:fill="auto"/>
            <w:tcMar>
              <w:top w:w="113" w:type="dxa"/>
              <w:bottom w:w="85" w:type="dxa"/>
            </w:tcMar>
          </w:tcPr>
          <w:p w:rsidR="00BA3325" w:rsidRPr="00245E53" w:rsidRDefault="00BA3325" w:rsidP="00801092">
            <w:pPr>
              <w:rPr>
                <w:sz w:val="16"/>
                <w:szCs w:val="16"/>
                <w:lang w:val="es-ES_tradnl"/>
              </w:rPr>
            </w:pPr>
            <w:r w:rsidRPr="00245E53">
              <w:rPr>
                <w:sz w:val="16"/>
                <w:szCs w:val="16"/>
                <w:lang w:val="es-ES_tradnl"/>
              </w:rPr>
              <w:t xml:space="preserve">Participación de las partes interesadas en plataformas de la OMPI como </w:t>
            </w:r>
            <w:r w:rsidRPr="00D842AD">
              <w:rPr>
                <w:i/>
                <w:sz w:val="16"/>
                <w:szCs w:val="16"/>
                <w:lang w:val="es-ES_tradnl"/>
              </w:rPr>
              <w:t>WIPO GREEN</w:t>
            </w:r>
            <w:r w:rsidRPr="00245E53">
              <w:rPr>
                <w:sz w:val="16"/>
                <w:szCs w:val="16"/>
                <w:lang w:val="es-ES_tradnl"/>
              </w:rPr>
              <w:t xml:space="preserve"> y </w:t>
            </w:r>
            <w:r w:rsidR="004252B2" w:rsidRPr="004252B2">
              <w:rPr>
                <w:i/>
                <w:sz w:val="16"/>
                <w:szCs w:val="16"/>
                <w:lang w:val="es-ES_tradnl"/>
              </w:rPr>
              <w:t xml:space="preserve">WIPO </w:t>
            </w:r>
            <w:proofErr w:type="spellStart"/>
            <w:r w:rsidR="004252B2" w:rsidRPr="004252B2">
              <w:rPr>
                <w:i/>
                <w:sz w:val="16"/>
                <w:szCs w:val="16"/>
                <w:lang w:val="es-ES_tradnl"/>
              </w:rPr>
              <w:t>Re:Search</w:t>
            </w:r>
            <w:proofErr w:type="spellEnd"/>
          </w:p>
        </w:tc>
        <w:tc>
          <w:tcPr>
            <w:tcW w:w="1585" w:type="pct"/>
            <w:shd w:val="clear" w:color="auto" w:fill="FFFFFF"/>
            <w:tcMar>
              <w:top w:w="113" w:type="dxa"/>
              <w:bottom w:w="85" w:type="dxa"/>
            </w:tcMar>
          </w:tcPr>
          <w:p w:rsidR="00BA3325" w:rsidRPr="00245E53" w:rsidRDefault="00BA3325" w:rsidP="00801092">
            <w:pPr>
              <w:ind w:left="661"/>
              <w:rPr>
                <w:sz w:val="16"/>
                <w:szCs w:val="16"/>
                <w:lang w:bidi="th-TH"/>
              </w:rPr>
            </w:pPr>
            <w:r w:rsidRPr="00245E53">
              <w:rPr>
                <w:sz w:val="16"/>
                <w:szCs w:val="16"/>
                <w:lang w:bidi="th-TH"/>
              </w:rPr>
              <w:t>Programa 20</w:t>
            </w:r>
          </w:p>
        </w:tc>
      </w:tr>
    </w:tbl>
    <w:p w:rsidR="00BA3325" w:rsidRPr="00245E53" w:rsidRDefault="00BA3325" w:rsidP="00BA3325">
      <w:pPr>
        <w:rPr>
          <w:bCs/>
        </w:rPr>
      </w:pPr>
    </w:p>
    <w:p w:rsidR="00D36C61" w:rsidRDefault="00D36C61">
      <w:pPr>
        <w:rPr>
          <w:sz w:val="20"/>
          <w:szCs w:val="21"/>
          <w:lang w:val="en-US"/>
        </w:rPr>
      </w:pPr>
      <w:r>
        <w:rPr>
          <w:sz w:val="20"/>
          <w:szCs w:val="21"/>
          <w:lang w:val="en-US"/>
        </w:rPr>
        <w:br w:type="page"/>
      </w:r>
    </w:p>
    <w:p w:rsidR="00D36C61" w:rsidRPr="00E33FD1" w:rsidRDefault="00D36C61" w:rsidP="00D36C61">
      <w:pPr>
        <w:pStyle w:val="StyleStyleHeading3ComplexItalicLatin12pt"/>
        <w:rPr>
          <w:lang w:val="es-ES_tradnl"/>
        </w:rPr>
      </w:pPr>
      <w:bookmarkStart w:id="64" w:name="_Toc420681156"/>
      <w:r w:rsidRPr="00E33FD1">
        <w:rPr>
          <w:lang w:val="es-ES_tradnl"/>
        </w:rPr>
        <w:lastRenderedPageBreak/>
        <w:t>PROGRAMA 18</w:t>
      </w:r>
      <w:r w:rsidRPr="00E33FD1">
        <w:rPr>
          <w:b w:val="0"/>
          <w:lang w:val="es-ES_tradnl"/>
        </w:rPr>
        <w:tab/>
      </w:r>
      <w:r w:rsidRPr="00E33FD1">
        <w:rPr>
          <w:lang w:val="es-ES_tradnl"/>
        </w:rPr>
        <w:t>LA P.I. Y LOS DESAFÍOS MUNDIALES</w:t>
      </w:r>
      <w:bookmarkEnd w:id="64"/>
    </w:p>
    <w:p w:rsidR="00D36C61" w:rsidRPr="004974AC" w:rsidRDefault="00D36C61" w:rsidP="00D36C61">
      <w:pPr>
        <w:rPr>
          <w:sz w:val="20"/>
          <w:lang w:val="es-ES_tradnl"/>
        </w:rPr>
      </w:pPr>
    </w:p>
    <w:p w:rsidR="00D36C61" w:rsidRPr="004974AC" w:rsidRDefault="00D36C61" w:rsidP="00D36C61">
      <w:pPr>
        <w:rPr>
          <w:b/>
          <w:sz w:val="20"/>
          <w:lang w:val="es-ES_tradnl"/>
        </w:rPr>
      </w:pPr>
    </w:p>
    <w:p w:rsidR="00D36C61" w:rsidRPr="004974AC" w:rsidRDefault="00D36C61" w:rsidP="00D36C61">
      <w:pPr>
        <w:rPr>
          <w:b/>
          <w:sz w:val="20"/>
          <w:lang w:val="es-ES_tradnl"/>
        </w:rPr>
      </w:pPr>
    </w:p>
    <w:p w:rsidR="00D36C61" w:rsidRPr="00E33FD1" w:rsidRDefault="00D36C61" w:rsidP="00D36C61">
      <w:pPr>
        <w:pStyle w:val="BodyTextIndent"/>
        <w:ind w:left="1985" w:hanging="1985"/>
        <w:jc w:val="both"/>
        <w:rPr>
          <w:szCs w:val="22"/>
        </w:rPr>
      </w:pPr>
      <w:r w:rsidRPr="00E33FD1">
        <w:rPr>
          <w:szCs w:val="22"/>
          <w:lang w:val="es-ES_tradnl"/>
        </w:rPr>
        <w:t>CONTEXTO DE PLANIFICACIÓN</w:t>
      </w:r>
    </w:p>
    <w:p w:rsidR="00D36C61" w:rsidRPr="00E33FD1" w:rsidRDefault="00D36C61" w:rsidP="00D36C61">
      <w:pPr>
        <w:numPr>
          <w:ilvl w:val="0"/>
          <w:numId w:val="37"/>
        </w:numPr>
        <w:tabs>
          <w:tab w:val="left" w:pos="709"/>
        </w:tabs>
        <w:spacing w:before="216"/>
        <w:jc w:val="both"/>
        <w:rPr>
          <w:spacing w:val="2"/>
          <w:sz w:val="20"/>
          <w:lang w:val="es-ES_tradnl"/>
        </w:rPr>
      </w:pPr>
      <w:r w:rsidRPr="00E33FD1">
        <w:rPr>
          <w:spacing w:val="2"/>
          <w:sz w:val="20"/>
          <w:lang w:val="es-ES_tradnl"/>
        </w:rPr>
        <w:t>En este programa se aborda la innovación y la P.I. en un contexto en que confluyen varios problemas mundiales interrelacionados, como la salud mundial, el cambio climático y, en menor medida, la seguridad alimentaria.  Las prioridades elegidas reflejan tanto los intereses de los Estados miembros (por ej., la Agenda para el Desarrollo posterior a 2015) como el potencial de las soluciones innovadoras para conseguir resultados tangibles.</w:t>
      </w:r>
    </w:p>
    <w:p w:rsidR="00F00D2E" w:rsidRPr="00F00D2E" w:rsidRDefault="00D36C61" w:rsidP="00C413C9">
      <w:pPr>
        <w:numPr>
          <w:ilvl w:val="0"/>
          <w:numId w:val="37"/>
        </w:numPr>
        <w:tabs>
          <w:tab w:val="left" w:pos="709"/>
        </w:tabs>
        <w:spacing w:before="216"/>
        <w:jc w:val="both"/>
        <w:rPr>
          <w:spacing w:val="2"/>
          <w:sz w:val="20"/>
          <w:lang w:val="es-ES_tradnl"/>
        </w:rPr>
      </w:pPr>
      <w:r w:rsidRPr="00F00D2E">
        <w:rPr>
          <w:spacing w:val="4"/>
          <w:sz w:val="20"/>
        </w:rPr>
        <w:t>Las soluciones a esos desafíos mundiales dependen en parte de la liberación del potencial de innovación en beneficio de todos los países, sea cual fuere su nivel de desarrollo.</w:t>
      </w:r>
      <w:r w:rsidRPr="00F00D2E">
        <w:rPr>
          <w:spacing w:val="2"/>
          <w:sz w:val="20"/>
        </w:rPr>
        <w:t xml:space="preserve">  </w:t>
      </w:r>
      <w:r w:rsidRPr="00F00D2E">
        <w:rPr>
          <w:spacing w:val="2"/>
          <w:sz w:val="20"/>
          <w:lang w:val="es-ES_tradnl"/>
        </w:rPr>
        <w:t>El fortalecimiento de capacidades, la transferencia de tecnologías y la difusión de herramientas prácticas se realizan cada vez más a través de nuevas formas de colaboración que involucran a una amplia gama de partes interesadas.</w:t>
      </w:r>
      <w:r w:rsidR="00C413C9" w:rsidRPr="00F00D2E">
        <w:rPr>
          <w:spacing w:val="2"/>
          <w:sz w:val="20"/>
          <w:lang w:val="es-ES_tradnl"/>
        </w:rPr>
        <w:t xml:space="preserve">  </w:t>
      </w:r>
    </w:p>
    <w:p w:rsidR="00D36C61" w:rsidRPr="00F00D2E" w:rsidRDefault="00D36C61" w:rsidP="00D36C61">
      <w:pPr>
        <w:numPr>
          <w:ilvl w:val="0"/>
          <w:numId w:val="37"/>
        </w:numPr>
        <w:tabs>
          <w:tab w:val="left" w:pos="709"/>
        </w:tabs>
        <w:spacing w:before="216"/>
        <w:jc w:val="both"/>
        <w:rPr>
          <w:bCs/>
          <w:sz w:val="20"/>
        </w:rPr>
      </w:pPr>
      <w:r w:rsidRPr="00F00D2E">
        <w:rPr>
          <w:spacing w:val="2"/>
          <w:sz w:val="20"/>
          <w:lang w:val="es-ES_tradnl"/>
        </w:rPr>
        <w:t>La experiencia adquirida en el marco del programa con las dos plataformas para múltiples interesados</w:t>
      </w:r>
      <w:r w:rsidR="00F00D2E" w:rsidRPr="00F00D2E">
        <w:rPr>
          <w:spacing w:val="2"/>
          <w:sz w:val="20"/>
          <w:lang w:val="es-ES_tradnl"/>
        </w:rPr>
        <w:t xml:space="preserve">, </w:t>
      </w:r>
      <w:r w:rsidR="004252B2" w:rsidRPr="004252B2">
        <w:rPr>
          <w:i/>
          <w:spacing w:val="2"/>
          <w:sz w:val="20"/>
          <w:lang w:val="es-ES_tradnl"/>
        </w:rPr>
        <w:t xml:space="preserve">WIPO </w:t>
      </w:r>
      <w:proofErr w:type="spellStart"/>
      <w:r w:rsidR="004252B2" w:rsidRPr="004252B2">
        <w:rPr>
          <w:i/>
          <w:spacing w:val="2"/>
          <w:sz w:val="20"/>
          <w:lang w:val="es-ES_tradnl"/>
        </w:rPr>
        <w:t>Re</w:t>
      </w:r>
      <w:proofErr w:type="gramStart"/>
      <w:r w:rsidR="004252B2" w:rsidRPr="004252B2">
        <w:rPr>
          <w:i/>
          <w:spacing w:val="2"/>
          <w:sz w:val="20"/>
          <w:lang w:val="es-ES_tradnl"/>
        </w:rPr>
        <w:t>:Search</w:t>
      </w:r>
      <w:proofErr w:type="spellEnd"/>
      <w:proofErr w:type="gramEnd"/>
      <w:r w:rsidR="00F00D2E" w:rsidRPr="00F00D2E">
        <w:rPr>
          <w:spacing w:val="2"/>
          <w:sz w:val="20"/>
          <w:lang w:val="es-ES_tradnl"/>
        </w:rPr>
        <w:t xml:space="preserve"> en salud y </w:t>
      </w:r>
      <w:r w:rsidR="00F00D2E" w:rsidRPr="00F00D2E">
        <w:rPr>
          <w:i/>
          <w:spacing w:val="2"/>
          <w:sz w:val="20"/>
          <w:lang w:val="es-ES_tradnl"/>
        </w:rPr>
        <w:t>WIPO:GREEN</w:t>
      </w:r>
      <w:r w:rsidR="00F00D2E" w:rsidRPr="00F00D2E">
        <w:rPr>
          <w:spacing w:val="2"/>
          <w:sz w:val="20"/>
          <w:lang w:val="es-ES_tradnl"/>
        </w:rPr>
        <w:t xml:space="preserve"> en cambio climático, </w:t>
      </w:r>
      <w:r w:rsidRPr="00F00D2E">
        <w:rPr>
          <w:spacing w:val="2"/>
          <w:sz w:val="20"/>
          <w:lang w:val="es-ES_tradnl"/>
        </w:rPr>
        <w:t xml:space="preserve"> indica que esas iniciativas pueden propiciar la realización de investigaciones preliminares y/o la transferencia de tecnologías existentes en sectores como el de la salud mundial, y posibilitan una mejor comprensión de la P.I.</w:t>
      </w:r>
      <w:r w:rsidR="00F00D2E" w:rsidRPr="00F00D2E">
        <w:rPr>
          <w:spacing w:val="2"/>
          <w:sz w:val="20"/>
          <w:lang w:val="es-ES_tradnl"/>
        </w:rPr>
        <w:t xml:space="preserve"> y de la capacidad para hacer frente a desafíos en materia de políticas</w:t>
      </w:r>
      <w:r w:rsidRPr="00F00D2E">
        <w:rPr>
          <w:spacing w:val="2"/>
          <w:sz w:val="20"/>
          <w:lang w:val="es-ES_tradnl"/>
        </w:rPr>
        <w:t>.</w:t>
      </w:r>
      <w:r w:rsidR="00F00D2E" w:rsidRPr="00F00D2E">
        <w:rPr>
          <w:spacing w:val="2"/>
          <w:sz w:val="20"/>
          <w:lang w:val="es-ES_tradnl"/>
        </w:rPr>
        <w:t xml:space="preserve">  </w:t>
      </w:r>
      <w:r w:rsidRPr="00F00D2E">
        <w:rPr>
          <w:spacing w:val="2"/>
          <w:sz w:val="20"/>
        </w:rPr>
        <w:t xml:space="preserve">En </w:t>
      </w:r>
      <w:r w:rsidR="00D842AD">
        <w:rPr>
          <w:spacing w:val="2"/>
          <w:sz w:val="20"/>
        </w:rPr>
        <w:t xml:space="preserve">relación con </w:t>
      </w:r>
      <w:r w:rsidRPr="00F00D2E">
        <w:rPr>
          <w:spacing w:val="2"/>
          <w:sz w:val="20"/>
        </w:rPr>
        <w:t xml:space="preserve">ambas plataformas, </w:t>
      </w:r>
      <w:r w:rsidR="00D842AD">
        <w:rPr>
          <w:spacing w:val="2"/>
          <w:sz w:val="20"/>
        </w:rPr>
        <w:t>el programa emprenderá varias medidas para continuar desarrollando y poniendo a punto estrategias destinadas a sostener el ímpetu que han adquirido los consorcios y a movilizar una capacidad adicional que permita proporcionar los recursos adecuados</w:t>
      </w:r>
      <w:r w:rsidRPr="00F00D2E">
        <w:rPr>
          <w:spacing w:val="2"/>
          <w:sz w:val="20"/>
        </w:rPr>
        <w:t xml:space="preserve"> para </w:t>
      </w:r>
      <w:r w:rsidR="00D842AD">
        <w:rPr>
          <w:spacing w:val="2"/>
          <w:sz w:val="20"/>
        </w:rPr>
        <w:t>proseguir con</w:t>
      </w:r>
      <w:r w:rsidRPr="00F00D2E">
        <w:rPr>
          <w:spacing w:val="2"/>
          <w:sz w:val="20"/>
        </w:rPr>
        <w:t xml:space="preserve"> las actividades previstas y en curso</w:t>
      </w:r>
      <w:r w:rsidRPr="00F00D2E">
        <w:rPr>
          <w:bCs/>
          <w:sz w:val="20"/>
        </w:rPr>
        <w:t>.</w:t>
      </w:r>
    </w:p>
    <w:p w:rsidR="00D36C61" w:rsidRPr="00F13C21" w:rsidRDefault="00D36C61" w:rsidP="00D36C61">
      <w:pPr>
        <w:tabs>
          <w:tab w:val="left" w:pos="567"/>
          <w:tab w:val="left" w:pos="709"/>
          <w:tab w:val="left" w:pos="1985"/>
        </w:tabs>
        <w:jc w:val="both"/>
        <w:rPr>
          <w:spacing w:val="2"/>
          <w:sz w:val="20"/>
        </w:rPr>
      </w:pPr>
    </w:p>
    <w:p w:rsidR="00D36C61" w:rsidRPr="00F13C21" w:rsidRDefault="00D36C61" w:rsidP="00D36C61">
      <w:pPr>
        <w:tabs>
          <w:tab w:val="left" w:pos="567"/>
          <w:tab w:val="left" w:pos="709"/>
          <w:tab w:val="left" w:pos="1985"/>
        </w:tabs>
        <w:jc w:val="both"/>
        <w:rPr>
          <w:bCs/>
          <w:sz w:val="20"/>
        </w:rPr>
      </w:pPr>
    </w:p>
    <w:p w:rsidR="00D36C61" w:rsidRPr="00E33FD1" w:rsidRDefault="00D36C61" w:rsidP="00D36C61">
      <w:pPr>
        <w:tabs>
          <w:tab w:val="left" w:pos="567"/>
          <w:tab w:val="left" w:pos="709"/>
          <w:tab w:val="left" w:pos="1985"/>
        </w:tabs>
        <w:jc w:val="both"/>
        <w:rPr>
          <w:bCs/>
          <w:szCs w:val="22"/>
        </w:rPr>
      </w:pPr>
      <w:r w:rsidRPr="00E33FD1">
        <w:rPr>
          <w:bCs/>
          <w:szCs w:val="22"/>
          <w:lang w:val="es-ES_tradnl"/>
        </w:rPr>
        <w:t>ESTRATEGIAS DE EJECUCIÓN</w:t>
      </w:r>
    </w:p>
    <w:p w:rsidR="00D36C61" w:rsidRPr="00E33FD1" w:rsidRDefault="00D36C61" w:rsidP="00D36C61">
      <w:pPr>
        <w:tabs>
          <w:tab w:val="left" w:pos="709"/>
        </w:tabs>
        <w:jc w:val="both"/>
        <w:rPr>
          <w:sz w:val="20"/>
        </w:rPr>
      </w:pPr>
    </w:p>
    <w:p w:rsidR="00D36C61" w:rsidRPr="00E33FD1" w:rsidRDefault="00D36C61" w:rsidP="00D36C61">
      <w:pPr>
        <w:numPr>
          <w:ilvl w:val="0"/>
          <w:numId w:val="37"/>
        </w:numPr>
        <w:tabs>
          <w:tab w:val="left" w:pos="709"/>
        </w:tabs>
        <w:jc w:val="both"/>
        <w:rPr>
          <w:sz w:val="20"/>
          <w:lang w:val="es-ES_tradnl"/>
        </w:rPr>
      </w:pPr>
      <w:r w:rsidRPr="00E33FD1">
        <w:rPr>
          <w:sz w:val="20"/>
          <w:lang w:val="es-ES_tradnl"/>
        </w:rPr>
        <w:t>El programa continuará realizando una contribución eficaz y constructiva a la búsqueda de soluciones basadas en la innovación y al diálogo mundial sobre políticas a través de una estrategia de ejecución dotada de tres vertientes:</w:t>
      </w:r>
    </w:p>
    <w:p w:rsidR="00D36C61" w:rsidRPr="00F13C21" w:rsidRDefault="00D36C61" w:rsidP="00D36C61">
      <w:pPr>
        <w:tabs>
          <w:tab w:val="left" w:pos="709"/>
        </w:tabs>
        <w:jc w:val="both"/>
        <w:rPr>
          <w:sz w:val="20"/>
          <w:lang w:val="es-ES_tradnl"/>
        </w:rPr>
      </w:pPr>
    </w:p>
    <w:p w:rsidR="00D36C61" w:rsidRPr="00E33FD1" w:rsidRDefault="00D36C61" w:rsidP="00D36C61">
      <w:pPr>
        <w:tabs>
          <w:tab w:val="left" w:pos="709"/>
        </w:tabs>
        <w:rPr>
          <w:sz w:val="20"/>
          <w:u w:val="single"/>
        </w:rPr>
      </w:pPr>
      <w:r w:rsidRPr="00E33FD1">
        <w:rPr>
          <w:sz w:val="20"/>
          <w:u w:val="single"/>
        </w:rPr>
        <w:t xml:space="preserve">Elaborar y mantener mecanismos y herramientas prácticos basados en la P.I. para atender los desafíos mundiales </w:t>
      </w:r>
    </w:p>
    <w:p w:rsidR="00D36C61" w:rsidRPr="00F13C21" w:rsidRDefault="00D36C61" w:rsidP="00D36C61">
      <w:pPr>
        <w:tabs>
          <w:tab w:val="left" w:pos="709"/>
        </w:tabs>
        <w:jc w:val="both"/>
        <w:rPr>
          <w:sz w:val="20"/>
        </w:rPr>
      </w:pPr>
    </w:p>
    <w:p w:rsidR="00D36C61" w:rsidRPr="00F13C21" w:rsidRDefault="00D36C61" w:rsidP="00D36C61">
      <w:pPr>
        <w:numPr>
          <w:ilvl w:val="0"/>
          <w:numId w:val="37"/>
        </w:numPr>
        <w:tabs>
          <w:tab w:val="left" w:pos="709"/>
        </w:tabs>
        <w:jc w:val="both"/>
        <w:rPr>
          <w:sz w:val="20"/>
          <w:lang w:val="es-ES_tradnl"/>
        </w:rPr>
      </w:pPr>
      <w:r w:rsidRPr="00F13C21">
        <w:rPr>
          <w:sz w:val="20"/>
        </w:rPr>
        <w:t xml:space="preserve">El elemento esencial de la estrategia del programa se basa en la mayor operatividad y sostenibilidad de sus dos plataformas para múltiples interesados, que posibilitan la creación de redes de colaboración eficaces y la transferencia de tecnología </w:t>
      </w:r>
      <w:r w:rsidRPr="00E33FD1">
        <w:rPr>
          <w:sz w:val="20"/>
        </w:rPr>
        <w:t xml:space="preserve">pertinente para la salud y el cambio climático.  </w:t>
      </w:r>
      <w:r w:rsidRPr="00E33FD1">
        <w:rPr>
          <w:spacing w:val="3"/>
          <w:sz w:val="20"/>
          <w:lang w:val="es-ES_tradnl"/>
        </w:rPr>
        <w:t>Las iniciativas se basarán en alianzas y colaboraciones, con utilización de estructuras de innovación colectiva, innovación en red y otras formas de cooperación para acelerar su repercusión.</w:t>
      </w:r>
      <w:r w:rsidRPr="00E33FD1">
        <w:rPr>
          <w:sz w:val="20"/>
          <w:lang w:val="es-ES_tradnl"/>
        </w:rPr>
        <w:t xml:space="preserve">  Asimismo, se hará hincapié en aumentar las colaboraciones y alian</w:t>
      </w:r>
      <w:r w:rsidRPr="00F13C21">
        <w:rPr>
          <w:sz w:val="20"/>
          <w:lang w:val="es-ES_tradnl"/>
        </w:rPr>
        <w:t>zas</w:t>
      </w:r>
      <w:r>
        <w:rPr>
          <w:sz w:val="20"/>
          <w:lang w:val="es-ES_tradnl"/>
        </w:rPr>
        <w:t xml:space="preserve"> Norte-Sur y</w:t>
      </w:r>
      <w:r w:rsidRPr="00F13C21">
        <w:rPr>
          <w:sz w:val="20"/>
          <w:lang w:val="es-ES_tradnl"/>
        </w:rPr>
        <w:t xml:space="preserve"> Sur-Sur que faciliten la conectividad global de los innovadores de países en desarrollo.</w:t>
      </w:r>
    </w:p>
    <w:p w:rsidR="00D36C61" w:rsidRPr="00F13C21" w:rsidRDefault="00D36C61" w:rsidP="00D36C61">
      <w:pPr>
        <w:tabs>
          <w:tab w:val="left" w:pos="709"/>
        </w:tabs>
        <w:jc w:val="both"/>
        <w:rPr>
          <w:sz w:val="20"/>
          <w:lang w:val="es-ES_tradnl"/>
        </w:rPr>
      </w:pPr>
    </w:p>
    <w:p w:rsidR="00D36C61" w:rsidRPr="00F13C21" w:rsidRDefault="00D36C61" w:rsidP="004252B2">
      <w:pPr>
        <w:pStyle w:val="ListParagraph"/>
        <w:numPr>
          <w:ilvl w:val="0"/>
          <w:numId w:val="37"/>
        </w:numPr>
        <w:jc w:val="both"/>
        <w:rPr>
          <w:rFonts w:ascii="Arial" w:hAnsi="Arial" w:cs="Arial"/>
          <w:sz w:val="20"/>
          <w:lang w:val="es-ES"/>
        </w:rPr>
      </w:pPr>
      <w:r w:rsidRPr="00F13C21">
        <w:rPr>
          <w:rFonts w:ascii="Arial" w:hAnsi="Arial" w:cs="Arial"/>
          <w:sz w:val="20"/>
          <w:lang w:val="es-ES"/>
        </w:rPr>
        <w:t>En colaboración con aliados exter</w:t>
      </w:r>
      <w:r>
        <w:rPr>
          <w:rFonts w:ascii="Arial" w:hAnsi="Arial" w:cs="Arial"/>
          <w:sz w:val="20"/>
          <w:lang w:val="es-ES"/>
        </w:rPr>
        <w:t>n</w:t>
      </w:r>
      <w:r w:rsidRPr="00F13C21">
        <w:rPr>
          <w:rFonts w:ascii="Arial" w:hAnsi="Arial" w:cs="Arial"/>
          <w:sz w:val="20"/>
          <w:lang w:val="es-ES"/>
        </w:rPr>
        <w:t>os, se crearán más herramientas para el intercambio de tecnología que faciliten la difusión y transferencia de tecnologías pertinentes para la salud y respetuosas del medio ambiente, con arreglo a los objetivos de la A.D. y más particularmente con las recomendaciones 19 (Acceso a los conocimientos y la tecnología) y 25 (Transferencia de tecnología), así como 30, 40 y 42 (Cooperación con otras OIG y ONG).</w:t>
      </w:r>
    </w:p>
    <w:p w:rsidR="00D36C61" w:rsidRPr="00F13C21" w:rsidRDefault="00D36C61" w:rsidP="00D36C61">
      <w:pPr>
        <w:pStyle w:val="ListParagraph"/>
        <w:tabs>
          <w:tab w:val="left" w:pos="709"/>
        </w:tabs>
        <w:rPr>
          <w:rFonts w:ascii="Arial" w:hAnsi="Arial" w:cs="Arial"/>
          <w:sz w:val="20"/>
          <w:lang w:val="es-ES"/>
        </w:rPr>
      </w:pPr>
    </w:p>
    <w:p w:rsidR="00D36C61" w:rsidRPr="00F13C21" w:rsidRDefault="00D36C61" w:rsidP="00D36C61">
      <w:pPr>
        <w:numPr>
          <w:ilvl w:val="0"/>
          <w:numId w:val="37"/>
        </w:numPr>
        <w:tabs>
          <w:tab w:val="left" w:pos="709"/>
        </w:tabs>
        <w:jc w:val="both"/>
        <w:rPr>
          <w:sz w:val="20"/>
        </w:rPr>
      </w:pPr>
      <w:r w:rsidRPr="00F13C21">
        <w:rPr>
          <w:sz w:val="20"/>
        </w:rPr>
        <w:t>Durante el bienio, se elaborará también una estrategia para abordar la P.I. y la seguridad alimentaria que se base en las actividades realizadas anteriormente por la OMPI en ese ámbito, en coordinación con los programas pertinentes de la OMPI y las partes interesadas externas, especialmente las OIG, el sector privado y la sociedad civil.</w:t>
      </w:r>
    </w:p>
    <w:p w:rsidR="00D36C61" w:rsidRPr="00F13C21" w:rsidRDefault="00D36C61" w:rsidP="00D36C61">
      <w:pPr>
        <w:rPr>
          <w:sz w:val="20"/>
        </w:rPr>
      </w:pPr>
    </w:p>
    <w:p w:rsidR="00D36C61" w:rsidRDefault="00D36C61" w:rsidP="00D842AD">
      <w:pPr>
        <w:keepNext/>
        <w:keepLines/>
        <w:tabs>
          <w:tab w:val="left" w:pos="709"/>
        </w:tabs>
        <w:rPr>
          <w:spacing w:val="-1"/>
          <w:sz w:val="20"/>
          <w:u w:val="single"/>
        </w:rPr>
      </w:pPr>
      <w:r w:rsidRPr="00F13C21">
        <w:rPr>
          <w:spacing w:val="-1"/>
          <w:sz w:val="20"/>
          <w:u w:val="single"/>
        </w:rPr>
        <w:lastRenderedPageBreak/>
        <w:t>Mejorar el acceso a la información sobre la P.I. y su utilización para apoyar a los Estados miembros, las OIG, el sector privado, la sociedad civil y demás partes interesadas</w:t>
      </w:r>
      <w:r>
        <w:rPr>
          <w:spacing w:val="-1"/>
          <w:sz w:val="20"/>
          <w:u w:val="single"/>
        </w:rPr>
        <w:t>,</w:t>
      </w:r>
      <w:r w:rsidRPr="00F13C21">
        <w:rPr>
          <w:spacing w:val="-1"/>
          <w:sz w:val="20"/>
          <w:u w:val="single"/>
        </w:rPr>
        <w:t xml:space="preserve"> y ayudarlos a determinar enfoques viables </w:t>
      </w:r>
    </w:p>
    <w:p w:rsidR="00D36C61" w:rsidRPr="00F13C21" w:rsidRDefault="00D36C61" w:rsidP="00D842AD">
      <w:pPr>
        <w:keepNext/>
        <w:keepLines/>
        <w:tabs>
          <w:tab w:val="left" w:pos="709"/>
        </w:tabs>
        <w:rPr>
          <w:sz w:val="20"/>
          <w:u w:val="single"/>
        </w:rPr>
      </w:pPr>
    </w:p>
    <w:p w:rsidR="00D36C61" w:rsidRPr="00F13C21" w:rsidRDefault="00D36C61" w:rsidP="004252B2">
      <w:pPr>
        <w:pStyle w:val="ListParagraph"/>
        <w:keepNext/>
        <w:keepLines/>
        <w:numPr>
          <w:ilvl w:val="0"/>
          <w:numId w:val="37"/>
        </w:numPr>
        <w:jc w:val="both"/>
        <w:rPr>
          <w:rFonts w:ascii="Arial" w:hAnsi="Arial" w:cs="Arial"/>
          <w:sz w:val="20"/>
          <w:lang w:val="es-ES"/>
        </w:rPr>
      </w:pPr>
      <w:r w:rsidRPr="00F13C21">
        <w:rPr>
          <w:rFonts w:ascii="Arial" w:hAnsi="Arial" w:cs="Arial"/>
          <w:sz w:val="20"/>
          <w:lang w:val="es-ES"/>
        </w:rPr>
        <w:t xml:space="preserve">En el marco del programa se seguirá participando en diálogos de política sobre la P.I. y los </w:t>
      </w:r>
      <w:r>
        <w:rPr>
          <w:rFonts w:ascii="Arial" w:hAnsi="Arial" w:cs="Arial"/>
          <w:sz w:val="20"/>
          <w:lang w:val="es-ES"/>
        </w:rPr>
        <w:t>desafío</w:t>
      </w:r>
      <w:r w:rsidRPr="00F13C21">
        <w:rPr>
          <w:rFonts w:ascii="Arial" w:hAnsi="Arial" w:cs="Arial"/>
          <w:sz w:val="20"/>
          <w:lang w:val="es-ES"/>
        </w:rPr>
        <w:t>s mundiales con el fin de reforzar el p</w:t>
      </w:r>
      <w:r>
        <w:rPr>
          <w:rFonts w:ascii="Arial" w:hAnsi="Arial" w:cs="Arial"/>
          <w:sz w:val="20"/>
          <w:lang w:val="es-ES"/>
        </w:rPr>
        <w:t>apel</w:t>
      </w:r>
      <w:r w:rsidRPr="00F13C21">
        <w:rPr>
          <w:rFonts w:ascii="Arial" w:hAnsi="Arial" w:cs="Arial"/>
          <w:sz w:val="20"/>
          <w:lang w:val="es-ES"/>
        </w:rPr>
        <w:t xml:space="preserve"> de la OMPI como fuente creíble de información y análisis basados en datos empíricos, y servir de foro para el debate internacional mediante la cooperación formal con otros organismos de las NN.UU. y organizaciones intergubernamentales.  La labor se orientará en función de la pertenencia de la P.I. y la innovación para la salud mundial, el cambio climático y la seguridad alimentaria, la A.D. y la Agenda </w:t>
      </w:r>
      <w:r w:rsidR="004252B2">
        <w:rPr>
          <w:rFonts w:ascii="Arial" w:hAnsi="Arial" w:cs="Arial"/>
          <w:sz w:val="20"/>
          <w:lang w:val="es-ES"/>
        </w:rPr>
        <w:t xml:space="preserve">de las NN.UU. </w:t>
      </w:r>
      <w:r w:rsidRPr="00F13C21">
        <w:rPr>
          <w:rFonts w:ascii="Arial" w:hAnsi="Arial" w:cs="Arial"/>
          <w:sz w:val="20"/>
          <w:lang w:val="es-ES"/>
        </w:rPr>
        <w:t xml:space="preserve">para el </w:t>
      </w:r>
      <w:r w:rsidR="004252B2" w:rsidRPr="00F13C21">
        <w:rPr>
          <w:rFonts w:ascii="Arial" w:hAnsi="Arial" w:cs="Arial"/>
          <w:sz w:val="20"/>
          <w:lang w:val="es-ES"/>
        </w:rPr>
        <w:t xml:space="preserve">Desarrollo </w:t>
      </w:r>
      <w:r w:rsidR="004252B2">
        <w:rPr>
          <w:rFonts w:ascii="Arial" w:hAnsi="Arial" w:cs="Arial"/>
          <w:sz w:val="20"/>
          <w:lang w:val="es-ES"/>
        </w:rPr>
        <w:t>después del 2015</w:t>
      </w:r>
      <w:r w:rsidRPr="00F13C21">
        <w:rPr>
          <w:rFonts w:ascii="Arial" w:hAnsi="Arial" w:cs="Arial"/>
          <w:sz w:val="20"/>
          <w:lang w:val="es-ES"/>
        </w:rPr>
        <w:t>.</w:t>
      </w:r>
    </w:p>
    <w:p w:rsidR="00D36C61" w:rsidRPr="00F13C21" w:rsidRDefault="00D36C61" w:rsidP="00D36C61">
      <w:pPr>
        <w:jc w:val="both"/>
        <w:rPr>
          <w:sz w:val="20"/>
        </w:rPr>
      </w:pPr>
    </w:p>
    <w:p w:rsidR="00D36C61" w:rsidRPr="00F13C21" w:rsidRDefault="00D36C61" w:rsidP="00D36C61">
      <w:pPr>
        <w:numPr>
          <w:ilvl w:val="0"/>
          <w:numId w:val="37"/>
        </w:numPr>
        <w:jc w:val="both"/>
        <w:rPr>
          <w:sz w:val="20"/>
        </w:rPr>
      </w:pPr>
      <w:r w:rsidRPr="00F13C21">
        <w:rPr>
          <w:sz w:val="20"/>
        </w:rPr>
        <w:t xml:space="preserve">Se seguirán realizando estudios sobre políticas en torno a cuestiones como la función de la P.I. y la gestión de la P.I. en la innovación, la transferencia y difusión de la tecnología para afrontar los desafíos mundiales.  Se llevarán a cabo análisis sustantivos en forma de informes y documentos que permitan comprender mejor los factores estratégicos </w:t>
      </w:r>
      <w:r>
        <w:rPr>
          <w:sz w:val="20"/>
        </w:rPr>
        <w:t>y</w:t>
      </w:r>
      <w:r w:rsidRPr="00F13C21">
        <w:rPr>
          <w:sz w:val="20"/>
        </w:rPr>
        <w:t xml:space="preserve"> de política</w:t>
      </w:r>
      <w:r>
        <w:rPr>
          <w:sz w:val="20"/>
        </w:rPr>
        <w:t xml:space="preserve"> de la innovación</w:t>
      </w:r>
      <w:r w:rsidRPr="00F13C21">
        <w:rPr>
          <w:sz w:val="20"/>
        </w:rPr>
        <w:t xml:space="preserve">;  </w:t>
      </w:r>
      <w:r w:rsidR="004252B2">
        <w:rPr>
          <w:sz w:val="20"/>
        </w:rPr>
        <w:t xml:space="preserve">y </w:t>
      </w:r>
      <w:r w:rsidRPr="00F13C21">
        <w:rPr>
          <w:sz w:val="20"/>
        </w:rPr>
        <w:t xml:space="preserve">demuestren de manera dinámica el </w:t>
      </w:r>
      <w:r w:rsidR="004252B2">
        <w:rPr>
          <w:sz w:val="20"/>
        </w:rPr>
        <w:t xml:space="preserve">valor de la P.I. como </w:t>
      </w:r>
      <w:r w:rsidRPr="00F13C21">
        <w:rPr>
          <w:sz w:val="20"/>
        </w:rPr>
        <w:t>herramienta</w:t>
      </w:r>
      <w:r w:rsidR="004252B2">
        <w:rPr>
          <w:sz w:val="20"/>
        </w:rPr>
        <w:t xml:space="preserve"> de desarrollo.  Ello supone</w:t>
      </w:r>
      <w:r w:rsidRPr="00F13C21">
        <w:rPr>
          <w:sz w:val="20"/>
        </w:rPr>
        <w:t xml:space="preserve"> el intercambio de experiencias resultante</w:t>
      </w:r>
      <w:r w:rsidR="004252B2">
        <w:rPr>
          <w:sz w:val="20"/>
        </w:rPr>
        <w:t>s</w:t>
      </w:r>
      <w:r w:rsidRPr="00F13C21">
        <w:rPr>
          <w:sz w:val="20"/>
        </w:rPr>
        <w:t xml:space="preserve"> de </w:t>
      </w:r>
      <w:r w:rsidR="004252B2">
        <w:rPr>
          <w:sz w:val="20"/>
        </w:rPr>
        <w:t>amba</w:t>
      </w:r>
      <w:r w:rsidRPr="00F13C21">
        <w:rPr>
          <w:sz w:val="20"/>
        </w:rPr>
        <w:t>s plataformas a través de estudios de caso destinados a sensibilizar sobre las actividades del programa.</w:t>
      </w:r>
    </w:p>
    <w:p w:rsidR="00D36C61" w:rsidRPr="00F13C21" w:rsidRDefault="00D36C61" w:rsidP="00D36C61">
      <w:pPr>
        <w:jc w:val="both"/>
        <w:rPr>
          <w:sz w:val="20"/>
        </w:rPr>
      </w:pPr>
    </w:p>
    <w:p w:rsidR="00D36C61" w:rsidRPr="00F13C21" w:rsidRDefault="00D36C61" w:rsidP="00D36C61">
      <w:pPr>
        <w:numPr>
          <w:ilvl w:val="0"/>
          <w:numId w:val="37"/>
        </w:numPr>
        <w:jc w:val="both"/>
        <w:rPr>
          <w:sz w:val="20"/>
        </w:rPr>
      </w:pPr>
      <w:r w:rsidRPr="00F13C21">
        <w:rPr>
          <w:spacing w:val="2"/>
          <w:sz w:val="20"/>
        </w:rPr>
        <w:t xml:space="preserve">Asimismo, en respuesta a las solicitudes de los Estados miembros, las OIG, la sociedad civil y demás partes interesadas, el programa presentará contribuciones, cuando proceda, en los foros relacionados con las cuestiones fundamentales abordadas en el programa.  La participación constructiva de la OMPI en los debates pertinentes de política pública brinda apoyo a otros actores y contribuye a que la OMPI sea el foro y la referencia en materia de P.I., </w:t>
      </w:r>
      <w:r>
        <w:rPr>
          <w:spacing w:val="2"/>
          <w:sz w:val="20"/>
        </w:rPr>
        <w:t>habida cuenta de</w:t>
      </w:r>
      <w:r w:rsidRPr="00F13C21">
        <w:rPr>
          <w:spacing w:val="2"/>
          <w:sz w:val="20"/>
        </w:rPr>
        <w:t xml:space="preserve"> que aborda cuestiones mundiales de política pública</w:t>
      </w:r>
      <w:r w:rsidRPr="00F13C21">
        <w:rPr>
          <w:sz w:val="20"/>
        </w:rPr>
        <w:t>.  Una parte fundamental de ese objetivo es la exitosa colaboración trilateral que se entablado en el marco del programa con la Organización Mundial de la Salud (OMS) y la Organización Mundial del Comercio (OMC).</w:t>
      </w:r>
    </w:p>
    <w:p w:rsidR="00D36C61" w:rsidRPr="00F13C21" w:rsidRDefault="00D36C61" w:rsidP="00D36C61">
      <w:pPr>
        <w:rPr>
          <w:sz w:val="20"/>
        </w:rPr>
      </w:pPr>
    </w:p>
    <w:p w:rsidR="00D36C61" w:rsidRPr="00E33FD1" w:rsidRDefault="00D36C61" w:rsidP="00D36C61">
      <w:pPr>
        <w:rPr>
          <w:sz w:val="20"/>
          <w:u w:val="single"/>
        </w:rPr>
      </w:pPr>
      <w:r w:rsidRPr="00FD2351">
        <w:rPr>
          <w:sz w:val="20"/>
          <w:u w:val="single"/>
        </w:rPr>
        <w:t xml:space="preserve">Potenciar las capacidades de los recursos humanos </w:t>
      </w:r>
      <w:r>
        <w:rPr>
          <w:sz w:val="20"/>
          <w:u w:val="single"/>
        </w:rPr>
        <w:t>en lo que respecta a</w:t>
      </w:r>
      <w:r w:rsidRPr="00FD2351">
        <w:rPr>
          <w:sz w:val="20"/>
          <w:u w:val="single"/>
        </w:rPr>
        <w:t xml:space="preserve"> las relaciones entre los desafíos mundiales, la innovación y la transferencia de tecnología</w:t>
      </w:r>
      <w:r w:rsidRPr="00E33FD1">
        <w:rPr>
          <w:sz w:val="20"/>
          <w:u w:val="single"/>
        </w:rPr>
        <w:t xml:space="preserve">  </w:t>
      </w:r>
    </w:p>
    <w:p w:rsidR="00D36C61" w:rsidRPr="00F13C21" w:rsidRDefault="00D36C61" w:rsidP="00D36C61">
      <w:pPr>
        <w:rPr>
          <w:sz w:val="20"/>
          <w:u w:val="single"/>
        </w:rPr>
      </w:pPr>
    </w:p>
    <w:p w:rsidR="00C413C9" w:rsidRPr="007F0AB4" w:rsidRDefault="00D36C61" w:rsidP="00C413C9">
      <w:pPr>
        <w:numPr>
          <w:ilvl w:val="0"/>
          <w:numId w:val="37"/>
        </w:numPr>
        <w:jc w:val="both"/>
        <w:rPr>
          <w:sz w:val="20"/>
          <w:lang w:val="es-ES_tradnl"/>
        </w:rPr>
      </w:pPr>
      <w:r w:rsidRPr="00F13C21">
        <w:rPr>
          <w:sz w:val="20"/>
        </w:rPr>
        <w:t>Un aspecto fundamental de esta labor será la determinación de posibles sinergias con otros programas de la OMPI.  Por ejemplo, a medida que las plataformas sustantivas vayan desarrollándose</w:t>
      </w:r>
      <w:r>
        <w:rPr>
          <w:sz w:val="20"/>
        </w:rPr>
        <w:t>,</w:t>
      </w:r>
      <w:r w:rsidRPr="00F13C21">
        <w:rPr>
          <w:sz w:val="20"/>
        </w:rPr>
        <w:t xml:space="preserve"> podrán servir cada vez más como puntos de entrada que permitan a las instituciones de los países en desarrollo acceder a toda una gama de servicios y programas de formación pertinentes de la OMPI y</w:t>
      </w:r>
      <w:r>
        <w:rPr>
          <w:sz w:val="20"/>
        </w:rPr>
        <w:t>,</w:t>
      </w:r>
      <w:r w:rsidRPr="00F13C21">
        <w:rPr>
          <w:sz w:val="20"/>
        </w:rPr>
        <w:t xml:space="preserve"> por ende</w:t>
      </w:r>
      <w:r>
        <w:rPr>
          <w:sz w:val="20"/>
        </w:rPr>
        <w:t>,</w:t>
      </w:r>
      <w:r w:rsidRPr="00F13C21">
        <w:rPr>
          <w:sz w:val="20"/>
        </w:rPr>
        <w:t xml:space="preserve"> a informaciones técnicas sobre la P.I. (p. ej. bases de datos sobre patentes).  Los proyectos que se financian con fondos fiduciarios se mantendrán y se basarán en los logros conseguidos en los bienios anteriores.</w:t>
      </w:r>
    </w:p>
    <w:p w:rsidR="00C644DC" w:rsidRPr="004252B2" w:rsidRDefault="00C644DC" w:rsidP="00C644DC">
      <w:pPr>
        <w:jc w:val="both"/>
        <w:rPr>
          <w:sz w:val="20"/>
          <w:lang w:val="es-ES_tradnl"/>
        </w:rPr>
      </w:pPr>
    </w:p>
    <w:p w:rsidR="00D36C61" w:rsidRPr="004252B2" w:rsidRDefault="004252B2" w:rsidP="004252B2">
      <w:pPr>
        <w:numPr>
          <w:ilvl w:val="0"/>
          <w:numId w:val="37"/>
        </w:numPr>
        <w:jc w:val="both"/>
        <w:rPr>
          <w:sz w:val="20"/>
        </w:rPr>
      </w:pPr>
      <w:r>
        <w:rPr>
          <w:sz w:val="20"/>
        </w:rPr>
        <w:t>El p</w:t>
      </w:r>
      <w:r w:rsidR="00C644DC" w:rsidRPr="004252B2">
        <w:rPr>
          <w:sz w:val="20"/>
        </w:rPr>
        <w:t>rogram</w:t>
      </w:r>
      <w:r>
        <w:rPr>
          <w:sz w:val="20"/>
        </w:rPr>
        <w:t>a</w:t>
      </w:r>
      <w:r w:rsidR="00C644DC" w:rsidRPr="004252B2">
        <w:rPr>
          <w:sz w:val="20"/>
        </w:rPr>
        <w:t xml:space="preserve"> 18 colabora</w:t>
      </w:r>
      <w:r>
        <w:rPr>
          <w:sz w:val="20"/>
        </w:rPr>
        <w:t xml:space="preserve"> principalmente con los programas siguientes:</w:t>
      </w:r>
    </w:p>
    <w:p w:rsidR="00D36C61" w:rsidRPr="00984EFC" w:rsidRDefault="00D36C61" w:rsidP="00D36C61">
      <w:pPr>
        <w:tabs>
          <w:tab w:val="left" w:pos="567"/>
          <w:tab w:val="left" w:pos="1985"/>
        </w:tabs>
        <w:jc w:val="both"/>
        <w:rPr>
          <w:bCs/>
          <w:sz w:val="20"/>
          <w:lang w:val="es-ES_tradnl"/>
        </w:rPr>
      </w:pPr>
    </w:p>
    <w:p w:rsidR="00D36C61" w:rsidRPr="00F13C21" w:rsidRDefault="00D36C61" w:rsidP="00D36C61">
      <w:pPr>
        <w:tabs>
          <w:tab w:val="left" w:pos="567"/>
          <w:tab w:val="left" w:pos="1985"/>
        </w:tabs>
        <w:jc w:val="both"/>
        <w:rPr>
          <w:bCs/>
          <w:sz w:val="20"/>
        </w:rPr>
      </w:pPr>
      <w:r w:rsidRPr="00F13C21">
        <w:rPr>
          <w:noProof/>
          <w:lang w:val="en-US" w:eastAsia="en-US"/>
        </w:rPr>
        <w:drawing>
          <wp:inline distT="0" distB="0" distL="0" distR="0" wp14:anchorId="6F92FE7C" wp14:editId="7539D254">
            <wp:extent cx="5943600" cy="1413040"/>
            <wp:effectExtent l="0" t="0" r="19050" b="0"/>
            <wp:docPr id="32"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0" r:lo="rId171" r:qs="rId172" r:cs="rId173"/>
              </a:graphicData>
            </a:graphic>
          </wp:inline>
        </w:drawing>
      </w:r>
    </w:p>
    <w:p w:rsidR="00D36C61" w:rsidRPr="00F13C21" w:rsidRDefault="00D36C61" w:rsidP="00D36C61">
      <w:pPr>
        <w:tabs>
          <w:tab w:val="left" w:pos="567"/>
          <w:tab w:val="left" w:pos="1985"/>
        </w:tabs>
        <w:jc w:val="both"/>
        <w:rPr>
          <w:bCs/>
          <w:sz w:val="20"/>
        </w:rPr>
      </w:pPr>
    </w:p>
    <w:p w:rsidR="00C6366D" w:rsidRDefault="00C6366D">
      <w:pPr>
        <w:rPr>
          <w:bCs/>
          <w:sz w:val="20"/>
        </w:rPr>
      </w:pPr>
      <w:r>
        <w:rPr>
          <w:bCs/>
          <w:sz w:val="20"/>
        </w:rPr>
        <w:br w:type="page"/>
      </w:r>
    </w:p>
    <w:p w:rsidR="00D36C61" w:rsidRPr="00F13C21" w:rsidRDefault="00D36C61" w:rsidP="00D36C61">
      <w:pPr>
        <w:tabs>
          <w:tab w:val="left" w:pos="567"/>
          <w:tab w:val="left" w:pos="1985"/>
        </w:tabs>
        <w:jc w:val="both"/>
        <w:rPr>
          <w:bCs/>
          <w:sz w:val="20"/>
        </w:rPr>
      </w:pPr>
    </w:p>
    <w:p w:rsidR="00D36C61" w:rsidRPr="00027F4F" w:rsidRDefault="00D36C61" w:rsidP="00D36C61">
      <w:pPr>
        <w:tabs>
          <w:tab w:val="left" w:pos="567"/>
          <w:tab w:val="left" w:pos="1985"/>
        </w:tabs>
        <w:jc w:val="both"/>
        <w:rPr>
          <w:bCs/>
          <w:szCs w:val="22"/>
          <w:lang w:val="es-ES_tradnl"/>
        </w:rPr>
      </w:pPr>
      <w:r w:rsidRPr="00027F4F">
        <w:rPr>
          <w:bCs/>
          <w:szCs w:val="22"/>
          <w:lang w:val="es-ES_tradnl"/>
        </w:rPr>
        <w:t>PRINCIPALES RIESGOS Y ESTRATEGIAS DE MITIGACIÓN</w:t>
      </w:r>
    </w:p>
    <w:p w:rsidR="00D36C61" w:rsidRPr="00F13C21" w:rsidRDefault="00D36C61" w:rsidP="00D36C61">
      <w:pPr>
        <w:rPr>
          <w:sz w:val="16"/>
          <w:szCs w:val="16"/>
          <w:lang w:val="es-ES_tradn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D36C61" w:rsidRPr="00F13C21" w:rsidTr="004252B2">
        <w:trPr>
          <w:trHeight w:val="577"/>
        </w:trPr>
        <w:tc>
          <w:tcPr>
            <w:tcW w:w="4111" w:type="dxa"/>
            <w:tcBorders>
              <w:top w:val="single" w:sz="4" w:space="0" w:color="auto"/>
              <w:bottom w:val="single" w:sz="4" w:space="0" w:color="auto"/>
            </w:tcBorders>
            <w:shd w:val="clear" w:color="auto" w:fill="C6D9F1"/>
            <w:vAlign w:val="center"/>
          </w:tcPr>
          <w:p w:rsidR="00D36C61" w:rsidRPr="00F13C21" w:rsidRDefault="00D36C61" w:rsidP="00C6366D">
            <w:pPr>
              <w:jc w:val="center"/>
              <w:rPr>
                <w:b/>
                <w:bCs/>
                <w:sz w:val="18"/>
                <w:szCs w:val="18"/>
              </w:rPr>
            </w:pPr>
            <w:r w:rsidRPr="00F13C21">
              <w:rPr>
                <w:b/>
                <w:bCs/>
                <w:color w:val="000000"/>
                <w:sz w:val="18"/>
                <w:szCs w:val="18"/>
                <w:lang w:val="es-ES_tradnl"/>
              </w:rPr>
              <w:t>Riesgo</w:t>
            </w:r>
          </w:p>
        </w:tc>
        <w:tc>
          <w:tcPr>
            <w:tcW w:w="5103" w:type="dxa"/>
            <w:tcBorders>
              <w:top w:val="single" w:sz="4" w:space="0" w:color="auto"/>
              <w:bottom w:val="single" w:sz="4" w:space="0" w:color="auto"/>
            </w:tcBorders>
            <w:shd w:val="clear" w:color="auto" w:fill="C6D9F1"/>
            <w:vAlign w:val="center"/>
          </w:tcPr>
          <w:p w:rsidR="00D36C61" w:rsidRPr="00F13C21" w:rsidRDefault="00D36C61" w:rsidP="00C6366D">
            <w:pPr>
              <w:jc w:val="center"/>
              <w:rPr>
                <w:b/>
                <w:bCs/>
                <w:sz w:val="18"/>
                <w:szCs w:val="18"/>
              </w:rPr>
            </w:pPr>
            <w:r w:rsidRPr="00027F4F">
              <w:rPr>
                <w:b/>
                <w:bCs/>
                <w:sz w:val="18"/>
                <w:szCs w:val="18"/>
              </w:rPr>
              <w:t>Mitigación</w:t>
            </w:r>
          </w:p>
        </w:tc>
      </w:tr>
      <w:tr w:rsidR="00D36C61" w:rsidRPr="009573A5" w:rsidTr="00C6366D">
        <w:trPr>
          <w:trHeight w:val="147"/>
        </w:trPr>
        <w:tc>
          <w:tcPr>
            <w:tcW w:w="4111" w:type="dxa"/>
            <w:tcBorders>
              <w:top w:val="single" w:sz="4" w:space="0" w:color="auto"/>
            </w:tcBorders>
            <w:shd w:val="clear" w:color="auto" w:fill="auto"/>
            <w:tcMar>
              <w:top w:w="113" w:type="dxa"/>
              <w:bottom w:w="113" w:type="dxa"/>
            </w:tcMar>
          </w:tcPr>
          <w:p w:rsidR="00D36C61" w:rsidRPr="00F13C21" w:rsidRDefault="00D36C61" w:rsidP="00C6366D">
            <w:pPr>
              <w:rPr>
                <w:sz w:val="16"/>
                <w:szCs w:val="16"/>
              </w:rPr>
            </w:pPr>
            <w:r w:rsidRPr="00F13C21">
              <w:rPr>
                <w:color w:val="000000"/>
                <w:sz w:val="16"/>
                <w:szCs w:val="16"/>
              </w:rPr>
              <w:t xml:space="preserve">La falta de compromiso por parte de los miembros o asociados con respecto a </w:t>
            </w:r>
            <w:r w:rsidR="004252B2" w:rsidRPr="004252B2">
              <w:rPr>
                <w:i/>
                <w:color w:val="000000"/>
                <w:sz w:val="16"/>
                <w:szCs w:val="16"/>
              </w:rPr>
              <w:t xml:space="preserve">WIPO </w:t>
            </w:r>
            <w:proofErr w:type="spellStart"/>
            <w:r w:rsidR="004252B2" w:rsidRPr="004252B2">
              <w:rPr>
                <w:i/>
                <w:color w:val="000000"/>
                <w:sz w:val="16"/>
                <w:szCs w:val="16"/>
              </w:rPr>
              <w:t>Re</w:t>
            </w:r>
            <w:proofErr w:type="gramStart"/>
            <w:r w:rsidR="004252B2" w:rsidRPr="004252B2">
              <w:rPr>
                <w:i/>
                <w:color w:val="000000"/>
                <w:sz w:val="16"/>
                <w:szCs w:val="16"/>
              </w:rPr>
              <w:t>:Search</w:t>
            </w:r>
            <w:proofErr w:type="spellEnd"/>
            <w:proofErr w:type="gramEnd"/>
            <w:r w:rsidRPr="00F13C21">
              <w:rPr>
                <w:color w:val="000000"/>
                <w:sz w:val="16"/>
                <w:szCs w:val="16"/>
              </w:rPr>
              <w:t xml:space="preserve"> y </w:t>
            </w:r>
            <w:r w:rsidRPr="004252B2">
              <w:rPr>
                <w:i/>
                <w:color w:val="000000"/>
                <w:sz w:val="16"/>
                <w:szCs w:val="16"/>
              </w:rPr>
              <w:t>WIPO GREEN</w:t>
            </w:r>
            <w:r w:rsidRPr="00F13C21">
              <w:rPr>
                <w:color w:val="000000"/>
                <w:sz w:val="16"/>
                <w:szCs w:val="16"/>
              </w:rPr>
              <w:t xml:space="preserve"> podría dar lugar a contribuciones insuficientes, lo que restaría credibilidad a las plataformas.</w:t>
            </w:r>
            <w:r w:rsidRPr="00F13C21" w:rsidDel="008D4CE6">
              <w:rPr>
                <w:color w:val="000000"/>
                <w:sz w:val="16"/>
                <w:szCs w:val="16"/>
              </w:rPr>
              <w:t xml:space="preserve"> </w:t>
            </w:r>
          </w:p>
        </w:tc>
        <w:tc>
          <w:tcPr>
            <w:tcW w:w="5103" w:type="dxa"/>
            <w:tcBorders>
              <w:top w:val="single" w:sz="4" w:space="0" w:color="auto"/>
            </w:tcBorders>
            <w:shd w:val="clear" w:color="auto" w:fill="auto"/>
            <w:tcMar>
              <w:top w:w="113" w:type="dxa"/>
              <w:bottom w:w="113" w:type="dxa"/>
            </w:tcMar>
          </w:tcPr>
          <w:p w:rsidR="00D36C61" w:rsidRPr="00F13C21" w:rsidRDefault="004252B2" w:rsidP="00C6366D">
            <w:pPr>
              <w:spacing w:line="276" w:lineRule="auto"/>
              <w:rPr>
                <w:color w:val="000000"/>
                <w:sz w:val="16"/>
                <w:szCs w:val="16"/>
              </w:rPr>
            </w:pPr>
            <w:r w:rsidRPr="004252B2">
              <w:rPr>
                <w:i/>
                <w:color w:val="000000"/>
                <w:sz w:val="16"/>
                <w:szCs w:val="16"/>
              </w:rPr>
              <w:t xml:space="preserve">WIPO </w:t>
            </w:r>
            <w:proofErr w:type="spellStart"/>
            <w:r w:rsidRPr="004252B2">
              <w:rPr>
                <w:i/>
                <w:color w:val="000000"/>
                <w:sz w:val="16"/>
                <w:szCs w:val="16"/>
              </w:rPr>
              <w:t>Re</w:t>
            </w:r>
            <w:proofErr w:type="gramStart"/>
            <w:r w:rsidRPr="004252B2">
              <w:rPr>
                <w:i/>
                <w:color w:val="000000"/>
                <w:sz w:val="16"/>
                <w:szCs w:val="16"/>
              </w:rPr>
              <w:t>:Search</w:t>
            </w:r>
            <w:proofErr w:type="spellEnd"/>
            <w:proofErr w:type="gramEnd"/>
            <w:r w:rsidR="00D36C61" w:rsidRPr="00F13C21">
              <w:rPr>
                <w:color w:val="000000"/>
                <w:sz w:val="16"/>
                <w:szCs w:val="16"/>
              </w:rPr>
              <w:t>:  dedicar más esfuerzos a la potenciación de los recursos y las actividades del Centro de vínculos de cooperación.</w:t>
            </w:r>
          </w:p>
          <w:p w:rsidR="00D36C61" w:rsidRPr="00F13C21" w:rsidRDefault="00D36C61" w:rsidP="00C6366D">
            <w:pPr>
              <w:rPr>
                <w:color w:val="000000"/>
                <w:sz w:val="8"/>
                <w:szCs w:val="8"/>
              </w:rPr>
            </w:pPr>
          </w:p>
          <w:p w:rsidR="00D36C61" w:rsidRPr="00F13C21" w:rsidRDefault="00D36C61" w:rsidP="00C6366D">
            <w:pPr>
              <w:rPr>
                <w:sz w:val="16"/>
                <w:szCs w:val="16"/>
              </w:rPr>
            </w:pPr>
            <w:r w:rsidRPr="004252B2">
              <w:rPr>
                <w:i/>
                <w:color w:val="000000"/>
                <w:sz w:val="16"/>
                <w:szCs w:val="16"/>
              </w:rPr>
              <w:t>WIPO GREEN</w:t>
            </w:r>
            <w:proofErr w:type="gramStart"/>
            <w:r w:rsidRPr="00F13C21">
              <w:rPr>
                <w:color w:val="000000"/>
                <w:sz w:val="16"/>
                <w:szCs w:val="16"/>
              </w:rPr>
              <w:t>:  asegurar</w:t>
            </w:r>
            <w:proofErr w:type="gramEnd"/>
            <w:r w:rsidRPr="00F13C21">
              <w:rPr>
                <w:color w:val="000000"/>
                <w:sz w:val="16"/>
                <w:szCs w:val="16"/>
              </w:rPr>
              <w:t xml:space="preserve"> que los servicios prestados se ajusten a las necesidades de los clientes, que las actividades de marketing sean eficaces y que se mantenga una estrecha colaboración con los asociados/partes interesadas actuales. </w:t>
            </w:r>
          </w:p>
        </w:tc>
      </w:tr>
    </w:tbl>
    <w:p w:rsidR="00D36C61" w:rsidRPr="00F13C21" w:rsidRDefault="00D36C61" w:rsidP="00D36C61">
      <w:pPr>
        <w:tabs>
          <w:tab w:val="left" w:pos="567"/>
          <w:tab w:val="left" w:pos="1985"/>
        </w:tabs>
        <w:jc w:val="both"/>
        <w:rPr>
          <w:bCs/>
        </w:rPr>
      </w:pPr>
    </w:p>
    <w:p w:rsidR="00D36C61" w:rsidRPr="00F13C21" w:rsidRDefault="00D36C61" w:rsidP="00D36C61">
      <w:pPr>
        <w:tabs>
          <w:tab w:val="left" w:pos="567"/>
          <w:tab w:val="left" w:pos="1985"/>
        </w:tabs>
        <w:jc w:val="both"/>
        <w:rPr>
          <w:bCs/>
        </w:rPr>
      </w:pPr>
    </w:p>
    <w:p w:rsidR="00D36C61" w:rsidRPr="00027F4F" w:rsidRDefault="00D36C61" w:rsidP="00D36C61">
      <w:pPr>
        <w:keepNext/>
        <w:keepLines/>
        <w:tabs>
          <w:tab w:val="left" w:pos="567"/>
          <w:tab w:val="left" w:pos="1985"/>
        </w:tabs>
        <w:jc w:val="both"/>
        <w:rPr>
          <w:bCs/>
        </w:rPr>
      </w:pPr>
      <w:r w:rsidRPr="00027F4F">
        <w:rPr>
          <w:bCs/>
          <w:lang w:val="es-ES_tradnl"/>
        </w:rPr>
        <w:t>MARCO DE RESULTADOS</w:t>
      </w:r>
    </w:p>
    <w:p w:rsidR="00D36C61" w:rsidRPr="00F13C21" w:rsidRDefault="00D36C61" w:rsidP="00D36C61">
      <w:pPr>
        <w:keepNext/>
        <w:keepLines/>
        <w:tabs>
          <w:tab w:val="left" w:pos="567"/>
          <w:tab w:val="left" w:pos="1985"/>
        </w:tabs>
        <w:jc w:val="both"/>
        <w:rPr>
          <w:bCs/>
          <w:sz w:val="20"/>
        </w:rPr>
      </w:pPr>
    </w:p>
    <w:tbl>
      <w:tblPr>
        <w:tblW w:w="9260" w:type="dxa"/>
        <w:tblInd w:w="93" w:type="dxa"/>
        <w:tblLook w:val="04A0" w:firstRow="1" w:lastRow="0" w:firstColumn="1" w:lastColumn="0" w:noHBand="0" w:noVBand="1"/>
      </w:tblPr>
      <w:tblGrid>
        <w:gridCol w:w="2340"/>
        <w:gridCol w:w="2380"/>
        <w:gridCol w:w="2520"/>
        <w:gridCol w:w="2020"/>
      </w:tblGrid>
      <w:tr w:rsidR="00D36C61" w:rsidRPr="00F13C21" w:rsidTr="004252B2">
        <w:trPr>
          <w:trHeight w:val="675"/>
          <w:tblHeader/>
        </w:trPr>
        <w:tc>
          <w:tcPr>
            <w:tcW w:w="2340" w:type="dxa"/>
            <w:tcBorders>
              <w:top w:val="single" w:sz="4" w:space="0" w:color="auto"/>
              <w:left w:val="single" w:sz="4" w:space="0" w:color="auto"/>
              <w:bottom w:val="single" w:sz="4" w:space="0" w:color="auto"/>
              <w:right w:val="nil"/>
            </w:tcBorders>
            <w:shd w:val="clear" w:color="auto" w:fill="C6D9F1"/>
            <w:vAlign w:val="center"/>
            <w:hideMark/>
          </w:tcPr>
          <w:p w:rsidR="00D36C61" w:rsidRPr="00F13C21" w:rsidRDefault="00D36C61" w:rsidP="00C6366D">
            <w:pPr>
              <w:jc w:val="center"/>
              <w:rPr>
                <w:b/>
                <w:bCs/>
                <w:color w:val="000000"/>
                <w:sz w:val="18"/>
                <w:szCs w:val="18"/>
              </w:rPr>
            </w:pPr>
            <w:r w:rsidRPr="00F13C21">
              <w:rPr>
                <w:b/>
                <w:bCs/>
                <w:color w:val="000000"/>
                <w:sz w:val="18"/>
                <w:szCs w:val="18"/>
                <w:lang w:val="es-ES_tradnl"/>
              </w:rPr>
              <w:t>Resultados previstos</w:t>
            </w:r>
          </w:p>
        </w:tc>
        <w:tc>
          <w:tcPr>
            <w:tcW w:w="2380" w:type="dxa"/>
            <w:tcBorders>
              <w:top w:val="single" w:sz="4" w:space="0" w:color="auto"/>
              <w:left w:val="nil"/>
              <w:bottom w:val="single" w:sz="4" w:space="0" w:color="auto"/>
              <w:right w:val="nil"/>
            </w:tcBorders>
            <w:shd w:val="clear" w:color="auto" w:fill="C6D9F1"/>
            <w:vAlign w:val="center"/>
            <w:hideMark/>
          </w:tcPr>
          <w:p w:rsidR="00D36C61" w:rsidRPr="00F13C21" w:rsidRDefault="00D36C61" w:rsidP="00C6366D">
            <w:pPr>
              <w:jc w:val="center"/>
              <w:rPr>
                <w:b/>
                <w:bCs/>
                <w:color w:val="000000"/>
                <w:sz w:val="18"/>
                <w:szCs w:val="18"/>
              </w:rPr>
            </w:pPr>
            <w:r w:rsidRPr="00F13C21">
              <w:rPr>
                <w:b/>
                <w:bCs/>
                <w:color w:val="000000"/>
                <w:sz w:val="18"/>
                <w:szCs w:val="18"/>
                <w:lang w:val="es-ES_tradnl"/>
              </w:rPr>
              <w:t>Indicadores de rendimiento</w:t>
            </w:r>
          </w:p>
        </w:tc>
        <w:tc>
          <w:tcPr>
            <w:tcW w:w="2520" w:type="dxa"/>
            <w:tcBorders>
              <w:top w:val="single" w:sz="4" w:space="0" w:color="auto"/>
              <w:left w:val="nil"/>
              <w:bottom w:val="single" w:sz="4" w:space="0" w:color="auto"/>
              <w:right w:val="nil"/>
            </w:tcBorders>
            <w:shd w:val="clear" w:color="auto" w:fill="C6D9F1"/>
            <w:vAlign w:val="center"/>
            <w:hideMark/>
          </w:tcPr>
          <w:p w:rsidR="00D36C61" w:rsidRPr="00F13C21" w:rsidRDefault="00D36C61" w:rsidP="00C6366D">
            <w:pPr>
              <w:jc w:val="center"/>
              <w:rPr>
                <w:b/>
                <w:bCs/>
                <w:color w:val="000000"/>
                <w:sz w:val="18"/>
                <w:szCs w:val="18"/>
              </w:rPr>
            </w:pPr>
            <w:r w:rsidRPr="00F13C21">
              <w:rPr>
                <w:b/>
                <w:bCs/>
                <w:color w:val="000000"/>
                <w:sz w:val="18"/>
                <w:szCs w:val="18"/>
                <w:lang w:val="es-ES_tradnl"/>
              </w:rPr>
              <w:t>Referencia</w:t>
            </w:r>
          </w:p>
        </w:tc>
        <w:tc>
          <w:tcPr>
            <w:tcW w:w="2020" w:type="dxa"/>
            <w:tcBorders>
              <w:top w:val="single" w:sz="4" w:space="0" w:color="auto"/>
              <w:left w:val="nil"/>
              <w:bottom w:val="single" w:sz="4" w:space="0" w:color="auto"/>
              <w:right w:val="single" w:sz="4" w:space="0" w:color="auto"/>
            </w:tcBorders>
            <w:shd w:val="clear" w:color="auto" w:fill="C6D9F1"/>
            <w:vAlign w:val="center"/>
            <w:hideMark/>
          </w:tcPr>
          <w:p w:rsidR="00D36C61" w:rsidRPr="00F13C21" w:rsidRDefault="00D36C61" w:rsidP="00C6366D">
            <w:pPr>
              <w:jc w:val="center"/>
              <w:rPr>
                <w:b/>
                <w:bCs/>
                <w:color w:val="000000"/>
                <w:sz w:val="18"/>
                <w:szCs w:val="18"/>
              </w:rPr>
            </w:pPr>
            <w:r w:rsidRPr="00F13C21">
              <w:rPr>
                <w:b/>
                <w:bCs/>
                <w:color w:val="000000"/>
                <w:sz w:val="18"/>
                <w:szCs w:val="18"/>
                <w:lang w:val="es-ES_tradnl"/>
              </w:rPr>
              <w:t>Objetivos</w:t>
            </w:r>
          </w:p>
        </w:tc>
      </w:tr>
      <w:tr w:rsidR="00D36C61" w:rsidRPr="009573A5" w:rsidTr="00C6366D">
        <w:trPr>
          <w:trHeight w:val="2384"/>
        </w:trPr>
        <w:tc>
          <w:tcPr>
            <w:tcW w:w="2340" w:type="dxa"/>
            <w:tcBorders>
              <w:top w:val="nil"/>
              <w:left w:val="single" w:sz="4" w:space="0" w:color="auto"/>
              <w:right w:val="nil"/>
            </w:tcBorders>
            <w:shd w:val="clear" w:color="000000" w:fill="FFFFFF"/>
            <w:hideMark/>
          </w:tcPr>
          <w:p w:rsidR="00D36C61" w:rsidRPr="004252B2" w:rsidRDefault="00D36C61" w:rsidP="00C6366D">
            <w:pPr>
              <w:rPr>
                <w:sz w:val="16"/>
                <w:szCs w:val="16"/>
                <w:lang w:val="es-ES_tradnl"/>
              </w:rPr>
            </w:pPr>
            <w:r w:rsidRPr="004252B2">
              <w:rPr>
                <w:sz w:val="16"/>
                <w:szCs w:val="16"/>
                <w:lang w:val="es-ES_tradnl"/>
              </w:rPr>
              <w:br/>
              <w:t xml:space="preserve">III.2 </w:t>
            </w:r>
            <w:r w:rsidR="006C23D5" w:rsidRPr="004252B2">
              <w:rPr>
                <w:sz w:val="16"/>
                <w:szCs w:val="16"/>
                <w:lang w:val="es-ES_tradnl"/>
              </w:rPr>
              <w:t xml:space="preserve"> Aumento de las capacidades en recursos humanos para hacer frente a la gran diversidad de exigencias que supone la utilización eficaz de la P.I. para fomentar el desarrollo en los países en desarrollo, PMA y países con economías en transición</w:t>
            </w:r>
          </w:p>
        </w:tc>
        <w:tc>
          <w:tcPr>
            <w:tcW w:w="2380" w:type="dxa"/>
            <w:tcBorders>
              <w:top w:val="nil"/>
              <w:left w:val="nil"/>
              <w:right w:val="nil"/>
            </w:tcBorders>
            <w:shd w:val="clear" w:color="000000" w:fill="FFFFFF"/>
            <w:hideMark/>
          </w:tcPr>
          <w:p w:rsidR="00D36C61" w:rsidRPr="00F13C21" w:rsidRDefault="00D36C61" w:rsidP="000C438B">
            <w:pPr>
              <w:ind w:left="59"/>
              <w:rPr>
                <w:color w:val="000000"/>
                <w:sz w:val="16"/>
                <w:szCs w:val="16"/>
              </w:rPr>
            </w:pPr>
            <w:r w:rsidRPr="00F13C21">
              <w:rPr>
                <w:color w:val="000000"/>
                <w:sz w:val="16"/>
                <w:szCs w:val="16"/>
                <w:lang w:val="es-ES_tradnl"/>
              </w:rPr>
              <w:t xml:space="preserve"> </w:t>
            </w:r>
            <w:r w:rsidRPr="00F13C21">
              <w:rPr>
                <w:color w:val="000000"/>
                <w:sz w:val="16"/>
                <w:szCs w:val="16"/>
              </w:rPr>
              <w:br/>
              <w:t>N</w:t>
            </w:r>
            <w:r w:rsidR="000C438B">
              <w:rPr>
                <w:color w:val="000000"/>
                <w:sz w:val="16"/>
                <w:szCs w:val="16"/>
              </w:rPr>
              <w:t>º</w:t>
            </w:r>
            <w:r w:rsidRPr="00F13C21">
              <w:rPr>
                <w:color w:val="000000"/>
                <w:sz w:val="16"/>
                <w:szCs w:val="16"/>
              </w:rPr>
              <w:t xml:space="preserve"> de acuerdos de acogida de científicos de países en desarrollo.</w:t>
            </w:r>
          </w:p>
          <w:p w:rsidR="00D36C61" w:rsidRDefault="00D36C61" w:rsidP="00C6366D">
            <w:pPr>
              <w:ind w:left="261" w:firstLineChars="36" w:firstLine="58"/>
              <w:rPr>
                <w:color w:val="000000"/>
                <w:sz w:val="16"/>
                <w:szCs w:val="16"/>
              </w:rPr>
            </w:pPr>
          </w:p>
          <w:p w:rsidR="00D36C61" w:rsidRPr="00F13C21" w:rsidRDefault="00D36C61" w:rsidP="00C6366D">
            <w:pPr>
              <w:ind w:left="261" w:firstLineChars="36" w:firstLine="58"/>
              <w:rPr>
                <w:color w:val="000000"/>
                <w:sz w:val="16"/>
                <w:szCs w:val="16"/>
              </w:rPr>
            </w:pPr>
          </w:p>
          <w:p w:rsidR="00D36C61" w:rsidRPr="00F13C21" w:rsidRDefault="00D36C61" w:rsidP="000C438B">
            <w:pPr>
              <w:ind w:left="59"/>
              <w:rPr>
                <w:color w:val="000000"/>
                <w:sz w:val="16"/>
                <w:szCs w:val="16"/>
              </w:rPr>
            </w:pPr>
            <w:r w:rsidRPr="00F13C21">
              <w:rPr>
                <w:color w:val="000000"/>
                <w:sz w:val="16"/>
                <w:szCs w:val="16"/>
              </w:rPr>
              <w:t xml:space="preserve">Porcentaje de participantes en el módulo </w:t>
            </w:r>
            <w:r>
              <w:rPr>
                <w:color w:val="000000"/>
                <w:sz w:val="16"/>
                <w:szCs w:val="16"/>
              </w:rPr>
              <w:t>de enseñanza a distancia</w:t>
            </w:r>
            <w:r w:rsidRPr="00F13C21">
              <w:rPr>
                <w:color w:val="000000"/>
                <w:sz w:val="16"/>
                <w:szCs w:val="16"/>
              </w:rPr>
              <w:t xml:space="preserve"> sobre P.I. y salud que declaran utilizar la P.I. para el desarrollo mediante la transferencia de conocimientos y la creación de aptitudes</w:t>
            </w:r>
          </w:p>
        </w:tc>
        <w:tc>
          <w:tcPr>
            <w:tcW w:w="2520" w:type="dxa"/>
            <w:tcBorders>
              <w:top w:val="nil"/>
              <w:left w:val="nil"/>
              <w:right w:val="nil"/>
            </w:tcBorders>
            <w:shd w:val="clear" w:color="000000" w:fill="FFFFFF"/>
            <w:hideMark/>
          </w:tcPr>
          <w:p w:rsidR="00D36C61" w:rsidRPr="00F13C21" w:rsidRDefault="00D36C61" w:rsidP="00C6366D">
            <w:pPr>
              <w:ind w:left="290" w:firstLineChars="18" w:firstLine="29"/>
              <w:rPr>
                <w:color w:val="000000"/>
                <w:sz w:val="16"/>
                <w:szCs w:val="16"/>
              </w:rPr>
            </w:pPr>
            <w:r w:rsidRPr="00F13C21">
              <w:rPr>
                <w:color w:val="000000"/>
                <w:sz w:val="16"/>
                <w:szCs w:val="16"/>
              </w:rPr>
              <w:br/>
              <w:t xml:space="preserve">5 </w:t>
            </w:r>
          </w:p>
          <w:p w:rsidR="00D36C61" w:rsidRPr="00F13C21" w:rsidRDefault="00D36C61" w:rsidP="00C6366D">
            <w:pPr>
              <w:ind w:left="290" w:firstLineChars="18" w:firstLine="29"/>
              <w:rPr>
                <w:color w:val="000000"/>
                <w:sz w:val="16"/>
                <w:szCs w:val="16"/>
              </w:rPr>
            </w:pPr>
          </w:p>
          <w:p w:rsidR="00D36C61" w:rsidRPr="00F13C21" w:rsidRDefault="00D36C61" w:rsidP="00C6366D">
            <w:pPr>
              <w:ind w:left="290" w:firstLineChars="18" w:firstLine="29"/>
              <w:rPr>
                <w:color w:val="000000"/>
                <w:sz w:val="16"/>
                <w:szCs w:val="16"/>
              </w:rPr>
            </w:pPr>
          </w:p>
          <w:p w:rsidR="00D36C61" w:rsidRPr="00F13C21" w:rsidRDefault="00D36C61" w:rsidP="00C6366D">
            <w:pPr>
              <w:ind w:left="290" w:firstLineChars="18" w:firstLine="29"/>
              <w:rPr>
                <w:color w:val="000000"/>
                <w:sz w:val="16"/>
                <w:szCs w:val="16"/>
              </w:rPr>
            </w:pPr>
          </w:p>
          <w:p w:rsidR="00D36C61" w:rsidRPr="00F13C21" w:rsidRDefault="00D36C61" w:rsidP="00C6366D">
            <w:pPr>
              <w:ind w:left="290" w:firstLineChars="18" w:firstLine="29"/>
              <w:rPr>
                <w:color w:val="000000"/>
                <w:sz w:val="16"/>
                <w:szCs w:val="16"/>
              </w:rPr>
            </w:pPr>
          </w:p>
          <w:p w:rsidR="00D36C61" w:rsidRPr="00F13C21" w:rsidRDefault="00D36C61" w:rsidP="00C6366D">
            <w:pPr>
              <w:ind w:left="290" w:firstLineChars="18" w:firstLine="29"/>
              <w:rPr>
                <w:color w:val="000000"/>
                <w:sz w:val="16"/>
                <w:szCs w:val="16"/>
              </w:rPr>
            </w:pPr>
            <w:r w:rsidRPr="00027F4F">
              <w:rPr>
                <w:sz w:val="16"/>
                <w:szCs w:val="16"/>
                <w:lang w:val="es-ES_tradnl"/>
              </w:rPr>
              <w:t>No disponible.</w:t>
            </w:r>
          </w:p>
        </w:tc>
        <w:tc>
          <w:tcPr>
            <w:tcW w:w="2020" w:type="dxa"/>
            <w:tcBorders>
              <w:top w:val="nil"/>
              <w:left w:val="nil"/>
              <w:right w:val="single" w:sz="4" w:space="0" w:color="auto"/>
            </w:tcBorders>
            <w:shd w:val="clear" w:color="000000" w:fill="FFFFFF"/>
            <w:hideMark/>
          </w:tcPr>
          <w:p w:rsidR="00D36C61" w:rsidRPr="00F13C21" w:rsidRDefault="00D36C61" w:rsidP="00C6366D">
            <w:pPr>
              <w:ind w:left="180" w:firstLineChars="87" w:firstLine="139"/>
              <w:rPr>
                <w:color w:val="000000"/>
                <w:sz w:val="16"/>
                <w:szCs w:val="16"/>
              </w:rPr>
            </w:pPr>
            <w:r w:rsidRPr="00F13C21">
              <w:rPr>
                <w:color w:val="000000"/>
                <w:sz w:val="16"/>
                <w:szCs w:val="16"/>
              </w:rPr>
              <w:br/>
              <w:t>2 nuevos acuerdos de</w:t>
            </w:r>
          </w:p>
          <w:p w:rsidR="00D36C61" w:rsidRPr="00F13C21" w:rsidRDefault="00D36C61" w:rsidP="00C6366D">
            <w:pPr>
              <w:ind w:left="180"/>
              <w:rPr>
                <w:color w:val="000000"/>
                <w:sz w:val="16"/>
                <w:szCs w:val="16"/>
              </w:rPr>
            </w:pPr>
            <w:r w:rsidRPr="00F13C21">
              <w:rPr>
                <w:color w:val="000000"/>
                <w:sz w:val="16"/>
                <w:szCs w:val="16"/>
              </w:rPr>
              <w:t xml:space="preserve">acogida </w:t>
            </w:r>
          </w:p>
          <w:p w:rsidR="00D36C61" w:rsidRPr="00F13C21" w:rsidRDefault="00D36C61" w:rsidP="00C6366D">
            <w:pPr>
              <w:ind w:left="180" w:firstLineChars="87" w:firstLine="139"/>
              <w:rPr>
                <w:color w:val="000000"/>
                <w:sz w:val="16"/>
                <w:szCs w:val="16"/>
              </w:rPr>
            </w:pPr>
          </w:p>
          <w:p w:rsidR="00D36C61" w:rsidRPr="00F13C21" w:rsidRDefault="00D36C61" w:rsidP="00C6366D">
            <w:pPr>
              <w:ind w:left="180" w:firstLineChars="87" w:firstLine="139"/>
              <w:rPr>
                <w:color w:val="000000"/>
                <w:sz w:val="16"/>
                <w:szCs w:val="16"/>
              </w:rPr>
            </w:pPr>
          </w:p>
          <w:p w:rsidR="00D36C61" w:rsidRPr="00F13C21" w:rsidRDefault="00D36C61" w:rsidP="00C6366D">
            <w:pPr>
              <w:ind w:left="180"/>
              <w:rPr>
                <w:color w:val="000000"/>
                <w:sz w:val="16"/>
                <w:szCs w:val="16"/>
              </w:rPr>
            </w:pPr>
          </w:p>
          <w:p w:rsidR="00D36C61" w:rsidRPr="00F13C21" w:rsidRDefault="00D36C61" w:rsidP="00C6366D">
            <w:pPr>
              <w:ind w:left="180"/>
              <w:rPr>
                <w:color w:val="000000"/>
                <w:sz w:val="16"/>
                <w:szCs w:val="16"/>
              </w:rPr>
            </w:pPr>
            <w:r w:rsidRPr="00F13C21">
              <w:rPr>
                <w:color w:val="000000"/>
                <w:sz w:val="16"/>
                <w:szCs w:val="16"/>
              </w:rPr>
              <w:t>Por lo menos el 70% de los encuestados</w:t>
            </w:r>
          </w:p>
        </w:tc>
      </w:tr>
      <w:tr w:rsidR="00D36C61" w:rsidRPr="009573A5" w:rsidTr="00C6366D">
        <w:trPr>
          <w:trHeight w:val="2799"/>
        </w:trPr>
        <w:tc>
          <w:tcPr>
            <w:tcW w:w="2340" w:type="dxa"/>
            <w:tcBorders>
              <w:top w:val="nil"/>
              <w:left w:val="single" w:sz="4" w:space="0" w:color="auto"/>
              <w:right w:val="nil"/>
            </w:tcBorders>
            <w:shd w:val="clear" w:color="000000" w:fill="FFFFFF"/>
            <w:hideMark/>
          </w:tcPr>
          <w:p w:rsidR="00D36C61" w:rsidRPr="004252B2" w:rsidRDefault="00D36C61" w:rsidP="00C6366D">
            <w:pPr>
              <w:autoSpaceDE w:val="0"/>
              <w:autoSpaceDN w:val="0"/>
              <w:adjustRightInd w:val="0"/>
              <w:rPr>
                <w:sz w:val="16"/>
                <w:szCs w:val="16"/>
              </w:rPr>
            </w:pPr>
          </w:p>
          <w:p w:rsidR="00D36C61" w:rsidRPr="004252B2" w:rsidRDefault="00D36C61" w:rsidP="00C6366D">
            <w:pPr>
              <w:autoSpaceDE w:val="0"/>
              <w:autoSpaceDN w:val="0"/>
              <w:adjustRightInd w:val="0"/>
              <w:rPr>
                <w:sz w:val="16"/>
                <w:szCs w:val="16"/>
              </w:rPr>
            </w:pPr>
            <w:r w:rsidRPr="004252B2">
              <w:rPr>
                <w:sz w:val="16"/>
                <w:szCs w:val="16"/>
              </w:rPr>
              <w:t>VII.2</w:t>
            </w:r>
            <w:r w:rsidR="0080529E" w:rsidRPr="004252B2">
              <w:rPr>
                <w:sz w:val="16"/>
                <w:szCs w:val="16"/>
              </w:rPr>
              <w:t xml:space="preserve"> </w:t>
            </w:r>
            <w:r w:rsidRPr="004252B2">
              <w:rPr>
                <w:sz w:val="16"/>
                <w:szCs w:val="16"/>
              </w:rPr>
              <w:t xml:space="preserve"> </w:t>
            </w:r>
            <w:r w:rsidR="005354CF" w:rsidRPr="004252B2">
              <w:rPr>
                <w:sz w:val="16"/>
                <w:szCs w:val="16"/>
                <w:lang w:val="es-ES_tradnl"/>
              </w:rPr>
              <w:t>Plataformas y herramientas de P.I. utilizadas para la transferencia de conocimiento y la adaptación y difusión de tecnología de los países desarrollados a los países en desarrollo, en particular, a los menos adelantados, con el fin de atender los desafíos mundiales</w:t>
            </w:r>
          </w:p>
        </w:tc>
        <w:tc>
          <w:tcPr>
            <w:tcW w:w="2380" w:type="dxa"/>
            <w:tcBorders>
              <w:top w:val="nil"/>
              <w:left w:val="nil"/>
              <w:right w:val="nil"/>
            </w:tcBorders>
            <w:shd w:val="clear" w:color="000000" w:fill="FFFFFF"/>
            <w:hideMark/>
          </w:tcPr>
          <w:p w:rsidR="00D36C61" w:rsidRPr="00F13C21" w:rsidRDefault="00D36C61" w:rsidP="00C6366D">
            <w:pPr>
              <w:ind w:left="261"/>
              <w:rPr>
                <w:color w:val="000000"/>
                <w:sz w:val="16"/>
                <w:szCs w:val="16"/>
              </w:rPr>
            </w:pPr>
          </w:p>
          <w:p w:rsidR="00D36C61" w:rsidRPr="00CC61DF" w:rsidRDefault="00D36C61" w:rsidP="000C438B">
            <w:pPr>
              <w:ind w:left="59"/>
              <w:rPr>
                <w:color w:val="000000"/>
                <w:sz w:val="16"/>
                <w:szCs w:val="16"/>
              </w:rPr>
            </w:pPr>
            <w:r w:rsidRPr="00F13C21">
              <w:rPr>
                <w:color w:val="000000"/>
                <w:sz w:val="16"/>
                <w:szCs w:val="16"/>
              </w:rPr>
              <w:t>Aumento del n</w:t>
            </w:r>
            <w:r w:rsidR="000C438B">
              <w:rPr>
                <w:color w:val="000000"/>
                <w:sz w:val="16"/>
                <w:szCs w:val="16"/>
              </w:rPr>
              <w:t>º</w:t>
            </w:r>
            <w:r w:rsidRPr="00F13C21">
              <w:rPr>
                <w:color w:val="000000"/>
                <w:sz w:val="16"/>
                <w:szCs w:val="16"/>
              </w:rPr>
              <w:t xml:space="preserve"> de</w:t>
            </w:r>
            <w:r>
              <w:rPr>
                <w:color w:val="000000"/>
                <w:sz w:val="16"/>
                <w:szCs w:val="16"/>
              </w:rPr>
              <w:t xml:space="preserve"> </w:t>
            </w:r>
            <w:r w:rsidRPr="00F13C21">
              <w:rPr>
                <w:color w:val="000000"/>
                <w:sz w:val="16"/>
                <w:szCs w:val="16"/>
              </w:rPr>
              <w:t xml:space="preserve">miembros de </w:t>
            </w:r>
            <w:r w:rsidR="004252B2" w:rsidRPr="004252B2">
              <w:rPr>
                <w:i/>
                <w:color w:val="000000"/>
                <w:sz w:val="16"/>
                <w:szCs w:val="16"/>
              </w:rPr>
              <w:t xml:space="preserve">WIPO </w:t>
            </w:r>
            <w:proofErr w:type="spellStart"/>
            <w:r w:rsidR="004252B2" w:rsidRPr="004252B2">
              <w:rPr>
                <w:i/>
                <w:color w:val="000000"/>
                <w:sz w:val="16"/>
                <w:szCs w:val="16"/>
              </w:rPr>
              <w:t>Re:Search</w:t>
            </w:r>
            <w:proofErr w:type="spellEnd"/>
            <w:r w:rsidRPr="00F13C21">
              <w:rPr>
                <w:color w:val="000000"/>
                <w:sz w:val="16"/>
                <w:szCs w:val="16"/>
              </w:rPr>
              <w:t>,</w:t>
            </w:r>
            <w:r>
              <w:rPr>
                <w:color w:val="000000"/>
                <w:sz w:val="16"/>
                <w:szCs w:val="16"/>
              </w:rPr>
              <w:t xml:space="preserve"> </w:t>
            </w:r>
            <w:r w:rsidRPr="00F13C21">
              <w:rPr>
                <w:color w:val="000000"/>
                <w:sz w:val="16"/>
                <w:szCs w:val="16"/>
              </w:rPr>
              <w:t>incluidos los procedentes de</w:t>
            </w:r>
            <w:r>
              <w:rPr>
                <w:color w:val="000000"/>
                <w:sz w:val="16"/>
                <w:szCs w:val="16"/>
              </w:rPr>
              <w:t xml:space="preserve"> </w:t>
            </w:r>
            <w:r w:rsidRPr="00F13C21">
              <w:rPr>
                <w:color w:val="000000"/>
                <w:sz w:val="16"/>
                <w:szCs w:val="16"/>
              </w:rPr>
              <w:t>países en desarrollo y PMA</w:t>
            </w:r>
            <w:r w:rsidRPr="00F13C21">
              <w:rPr>
                <w:color w:val="000000"/>
                <w:sz w:val="16"/>
                <w:szCs w:val="16"/>
              </w:rPr>
              <w:br/>
            </w:r>
            <w:r w:rsidRPr="00F13C21">
              <w:rPr>
                <w:color w:val="000000"/>
                <w:sz w:val="16"/>
                <w:szCs w:val="16"/>
              </w:rPr>
              <w:br/>
              <w:t>N</w:t>
            </w:r>
            <w:r w:rsidR="000C438B">
              <w:rPr>
                <w:color w:val="000000"/>
                <w:sz w:val="16"/>
                <w:szCs w:val="16"/>
              </w:rPr>
              <w:t>º</w:t>
            </w:r>
            <w:r w:rsidRPr="00F13C21">
              <w:rPr>
                <w:color w:val="000000"/>
                <w:sz w:val="16"/>
                <w:szCs w:val="16"/>
              </w:rPr>
              <w:t xml:space="preserve"> de contribuciones en la base de datos de </w:t>
            </w:r>
            <w:r w:rsidR="004252B2" w:rsidRPr="004252B2">
              <w:rPr>
                <w:i/>
                <w:color w:val="000000"/>
                <w:sz w:val="16"/>
                <w:szCs w:val="16"/>
              </w:rPr>
              <w:t xml:space="preserve">WIPO </w:t>
            </w:r>
            <w:proofErr w:type="spellStart"/>
            <w:r w:rsidR="004252B2" w:rsidRPr="004252B2">
              <w:rPr>
                <w:i/>
                <w:color w:val="000000"/>
                <w:sz w:val="16"/>
                <w:szCs w:val="16"/>
              </w:rPr>
              <w:t>Re:Search</w:t>
            </w:r>
            <w:proofErr w:type="spellEnd"/>
            <w:r w:rsidRPr="00F13C21">
              <w:rPr>
                <w:color w:val="000000"/>
                <w:sz w:val="16"/>
                <w:szCs w:val="16"/>
              </w:rPr>
              <w:t xml:space="preserve"> </w:t>
            </w:r>
            <w:r w:rsidRPr="00F13C21">
              <w:rPr>
                <w:color w:val="000000"/>
                <w:sz w:val="16"/>
                <w:szCs w:val="16"/>
              </w:rPr>
              <w:br/>
            </w:r>
            <w:r w:rsidRPr="00F13C21">
              <w:rPr>
                <w:color w:val="000000"/>
                <w:sz w:val="16"/>
                <w:szCs w:val="16"/>
              </w:rPr>
              <w:br/>
              <w:t>Aumento del n</w:t>
            </w:r>
            <w:r w:rsidR="000C438B">
              <w:rPr>
                <w:color w:val="000000"/>
                <w:sz w:val="16"/>
                <w:szCs w:val="16"/>
              </w:rPr>
              <w:t>º</w:t>
            </w:r>
            <w:r w:rsidRPr="00F13C21">
              <w:rPr>
                <w:color w:val="000000"/>
                <w:sz w:val="16"/>
                <w:szCs w:val="16"/>
              </w:rPr>
              <w:t xml:space="preserve"> de</w:t>
            </w:r>
            <w:r>
              <w:rPr>
                <w:color w:val="000000"/>
                <w:sz w:val="16"/>
                <w:szCs w:val="16"/>
              </w:rPr>
              <w:t xml:space="preserve"> </w:t>
            </w:r>
            <w:r w:rsidRPr="00F13C21">
              <w:rPr>
                <w:color w:val="000000"/>
                <w:sz w:val="16"/>
                <w:szCs w:val="16"/>
              </w:rPr>
              <w:t xml:space="preserve">acuerdos suscritos en el marco de </w:t>
            </w:r>
            <w:r w:rsidR="004252B2" w:rsidRPr="004252B2">
              <w:rPr>
                <w:i/>
                <w:color w:val="000000"/>
                <w:sz w:val="16"/>
                <w:szCs w:val="16"/>
              </w:rPr>
              <w:t xml:space="preserve">WIPO </w:t>
            </w:r>
            <w:proofErr w:type="spellStart"/>
            <w:r w:rsidR="004252B2" w:rsidRPr="004252B2">
              <w:rPr>
                <w:i/>
                <w:color w:val="000000"/>
                <w:sz w:val="16"/>
                <w:szCs w:val="16"/>
              </w:rPr>
              <w:t>Re:Search</w:t>
            </w:r>
            <w:proofErr w:type="spellEnd"/>
            <w:r w:rsidRPr="00F13C21">
              <w:rPr>
                <w:color w:val="000000"/>
                <w:sz w:val="16"/>
                <w:szCs w:val="16"/>
              </w:rPr>
              <w:t xml:space="preserve"> que</w:t>
            </w:r>
            <w:r>
              <w:rPr>
                <w:color w:val="000000"/>
                <w:sz w:val="16"/>
                <w:szCs w:val="16"/>
              </w:rPr>
              <w:t xml:space="preserve"> </w:t>
            </w:r>
            <w:r w:rsidRPr="00F13C21">
              <w:rPr>
                <w:color w:val="000000"/>
                <w:sz w:val="16"/>
                <w:szCs w:val="16"/>
              </w:rPr>
              <w:t>conducen a nuevas actividades</w:t>
            </w:r>
            <w:r>
              <w:rPr>
                <w:color w:val="000000"/>
                <w:sz w:val="16"/>
                <w:szCs w:val="16"/>
              </w:rPr>
              <w:t xml:space="preserve"> </w:t>
            </w:r>
            <w:r w:rsidRPr="00F13C21">
              <w:rPr>
                <w:color w:val="000000"/>
                <w:sz w:val="16"/>
                <w:szCs w:val="16"/>
              </w:rPr>
              <w:t>de I+D, o a un aceleramiento</w:t>
            </w:r>
            <w:r>
              <w:rPr>
                <w:color w:val="000000"/>
                <w:sz w:val="16"/>
                <w:szCs w:val="16"/>
              </w:rPr>
              <w:t xml:space="preserve"> </w:t>
            </w:r>
            <w:r w:rsidRPr="00F13C21">
              <w:rPr>
                <w:color w:val="000000"/>
                <w:sz w:val="16"/>
                <w:szCs w:val="16"/>
              </w:rPr>
              <w:t>de las mismas, en</w:t>
            </w:r>
            <w:r>
              <w:rPr>
                <w:color w:val="000000"/>
                <w:sz w:val="16"/>
                <w:szCs w:val="16"/>
              </w:rPr>
              <w:t xml:space="preserve"> </w:t>
            </w:r>
            <w:r w:rsidRPr="00F13C21">
              <w:rPr>
                <w:color w:val="000000"/>
                <w:sz w:val="16"/>
                <w:szCs w:val="16"/>
              </w:rPr>
              <w:t>enfermedades tropicales</w:t>
            </w:r>
            <w:r>
              <w:rPr>
                <w:color w:val="000000"/>
                <w:sz w:val="16"/>
                <w:szCs w:val="16"/>
              </w:rPr>
              <w:t xml:space="preserve"> </w:t>
            </w:r>
            <w:r w:rsidRPr="00CC61DF">
              <w:rPr>
                <w:color w:val="000000"/>
                <w:sz w:val="16"/>
                <w:szCs w:val="16"/>
              </w:rPr>
              <w:t>desatendidas, paludismo y</w:t>
            </w:r>
            <w:r>
              <w:rPr>
                <w:color w:val="000000"/>
                <w:sz w:val="16"/>
                <w:szCs w:val="16"/>
              </w:rPr>
              <w:t xml:space="preserve"> </w:t>
            </w:r>
            <w:r w:rsidRPr="00CC61DF">
              <w:rPr>
                <w:color w:val="000000"/>
                <w:sz w:val="16"/>
                <w:szCs w:val="16"/>
              </w:rPr>
              <w:t xml:space="preserve">tuberculosis </w:t>
            </w:r>
            <w:r w:rsidR="000C438B">
              <w:rPr>
                <w:color w:val="000000"/>
                <w:sz w:val="16"/>
                <w:szCs w:val="16"/>
              </w:rPr>
              <w:br/>
            </w:r>
          </w:p>
        </w:tc>
        <w:tc>
          <w:tcPr>
            <w:tcW w:w="2520" w:type="dxa"/>
            <w:tcBorders>
              <w:top w:val="nil"/>
              <w:left w:val="nil"/>
              <w:right w:val="nil"/>
            </w:tcBorders>
            <w:shd w:val="clear" w:color="000000" w:fill="FFFFFF"/>
            <w:hideMark/>
          </w:tcPr>
          <w:p w:rsidR="00D36C61" w:rsidRPr="00F13C21" w:rsidRDefault="00D36C61" w:rsidP="00C6366D">
            <w:pPr>
              <w:ind w:left="290"/>
              <w:rPr>
                <w:color w:val="808080"/>
                <w:sz w:val="16"/>
                <w:szCs w:val="16"/>
              </w:rPr>
            </w:pPr>
          </w:p>
          <w:p w:rsidR="00D36C61" w:rsidRPr="00F13C21" w:rsidRDefault="00D36C61" w:rsidP="00C6366D">
            <w:pPr>
              <w:ind w:left="290"/>
              <w:rPr>
                <w:color w:val="000000"/>
                <w:sz w:val="16"/>
                <w:szCs w:val="16"/>
              </w:rPr>
            </w:pPr>
            <w:r w:rsidRPr="00027F4F">
              <w:rPr>
                <w:sz w:val="16"/>
                <w:szCs w:val="16"/>
                <w:lang w:val="es-ES_tradnl"/>
              </w:rPr>
              <w:t xml:space="preserve">96 miembros;  </w:t>
            </w:r>
            <w:r w:rsidR="000C438B">
              <w:rPr>
                <w:sz w:val="16"/>
                <w:szCs w:val="16"/>
                <w:lang w:val="es-ES_tradnl"/>
              </w:rPr>
              <w:t>27</w:t>
            </w:r>
            <w:r w:rsidRPr="00027F4F">
              <w:rPr>
                <w:sz w:val="16"/>
                <w:szCs w:val="16"/>
                <w:lang w:val="es-ES_tradnl"/>
              </w:rPr>
              <w:t xml:space="preserve"> de países en desarrollo</w:t>
            </w:r>
            <w:r>
              <w:rPr>
                <w:sz w:val="16"/>
                <w:szCs w:val="16"/>
                <w:lang w:val="es-ES_tradnl"/>
              </w:rPr>
              <w:t xml:space="preserve"> </w:t>
            </w:r>
            <w:r w:rsidRPr="00F13C21">
              <w:rPr>
                <w:color w:val="000000"/>
                <w:sz w:val="16"/>
                <w:szCs w:val="16"/>
              </w:rPr>
              <w:t>(a finales de diciembre de 2014)</w:t>
            </w:r>
            <w:r w:rsidRPr="00F13C21">
              <w:rPr>
                <w:color w:val="000000"/>
                <w:sz w:val="16"/>
                <w:szCs w:val="16"/>
              </w:rPr>
              <w:br/>
            </w:r>
            <w:r w:rsidRPr="00F13C21">
              <w:rPr>
                <w:color w:val="000000"/>
                <w:sz w:val="16"/>
                <w:szCs w:val="16"/>
              </w:rPr>
              <w:br/>
            </w:r>
          </w:p>
          <w:p w:rsidR="00D36C61" w:rsidRPr="00F13C21" w:rsidRDefault="00D36C61" w:rsidP="00C6366D">
            <w:pPr>
              <w:ind w:left="290"/>
              <w:rPr>
                <w:color w:val="000000"/>
                <w:sz w:val="16"/>
                <w:szCs w:val="16"/>
              </w:rPr>
            </w:pPr>
          </w:p>
          <w:p w:rsidR="00D36C61" w:rsidRPr="00F13C21" w:rsidRDefault="00D36C61" w:rsidP="00C6366D">
            <w:pPr>
              <w:ind w:left="290"/>
              <w:rPr>
                <w:color w:val="000000"/>
                <w:sz w:val="16"/>
                <w:szCs w:val="16"/>
              </w:rPr>
            </w:pPr>
            <w:r w:rsidRPr="00F13C21">
              <w:rPr>
                <w:color w:val="000000"/>
                <w:sz w:val="16"/>
                <w:szCs w:val="16"/>
              </w:rPr>
              <w:t>186 contribuciones en la base de datos (al 24 de abril de 2015)</w:t>
            </w:r>
            <w:r w:rsidRPr="00F13C21">
              <w:rPr>
                <w:color w:val="000000"/>
                <w:sz w:val="16"/>
                <w:szCs w:val="16"/>
              </w:rPr>
              <w:br/>
            </w:r>
          </w:p>
          <w:p w:rsidR="00D36C61" w:rsidRPr="00F13C21" w:rsidRDefault="00D36C61" w:rsidP="00C6366D">
            <w:pPr>
              <w:ind w:left="290"/>
              <w:rPr>
                <w:color w:val="000000"/>
                <w:sz w:val="16"/>
                <w:szCs w:val="16"/>
              </w:rPr>
            </w:pPr>
            <w:r w:rsidRPr="00F13C21">
              <w:rPr>
                <w:color w:val="000000"/>
                <w:sz w:val="16"/>
                <w:szCs w:val="16"/>
              </w:rPr>
              <w:t>90 acuerdos (al 9 de abril de 2015)</w:t>
            </w:r>
          </w:p>
        </w:tc>
        <w:tc>
          <w:tcPr>
            <w:tcW w:w="2020" w:type="dxa"/>
            <w:tcBorders>
              <w:top w:val="nil"/>
              <w:left w:val="nil"/>
              <w:right w:val="single" w:sz="4" w:space="0" w:color="auto"/>
            </w:tcBorders>
            <w:shd w:val="clear" w:color="000000" w:fill="FFFFFF"/>
            <w:hideMark/>
          </w:tcPr>
          <w:p w:rsidR="00D36C61" w:rsidRPr="00F13C21" w:rsidRDefault="00D36C61" w:rsidP="00C6366D">
            <w:pPr>
              <w:ind w:left="180"/>
              <w:rPr>
                <w:color w:val="000000"/>
                <w:sz w:val="16"/>
                <w:szCs w:val="16"/>
              </w:rPr>
            </w:pPr>
          </w:p>
          <w:p w:rsidR="00D36C61" w:rsidRPr="00F13C21" w:rsidRDefault="000C438B" w:rsidP="00C6366D">
            <w:pPr>
              <w:ind w:left="180"/>
              <w:rPr>
                <w:color w:val="000000"/>
                <w:sz w:val="16"/>
                <w:szCs w:val="16"/>
              </w:rPr>
            </w:pPr>
            <w:r>
              <w:rPr>
                <w:color w:val="000000"/>
                <w:sz w:val="16"/>
                <w:szCs w:val="16"/>
              </w:rPr>
              <w:t>8</w:t>
            </w:r>
            <w:r w:rsidR="00D36C61" w:rsidRPr="00F13C21">
              <w:rPr>
                <w:color w:val="000000"/>
                <w:sz w:val="16"/>
                <w:szCs w:val="16"/>
              </w:rPr>
              <w:t xml:space="preserve"> nuevos Miembros;  7 procedentes de países en desarrollo</w:t>
            </w:r>
            <w:r w:rsidR="00D36C61" w:rsidRPr="00F13C21">
              <w:rPr>
                <w:color w:val="000000"/>
                <w:sz w:val="16"/>
                <w:szCs w:val="16"/>
              </w:rPr>
              <w:br/>
            </w:r>
          </w:p>
          <w:p w:rsidR="00D36C61" w:rsidRPr="00F13C21" w:rsidRDefault="00D36C61" w:rsidP="00C6366D">
            <w:pPr>
              <w:rPr>
                <w:color w:val="000000"/>
                <w:sz w:val="16"/>
                <w:szCs w:val="16"/>
              </w:rPr>
            </w:pPr>
          </w:p>
          <w:p w:rsidR="00D36C61" w:rsidRPr="00F13C21" w:rsidRDefault="00D36C61" w:rsidP="00C6366D">
            <w:pPr>
              <w:rPr>
                <w:color w:val="000000"/>
                <w:sz w:val="16"/>
                <w:szCs w:val="16"/>
              </w:rPr>
            </w:pPr>
          </w:p>
          <w:p w:rsidR="00D36C61" w:rsidRPr="00F13C21" w:rsidRDefault="00D36C61" w:rsidP="00C6366D">
            <w:pPr>
              <w:ind w:left="180"/>
              <w:rPr>
                <w:color w:val="000000"/>
                <w:sz w:val="16"/>
                <w:szCs w:val="16"/>
              </w:rPr>
            </w:pPr>
            <w:r w:rsidRPr="00F13C21">
              <w:rPr>
                <w:color w:val="000000"/>
                <w:sz w:val="16"/>
                <w:szCs w:val="16"/>
              </w:rPr>
              <w:t xml:space="preserve">En total 300 contribuciones en la base de datos </w:t>
            </w:r>
            <w:r w:rsidRPr="00F13C21">
              <w:rPr>
                <w:color w:val="000000"/>
                <w:sz w:val="16"/>
                <w:szCs w:val="16"/>
              </w:rPr>
              <w:br/>
            </w:r>
          </w:p>
          <w:p w:rsidR="00D36C61" w:rsidRPr="00F13C21" w:rsidRDefault="00D36C61" w:rsidP="00C6366D">
            <w:pPr>
              <w:ind w:left="180"/>
              <w:rPr>
                <w:color w:val="000000"/>
                <w:sz w:val="16"/>
                <w:szCs w:val="16"/>
              </w:rPr>
            </w:pPr>
            <w:r w:rsidRPr="00F13C21">
              <w:rPr>
                <w:color w:val="000000"/>
                <w:sz w:val="16"/>
                <w:szCs w:val="16"/>
              </w:rPr>
              <w:t>30 nuevos acuerdos, de los cuales 20 son acuerdos de seguimiento</w:t>
            </w:r>
          </w:p>
        </w:tc>
      </w:tr>
      <w:tr w:rsidR="00D36C61" w:rsidRPr="009573A5" w:rsidTr="00C6366D">
        <w:trPr>
          <w:trHeight w:val="2601"/>
        </w:trPr>
        <w:tc>
          <w:tcPr>
            <w:tcW w:w="2340" w:type="dxa"/>
            <w:tcBorders>
              <w:left w:val="single" w:sz="4" w:space="0" w:color="auto"/>
              <w:bottom w:val="single" w:sz="4" w:space="0" w:color="auto"/>
              <w:right w:val="nil"/>
            </w:tcBorders>
            <w:shd w:val="clear" w:color="000000" w:fill="FFFFFF"/>
            <w:hideMark/>
          </w:tcPr>
          <w:p w:rsidR="00D36C61" w:rsidRPr="00F13C21" w:rsidRDefault="00D36C61" w:rsidP="00C6366D">
            <w:pPr>
              <w:rPr>
                <w:color w:val="000000"/>
                <w:sz w:val="16"/>
                <w:szCs w:val="16"/>
              </w:rPr>
            </w:pPr>
            <w:r w:rsidRPr="00F13C21">
              <w:rPr>
                <w:color w:val="000000"/>
                <w:sz w:val="16"/>
                <w:szCs w:val="16"/>
              </w:rPr>
              <w:t> </w:t>
            </w:r>
          </w:p>
        </w:tc>
        <w:tc>
          <w:tcPr>
            <w:tcW w:w="2380" w:type="dxa"/>
            <w:tcBorders>
              <w:left w:val="nil"/>
              <w:bottom w:val="single" w:sz="4" w:space="0" w:color="auto"/>
              <w:right w:val="nil"/>
            </w:tcBorders>
            <w:shd w:val="clear" w:color="000000" w:fill="FFFFFF"/>
            <w:hideMark/>
          </w:tcPr>
          <w:p w:rsidR="00D36C61" w:rsidRPr="00F13C21" w:rsidRDefault="00D36C61" w:rsidP="000C438B">
            <w:pPr>
              <w:ind w:left="59"/>
              <w:rPr>
                <w:color w:val="000000"/>
                <w:sz w:val="16"/>
                <w:szCs w:val="16"/>
              </w:rPr>
            </w:pPr>
            <w:r w:rsidRPr="00F13C21">
              <w:rPr>
                <w:color w:val="000000"/>
                <w:sz w:val="16"/>
                <w:szCs w:val="16"/>
              </w:rPr>
              <w:t>N</w:t>
            </w:r>
            <w:r w:rsidR="000C438B">
              <w:rPr>
                <w:color w:val="000000"/>
                <w:sz w:val="16"/>
                <w:szCs w:val="16"/>
              </w:rPr>
              <w:t>º</w:t>
            </w:r>
            <w:r w:rsidRPr="00F13C21">
              <w:rPr>
                <w:color w:val="000000"/>
                <w:sz w:val="16"/>
                <w:szCs w:val="16"/>
              </w:rPr>
              <w:t xml:space="preserve"> de miembros de </w:t>
            </w:r>
            <w:r w:rsidR="004252B2" w:rsidRPr="004252B2">
              <w:rPr>
                <w:i/>
                <w:color w:val="000000"/>
                <w:sz w:val="16"/>
                <w:szCs w:val="16"/>
              </w:rPr>
              <w:t>WIPO GREEN</w:t>
            </w:r>
            <w:r w:rsidRPr="00F13C21">
              <w:rPr>
                <w:color w:val="000000"/>
                <w:sz w:val="16"/>
                <w:szCs w:val="16"/>
              </w:rPr>
              <w:t xml:space="preserve"> </w:t>
            </w:r>
            <w:r w:rsidRPr="00F13C21">
              <w:rPr>
                <w:color w:val="000000"/>
                <w:sz w:val="16"/>
                <w:szCs w:val="16"/>
              </w:rPr>
              <w:br/>
            </w:r>
            <w:r w:rsidRPr="00F13C21">
              <w:rPr>
                <w:color w:val="000000"/>
                <w:sz w:val="16"/>
                <w:szCs w:val="16"/>
              </w:rPr>
              <w:br/>
              <w:t>N</w:t>
            </w:r>
            <w:r w:rsidR="000C438B">
              <w:rPr>
                <w:color w:val="000000"/>
                <w:sz w:val="16"/>
                <w:szCs w:val="16"/>
              </w:rPr>
              <w:t>º</w:t>
            </w:r>
            <w:r w:rsidRPr="00F13C21">
              <w:rPr>
                <w:color w:val="000000"/>
                <w:sz w:val="16"/>
                <w:szCs w:val="16"/>
              </w:rPr>
              <w:t xml:space="preserve"> de </w:t>
            </w:r>
            <w:r w:rsidR="000C438B">
              <w:rPr>
                <w:color w:val="000000"/>
                <w:sz w:val="16"/>
                <w:szCs w:val="16"/>
              </w:rPr>
              <w:t>registros</w:t>
            </w:r>
            <w:r w:rsidRPr="00F13C21">
              <w:rPr>
                <w:color w:val="000000"/>
                <w:sz w:val="16"/>
                <w:szCs w:val="16"/>
              </w:rPr>
              <w:t xml:space="preserve"> en la base de datos de </w:t>
            </w:r>
            <w:r w:rsidR="004252B2" w:rsidRPr="004252B2">
              <w:rPr>
                <w:i/>
                <w:color w:val="000000"/>
                <w:sz w:val="16"/>
                <w:szCs w:val="16"/>
              </w:rPr>
              <w:t>WIPO GREEN</w:t>
            </w:r>
            <w:r w:rsidRPr="00F13C21">
              <w:rPr>
                <w:color w:val="000000"/>
                <w:sz w:val="16"/>
                <w:szCs w:val="16"/>
              </w:rPr>
              <w:t xml:space="preserve"> </w:t>
            </w:r>
            <w:r w:rsidRPr="00F13C21">
              <w:rPr>
                <w:color w:val="000000"/>
                <w:sz w:val="16"/>
                <w:szCs w:val="16"/>
              </w:rPr>
              <w:br/>
            </w:r>
            <w:r w:rsidRPr="00F13C21">
              <w:rPr>
                <w:color w:val="000000"/>
                <w:sz w:val="16"/>
                <w:szCs w:val="16"/>
              </w:rPr>
              <w:br/>
              <w:t>N</w:t>
            </w:r>
            <w:r w:rsidR="000C438B">
              <w:rPr>
                <w:color w:val="000000"/>
                <w:sz w:val="16"/>
                <w:szCs w:val="16"/>
              </w:rPr>
              <w:t>º</w:t>
            </w:r>
            <w:r w:rsidRPr="00F13C21">
              <w:rPr>
                <w:color w:val="000000"/>
                <w:sz w:val="16"/>
                <w:szCs w:val="16"/>
              </w:rPr>
              <w:t xml:space="preserve"> de acuerdos</w:t>
            </w:r>
            <w:r>
              <w:rPr>
                <w:color w:val="000000"/>
                <w:sz w:val="16"/>
                <w:szCs w:val="16"/>
              </w:rPr>
              <w:t xml:space="preserve"> </w:t>
            </w:r>
            <w:r w:rsidRPr="00F13C21">
              <w:rPr>
                <w:color w:val="000000"/>
                <w:sz w:val="16"/>
                <w:szCs w:val="16"/>
              </w:rPr>
              <w:t>c</w:t>
            </w:r>
            <w:r>
              <w:rPr>
                <w:color w:val="000000"/>
                <w:sz w:val="16"/>
                <w:szCs w:val="16"/>
              </w:rPr>
              <w:t>oncreti</w:t>
            </w:r>
            <w:r w:rsidRPr="00F13C21">
              <w:rPr>
                <w:color w:val="000000"/>
                <w:sz w:val="16"/>
                <w:szCs w:val="16"/>
              </w:rPr>
              <w:t xml:space="preserve">zados </w:t>
            </w:r>
            <w:r>
              <w:rPr>
                <w:color w:val="000000"/>
                <w:sz w:val="16"/>
                <w:szCs w:val="16"/>
              </w:rPr>
              <w:t>gracias a</w:t>
            </w:r>
            <w:r w:rsidRPr="00F13C21">
              <w:rPr>
                <w:color w:val="000000"/>
                <w:sz w:val="16"/>
                <w:szCs w:val="16"/>
              </w:rPr>
              <w:t xml:space="preserve"> </w:t>
            </w:r>
            <w:r w:rsidR="004252B2" w:rsidRPr="004252B2">
              <w:rPr>
                <w:i/>
                <w:color w:val="000000"/>
                <w:sz w:val="16"/>
                <w:szCs w:val="16"/>
              </w:rPr>
              <w:t>WIPO GREEN</w:t>
            </w:r>
            <w:r w:rsidRPr="00F13C21">
              <w:rPr>
                <w:color w:val="000000"/>
                <w:sz w:val="16"/>
                <w:szCs w:val="16"/>
              </w:rPr>
              <w:t xml:space="preserve"> que facilitan la</w:t>
            </w:r>
            <w:r>
              <w:rPr>
                <w:color w:val="000000"/>
                <w:sz w:val="16"/>
                <w:szCs w:val="16"/>
              </w:rPr>
              <w:t xml:space="preserve"> </w:t>
            </w:r>
            <w:r w:rsidRPr="00F13C21">
              <w:rPr>
                <w:color w:val="000000"/>
                <w:sz w:val="16"/>
                <w:szCs w:val="16"/>
              </w:rPr>
              <w:t>transferencia de conocimiento</w:t>
            </w:r>
            <w:r>
              <w:rPr>
                <w:color w:val="000000"/>
                <w:sz w:val="16"/>
                <w:szCs w:val="16"/>
              </w:rPr>
              <w:t xml:space="preserve"> </w:t>
            </w:r>
            <w:r w:rsidRPr="00F13C21">
              <w:rPr>
                <w:color w:val="000000"/>
                <w:sz w:val="16"/>
                <w:szCs w:val="16"/>
              </w:rPr>
              <w:t>así como la adaptación,</w:t>
            </w:r>
            <w:r>
              <w:rPr>
                <w:color w:val="000000"/>
                <w:sz w:val="16"/>
                <w:szCs w:val="16"/>
              </w:rPr>
              <w:t xml:space="preserve"> </w:t>
            </w:r>
            <w:r w:rsidRPr="00F13C21">
              <w:rPr>
                <w:color w:val="000000"/>
                <w:sz w:val="16"/>
                <w:szCs w:val="16"/>
              </w:rPr>
              <w:t>transferencia o difusión de</w:t>
            </w:r>
            <w:r>
              <w:rPr>
                <w:color w:val="000000"/>
                <w:sz w:val="16"/>
                <w:szCs w:val="16"/>
              </w:rPr>
              <w:t xml:space="preserve"> </w:t>
            </w:r>
            <w:r w:rsidRPr="00F13C21">
              <w:rPr>
                <w:color w:val="000000"/>
                <w:sz w:val="16"/>
                <w:szCs w:val="16"/>
              </w:rPr>
              <w:t>tecnología</w:t>
            </w:r>
          </w:p>
        </w:tc>
        <w:tc>
          <w:tcPr>
            <w:tcW w:w="2520" w:type="dxa"/>
            <w:tcBorders>
              <w:left w:val="nil"/>
              <w:bottom w:val="single" w:sz="4" w:space="0" w:color="auto"/>
              <w:right w:val="nil"/>
            </w:tcBorders>
            <w:shd w:val="clear" w:color="000000" w:fill="FFFFFF"/>
            <w:hideMark/>
          </w:tcPr>
          <w:p w:rsidR="00D36C61" w:rsidRPr="00F13C21" w:rsidRDefault="00D36C61" w:rsidP="00C6366D">
            <w:pPr>
              <w:ind w:left="290"/>
              <w:rPr>
                <w:color w:val="000000"/>
                <w:sz w:val="16"/>
                <w:szCs w:val="16"/>
              </w:rPr>
            </w:pPr>
            <w:r w:rsidRPr="00F13C21">
              <w:rPr>
                <w:color w:val="000000"/>
                <w:sz w:val="16"/>
                <w:szCs w:val="16"/>
              </w:rPr>
              <w:t>57 asociados;  430 usuarios</w:t>
            </w:r>
            <w:r>
              <w:rPr>
                <w:color w:val="000000"/>
                <w:sz w:val="16"/>
                <w:szCs w:val="16"/>
              </w:rPr>
              <w:t xml:space="preserve"> </w:t>
            </w:r>
            <w:r w:rsidRPr="00F13C21">
              <w:rPr>
                <w:color w:val="000000"/>
                <w:sz w:val="16"/>
                <w:szCs w:val="16"/>
              </w:rPr>
              <w:t>(al 24 de abril de 2015)</w:t>
            </w:r>
            <w:r w:rsidRPr="00F13C21">
              <w:rPr>
                <w:color w:val="000000"/>
                <w:sz w:val="16"/>
                <w:szCs w:val="16"/>
              </w:rPr>
              <w:br/>
            </w:r>
            <w:r w:rsidRPr="00F13C21">
              <w:rPr>
                <w:color w:val="000000"/>
                <w:sz w:val="16"/>
                <w:szCs w:val="16"/>
              </w:rPr>
              <w:br/>
              <w:t xml:space="preserve">2.050 </w:t>
            </w:r>
            <w:r w:rsidR="000C438B">
              <w:rPr>
                <w:color w:val="000000"/>
                <w:sz w:val="16"/>
                <w:szCs w:val="16"/>
              </w:rPr>
              <w:t>registros</w:t>
            </w:r>
          </w:p>
          <w:p w:rsidR="00D36C61" w:rsidRPr="00F13C21" w:rsidRDefault="00D36C61" w:rsidP="000C438B">
            <w:pPr>
              <w:ind w:left="290"/>
              <w:rPr>
                <w:color w:val="000000"/>
                <w:sz w:val="16"/>
                <w:szCs w:val="16"/>
              </w:rPr>
            </w:pPr>
            <w:r w:rsidRPr="00F13C21">
              <w:rPr>
                <w:color w:val="000000"/>
                <w:sz w:val="16"/>
                <w:szCs w:val="16"/>
              </w:rPr>
              <w:t>(al 24 de abril de 2015)</w:t>
            </w:r>
            <w:r w:rsidRPr="00F13C21">
              <w:rPr>
                <w:color w:val="000000"/>
                <w:sz w:val="16"/>
                <w:szCs w:val="16"/>
              </w:rPr>
              <w:br/>
            </w:r>
            <w:r w:rsidRPr="00F13C21">
              <w:rPr>
                <w:color w:val="000000"/>
                <w:sz w:val="16"/>
                <w:szCs w:val="16"/>
              </w:rPr>
              <w:br/>
              <w:t xml:space="preserve">7 acuerdos (AUTM, DKPTO, EACIN, </w:t>
            </w:r>
            <w:r w:rsidRPr="000C438B">
              <w:rPr>
                <w:i/>
                <w:color w:val="000000"/>
                <w:sz w:val="16"/>
                <w:szCs w:val="16"/>
              </w:rPr>
              <w:t>Eco-</w:t>
            </w:r>
            <w:proofErr w:type="spellStart"/>
            <w:r w:rsidRPr="000C438B">
              <w:rPr>
                <w:i/>
                <w:color w:val="000000"/>
                <w:sz w:val="16"/>
                <w:szCs w:val="16"/>
              </w:rPr>
              <w:t>patent</w:t>
            </w:r>
            <w:proofErr w:type="spellEnd"/>
            <w:r w:rsidRPr="000C438B">
              <w:rPr>
                <w:i/>
                <w:color w:val="000000"/>
                <w:sz w:val="16"/>
                <w:szCs w:val="16"/>
              </w:rPr>
              <w:t xml:space="preserve"> </w:t>
            </w:r>
            <w:proofErr w:type="spellStart"/>
            <w:r w:rsidRPr="000C438B">
              <w:rPr>
                <w:i/>
                <w:color w:val="000000"/>
                <w:sz w:val="16"/>
                <w:szCs w:val="16"/>
              </w:rPr>
              <w:t>commons</w:t>
            </w:r>
            <w:proofErr w:type="spellEnd"/>
            <w:r w:rsidRPr="00F13C21">
              <w:rPr>
                <w:color w:val="000000"/>
                <w:sz w:val="16"/>
                <w:szCs w:val="16"/>
              </w:rPr>
              <w:t xml:space="preserve">, KOTEC, </w:t>
            </w:r>
            <w:proofErr w:type="spellStart"/>
            <w:r w:rsidRPr="000C438B">
              <w:rPr>
                <w:i/>
                <w:color w:val="000000"/>
                <w:sz w:val="16"/>
                <w:szCs w:val="16"/>
              </w:rPr>
              <w:t>TechnologieAllianz</w:t>
            </w:r>
            <w:proofErr w:type="spellEnd"/>
            <w:r w:rsidRPr="00F13C21">
              <w:rPr>
                <w:color w:val="000000"/>
                <w:sz w:val="16"/>
                <w:szCs w:val="16"/>
              </w:rPr>
              <w:t>, Oficina de las Naciones Unidas para la Cooperación Sur-Sur (al 24 de abril de 2015)</w:t>
            </w:r>
          </w:p>
        </w:tc>
        <w:tc>
          <w:tcPr>
            <w:tcW w:w="2020" w:type="dxa"/>
            <w:tcBorders>
              <w:left w:val="nil"/>
              <w:bottom w:val="single" w:sz="4" w:space="0" w:color="auto"/>
              <w:right w:val="single" w:sz="4" w:space="0" w:color="auto"/>
            </w:tcBorders>
            <w:shd w:val="clear" w:color="000000" w:fill="FFFFFF"/>
            <w:hideMark/>
          </w:tcPr>
          <w:p w:rsidR="00D36C61" w:rsidRPr="00F13C21" w:rsidRDefault="00D36C61" w:rsidP="00C6366D">
            <w:pPr>
              <w:ind w:left="180"/>
              <w:rPr>
                <w:color w:val="000000"/>
                <w:sz w:val="16"/>
                <w:szCs w:val="16"/>
              </w:rPr>
            </w:pPr>
            <w:r w:rsidRPr="00F13C21">
              <w:rPr>
                <w:color w:val="000000"/>
                <w:sz w:val="16"/>
                <w:szCs w:val="16"/>
              </w:rPr>
              <w:t>14 nuevos asociados;  200 nuevos usuarios</w:t>
            </w:r>
          </w:p>
          <w:p w:rsidR="00D36C61" w:rsidRPr="00F13C21" w:rsidRDefault="00D36C61" w:rsidP="000C438B">
            <w:pPr>
              <w:ind w:left="180"/>
              <w:rPr>
                <w:color w:val="000000"/>
                <w:sz w:val="16"/>
                <w:szCs w:val="16"/>
              </w:rPr>
            </w:pPr>
            <w:r w:rsidRPr="00F13C21">
              <w:rPr>
                <w:color w:val="000000"/>
                <w:sz w:val="16"/>
                <w:szCs w:val="16"/>
              </w:rPr>
              <w:br/>
              <w:t>1.200 nuev</w:t>
            </w:r>
            <w:r w:rsidR="000C438B">
              <w:rPr>
                <w:color w:val="000000"/>
                <w:sz w:val="16"/>
                <w:szCs w:val="16"/>
              </w:rPr>
              <w:t>o</w:t>
            </w:r>
            <w:r w:rsidRPr="00F13C21">
              <w:rPr>
                <w:color w:val="000000"/>
                <w:sz w:val="16"/>
                <w:szCs w:val="16"/>
              </w:rPr>
              <w:t xml:space="preserve">s </w:t>
            </w:r>
            <w:r w:rsidR="000C438B">
              <w:rPr>
                <w:color w:val="000000"/>
                <w:sz w:val="16"/>
                <w:szCs w:val="16"/>
              </w:rPr>
              <w:t>registros</w:t>
            </w:r>
            <w:r w:rsidRPr="00F13C21">
              <w:rPr>
                <w:color w:val="000000"/>
                <w:sz w:val="16"/>
                <w:szCs w:val="16"/>
              </w:rPr>
              <w:t xml:space="preserve"> </w:t>
            </w:r>
            <w:r w:rsidRPr="00F13C21">
              <w:rPr>
                <w:color w:val="000000"/>
                <w:sz w:val="16"/>
                <w:szCs w:val="16"/>
              </w:rPr>
              <w:br/>
            </w:r>
            <w:r>
              <w:rPr>
                <w:color w:val="000000"/>
                <w:sz w:val="16"/>
                <w:szCs w:val="16"/>
              </w:rPr>
              <w:br/>
            </w:r>
            <w:r w:rsidRPr="00F13C21">
              <w:rPr>
                <w:color w:val="000000"/>
                <w:sz w:val="16"/>
                <w:szCs w:val="16"/>
              </w:rPr>
              <w:br/>
              <w:t>10 acuerdos</w:t>
            </w:r>
          </w:p>
        </w:tc>
      </w:tr>
      <w:tr w:rsidR="00D36C61" w:rsidRPr="009573A5" w:rsidTr="00C6366D">
        <w:trPr>
          <w:trHeight w:val="1269"/>
        </w:trPr>
        <w:tc>
          <w:tcPr>
            <w:tcW w:w="2340" w:type="dxa"/>
            <w:tcBorders>
              <w:top w:val="single" w:sz="4" w:space="0" w:color="auto"/>
              <w:left w:val="single" w:sz="4" w:space="0" w:color="auto"/>
              <w:bottom w:val="nil"/>
              <w:right w:val="nil"/>
            </w:tcBorders>
            <w:shd w:val="clear" w:color="000000" w:fill="FFFFFF"/>
            <w:hideMark/>
          </w:tcPr>
          <w:p w:rsidR="00D36C61" w:rsidRPr="00F13C21" w:rsidRDefault="00D36C61" w:rsidP="00C6366D">
            <w:pPr>
              <w:rPr>
                <w:color w:val="000000"/>
                <w:sz w:val="16"/>
                <w:szCs w:val="16"/>
              </w:rPr>
            </w:pPr>
            <w:r w:rsidRPr="00F13C21">
              <w:rPr>
                <w:color w:val="000000"/>
                <w:sz w:val="16"/>
                <w:szCs w:val="16"/>
              </w:rPr>
              <w:lastRenderedPageBreak/>
              <w:t> </w:t>
            </w:r>
          </w:p>
        </w:tc>
        <w:tc>
          <w:tcPr>
            <w:tcW w:w="2380" w:type="dxa"/>
            <w:tcBorders>
              <w:top w:val="single" w:sz="4" w:space="0" w:color="auto"/>
              <w:left w:val="nil"/>
              <w:bottom w:val="nil"/>
              <w:right w:val="nil"/>
            </w:tcBorders>
            <w:shd w:val="clear" w:color="000000" w:fill="FFFFFF"/>
            <w:hideMark/>
          </w:tcPr>
          <w:p w:rsidR="00D36C61" w:rsidRPr="00F13C21" w:rsidRDefault="00D36C61" w:rsidP="00C6366D">
            <w:pPr>
              <w:ind w:left="261"/>
              <w:rPr>
                <w:color w:val="000000"/>
                <w:sz w:val="16"/>
                <w:szCs w:val="16"/>
              </w:rPr>
            </w:pPr>
          </w:p>
          <w:p w:rsidR="00D36C61" w:rsidRPr="00F13C21" w:rsidRDefault="00D36C61" w:rsidP="00C6366D">
            <w:pPr>
              <w:ind w:left="261"/>
              <w:rPr>
                <w:color w:val="000000"/>
                <w:sz w:val="16"/>
                <w:szCs w:val="16"/>
              </w:rPr>
            </w:pPr>
            <w:r w:rsidRPr="00F13C21">
              <w:rPr>
                <w:color w:val="000000"/>
                <w:sz w:val="16"/>
                <w:szCs w:val="16"/>
              </w:rPr>
              <w:t>Avances realizados en la creación de un marco internacional de colaboración para una contribución eficaz de la P.I. a la seguridad alimentaria mediante la creación de un proceso consultivo</w:t>
            </w:r>
          </w:p>
        </w:tc>
        <w:tc>
          <w:tcPr>
            <w:tcW w:w="2520" w:type="dxa"/>
            <w:tcBorders>
              <w:top w:val="single" w:sz="4" w:space="0" w:color="auto"/>
              <w:left w:val="nil"/>
              <w:bottom w:val="nil"/>
              <w:right w:val="nil"/>
            </w:tcBorders>
            <w:shd w:val="clear" w:color="000000" w:fill="FFFFFF"/>
            <w:hideMark/>
          </w:tcPr>
          <w:p w:rsidR="00D36C61" w:rsidRPr="005642B2" w:rsidRDefault="00D36C61" w:rsidP="00C6366D">
            <w:pPr>
              <w:ind w:firstLineChars="200" w:firstLine="320"/>
              <w:rPr>
                <w:sz w:val="16"/>
                <w:szCs w:val="16"/>
                <w:lang w:val="es-ES_tradnl"/>
              </w:rPr>
            </w:pPr>
          </w:p>
          <w:p w:rsidR="00D36C61" w:rsidRPr="00F13C21" w:rsidRDefault="000C438B" w:rsidP="000C438B">
            <w:pPr>
              <w:ind w:firstLineChars="200" w:firstLine="320"/>
              <w:rPr>
                <w:color w:val="000000"/>
                <w:sz w:val="16"/>
                <w:szCs w:val="16"/>
              </w:rPr>
            </w:pPr>
            <w:proofErr w:type="spellStart"/>
            <w:r>
              <w:rPr>
                <w:sz w:val="16"/>
                <w:szCs w:val="16"/>
                <w:lang w:val="es-ES_tradnl"/>
              </w:rPr>
              <w:t>n.d</w:t>
            </w:r>
            <w:proofErr w:type="spellEnd"/>
            <w:r>
              <w:rPr>
                <w:sz w:val="16"/>
                <w:szCs w:val="16"/>
                <w:lang w:val="es-ES_tradnl"/>
              </w:rPr>
              <w:t>.</w:t>
            </w:r>
          </w:p>
        </w:tc>
        <w:tc>
          <w:tcPr>
            <w:tcW w:w="2020" w:type="dxa"/>
            <w:tcBorders>
              <w:top w:val="single" w:sz="4" w:space="0" w:color="auto"/>
              <w:left w:val="nil"/>
              <w:bottom w:val="nil"/>
              <w:right w:val="single" w:sz="4" w:space="0" w:color="auto"/>
            </w:tcBorders>
            <w:shd w:val="clear" w:color="000000" w:fill="FFFFFF"/>
            <w:hideMark/>
          </w:tcPr>
          <w:p w:rsidR="00D36C61" w:rsidRPr="00F13C21" w:rsidRDefault="00D36C61" w:rsidP="00C6366D">
            <w:pPr>
              <w:ind w:left="180"/>
              <w:rPr>
                <w:color w:val="000000"/>
                <w:sz w:val="16"/>
                <w:szCs w:val="16"/>
              </w:rPr>
            </w:pPr>
          </w:p>
          <w:p w:rsidR="00D36C61" w:rsidRPr="00F13C21" w:rsidRDefault="00D36C61" w:rsidP="00C6366D">
            <w:pPr>
              <w:ind w:left="180"/>
              <w:rPr>
                <w:color w:val="000000"/>
                <w:sz w:val="16"/>
                <w:szCs w:val="16"/>
              </w:rPr>
            </w:pPr>
            <w:r w:rsidRPr="00F13C21">
              <w:rPr>
                <w:color w:val="000000"/>
                <w:sz w:val="16"/>
                <w:szCs w:val="16"/>
              </w:rPr>
              <w:t>Se elabora un proyecto de marco general</w:t>
            </w:r>
          </w:p>
        </w:tc>
      </w:tr>
      <w:tr w:rsidR="00D36C61" w:rsidRPr="00F13C21" w:rsidTr="00C6366D">
        <w:trPr>
          <w:trHeight w:val="1521"/>
        </w:trPr>
        <w:tc>
          <w:tcPr>
            <w:tcW w:w="2340" w:type="dxa"/>
            <w:tcBorders>
              <w:top w:val="nil"/>
              <w:left w:val="single" w:sz="4" w:space="0" w:color="auto"/>
              <w:bottom w:val="single" w:sz="4" w:space="0" w:color="auto"/>
              <w:right w:val="nil"/>
            </w:tcBorders>
            <w:shd w:val="clear" w:color="000000" w:fill="FFFFFF"/>
            <w:hideMark/>
          </w:tcPr>
          <w:p w:rsidR="00D36C61" w:rsidRPr="00F13C21" w:rsidRDefault="00D36C61" w:rsidP="00C6366D">
            <w:pPr>
              <w:rPr>
                <w:color w:val="000000"/>
                <w:sz w:val="16"/>
                <w:szCs w:val="16"/>
              </w:rPr>
            </w:pPr>
            <w:r w:rsidRPr="00F13C21">
              <w:rPr>
                <w:color w:val="000000"/>
                <w:sz w:val="16"/>
                <w:szCs w:val="16"/>
              </w:rPr>
              <w:t> </w:t>
            </w:r>
          </w:p>
        </w:tc>
        <w:tc>
          <w:tcPr>
            <w:tcW w:w="2380" w:type="dxa"/>
            <w:tcBorders>
              <w:top w:val="nil"/>
              <w:left w:val="nil"/>
              <w:bottom w:val="single" w:sz="4" w:space="0" w:color="auto"/>
              <w:right w:val="nil"/>
            </w:tcBorders>
            <w:shd w:val="clear" w:color="000000" w:fill="FFFFFF"/>
            <w:hideMark/>
          </w:tcPr>
          <w:p w:rsidR="00D36C61" w:rsidRPr="00F13C21" w:rsidRDefault="00D36C61" w:rsidP="00C6366D">
            <w:pPr>
              <w:ind w:left="261"/>
              <w:rPr>
                <w:color w:val="000000"/>
                <w:sz w:val="16"/>
                <w:szCs w:val="16"/>
              </w:rPr>
            </w:pPr>
          </w:p>
          <w:p w:rsidR="00D36C61" w:rsidRPr="00F13C21" w:rsidRDefault="00D36C61" w:rsidP="000C438B">
            <w:pPr>
              <w:ind w:left="261"/>
              <w:rPr>
                <w:color w:val="000000"/>
                <w:sz w:val="16"/>
                <w:szCs w:val="16"/>
              </w:rPr>
            </w:pPr>
            <w:r w:rsidRPr="00F13C21">
              <w:rPr>
                <w:color w:val="000000"/>
                <w:sz w:val="16"/>
                <w:szCs w:val="16"/>
              </w:rPr>
              <w:t>N</w:t>
            </w:r>
            <w:r w:rsidR="000C438B">
              <w:rPr>
                <w:color w:val="000000"/>
                <w:sz w:val="16"/>
                <w:szCs w:val="16"/>
              </w:rPr>
              <w:t>º</w:t>
            </w:r>
            <w:r w:rsidRPr="00F13C21">
              <w:rPr>
                <w:color w:val="000000"/>
                <w:sz w:val="16"/>
                <w:szCs w:val="16"/>
              </w:rPr>
              <w:t xml:space="preserve"> de visitas al sitio web </w:t>
            </w:r>
            <w:r w:rsidRPr="00F13C21">
              <w:rPr>
                <w:color w:val="000000"/>
                <w:sz w:val="16"/>
                <w:szCs w:val="16"/>
                <w:lang w:val="es-ES_tradnl"/>
              </w:rPr>
              <w:t>Desafíos Mundiales</w:t>
            </w:r>
          </w:p>
        </w:tc>
        <w:tc>
          <w:tcPr>
            <w:tcW w:w="2520" w:type="dxa"/>
            <w:tcBorders>
              <w:top w:val="nil"/>
              <w:left w:val="nil"/>
              <w:bottom w:val="single" w:sz="4" w:space="0" w:color="auto"/>
              <w:right w:val="nil"/>
            </w:tcBorders>
            <w:shd w:val="clear" w:color="000000" w:fill="FFFFFF"/>
            <w:hideMark/>
          </w:tcPr>
          <w:p w:rsidR="00D36C61" w:rsidRPr="00F13C21" w:rsidRDefault="00D36C61" w:rsidP="00C6366D">
            <w:pPr>
              <w:ind w:left="290"/>
              <w:rPr>
                <w:color w:val="000000"/>
                <w:sz w:val="16"/>
                <w:szCs w:val="16"/>
              </w:rPr>
            </w:pPr>
          </w:p>
          <w:p w:rsidR="00D36C61" w:rsidRPr="00F13C21" w:rsidRDefault="00D36C61" w:rsidP="00C6366D">
            <w:pPr>
              <w:ind w:left="290"/>
              <w:rPr>
                <w:color w:val="000000"/>
                <w:sz w:val="16"/>
                <w:szCs w:val="16"/>
              </w:rPr>
            </w:pPr>
            <w:r w:rsidRPr="00F13C21">
              <w:rPr>
                <w:color w:val="000000"/>
                <w:sz w:val="16"/>
                <w:szCs w:val="16"/>
              </w:rPr>
              <w:t xml:space="preserve">Número de visitas: </w:t>
            </w:r>
            <w:r w:rsidRPr="00F13C21">
              <w:rPr>
                <w:color w:val="000000"/>
                <w:sz w:val="16"/>
                <w:szCs w:val="16"/>
              </w:rPr>
              <w:br/>
              <w:t>- GCD (</w:t>
            </w:r>
            <w:r w:rsidRPr="00F13C21">
              <w:rPr>
                <w:color w:val="000000"/>
                <w:sz w:val="16"/>
                <w:szCs w:val="16"/>
                <w:lang w:val="es-ES_tradnl"/>
              </w:rPr>
              <w:t>División de Desafíos Mundiales)</w:t>
            </w:r>
            <w:r w:rsidRPr="00F13C21">
              <w:rPr>
                <w:color w:val="000000"/>
                <w:sz w:val="16"/>
                <w:szCs w:val="16"/>
              </w:rPr>
              <w:t xml:space="preserve">:  1.353 </w:t>
            </w:r>
            <w:r w:rsidRPr="00F13C21">
              <w:rPr>
                <w:color w:val="000000"/>
                <w:sz w:val="16"/>
                <w:szCs w:val="16"/>
              </w:rPr>
              <w:br/>
              <w:t>- La salud mundial y la P.I.:</w:t>
            </w:r>
          </w:p>
          <w:p w:rsidR="00D36C61" w:rsidRPr="009573A5" w:rsidRDefault="00D36C61" w:rsidP="00C6366D">
            <w:pPr>
              <w:ind w:left="290"/>
              <w:rPr>
                <w:color w:val="000000"/>
                <w:sz w:val="16"/>
                <w:szCs w:val="16"/>
              </w:rPr>
            </w:pPr>
            <w:r w:rsidRPr="00F13C21">
              <w:rPr>
                <w:color w:val="000000"/>
                <w:sz w:val="16"/>
                <w:szCs w:val="16"/>
              </w:rPr>
              <w:t xml:space="preserve"> 4.778</w:t>
            </w:r>
            <w:r w:rsidRPr="00F13C21">
              <w:rPr>
                <w:color w:val="000000"/>
                <w:sz w:val="16"/>
                <w:szCs w:val="16"/>
              </w:rPr>
              <w:br/>
              <w:t>- El cambio climático y la P.I.:</w:t>
            </w:r>
            <w:r>
              <w:rPr>
                <w:color w:val="000000"/>
                <w:sz w:val="16"/>
                <w:szCs w:val="16"/>
              </w:rPr>
              <w:t xml:space="preserve">  </w:t>
            </w:r>
            <w:r w:rsidRPr="00F13C21">
              <w:rPr>
                <w:color w:val="000000"/>
                <w:sz w:val="16"/>
                <w:szCs w:val="16"/>
              </w:rPr>
              <w:t xml:space="preserve"> </w:t>
            </w:r>
            <w:r w:rsidRPr="009573A5">
              <w:rPr>
                <w:color w:val="000000"/>
                <w:sz w:val="16"/>
                <w:szCs w:val="16"/>
              </w:rPr>
              <w:t xml:space="preserve">2.462 </w:t>
            </w:r>
            <w:r w:rsidRPr="009573A5">
              <w:rPr>
                <w:color w:val="000000"/>
                <w:sz w:val="16"/>
                <w:szCs w:val="16"/>
              </w:rPr>
              <w:br/>
              <w:t xml:space="preserve">- </w:t>
            </w:r>
            <w:r w:rsidR="004252B2" w:rsidRPr="004252B2">
              <w:rPr>
                <w:i/>
                <w:color w:val="000000"/>
                <w:sz w:val="16"/>
                <w:szCs w:val="16"/>
              </w:rPr>
              <w:t xml:space="preserve">WIPO </w:t>
            </w:r>
            <w:proofErr w:type="spellStart"/>
            <w:r w:rsidR="004252B2" w:rsidRPr="004252B2">
              <w:rPr>
                <w:i/>
                <w:color w:val="000000"/>
                <w:sz w:val="16"/>
                <w:szCs w:val="16"/>
              </w:rPr>
              <w:t>Re:Search</w:t>
            </w:r>
            <w:proofErr w:type="spellEnd"/>
            <w:r w:rsidRPr="009573A5">
              <w:rPr>
                <w:color w:val="000000"/>
                <w:sz w:val="16"/>
                <w:szCs w:val="16"/>
              </w:rPr>
              <w:t xml:space="preserve">:  38.852 </w:t>
            </w:r>
            <w:r w:rsidRPr="009573A5">
              <w:rPr>
                <w:color w:val="000000"/>
                <w:sz w:val="16"/>
                <w:szCs w:val="16"/>
              </w:rPr>
              <w:br/>
              <w:t xml:space="preserve">- </w:t>
            </w:r>
            <w:r w:rsidR="004252B2" w:rsidRPr="004252B2">
              <w:rPr>
                <w:i/>
                <w:color w:val="000000"/>
                <w:sz w:val="16"/>
                <w:szCs w:val="16"/>
              </w:rPr>
              <w:t>WIPO GREEN</w:t>
            </w:r>
            <w:r w:rsidRPr="009573A5">
              <w:rPr>
                <w:color w:val="000000"/>
                <w:sz w:val="16"/>
                <w:szCs w:val="16"/>
              </w:rPr>
              <w:t>:  77.752</w:t>
            </w:r>
          </w:p>
        </w:tc>
        <w:tc>
          <w:tcPr>
            <w:tcW w:w="2020" w:type="dxa"/>
            <w:tcBorders>
              <w:top w:val="nil"/>
              <w:left w:val="nil"/>
              <w:bottom w:val="single" w:sz="4" w:space="0" w:color="auto"/>
              <w:right w:val="single" w:sz="4" w:space="0" w:color="auto"/>
            </w:tcBorders>
            <w:shd w:val="clear" w:color="000000" w:fill="FFFFFF"/>
            <w:hideMark/>
          </w:tcPr>
          <w:p w:rsidR="00D36C61" w:rsidRPr="00F13C21" w:rsidRDefault="00D36C61" w:rsidP="00C6366D">
            <w:pPr>
              <w:ind w:left="180"/>
              <w:rPr>
                <w:color w:val="000000"/>
                <w:sz w:val="16"/>
                <w:szCs w:val="16"/>
              </w:rPr>
            </w:pPr>
            <w:r w:rsidRPr="005642B2">
              <w:rPr>
                <w:color w:val="000000"/>
                <w:sz w:val="16"/>
                <w:szCs w:val="16"/>
              </w:rPr>
              <w:t>Aumento</w:t>
            </w:r>
            <w:r w:rsidRPr="005642B2">
              <w:rPr>
                <w:sz w:val="16"/>
                <w:szCs w:val="16"/>
                <w:lang w:val="es-ES_tradnl"/>
              </w:rPr>
              <w:t xml:space="preserve"> del 10%</w:t>
            </w:r>
            <w:r w:rsidRPr="005642B2">
              <w:rPr>
                <w:sz w:val="16"/>
                <w:szCs w:val="16"/>
              </w:rPr>
              <w:t xml:space="preserve"> </w:t>
            </w:r>
          </w:p>
        </w:tc>
      </w:tr>
    </w:tbl>
    <w:p w:rsidR="00D36C61" w:rsidRPr="00F13C21" w:rsidRDefault="00D36C61" w:rsidP="00D36C61">
      <w:pPr>
        <w:tabs>
          <w:tab w:val="left" w:pos="567"/>
          <w:tab w:val="left" w:pos="1985"/>
        </w:tabs>
        <w:jc w:val="both"/>
        <w:rPr>
          <w:bCs/>
          <w:sz w:val="20"/>
        </w:rPr>
      </w:pPr>
    </w:p>
    <w:p w:rsidR="00D36C61" w:rsidRPr="00F13C21" w:rsidRDefault="00D36C61" w:rsidP="00D36C61">
      <w:pPr>
        <w:widowControl w:val="0"/>
        <w:tabs>
          <w:tab w:val="left" w:pos="567"/>
          <w:tab w:val="left" w:pos="1985"/>
        </w:tabs>
        <w:jc w:val="both"/>
        <w:rPr>
          <w:bCs/>
          <w:sz w:val="20"/>
        </w:rPr>
      </w:pPr>
    </w:p>
    <w:p w:rsidR="00D36C61" w:rsidRPr="00F13C21" w:rsidRDefault="00D36C61" w:rsidP="00D36C61">
      <w:pPr>
        <w:widowControl w:val="0"/>
        <w:tabs>
          <w:tab w:val="left" w:pos="567"/>
          <w:tab w:val="left" w:pos="1985"/>
        </w:tabs>
        <w:jc w:val="both"/>
        <w:rPr>
          <w:b/>
          <w:bCs/>
          <w:szCs w:val="22"/>
          <w:lang w:val="es-ES_tradnl"/>
        </w:rPr>
      </w:pPr>
      <w:r w:rsidRPr="00F13C21">
        <w:rPr>
          <w:b/>
          <w:bCs/>
          <w:color w:val="000000"/>
          <w:szCs w:val="22"/>
          <w:lang w:val="es-ES_tradnl"/>
        </w:rPr>
        <w:t>LA P.I. Y LA POLÍTICA DE COMPETENCIA</w:t>
      </w:r>
    </w:p>
    <w:p w:rsidR="00D36C61" w:rsidRPr="00F13C21" w:rsidRDefault="00D36C61" w:rsidP="00D36C61">
      <w:pPr>
        <w:widowControl w:val="0"/>
        <w:tabs>
          <w:tab w:val="left" w:pos="567"/>
          <w:tab w:val="left" w:pos="1985"/>
        </w:tabs>
        <w:jc w:val="both"/>
        <w:rPr>
          <w:bCs/>
          <w:sz w:val="20"/>
          <w:lang w:val="es-ES_tradnl"/>
        </w:rPr>
      </w:pPr>
    </w:p>
    <w:p w:rsidR="00D36C61" w:rsidRPr="00F13C21" w:rsidRDefault="00D36C61" w:rsidP="00D36C61">
      <w:pPr>
        <w:widowControl w:val="0"/>
        <w:tabs>
          <w:tab w:val="left" w:pos="567"/>
          <w:tab w:val="left" w:pos="1985"/>
        </w:tabs>
        <w:jc w:val="both"/>
        <w:rPr>
          <w:bCs/>
          <w:sz w:val="20"/>
          <w:lang w:val="es-ES_tradnl"/>
        </w:rPr>
      </w:pPr>
    </w:p>
    <w:p w:rsidR="00D36C61" w:rsidRPr="000C438B" w:rsidRDefault="00D36C61" w:rsidP="00D36C61">
      <w:pPr>
        <w:widowControl w:val="0"/>
        <w:jc w:val="both"/>
        <w:rPr>
          <w:szCs w:val="22"/>
        </w:rPr>
      </w:pPr>
      <w:r w:rsidRPr="000C438B">
        <w:rPr>
          <w:szCs w:val="22"/>
          <w:lang w:val="es-ES_tradnl"/>
        </w:rPr>
        <w:t>CONTEXTO DE PLANIFICACIÓN</w:t>
      </w:r>
    </w:p>
    <w:p w:rsidR="00D36C61" w:rsidRPr="00F13C21" w:rsidRDefault="00D36C61" w:rsidP="00D36C61">
      <w:pPr>
        <w:widowControl w:val="0"/>
        <w:jc w:val="both"/>
        <w:rPr>
          <w:sz w:val="20"/>
        </w:rPr>
      </w:pPr>
    </w:p>
    <w:p w:rsidR="00D36C61" w:rsidRPr="00F13C21" w:rsidRDefault="00D36C61" w:rsidP="00D36C61">
      <w:pPr>
        <w:widowControl w:val="0"/>
        <w:numPr>
          <w:ilvl w:val="0"/>
          <w:numId w:val="37"/>
        </w:numPr>
        <w:tabs>
          <w:tab w:val="left" w:pos="709"/>
        </w:tabs>
        <w:jc w:val="both"/>
        <w:rPr>
          <w:sz w:val="20"/>
        </w:rPr>
      </w:pPr>
      <w:r w:rsidRPr="00F13C21">
        <w:rPr>
          <w:sz w:val="20"/>
        </w:rPr>
        <w:t xml:space="preserve">La labor </w:t>
      </w:r>
      <w:r>
        <w:rPr>
          <w:sz w:val="20"/>
        </w:rPr>
        <w:t xml:space="preserve">de la OMPI </w:t>
      </w:r>
      <w:r w:rsidRPr="00F13C21">
        <w:rPr>
          <w:sz w:val="20"/>
        </w:rPr>
        <w:t>relativa a la P.I. y la política de competencia está relacionada con las metas estratégicas I y III.  En lo que atañe a la meta estratégica I, las actividades tienen por objeto ofrecer a los Estados miembros de la OMPI las herramientas necesarias para establecer un marco normativo equilibrado a escala nacional que permita que la P.I. siga siendo el</w:t>
      </w:r>
      <w:r>
        <w:rPr>
          <w:sz w:val="20"/>
        </w:rPr>
        <w:t xml:space="preserve"> marco legal</w:t>
      </w:r>
      <w:r w:rsidRPr="00F13C21">
        <w:rPr>
          <w:sz w:val="20"/>
        </w:rPr>
        <w:t xml:space="preserve"> de referencia en los mercados libres y abiertos.  Esa labor debe al mismo tiempo garantizar que la libertad de mercado sea un importante catalizador del desarrollo.</w:t>
      </w:r>
    </w:p>
    <w:p w:rsidR="00D36C61" w:rsidRPr="00F13C21" w:rsidRDefault="00D36C61" w:rsidP="00D36C61">
      <w:pPr>
        <w:jc w:val="both"/>
        <w:rPr>
          <w:sz w:val="20"/>
        </w:rPr>
      </w:pPr>
    </w:p>
    <w:p w:rsidR="00D36C61" w:rsidRPr="00F13C21" w:rsidRDefault="00D36C61" w:rsidP="00D36C61">
      <w:pPr>
        <w:numPr>
          <w:ilvl w:val="0"/>
          <w:numId w:val="37"/>
        </w:numPr>
        <w:tabs>
          <w:tab w:val="left" w:pos="709"/>
        </w:tabs>
        <w:jc w:val="both"/>
        <w:rPr>
          <w:sz w:val="20"/>
        </w:rPr>
      </w:pPr>
      <w:r w:rsidRPr="00F13C21">
        <w:rPr>
          <w:sz w:val="20"/>
        </w:rPr>
        <w:t>La OMPI seguirá sirviendo de foro para el intercambio de experiencias entre los Estados miembros sobre la P.I. y la política de competencia mediante</w:t>
      </w:r>
      <w:r>
        <w:rPr>
          <w:sz w:val="20"/>
        </w:rPr>
        <w:t xml:space="preserve"> actividades de</w:t>
      </w:r>
      <w:r w:rsidRPr="00F13C21">
        <w:rPr>
          <w:sz w:val="20"/>
        </w:rPr>
        <w:t xml:space="preserve"> sensibilización y la divulgación de información, otorgando especial prioridad a los países en desarrollo y los PMA.</w:t>
      </w:r>
    </w:p>
    <w:p w:rsidR="00D36C61" w:rsidRPr="00F13C21" w:rsidRDefault="00D36C61" w:rsidP="00D36C61">
      <w:pPr>
        <w:jc w:val="both"/>
        <w:rPr>
          <w:sz w:val="20"/>
        </w:rPr>
      </w:pPr>
    </w:p>
    <w:p w:rsidR="00D36C61" w:rsidRPr="00F13C21" w:rsidRDefault="00D36C61" w:rsidP="00D36C61">
      <w:pPr>
        <w:jc w:val="both"/>
        <w:rPr>
          <w:sz w:val="20"/>
        </w:rPr>
      </w:pPr>
    </w:p>
    <w:p w:rsidR="00D36C61" w:rsidRPr="000C438B" w:rsidRDefault="00D36C61" w:rsidP="00D36C61">
      <w:pPr>
        <w:jc w:val="both"/>
        <w:rPr>
          <w:szCs w:val="22"/>
        </w:rPr>
      </w:pPr>
      <w:r w:rsidRPr="000C438B">
        <w:rPr>
          <w:szCs w:val="22"/>
          <w:lang w:val="es-ES_tradnl"/>
        </w:rPr>
        <w:t>ESTRATEGIAS DE EJECUCIÓN</w:t>
      </w:r>
    </w:p>
    <w:p w:rsidR="00D36C61" w:rsidRPr="00F13C21" w:rsidRDefault="00D36C61" w:rsidP="00D36C61">
      <w:pPr>
        <w:jc w:val="both"/>
        <w:rPr>
          <w:sz w:val="20"/>
        </w:rPr>
      </w:pPr>
    </w:p>
    <w:p w:rsidR="00D36C61" w:rsidRPr="00F13C21" w:rsidRDefault="00D36C61" w:rsidP="00D36C61">
      <w:pPr>
        <w:numPr>
          <w:ilvl w:val="0"/>
          <w:numId w:val="37"/>
        </w:numPr>
        <w:tabs>
          <w:tab w:val="left" w:pos="709"/>
        </w:tabs>
        <w:jc w:val="both"/>
        <w:rPr>
          <w:sz w:val="20"/>
        </w:rPr>
      </w:pPr>
      <w:r w:rsidRPr="00F13C21">
        <w:rPr>
          <w:sz w:val="20"/>
        </w:rPr>
        <w:t xml:space="preserve">Las actividades relacionadas con el intercambio de experiencias y la asistencia a los Estados miembros en lo tocante a la interacción entre la P.I. y la política de competencia se continuarán en el periodo 2016/2017.  </w:t>
      </w:r>
      <w:r>
        <w:rPr>
          <w:sz w:val="20"/>
        </w:rPr>
        <w:t>Estas actividades abarcará</w:t>
      </w:r>
      <w:r w:rsidRPr="00F13C21">
        <w:rPr>
          <w:sz w:val="20"/>
        </w:rPr>
        <w:t>n el estudio y análisis del uso que hacen varios Estados miembros de las norma</w:t>
      </w:r>
      <w:r>
        <w:rPr>
          <w:sz w:val="20"/>
        </w:rPr>
        <w:t>s</w:t>
      </w:r>
      <w:r w:rsidRPr="00F13C21">
        <w:rPr>
          <w:sz w:val="20"/>
        </w:rPr>
        <w:t xml:space="preserve"> de protección contra la competencia desleal como mecanismo complementario a la </w:t>
      </w:r>
      <w:r>
        <w:rPr>
          <w:sz w:val="20"/>
        </w:rPr>
        <w:t>observancia</w:t>
      </w:r>
      <w:r w:rsidRPr="00F13C21">
        <w:rPr>
          <w:sz w:val="20"/>
        </w:rPr>
        <w:t xml:space="preserve"> de las leyes sobre competencia.</w:t>
      </w:r>
    </w:p>
    <w:p w:rsidR="00D36C61" w:rsidRPr="00F13C21" w:rsidRDefault="00D36C61" w:rsidP="00D36C61">
      <w:pPr>
        <w:jc w:val="both"/>
        <w:rPr>
          <w:sz w:val="20"/>
        </w:rPr>
      </w:pPr>
    </w:p>
    <w:p w:rsidR="00D36C61" w:rsidRPr="00F13C21" w:rsidRDefault="00D36C61" w:rsidP="00D36C61">
      <w:pPr>
        <w:numPr>
          <w:ilvl w:val="0"/>
          <w:numId w:val="37"/>
        </w:numPr>
        <w:tabs>
          <w:tab w:val="left" w:pos="709"/>
        </w:tabs>
        <w:jc w:val="both"/>
        <w:rPr>
          <w:sz w:val="20"/>
        </w:rPr>
      </w:pPr>
      <w:r w:rsidRPr="00F13C21">
        <w:rPr>
          <w:sz w:val="20"/>
        </w:rPr>
        <w:t>Asimismo, con el fin de evitar la duplicación de esfuerzos con otras organizaciones intergubernamentales, la OMPI seguirá coord</w:t>
      </w:r>
      <w:r>
        <w:rPr>
          <w:sz w:val="20"/>
        </w:rPr>
        <w:t>iná</w:t>
      </w:r>
      <w:r w:rsidRPr="00F13C21">
        <w:rPr>
          <w:sz w:val="20"/>
        </w:rPr>
        <w:t>ndo</w:t>
      </w:r>
      <w:r>
        <w:rPr>
          <w:sz w:val="20"/>
        </w:rPr>
        <w:t>se</w:t>
      </w:r>
      <w:r w:rsidRPr="00F13C21">
        <w:rPr>
          <w:sz w:val="20"/>
        </w:rPr>
        <w:t xml:space="preserve"> periódicamente con la Organización para la Cooperación y Desarrollo Económicos (OCDE), la OMC, la</w:t>
      </w:r>
      <w:r w:rsidRPr="00F13C21">
        <w:t xml:space="preserve"> </w:t>
      </w:r>
      <w:r w:rsidRPr="00F13C21">
        <w:rPr>
          <w:sz w:val="20"/>
        </w:rPr>
        <w:t xml:space="preserve">Conferencia de las Naciones Unidas sobre Comercio y Desarrollo (UNCTAD) y, cuando proceda, con la </w:t>
      </w:r>
      <w:r w:rsidRPr="00F13C21">
        <w:rPr>
          <w:i/>
          <w:sz w:val="20"/>
        </w:rPr>
        <w:t xml:space="preserve">International </w:t>
      </w:r>
      <w:proofErr w:type="spellStart"/>
      <w:r w:rsidRPr="00F13C21">
        <w:rPr>
          <w:i/>
          <w:sz w:val="20"/>
        </w:rPr>
        <w:t>Competition</w:t>
      </w:r>
      <w:proofErr w:type="spellEnd"/>
      <w:r w:rsidRPr="00F13C21">
        <w:rPr>
          <w:i/>
          <w:sz w:val="20"/>
        </w:rPr>
        <w:t xml:space="preserve"> Network</w:t>
      </w:r>
      <w:r w:rsidRPr="005642B2">
        <w:rPr>
          <w:sz w:val="20"/>
        </w:rPr>
        <w:t xml:space="preserve"> (ICN</w:t>
      </w:r>
      <w:r w:rsidRPr="00F13C21">
        <w:rPr>
          <w:sz w:val="20"/>
        </w:rPr>
        <w:t>).</w:t>
      </w:r>
    </w:p>
    <w:p w:rsidR="00D36C61" w:rsidRPr="00E93F9E" w:rsidRDefault="00D36C61" w:rsidP="00D36C61">
      <w:pPr>
        <w:tabs>
          <w:tab w:val="left" w:pos="567"/>
          <w:tab w:val="left" w:pos="1985"/>
        </w:tabs>
        <w:jc w:val="both"/>
        <w:rPr>
          <w:bCs/>
          <w:sz w:val="20"/>
        </w:rPr>
      </w:pPr>
    </w:p>
    <w:p w:rsidR="00D36C61" w:rsidRPr="00E93F9E" w:rsidRDefault="00D36C61" w:rsidP="00D36C61">
      <w:pPr>
        <w:tabs>
          <w:tab w:val="left" w:pos="567"/>
          <w:tab w:val="left" w:pos="1985"/>
        </w:tabs>
        <w:jc w:val="both"/>
        <w:rPr>
          <w:bCs/>
          <w:sz w:val="20"/>
        </w:rPr>
      </w:pPr>
    </w:p>
    <w:p w:rsidR="00C644DC" w:rsidRPr="00222859" w:rsidRDefault="00C644DC" w:rsidP="00C644DC">
      <w:pPr>
        <w:tabs>
          <w:tab w:val="left" w:pos="567"/>
          <w:tab w:val="left" w:pos="1985"/>
        </w:tabs>
        <w:jc w:val="both"/>
        <w:rPr>
          <w:bCs/>
        </w:rPr>
      </w:pPr>
      <w:r w:rsidRPr="00222859">
        <w:rPr>
          <w:bCs/>
        </w:rPr>
        <w:t>RECURSOS PARA EL PROGRAMA 18</w:t>
      </w:r>
    </w:p>
    <w:p w:rsidR="00C644DC" w:rsidRDefault="00C644DC" w:rsidP="00C644DC">
      <w:pPr>
        <w:tabs>
          <w:tab w:val="left" w:pos="709"/>
          <w:tab w:val="left" w:pos="1985"/>
        </w:tabs>
        <w:jc w:val="both"/>
        <w:rPr>
          <w:bCs/>
        </w:rPr>
      </w:pPr>
    </w:p>
    <w:p w:rsidR="00C644DC" w:rsidRPr="00222859" w:rsidRDefault="00222859" w:rsidP="00222859">
      <w:pPr>
        <w:numPr>
          <w:ilvl w:val="0"/>
          <w:numId w:val="37"/>
        </w:numPr>
        <w:tabs>
          <w:tab w:val="left" w:pos="709"/>
        </w:tabs>
        <w:jc w:val="both"/>
        <w:rPr>
          <w:sz w:val="20"/>
        </w:rPr>
      </w:pPr>
      <w:r w:rsidRPr="00892A2A">
        <w:rPr>
          <w:sz w:val="20"/>
        </w:rPr>
        <w:t xml:space="preserve">En lo que respecta al programa 18, puede observarse una ligera disminución en </w:t>
      </w:r>
      <w:r w:rsidR="000C438B">
        <w:rPr>
          <w:sz w:val="20"/>
        </w:rPr>
        <w:t>la dotación global de</w:t>
      </w:r>
      <w:r w:rsidRPr="00892A2A">
        <w:rPr>
          <w:sz w:val="20"/>
        </w:rPr>
        <w:t xml:space="preserve"> recursos para 2016/17 con respecto al presupuesto de 2014/</w:t>
      </w:r>
      <w:r w:rsidR="00ED0A05">
        <w:rPr>
          <w:sz w:val="20"/>
        </w:rPr>
        <w:t>15 tras las</w:t>
      </w:r>
      <w:r w:rsidRPr="00892A2A">
        <w:rPr>
          <w:sz w:val="20"/>
        </w:rPr>
        <w:t xml:space="preserve"> transferencias.  Ello se debe a la reducción, en 2016/17, en la dotación de recursos </w:t>
      </w:r>
      <w:r w:rsidR="00DE0A62">
        <w:rPr>
          <w:sz w:val="20"/>
        </w:rPr>
        <w:t>no relativos a personal</w:t>
      </w:r>
      <w:r w:rsidRPr="00892A2A">
        <w:rPr>
          <w:sz w:val="20"/>
        </w:rPr>
        <w:t xml:space="preserve"> para P.I. y políticas en materia de competencia y la reducción en la dotación de recursos de personal para el programa, debido al cambio introducido en 2016/17 en la metodología aplicada al cálculo de los costos de recursos de personal a partir del cálculo de los costos reales.</w:t>
      </w:r>
    </w:p>
    <w:p w:rsidR="00C644DC" w:rsidRPr="00222859" w:rsidRDefault="00C644DC" w:rsidP="00C644DC">
      <w:pPr>
        <w:tabs>
          <w:tab w:val="left" w:pos="709"/>
          <w:tab w:val="left" w:pos="1985"/>
        </w:tabs>
        <w:jc w:val="both"/>
        <w:rPr>
          <w:sz w:val="20"/>
        </w:rPr>
      </w:pPr>
    </w:p>
    <w:p w:rsidR="00C644DC" w:rsidRPr="00222859" w:rsidRDefault="00222859" w:rsidP="000C438B">
      <w:pPr>
        <w:numPr>
          <w:ilvl w:val="0"/>
          <w:numId w:val="37"/>
        </w:numPr>
        <w:tabs>
          <w:tab w:val="left" w:pos="709"/>
        </w:tabs>
        <w:jc w:val="both"/>
        <w:rPr>
          <w:sz w:val="20"/>
        </w:rPr>
      </w:pPr>
      <w:r w:rsidRPr="00892A2A">
        <w:rPr>
          <w:sz w:val="20"/>
        </w:rPr>
        <w:lastRenderedPageBreak/>
        <w:t xml:space="preserve">En 2016/17, el resultado previsto VII.3 se ha sintetizado con el resultado previsto I.2, dando lugar a un trasvase de los recursos, del resultado previsto VII.3 en 2014/15 al resultado previsto </w:t>
      </w:r>
      <w:r>
        <w:rPr>
          <w:sz w:val="20"/>
        </w:rPr>
        <w:t>I.2 en </w:t>
      </w:r>
      <w:r w:rsidRPr="00892A2A">
        <w:rPr>
          <w:sz w:val="20"/>
        </w:rPr>
        <w:t>2016/17.</w:t>
      </w:r>
    </w:p>
    <w:p w:rsidR="00C644DC" w:rsidRPr="00222859" w:rsidRDefault="00C644DC" w:rsidP="00C644DC">
      <w:pPr>
        <w:tabs>
          <w:tab w:val="left" w:pos="709"/>
          <w:tab w:val="left" w:pos="1985"/>
        </w:tabs>
        <w:jc w:val="both"/>
        <w:rPr>
          <w:sz w:val="20"/>
        </w:rPr>
      </w:pPr>
    </w:p>
    <w:p w:rsidR="00C644DC" w:rsidRPr="00222859" w:rsidRDefault="00222859" w:rsidP="000C438B">
      <w:pPr>
        <w:numPr>
          <w:ilvl w:val="0"/>
          <w:numId w:val="37"/>
        </w:numPr>
        <w:tabs>
          <w:tab w:val="left" w:pos="709"/>
        </w:tabs>
        <w:jc w:val="both"/>
        <w:rPr>
          <w:sz w:val="20"/>
        </w:rPr>
      </w:pPr>
      <w:r w:rsidRPr="00892A2A">
        <w:rPr>
          <w:sz w:val="20"/>
        </w:rPr>
        <w:t>En el bienio 2016/17, los recursos destinados a actividades relacionadas con la salud mundial se han vinculado al resultado previsto VIII.5 a fin de reflejar más adecuadamente la cooperación trilateral con la OMS y la OMC.  Esto se compensa mediante un trasvase de los recursos vinculados con el resultado previsto IV.2.</w:t>
      </w:r>
    </w:p>
    <w:p w:rsidR="00C644DC" w:rsidRPr="00222859" w:rsidRDefault="00C644DC" w:rsidP="00C644DC">
      <w:pPr>
        <w:tabs>
          <w:tab w:val="left" w:pos="709"/>
          <w:tab w:val="left" w:pos="1985"/>
        </w:tabs>
        <w:jc w:val="both"/>
        <w:rPr>
          <w:sz w:val="20"/>
        </w:rPr>
      </w:pPr>
    </w:p>
    <w:p w:rsidR="00C644DC" w:rsidRPr="00222859" w:rsidRDefault="00222859" w:rsidP="00C644DC">
      <w:pPr>
        <w:numPr>
          <w:ilvl w:val="0"/>
          <w:numId w:val="37"/>
        </w:numPr>
        <w:tabs>
          <w:tab w:val="left" w:pos="709"/>
        </w:tabs>
        <w:jc w:val="both"/>
        <w:rPr>
          <w:sz w:val="20"/>
        </w:rPr>
      </w:pPr>
      <w:r w:rsidRPr="00892A2A">
        <w:rPr>
          <w:sz w:val="20"/>
        </w:rPr>
        <w:t>En el marco de este programa, la dotación de recursos destinada a los resultados previstos I.1, VI.1, VI.2 y VIII.5 refleja los esfuerzos que dedica la Oficina del Subdirector General</w:t>
      </w:r>
      <w:r w:rsidR="000C438B">
        <w:rPr>
          <w:sz w:val="20"/>
        </w:rPr>
        <w:t>, encargado</w:t>
      </w:r>
      <w:r w:rsidRPr="00892A2A">
        <w:rPr>
          <w:sz w:val="20"/>
        </w:rPr>
        <w:t xml:space="preserve"> del Sector de Cuestiones Mundiales</w:t>
      </w:r>
      <w:r w:rsidR="000C438B">
        <w:rPr>
          <w:sz w:val="20"/>
        </w:rPr>
        <w:t>,</w:t>
      </w:r>
      <w:r w:rsidRPr="00892A2A">
        <w:rPr>
          <w:sz w:val="20"/>
        </w:rPr>
        <w:t xml:space="preserve"> a las actividades de los programas 4, 17 y 20, respectivamente.</w:t>
      </w:r>
    </w:p>
    <w:p w:rsidR="00C6366D" w:rsidRPr="00222859" w:rsidRDefault="00C6366D" w:rsidP="00C644DC">
      <w:pPr>
        <w:rPr>
          <w:sz w:val="20"/>
          <w:szCs w:val="21"/>
        </w:rPr>
      </w:pPr>
    </w:p>
    <w:p w:rsidR="00D36C61" w:rsidRPr="00222859" w:rsidRDefault="00D36C61" w:rsidP="00336FF1">
      <w:pPr>
        <w:shd w:val="clear" w:color="auto" w:fill="FFFFFF"/>
        <w:tabs>
          <w:tab w:val="left" w:pos="709"/>
        </w:tabs>
        <w:suppressAutoHyphens/>
        <w:jc w:val="both"/>
        <w:rPr>
          <w:sz w:val="20"/>
          <w:szCs w:val="21"/>
        </w:rPr>
      </w:pPr>
    </w:p>
    <w:p w:rsidR="00C644DC" w:rsidRPr="00071638" w:rsidRDefault="00C644DC" w:rsidP="00C644DC">
      <w:pPr>
        <w:keepNext/>
        <w:keepLines/>
        <w:tabs>
          <w:tab w:val="left" w:pos="1427"/>
        </w:tabs>
        <w:jc w:val="center"/>
        <w:rPr>
          <w:color w:val="244061" w:themeColor="accent1" w:themeShade="80"/>
          <w:sz w:val="20"/>
          <w:lang w:val="es-ES_tradnl"/>
        </w:rPr>
      </w:pPr>
      <w:r w:rsidRPr="00071638">
        <w:rPr>
          <w:b/>
          <w:color w:val="244061" w:themeColor="accent1" w:themeShade="80"/>
          <w:sz w:val="20"/>
          <w:lang w:val="es-ES_tradnl"/>
        </w:rPr>
        <w:t>Programa 18</w:t>
      </w:r>
      <w:proofErr w:type="gramStart"/>
      <w:r w:rsidRPr="00071638">
        <w:rPr>
          <w:b/>
          <w:color w:val="244061" w:themeColor="accent1" w:themeShade="80"/>
          <w:sz w:val="20"/>
          <w:lang w:val="es-ES_tradnl"/>
        </w:rPr>
        <w:t>:  Recursos</w:t>
      </w:r>
      <w:proofErr w:type="gramEnd"/>
      <w:r w:rsidRPr="00071638">
        <w:rPr>
          <w:b/>
          <w:color w:val="244061" w:themeColor="accent1" w:themeShade="80"/>
          <w:sz w:val="20"/>
          <w:lang w:val="es-ES_tradnl"/>
        </w:rPr>
        <w:t xml:space="preserve"> por resultado</w:t>
      </w:r>
    </w:p>
    <w:p w:rsidR="00C644DC" w:rsidRPr="00071638" w:rsidRDefault="00C644DC" w:rsidP="00C644DC">
      <w:pPr>
        <w:keepNext/>
        <w:keepLines/>
        <w:tabs>
          <w:tab w:val="left" w:pos="1427"/>
        </w:tabs>
        <w:jc w:val="center"/>
        <w:rPr>
          <w:i/>
          <w:color w:val="244061" w:themeColor="accent1" w:themeShade="80"/>
          <w:sz w:val="20"/>
          <w:szCs w:val="24"/>
          <w:lang w:val="es-ES_tradnl"/>
        </w:rPr>
      </w:pPr>
      <w:r w:rsidRPr="00071638">
        <w:rPr>
          <w:i/>
          <w:color w:val="244061" w:themeColor="accent1" w:themeShade="80"/>
          <w:sz w:val="20"/>
          <w:szCs w:val="24"/>
          <w:lang w:val="es-ES_tradnl"/>
        </w:rPr>
        <w:t>(</w:t>
      </w:r>
      <w:proofErr w:type="gramStart"/>
      <w:r w:rsidRPr="00071638">
        <w:rPr>
          <w:i/>
          <w:color w:val="244061" w:themeColor="accent1" w:themeShade="80"/>
          <w:sz w:val="20"/>
          <w:szCs w:val="24"/>
          <w:lang w:val="es-ES_tradnl"/>
        </w:rPr>
        <w:t>en</w:t>
      </w:r>
      <w:proofErr w:type="gramEnd"/>
      <w:r w:rsidRPr="00071638">
        <w:rPr>
          <w:i/>
          <w:color w:val="244061" w:themeColor="accent1" w:themeShade="80"/>
          <w:sz w:val="20"/>
          <w:szCs w:val="24"/>
          <w:lang w:val="es-ES_tradnl"/>
        </w:rPr>
        <w:t xml:space="preserve"> miles de francos suizos)</w:t>
      </w:r>
    </w:p>
    <w:p w:rsidR="00C644DC" w:rsidRPr="00071638" w:rsidRDefault="00C644DC" w:rsidP="00C644DC">
      <w:pPr>
        <w:keepNext/>
        <w:keepLines/>
        <w:tabs>
          <w:tab w:val="left" w:pos="1427"/>
        </w:tabs>
        <w:jc w:val="center"/>
        <w:rPr>
          <w:i/>
          <w:color w:val="244061" w:themeColor="accent1" w:themeShade="80"/>
          <w:sz w:val="20"/>
          <w:szCs w:val="24"/>
          <w:lang w:val="es-ES_tradnl"/>
        </w:rPr>
      </w:pPr>
    </w:p>
    <w:p w:rsidR="00C644DC" w:rsidRPr="00E53EEC" w:rsidRDefault="000C438B" w:rsidP="00C644DC">
      <w:pPr>
        <w:keepNext/>
        <w:keepLines/>
        <w:tabs>
          <w:tab w:val="left" w:pos="567"/>
          <w:tab w:val="left" w:pos="1985"/>
          <w:tab w:val="left" w:pos="9072"/>
        </w:tabs>
        <w:jc w:val="center"/>
        <w:rPr>
          <w:bCs/>
          <w:sz w:val="18"/>
        </w:rPr>
      </w:pPr>
      <w:r w:rsidRPr="000C438B">
        <w:rPr>
          <w:noProof/>
          <w:lang w:val="en-US" w:eastAsia="en-US"/>
        </w:rPr>
        <w:drawing>
          <wp:inline distT="0" distB="0" distL="0" distR="0">
            <wp:extent cx="5676900" cy="59251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676900" cy="5925185"/>
                    </a:xfrm>
                    <a:prstGeom prst="rect">
                      <a:avLst/>
                    </a:prstGeom>
                    <a:noFill/>
                    <a:ln>
                      <a:noFill/>
                    </a:ln>
                  </pic:spPr>
                </pic:pic>
              </a:graphicData>
            </a:graphic>
          </wp:inline>
        </w:drawing>
      </w:r>
    </w:p>
    <w:p w:rsidR="00C644DC" w:rsidRDefault="00C644DC" w:rsidP="00C644DC">
      <w:pPr>
        <w:tabs>
          <w:tab w:val="left" w:pos="1427"/>
        </w:tabs>
        <w:jc w:val="center"/>
        <w:rPr>
          <w:b/>
          <w:sz w:val="20"/>
          <w:szCs w:val="24"/>
        </w:rPr>
      </w:pPr>
    </w:p>
    <w:p w:rsidR="00C644DC" w:rsidRDefault="00C644DC" w:rsidP="00C644DC">
      <w:pPr>
        <w:tabs>
          <w:tab w:val="left" w:pos="1427"/>
        </w:tabs>
        <w:jc w:val="center"/>
        <w:rPr>
          <w:b/>
          <w:sz w:val="20"/>
          <w:szCs w:val="24"/>
        </w:rPr>
      </w:pPr>
    </w:p>
    <w:p w:rsidR="00C644DC" w:rsidRDefault="00C644DC" w:rsidP="00C644DC">
      <w:pPr>
        <w:rPr>
          <w:b/>
          <w:sz w:val="20"/>
          <w:szCs w:val="24"/>
        </w:rPr>
      </w:pPr>
      <w:r>
        <w:rPr>
          <w:b/>
          <w:sz w:val="20"/>
          <w:szCs w:val="24"/>
        </w:rPr>
        <w:br w:type="page"/>
      </w:r>
    </w:p>
    <w:p w:rsidR="00C644DC" w:rsidRPr="005012AC" w:rsidRDefault="00C644DC" w:rsidP="00C644DC">
      <w:pPr>
        <w:tabs>
          <w:tab w:val="left" w:pos="1427"/>
        </w:tabs>
        <w:jc w:val="center"/>
        <w:rPr>
          <w:sz w:val="20"/>
          <w:lang w:val="es-ES_tradnl"/>
        </w:rPr>
      </w:pPr>
      <w:r w:rsidRPr="005012AC">
        <w:rPr>
          <w:b/>
          <w:sz w:val="20"/>
          <w:lang w:val="es-ES_tradnl"/>
        </w:rPr>
        <w:lastRenderedPageBreak/>
        <w:t>Programa 18</w:t>
      </w:r>
      <w:proofErr w:type="gramStart"/>
      <w:r w:rsidRPr="005012AC">
        <w:rPr>
          <w:b/>
          <w:sz w:val="20"/>
          <w:lang w:val="es-ES_tradnl"/>
        </w:rPr>
        <w:t>:  Recursos</w:t>
      </w:r>
      <w:proofErr w:type="gramEnd"/>
      <w:r w:rsidRPr="005012AC">
        <w:rPr>
          <w:b/>
          <w:sz w:val="20"/>
          <w:lang w:val="es-ES_tradnl"/>
        </w:rPr>
        <w:t xml:space="preserve"> por objeto de gasto</w:t>
      </w:r>
    </w:p>
    <w:p w:rsidR="00C644DC" w:rsidRPr="005012AC" w:rsidRDefault="00C644DC" w:rsidP="00C644DC">
      <w:pPr>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C644DC" w:rsidRPr="005012AC" w:rsidRDefault="00C644DC" w:rsidP="00C644DC">
      <w:pPr>
        <w:tabs>
          <w:tab w:val="left" w:pos="1427"/>
        </w:tabs>
        <w:jc w:val="center"/>
        <w:rPr>
          <w:i/>
          <w:sz w:val="20"/>
          <w:szCs w:val="24"/>
          <w:lang w:val="es-ES_tradnl"/>
        </w:rPr>
      </w:pPr>
    </w:p>
    <w:p w:rsidR="00C644DC" w:rsidRPr="000E77D3" w:rsidRDefault="00835617" w:rsidP="00C644DC">
      <w:pPr>
        <w:tabs>
          <w:tab w:val="left" w:pos="567"/>
          <w:tab w:val="left" w:pos="1985"/>
        </w:tabs>
        <w:jc w:val="center"/>
        <w:rPr>
          <w:bCs/>
          <w:sz w:val="20"/>
        </w:rPr>
      </w:pPr>
      <w:r>
        <w:rPr>
          <w:noProof/>
          <w:lang w:val="en-US" w:eastAsia="en-US"/>
        </w:rPr>
        <w:drawing>
          <wp:inline distT="0" distB="0" distL="0" distR="0" wp14:anchorId="76680820" wp14:editId="100CB22F">
            <wp:extent cx="5940425" cy="6166999"/>
            <wp:effectExtent l="0" t="0" r="3175" b="5715"/>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940425" cy="6166999"/>
                    </a:xfrm>
                    <a:prstGeom prst="rect">
                      <a:avLst/>
                    </a:prstGeom>
                    <a:noFill/>
                    <a:ln>
                      <a:noFill/>
                    </a:ln>
                  </pic:spPr>
                </pic:pic>
              </a:graphicData>
            </a:graphic>
          </wp:inline>
        </w:drawing>
      </w:r>
    </w:p>
    <w:p w:rsidR="00C644DC" w:rsidRPr="000E77D3" w:rsidRDefault="00C644DC" w:rsidP="00C644DC">
      <w:pPr>
        <w:tabs>
          <w:tab w:val="left" w:pos="567"/>
          <w:tab w:val="left" w:pos="1985"/>
        </w:tabs>
        <w:jc w:val="both"/>
        <w:rPr>
          <w:bCs/>
          <w:sz w:val="20"/>
        </w:rPr>
      </w:pPr>
    </w:p>
    <w:p w:rsidR="00C644DC" w:rsidRDefault="00C644DC">
      <w:pPr>
        <w:rPr>
          <w:sz w:val="20"/>
          <w:szCs w:val="21"/>
          <w:lang w:val="en-US"/>
        </w:rPr>
      </w:pPr>
      <w:r>
        <w:rPr>
          <w:sz w:val="20"/>
          <w:szCs w:val="21"/>
          <w:lang w:val="en-US"/>
        </w:rPr>
        <w:br w:type="page"/>
      </w:r>
    </w:p>
    <w:p w:rsidR="00BA3325" w:rsidRPr="00FE556D" w:rsidRDefault="00BA3325" w:rsidP="00BA3325">
      <w:pPr>
        <w:pStyle w:val="StyleStyleHeading3ComplexItalicLatin12pt"/>
        <w:ind w:left="3402" w:hanging="3402"/>
        <w:rPr>
          <w:rStyle w:val="StyleStyleHeading3ComplexItalicLatin12ptChar"/>
          <w:rFonts w:eastAsia="SimSun"/>
          <w:b/>
          <w:lang w:val="es-ES_tradnl"/>
        </w:rPr>
      </w:pPr>
      <w:bookmarkStart w:id="65" w:name="_Toc367350598"/>
      <w:bookmarkStart w:id="66" w:name="_Toc419283267"/>
      <w:bookmarkStart w:id="67" w:name="_Toc420681157"/>
      <w:r w:rsidRPr="00FE556D">
        <w:rPr>
          <w:rStyle w:val="StyleStyleHeading3ComplexItalicLatin12ptChar"/>
          <w:rFonts w:eastAsia="SimSun"/>
          <w:b/>
          <w:lang w:val="es-ES_tradnl"/>
        </w:rPr>
        <w:lastRenderedPageBreak/>
        <w:t>META ESTRATÉGICA VIII</w:t>
      </w:r>
      <w:r w:rsidRPr="00FE556D">
        <w:rPr>
          <w:rStyle w:val="StyleStyleHeading3ComplexItalicLatin12ptChar"/>
          <w:rFonts w:eastAsia="SimSun"/>
          <w:b/>
          <w:lang w:val="es-ES_tradnl"/>
        </w:rPr>
        <w:tab/>
      </w:r>
      <w:bookmarkEnd w:id="65"/>
      <w:bookmarkEnd w:id="66"/>
      <w:r w:rsidRPr="00FE556D">
        <w:rPr>
          <w:rStyle w:val="StyleStyleHeading3ComplexItalicLatin12ptChar"/>
          <w:rFonts w:eastAsia="SimSun"/>
          <w:b/>
          <w:lang w:val="es-ES_tradnl"/>
        </w:rPr>
        <w:t>COMUNICACIÓN EFICAZ ENTRE LA OMPI, SUS ESTADOS MIEMBROS Y TODAS LAS PARTES INTERESADAS</w:t>
      </w:r>
      <w:bookmarkEnd w:id="67"/>
      <w:r w:rsidRPr="00FE556D">
        <w:rPr>
          <w:rStyle w:val="StyleStyleHeading3ComplexItalicLatin12ptChar"/>
          <w:rFonts w:eastAsia="SimSun"/>
          <w:b/>
          <w:lang w:val="es-ES_tradnl"/>
        </w:rPr>
        <w:t xml:space="preserve"> </w:t>
      </w:r>
    </w:p>
    <w:p w:rsidR="00C644DC" w:rsidRPr="00FE556D" w:rsidRDefault="00C644DC" w:rsidP="00C644DC">
      <w:pPr>
        <w:tabs>
          <w:tab w:val="left" w:pos="1701"/>
        </w:tabs>
        <w:ind w:left="1701" w:hanging="1701"/>
        <w:rPr>
          <w:b/>
          <w:bCs/>
          <w:caps/>
          <w:szCs w:val="22"/>
          <w:lang w:val="es-ES_tradnl"/>
        </w:rPr>
      </w:pPr>
    </w:p>
    <w:p w:rsidR="00C644DC" w:rsidRPr="00C644DC" w:rsidRDefault="00C644DC" w:rsidP="00C644DC">
      <w:pPr>
        <w:tabs>
          <w:tab w:val="left" w:pos="1701"/>
        </w:tabs>
        <w:ind w:left="1701" w:hanging="1701"/>
        <w:rPr>
          <w:b/>
          <w:bCs/>
          <w:caps/>
          <w:sz w:val="20"/>
          <w:lang w:val="es-ES_tradnl"/>
        </w:rPr>
      </w:pPr>
    </w:p>
    <w:p w:rsidR="00C644DC" w:rsidRPr="00C644DC" w:rsidRDefault="00BA3325" w:rsidP="00C644DC">
      <w:pPr>
        <w:autoSpaceDE w:val="0"/>
        <w:autoSpaceDN w:val="0"/>
        <w:adjustRightInd w:val="0"/>
        <w:spacing w:before="120"/>
        <w:jc w:val="both"/>
        <w:rPr>
          <w:color w:val="808080"/>
          <w:sz w:val="20"/>
          <w:lang w:val="es-ES_tradnl"/>
        </w:rPr>
      </w:pPr>
      <w:r w:rsidRPr="00245E53">
        <w:rPr>
          <w:sz w:val="20"/>
          <w:lang w:val="es-ES_tradnl"/>
        </w:rPr>
        <w:t>Con esta meta estratégica se deja constancia de la gran prioridad que concede la Secretaría de la OMPI al fomento de una comunicación eficaz, en tanto que elemento esencial en el que reside el éxito de cada aspecto de su labor, así como para la prestación de servicios en tanto que prioridad central e institucional.  La OMPI presta servicios de muy distinta naturaleza a una amplia gama de partes interesadas y ante todo, en tanto que organismo especializado de las Naciones Unidas, a sus Estados miembros.  Entre dichos servicios están el apoyo a los comités en las actividades normativas que realizan, servicios de fortalecimiento de capacidades en los países en desarrollo, servicios de información y servicios técnicos así como servicios mundiales de registro, de presentación de solicitudes y de solución de controversias en el ámbito de la P.I.</w:t>
      </w:r>
    </w:p>
    <w:p w:rsidR="00C644DC" w:rsidRPr="00C644DC" w:rsidRDefault="00C644DC" w:rsidP="00C644DC">
      <w:pPr>
        <w:tabs>
          <w:tab w:val="left" w:pos="1701"/>
        </w:tabs>
        <w:ind w:left="1701" w:hanging="1701"/>
        <w:rPr>
          <w:bCs/>
          <w:iCs/>
          <w:caps/>
          <w:color w:val="808080"/>
          <w:sz w:val="20"/>
          <w:lang w:val="es-ES_tradnl"/>
        </w:rPr>
      </w:pPr>
    </w:p>
    <w:p w:rsidR="00C644DC" w:rsidRPr="00C644DC" w:rsidRDefault="00C644DC" w:rsidP="00C644DC">
      <w:pPr>
        <w:rPr>
          <w:bCs/>
          <w:sz w:val="20"/>
          <w:lang w:val="es-ES_tradnl"/>
        </w:rPr>
      </w:pPr>
    </w:p>
    <w:tbl>
      <w:tblPr>
        <w:tblW w:w="4797"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02"/>
        <w:gridCol w:w="2834"/>
        <w:gridCol w:w="2946"/>
      </w:tblGrid>
      <w:tr w:rsidR="0025474A" w:rsidRPr="00245E53" w:rsidTr="000C438B">
        <w:trPr>
          <w:cantSplit/>
          <w:trHeight w:val="383"/>
          <w:tblHeader/>
        </w:trPr>
        <w:tc>
          <w:tcPr>
            <w:tcW w:w="1853" w:type="pct"/>
            <w:tcBorders>
              <w:top w:val="single" w:sz="4" w:space="0" w:color="auto"/>
              <w:bottom w:val="single" w:sz="4" w:space="0" w:color="auto"/>
            </w:tcBorders>
            <w:shd w:val="clear" w:color="auto" w:fill="C6D9F1" w:themeFill="text2" w:themeFillTint="33"/>
            <w:tcMar>
              <w:top w:w="85" w:type="dxa"/>
              <w:bottom w:w="85" w:type="dxa"/>
            </w:tcMar>
            <w:vAlign w:val="center"/>
          </w:tcPr>
          <w:p w:rsidR="0025474A" w:rsidRPr="00245E53" w:rsidRDefault="0025474A" w:rsidP="00801092">
            <w:pPr>
              <w:spacing w:after="120"/>
              <w:jc w:val="center"/>
              <w:rPr>
                <w:b/>
                <w:bCs/>
                <w:sz w:val="18"/>
                <w:szCs w:val="18"/>
              </w:rPr>
            </w:pPr>
            <w:r w:rsidRPr="00245E53">
              <w:rPr>
                <w:b/>
                <w:bCs/>
                <w:sz w:val="18"/>
                <w:szCs w:val="18"/>
                <w:lang w:val="es-ES_tradnl"/>
              </w:rPr>
              <w:t>Resultados previstos</w:t>
            </w:r>
          </w:p>
        </w:tc>
        <w:tc>
          <w:tcPr>
            <w:tcW w:w="1543" w:type="pct"/>
            <w:tcBorders>
              <w:top w:val="single" w:sz="4" w:space="0" w:color="auto"/>
              <w:bottom w:val="single" w:sz="4" w:space="0" w:color="auto"/>
            </w:tcBorders>
            <w:shd w:val="clear" w:color="auto" w:fill="C6D9F1" w:themeFill="text2" w:themeFillTint="33"/>
            <w:tcMar>
              <w:top w:w="85" w:type="dxa"/>
              <w:bottom w:w="85" w:type="dxa"/>
            </w:tcMar>
            <w:vAlign w:val="center"/>
          </w:tcPr>
          <w:p w:rsidR="0025474A" w:rsidRPr="00245E53" w:rsidRDefault="0025474A" w:rsidP="00801092">
            <w:pPr>
              <w:spacing w:after="120"/>
              <w:jc w:val="center"/>
              <w:rPr>
                <w:b/>
                <w:sz w:val="18"/>
                <w:szCs w:val="18"/>
              </w:rPr>
            </w:pPr>
            <w:r w:rsidRPr="00245E53">
              <w:rPr>
                <w:b/>
                <w:sz w:val="18"/>
                <w:szCs w:val="18"/>
                <w:lang w:val="es-ES_tradnl"/>
              </w:rPr>
              <w:t>Indicadores de rendimiento</w:t>
            </w:r>
          </w:p>
        </w:tc>
        <w:tc>
          <w:tcPr>
            <w:tcW w:w="1604" w:type="pct"/>
            <w:tcBorders>
              <w:top w:val="single" w:sz="4" w:space="0" w:color="auto"/>
              <w:bottom w:val="single" w:sz="4" w:space="0" w:color="auto"/>
            </w:tcBorders>
            <w:shd w:val="clear" w:color="auto" w:fill="C6D9F1" w:themeFill="text2" w:themeFillTint="33"/>
            <w:tcMar>
              <w:top w:w="85" w:type="dxa"/>
              <w:bottom w:w="85" w:type="dxa"/>
            </w:tcMar>
            <w:vAlign w:val="center"/>
          </w:tcPr>
          <w:p w:rsidR="0025474A" w:rsidRPr="00245E53" w:rsidRDefault="0025474A" w:rsidP="00801092">
            <w:pPr>
              <w:spacing w:after="120"/>
              <w:ind w:left="85"/>
              <w:jc w:val="center"/>
              <w:rPr>
                <w:sz w:val="18"/>
                <w:szCs w:val="18"/>
              </w:rPr>
            </w:pPr>
            <w:r w:rsidRPr="00245E53">
              <w:rPr>
                <w:b/>
                <w:sz w:val="18"/>
                <w:szCs w:val="18"/>
                <w:lang w:val="es-ES_tradnl"/>
              </w:rPr>
              <w:t>Programas responsables</w:t>
            </w:r>
          </w:p>
        </w:tc>
      </w:tr>
      <w:tr w:rsidR="0025474A" w:rsidRPr="00245E53" w:rsidTr="000C438B">
        <w:trPr>
          <w:cantSplit/>
          <w:trHeight w:val="593"/>
        </w:trPr>
        <w:tc>
          <w:tcPr>
            <w:tcW w:w="1853" w:type="pct"/>
            <w:tcBorders>
              <w:top w:val="single" w:sz="4" w:space="0" w:color="auto"/>
              <w:left w:val="single" w:sz="4" w:space="0" w:color="auto"/>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 xml:space="preserve">VIII.1  </w:t>
            </w:r>
            <w:r w:rsidR="005B1060" w:rsidRPr="000C438B">
              <w:rPr>
                <w:sz w:val="16"/>
                <w:szCs w:val="16"/>
                <w:lang w:val="es-ES_tradnl"/>
              </w:rPr>
              <w:t>Comunicación más eficaz con el público en general acerca de la P.I. y la función de la OMPI</w:t>
            </w:r>
          </w:p>
        </w:tc>
        <w:tc>
          <w:tcPr>
            <w:tcW w:w="1543" w:type="pct"/>
            <w:tcBorders>
              <w:top w:val="single" w:sz="4" w:space="0" w:color="auto"/>
              <w:bottom w:val="nil"/>
            </w:tcBorders>
            <w:shd w:val="clear" w:color="auto" w:fill="auto"/>
            <w:tcMar>
              <w:top w:w="85" w:type="dxa"/>
              <w:bottom w:w="85" w:type="dxa"/>
            </w:tcMar>
          </w:tcPr>
          <w:p w:rsidR="0025474A" w:rsidRPr="00245E53" w:rsidRDefault="0025474A" w:rsidP="000C438B">
            <w:pPr>
              <w:rPr>
                <w:sz w:val="16"/>
                <w:szCs w:val="16"/>
              </w:rPr>
            </w:pPr>
            <w:r w:rsidRPr="00245E53">
              <w:rPr>
                <w:sz w:val="16"/>
                <w:szCs w:val="16"/>
              </w:rPr>
              <w:t>N</w:t>
            </w:r>
            <w:r w:rsidR="000C438B">
              <w:rPr>
                <w:sz w:val="16"/>
                <w:szCs w:val="16"/>
              </w:rPr>
              <w:t>º</w:t>
            </w:r>
            <w:r w:rsidRPr="00245E53">
              <w:rPr>
                <w:sz w:val="16"/>
                <w:szCs w:val="16"/>
              </w:rPr>
              <w:t xml:space="preserve"> de Estados miembros participantes en el programa de Premios de la OMPI</w:t>
            </w:r>
          </w:p>
        </w:tc>
        <w:tc>
          <w:tcPr>
            <w:tcW w:w="1604" w:type="pct"/>
            <w:tcBorders>
              <w:top w:val="single" w:sz="4" w:space="0" w:color="auto"/>
              <w:bottom w:val="nil"/>
              <w:right w:val="single" w:sz="4" w:space="0" w:color="auto"/>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17</w:t>
            </w:r>
          </w:p>
          <w:p w:rsidR="0025474A" w:rsidRPr="00245E53" w:rsidRDefault="0025474A" w:rsidP="00801092">
            <w:pPr>
              <w:ind w:left="768"/>
              <w:rPr>
                <w:sz w:val="16"/>
                <w:szCs w:val="16"/>
              </w:rPr>
            </w:pPr>
          </w:p>
        </w:tc>
      </w:tr>
      <w:tr w:rsidR="0025474A" w:rsidRPr="00245E53" w:rsidTr="000C438B">
        <w:trPr>
          <w:cantSplit/>
          <w:trHeight w:val="501"/>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Sectores interesados con una percepción positiva de la reputación de la OMPI;  aumento de la valoración de la marca de la OMPI.</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p w:rsidR="0025474A" w:rsidRPr="00245E53" w:rsidRDefault="0025474A" w:rsidP="00801092">
            <w:pPr>
              <w:ind w:left="768"/>
              <w:rPr>
                <w:sz w:val="16"/>
                <w:szCs w:val="16"/>
                <w:lang w:bidi="th-TH"/>
              </w:rPr>
            </w:pPr>
          </w:p>
        </w:tc>
      </w:tr>
      <w:tr w:rsidR="0025474A" w:rsidRPr="00245E53" w:rsidTr="000C438B">
        <w:trPr>
          <w:cantSplit/>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0C438B">
            <w:pPr>
              <w:rPr>
                <w:sz w:val="16"/>
                <w:szCs w:val="16"/>
              </w:rPr>
            </w:pPr>
            <w:r w:rsidRPr="00245E53">
              <w:rPr>
                <w:sz w:val="16"/>
                <w:szCs w:val="16"/>
              </w:rPr>
              <w:t>N</w:t>
            </w:r>
            <w:r w:rsidR="000C438B">
              <w:rPr>
                <w:sz w:val="16"/>
                <w:szCs w:val="16"/>
              </w:rPr>
              <w:t>º</w:t>
            </w:r>
            <w:r w:rsidRPr="00245E53">
              <w:rPr>
                <w:sz w:val="16"/>
                <w:szCs w:val="16"/>
              </w:rPr>
              <w:t xml:space="preserve"> de personas que consultan los contenidos sobre los principales eventos, logros y actividades de la OMPI.</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 xml:space="preserve">Programa 19 </w:t>
            </w:r>
          </w:p>
          <w:p w:rsidR="0025474A" w:rsidRPr="00245E53" w:rsidRDefault="0025474A" w:rsidP="00801092">
            <w:pPr>
              <w:ind w:left="768"/>
              <w:rPr>
                <w:sz w:val="16"/>
                <w:szCs w:val="16"/>
              </w:rPr>
            </w:pPr>
          </w:p>
        </w:tc>
      </w:tr>
      <w:tr w:rsidR="0025474A" w:rsidRPr="00245E53" w:rsidTr="000C438B">
        <w:trPr>
          <w:cantSplit/>
          <w:trHeight w:val="472"/>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Participación mundial en la campaña del Día Mundial de la P.I.</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rPr>
            </w:pPr>
            <w:r w:rsidRPr="00245E53">
              <w:rPr>
                <w:sz w:val="16"/>
                <w:szCs w:val="16"/>
                <w:lang w:bidi="th-TH"/>
              </w:rPr>
              <w:t>Programa 19</w:t>
            </w:r>
          </w:p>
        </w:tc>
      </w:tr>
      <w:tr w:rsidR="0025474A" w:rsidRPr="00245E53" w:rsidTr="000C438B">
        <w:trPr>
          <w:cantSplit/>
          <w:trHeight w:val="429"/>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Afluencia de visitas en Internet al sitio de publicaciones y el sitio de la revista de la OMPI.</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rPr>
            </w:pPr>
            <w:r w:rsidRPr="00245E53">
              <w:rPr>
                <w:sz w:val="16"/>
                <w:szCs w:val="16"/>
                <w:lang w:bidi="th-TH"/>
              </w:rPr>
              <w:t>Programa 19</w:t>
            </w:r>
          </w:p>
        </w:tc>
      </w:tr>
      <w:tr w:rsidR="0025474A" w:rsidRPr="00245E53" w:rsidTr="000C438B">
        <w:trPr>
          <w:cantSplit/>
          <w:trHeight w:val="353"/>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Visitas de los contenidos fotográficos, de video y de prensa de la OMPI.</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tc>
      </w:tr>
      <w:tr w:rsidR="0025474A" w:rsidRPr="00245E53" w:rsidTr="000C438B">
        <w:trPr>
          <w:cantSplit/>
          <w:trHeight w:val="330"/>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Menos usuarios que dejan el sitio web de la OMPI directamente desde el portal y las principales páginas de acceso.</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tc>
      </w:tr>
      <w:tr w:rsidR="0025474A" w:rsidRPr="00245E53" w:rsidTr="000C438B">
        <w:trPr>
          <w:cantSplit/>
          <w:trHeight w:val="336"/>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Influencia de la OMPI y participación de los sectores interesados en las redes sociales.</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tc>
      </w:tr>
      <w:tr w:rsidR="0025474A" w:rsidRPr="00245E53" w:rsidTr="000C438B">
        <w:trPr>
          <w:cantSplit/>
          <w:trHeight w:val="335"/>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lang w:val="es-ES_tradnl"/>
              </w:rPr>
            </w:pPr>
            <w:r w:rsidRPr="00245E53">
              <w:rPr>
                <w:sz w:val="16"/>
                <w:szCs w:val="16"/>
                <w:lang w:val="es-ES_tradnl"/>
              </w:rPr>
              <w:t>Aumento de la afluencia de visitas al sitio web de las Oficinas de la OMPI en el exterior</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20</w:t>
            </w:r>
          </w:p>
        </w:tc>
      </w:tr>
      <w:tr w:rsidR="0025474A" w:rsidRPr="00245E53" w:rsidTr="000C438B">
        <w:trPr>
          <w:cantSplit/>
          <w:trHeight w:val="385"/>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 xml:space="preserve">VIII.2  </w:t>
            </w:r>
            <w:r w:rsidR="005B1060" w:rsidRPr="000C438B">
              <w:rPr>
                <w:sz w:val="16"/>
                <w:szCs w:val="16"/>
                <w:lang w:val="es-ES_tradnl"/>
              </w:rPr>
              <w:t>Mejora en la prestación de servicios y la atención de consultas</w:t>
            </w: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Satisfacción de los usuarios con los servicios de biblioteca.</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tc>
      </w:tr>
      <w:tr w:rsidR="0025474A" w:rsidRPr="00245E53" w:rsidTr="000C438B">
        <w:trPr>
          <w:cantSplit/>
          <w:trHeight w:val="337"/>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lang w:val="es-ES_tradnl"/>
              </w:rPr>
              <w:t>Índice de satisfacción de los clientes/partes interesadas</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p w:rsidR="0025474A" w:rsidRPr="00245E53" w:rsidRDefault="0025474A" w:rsidP="00801092">
            <w:pPr>
              <w:ind w:left="768"/>
              <w:rPr>
                <w:sz w:val="16"/>
                <w:szCs w:val="16"/>
                <w:lang w:bidi="th-TH"/>
              </w:rPr>
            </w:pPr>
          </w:p>
        </w:tc>
      </w:tr>
      <w:tr w:rsidR="0025474A" w:rsidRPr="00245E53" w:rsidTr="000C438B">
        <w:trPr>
          <w:cantSplit/>
          <w:trHeight w:val="317"/>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Normas de servicio del servicio de la OMPI de atención al cliente</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19</w:t>
            </w:r>
          </w:p>
        </w:tc>
      </w:tr>
      <w:tr w:rsidR="0025474A" w:rsidRPr="00245E53" w:rsidTr="000C438B">
        <w:trPr>
          <w:cantSplit/>
          <w:trHeight w:val="297"/>
        </w:trPr>
        <w:tc>
          <w:tcPr>
            <w:tcW w:w="1853" w:type="pct"/>
            <w:tcBorders>
              <w:top w:val="nil"/>
              <w:left w:val="single" w:sz="4" w:space="0" w:color="auto"/>
              <w:bottom w:val="single" w:sz="4" w:space="0" w:color="auto"/>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single" w:sz="4" w:space="0" w:color="auto"/>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Tiempo de tramitación de las consultas.</w:t>
            </w:r>
          </w:p>
        </w:tc>
        <w:tc>
          <w:tcPr>
            <w:tcW w:w="1604" w:type="pct"/>
            <w:tcBorders>
              <w:top w:val="nil"/>
              <w:bottom w:val="single" w:sz="4" w:space="0" w:color="auto"/>
              <w:right w:val="single" w:sz="4" w:space="0" w:color="auto"/>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20</w:t>
            </w:r>
          </w:p>
        </w:tc>
      </w:tr>
      <w:tr w:rsidR="0025474A" w:rsidRPr="00245E53" w:rsidTr="000C438B">
        <w:trPr>
          <w:cantSplit/>
          <w:trHeight w:val="622"/>
        </w:trPr>
        <w:tc>
          <w:tcPr>
            <w:tcW w:w="1853" w:type="pct"/>
            <w:tcBorders>
              <w:top w:val="single" w:sz="4" w:space="0" w:color="auto"/>
              <w:left w:val="single" w:sz="4" w:space="0" w:color="auto"/>
              <w:bottom w:val="nil"/>
            </w:tcBorders>
            <w:shd w:val="clear" w:color="auto" w:fill="auto"/>
            <w:tcMar>
              <w:top w:w="85" w:type="dxa"/>
              <w:bottom w:w="85" w:type="dxa"/>
            </w:tcMar>
          </w:tcPr>
          <w:p w:rsidR="0025474A" w:rsidRPr="00245E53" w:rsidRDefault="0025474A" w:rsidP="00801092">
            <w:pPr>
              <w:keepNext/>
              <w:rPr>
                <w:sz w:val="16"/>
                <w:szCs w:val="16"/>
              </w:rPr>
            </w:pPr>
            <w:r w:rsidRPr="00245E53">
              <w:rPr>
                <w:sz w:val="16"/>
                <w:szCs w:val="16"/>
              </w:rPr>
              <w:lastRenderedPageBreak/>
              <w:t xml:space="preserve">VIII.3 </w:t>
            </w:r>
            <w:r w:rsidR="004F3E8F">
              <w:rPr>
                <w:sz w:val="16"/>
                <w:szCs w:val="16"/>
              </w:rPr>
              <w:t xml:space="preserve"> </w:t>
            </w:r>
            <w:r w:rsidR="00532057" w:rsidRPr="000C438B">
              <w:rPr>
                <w:sz w:val="16"/>
                <w:szCs w:val="16"/>
                <w:lang w:val="es-ES_tradnl"/>
              </w:rPr>
              <w:t>Atención eficaz a los Estados miembros</w:t>
            </w:r>
          </w:p>
        </w:tc>
        <w:tc>
          <w:tcPr>
            <w:tcW w:w="1543" w:type="pct"/>
            <w:tcBorders>
              <w:top w:val="single" w:sz="4" w:space="0" w:color="auto"/>
              <w:bottom w:val="nil"/>
            </w:tcBorders>
            <w:shd w:val="clear" w:color="auto" w:fill="auto"/>
            <w:tcMar>
              <w:top w:w="85" w:type="dxa"/>
              <w:bottom w:w="85" w:type="dxa"/>
            </w:tcMar>
          </w:tcPr>
          <w:p w:rsidR="0025474A" w:rsidRPr="00245E53" w:rsidRDefault="0025474A" w:rsidP="00801092">
            <w:pPr>
              <w:keepNext/>
              <w:rPr>
                <w:sz w:val="16"/>
                <w:szCs w:val="16"/>
                <w:lang w:val="es-ES_tradnl"/>
              </w:rPr>
            </w:pPr>
            <w:r w:rsidRPr="00245E53">
              <w:rPr>
                <w:sz w:val="16"/>
                <w:szCs w:val="16"/>
                <w:lang w:val="es-ES_tradnl"/>
              </w:rPr>
              <w:t>Porcentaje de sesiones de Comités precedidas de reuniones informativas para los Estados miembros</w:t>
            </w:r>
          </w:p>
        </w:tc>
        <w:tc>
          <w:tcPr>
            <w:tcW w:w="1604" w:type="pct"/>
            <w:tcBorders>
              <w:top w:val="single" w:sz="4" w:space="0" w:color="auto"/>
              <w:bottom w:val="nil"/>
              <w:right w:val="single" w:sz="4" w:space="0" w:color="auto"/>
            </w:tcBorders>
            <w:shd w:val="clear" w:color="auto" w:fill="FFFFFF"/>
            <w:tcMar>
              <w:top w:w="85" w:type="dxa"/>
              <w:bottom w:w="85" w:type="dxa"/>
            </w:tcMar>
          </w:tcPr>
          <w:p w:rsidR="0025474A" w:rsidRPr="00245E53" w:rsidRDefault="0025474A" w:rsidP="00801092">
            <w:pPr>
              <w:keepNext/>
              <w:ind w:left="768"/>
              <w:rPr>
                <w:sz w:val="16"/>
                <w:szCs w:val="16"/>
                <w:lang w:bidi="th-TH"/>
              </w:rPr>
            </w:pPr>
            <w:r w:rsidRPr="00245E53">
              <w:rPr>
                <w:sz w:val="16"/>
                <w:szCs w:val="16"/>
                <w:lang w:bidi="th-TH"/>
              </w:rPr>
              <w:t>Programa 21</w:t>
            </w:r>
          </w:p>
        </w:tc>
      </w:tr>
      <w:tr w:rsidR="0025474A" w:rsidRPr="00245E53" w:rsidTr="000C438B">
        <w:trPr>
          <w:cantSplit/>
          <w:trHeight w:val="584"/>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lang w:val="es-ES_tradnl"/>
              </w:rPr>
            </w:pPr>
            <w:r w:rsidRPr="00245E53">
              <w:rPr>
                <w:sz w:val="16"/>
                <w:szCs w:val="16"/>
                <w:lang w:val="es-ES_tradnl"/>
              </w:rPr>
              <w:t>Porcentaje de notificaciones de adhesión y otras medidas relacionadas con los tratados tramitadas de manera puntual</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490"/>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lang w:val="es-ES_tradnl"/>
              </w:rPr>
            </w:pPr>
            <w:r w:rsidRPr="00245E53">
              <w:rPr>
                <w:sz w:val="16"/>
                <w:szCs w:val="16"/>
                <w:lang w:val="es-ES_tradnl"/>
              </w:rPr>
              <w:t>Publicación puntual de los documentos de las Asambleas</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524"/>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rPr>
              <w:t>Índice de satisfacción de los Estados miembros y otras partes interesadas con la organización de reuniones</w:t>
            </w:r>
            <w:r w:rsidRPr="00245E53">
              <w:rPr>
                <w:sz w:val="16"/>
                <w:szCs w:val="16"/>
                <w:lang w:val="es-ES_tradnl"/>
              </w:rPr>
              <w:t xml:space="preserve"> </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503"/>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sz w:val="16"/>
                <w:szCs w:val="16"/>
              </w:rPr>
            </w:pPr>
            <w:r w:rsidRPr="00245E53">
              <w:rPr>
                <w:sz w:val="16"/>
                <w:szCs w:val="16"/>
                <w:lang w:val="es-ES_tradnl"/>
              </w:rPr>
              <w:t>Nivel de satisfacción de los delegados con la organización de las Asambleas</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522"/>
        </w:trPr>
        <w:tc>
          <w:tcPr>
            <w:tcW w:w="1853" w:type="pct"/>
            <w:tcBorders>
              <w:top w:val="nil"/>
              <w:bottom w:val="nil"/>
            </w:tcBorders>
            <w:shd w:val="clear" w:color="auto" w:fill="auto"/>
            <w:tcMar>
              <w:top w:w="85" w:type="dxa"/>
              <w:bottom w:w="85" w:type="dxa"/>
            </w:tcMar>
          </w:tcPr>
          <w:p w:rsidR="0025474A" w:rsidRPr="000C438B" w:rsidRDefault="0025474A" w:rsidP="00801092">
            <w:pPr>
              <w:rPr>
                <w:sz w:val="16"/>
                <w:szCs w:val="16"/>
              </w:rPr>
            </w:pPr>
            <w:r w:rsidRPr="000C438B">
              <w:rPr>
                <w:sz w:val="16"/>
                <w:szCs w:val="16"/>
                <w:shd w:val="clear" w:color="auto" w:fill="FFFFFF" w:themeFill="background1"/>
              </w:rPr>
              <w:t xml:space="preserve">VIII.4  </w:t>
            </w:r>
            <w:r w:rsidR="00532057" w:rsidRPr="000C438B">
              <w:rPr>
                <w:sz w:val="16"/>
                <w:szCs w:val="16"/>
                <w:lang w:val="es-ES_tradnl"/>
              </w:rPr>
              <w:t>Intercambios abiertos, transparentes y dinámicos con las partes interesadas no gubernamentales</w:t>
            </w:r>
          </w:p>
        </w:tc>
        <w:tc>
          <w:tcPr>
            <w:tcW w:w="1543" w:type="pct"/>
            <w:tcBorders>
              <w:top w:val="nil"/>
              <w:bottom w:val="nil"/>
            </w:tcBorders>
            <w:shd w:val="clear" w:color="auto" w:fill="FFFFFF" w:themeFill="background1"/>
            <w:tcMar>
              <w:top w:w="85" w:type="dxa"/>
              <w:bottom w:w="85" w:type="dxa"/>
            </w:tcMar>
          </w:tcPr>
          <w:p w:rsidR="0025474A" w:rsidRPr="00245E53" w:rsidRDefault="0025474A" w:rsidP="000C438B">
            <w:pPr>
              <w:rPr>
                <w:sz w:val="16"/>
                <w:szCs w:val="16"/>
              </w:rPr>
            </w:pPr>
            <w:r w:rsidRPr="00245E53">
              <w:rPr>
                <w:sz w:val="16"/>
                <w:szCs w:val="16"/>
              </w:rPr>
              <w:t>N</w:t>
            </w:r>
            <w:r w:rsidR="000C438B">
              <w:rPr>
                <w:sz w:val="16"/>
                <w:szCs w:val="16"/>
              </w:rPr>
              <w:t>º</w:t>
            </w:r>
            <w:r w:rsidRPr="00245E53">
              <w:rPr>
                <w:sz w:val="16"/>
                <w:szCs w:val="16"/>
              </w:rPr>
              <w:t xml:space="preserve"> de ONG con calidad de observador permanente que participan en las actividades de la OMPI y viceversa </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537"/>
        </w:trPr>
        <w:tc>
          <w:tcPr>
            <w:tcW w:w="1853" w:type="pct"/>
            <w:tcBorders>
              <w:top w:val="nil"/>
              <w:bottom w:val="nil"/>
            </w:tcBorders>
            <w:shd w:val="clear" w:color="auto" w:fill="auto"/>
            <w:tcMar>
              <w:top w:w="85" w:type="dxa"/>
              <w:bottom w:w="85" w:type="dxa"/>
            </w:tcMar>
          </w:tcPr>
          <w:p w:rsidR="0025474A" w:rsidRPr="000C438B" w:rsidRDefault="0025474A" w:rsidP="00801092">
            <w:pPr>
              <w:rPr>
                <w:sz w:val="16"/>
                <w:szCs w:val="16"/>
              </w:rPr>
            </w:pPr>
            <w:r w:rsidRPr="000C438B">
              <w:rPr>
                <w:sz w:val="16"/>
                <w:szCs w:val="16"/>
              </w:rPr>
              <w:t xml:space="preserve">VIII.5  </w:t>
            </w:r>
            <w:r w:rsidR="005B1060" w:rsidRPr="000C438B">
              <w:rPr>
                <w:sz w:val="16"/>
                <w:szCs w:val="16"/>
                <w:lang w:val="es-ES_tradnl"/>
              </w:rPr>
              <w:t>La OMPI participa y colabora eficazmente en los procesos y negociaciones de las NN.UU. y otras OIG</w:t>
            </w:r>
          </w:p>
        </w:tc>
        <w:tc>
          <w:tcPr>
            <w:tcW w:w="1543" w:type="pct"/>
            <w:tcBorders>
              <w:top w:val="nil"/>
              <w:bottom w:val="nil"/>
            </w:tcBorders>
            <w:shd w:val="clear" w:color="auto" w:fill="auto"/>
            <w:tcMar>
              <w:top w:w="85" w:type="dxa"/>
              <w:bottom w:w="85" w:type="dxa"/>
            </w:tcMar>
          </w:tcPr>
          <w:p w:rsidR="0025474A" w:rsidRPr="00245E53" w:rsidRDefault="0025474A" w:rsidP="000C438B">
            <w:pPr>
              <w:rPr>
                <w:sz w:val="16"/>
                <w:szCs w:val="16"/>
              </w:rPr>
            </w:pPr>
            <w:r w:rsidRPr="00245E53">
              <w:rPr>
                <w:sz w:val="16"/>
                <w:szCs w:val="16"/>
                <w:lang w:val="es-ES_tradnl"/>
              </w:rPr>
              <w:t>Las contribuciones de la OMPI quedan reflejadas en informes, resoluciones y documentos de procesos relevantes de las NN.UU. y otras OIG.</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20</w:t>
            </w:r>
          </w:p>
        </w:tc>
      </w:tr>
      <w:tr w:rsidR="0025474A" w:rsidRPr="00245E53" w:rsidTr="000C438B">
        <w:trPr>
          <w:cantSplit/>
          <w:trHeight w:val="514"/>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0C438B">
            <w:pPr>
              <w:rPr>
                <w:sz w:val="16"/>
                <w:szCs w:val="16"/>
              </w:rPr>
            </w:pPr>
            <w:r w:rsidRPr="00245E53">
              <w:rPr>
                <w:sz w:val="16"/>
                <w:szCs w:val="16"/>
                <w:lang w:val="es-ES_tradnl"/>
              </w:rPr>
              <w:t>N</w:t>
            </w:r>
            <w:r w:rsidR="000C438B">
              <w:rPr>
                <w:sz w:val="16"/>
                <w:szCs w:val="16"/>
                <w:lang w:val="es-ES_tradnl"/>
              </w:rPr>
              <w:t>º</w:t>
            </w:r>
            <w:r w:rsidRPr="00245E53">
              <w:rPr>
                <w:sz w:val="16"/>
                <w:szCs w:val="16"/>
                <w:lang w:val="es-ES_tradnl"/>
              </w:rPr>
              <w:t xml:space="preserve"> de iniciativas de la OMPI en colaboración con las NN.UU. y otras OIG para conseguir los ODS.</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20</w:t>
            </w:r>
          </w:p>
        </w:tc>
      </w:tr>
      <w:tr w:rsidR="0025474A" w:rsidRPr="00245E53" w:rsidTr="000C438B">
        <w:trPr>
          <w:cantSplit/>
          <w:trHeight w:val="514"/>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0C438B">
            <w:pPr>
              <w:rPr>
                <w:sz w:val="16"/>
                <w:szCs w:val="16"/>
              </w:rPr>
            </w:pPr>
            <w:r w:rsidRPr="00245E53">
              <w:rPr>
                <w:sz w:val="16"/>
                <w:szCs w:val="16"/>
              </w:rPr>
              <w:t>N</w:t>
            </w:r>
            <w:r w:rsidR="000C438B">
              <w:rPr>
                <w:sz w:val="16"/>
                <w:szCs w:val="16"/>
              </w:rPr>
              <w:t>º</w:t>
            </w:r>
            <w:r w:rsidRPr="00245E53">
              <w:rPr>
                <w:sz w:val="16"/>
                <w:szCs w:val="16"/>
              </w:rPr>
              <w:t xml:space="preserve"> de actividades comunes con la Secretaría de la ASEAN, ECAP/OAIM, Fundación Asia/Europa, AANZFTA.</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 xml:space="preserve">Programa 20 </w:t>
            </w:r>
          </w:p>
        </w:tc>
      </w:tr>
      <w:tr w:rsidR="0025474A" w:rsidRPr="00245E53" w:rsidTr="000C438B">
        <w:trPr>
          <w:cantSplit/>
          <w:trHeight w:val="356"/>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FFFFFF" w:themeFill="background1"/>
            <w:tcMar>
              <w:top w:w="85" w:type="dxa"/>
              <w:bottom w:w="85" w:type="dxa"/>
            </w:tcMar>
          </w:tcPr>
          <w:p w:rsidR="0025474A" w:rsidRPr="00245E53" w:rsidRDefault="0025474A" w:rsidP="00801092">
            <w:pPr>
              <w:rPr>
                <w:sz w:val="16"/>
                <w:szCs w:val="16"/>
              </w:rPr>
            </w:pPr>
            <w:r w:rsidRPr="00245E53">
              <w:rPr>
                <w:sz w:val="16"/>
                <w:szCs w:val="16"/>
                <w:lang w:val="es-ES_tradnl"/>
              </w:rPr>
              <w:t>Nuevas iniciativas conjuntas llevadas a cabo con otros organismos de las NN.UU./OIG.</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21</w:t>
            </w:r>
          </w:p>
        </w:tc>
      </w:tr>
      <w:tr w:rsidR="0025474A" w:rsidRPr="00245E53" w:rsidTr="000C438B">
        <w:trPr>
          <w:cantSplit/>
          <w:trHeight w:val="383"/>
        </w:trPr>
        <w:tc>
          <w:tcPr>
            <w:tcW w:w="1853" w:type="pct"/>
            <w:tcBorders>
              <w:top w:val="nil"/>
              <w:bottom w:val="nil"/>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nil"/>
            </w:tcBorders>
            <w:shd w:val="clear" w:color="auto" w:fill="auto"/>
            <w:tcMar>
              <w:top w:w="85" w:type="dxa"/>
              <w:bottom w:w="85" w:type="dxa"/>
            </w:tcMar>
          </w:tcPr>
          <w:p w:rsidR="0025474A" w:rsidRPr="00245E53" w:rsidRDefault="0025474A" w:rsidP="00801092">
            <w:pPr>
              <w:rPr>
                <w:bCs/>
                <w:sz w:val="16"/>
                <w:szCs w:val="16"/>
                <w:lang w:val="es-ES_tradnl"/>
              </w:rPr>
            </w:pPr>
            <w:r w:rsidRPr="00245E53">
              <w:rPr>
                <w:bCs/>
                <w:sz w:val="16"/>
                <w:szCs w:val="16"/>
                <w:lang w:val="es-ES_tradnl"/>
              </w:rPr>
              <w:t>Porcentaje de productos y servicios contratados y adquiridos a nivel local en comparación con el importe total de los adquiridos para actividades de desarrollo</w:t>
            </w:r>
          </w:p>
        </w:tc>
        <w:tc>
          <w:tcPr>
            <w:tcW w:w="1604" w:type="pct"/>
            <w:tcBorders>
              <w:top w:val="nil"/>
              <w:bottom w:val="nil"/>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24</w:t>
            </w:r>
          </w:p>
        </w:tc>
      </w:tr>
      <w:tr w:rsidR="0025474A" w:rsidRPr="00245E53" w:rsidTr="000C438B">
        <w:trPr>
          <w:cantSplit/>
          <w:trHeight w:val="515"/>
        </w:trPr>
        <w:tc>
          <w:tcPr>
            <w:tcW w:w="1853" w:type="pct"/>
            <w:tcBorders>
              <w:top w:val="nil"/>
              <w:bottom w:val="single" w:sz="4" w:space="0" w:color="auto"/>
            </w:tcBorders>
            <w:shd w:val="clear" w:color="auto" w:fill="auto"/>
            <w:tcMar>
              <w:top w:w="85" w:type="dxa"/>
              <w:bottom w:w="85" w:type="dxa"/>
            </w:tcMar>
          </w:tcPr>
          <w:p w:rsidR="0025474A" w:rsidRPr="00245E53" w:rsidRDefault="0025474A" w:rsidP="00801092">
            <w:pPr>
              <w:rPr>
                <w:sz w:val="16"/>
                <w:szCs w:val="16"/>
              </w:rPr>
            </w:pPr>
          </w:p>
        </w:tc>
        <w:tc>
          <w:tcPr>
            <w:tcW w:w="1543" w:type="pct"/>
            <w:tcBorders>
              <w:top w:val="nil"/>
              <w:bottom w:val="single" w:sz="4" w:space="0" w:color="auto"/>
            </w:tcBorders>
            <w:shd w:val="clear" w:color="auto" w:fill="auto"/>
            <w:tcMar>
              <w:top w:w="85" w:type="dxa"/>
              <w:bottom w:w="85" w:type="dxa"/>
            </w:tcMar>
          </w:tcPr>
          <w:p w:rsidR="0025474A" w:rsidRPr="00245E53" w:rsidRDefault="0025474A" w:rsidP="00801092">
            <w:pPr>
              <w:rPr>
                <w:sz w:val="16"/>
                <w:szCs w:val="16"/>
                <w:lang w:val="es-ES_tradnl"/>
              </w:rPr>
            </w:pPr>
            <w:r w:rsidRPr="00245E53">
              <w:rPr>
                <w:sz w:val="16"/>
                <w:szCs w:val="16"/>
                <w:lang w:val="es-ES_tradnl"/>
              </w:rPr>
              <w:t>Porcentaje de gastos efectuados con arreglo a las prácticas vigentes en NN.UU. (licitaciones comunes o aprovechamiento de los contratos)</w:t>
            </w:r>
            <w:r w:rsidR="00F77CA1">
              <w:rPr>
                <w:sz w:val="16"/>
                <w:szCs w:val="16"/>
                <w:lang w:val="es-ES_tradnl"/>
              </w:rPr>
              <w:t>.</w:t>
            </w:r>
            <w:r w:rsidR="00F77CA1">
              <w:rPr>
                <w:sz w:val="16"/>
                <w:szCs w:val="16"/>
                <w:lang w:val="es-ES_tradnl"/>
              </w:rPr>
              <w:br/>
            </w:r>
          </w:p>
        </w:tc>
        <w:tc>
          <w:tcPr>
            <w:tcW w:w="1604" w:type="pct"/>
            <w:tcBorders>
              <w:top w:val="nil"/>
              <w:bottom w:val="single" w:sz="4" w:space="0" w:color="auto"/>
            </w:tcBorders>
            <w:shd w:val="clear" w:color="auto" w:fill="FFFFFF"/>
            <w:tcMar>
              <w:top w:w="85" w:type="dxa"/>
              <w:bottom w:w="85" w:type="dxa"/>
            </w:tcMar>
          </w:tcPr>
          <w:p w:rsidR="0025474A" w:rsidRPr="00245E53" w:rsidRDefault="0025474A" w:rsidP="00801092">
            <w:pPr>
              <w:ind w:left="768"/>
              <w:rPr>
                <w:sz w:val="16"/>
                <w:szCs w:val="16"/>
                <w:lang w:bidi="th-TH"/>
              </w:rPr>
            </w:pPr>
            <w:r w:rsidRPr="00245E53">
              <w:rPr>
                <w:sz w:val="16"/>
                <w:szCs w:val="16"/>
                <w:lang w:bidi="th-TH"/>
              </w:rPr>
              <w:t>Programa 24</w:t>
            </w:r>
          </w:p>
        </w:tc>
      </w:tr>
    </w:tbl>
    <w:p w:rsidR="0025474A" w:rsidRPr="00245E53" w:rsidRDefault="0025474A" w:rsidP="0025474A">
      <w:pPr>
        <w:rPr>
          <w:bCs/>
          <w:sz w:val="20"/>
        </w:rPr>
      </w:pPr>
    </w:p>
    <w:p w:rsidR="0062624E" w:rsidRDefault="0062624E">
      <w:pPr>
        <w:rPr>
          <w:sz w:val="20"/>
          <w:szCs w:val="21"/>
          <w:lang w:val="en-US"/>
        </w:rPr>
      </w:pPr>
      <w:r>
        <w:rPr>
          <w:sz w:val="20"/>
          <w:szCs w:val="21"/>
          <w:lang w:val="en-US"/>
        </w:rPr>
        <w:br w:type="page"/>
      </w:r>
    </w:p>
    <w:p w:rsidR="0062624E" w:rsidRPr="005B3FF4" w:rsidRDefault="005B3FF4" w:rsidP="005B3FF4">
      <w:pPr>
        <w:pStyle w:val="StyleStyleHeading3ComplexItalicLatin12pt"/>
        <w:rPr>
          <w:lang w:val="es-ES"/>
        </w:rPr>
      </w:pPr>
      <w:bookmarkStart w:id="68" w:name="_Toc420681158"/>
      <w:r w:rsidRPr="005B3FF4">
        <w:rPr>
          <w:caps w:val="0"/>
          <w:lang w:val="es-ES"/>
        </w:rPr>
        <w:lastRenderedPageBreak/>
        <w:t>PROGRAMA 19</w:t>
      </w:r>
      <w:r w:rsidRPr="005B3FF4">
        <w:rPr>
          <w:caps w:val="0"/>
          <w:lang w:val="es-ES"/>
        </w:rPr>
        <w:tab/>
        <w:t>COMUNICACIONES</w:t>
      </w:r>
      <w:bookmarkEnd w:id="68"/>
    </w:p>
    <w:p w:rsidR="0062624E" w:rsidRPr="005966CA" w:rsidRDefault="0062624E" w:rsidP="0062624E">
      <w:pPr>
        <w:widowControl w:val="0"/>
        <w:rPr>
          <w:rFonts w:eastAsia="MS Mincho"/>
          <w:bCs/>
          <w:i/>
          <w:szCs w:val="22"/>
          <w:lang w:eastAsia="ja-JP"/>
        </w:rPr>
      </w:pPr>
    </w:p>
    <w:p w:rsidR="0062624E" w:rsidRPr="005966CA" w:rsidRDefault="0062624E" w:rsidP="0062624E">
      <w:pPr>
        <w:widowControl w:val="0"/>
        <w:rPr>
          <w:rFonts w:eastAsia="MS Mincho"/>
          <w:szCs w:val="22"/>
          <w:lang w:eastAsia="ja-JP"/>
        </w:rPr>
      </w:pPr>
    </w:p>
    <w:p w:rsidR="0062624E" w:rsidRPr="005966CA" w:rsidRDefault="0062624E" w:rsidP="0062624E">
      <w:pPr>
        <w:widowControl w:val="0"/>
        <w:rPr>
          <w:rFonts w:eastAsia="MS Mincho"/>
          <w:szCs w:val="22"/>
          <w:lang w:eastAsia="ja-JP"/>
        </w:rPr>
      </w:pPr>
      <w:r w:rsidRPr="005966CA">
        <w:rPr>
          <w:rFonts w:eastAsia="MS Mincho"/>
          <w:szCs w:val="22"/>
          <w:lang w:eastAsia="ja-JP"/>
        </w:rPr>
        <w:t>CONTEXTO DE PLANIFICACIÓN</w:t>
      </w:r>
    </w:p>
    <w:p w:rsidR="0062624E" w:rsidRPr="005966CA" w:rsidRDefault="0062624E" w:rsidP="0062624E">
      <w:pPr>
        <w:widowControl w:val="0"/>
        <w:tabs>
          <w:tab w:val="num" w:pos="709"/>
        </w:tabs>
        <w:ind w:left="1140" w:hanging="1140"/>
        <w:jc w:val="both"/>
        <w:rPr>
          <w:rFonts w:eastAsia="MS Mincho"/>
          <w:bCs/>
          <w:szCs w:val="22"/>
          <w:lang w:eastAsia="ja-JP"/>
        </w:rPr>
      </w:pPr>
    </w:p>
    <w:p w:rsidR="0062624E" w:rsidRPr="005966CA" w:rsidRDefault="0062624E" w:rsidP="0062624E">
      <w:pPr>
        <w:widowControl w:val="0"/>
        <w:numPr>
          <w:ilvl w:val="0"/>
          <w:numId w:val="39"/>
        </w:numPr>
        <w:jc w:val="both"/>
        <w:rPr>
          <w:rFonts w:eastAsia="MS Mincho"/>
          <w:sz w:val="20"/>
          <w:lang w:eastAsia="ja-JP"/>
        </w:rPr>
      </w:pPr>
      <w:r w:rsidRPr="005966CA">
        <w:rPr>
          <w:rFonts w:eastAsia="MS Mincho"/>
          <w:sz w:val="20"/>
          <w:lang w:eastAsia="ja-JP"/>
        </w:rPr>
        <w:t>La OMPI es una organización polifacética que se ocupa de temas y actividades muy complejos.  En el ámbito de las comunicaciones, el reto que se plantea es simplificar la complejidad y conectar con distintos tipos de públicos en todo el mundo.  Para forjar el entendimiento, el compromiso y la confianza necesarios para cumplir su mandato, la OMPI debe comunicar con claridad sus objetivos y valores, así como la labor que lleva a cabo para que la P.I. fomente la innovación y la creatividad.  Además, debe impulsar el reconocimiento de su posición única en cuanto que foro mundial de P.I. y fomentar la demanda de sus i</w:t>
      </w:r>
      <w:r w:rsidR="0025474A">
        <w:rPr>
          <w:rFonts w:eastAsia="MS Mincho"/>
          <w:sz w:val="20"/>
          <w:lang w:eastAsia="ja-JP"/>
        </w:rPr>
        <w:t>nstrumentos y servicios de P.I.</w:t>
      </w:r>
    </w:p>
    <w:p w:rsidR="0062624E" w:rsidRPr="005966CA" w:rsidRDefault="0062624E" w:rsidP="0062624E">
      <w:pPr>
        <w:widowControl w:val="0"/>
        <w:jc w:val="both"/>
        <w:rPr>
          <w:rFonts w:eastAsia="MS Mincho"/>
          <w:sz w:val="20"/>
          <w:lang w:eastAsia="ja-JP"/>
        </w:rPr>
      </w:pPr>
    </w:p>
    <w:p w:rsidR="0062624E" w:rsidRPr="005966CA" w:rsidRDefault="0062624E" w:rsidP="0062624E">
      <w:pPr>
        <w:widowControl w:val="0"/>
        <w:numPr>
          <w:ilvl w:val="0"/>
          <w:numId w:val="39"/>
        </w:numPr>
        <w:jc w:val="both"/>
        <w:rPr>
          <w:rFonts w:eastAsia="MS Mincho"/>
          <w:sz w:val="20"/>
          <w:lang w:eastAsia="ja-JP"/>
        </w:rPr>
      </w:pPr>
      <w:r w:rsidRPr="005966CA">
        <w:rPr>
          <w:rFonts w:eastAsia="MS Mincho"/>
          <w:sz w:val="20"/>
          <w:lang w:eastAsia="ja-JP"/>
        </w:rPr>
        <w:t xml:space="preserve">La P.I. es un ámbito muy complejo en el que el </w:t>
      </w:r>
      <w:r w:rsidRPr="005966CA">
        <w:rPr>
          <w:rFonts w:eastAsia="MS Mincho"/>
          <w:i/>
          <w:sz w:val="20"/>
          <w:lang w:eastAsia="ja-JP"/>
        </w:rPr>
        <w:t>marketing</w:t>
      </w:r>
      <w:r w:rsidRPr="005966CA">
        <w:rPr>
          <w:rFonts w:eastAsia="MS Mincho"/>
          <w:sz w:val="20"/>
          <w:lang w:eastAsia="ja-JP"/>
        </w:rPr>
        <w:t xml:space="preserve"> y las comunicaciones promocionales de la OMPI en relación con sus servicios, productos, actividades y logros compiten por atraer la atención de los sectores interesados.  Para aumentar al máximo su incidencia, será necesario intensificar la coordinación interna y explotar de manera más sistemática las alianzas externas;  las comunicaciones de la OMPI deben ser innovadoras y accesibles, deben lograr despertar interés y estar orientadas a los usuarios, prestando especial atención a la importancia de la P.I. para las personas y las economías de todo el mundo.  A fin de adaptarse a la rápida evolución del entorno mundial de las comunicaciones digitales y de explotar las oportunidades que ofrecen las nuevas tecnologías, se seguirá haciendo hincapié en el desarrollo de capacidades multimedia en la creación y la gestión de contenidos digitales y en acelerar la transición de la publicación tradicional a la publicación digital.</w:t>
      </w:r>
    </w:p>
    <w:p w:rsidR="0062624E" w:rsidRPr="005966CA" w:rsidRDefault="0062624E" w:rsidP="0062624E">
      <w:pPr>
        <w:widowControl w:val="0"/>
        <w:jc w:val="both"/>
        <w:rPr>
          <w:rFonts w:eastAsia="MS Mincho"/>
          <w:sz w:val="20"/>
          <w:lang w:eastAsia="ja-JP"/>
        </w:rPr>
      </w:pPr>
    </w:p>
    <w:p w:rsidR="0062624E" w:rsidRPr="005966CA" w:rsidRDefault="0062624E" w:rsidP="0062624E">
      <w:pPr>
        <w:widowControl w:val="0"/>
        <w:numPr>
          <w:ilvl w:val="0"/>
          <w:numId w:val="39"/>
        </w:numPr>
        <w:jc w:val="both"/>
        <w:rPr>
          <w:rFonts w:eastAsia="MS Mincho"/>
          <w:sz w:val="20"/>
          <w:lang w:eastAsia="ja-JP"/>
        </w:rPr>
      </w:pPr>
      <w:r w:rsidRPr="005966CA">
        <w:rPr>
          <w:rFonts w:eastAsia="MS Mincho"/>
          <w:sz w:val="20"/>
          <w:lang w:eastAsia="ja-JP"/>
        </w:rPr>
        <w:t>La buena comunicación y la capacidad de respuesta constituyen un elemento esencial en la prestación de servicios, tanto internos como externos.  La OMPI debe seguir esforzándose por comprender mejor las necesidades y las expectativas de sus muy diferentes sectores interesados e impulsar en toda la Organización una cultura orientada a la prestación de servicios, con el apoyo de instrumentos y funciones técnicas mejorados.</w:t>
      </w:r>
    </w:p>
    <w:p w:rsidR="0062624E" w:rsidRPr="005966CA" w:rsidRDefault="0062624E" w:rsidP="0062624E">
      <w:pPr>
        <w:widowControl w:val="0"/>
        <w:tabs>
          <w:tab w:val="num" w:pos="709"/>
        </w:tabs>
        <w:ind w:left="1140" w:hanging="1140"/>
        <w:jc w:val="both"/>
        <w:rPr>
          <w:rFonts w:eastAsia="MS Mincho"/>
          <w:szCs w:val="22"/>
          <w:lang w:eastAsia="ja-JP"/>
        </w:rPr>
      </w:pPr>
    </w:p>
    <w:p w:rsidR="0062624E" w:rsidRPr="005966CA" w:rsidRDefault="0062624E" w:rsidP="0062624E">
      <w:pPr>
        <w:widowControl w:val="0"/>
        <w:jc w:val="both"/>
        <w:rPr>
          <w:rFonts w:eastAsia="MS Mincho"/>
          <w:szCs w:val="22"/>
          <w:lang w:eastAsia="ja-JP"/>
        </w:rPr>
      </w:pPr>
    </w:p>
    <w:p w:rsidR="0062624E" w:rsidRPr="005966CA" w:rsidRDefault="0062624E" w:rsidP="0062624E">
      <w:pPr>
        <w:widowControl w:val="0"/>
        <w:jc w:val="both"/>
        <w:rPr>
          <w:rFonts w:eastAsia="MS Mincho"/>
          <w:szCs w:val="22"/>
          <w:lang w:eastAsia="ja-JP"/>
        </w:rPr>
      </w:pPr>
      <w:r w:rsidRPr="005966CA">
        <w:rPr>
          <w:rFonts w:eastAsia="MS Mincho"/>
          <w:szCs w:val="22"/>
          <w:lang w:eastAsia="ja-JP"/>
        </w:rPr>
        <w:t>ESTRATEGIAS DE EJECUCIÓN</w:t>
      </w:r>
    </w:p>
    <w:p w:rsidR="0062624E" w:rsidRPr="005966CA" w:rsidRDefault="0062624E" w:rsidP="0062624E">
      <w:pPr>
        <w:widowControl w:val="0"/>
        <w:tabs>
          <w:tab w:val="num" w:pos="709"/>
        </w:tabs>
        <w:jc w:val="both"/>
        <w:rPr>
          <w:rFonts w:eastAsia="MS Mincho"/>
          <w:szCs w:val="22"/>
          <w:lang w:eastAsia="ja-JP"/>
        </w:rPr>
      </w:pPr>
    </w:p>
    <w:p w:rsidR="0062624E" w:rsidRPr="005966CA" w:rsidRDefault="0062624E" w:rsidP="0062624E">
      <w:pPr>
        <w:widowControl w:val="0"/>
        <w:numPr>
          <w:ilvl w:val="0"/>
          <w:numId w:val="39"/>
        </w:numPr>
        <w:jc w:val="both"/>
        <w:rPr>
          <w:rFonts w:eastAsia="MS Mincho"/>
          <w:sz w:val="20"/>
          <w:lang w:eastAsia="ja-JP"/>
        </w:rPr>
      </w:pPr>
      <w:r w:rsidRPr="005966CA">
        <w:rPr>
          <w:rFonts w:eastAsia="MS Mincho"/>
          <w:sz w:val="20"/>
          <w:lang w:eastAsia="ja-JP"/>
        </w:rPr>
        <w:t xml:space="preserve">En el bienio 2016/17, la labor del programa 19 debería tener por resultado una comunicación eficaz acerca de la P.I. y la OMPI.  Para evaluar el éxito de la contribución del programa se tendrá en cuenta el grado en que haya aumentado el alcance de los contenidos públicos de información, como puedan ser publicaciones, vídeos, imágenes, materiales relacionados con los medios de comunicación y recursos de Internet así como la mayor participación de los sectores interesados en las plataformas de medios sociales y en actividades.  La buena comunicación de actividades y logros fundamentales tendrá como consecuencia el aumento de la visibilidad en los medios </w:t>
      </w:r>
      <w:r w:rsidR="002C4249">
        <w:rPr>
          <w:rFonts w:eastAsia="MS Mincho"/>
          <w:sz w:val="20"/>
          <w:lang w:eastAsia="ja-JP"/>
        </w:rPr>
        <w:t>internacionales de comunicación</w:t>
      </w:r>
      <w:r w:rsidRPr="005966CA">
        <w:rPr>
          <w:rFonts w:eastAsia="MS Mincho"/>
          <w:sz w:val="20"/>
          <w:lang w:eastAsia="ja-JP"/>
        </w:rPr>
        <w:t xml:space="preserve"> y el reconocimiento positivo de la función y el prestigio de la OMPI entre los sectores interesados.  Por otra parte, la mejora de la capacidad de respuesta en la gestión de las demandas externas aumentará el índice de satisfacción de los sectores interesados.  Las estrategias para lograr dichos resultados comprenderán lo siguiente:</w:t>
      </w:r>
    </w:p>
    <w:p w:rsidR="0062624E" w:rsidRPr="005966CA" w:rsidRDefault="0062624E" w:rsidP="0062624E">
      <w:pPr>
        <w:widowControl w:val="0"/>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sz w:val="20"/>
          <w:lang w:eastAsia="ja-JP"/>
        </w:rPr>
      </w:pPr>
      <w:r w:rsidRPr="005966CA">
        <w:rPr>
          <w:rFonts w:eastAsia="MS Mincho"/>
          <w:i/>
          <w:iCs/>
          <w:sz w:val="20"/>
          <w:lang w:eastAsia="ja-JP"/>
        </w:rPr>
        <w:t>i)</w:t>
      </w:r>
      <w:r w:rsidRPr="005966CA">
        <w:rPr>
          <w:rFonts w:eastAsia="MS Mincho"/>
          <w:i/>
          <w:iCs/>
          <w:sz w:val="20"/>
          <w:lang w:eastAsia="ja-JP"/>
        </w:rPr>
        <w:tab/>
        <w:t xml:space="preserve">Priorizar.  </w:t>
      </w:r>
      <w:r w:rsidRPr="005966CA">
        <w:rPr>
          <w:rFonts w:eastAsia="MS Mincho"/>
          <w:sz w:val="20"/>
          <w:lang w:eastAsia="ja-JP"/>
        </w:rPr>
        <w:t xml:space="preserve">Se prestará especial atención a la producción de contenidos en apoyo de los principales objetivos institucionales.  Cada año se señalará, de entre los más importantes, un número limitado de actividades, productos y logros de la OMPI como prioridades estratégicas en las comunicaciones y el </w:t>
      </w:r>
      <w:r w:rsidRPr="005966CA">
        <w:rPr>
          <w:rFonts w:eastAsia="MS Mincho"/>
          <w:i/>
          <w:sz w:val="20"/>
          <w:lang w:eastAsia="ja-JP"/>
        </w:rPr>
        <w:t>marketing.</w:t>
      </w:r>
      <w:r w:rsidRPr="005966CA">
        <w:rPr>
          <w:rFonts w:eastAsia="MS Mincho"/>
          <w:sz w:val="20"/>
          <w:lang w:eastAsia="ja-JP"/>
        </w:rPr>
        <w:t xml:space="preserve">  Se les concederá alta visibilidad en los medios de comunicación y se elaborarán planes de comunicación adaptados a cada caso para movilizar los recursos disponibles, en aras de incrementar su incidencia y alcance.  Se establecerán alianzas estratégicas con los medios de comunicación para aumentar la visibilidad y el alcance de las actividades más destacadas.  Las herramientas de </w:t>
      </w:r>
      <w:r w:rsidRPr="005966CA">
        <w:rPr>
          <w:rFonts w:eastAsia="MS Mincho"/>
          <w:i/>
          <w:sz w:val="20"/>
          <w:lang w:eastAsia="ja-JP"/>
        </w:rPr>
        <w:t xml:space="preserve">marketing </w:t>
      </w:r>
      <w:r w:rsidRPr="005966CA">
        <w:rPr>
          <w:rFonts w:eastAsia="MS Mincho"/>
          <w:sz w:val="20"/>
          <w:lang w:eastAsia="ja-JP"/>
        </w:rPr>
        <w:t>de reciente creación, como la base de datos central de contacto y la plataforma de boletines por correo electrónico, contribuirán a asegurar que las comunicaciones promocionales alcancen a los públicos destinatarios.</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iCs/>
          <w:sz w:val="20"/>
          <w:lang w:eastAsia="ja-JP"/>
        </w:rPr>
      </w:pPr>
      <w:r w:rsidRPr="005966CA">
        <w:rPr>
          <w:rFonts w:eastAsia="MS Mincho"/>
          <w:i/>
          <w:sz w:val="20"/>
          <w:lang w:eastAsia="ja-JP"/>
        </w:rPr>
        <w:t>ii)</w:t>
      </w:r>
      <w:r w:rsidRPr="005966CA">
        <w:rPr>
          <w:rFonts w:eastAsia="MS Mincho"/>
          <w:i/>
          <w:sz w:val="20"/>
          <w:lang w:eastAsia="ja-JP"/>
        </w:rPr>
        <w:tab/>
        <w:t>Contenidos y difusión centrados en los usuarios</w:t>
      </w:r>
      <w:r w:rsidRPr="005966CA">
        <w:rPr>
          <w:rFonts w:eastAsia="MS Mincho"/>
          <w:sz w:val="20"/>
          <w:lang w:eastAsia="ja-JP"/>
        </w:rPr>
        <w:t xml:space="preserve">.  </w:t>
      </w:r>
      <w:r w:rsidRPr="005966CA">
        <w:rPr>
          <w:rFonts w:eastAsia="MS Mincho"/>
          <w:iCs/>
          <w:sz w:val="20"/>
          <w:lang w:eastAsia="ja-JP"/>
        </w:rPr>
        <w:t xml:space="preserve">Se crearán, adaptarán y difundirán contenidos de alta calidad, desde material de información basado en datos hasta historias relacionadas con la P.I., por medio de diversos canales a fin de satisfacer los intereses y las necesidades de diferentes públicos con diferentes niveles de conocimiento de la P.I.  Se seguirá prestando atención a las consideraciones geográficas y al equilibrio de género, y a contar las </w:t>
      </w:r>
      <w:r w:rsidRPr="005966CA">
        <w:rPr>
          <w:rFonts w:eastAsia="MS Mincho"/>
          <w:iCs/>
          <w:sz w:val="20"/>
          <w:lang w:eastAsia="ja-JP"/>
        </w:rPr>
        <w:lastRenderedPageBreak/>
        <w:t xml:space="preserve">historias sobre el modo en que los innovadores del todo el mundo están utilizando la P.I. para mejorar sus vidas.  El nuevo boletín de noticias quincenal, </w:t>
      </w:r>
      <w:r w:rsidRPr="005966CA">
        <w:rPr>
          <w:rFonts w:eastAsia="MS Mincho"/>
          <w:i/>
          <w:iCs/>
          <w:sz w:val="20"/>
          <w:lang w:eastAsia="ja-JP"/>
        </w:rPr>
        <w:t>WIPO </w:t>
      </w:r>
      <w:proofErr w:type="spellStart"/>
      <w:r w:rsidRPr="005966CA">
        <w:rPr>
          <w:rFonts w:eastAsia="MS Mincho"/>
          <w:i/>
          <w:iCs/>
          <w:sz w:val="20"/>
          <w:lang w:eastAsia="ja-JP"/>
        </w:rPr>
        <w:t>Wire</w:t>
      </w:r>
      <w:proofErr w:type="spellEnd"/>
      <w:r w:rsidRPr="005966CA">
        <w:rPr>
          <w:rFonts w:eastAsia="MS Mincho"/>
          <w:i/>
          <w:iCs/>
          <w:sz w:val="20"/>
          <w:lang w:eastAsia="ja-JP"/>
        </w:rPr>
        <w:t>,</w:t>
      </w:r>
      <w:r w:rsidRPr="005966CA">
        <w:rPr>
          <w:rFonts w:eastAsia="MS Mincho"/>
          <w:iCs/>
          <w:sz w:val="20"/>
          <w:lang w:eastAsia="ja-JP"/>
        </w:rPr>
        <w:t xml:space="preserve"> ayudará a los sectores interesados a estar informados de las noticias y recursos de la OMPI, y la nueva plataforma de correo facilitará la utilización de los boletines y avisos electrónicos de la OMPI.  Las mejoras que se seguirán introduciendo en la arquitectura, la presentación y el contenido de la información del sitio web de la OMPI ayudarán a los distintos usuarios a encontrar lo que necesitan con mayor facilidad.  Las herramientas analíticas aportarán información que ayudará a evaluar la eficacia de las comunicaciones y a satisfacer los intereses de los usuarios.</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sz w:val="20"/>
          <w:lang w:eastAsia="ja-JP"/>
        </w:rPr>
      </w:pPr>
      <w:r w:rsidRPr="005966CA">
        <w:rPr>
          <w:rFonts w:eastAsia="MS Mincho"/>
          <w:i/>
          <w:iCs/>
          <w:sz w:val="20"/>
          <w:lang w:eastAsia="ja-JP"/>
        </w:rPr>
        <w:t>iii)</w:t>
      </w:r>
      <w:r w:rsidRPr="005966CA">
        <w:rPr>
          <w:rFonts w:eastAsia="MS Mincho"/>
          <w:i/>
          <w:iCs/>
          <w:sz w:val="20"/>
          <w:lang w:eastAsia="ja-JP"/>
        </w:rPr>
        <w:tab/>
        <w:t xml:space="preserve">Ampliar el acceso.  </w:t>
      </w:r>
      <w:r w:rsidRPr="005966CA">
        <w:rPr>
          <w:rFonts w:eastAsia="MS Mincho"/>
          <w:sz w:val="20"/>
          <w:lang w:eastAsia="ja-JP"/>
        </w:rPr>
        <w:t xml:space="preserve">En el sitio web de la OMPI se empezará a aplicar la política de la OMPI relativa al acceso libre, con el apoyo de sistemas de licencias como </w:t>
      </w:r>
      <w:proofErr w:type="spellStart"/>
      <w:r w:rsidRPr="005966CA">
        <w:rPr>
          <w:rFonts w:eastAsia="MS Mincho"/>
          <w:i/>
          <w:sz w:val="20"/>
          <w:lang w:eastAsia="ja-JP"/>
        </w:rPr>
        <w:t>Creative</w:t>
      </w:r>
      <w:proofErr w:type="spellEnd"/>
      <w:r w:rsidRPr="005966CA">
        <w:rPr>
          <w:rFonts w:eastAsia="MS Mincho"/>
          <w:i/>
          <w:sz w:val="20"/>
          <w:lang w:eastAsia="ja-JP"/>
        </w:rPr>
        <w:t xml:space="preserve"> </w:t>
      </w:r>
      <w:proofErr w:type="spellStart"/>
      <w:r w:rsidRPr="005966CA">
        <w:rPr>
          <w:rFonts w:eastAsia="MS Mincho"/>
          <w:i/>
          <w:sz w:val="20"/>
          <w:lang w:eastAsia="ja-JP"/>
        </w:rPr>
        <w:t>Commons</w:t>
      </w:r>
      <w:proofErr w:type="spellEnd"/>
      <w:r w:rsidRPr="005966CA">
        <w:rPr>
          <w:rFonts w:eastAsia="MS Mincho"/>
          <w:i/>
          <w:sz w:val="20"/>
          <w:lang w:eastAsia="ja-JP"/>
        </w:rPr>
        <w:t xml:space="preserve">.  </w:t>
      </w:r>
      <w:r w:rsidRPr="005966CA">
        <w:rPr>
          <w:rFonts w:eastAsia="MS Mincho"/>
          <w:sz w:val="20"/>
          <w:lang w:eastAsia="ja-JP"/>
        </w:rPr>
        <w:t>La nueva plataforma de publicación en Internet, de carácter global y que permite la búsqueda de textos (puesta en marcha en 2015 junto con el sistema de impresión por encargo) permitirá el acceso fácil y gratuito en Internet a todas las publicaciones y estudios de la OMPI, además de facilitar el acceso a versiones en diferentes idiomas.  Las publicaciones archivadas de la OMPI se digitalizarán y se añadirán a la colección.  Se buscarán formatos alternativos para los títulos de la OMPI de mayor relevancia con el fin de ampliar su accesibilidad y para consolidar el compromiso de la OMPI con la publicación en formatos accesibles.  En la biblioteca, se pondrán a disposición del personal y los visitantes de la OMPI tantos libros y revistas en formato electrónico como sea posible.  El programa de bibliotecas depositarias de la OMPI seguirá respondiendo a la demanda de los países en desarrollo de materiales de referencia de P.I. impresos y digitales.</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bCs/>
          <w:sz w:val="20"/>
          <w:lang w:eastAsia="ja-JP"/>
        </w:rPr>
      </w:pPr>
      <w:r w:rsidRPr="005966CA">
        <w:rPr>
          <w:rFonts w:eastAsia="MS Mincho"/>
          <w:i/>
          <w:iCs/>
          <w:sz w:val="20"/>
          <w:lang w:eastAsia="ja-JP"/>
        </w:rPr>
        <w:t>iv)</w:t>
      </w:r>
      <w:r w:rsidRPr="005966CA">
        <w:rPr>
          <w:rFonts w:eastAsia="MS Mincho"/>
          <w:i/>
          <w:iCs/>
          <w:sz w:val="20"/>
          <w:lang w:eastAsia="ja-JP"/>
        </w:rPr>
        <w:tab/>
        <w:t xml:space="preserve">Participación de los sectores interesados.  </w:t>
      </w:r>
      <w:r w:rsidRPr="005966CA">
        <w:rPr>
          <w:rFonts w:eastAsia="MS Mincho"/>
          <w:bCs/>
          <w:sz w:val="20"/>
          <w:lang w:eastAsia="ja-JP"/>
        </w:rPr>
        <w:t>El programa 19 seguirá orientando la integración y la difusión de las herramientas y estrategias de redes sociales para facilitar la comunicación multidireccional, mejorar la capacidad de respuesta de la OMPI e intensificar la participación directa de los sectores interesados y darles más voz.  Se crearán contenidos de medios de comunicación intercambiables y se difundirán por medio de una mayor diversidad de plataformas.  Además, la Revista de la OMPI empezará a publicarse en Internet con un carácter más interactivo.  Se seguirá impulsando la campaña anual del Día Mundial de la P.I. en cuanto que plataforma popular para conectar con públicos nuevos y fomentar la asociación positiva entre la P.I. y la innovación.  La implicación de los medios de comunicación seguirá siendo una herramienta importantísima.  Para fortalecer la posición de la OMPI como fuente de referencia mundial y autoridad de confianza en el ámbito de la P.I., y para ayudar a transformar la percepción del público cuando sea necesario, se seguirán llevando a cabo campañas de divulgación continuas y dinámicas dirigidas a los medios digitales, blogs y prensa más influyentes.</w:t>
      </w:r>
    </w:p>
    <w:p w:rsidR="0062624E" w:rsidRPr="005966CA" w:rsidRDefault="0062624E" w:rsidP="0062624E">
      <w:pPr>
        <w:widowControl w:val="0"/>
        <w:tabs>
          <w:tab w:val="left" w:pos="1100"/>
        </w:tabs>
        <w:ind w:left="567"/>
        <w:jc w:val="both"/>
        <w:rPr>
          <w:rFonts w:eastAsia="MS Mincho"/>
          <w:bCs/>
          <w:sz w:val="20"/>
          <w:lang w:eastAsia="ja-JP"/>
        </w:rPr>
      </w:pPr>
    </w:p>
    <w:p w:rsidR="0062624E" w:rsidRPr="005966CA" w:rsidRDefault="0062624E" w:rsidP="0062624E">
      <w:pPr>
        <w:widowControl w:val="0"/>
        <w:tabs>
          <w:tab w:val="left" w:pos="1100"/>
        </w:tabs>
        <w:ind w:left="567"/>
        <w:jc w:val="both"/>
        <w:rPr>
          <w:rFonts w:eastAsia="MS Mincho"/>
          <w:sz w:val="20"/>
          <w:lang w:eastAsia="ja-JP"/>
        </w:rPr>
      </w:pPr>
      <w:r w:rsidRPr="005966CA">
        <w:rPr>
          <w:rFonts w:eastAsia="MS Mincho"/>
          <w:i/>
          <w:iCs/>
          <w:sz w:val="20"/>
          <w:lang w:eastAsia="ja-JP"/>
        </w:rPr>
        <w:t>v)</w:t>
      </w:r>
      <w:r w:rsidRPr="005966CA">
        <w:rPr>
          <w:rFonts w:eastAsia="MS Mincho"/>
          <w:i/>
          <w:iCs/>
          <w:sz w:val="20"/>
          <w:lang w:eastAsia="ja-JP"/>
        </w:rPr>
        <w:tab/>
        <w:t xml:space="preserve">Comunicación visual y por vídeo.  </w:t>
      </w:r>
      <w:r w:rsidRPr="005966CA">
        <w:rPr>
          <w:rFonts w:eastAsia="MS Mincho"/>
          <w:sz w:val="20"/>
          <w:lang w:eastAsia="ja-JP"/>
        </w:rPr>
        <w:t>Se utilizarán de manera creativa imágenes, gráficos y diseños en Internet y en medios digitales e impresos para fomentar el efecto visual y la inmediatez de las comunicaciones de la OMPI.  Se fortalecerán las capacidades para aumentar la producción de infografías e imágenes de calidad a fin de promocionar contenidos de alta calidad y con gran volumen de datos, como los informes estadísticos y económicos de la OMPI, de carácter único.  Se explotará la avidez general que existe en todo el mundo por los vídeos aumentando la producción de entrevistas, noticias, historias, animación gráfica, tutoriales de vídeo y otros contenidos visuales en que se explica la labor y los productos de la OMPI.</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sz w:val="20"/>
          <w:lang w:eastAsia="ja-JP"/>
        </w:rPr>
      </w:pPr>
      <w:proofErr w:type="gramStart"/>
      <w:r w:rsidRPr="005966CA">
        <w:rPr>
          <w:rFonts w:eastAsia="MS Mincho"/>
          <w:i/>
          <w:sz w:val="20"/>
          <w:lang w:eastAsia="ja-JP"/>
        </w:rPr>
        <w:t>vi</w:t>
      </w:r>
      <w:proofErr w:type="gramEnd"/>
      <w:r w:rsidRPr="005966CA">
        <w:rPr>
          <w:rFonts w:eastAsia="MS Mincho"/>
          <w:i/>
          <w:sz w:val="20"/>
          <w:lang w:eastAsia="ja-JP"/>
        </w:rPr>
        <w:t>)</w:t>
      </w:r>
      <w:r w:rsidRPr="005966CA">
        <w:rPr>
          <w:rFonts w:eastAsia="MS Mincho"/>
          <w:i/>
          <w:sz w:val="20"/>
          <w:lang w:eastAsia="ja-JP"/>
        </w:rPr>
        <w:tab/>
      </w:r>
      <w:r w:rsidRPr="005966CA">
        <w:rPr>
          <w:rFonts w:eastAsia="MS Mincho"/>
          <w:i/>
          <w:iCs/>
          <w:sz w:val="20"/>
          <w:lang w:eastAsia="ja-JP"/>
        </w:rPr>
        <w:t xml:space="preserve">Una identidad de la OMPI fuerte.  </w:t>
      </w:r>
      <w:r w:rsidRPr="005966CA">
        <w:rPr>
          <w:rFonts w:eastAsia="MS Mincho"/>
          <w:sz w:val="20"/>
          <w:lang w:eastAsia="ja-JP"/>
        </w:rPr>
        <w:t xml:space="preserve">Se integrará, en todos los ámbitos de la Organización, una expresión verbal y visual coherente de la “marca” de la OMPI </w:t>
      </w:r>
      <w:r w:rsidRPr="005966CA">
        <w:rPr>
          <w:rFonts w:eastAsia="MS Mincho"/>
          <w:sz w:val="20"/>
          <w:lang w:eastAsia="ja-JP"/>
        </w:rPr>
        <w:noBreakHyphen/>
        <w:t>su misión, valores y función</w:t>
      </w:r>
      <w:r w:rsidRPr="005966CA">
        <w:rPr>
          <w:rFonts w:eastAsia="MS Mincho"/>
          <w:sz w:val="20"/>
          <w:lang w:eastAsia="ja-JP"/>
        </w:rPr>
        <w:noBreakHyphen/>
        <w:t xml:space="preserve"> en actividades editoriales, de diseño, creación de contenidos, medios de comunicación, publicación y servicios de atención al cliente.  Se completarán las tareas relativas a la actualización de la imagen de la Organización.  Se supervisarán la percepción que los sectores interesados tienen de la imagen y los resultados de la OMPI en relación con factores clave relativos al prestigio institucional y se extraerán experiencias para mejorar los ámbitos con deficiencias.</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sz w:val="20"/>
          <w:lang w:eastAsia="ja-JP"/>
        </w:rPr>
      </w:pPr>
      <w:r w:rsidRPr="005966CA">
        <w:rPr>
          <w:rFonts w:eastAsia="MS Mincho"/>
          <w:i/>
          <w:iCs/>
          <w:sz w:val="20"/>
          <w:lang w:eastAsia="ja-JP"/>
        </w:rPr>
        <w:t>vii)</w:t>
      </w:r>
      <w:r w:rsidRPr="005966CA">
        <w:rPr>
          <w:rFonts w:eastAsia="MS Mincho"/>
          <w:i/>
          <w:iCs/>
          <w:sz w:val="20"/>
          <w:lang w:eastAsia="ja-JP"/>
        </w:rPr>
        <w:tab/>
        <w:t>Coordinación interna</w:t>
      </w:r>
      <w:r w:rsidRPr="005966CA">
        <w:rPr>
          <w:rFonts w:eastAsia="MS Mincho"/>
          <w:iCs/>
          <w:sz w:val="20"/>
          <w:lang w:eastAsia="ja-JP"/>
        </w:rPr>
        <w:t xml:space="preserve">.  </w:t>
      </w:r>
      <w:r w:rsidRPr="005966CA">
        <w:rPr>
          <w:rFonts w:eastAsia="MS Mincho"/>
          <w:sz w:val="20"/>
          <w:lang w:eastAsia="ja-JP"/>
        </w:rPr>
        <w:t xml:space="preserve">Se seguirá impulsando, en toda la Organización, un planteamiento más estratégico de las comunicaciones y el </w:t>
      </w:r>
      <w:r w:rsidRPr="005966CA">
        <w:rPr>
          <w:rFonts w:eastAsia="MS Mincho"/>
          <w:i/>
          <w:sz w:val="20"/>
          <w:lang w:eastAsia="ja-JP"/>
        </w:rPr>
        <w:t>marketing</w:t>
      </w:r>
      <w:r w:rsidRPr="005966CA">
        <w:rPr>
          <w:rFonts w:eastAsia="MS Mincho"/>
          <w:sz w:val="20"/>
          <w:lang w:eastAsia="ja-JP"/>
        </w:rPr>
        <w:t>, sustentado en una planificación y coordinación más sistemáticas en todos los sectores.  En el marco del programa 19 se lanzarán iniciativas encaminadas a promover una mejor comunicación y se seguirán invirtiendo esfuerzos para potenciar la comunicación horizontal y el intercambio de información.</w:t>
      </w:r>
    </w:p>
    <w:p w:rsidR="0062624E" w:rsidRPr="005966CA" w:rsidRDefault="0062624E" w:rsidP="0062624E">
      <w:pPr>
        <w:widowControl w:val="0"/>
        <w:tabs>
          <w:tab w:val="left" w:pos="1100"/>
        </w:tabs>
        <w:ind w:left="567"/>
        <w:jc w:val="both"/>
        <w:rPr>
          <w:rFonts w:eastAsia="MS Mincho"/>
          <w:sz w:val="20"/>
          <w:lang w:eastAsia="ja-JP"/>
        </w:rPr>
      </w:pPr>
    </w:p>
    <w:p w:rsidR="0062624E" w:rsidRPr="005966CA" w:rsidRDefault="0062624E" w:rsidP="0062624E">
      <w:pPr>
        <w:widowControl w:val="0"/>
        <w:tabs>
          <w:tab w:val="left" w:pos="1100"/>
        </w:tabs>
        <w:ind w:left="567"/>
        <w:jc w:val="both"/>
        <w:rPr>
          <w:rFonts w:eastAsia="MS Mincho"/>
          <w:sz w:val="20"/>
          <w:lang w:eastAsia="ja-JP"/>
        </w:rPr>
      </w:pPr>
      <w:r w:rsidRPr="005966CA">
        <w:rPr>
          <w:rFonts w:eastAsia="MS Mincho"/>
          <w:i/>
          <w:iCs/>
          <w:sz w:val="20"/>
          <w:lang w:eastAsia="ja-JP"/>
        </w:rPr>
        <w:t>viii)</w:t>
      </w:r>
      <w:r w:rsidRPr="005966CA">
        <w:rPr>
          <w:rFonts w:eastAsia="MS Mincho"/>
          <w:i/>
          <w:iCs/>
          <w:sz w:val="20"/>
          <w:lang w:eastAsia="ja-JP"/>
        </w:rPr>
        <w:tab/>
        <w:t xml:space="preserve">Cultura orientada a la prestación de servicios.  </w:t>
      </w:r>
      <w:r w:rsidRPr="005966CA">
        <w:rPr>
          <w:rFonts w:eastAsia="MS Mincho"/>
          <w:sz w:val="20"/>
          <w:lang w:eastAsia="ja-JP"/>
        </w:rPr>
        <w:t xml:space="preserve">En el marco del programa 19 seguirá impulsándose la cultura institucional centrada en la prestación de servicios y la satisfacción de las necesidades de los sectores interesados de la OMPI y en apoyar los servicios de atención al </w:t>
      </w:r>
      <w:r w:rsidRPr="005966CA">
        <w:rPr>
          <w:rFonts w:eastAsia="MS Mincho"/>
          <w:sz w:val="20"/>
          <w:lang w:eastAsia="ja-JP"/>
        </w:rPr>
        <w:lastRenderedPageBreak/>
        <w:t xml:space="preserve">cliente en toda la Organización.  La orientación a la prestación de servicios del personal se fomentará mediante actividades de formación y sensibilización basadas en la “Carta de Servicio de la OMPI”.  Se seguirán facilitando herramientas para agilizar el tratamiento de las demandas de información (base central de datos de contacto, sistemas </w:t>
      </w:r>
      <w:r w:rsidR="00F77CA1">
        <w:rPr>
          <w:rFonts w:eastAsia="MS Mincho"/>
          <w:sz w:val="20"/>
          <w:lang w:eastAsia="ja-JP"/>
        </w:rPr>
        <w:t xml:space="preserve">de </w:t>
      </w:r>
      <w:r w:rsidRPr="005966CA">
        <w:rPr>
          <w:rFonts w:eastAsia="MS Mincho"/>
          <w:sz w:val="20"/>
          <w:lang w:eastAsia="ja-JP"/>
        </w:rPr>
        <w:t xml:space="preserve">creación de </w:t>
      </w:r>
      <w:r w:rsidRPr="005966CA">
        <w:rPr>
          <w:rFonts w:eastAsia="MS Mincho"/>
          <w:i/>
          <w:sz w:val="20"/>
          <w:lang w:eastAsia="ja-JP"/>
        </w:rPr>
        <w:t>tickets</w:t>
      </w:r>
      <w:r w:rsidRPr="005966CA">
        <w:rPr>
          <w:rFonts w:eastAsia="MS Mincho"/>
          <w:sz w:val="20"/>
          <w:lang w:eastAsia="ja-JP"/>
        </w:rPr>
        <w:t>, medición del volumen de las solicitudes de información, etc.).  Se controlarán sistemáticamente las expectativas externas atendiendo a los comentarios de los clientes y efectuando encuestas para mejorar los niveles de satisfacción.</w:t>
      </w:r>
    </w:p>
    <w:p w:rsidR="0062624E" w:rsidRPr="005966CA" w:rsidRDefault="0062624E" w:rsidP="0062624E">
      <w:pPr>
        <w:widowControl w:val="0"/>
        <w:jc w:val="both"/>
      </w:pPr>
    </w:p>
    <w:p w:rsidR="0062624E" w:rsidRPr="005966CA" w:rsidRDefault="0062624E" w:rsidP="0062624E">
      <w:pPr>
        <w:widowControl w:val="0"/>
        <w:jc w:val="both"/>
      </w:pPr>
    </w:p>
    <w:p w:rsidR="0062624E" w:rsidRPr="005966CA" w:rsidRDefault="0062624E" w:rsidP="0062624E">
      <w:pPr>
        <w:pStyle w:val="BodyText"/>
        <w:widowControl w:val="0"/>
      </w:pPr>
      <w:r w:rsidRPr="005966CA">
        <w:t>PRINCIPALES RIESGOS Y ESTRATEGIAS DE MITIGACIÓN</w:t>
      </w:r>
    </w:p>
    <w:tbl>
      <w:tblPr>
        <w:tblW w:w="9214" w:type="dxa"/>
        <w:tblInd w:w="108" w:type="dxa"/>
        <w:tblCellMar>
          <w:left w:w="0" w:type="dxa"/>
          <w:right w:w="0" w:type="dxa"/>
        </w:tblCellMar>
        <w:tblLook w:val="04A0" w:firstRow="1" w:lastRow="0" w:firstColumn="1" w:lastColumn="0" w:noHBand="0" w:noVBand="1"/>
      </w:tblPr>
      <w:tblGrid>
        <w:gridCol w:w="4253"/>
        <w:gridCol w:w="4961"/>
      </w:tblGrid>
      <w:tr w:rsidR="0062624E" w:rsidRPr="005966CA" w:rsidTr="00F77CA1">
        <w:trPr>
          <w:trHeight w:val="540"/>
        </w:trPr>
        <w:tc>
          <w:tcPr>
            <w:tcW w:w="4253"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62624E" w:rsidRPr="005966CA" w:rsidRDefault="0062624E" w:rsidP="0062624E">
            <w:pPr>
              <w:widowControl w:val="0"/>
              <w:spacing w:line="276" w:lineRule="auto"/>
              <w:jc w:val="center"/>
              <w:rPr>
                <w:rFonts w:eastAsiaTheme="minorHAnsi"/>
                <w:b/>
                <w:bCs/>
                <w:sz w:val="18"/>
                <w:szCs w:val="18"/>
              </w:rPr>
            </w:pPr>
            <w:r w:rsidRPr="005966CA">
              <w:rPr>
                <w:rFonts w:eastAsiaTheme="minorHAnsi"/>
                <w:b/>
                <w:bCs/>
                <w:sz w:val="18"/>
                <w:szCs w:val="18"/>
              </w:rPr>
              <w:t>Riesgo</w:t>
            </w:r>
          </w:p>
        </w:tc>
        <w:tc>
          <w:tcPr>
            <w:tcW w:w="4961"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62624E" w:rsidRPr="005966CA" w:rsidRDefault="0062624E" w:rsidP="0062624E">
            <w:pPr>
              <w:widowControl w:val="0"/>
              <w:spacing w:line="276" w:lineRule="auto"/>
              <w:jc w:val="center"/>
              <w:rPr>
                <w:rFonts w:eastAsiaTheme="minorHAnsi"/>
                <w:b/>
                <w:bCs/>
                <w:sz w:val="18"/>
                <w:szCs w:val="18"/>
              </w:rPr>
            </w:pPr>
            <w:r w:rsidRPr="005966CA">
              <w:rPr>
                <w:b/>
                <w:bCs/>
                <w:sz w:val="18"/>
                <w:szCs w:val="18"/>
              </w:rPr>
              <w:t>Mitigación</w:t>
            </w:r>
          </w:p>
        </w:tc>
      </w:tr>
      <w:tr w:rsidR="0062624E" w:rsidRPr="005966CA" w:rsidTr="0062624E">
        <w:trPr>
          <w:trHeight w:val="1296"/>
        </w:trPr>
        <w:tc>
          <w:tcPr>
            <w:tcW w:w="4253" w:type="dxa"/>
            <w:tcBorders>
              <w:top w:val="nil"/>
              <w:left w:val="single" w:sz="8" w:space="0" w:color="auto"/>
              <w:bottom w:val="nil"/>
              <w:right w:val="nil"/>
            </w:tcBorders>
            <w:tcMar>
              <w:top w:w="113" w:type="dxa"/>
              <w:left w:w="108" w:type="dxa"/>
              <w:bottom w:w="113" w:type="dxa"/>
              <w:right w:w="108" w:type="dxa"/>
            </w:tcMar>
            <w:hideMark/>
          </w:tcPr>
          <w:p w:rsidR="0062624E" w:rsidRPr="005966CA" w:rsidRDefault="0062624E" w:rsidP="0062624E">
            <w:pPr>
              <w:widowControl w:val="0"/>
              <w:rPr>
                <w:rFonts w:eastAsiaTheme="minorHAnsi"/>
                <w:sz w:val="16"/>
                <w:szCs w:val="16"/>
              </w:rPr>
            </w:pPr>
            <w:r w:rsidRPr="005966CA">
              <w:rPr>
                <w:sz w:val="16"/>
                <w:szCs w:val="16"/>
              </w:rPr>
              <w:t>La OMPI debe cumplir las normas más estrictas de transparencia y responsabilidad y es objeto de la continua observación por parte de sus clientes, de los sectores interesados, el personal y el público en general.  Cualquier riesgo puede incidir en la reputación de la Organización, lo que perjudicaría significativamente la credibilidad de su labor.</w:t>
            </w:r>
          </w:p>
        </w:tc>
        <w:tc>
          <w:tcPr>
            <w:tcW w:w="4961" w:type="dxa"/>
            <w:tcBorders>
              <w:top w:val="nil"/>
              <w:left w:val="nil"/>
              <w:bottom w:val="nil"/>
              <w:right w:val="single" w:sz="8" w:space="0" w:color="auto"/>
            </w:tcBorders>
            <w:tcMar>
              <w:top w:w="113" w:type="dxa"/>
              <w:left w:w="108" w:type="dxa"/>
              <w:bottom w:w="113" w:type="dxa"/>
              <w:right w:w="108" w:type="dxa"/>
            </w:tcMar>
          </w:tcPr>
          <w:p w:rsidR="0062624E" w:rsidRPr="005966CA" w:rsidRDefault="0062624E" w:rsidP="0062624E">
            <w:pPr>
              <w:widowControl w:val="0"/>
              <w:rPr>
                <w:rFonts w:eastAsiaTheme="minorHAnsi"/>
                <w:sz w:val="16"/>
                <w:szCs w:val="16"/>
              </w:rPr>
            </w:pPr>
            <w:r w:rsidRPr="005966CA">
              <w:rPr>
                <w:sz w:val="16"/>
                <w:szCs w:val="16"/>
              </w:rPr>
              <w:t xml:space="preserve">La divulgación al público, el suministro activo de información, la sensibilización de los medios de comunicación y la respuesta franca a las demandas de información.  Supervisión </w:t>
            </w:r>
            <w:proofErr w:type="gramStart"/>
            <w:r w:rsidRPr="005966CA">
              <w:rPr>
                <w:sz w:val="16"/>
                <w:szCs w:val="16"/>
              </w:rPr>
              <w:t>continua</w:t>
            </w:r>
            <w:proofErr w:type="gramEnd"/>
            <w:r w:rsidRPr="005966CA">
              <w:rPr>
                <w:sz w:val="16"/>
                <w:szCs w:val="16"/>
              </w:rPr>
              <w:t xml:space="preserve"> de la cobertura de la prensa y las redes sociales para permitir dar una respuesta oportuna si fuera necesario.</w:t>
            </w:r>
          </w:p>
          <w:p w:rsidR="0062624E" w:rsidRPr="005966CA" w:rsidRDefault="0062624E" w:rsidP="0062624E">
            <w:pPr>
              <w:widowControl w:val="0"/>
              <w:rPr>
                <w:rFonts w:eastAsiaTheme="minorHAnsi"/>
                <w:sz w:val="16"/>
                <w:szCs w:val="16"/>
              </w:rPr>
            </w:pPr>
          </w:p>
        </w:tc>
      </w:tr>
      <w:tr w:rsidR="0062624E" w:rsidRPr="005966CA" w:rsidTr="0062624E">
        <w:trPr>
          <w:trHeight w:val="874"/>
        </w:trPr>
        <w:tc>
          <w:tcPr>
            <w:tcW w:w="4253" w:type="dxa"/>
            <w:tcBorders>
              <w:top w:val="nil"/>
              <w:left w:val="single" w:sz="8" w:space="0" w:color="auto"/>
              <w:bottom w:val="single" w:sz="8" w:space="0" w:color="auto"/>
              <w:right w:val="nil"/>
            </w:tcBorders>
            <w:tcMar>
              <w:top w:w="113" w:type="dxa"/>
              <w:left w:w="108" w:type="dxa"/>
              <w:bottom w:w="113" w:type="dxa"/>
              <w:right w:w="108" w:type="dxa"/>
            </w:tcMar>
          </w:tcPr>
          <w:p w:rsidR="0062624E" w:rsidRPr="005966CA" w:rsidRDefault="0062624E" w:rsidP="0062624E">
            <w:pPr>
              <w:widowControl w:val="0"/>
              <w:rPr>
                <w:sz w:val="16"/>
                <w:szCs w:val="16"/>
              </w:rPr>
            </w:pPr>
            <w:r w:rsidRPr="005966CA">
              <w:rPr>
                <w:sz w:val="16"/>
                <w:szCs w:val="16"/>
              </w:rPr>
              <w:t xml:space="preserve">La presencia de la OMPI en las redes sociales y en la </w:t>
            </w:r>
            <w:r w:rsidRPr="005966CA">
              <w:rPr>
                <w:i/>
                <w:sz w:val="16"/>
                <w:szCs w:val="16"/>
              </w:rPr>
              <w:t>web</w:t>
            </w:r>
            <w:r w:rsidRPr="005966CA">
              <w:rPr>
                <w:sz w:val="16"/>
                <w:szCs w:val="16"/>
              </w:rPr>
              <w:t xml:space="preserve"> no sigue el ritmo de las cambiantes tendencias de las comunicaciones digitales o de las preferencias de los sectores interesados.</w:t>
            </w:r>
          </w:p>
          <w:p w:rsidR="0062624E" w:rsidRPr="005966CA" w:rsidRDefault="0062624E" w:rsidP="0062624E">
            <w:pPr>
              <w:widowControl w:val="0"/>
              <w:rPr>
                <w:rFonts w:eastAsiaTheme="minorHAnsi"/>
                <w:sz w:val="16"/>
                <w:szCs w:val="16"/>
              </w:rPr>
            </w:pPr>
          </w:p>
        </w:tc>
        <w:tc>
          <w:tcPr>
            <w:tcW w:w="4961" w:type="dxa"/>
            <w:tcBorders>
              <w:top w:val="nil"/>
              <w:left w:val="nil"/>
              <w:bottom w:val="single" w:sz="8" w:space="0" w:color="auto"/>
              <w:right w:val="single" w:sz="8" w:space="0" w:color="auto"/>
            </w:tcBorders>
            <w:tcMar>
              <w:top w:w="113" w:type="dxa"/>
              <w:left w:w="108" w:type="dxa"/>
              <w:bottom w:w="113" w:type="dxa"/>
              <w:right w:w="108" w:type="dxa"/>
            </w:tcMar>
          </w:tcPr>
          <w:p w:rsidR="0062624E" w:rsidRPr="005966CA" w:rsidRDefault="0062624E" w:rsidP="0062624E">
            <w:pPr>
              <w:widowControl w:val="0"/>
              <w:rPr>
                <w:rFonts w:eastAsiaTheme="minorHAnsi"/>
                <w:sz w:val="16"/>
                <w:szCs w:val="16"/>
              </w:rPr>
            </w:pPr>
            <w:r w:rsidRPr="005966CA">
              <w:rPr>
                <w:sz w:val="16"/>
                <w:szCs w:val="16"/>
              </w:rPr>
              <w:t xml:space="preserve">Aplicación de un diseño </w:t>
            </w:r>
            <w:r w:rsidRPr="005966CA">
              <w:rPr>
                <w:i/>
                <w:sz w:val="16"/>
                <w:szCs w:val="16"/>
              </w:rPr>
              <w:t>web</w:t>
            </w:r>
            <w:r w:rsidRPr="005966CA">
              <w:rPr>
                <w:sz w:val="16"/>
                <w:szCs w:val="16"/>
              </w:rPr>
              <w:t xml:space="preserve"> de respuesta ágil en todo el sitio web de la OMPI para optimizar la presentación de contenidos en los dispositivos móviles.</w:t>
            </w:r>
          </w:p>
          <w:p w:rsidR="0062624E" w:rsidRPr="005966CA" w:rsidRDefault="0062624E" w:rsidP="0062624E">
            <w:pPr>
              <w:widowControl w:val="0"/>
              <w:rPr>
                <w:sz w:val="16"/>
                <w:szCs w:val="16"/>
              </w:rPr>
            </w:pPr>
          </w:p>
          <w:p w:rsidR="0062624E" w:rsidRPr="005966CA" w:rsidRDefault="0062624E" w:rsidP="0062624E">
            <w:pPr>
              <w:widowControl w:val="0"/>
              <w:rPr>
                <w:rFonts w:eastAsiaTheme="minorHAnsi"/>
                <w:sz w:val="16"/>
                <w:szCs w:val="16"/>
              </w:rPr>
            </w:pPr>
            <w:r w:rsidRPr="005966CA">
              <w:rPr>
                <w:sz w:val="16"/>
                <w:szCs w:val="16"/>
              </w:rPr>
              <w:t>Utilización de recursos y alianzas externas para ampliar las capacidades internas.</w:t>
            </w:r>
          </w:p>
        </w:tc>
      </w:tr>
    </w:tbl>
    <w:p w:rsidR="0062624E" w:rsidRPr="005966CA" w:rsidRDefault="0062624E" w:rsidP="0062624E">
      <w:pPr>
        <w:widowControl w:val="0"/>
        <w:autoSpaceDE w:val="0"/>
        <w:autoSpaceDN w:val="0"/>
        <w:adjustRightInd w:val="0"/>
        <w:rPr>
          <w:szCs w:val="22"/>
        </w:rPr>
      </w:pPr>
    </w:p>
    <w:p w:rsidR="0062624E" w:rsidRPr="005966CA" w:rsidRDefault="0062624E" w:rsidP="0062624E">
      <w:pPr>
        <w:widowControl w:val="0"/>
        <w:autoSpaceDE w:val="0"/>
        <w:autoSpaceDN w:val="0"/>
        <w:adjustRightInd w:val="0"/>
        <w:rPr>
          <w:szCs w:val="22"/>
        </w:rPr>
      </w:pPr>
    </w:p>
    <w:p w:rsidR="0062624E" w:rsidRPr="005966CA" w:rsidRDefault="0062624E" w:rsidP="0062624E">
      <w:pPr>
        <w:widowControl w:val="0"/>
        <w:autoSpaceDE w:val="0"/>
        <w:autoSpaceDN w:val="0"/>
        <w:adjustRightInd w:val="0"/>
        <w:rPr>
          <w:szCs w:val="22"/>
        </w:rPr>
      </w:pPr>
      <w:r w:rsidRPr="005966CA">
        <w:rPr>
          <w:szCs w:val="22"/>
        </w:rPr>
        <w:t>MARCO DE RESULTADOS</w:t>
      </w:r>
    </w:p>
    <w:p w:rsidR="0062624E" w:rsidRPr="005966CA" w:rsidRDefault="0062624E" w:rsidP="0062624E">
      <w:pPr>
        <w:widowControl w:val="0"/>
        <w:autoSpaceDE w:val="0"/>
        <w:autoSpaceDN w:val="0"/>
        <w:adjustRightInd w:val="0"/>
        <w:rPr>
          <w:szCs w:val="22"/>
        </w:rPr>
      </w:pPr>
    </w:p>
    <w:tbl>
      <w:tblPr>
        <w:tblW w:w="9195" w:type="dxa"/>
        <w:tblInd w:w="93" w:type="dxa"/>
        <w:tblLook w:val="04A0" w:firstRow="1" w:lastRow="0" w:firstColumn="1" w:lastColumn="0" w:noHBand="0" w:noVBand="1"/>
      </w:tblPr>
      <w:tblGrid>
        <w:gridCol w:w="2140"/>
        <w:gridCol w:w="2140"/>
        <w:gridCol w:w="2485"/>
        <w:gridCol w:w="2430"/>
      </w:tblGrid>
      <w:tr w:rsidR="0062624E" w:rsidRPr="005966CA" w:rsidTr="0062624E">
        <w:trPr>
          <w:trHeight w:val="455"/>
          <w:tblHeader/>
        </w:trPr>
        <w:tc>
          <w:tcPr>
            <w:tcW w:w="2140" w:type="dxa"/>
            <w:tcBorders>
              <w:top w:val="single" w:sz="4" w:space="0" w:color="auto"/>
              <w:left w:val="single" w:sz="4" w:space="0" w:color="auto"/>
              <w:bottom w:val="single" w:sz="4" w:space="0" w:color="auto"/>
              <w:right w:val="nil"/>
            </w:tcBorders>
            <w:shd w:val="clear" w:color="000000" w:fill="C5D9F1"/>
            <w:tcMar>
              <w:top w:w="85" w:type="dxa"/>
            </w:tcMar>
            <w:vAlign w:val="center"/>
            <w:hideMark/>
          </w:tcPr>
          <w:p w:rsidR="0062624E" w:rsidRPr="005966CA" w:rsidRDefault="0062624E" w:rsidP="0062624E">
            <w:pPr>
              <w:widowControl w:val="0"/>
              <w:jc w:val="center"/>
              <w:rPr>
                <w:b/>
                <w:bCs/>
                <w:sz w:val="18"/>
                <w:szCs w:val="18"/>
              </w:rPr>
            </w:pPr>
            <w:r w:rsidRPr="005966CA">
              <w:rPr>
                <w:b/>
                <w:bCs/>
                <w:sz w:val="18"/>
                <w:szCs w:val="18"/>
              </w:rPr>
              <w:t>Resultados previstos</w:t>
            </w:r>
          </w:p>
        </w:tc>
        <w:tc>
          <w:tcPr>
            <w:tcW w:w="2140" w:type="dxa"/>
            <w:tcBorders>
              <w:top w:val="single" w:sz="4" w:space="0" w:color="auto"/>
              <w:left w:val="nil"/>
              <w:bottom w:val="single" w:sz="4" w:space="0" w:color="auto"/>
              <w:right w:val="nil"/>
            </w:tcBorders>
            <w:shd w:val="clear" w:color="000000" w:fill="C5D9F1"/>
            <w:tcMar>
              <w:top w:w="85" w:type="dxa"/>
            </w:tcMar>
            <w:vAlign w:val="center"/>
            <w:hideMark/>
          </w:tcPr>
          <w:p w:rsidR="0062624E" w:rsidRPr="005966CA" w:rsidRDefault="0062624E" w:rsidP="0062624E">
            <w:pPr>
              <w:widowControl w:val="0"/>
              <w:jc w:val="center"/>
              <w:rPr>
                <w:b/>
                <w:bCs/>
                <w:sz w:val="18"/>
                <w:szCs w:val="18"/>
              </w:rPr>
            </w:pPr>
            <w:r w:rsidRPr="005966CA">
              <w:rPr>
                <w:b/>
                <w:bCs/>
                <w:sz w:val="18"/>
                <w:szCs w:val="18"/>
              </w:rPr>
              <w:t>Indicadores de rendimiento</w:t>
            </w:r>
          </w:p>
        </w:tc>
        <w:tc>
          <w:tcPr>
            <w:tcW w:w="2485" w:type="dxa"/>
            <w:tcBorders>
              <w:top w:val="single" w:sz="4" w:space="0" w:color="auto"/>
              <w:left w:val="nil"/>
              <w:bottom w:val="single" w:sz="4" w:space="0" w:color="auto"/>
              <w:right w:val="nil"/>
            </w:tcBorders>
            <w:shd w:val="clear" w:color="000000" w:fill="C5D9F1"/>
            <w:tcMar>
              <w:top w:w="85" w:type="dxa"/>
            </w:tcMar>
            <w:vAlign w:val="center"/>
            <w:hideMark/>
          </w:tcPr>
          <w:p w:rsidR="0062624E" w:rsidRPr="005966CA" w:rsidRDefault="0062624E" w:rsidP="0062624E">
            <w:pPr>
              <w:widowControl w:val="0"/>
              <w:jc w:val="center"/>
              <w:rPr>
                <w:b/>
                <w:bCs/>
                <w:sz w:val="18"/>
                <w:szCs w:val="18"/>
              </w:rPr>
            </w:pPr>
            <w:r w:rsidRPr="005966CA">
              <w:rPr>
                <w:b/>
                <w:bCs/>
                <w:sz w:val="18"/>
                <w:szCs w:val="18"/>
              </w:rPr>
              <w:t>Referencia</w:t>
            </w:r>
          </w:p>
        </w:tc>
        <w:tc>
          <w:tcPr>
            <w:tcW w:w="2430" w:type="dxa"/>
            <w:tcBorders>
              <w:top w:val="single" w:sz="4" w:space="0" w:color="auto"/>
              <w:left w:val="nil"/>
              <w:bottom w:val="single" w:sz="4" w:space="0" w:color="auto"/>
              <w:right w:val="single" w:sz="4" w:space="0" w:color="auto"/>
            </w:tcBorders>
            <w:shd w:val="clear" w:color="000000" w:fill="C5D9F1"/>
            <w:tcMar>
              <w:top w:w="85" w:type="dxa"/>
            </w:tcMar>
            <w:vAlign w:val="center"/>
            <w:hideMark/>
          </w:tcPr>
          <w:p w:rsidR="0062624E" w:rsidRPr="005966CA" w:rsidRDefault="0062624E" w:rsidP="0062624E">
            <w:pPr>
              <w:widowControl w:val="0"/>
              <w:jc w:val="center"/>
              <w:rPr>
                <w:b/>
                <w:bCs/>
                <w:sz w:val="18"/>
                <w:szCs w:val="18"/>
              </w:rPr>
            </w:pPr>
            <w:r w:rsidRPr="005966CA">
              <w:rPr>
                <w:b/>
                <w:bCs/>
                <w:sz w:val="18"/>
                <w:szCs w:val="18"/>
              </w:rPr>
              <w:t>Objetivos</w:t>
            </w:r>
          </w:p>
        </w:tc>
      </w:tr>
      <w:tr w:rsidR="0062624E" w:rsidRPr="005966CA" w:rsidTr="0062624E">
        <w:trPr>
          <w:trHeight w:val="1567"/>
        </w:trPr>
        <w:tc>
          <w:tcPr>
            <w:tcW w:w="2140" w:type="dxa"/>
            <w:tcBorders>
              <w:top w:val="nil"/>
              <w:left w:val="single" w:sz="4" w:space="0" w:color="auto"/>
              <w:right w:val="nil"/>
            </w:tcBorders>
            <w:shd w:val="clear" w:color="000000" w:fill="FFFFFF"/>
            <w:tcMar>
              <w:top w:w="85" w:type="dxa"/>
            </w:tcMar>
            <w:hideMark/>
          </w:tcPr>
          <w:p w:rsidR="0062624E" w:rsidRPr="005966CA" w:rsidRDefault="0062624E" w:rsidP="005B1060">
            <w:pPr>
              <w:widowControl w:val="0"/>
              <w:rPr>
                <w:sz w:val="16"/>
                <w:szCs w:val="16"/>
              </w:rPr>
            </w:pPr>
            <w:r w:rsidRPr="005966CA">
              <w:rPr>
                <w:sz w:val="16"/>
                <w:szCs w:val="16"/>
              </w:rPr>
              <w:t>VIII.1</w:t>
            </w:r>
            <w:r w:rsidR="005B1060">
              <w:rPr>
                <w:sz w:val="16"/>
                <w:szCs w:val="16"/>
              </w:rPr>
              <w:t xml:space="preserve">  </w:t>
            </w:r>
            <w:r w:rsidR="005B1060" w:rsidRPr="00F77CA1">
              <w:rPr>
                <w:sz w:val="16"/>
                <w:szCs w:val="16"/>
                <w:lang w:val="es-ES_tradnl"/>
              </w:rPr>
              <w:t>Comunicación más eficaz con el público en general acerca de la P.I. y la función de la OMPI</w:t>
            </w:r>
          </w:p>
        </w:tc>
        <w:tc>
          <w:tcPr>
            <w:tcW w:w="2140"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Sectores interesados con una percepción positiva de la reputación de la OMPI;  aumento de la valoración de la marca de la OMPI.</w:t>
            </w:r>
          </w:p>
        </w:tc>
        <w:tc>
          <w:tcPr>
            <w:tcW w:w="2485"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El 85,3% de los encuestados está de acuerdo/muy de acuerdo en que la OMPI tiene buena reputación en general.  El 70,2% de los encuestados considera que la OMPI es el foro mundial de la P.I. (encuesta sobre las impresiones acerca de la OMPI que tienen los sectores interesados, junio de 2014). </w:t>
            </w:r>
          </w:p>
        </w:tc>
        <w:tc>
          <w:tcPr>
            <w:tcW w:w="2430" w:type="dxa"/>
            <w:tcBorders>
              <w:top w:val="nil"/>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El 85% tiene una impresión positiva del prestigio de la OMPI.  El 75% reconoce que la OMPI es el foro mundial de la P.I.</w:t>
            </w:r>
          </w:p>
        </w:tc>
      </w:tr>
      <w:tr w:rsidR="0062624E" w:rsidRPr="005966CA" w:rsidTr="0062624E">
        <w:trPr>
          <w:trHeight w:val="754"/>
        </w:trPr>
        <w:tc>
          <w:tcPr>
            <w:tcW w:w="2140" w:type="dxa"/>
            <w:tcBorders>
              <w:top w:val="nil"/>
              <w:left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62624E" w:rsidRPr="005966CA" w:rsidRDefault="0062624E" w:rsidP="00F77CA1">
            <w:pPr>
              <w:widowControl w:val="0"/>
              <w:rPr>
                <w:sz w:val="16"/>
                <w:szCs w:val="16"/>
              </w:rPr>
            </w:pPr>
            <w:r w:rsidRPr="005966CA">
              <w:rPr>
                <w:sz w:val="16"/>
                <w:szCs w:val="16"/>
              </w:rPr>
              <w:t>N</w:t>
            </w:r>
            <w:r w:rsidR="00F77CA1">
              <w:rPr>
                <w:sz w:val="16"/>
                <w:szCs w:val="16"/>
              </w:rPr>
              <w:t>º</w:t>
            </w:r>
            <w:r w:rsidRPr="005966CA">
              <w:rPr>
                <w:sz w:val="16"/>
                <w:szCs w:val="16"/>
              </w:rPr>
              <w:t xml:space="preserve"> de personas que consultan los contenidos sobre los principales eventos, logros y actividades de la OMPI.</w:t>
            </w:r>
          </w:p>
        </w:tc>
        <w:tc>
          <w:tcPr>
            <w:tcW w:w="2485"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Por determinar.</w:t>
            </w:r>
          </w:p>
        </w:tc>
        <w:tc>
          <w:tcPr>
            <w:tcW w:w="2430" w:type="dxa"/>
            <w:tcBorders>
              <w:top w:val="nil"/>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El 23% de los destinatarios del boletín informativo WIPO </w:t>
            </w:r>
            <w:proofErr w:type="spellStart"/>
            <w:r w:rsidRPr="005966CA">
              <w:rPr>
                <w:sz w:val="16"/>
                <w:szCs w:val="16"/>
              </w:rPr>
              <w:t>Wire</w:t>
            </w:r>
            <w:proofErr w:type="spellEnd"/>
            <w:r w:rsidRPr="005966CA">
              <w:rPr>
                <w:sz w:val="16"/>
                <w:szCs w:val="16"/>
              </w:rPr>
              <w:t xml:space="preserve"> consulta su contenido.</w:t>
            </w:r>
          </w:p>
        </w:tc>
      </w:tr>
      <w:tr w:rsidR="0062624E" w:rsidRPr="005966CA" w:rsidTr="0062624E">
        <w:trPr>
          <w:trHeight w:val="766"/>
        </w:trPr>
        <w:tc>
          <w:tcPr>
            <w:tcW w:w="2140" w:type="dxa"/>
            <w:tcBorders>
              <w:top w:val="nil"/>
              <w:left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Participación mundial en la campaña del Día Mundial de la P.I.</w:t>
            </w:r>
          </w:p>
        </w:tc>
        <w:tc>
          <w:tcPr>
            <w:tcW w:w="2485"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En el mapa de eventos del Día Mundial de la P.I. de 2014 se publicaron los eventos celebrados en 110 países. </w:t>
            </w:r>
          </w:p>
        </w:tc>
        <w:tc>
          <w:tcPr>
            <w:tcW w:w="2430" w:type="dxa"/>
            <w:tcBorders>
              <w:top w:val="nil"/>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Eventos en ≥ 100 países publicados en el mapa de eventos del Día Mundial de la P.I. </w:t>
            </w:r>
          </w:p>
        </w:tc>
      </w:tr>
      <w:tr w:rsidR="0062624E" w:rsidRPr="005966CA" w:rsidTr="0062624E">
        <w:trPr>
          <w:trHeight w:val="974"/>
        </w:trPr>
        <w:tc>
          <w:tcPr>
            <w:tcW w:w="2140" w:type="dxa"/>
            <w:tcBorders>
              <w:left w:val="single" w:sz="4" w:space="0" w:color="auto"/>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left w:val="nil"/>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Tráfico de visitas en Internet al sitio de publicaciones y el sitio de la revista de la OMPI.</w:t>
            </w:r>
          </w:p>
        </w:tc>
        <w:tc>
          <w:tcPr>
            <w:tcW w:w="2485" w:type="dxa"/>
            <w:tcBorders>
              <w:left w:val="nil"/>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 97.804 visitas únicas por página del sitio de publicaciones;  ii) 432.342 visitas únicas del sitio de la revista de la OMPI en 2014.</w:t>
            </w:r>
          </w:p>
        </w:tc>
        <w:tc>
          <w:tcPr>
            <w:tcW w:w="2430" w:type="dxa"/>
            <w:tcBorders>
              <w:left w:val="nil"/>
              <w:bottom w:val="single" w:sz="4" w:space="0" w:color="auto"/>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 Incremento del 20% de visitas únicas por página del sitio de publicaciones;  ii) incremento del 10% de visitas únicas por página del sitio de la revista de la OMPI.</w:t>
            </w:r>
            <w:r w:rsidR="00F77CA1">
              <w:rPr>
                <w:sz w:val="16"/>
                <w:szCs w:val="16"/>
              </w:rPr>
              <w:br/>
            </w:r>
          </w:p>
        </w:tc>
      </w:tr>
      <w:tr w:rsidR="0062624E" w:rsidRPr="00660A1F" w:rsidTr="0062624E">
        <w:trPr>
          <w:trHeight w:val="1871"/>
        </w:trPr>
        <w:tc>
          <w:tcPr>
            <w:tcW w:w="2140" w:type="dxa"/>
            <w:tcBorders>
              <w:top w:val="single" w:sz="4" w:space="0" w:color="auto"/>
              <w:left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lastRenderedPageBreak/>
              <w:t> </w:t>
            </w:r>
          </w:p>
        </w:tc>
        <w:tc>
          <w:tcPr>
            <w:tcW w:w="2140" w:type="dxa"/>
            <w:tcBorders>
              <w:top w:val="single" w:sz="4" w:space="0" w:color="auto"/>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Visitas de los contenidos fotográficos, de video y de prensa de la OMPI.</w:t>
            </w:r>
          </w:p>
        </w:tc>
        <w:tc>
          <w:tcPr>
            <w:tcW w:w="2485" w:type="dxa"/>
            <w:tcBorders>
              <w:top w:val="single" w:sz="4" w:space="0" w:color="auto"/>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i). 250.000 visitas únicas por página del contenido </w:t>
            </w:r>
            <w:r w:rsidRPr="005966CA">
              <w:rPr>
                <w:i/>
                <w:sz w:val="16"/>
                <w:szCs w:val="16"/>
              </w:rPr>
              <w:t>web</w:t>
            </w:r>
            <w:r w:rsidRPr="005966CA">
              <w:rPr>
                <w:sz w:val="16"/>
                <w:szCs w:val="16"/>
              </w:rPr>
              <w:t xml:space="preserve"> del Centro de Medios de Comunicación (todos los idiomas) en 2014.</w:t>
            </w:r>
            <w:r w:rsidRPr="005966CA">
              <w:rPr>
                <w:sz w:val="16"/>
                <w:szCs w:val="16"/>
              </w:rPr>
              <w:br/>
              <w:t xml:space="preserve">ii).467.180 visualizaciones del canal de la OMPI en YouTube en 2013/14 (excl. preescolar).  </w:t>
            </w:r>
            <w:r w:rsidRPr="005966CA">
              <w:rPr>
                <w:sz w:val="16"/>
                <w:szCs w:val="16"/>
              </w:rPr>
              <w:br/>
              <w:t xml:space="preserve">iii). 1,44 millones de visualizaciones adicionales de fotografías en </w:t>
            </w:r>
            <w:proofErr w:type="spellStart"/>
            <w:r w:rsidRPr="005966CA">
              <w:rPr>
                <w:sz w:val="16"/>
                <w:szCs w:val="16"/>
              </w:rPr>
              <w:t>Flickr</w:t>
            </w:r>
            <w:proofErr w:type="spellEnd"/>
            <w:r w:rsidRPr="005966CA">
              <w:rPr>
                <w:sz w:val="16"/>
                <w:szCs w:val="16"/>
              </w:rPr>
              <w:t xml:space="preserve"> en 2014.  (</w:t>
            </w:r>
            <w:proofErr w:type="gramStart"/>
            <w:r w:rsidRPr="005966CA">
              <w:rPr>
                <w:sz w:val="16"/>
                <w:szCs w:val="16"/>
              </w:rPr>
              <w:t>total</w:t>
            </w:r>
            <w:proofErr w:type="gramEnd"/>
            <w:r w:rsidRPr="005966CA">
              <w:rPr>
                <w:sz w:val="16"/>
                <w:szCs w:val="16"/>
              </w:rPr>
              <w:t xml:space="preserve"> de visualizaciones al final de 2014:  2,41 millones).</w:t>
            </w:r>
          </w:p>
        </w:tc>
        <w:tc>
          <w:tcPr>
            <w:tcW w:w="2430" w:type="dxa"/>
            <w:tcBorders>
              <w:top w:val="single" w:sz="4" w:space="0" w:color="auto"/>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i) Incremento del 10% de visitas únicas por página del contenido </w:t>
            </w:r>
            <w:r w:rsidRPr="005966CA">
              <w:rPr>
                <w:i/>
                <w:sz w:val="16"/>
                <w:szCs w:val="16"/>
              </w:rPr>
              <w:t>web</w:t>
            </w:r>
            <w:r w:rsidRPr="005966CA">
              <w:rPr>
                <w:sz w:val="16"/>
                <w:szCs w:val="16"/>
              </w:rPr>
              <w:t xml:space="preserve"> del Centro de Medios de Comunicación. </w:t>
            </w:r>
            <w:r w:rsidRPr="005966CA">
              <w:rPr>
                <w:sz w:val="16"/>
                <w:szCs w:val="16"/>
              </w:rPr>
              <w:br/>
              <w:t xml:space="preserve">ii) Incremento del 10% del total de visitas de vídeos en el canal de la OMPI en YouTube (excl. preescolar). </w:t>
            </w:r>
            <w:r w:rsidRPr="005966CA">
              <w:rPr>
                <w:sz w:val="16"/>
                <w:szCs w:val="16"/>
              </w:rPr>
              <w:br/>
              <w:t>iii) Objetivo</w:t>
            </w:r>
            <w:proofErr w:type="gramStart"/>
            <w:r w:rsidRPr="005966CA">
              <w:rPr>
                <w:sz w:val="16"/>
                <w:szCs w:val="16"/>
              </w:rPr>
              <w:t>:  1</w:t>
            </w:r>
            <w:proofErr w:type="gramEnd"/>
            <w:r w:rsidRPr="005966CA">
              <w:rPr>
                <w:sz w:val="16"/>
                <w:szCs w:val="16"/>
              </w:rPr>
              <w:t xml:space="preserve"> millón de visualizaciones adicionales de fotografías en </w:t>
            </w:r>
            <w:proofErr w:type="spellStart"/>
            <w:r w:rsidRPr="005966CA">
              <w:rPr>
                <w:sz w:val="16"/>
                <w:szCs w:val="16"/>
              </w:rPr>
              <w:t>Flickr</w:t>
            </w:r>
            <w:proofErr w:type="spellEnd"/>
            <w:r w:rsidRPr="005966CA">
              <w:rPr>
                <w:sz w:val="16"/>
                <w:szCs w:val="16"/>
              </w:rPr>
              <w:t xml:space="preserve"> (a finales de 2017).</w:t>
            </w:r>
          </w:p>
        </w:tc>
      </w:tr>
      <w:tr w:rsidR="0062624E" w:rsidRPr="005966CA" w:rsidTr="0062624E">
        <w:trPr>
          <w:trHeight w:val="1345"/>
        </w:trPr>
        <w:tc>
          <w:tcPr>
            <w:tcW w:w="2140" w:type="dxa"/>
            <w:tcBorders>
              <w:top w:val="nil"/>
              <w:left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Menos usuarios que dejan el sitio web de la OMPI directamente desde el portal y las principales páginas de acceso.</w:t>
            </w:r>
          </w:p>
        </w:tc>
        <w:tc>
          <w:tcPr>
            <w:tcW w:w="2485" w:type="dxa"/>
            <w:tcBorders>
              <w:top w:val="nil"/>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 Tasa de rebotes del portal 25,1% ii) Tasa de salidas desde las páginas de acceso:  Servicios de P.I.:  13%;  Política:  16,9%;  Cooperación:  15,3%;  Referencias:  19,1%;  Sobre la P.I.:  55,1%;  La OMPI por dentro:  23,5%.</w:t>
            </w:r>
          </w:p>
        </w:tc>
        <w:tc>
          <w:tcPr>
            <w:tcW w:w="2430" w:type="dxa"/>
            <w:tcBorders>
              <w:top w:val="nil"/>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 Tasa estable de rebotes desde el portal;  (ii) tasa estable de salidas desde la página de acceso por cada uno de los 6 principales ámbitos del sitio web (Servicios de P.I., Política, Cooperación, Referencias, Sobre la P.I., La OMPI por dentro).</w:t>
            </w:r>
          </w:p>
        </w:tc>
      </w:tr>
      <w:tr w:rsidR="0062624E" w:rsidRPr="00660A1F" w:rsidTr="0062624E">
        <w:trPr>
          <w:trHeight w:val="1045"/>
        </w:trPr>
        <w:tc>
          <w:tcPr>
            <w:tcW w:w="2140" w:type="dxa"/>
            <w:tcBorders>
              <w:left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Influencia de la OMPI y participación de los sectores interesados en las redes sociales.</w:t>
            </w:r>
          </w:p>
        </w:tc>
        <w:tc>
          <w:tcPr>
            <w:tcW w:w="2485" w:type="dxa"/>
            <w:tcBorders>
              <w:left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i) Número de favoritos (2014 = 5.121)</w:t>
            </w:r>
            <w:r w:rsidRPr="005966CA">
              <w:rPr>
                <w:sz w:val="16"/>
                <w:szCs w:val="16"/>
              </w:rPr>
              <w:br/>
              <w:t xml:space="preserve">ii) Total de </w:t>
            </w:r>
            <w:proofErr w:type="spellStart"/>
            <w:r w:rsidRPr="005966CA">
              <w:rPr>
                <w:sz w:val="16"/>
                <w:szCs w:val="16"/>
              </w:rPr>
              <w:t>retuiteos</w:t>
            </w:r>
            <w:proofErr w:type="spellEnd"/>
            <w:r w:rsidRPr="005966CA">
              <w:rPr>
                <w:sz w:val="16"/>
                <w:szCs w:val="16"/>
              </w:rPr>
              <w:t xml:space="preserve"> (2014 = 11.920).</w:t>
            </w:r>
          </w:p>
        </w:tc>
        <w:tc>
          <w:tcPr>
            <w:tcW w:w="2430" w:type="dxa"/>
            <w:tcBorders>
              <w:left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i) Incremento </w:t>
            </w:r>
            <w:proofErr w:type="gramStart"/>
            <w:r w:rsidRPr="005966CA">
              <w:rPr>
                <w:sz w:val="16"/>
                <w:szCs w:val="16"/>
              </w:rPr>
              <w:t xml:space="preserve">del 25% en el número anual de </w:t>
            </w:r>
            <w:proofErr w:type="spellStart"/>
            <w:r w:rsidRPr="005966CA">
              <w:rPr>
                <w:sz w:val="16"/>
                <w:szCs w:val="16"/>
              </w:rPr>
              <w:t>tuiteos</w:t>
            </w:r>
            <w:proofErr w:type="spellEnd"/>
            <w:r w:rsidRPr="005966CA">
              <w:rPr>
                <w:sz w:val="16"/>
                <w:szCs w:val="16"/>
              </w:rPr>
              <w:t xml:space="preserve"> de la OMPI marcados</w:t>
            </w:r>
            <w:proofErr w:type="gramEnd"/>
            <w:r w:rsidRPr="005966CA">
              <w:rPr>
                <w:sz w:val="16"/>
                <w:szCs w:val="16"/>
              </w:rPr>
              <w:t xml:space="preserve"> como “favoritos”;</w:t>
            </w:r>
            <w:r w:rsidRPr="005966CA">
              <w:rPr>
                <w:sz w:val="16"/>
                <w:szCs w:val="16"/>
              </w:rPr>
              <w:br/>
              <w:t xml:space="preserve">ii) Incremento del 15% en el número total de </w:t>
            </w:r>
            <w:proofErr w:type="spellStart"/>
            <w:r w:rsidRPr="005966CA">
              <w:rPr>
                <w:sz w:val="16"/>
                <w:szCs w:val="16"/>
              </w:rPr>
              <w:t>retuiteos</w:t>
            </w:r>
            <w:proofErr w:type="spellEnd"/>
            <w:r w:rsidRPr="005966CA">
              <w:rPr>
                <w:sz w:val="16"/>
                <w:szCs w:val="16"/>
              </w:rPr>
              <w:t xml:space="preserve"> anuales.</w:t>
            </w:r>
          </w:p>
        </w:tc>
      </w:tr>
      <w:tr w:rsidR="0062624E" w:rsidRPr="005966CA" w:rsidTr="0062624E">
        <w:trPr>
          <w:trHeight w:val="1076"/>
        </w:trPr>
        <w:tc>
          <w:tcPr>
            <w:tcW w:w="2140" w:type="dxa"/>
            <w:tcBorders>
              <w:left w:val="single" w:sz="4" w:space="0" w:color="auto"/>
              <w:bottom w:val="nil"/>
              <w:right w:val="nil"/>
            </w:tcBorders>
            <w:shd w:val="clear" w:color="000000" w:fill="FFFFFF"/>
            <w:tcMar>
              <w:top w:w="85" w:type="dxa"/>
            </w:tcMar>
            <w:hideMark/>
          </w:tcPr>
          <w:p w:rsidR="0062624E" w:rsidRPr="005966CA" w:rsidRDefault="0062624E" w:rsidP="005B1060">
            <w:pPr>
              <w:widowControl w:val="0"/>
              <w:rPr>
                <w:sz w:val="16"/>
                <w:szCs w:val="16"/>
              </w:rPr>
            </w:pPr>
            <w:r w:rsidRPr="005966CA">
              <w:rPr>
                <w:sz w:val="16"/>
                <w:szCs w:val="16"/>
              </w:rPr>
              <w:t>VIII.2</w:t>
            </w:r>
            <w:r w:rsidR="005B1060">
              <w:rPr>
                <w:sz w:val="16"/>
                <w:szCs w:val="16"/>
              </w:rPr>
              <w:t xml:space="preserve">  </w:t>
            </w:r>
            <w:r w:rsidR="005B1060" w:rsidRPr="00F77CA1">
              <w:rPr>
                <w:sz w:val="16"/>
                <w:szCs w:val="16"/>
                <w:lang w:val="es-ES_tradnl"/>
              </w:rPr>
              <w:t>Mejora en la prestación de servicios y la atención de consultas</w:t>
            </w:r>
          </w:p>
        </w:tc>
        <w:tc>
          <w:tcPr>
            <w:tcW w:w="2140" w:type="dxa"/>
            <w:tcBorders>
              <w:left w:val="nil"/>
              <w:bottom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Satisfacción de los usuarios con los servicios de biblioteca.</w:t>
            </w:r>
          </w:p>
        </w:tc>
        <w:tc>
          <w:tcPr>
            <w:tcW w:w="2485" w:type="dxa"/>
            <w:tcBorders>
              <w:left w:val="nil"/>
              <w:bottom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El 72,2% de encuestados que respondieron al cuestionario dirigido a los usuarios de los servicios de biblioteca en 2014 estaban muy satisfechos.</w:t>
            </w:r>
          </w:p>
        </w:tc>
        <w:tc>
          <w:tcPr>
            <w:tcW w:w="2430" w:type="dxa"/>
            <w:tcBorders>
              <w:left w:val="nil"/>
              <w:bottom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70% visitantes y clientes de Internet muy satisfechos.</w:t>
            </w:r>
          </w:p>
        </w:tc>
      </w:tr>
      <w:tr w:rsidR="0062624E" w:rsidRPr="005966CA" w:rsidTr="0062624E">
        <w:trPr>
          <w:trHeight w:val="905"/>
        </w:trPr>
        <w:tc>
          <w:tcPr>
            <w:tcW w:w="2140" w:type="dxa"/>
            <w:tcBorders>
              <w:top w:val="nil"/>
              <w:left w:val="single" w:sz="4" w:space="0" w:color="auto"/>
              <w:bottom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top w:val="nil"/>
              <w:left w:val="nil"/>
              <w:bottom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Índice de satisfacción de los clientes/partes interesadas.</w:t>
            </w:r>
          </w:p>
        </w:tc>
        <w:tc>
          <w:tcPr>
            <w:tcW w:w="2485" w:type="dxa"/>
            <w:tcBorders>
              <w:top w:val="nil"/>
              <w:left w:val="nil"/>
              <w:bottom w:val="nil"/>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El 86% de los clientes de los Sistemas de Madrid y de </w:t>
            </w:r>
            <w:r w:rsidR="003B0DF0">
              <w:rPr>
                <w:sz w:val="16"/>
                <w:szCs w:val="16"/>
              </w:rPr>
              <w:t>La Haya</w:t>
            </w:r>
            <w:r w:rsidRPr="005966CA">
              <w:rPr>
                <w:sz w:val="16"/>
                <w:szCs w:val="16"/>
              </w:rPr>
              <w:t xml:space="preserve"> satisfechos o muy satisfechos (encuesta de 2013).</w:t>
            </w:r>
          </w:p>
        </w:tc>
        <w:tc>
          <w:tcPr>
            <w:tcW w:w="2430" w:type="dxa"/>
            <w:tcBorders>
              <w:top w:val="nil"/>
              <w:left w:val="nil"/>
              <w:bottom w:val="nil"/>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90% satisfechos o muy satisfechos.</w:t>
            </w:r>
          </w:p>
        </w:tc>
      </w:tr>
      <w:tr w:rsidR="0062624E" w:rsidRPr="00660A1F" w:rsidTr="0062624E">
        <w:trPr>
          <w:trHeight w:val="887"/>
        </w:trPr>
        <w:tc>
          <w:tcPr>
            <w:tcW w:w="2140" w:type="dxa"/>
            <w:tcBorders>
              <w:top w:val="nil"/>
              <w:left w:val="single" w:sz="4" w:space="0" w:color="auto"/>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w:t>
            </w:r>
          </w:p>
        </w:tc>
        <w:tc>
          <w:tcPr>
            <w:tcW w:w="2140" w:type="dxa"/>
            <w:tcBorders>
              <w:top w:val="nil"/>
              <w:left w:val="nil"/>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 xml:space="preserve">Normas de servicio del servicio de la OMPI de atención al cliente </w:t>
            </w:r>
          </w:p>
        </w:tc>
        <w:tc>
          <w:tcPr>
            <w:tcW w:w="2485" w:type="dxa"/>
            <w:tcBorders>
              <w:top w:val="nil"/>
              <w:left w:val="nil"/>
              <w:bottom w:val="single" w:sz="4" w:space="0" w:color="auto"/>
              <w:right w:val="nil"/>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92% de tickets tramitados en 1 día;  100% de quejas tramitadas en 8 horas laborables.</w:t>
            </w:r>
          </w:p>
        </w:tc>
        <w:tc>
          <w:tcPr>
            <w:tcW w:w="2430" w:type="dxa"/>
            <w:tcBorders>
              <w:top w:val="nil"/>
              <w:left w:val="nil"/>
              <w:bottom w:val="single" w:sz="4" w:space="0" w:color="auto"/>
              <w:right w:val="single" w:sz="4" w:space="0" w:color="auto"/>
            </w:tcBorders>
            <w:shd w:val="clear" w:color="000000" w:fill="FFFFFF"/>
            <w:tcMar>
              <w:top w:w="85" w:type="dxa"/>
            </w:tcMar>
            <w:hideMark/>
          </w:tcPr>
          <w:p w:rsidR="0062624E" w:rsidRPr="005966CA" w:rsidRDefault="0062624E" w:rsidP="0062624E">
            <w:pPr>
              <w:widowControl w:val="0"/>
              <w:rPr>
                <w:sz w:val="16"/>
                <w:szCs w:val="16"/>
              </w:rPr>
            </w:pPr>
            <w:r w:rsidRPr="005966CA">
              <w:rPr>
                <w:sz w:val="16"/>
                <w:szCs w:val="16"/>
              </w:rPr>
              <w:t>90% de tickets tramitados en 1 día</w:t>
            </w:r>
            <w:proofErr w:type="gramStart"/>
            <w:r w:rsidRPr="005966CA">
              <w:rPr>
                <w:sz w:val="16"/>
                <w:szCs w:val="16"/>
              </w:rPr>
              <w:t>:  ii</w:t>
            </w:r>
            <w:proofErr w:type="gramEnd"/>
            <w:r w:rsidRPr="005966CA">
              <w:rPr>
                <w:sz w:val="16"/>
                <w:szCs w:val="16"/>
              </w:rPr>
              <w:t>) 90% de quejas tramitadas en 8 horas laborables.</w:t>
            </w:r>
          </w:p>
        </w:tc>
      </w:tr>
    </w:tbl>
    <w:p w:rsidR="0062624E" w:rsidRPr="005966CA" w:rsidRDefault="0062624E" w:rsidP="0062624E">
      <w:pPr>
        <w:widowControl w:val="0"/>
        <w:autoSpaceDE w:val="0"/>
        <w:autoSpaceDN w:val="0"/>
        <w:adjustRightInd w:val="0"/>
        <w:rPr>
          <w:szCs w:val="22"/>
        </w:rPr>
      </w:pPr>
    </w:p>
    <w:p w:rsidR="0062624E" w:rsidRPr="005966CA" w:rsidRDefault="0062624E" w:rsidP="0062624E">
      <w:pPr>
        <w:widowControl w:val="0"/>
        <w:autoSpaceDE w:val="0"/>
        <w:autoSpaceDN w:val="0"/>
        <w:adjustRightInd w:val="0"/>
        <w:rPr>
          <w:szCs w:val="22"/>
        </w:rPr>
      </w:pPr>
    </w:p>
    <w:p w:rsidR="0062624E" w:rsidRPr="005966CA" w:rsidRDefault="0062624E" w:rsidP="0062624E">
      <w:pPr>
        <w:rPr>
          <w:szCs w:val="22"/>
        </w:rPr>
      </w:pPr>
      <w:r w:rsidRPr="005966CA">
        <w:rPr>
          <w:szCs w:val="22"/>
        </w:rPr>
        <w:br w:type="page"/>
      </w:r>
    </w:p>
    <w:p w:rsidR="0062624E" w:rsidRPr="005966CA" w:rsidRDefault="0062624E" w:rsidP="0062624E">
      <w:pPr>
        <w:widowControl w:val="0"/>
        <w:autoSpaceDE w:val="0"/>
        <w:autoSpaceDN w:val="0"/>
        <w:adjustRightInd w:val="0"/>
        <w:rPr>
          <w:szCs w:val="22"/>
        </w:rPr>
      </w:pPr>
      <w:r w:rsidRPr="005966CA">
        <w:rPr>
          <w:szCs w:val="22"/>
        </w:rPr>
        <w:lastRenderedPageBreak/>
        <w:t>RECURSOS PARA EL PROGRAMA 19</w:t>
      </w:r>
    </w:p>
    <w:p w:rsidR="0062624E" w:rsidRDefault="0062624E" w:rsidP="0062624E">
      <w:pPr>
        <w:widowControl w:val="0"/>
        <w:autoSpaceDE w:val="0"/>
        <w:autoSpaceDN w:val="0"/>
        <w:adjustRightInd w:val="0"/>
        <w:rPr>
          <w:szCs w:val="22"/>
        </w:rPr>
      </w:pPr>
    </w:p>
    <w:p w:rsidR="0062624E" w:rsidRPr="002742EB" w:rsidRDefault="002742EB" w:rsidP="002742EB">
      <w:pPr>
        <w:widowControl w:val="0"/>
        <w:numPr>
          <w:ilvl w:val="0"/>
          <w:numId w:val="39"/>
        </w:numPr>
        <w:jc w:val="both"/>
        <w:rPr>
          <w:sz w:val="20"/>
        </w:rPr>
      </w:pPr>
      <w:r w:rsidRPr="00892A2A">
        <w:rPr>
          <w:sz w:val="20"/>
        </w:rPr>
        <w:t>En el bienio 2016/17, la dotación global de recursos para el programa 19 se mantiene en el mismo nivel que el del presupuesto de 2014/</w:t>
      </w:r>
      <w:r w:rsidR="00ED0A05">
        <w:rPr>
          <w:sz w:val="20"/>
        </w:rPr>
        <w:t>15 tras las</w:t>
      </w:r>
      <w:r w:rsidRPr="00892A2A">
        <w:rPr>
          <w:sz w:val="20"/>
        </w:rPr>
        <w:t xml:space="preserve"> transferencias.  El trasvase de recursos en los dos resultados previstos refleja el nuevo impulso del apoyo a los servicios de atención al cliente en toda la Organización.</w:t>
      </w:r>
    </w:p>
    <w:p w:rsidR="0062624E" w:rsidRPr="002742EB" w:rsidRDefault="0062624E" w:rsidP="0062624E">
      <w:pPr>
        <w:widowControl w:val="0"/>
        <w:autoSpaceDE w:val="0"/>
        <w:autoSpaceDN w:val="0"/>
        <w:adjustRightInd w:val="0"/>
        <w:rPr>
          <w:sz w:val="20"/>
        </w:rPr>
      </w:pPr>
    </w:p>
    <w:p w:rsidR="0062624E" w:rsidRPr="002742EB" w:rsidRDefault="0062624E" w:rsidP="0062624E">
      <w:pPr>
        <w:widowControl w:val="0"/>
        <w:autoSpaceDE w:val="0"/>
        <w:autoSpaceDN w:val="0"/>
        <w:adjustRightInd w:val="0"/>
        <w:rPr>
          <w:sz w:val="20"/>
        </w:rPr>
      </w:pPr>
    </w:p>
    <w:p w:rsidR="0062624E" w:rsidRPr="005966CA" w:rsidRDefault="00810833" w:rsidP="0062624E">
      <w:pPr>
        <w:widowControl w:val="0"/>
        <w:spacing w:after="240"/>
        <w:contextualSpacing/>
        <w:jc w:val="center"/>
        <w:rPr>
          <w:b/>
          <w:sz w:val="20"/>
        </w:rPr>
      </w:pPr>
      <w:r>
        <w:rPr>
          <w:b/>
          <w:sz w:val="20"/>
        </w:rPr>
        <w:t xml:space="preserve">Programa </w:t>
      </w:r>
      <w:r w:rsidR="0062624E" w:rsidRPr="005966CA">
        <w:rPr>
          <w:b/>
          <w:sz w:val="20"/>
        </w:rPr>
        <w:t>19</w:t>
      </w:r>
      <w:proofErr w:type="gramStart"/>
      <w:r w:rsidR="0062624E" w:rsidRPr="005966CA">
        <w:rPr>
          <w:b/>
          <w:sz w:val="20"/>
        </w:rPr>
        <w:t>:  Recursos</w:t>
      </w:r>
      <w:proofErr w:type="gramEnd"/>
      <w:r w:rsidR="0062624E" w:rsidRPr="005966CA">
        <w:rPr>
          <w:b/>
          <w:sz w:val="20"/>
        </w:rPr>
        <w:t xml:space="preserve"> por resultado</w:t>
      </w:r>
    </w:p>
    <w:p w:rsidR="0062624E" w:rsidRPr="005966CA" w:rsidRDefault="0062624E" w:rsidP="0062624E">
      <w:pPr>
        <w:widowControl w:val="0"/>
        <w:spacing w:after="240"/>
        <w:contextualSpacing/>
        <w:jc w:val="center"/>
        <w:rPr>
          <w:i/>
          <w:sz w:val="20"/>
        </w:rPr>
      </w:pPr>
      <w:r w:rsidRPr="005966CA">
        <w:rPr>
          <w:i/>
          <w:sz w:val="20"/>
        </w:rPr>
        <w:t>(</w:t>
      </w:r>
      <w:proofErr w:type="gramStart"/>
      <w:r w:rsidRPr="005966CA">
        <w:rPr>
          <w:i/>
          <w:sz w:val="20"/>
        </w:rPr>
        <w:t>en</w:t>
      </w:r>
      <w:proofErr w:type="gramEnd"/>
      <w:r w:rsidRPr="005966CA">
        <w:rPr>
          <w:i/>
          <w:sz w:val="20"/>
        </w:rPr>
        <w:t xml:space="preserve"> miles de francos suizos)</w:t>
      </w:r>
    </w:p>
    <w:p w:rsidR="0062624E" w:rsidRPr="005966CA" w:rsidRDefault="0062624E" w:rsidP="0062624E">
      <w:pPr>
        <w:widowControl w:val="0"/>
        <w:spacing w:after="240"/>
        <w:contextualSpacing/>
        <w:jc w:val="center"/>
        <w:rPr>
          <w:i/>
          <w:sz w:val="20"/>
        </w:rPr>
      </w:pPr>
    </w:p>
    <w:p w:rsidR="0062624E" w:rsidRPr="005966CA" w:rsidRDefault="00F77CA1" w:rsidP="0062624E">
      <w:pPr>
        <w:widowControl w:val="0"/>
        <w:spacing w:after="240"/>
        <w:contextualSpacing/>
        <w:jc w:val="center"/>
        <w:rPr>
          <w:i/>
          <w:sz w:val="20"/>
        </w:rPr>
      </w:pPr>
      <w:r w:rsidRPr="00F77CA1">
        <w:rPr>
          <w:noProof/>
          <w:lang w:val="en-US" w:eastAsia="en-US"/>
        </w:rPr>
        <w:drawing>
          <wp:inline distT="0" distB="0" distL="0" distR="0">
            <wp:extent cx="5676900" cy="1550670"/>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676900" cy="1550670"/>
                    </a:xfrm>
                    <a:prstGeom prst="rect">
                      <a:avLst/>
                    </a:prstGeom>
                    <a:noFill/>
                    <a:ln>
                      <a:noFill/>
                    </a:ln>
                  </pic:spPr>
                </pic:pic>
              </a:graphicData>
            </a:graphic>
          </wp:inline>
        </w:drawing>
      </w:r>
    </w:p>
    <w:p w:rsidR="0062624E" w:rsidRPr="005966CA" w:rsidRDefault="0062624E" w:rsidP="0062624E">
      <w:pPr>
        <w:widowControl w:val="0"/>
        <w:spacing w:after="240"/>
        <w:contextualSpacing/>
        <w:jc w:val="center"/>
        <w:rPr>
          <w:i/>
          <w:sz w:val="20"/>
        </w:rPr>
      </w:pPr>
    </w:p>
    <w:p w:rsidR="0062624E" w:rsidRPr="005966CA" w:rsidRDefault="0062624E" w:rsidP="0062624E">
      <w:pPr>
        <w:widowControl w:val="0"/>
        <w:spacing w:after="240"/>
        <w:contextualSpacing/>
        <w:jc w:val="center"/>
        <w:rPr>
          <w:i/>
          <w:sz w:val="20"/>
        </w:rPr>
      </w:pPr>
    </w:p>
    <w:p w:rsidR="0062624E" w:rsidRPr="005966CA" w:rsidRDefault="0062624E" w:rsidP="0062624E">
      <w:pPr>
        <w:rPr>
          <w:b/>
          <w:sz w:val="20"/>
        </w:rPr>
      </w:pPr>
      <w:r w:rsidRPr="005966CA">
        <w:rPr>
          <w:b/>
          <w:sz w:val="20"/>
        </w:rPr>
        <w:br w:type="page"/>
      </w:r>
    </w:p>
    <w:p w:rsidR="0062624E" w:rsidRPr="005012AC" w:rsidRDefault="0062624E" w:rsidP="0062624E">
      <w:pPr>
        <w:widowControl w:val="0"/>
        <w:contextualSpacing/>
        <w:jc w:val="center"/>
        <w:rPr>
          <w:b/>
          <w:sz w:val="20"/>
        </w:rPr>
      </w:pPr>
      <w:r w:rsidRPr="005012AC">
        <w:rPr>
          <w:b/>
          <w:sz w:val="20"/>
        </w:rPr>
        <w:lastRenderedPageBreak/>
        <w:t>Programa 19</w:t>
      </w:r>
      <w:proofErr w:type="gramStart"/>
      <w:r w:rsidRPr="005012AC">
        <w:rPr>
          <w:b/>
          <w:sz w:val="20"/>
        </w:rPr>
        <w:t>:  Recursos</w:t>
      </w:r>
      <w:proofErr w:type="gramEnd"/>
      <w:r w:rsidR="005012AC">
        <w:rPr>
          <w:b/>
          <w:sz w:val="20"/>
        </w:rPr>
        <w:t xml:space="preserve"> por objeto de gasto</w:t>
      </w:r>
    </w:p>
    <w:p w:rsidR="0062624E" w:rsidRPr="005012AC" w:rsidRDefault="0062624E" w:rsidP="0062624E">
      <w:pPr>
        <w:widowControl w:val="0"/>
        <w:contextualSpacing/>
        <w:jc w:val="center"/>
        <w:rPr>
          <w:i/>
          <w:sz w:val="20"/>
        </w:rPr>
      </w:pPr>
      <w:r w:rsidRPr="005012AC">
        <w:rPr>
          <w:i/>
          <w:sz w:val="20"/>
        </w:rPr>
        <w:t>(</w:t>
      </w:r>
      <w:proofErr w:type="gramStart"/>
      <w:r w:rsidRPr="005012AC">
        <w:rPr>
          <w:i/>
          <w:sz w:val="20"/>
        </w:rPr>
        <w:t>en</w:t>
      </w:r>
      <w:proofErr w:type="gramEnd"/>
      <w:r w:rsidRPr="005012AC">
        <w:rPr>
          <w:i/>
          <w:sz w:val="20"/>
        </w:rPr>
        <w:t xml:space="preserve"> miles de francos suizos)</w:t>
      </w:r>
    </w:p>
    <w:p w:rsidR="0062624E" w:rsidRPr="005012AC" w:rsidRDefault="0062624E" w:rsidP="0062624E">
      <w:pPr>
        <w:widowControl w:val="0"/>
        <w:contextualSpacing/>
        <w:jc w:val="center"/>
        <w:rPr>
          <w:i/>
          <w:sz w:val="20"/>
        </w:rPr>
      </w:pPr>
    </w:p>
    <w:p w:rsidR="0062624E" w:rsidRPr="005966CA" w:rsidRDefault="00835617" w:rsidP="0062624E">
      <w:pPr>
        <w:widowControl w:val="0"/>
        <w:autoSpaceDE w:val="0"/>
        <w:autoSpaceDN w:val="0"/>
        <w:adjustRightInd w:val="0"/>
        <w:jc w:val="center"/>
        <w:rPr>
          <w:sz w:val="20"/>
          <w:szCs w:val="22"/>
        </w:rPr>
      </w:pPr>
      <w:r>
        <w:rPr>
          <w:noProof/>
          <w:lang w:val="en-US" w:eastAsia="en-US"/>
        </w:rPr>
        <w:drawing>
          <wp:inline distT="0" distB="0" distL="0" distR="0" wp14:anchorId="605DE42B" wp14:editId="0D0738DD">
            <wp:extent cx="5940425" cy="6166999"/>
            <wp:effectExtent l="0" t="0" r="3175" b="5715"/>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940425" cy="6166999"/>
                    </a:xfrm>
                    <a:prstGeom prst="rect">
                      <a:avLst/>
                    </a:prstGeom>
                    <a:noFill/>
                    <a:ln>
                      <a:noFill/>
                    </a:ln>
                  </pic:spPr>
                </pic:pic>
              </a:graphicData>
            </a:graphic>
          </wp:inline>
        </w:drawing>
      </w:r>
    </w:p>
    <w:p w:rsidR="0062624E" w:rsidRPr="005966CA" w:rsidRDefault="0062624E" w:rsidP="0062624E">
      <w:pPr>
        <w:widowControl w:val="0"/>
        <w:autoSpaceDE w:val="0"/>
        <w:autoSpaceDN w:val="0"/>
        <w:adjustRightInd w:val="0"/>
        <w:rPr>
          <w:sz w:val="20"/>
          <w:szCs w:val="22"/>
        </w:rPr>
      </w:pPr>
    </w:p>
    <w:p w:rsidR="0062624E" w:rsidRPr="005966CA" w:rsidRDefault="0062624E" w:rsidP="0062624E">
      <w:pPr>
        <w:widowControl w:val="0"/>
        <w:autoSpaceDE w:val="0"/>
        <w:autoSpaceDN w:val="0"/>
        <w:adjustRightInd w:val="0"/>
        <w:rPr>
          <w:sz w:val="20"/>
          <w:szCs w:val="22"/>
        </w:rPr>
      </w:pPr>
    </w:p>
    <w:p w:rsidR="0062624E" w:rsidRPr="005966CA" w:rsidRDefault="0062624E" w:rsidP="0062624E">
      <w:pPr>
        <w:widowControl w:val="0"/>
        <w:autoSpaceDE w:val="0"/>
        <w:autoSpaceDN w:val="0"/>
        <w:adjustRightInd w:val="0"/>
        <w:rPr>
          <w:sz w:val="20"/>
          <w:szCs w:val="22"/>
        </w:rPr>
      </w:pPr>
    </w:p>
    <w:p w:rsidR="0062624E" w:rsidRDefault="0062624E">
      <w:pPr>
        <w:rPr>
          <w:sz w:val="20"/>
          <w:szCs w:val="21"/>
          <w:lang w:val="en-US"/>
        </w:rPr>
      </w:pPr>
      <w:r>
        <w:rPr>
          <w:sz w:val="20"/>
          <w:szCs w:val="21"/>
          <w:lang w:val="en-US"/>
        </w:rPr>
        <w:br w:type="page"/>
      </w:r>
    </w:p>
    <w:p w:rsidR="0062624E" w:rsidRPr="00F4741E" w:rsidRDefault="0062624E" w:rsidP="0079687E">
      <w:pPr>
        <w:pStyle w:val="StyleStyleHeading3ComplexItalicLatin12pt"/>
        <w:ind w:left="1985" w:hanging="1985"/>
        <w:rPr>
          <w:lang w:val="es-ES"/>
        </w:rPr>
      </w:pPr>
      <w:bookmarkStart w:id="69" w:name="_Toc420681159"/>
      <w:r w:rsidRPr="00F4741E">
        <w:rPr>
          <w:lang w:val="es-ES"/>
        </w:rPr>
        <w:lastRenderedPageBreak/>
        <w:t>PROGRAMA 20</w:t>
      </w:r>
      <w:r w:rsidRPr="00F4741E">
        <w:rPr>
          <w:lang w:val="es-ES"/>
        </w:rPr>
        <w:tab/>
        <w:t>RELACIONES EXTERIORES, ALIANZAS Y OFICINAS EN EL EXTERIOR</w:t>
      </w:r>
      <w:bookmarkEnd w:id="69"/>
    </w:p>
    <w:p w:rsidR="0062624E" w:rsidRPr="0062624E" w:rsidRDefault="0062624E" w:rsidP="0062624E">
      <w:pPr>
        <w:widowControl w:val="0"/>
        <w:jc w:val="both"/>
        <w:rPr>
          <w:bCs/>
          <w:sz w:val="20"/>
          <w:lang w:val="es-ES_tradnl"/>
        </w:rPr>
      </w:pPr>
    </w:p>
    <w:p w:rsidR="0062624E" w:rsidRPr="0062624E" w:rsidRDefault="0062624E" w:rsidP="0062624E">
      <w:pPr>
        <w:widowControl w:val="0"/>
        <w:jc w:val="both"/>
        <w:rPr>
          <w:bCs/>
          <w:sz w:val="20"/>
          <w:lang w:val="es-ES_tradnl"/>
        </w:rPr>
      </w:pPr>
    </w:p>
    <w:p w:rsidR="0062624E" w:rsidRPr="00164290" w:rsidRDefault="0062624E" w:rsidP="0062624E">
      <w:pPr>
        <w:widowControl w:val="0"/>
        <w:jc w:val="both"/>
        <w:rPr>
          <w:szCs w:val="22"/>
          <w:lang w:val="es-ES_tradnl"/>
        </w:rPr>
      </w:pPr>
      <w:r w:rsidRPr="00164290">
        <w:rPr>
          <w:szCs w:val="22"/>
          <w:lang w:val="es-ES_tradnl"/>
        </w:rPr>
        <w:t>CONTEXTO DE PLANIFICACIÓN</w:t>
      </w:r>
    </w:p>
    <w:p w:rsidR="0062624E" w:rsidRPr="00164290" w:rsidRDefault="0062624E" w:rsidP="0062624E">
      <w:pPr>
        <w:widowControl w:val="0"/>
        <w:tabs>
          <w:tab w:val="num" w:pos="709"/>
        </w:tabs>
        <w:jc w:val="both"/>
        <w:rPr>
          <w:bCs/>
          <w:szCs w:val="22"/>
          <w:lang w:val="es-ES_tradnl"/>
        </w:rPr>
      </w:pPr>
    </w:p>
    <w:p w:rsidR="0062624E" w:rsidRPr="00164290" w:rsidRDefault="0062624E" w:rsidP="0062624E">
      <w:pPr>
        <w:pStyle w:val="ListParagraph"/>
        <w:widowControl w:val="0"/>
        <w:numPr>
          <w:ilvl w:val="0"/>
          <w:numId w:val="40"/>
        </w:numPr>
        <w:jc w:val="both"/>
        <w:rPr>
          <w:rFonts w:ascii="Arial" w:hAnsi="Arial" w:cs="Arial"/>
          <w:sz w:val="20"/>
          <w:lang w:val="es-ES_tradnl"/>
        </w:rPr>
      </w:pPr>
      <w:r w:rsidRPr="00164290">
        <w:rPr>
          <w:rFonts w:ascii="Arial" w:hAnsi="Arial" w:cs="Arial"/>
          <w:bCs/>
          <w:sz w:val="20"/>
          <w:lang w:val="es-ES_tradnl"/>
        </w:rPr>
        <w:t>En el bienio 2016/17 las actividades de las NN.UU. pasarán de la fase de negociación a la fase de aplicación puesto que un número de procesos importantes de negociación convergen y concluyen hacia finales de 2015.  Se espera que los Estados miembros finalicen las negociaciones de la agenda para el desarrollo después de</w:t>
      </w:r>
      <w:r w:rsidR="004252B2">
        <w:rPr>
          <w:rFonts w:ascii="Arial" w:hAnsi="Arial" w:cs="Arial"/>
          <w:bCs/>
          <w:sz w:val="20"/>
          <w:lang w:val="es-ES_tradnl"/>
        </w:rPr>
        <w:t xml:space="preserve">l </w:t>
      </w:r>
      <w:r w:rsidRPr="00164290">
        <w:rPr>
          <w:rFonts w:ascii="Arial" w:hAnsi="Arial" w:cs="Arial"/>
          <w:bCs/>
          <w:sz w:val="20"/>
          <w:lang w:val="es-ES_tradnl"/>
        </w:rPr>
        <w:t>2015 en la Cumbre de las Naciones Unidas que tendrá lugar en Nueva York en septiembre de 2015: "Cumplimiento y aplicación de una agenda transformadora para el desarrollo después de</w:t>
      </w:r>
      <w:r w:rsidR="004252B2">
        <w:rPr>
          <w:rFonts w:ascii="Arial" w:hAnsi="Arial" w:cs="Arial"/>
          <w:bCs/>
          <w:sz w:val="20"/>
          <w:lang w:val="es-ES_tradnl"/>
        </w:rPr>
        <w:t xml:space="preserve">l </w:t>
      </w:r>
      <w:r w:rsidRPr="00164290">
        <w:rPr>
          <w:rFonts w:ascii="Arial" w:hAnsi="Arial" w:cs="Arial"/>
          <w:bCs/>
          <w:sz w:val="20"/>
          <w:lang w:val="es-ES_tradnl"/>
        </w:rPr>
        <w:t xml:space="preserve">2015".  Antes de eso, en julio de 2015, se prevé que los Estados miembros logren un acuerdo acerca del documento final de la tercera Conferencia Internacional sobre la Financiación para el Desarrollo.  Todo eso está relacionado con los debates sobre los "medios de aplicación" para los Objetivos de Desarrollo Sostenible (ODS) que abarcan tanto la financiación como el incremento del apoyo al fortalecimiento de la capacidad en materia de innovación, y el desarrollo y la transferencia de tecnologías para el desarrollo sostenible.  También guarda estrecha relación con todo lo anterior la labor sobre el mecanismo de facilitación de las transferencias de tecnología que tiene origen en el documento final de Río+20.  Al mismo tiempo, también continúan las negociaciones para conseguir un nuevo acuerdo internacional sobre cambio climático al amparo de la Convención Marco de la Naciones Unidas sobre el Cambio Climático (CMNUCC), cuya adopción se prevé en la vigesimoprimera Conferencia de las Partes en la CMNUCC que tendrá lugar en París en diciembre de 2015.  </w:t>
      </w:r>
      <w:r w:rsidRPr="00164290">
        <w:rPr>
          <w:rFonts w:ascii="Arial" w:hAnsi="Arial" w:cs="Arial"/>
          <w:sz w:val="20"/>
          <w:lang w:val="es-ES_tradnl"/>
        </w:rPr>
        <w:t>Además, se sigue trabajando en otros procesos de OIG importantes para la OMPI relacionados con la brecha digital, la salud pública y las enfermedades no transmisibles.</w:t>
      </w:r>
    </w:p>
    <w:p w:rsidR="0062624E" w:rsidRPr="00164290" w:rsidRDefault="0062624E" w:rsidP="0062624E">
      <w:pPr>
        <w:widowControl w:val="0"/>
        <w:jc w:val="both"/>
        <w:rPr>
          <w:sz w:val="20"/>
          <w:lang w:val="es-ES_tradnl"/>
        </w:rPr>
      </w:pPr>
    </w:p>
    <w:p w:rsidR="0062624E" w:rsidRPr="00164290" w:rsidRDefault="0062624E" w:rsidP="0062624E">
      <w:pPr>
        <w:pStyle w:val="ListParagraph"/>
        <w:widowControl w:val="0"/>
        <w:numPr>
          <w:ilvl w:val="0"/>
          <w:numId w:val="40"/>
        </w:numPr>
        <w:jc w:val="both"/>
        <w:rPr>
          <w:rFonts w:ascii="Arial" w:hAnsi="Arial" w:cs="Arial"/>
          <w:bCs/>
          <w:sz w:val="20"/>
          <w:lang w:val="es-ES_tradnl"/>
        </w:rPr>
      </w:pPr>
      <w:r w:rsidRPr="00164290">
        <w:rPr>
          <w:rFonts w:ascii="Arial" w:hAnsi="Arial" w:cs="Arial"/>
          <w:bCs/>
          <w:sz w:val="20"/>
          <w:lang w:val="es-ES_tradnl"/>
        </w:rPr>
        <w:t>La tecnología, la innovación, la creatividad y el desarrollo cultural siguen siendo elementos esenciales de todos estos procesos.  La alianza mundial para la agenda para el desarrollo después de</w:t>
      </w:r>
      <w:r w:rsidR="004252B2">
        <w:rPr>
          <w:rFonts w:ascii="Arial" w:hAnsi="Arial" w:cs="Arial"/>
          <w:bCs/>
          <w:sz w:val="20"/>
          <w:lang w:val="es-ES_tradnl"/>
        </w:rPr>
        <w:t>l</w:t>
      </w:r>
      <w:r w:rsidRPr="00164290">
        <w:rPr>
          <w:rFonts w:ascii="Arial" w:hAnsi="Arial" w:cs="Arial"/>
          <w:bCs/>
          <w:sz w:val="20"/>
          <w:lang w:val="es-ES_tradnl"/>
        </w:rPr>
        <w:t> 2015 prevé la creación de alianzas en que intervenga una multiplicidad de interesados en torno a cuestiones básicas.  La OMPI desempeñará plenamente su papel en la facilitación de dichas alianzas y trabajará para fortalecer sus relaciones con socios tradicionales como la Organización Mundial del Comercio (OMC), la Organización Mundial de la Salud (OMS), la Conferencia de las Naciones Unidas sobre Comercio y Desarrollo (UNCTAD), el Programa de las Naciones Unidas para el Medio Ambiente (PNUMA), la Organización de las Naciones Unidas para el Desarrollo Industrial (ONUDI), la Organización de las Naciones Unidas para la Educación, la Ciencia y la Cultura (UNESCO), la Unión Internacional de Telecomunicaciones (UIT), la CMNUCC, el Departamento de Asuntos Económicos y Sociales de las Naciones Unidas (DAES), y las comisiones económicas de las Naciones Unidas.  El programa 20 volverá a estudiar la manera en que la OMPI puede colaborar con todas las partes interesadas (OIG, ONG y el sector privado) a nivel mundial, regional y nacional para velar por una mayor coordinación y coherencia en la prestación de asistencia específica y especializada de la OMPI.  El procedimiento debe ser estratégico y centrado, y cumplir con el mandato de la OMPI y las recomendaciones pertinentes de la Agenda para el Desarrollo (A.D.) de la Organización (recomendaciones 2, 9, 22, 30, 40 y 42 de la A.D.).</w:t>
      </w:r>
    </w:p>
    <w:p w:rsidR="0062624E" w:rsidRPr="00164290" w:rsidRDefault="0062624E" w:rsidP="0062624E">
      <w:pPr>
        <w:pStyle w:val="ListParagraph"/>
        <w:widowControl w:val="0"/>
        <w:ind w:left="0"/>
        <w:jc w:val="both"/>
        <w:rPr>
          <w:rFonts w:ascii="Arial" w:hAnsi="Arial" w:cs="Arial"/>
          <w:bCs/>
          <w:sz w:val="20"/>
          <w:lang w:val="es-ES_tradnl"/>
        </w:rPr>
      </w:pPr>
    </w:p>
    <w:p w:rsidR="0062624E" w:rsidRPr="00164290" w:rsidRDefault="0062624E" w:rsidP="0062624E">
      <w:pPr>
        <w:pStyle w:val="ListParagraph"/>
        <w:widowControl w:val="0"/>
        <w:numPr>
          <w:ilvl w:val="0"/>
          <w:numId w:val="40"/>
        </w:numPr>
        <w:jc w:val="both"/>
        <w:rPr>
          <w:rFonts w:ascii="Arial" w:hAnsi="Arial" w:cs="Arial"/>
          <w:bCs/>
          <w:sz w:val="20"/>
          <w:lang w:val="es-ES_tradnl"/>
        </w:rPr>
      </w:pPr>
      <w:r w:rsidRPr="00164290">
        <w:rPr>
          <w:rFonts w:ascii="Arial" w:hAnsi="Arial" w:cs="Arial"/>
          <w:bCs/>
          <w:sz w:val="20"/>
          <w:lang w:val="es-ES_tradnl"/>
        </w:rPr>
        <w:t>La OMPI también busca establecer una alianza estratégica y eficaz con una amplia gama de partes interesadas no gubernamentales, por ejemplo ONG, empresas privadas y la sociedad civil en general, cuyos diferentes conocimientos técnicos y opiniones pueden ayudar a alcanzar este objetivo.  La OMPI tiene la ventaja de contar con la fuerte participación de un amplio abanico de organizaciones no gubernamentales acreditadas como observadoras en sus reuniones oficiales, y con su contribución, y la de sus representados, en sus eventos y programas.  Los representantes del sector privado que intervienen directamente en la creación y uso de obras innovadoras y creativas pueden aportar también una contribución insustituible al quehacer de la OMPI gracias a su experiencia de primera mano en el uso de la P.I. como herramienta de desarrollo económico, social y cultural.  El establecimiento de alianzas estratégicas y eficaces con dichas instancias no gubernamentales será un componente esencial de un diálogo sobre políticas que pueda contribuir auténticamente al uso de la P.I. como instrumento de desarrollo a través de la cooperación internacional con un gran número de partes interesadas.</w:t>
      </w:r>
    </w:p>
    <w:p w:rsidR="0062624E" w:rsidRPr="00164290" w:rsidRDefault="0062624E" w:rsidP="0062624E">
      <w:pPr>
        <w:pStyle w:val="ListParagraph"/>
        <w:widowControl w:val="0"/>
        <w:ind w:left="0"/>
        <w:jc w:val="both"/>
        <w:rPr>
          <w:rFonts w:ascii="Arial" w:hAnsi="Arial" w:cs="Arial"/>
          <w:bCs/>
          <w:sz w:val="20"/>
          <w:lang w:val="es-ES_tradnl"/>
        </w:rPr>
      </w:pPr>
    </w:p>
    <w:p w:rsidR="0062624E" w:rsidRPr="00164290" w:rsidRDefault="0062624E" w:rsidP="0062624E">
      <w:pPr>
        <w:pStyle w:val="ListParagraph"/>
        <w:widowControl w:val="0"/>
        <w:ind w:left="0"/>
        <w:jc w:val="both"/>
        <w:rPr>
          <w:rFonts w:ascii="Arial" w:hAnsi="Arial" w:cs="Arial"/>
          <w:bCs/>
          <w:lang w:val="es-ES_tradnl"/>
        </w:rPr>
      </w:pPr>
    </w:p>
    <w:p w:rsidR="0062624E" w:rsidRPr="00164290" w:rsidRDefault="0062624E" w:rsidP="0062624E">
      <w:pPr>
        <w:pStyle w:val="ListParagraph"/>
        <w:keepNext/>
        <w:widowControl w:val="0"/>
        <w:ind w:left="0"/>
        <w:jc w:val="both"/>
        <w:rPr>
          <w:rFonts w:ascii="Arial" w:hAnsi="Arial" w:cs="Arial"/>
          <w:bCs/>
          <w:lang w:val="es-ES_tradnl"/>
        </w:rPr>
      </w:pPr>
      <w:r w:rsidRPr="00164290">
        <w:rPr>
          <w:rFonts w:ascii="Arial" w:hAnsi="Arial" w:cs="Arial"/>
          <w:bCs/>
          <w:lang w:val="es-ES_tradnl"/>
        </w:rPr>
        <w:t>ESTRATEGIAS DE EJECUCIÓN</w:t>
      </w:r>
    </w:p>
    <w:p w:rsidR="0062624E" w:rsidRPr="00164290" w:rsidRDefault="0062624E" w:rsidP="0062624E">
      <w:pPr>
        <w:pStyle w:val="ListParagraph"/>
        <w:keepNext/>
        <w:widowControl w:val="0"/>
        <w:ind w:left="0"/>
        <w:jc w:val="both"/>
        <w:rPr>
          <w:rFonts w:ascii="Arial" w:hAnsi="Arial" w:cs="Arial"/>
          <w:bCs/>
          <w:sz w:val="20"/>
          <w:lang w:val="es-ES_tradnl"/>
        </w:rPr>
      </w:pPr>
    </w:p>
    <w:p w:rsidR="0062624E" w:rsidRPr="00164290" w:rsidRDefault="0062624E" w:rsidP="0062624E">
      <w:pPr>
        <w:widowControl w:val="0"/>
        <w:numPr>
          <w:ilvl w:val="0"/>
          <w:numId w:val="40"/>
        </w:numPr>
        <w:jc w:val="both"/>
        <w:rPr>
          <w:bCs/>
          <w:sz w:val="20"/>
          <w:lang w:val="es-ES_tradnl"/>
        </w:rPr>
      </w:pPr>
      <w:r w:rsidRPr="00164290">
        <w:rPr>
          <w:bCs/>
          <w:sz w:val="20"/>
          <w:lang w:val="es-ES_tradnl"/>
        </w:rPr>
        <w:t xml:space="preserve">La función principal del programa 20 consiste en coordinar, participar, supervisar y presentar informes con el objetivo de que las contribuciones de la OMPI a estos procesos sean pertinentes para su mandato, y se centren en buscar dónde pueden aportar un mayor valor añadido los conocimientos especializados de la Organización.  En las estrategias de ejecución para el bienio 2016/17 se abordan </w:t>
      </w:r>
      <w:r w:rsidRPr="00164290">
        <w:rPr>
          <w:bCs/>
          <w:sz w:val="20"/>
          <w:lang w:val="es-ES_tradnl"/>
        </w:rPr>
        <w:lastRenderedPageBreak/>
        <w:t xml:space="preserve">estos objetivos y, además, se prestará mayor atención a la manera en que la OMPI puede apoyar mejor la aplicación de la agenda </w:t>
      </w:r>
      <w:r w:rsidR="004252B2">
        <w:rPr>
          <w:bCs/>
          <w:sz w:val="20"/>
          <w:lang w:val="es-ES_tradnl"/>
        </w:rPr>
        <w:t xml:space="preserve">de las NN.UU. </w:t>
      </w:r>
      <w:r w:rsidRPr="00164290">
        <w:rPr>
          <w:bCs/>
          <w:sz w:val="20"/>
          <w:lang w:val="es-ES_tradnl"/>
        </w:rPr>
        <w:t xml:space="preserve">para el desarrollo después de 2015.  Entre otras:  </w:t>
      </w:r>
    </w:p>
    <w:p w:rsidR="0062624E" w:rsidRPr="00164290" w:rsidRDefault="0062624E" w:rsidP="0062624E">
      <w:pPr>
        <w:widowControl w:val="0"/>
        <w:tabs>
          <w:tab w:val="num" w:pos="709"/>
        </w:tabs>
        <w:jc w:val="both"/>
        <w:rPr>
          <w:bCs/>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bCs/>
          <w:sz w:val="20"/>
          <w:lang w:val="es-ES_tradnl"/>
        </w:rPr>
      </w:pPr>
      <w:r w:rsidRPr="00164290">
        <w:rPr>
          <w:bCs/>
          <w:sz w:val="20"/>
          <w:lang w:val="es-ES_tradnl"/>
        </w:rPr>
        <w:t>Seguir fortaleciendo las alianzas existentes, y desarrollar nuevas e innovadoras alianzas en que intervenga una multiplicidad de interesados, y forjar coaliciones y alianzas por temas para respaldar el desarrollo sostenible y la aplicación de la agenda para el desarrollo después de</w:t>
      </w:r>
      <w:r w:rsidR="00F77CA1">
        <w:rPr>
          <w:bCs/>
          <w:sz w:val="20"/>
          <w:lang w:val="es-ES_tradnl"/>
        </w:rPr>
        <w:t>l</w:t>
      </w:r>
      <w:r w:rsidRPr="00164290">
        <w:rPr>
          <w:bCs/>
          <w:sz w:val="20"/>
          <w:lang w:val="es-ES_tradnl"/>
        </w:rPr>
        <w:t> 2015;</w:t>
      </w:r>
    </w:p>
    <w:p w:rsidR="0062624E" w:rsidRPr="00164290" w:rsidRDefault="0062624E" w:rsidP="0062624E">
      <w:pPr>
        <w:widowControl w:val="0"/>
        <w:tabs>
          <w:tab w:val="num" w:pos="1134"/>
        </w:tabs>
        <w:ind w:left="1134" w:hanging="567"/>
        <w:jc w:val="both"/>
        <w:rPr>
          <w:bCs/>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bCs/>
          <w:sz w:val="20"/>
          <w:lang w:val="es-ES_tradnl"/>
        </w:rPr>
      </w:pPr>
      <w:r w:rsidRPr="00164290">
        <w:rPr>
          <w:bCs/>
          <w:sz w:val="20"/>
          <w:lang w:val="es-ES_tradnl"/>
        </w:rPr>
        <w:t>Trabajar en estrecha colaboración con otros programas (véase el cuadro que figura a continuación) para mejorar la integración de los conocimientos de la OMPI en la cooperación y colaboración a nivel mundial, regional y nacional, y cooperar sin reservas con otras organizaciones de las NN.UU., por ejemplo, organizaciones económicas regionales del sistema de las NN.UU., bancos regionales de desarrollo y los equipos de las NN.UU. en los países.</w:t>
      </w:r>
    </w:p>
    <w:p w:rsidR="0062624E" w:rsidRPr="00164290" w:rsidRDefault="0062624E" w:rsidP="0062624E">
      <w:pPr>
        <w:widowControl w:val="0"/>
        <w:tabs>
          <w:tab w:val="num" w:pos="1134"/>
        </w:tabs>
        <w:ind w:left="1134" w:hanging="567"/>
        <w:jc w:val="both"/>
        <w:rPr>
          <w:bCs/>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bCs/>
          <w:sz w:val="20"/>
          <w:lang w:val="es-ES_tradnl"/>
        </w:rPr>
      </w:pPr>
      <w:r w:rsidRPr="00164290">
        <w:rPr>
          <w:bCs/>
          <w:sz w:val="20"/>
          <w:lang w:val="es-ES_tradnl"/>
        </w:rPr>
        <w:t>Mejorar la calidad de las contribuciones de la OMPI a los mecanismos de supervisión, examen y rendición de cuentas de la agenda para el desarrollo después de</w:t>
      </w:r>
      <w:r w:rsidR="00F77CA1">
        <w:rPr>
          <w:bCs/>
          <w:sz w:val="20"/>
          <w:lang w:val="es-ES_tradnl"/>
        </w:rPr>
        <w:t xml:space="preserve">l </w:t>
      </w:r>
      <w:r w:rsidRPr="00164290">
        <w:rPr>
          <w:bCs/>
          <w:sz w:val="20"/>
          <w:lang w:val="es-ES_tradnl"/>
        </w:rPr>
        <w:t xml:space="preserve">2015; </w:t>
      </w:r>
    </w:p>
    <w:p w:rsidR="0062624E" w:rsidRPr="00164290" w:rsidRDefault="0062624E" w:rsidP="0062624E">
      <w:pPr>
        <w:widowControl w:val="0"/>
        <w:tabs>
          <w:tab w:val="num" w:pos="1134"/>
        </w:tabs>
        <w:ind w:left="1134" w:hanging="567"/>
        <w:jc w:val="both"/>
        <w:rPr>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sz w:val="20"/>
          <w:lang w:val="es-ES_tradnl"/>
        </w:rPr>
      </w:pPr>
      <w:r w:rsidRPr="00164290">
        <w:rPr>
          <w:sz w:val="20"/>
          <w:lang w:val="es-ES_tradnl"/>
        </w:rPr>
        <w:t xml:space="preserve">Apoyar el proceso de la CMNUCC, sobre todo el Mecanismo de tecnología de la CMNUCC, mediante la colaboración práctica entre </w:t>
      </w:r>
      <w:r w:rsidR="004252B2" w:rsidRPr="004252B2">
        <w:rPr>
          <w:i/>
          <w:sz w:val="20"/>
          <w:lang w:val="es-ES_tradnl"/>
        </w:rPr>
        <w:t>WIPO GREEN</w:t>
      </w:r>
      <w:r w:rsidR="0026220F">
        <w:rPr>
          <w:sz w:val="20"/>
          <w:lang w:val="es-ES_tradnl"/>
        </w:rPr>
        <w:t xml:space="preserve"> y el Centro y Red de Tecnología del Clima (CRTC) e</w:t>
      </w:r>
      <w:r w:rsidRPr="00164290">
        <w:rPr>
          <w:sz w:val="20"/>
          <w:lang w:val="es-ES_tradnl"/>
        </w:rPr>
        <w:t xml:space="preserve">n el marco de la CMNUCC;  </w:t>
      </w:r>
    </w:p>
    <w:p w:rsidR="0062624E" w:rsidRPr="00164290" w:rsidRDefault="0062624E" w:rsidP="0062624E">
      <w:pPr>
        <w:pStyle w:val="ListParagraph"/>
        <w:widowControl w:val="0"/>
        <w:tabs>
          <w:tab w:val="num" w:pos="1134"/>
        </w:tabs>
        <w:ind w:left="1134" w:hanging="567"/>
        <w:jc w:val="both"/>
        <w:rPr>
          <w:rFonts w:ascii="Arial" w:hAnsi="Arial" w:cs="Arial"/>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sz w:val="20"/>
          <w:lang w:val="es-ES_tradnl"/>
        </w:rPr>
      </w:pPr>
      <w:r w:rsidRPr="00164290">
        <w:rPr>
          <w:sz w:val="20"/>
          <w:lang w:val="es-ES_tradnl"/>
        </w:rPr>
        <w:t xml:space="preserve">Seguir participando en la labor trilateral efectuada por la OMPI, la OMC y la OMS sobre salud pública en el mecanismo de coordinación mundial sobre enfermedades no transmisibles;  y en la Cumbre Mundial sobre la Sociedad de la Información (CMSI + 10) y el Foro de Gobernanza de Internet sobre la brecha digital; </w:t>
      </w:r>
    </w:p>
    <w:p w:rsidR="0062624E" w:rsidRPr="00164290" w:rsidRDefault="0062624E" w:rsidP="0062624E">
      <w:pPr>
        <w:pStyle w:val="ListParagraph"/>
        <w:widowControl w:val="0"/>
        <w:tabs>
          <w:tab w:val="num" w:pos="1134"/>
        </w:tabs>
        <w:ind w:left="1134" w:hanging="567"/>
        <w:rPr>
          <w:rFonts w:ascii="Arial" w:hAnsi="Arial" w:cs="Arial"/>
          <w:bCs/>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bCs/>
          <w:sz w:val="20"/>
          <w:lang w:val="es-ES_tradnl"/>
        </w:rPr>
      </w:pPr>
      <w:r w:rsidRPr="00164290">
        <w:rPr>
          <w:bCs/>
          <w:sz w:val="20"/>
          <w:lang w:val="es-ES_tradnl"/>
        </w:rPr>
        <w:t xml:space="preserve">Promover los conocimientos, proyectos, programas y herramientas de la OMPI en las NN.UU. y otras OIG para lograr mayor conciencia, reconocimiento y uso de los servicios de la OMPI; </w:t>
      </w:r>
    </w:p>
    <w:p w:rsidR="0062624E" w:rsidRPr="00164290" w:rsidRDefault="0062624E" w:rsidP="0062624E">
      <w:pPr>
        <w:pStyle w:val="ListParagraph"/>
        <w:widowControl w:val="0"/>
        <w:tabs>
          <w:tab w:val="num" w:pos="1134"/>
        </w:tabs>
        <w:ind w:left="1134" w:hanging="567"/>
        <w:jc w:val="both"/>
        <w:rPr>
          <w:rFonts w:ascii="Arial" w:hAnsi="Arial" w:cs="Arial"/>
          <w:bCs/>
          <w:sz w:val="20"/>
          <w:lang w:val="es-ES_tradnl"/>
        </w:rPr>
      </w:pPr>
    </w:p>
    <w:p w:rsidR="0062624E" w:rsidRPr="00164290" w:rsidRDefault="0062624E" w:rsidP="0062624E">
      <w:pPr>
        <w:widowControl w:val="0"/>
        <w:numPr>
          <w:ilvl w:val="0"/>
          <w:numId w:val="41"/>
        </w:numPr>
        <w:tabs>
          <w:tab w:val="clear" w:pos="1174"/>
          <w:tab w:val="num" w:pos="1134"/>
        </w:tabs>
        <w:ind w:left="1134" w:hanging="567"/>
        <w:jc w:val="both"/>
        <w:rPr>
          <w:bCs/>
          <w:sz w:val="20"/>
          <w:lang w:val="es-ES_tradnl"/>
        </w:rPr>
      </w:pPr>
      <w:r w:rsidRPr="00164290">
        <w:rPr>
          <w:bCs/>
          <w:sz w:val="20"/>
          <w:lang w:val="es-ES_tradnl"/>
        </w:rPr>
        <w:t>Mejorar las actividades de divulgación destinadas a donantes y socios que brindan apoyo a los Estados miembros de la OMPI y otros programas de la Organización con el objetivo de crear asociaciones y movilizar recursos para proyectos de P.I.;  y</w:t>
      </w:r>
    </w:p>
    <w:p w:rsidR="0062624E" w:rsidRPr="00164290" w:rsidRDefault="0062624E" w:rsidP="0062624E">
      <w:pPr>
        <w:widowControl w:val="0"/>
        <w:tabs>
          <w:tab w:val="num" w:pos="1134"/>
        </w:tabs>
        <w:ind w:left="1134" w:hanging="567"/>
        <w:jc w:val="both"/>
        <w:rPr>
          <w:bCs/>
          <w:sz w:val="20"/>
          <w:lang w:val="es-ES_tradnl"/>
        </w:rPr>
      </w:pPr>
    </w:p>
    <w:p w:rsidR="0062624E" w:rsidRPr="00164290" w:rsidRDefault="0062624E" w:rsidP="0062624E">
      <w:pPr>
        <w:pStyle w:val="ListParagraph"/>
        <w:widowControl w:val="0"/>
        <w:numPr>
          <w:ilvl w:val="0"/>
          <w:numId w:val="41"/>
        </w:numPr>
        <w:tabs>
          <w:tab w:val="clear" w:pos="1174"/>
          <w:tab w:val="num" w:pos="1134"/>
        </w:tabs>
        <w:ind w:left="1134" w:hanging="567"/>
        <w:jc w:val="both"/>
        <w:rPr>
          <w:rFonts w:ascii="Arial" w:hAnsi="Arial" w:cs="Arial"/>
          <w:bCs/>
          <w:sz w:val="20"/>
          <w:lang w:val="es-ES_tradnl"/>
        </w:rPr>
      </w:pPr>
      <w:r w:rsidRPr="00164290">
        <w:rPr>
          <w:rFonts w:ascii="Arial" w:hAnsi="Arial" w:cs="Arial"/>
          <w:bCs/>
          <w:sz w:val="20"/>
          <w:lang w:val="es-ES_tradnl"/>
        </w:rPr>
        <w:t>En coordinación con otros programas, seguir estableciendo acuerdos institucionales y alianzas prácticas con partes interesadas no gubernamentales para aprovechar la capacidad y la experiencia de estas partes en la promoción de los objetivos de la OMPI, y para aumentar su participación en las actividades de la OMPI.</w:t>
      </w:r>
    </w:p>
    <w:p w:rsidR="00A750F3" w:rsidRDefault="00A750F3" w:rsidP="00A750F3">
      <w:pPr>
        <w:widowControl w:val="0"/>
        <w:tabs>
          <w:tab w:val="num" w:pos="540"/>
        </w:tabs>
        <w:jc w:val="both"/>
        <w:rPr>
          <w:bCs/>
          <w:sz w:val="20"/>
          <w:lang w:val="es-ES_tradnl"/>
        </w:rPr>
      </w:pPr>
    </w:p>
    <w:p w:rsidR="00A750F3" w:rsidRPr="00A750F3" w:rsidRDefault="00A750F3" w:rsidP="00A750F3">
      <w:pPr>
        <w:widowControl w:val="0"/>
        <w:jc w:val="both"/>
        <w:rPr>
          <w:bCs/>
          <w:sz w:val="20"/>
          <w:u w:val="single"/>
          <w:lang w:val="es-ES_tradnl"/>
        </w:rPr>
      </w:pPr>
      <w:r w:rsidRPr="00A750F3">
        <w:rPr>
          <w:bCs/>
          <w:sz w:val="20"/>
          <w:u w:val="single"/>
          <w:lang w:val="es-ES_tradnl"/>
        </w:rPr>
        <w:t xml:space="preserve">Oficina de Coordinación de la OMPI ante las Naciones Unidas en Nueva York </w:t>
      </w:r>
    </w:p>
    <w:p w:rsidR="00A750F3" w:rsidRPr="00A750F3" w:rsidRDefault="00A750F3" w:rsidP="00A750F3">
      <w:pPr>
        <w:widowControl w:val="0"/>
        <w:jc w:val="both"/>
        <w:rPr>
          <w:bCs/>
          <w:sz w:val="20"/>
          <w:lang w:val="es-ES_tradnl"/>
        </w:rPr>
      </w:pPr>
    </w:p>
    <w:p w:rsidR="00A750F3" w:rsidRPr="00A750F3" w:rsidRDefault="00A750F3" w:rsidP="00A750F3">
      <w:pPr>
        <w:widowControl w:val="0"/>
        <w:numPr>
          <w:ilvl w:val="0"/>
          <w:numId w:val="40"/>
        </w:numPr>
        <w:jc w:val="both"/>
        <w:rPr>
          <w:sz w:val="20"/>
          <w:lang w:val="es-ES_tradnl"/>
        </w:rPr>
      </w:pPr>
      <w:r w:rsidRPr="00A750F3">
        <w:rPr>
          <w:sz w:val="20"/>
          <w:lang w:val="es-ES_tradnl"/>
        </w:rPr>
        <w:t>La Oficina de la OMPI de Nueva York garantiza la coordinación entre la sede de la OMPI en Ginebra y las NN.UU. y sus partes interesadas en Nueva York.  La Oficina de la OMPI de Nueva York participa en una amplia gama de procesos intergubernamentales y entablados por la sociedad civil en Nueva York para contribuir a un debate equilibrado en materia de P.I., y para proporcionar información y análisis sobre cuestiones de P.I. en la comunidad diplomática y el sistema de las NN.UU.  En estrecha colaboración con diversos programas de la OMPI, la Oficina participa en actividades de divulgación y sesiones informativas destinadas a la comunidad diplomática de las NN.UU. para transmitir una idea más clara del trabajo de la OMPI, promover los tratados, procesos, servicios y plataformas de la Organización, y presentar informes y documentos en los foros de Nueva York.  Si bien se prevé que estas actividades continúen durante el bienio 2016/17, se propone que el modelo operativo vigente, que funciona a través de una oficina física ubicada en Nueva York, continúe solamente hasta finales de 2016 con miras a crear un modelo operativo más rentable para 2017.</w:t>
      </w:r>
    </w:p>
    <w:p w:rsidR="00A750F3" w:rsidRDefault="00A750F3" w:rsidP="0062624E">
      <w:pPr>
        <w:widowControl w:val="0"/>
        <w:tabs>
          <w:tab w:val="num" w:pos="540"/>
        </w:tabs>
        <w:ind w:left="540" w:hanging="360"/>
        <w:jc w:val="both"/>
        <w:rPr>
          <w:bCs/>
          <w:sz w:val="20"/>
          <w:lang w:val="es-ES_tradnl"/>
        </w:rPr>
      </w:pPr>
    </w:p>
    <w:p w:rsidR="0062624E" w:rsidRPr="00164290" w:rsidRDefault="0062624E" w:rsidP="0062624E">
      <w:pPr>
        <w:widowControl w:val="0"/>
        <w:tabs>
          <w:tab w:val="num" w:pos="540"/>
        </w:tabs>
        <w:ind w:left="540" w:hanging="360"/>
        <w:jc w:val="both"/>
        <w:rPr>
          <w:bCs/>
          <w:sz w:val="20"/>
          <w:lang w:val="es-ES_tradnl"/>
        </w:rPr>
      </w:pPr>
      <w:r w:rsidRPr="00164290">
        <w:rPr>
          <w:noProof/>
          <w:lang w:val="en-US" w:eastAsia="en-US"/>
        </w:rPr>
        <w:lastRenderedPageBreak/>
        <w:drawing>
          <wp:anchor distT="0" distB="0" distL="114300" distR="114300" simplePos="0" relativeHeight="251665408" behindDoc="0" locked="0" layoutInCell="1" allowOverlap="1" wp14:anchorId="691D37B2" wp14:editId="20EE9776">
            <wp:simplePos x="0" y="0"/>
            <wp:positionH relativeFrom="column">
              <wp:posOffset>151765</wp:posOffset>
            </wp:positionH>
            <wp:positionV relativeFrom="paragraph">
              <wp:posOffset>266700</wp:posOffset>
            </wp:positionV>
            <wp:extent cx="5762625" cy="2625725"/>
            <wp:effectExtent l="0" t="57150" r="0" b="0"/>
            <wp:wrapTopAndBottom/>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9" r:lo="rId180" r:qs="rId181" r:cs="rId182"/>
              </a:graphicData>
            </a:graphic>
            <wp14:sizeRelH relativeFrom="page">
              <wp14:pctWidth>0</wp14:pctWidth>
            </wp14:sizeRelH>
            <wp14:sizeRelV relativeFrom="page">
              <wp14:pctHeight>0</wp14:pctHeight>
            </wp14:sizeRelV>
          </wp:anchor>
        </w:drawing>
      </w:r>
    </w:p>
    <w:p w:rsidR="0062624E" w:rsidRPr="00164290" w:rsidRDefault="0062624E" w:rsidP="0062624E">
      <w:pPr>
        <w:widowControl w:val="0"/>
        <w:tabs>
          <w:tab w:val="num" w:pos="540"/>
        </w:tabs>
        <w:jc w:val="both"/>
        <w:rPr>
          <w:bCs/>
          <w:sz w:val="20"/>
          <w:lang w:val="es-ES_tradnl"/>
        </w:rPr>
      </w:pPr>
    </w:p>
    <w:p w:rsidR="0062624E" w:rsidRPr="00164290" w:rsidRDefault="0062624E" w:rsidP="0062624E">
      <w:pPr>
        <w:widowControl w:val="0"/>
        <w:tabs>
          <w:tab w:val="num" w:pos="540"/>
        </w:tabs>
        <w:jc w:val="both"/>
        <w:rPr>
          <w:bCs/>
          <w:sz w:val="20"/>
          <w:lang w:val="es-ES_tradnl"/>
        </w:rPr>
      </w:pPr>
    </w:p>
    <w:p w:rsidR="0062624E" w:rsidRPr="00164290" w:rsidRDefault="0062624E" w:rsidP="0062624E">
      <w:pPr>
        <w:widowControl w:val="0"/>
        <w:rPr>
          <w:lang w:val="es-ES_tradnl"/>
        </w:rPr>
      </w:pPr>
      <w:r w:rsidRPr="00164290">
        <w:rPr>
          <w:lang w:val="es-ES_tradnl"/>
        </w:rPr>
        <w:t>PRINCIPALES RIESG</w:t>
      </w:r>
      <w:r w:rsidR="00A750F3">
        <w:rPr>
          <w:lang w:val="es-ES_tradnl"/>
        </w:rPr>
        <w:t>OS Y ESTRATEGIAS DE MITIGACIÓN</w:t>
      </w:r>
    </w:p>
    <w:p w:rsidR="0062624E" w:rsidRPr="00164290" w:rsidRDefault="0062624E" w:rsidP="0062624E">
      <w:pPr>
        <w:widowControl w:val="0"/>
        <w:rPr>
          <w:szCs w:val="22"/>
          <w:lang w:val="es-ES_tradnl"/>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62624E" w:rsidRPr="00164290" w:rsidTr="000C438B">
        <w:trPr>
          <w:trHeight w:val="577"/>
        </w:trPr>
        <w:tc>
          <w:tcPr>
            <w:tcW w:w="4111" w:type="dxa"/>
            <w:tcBorders>
              <w:top w:val="single" w:sz="4" w:space="0" w:color="auto"/>
              <w:bottom w:val="single" w:sz="4" w:space="0" w:color="auto"/>
            </w:tcBorders>
            <w:shd w:val="clear" w:color="auto" w:fill="B8CCE4" w:themeFill="accent1" w:themeFillTint="66"/>
            <w:vAlign w:val="center"/>
          </w:tcPr>
          <w:p w:rsidR="0062624E" w:rsidRPr="00164290" w:rsidRDefault="0062624E" w:rsidP="0062624E">
            <w:pPr>
              <w:widowControl w:val="0"/>
              <w:jc w:val="center"/>
              <w:rPr>
                <w:b/>
                <w:bCs/>
                <w:sz w:val="18"/>
                <w:szCs w:val="18"/>
                <w:lang w:val="es-ES_tradnl"/>
              </w:rPr>
            </w:pPr>
            <w:r w:rsidRPr="00164290">
              <w:rPr>
                <w:b/>
                <w:bCs/>
                <w:sz w:val="18"/>
                <w:szCs w:val="18"/>
                <w:lang w:val="es-ES_tradnl"/>
              </w:rPr>
              <w:t>Riesgo</w:t>
            </w:r>
          </w:p>
        </w:tc>
        <w:tc>
          <w:tcPr>
            <w:tcW w:w="5103" w:type="dxa"/>
            <w:tcBorders>
              <w:top w:val="single" w:sz="4" w:space="0" w:color="auto"/>
              <w:bottom w:val="single" w:sz="4" w:space="0" w:color="auto"/>
            </w:tcBorders>
            <w:shd w:val="clear" w:color="auto" w:fill="B8CCE4" w:themeFill="accent1" w:themeFillTint="66"/>
            <w:vAlign w:val="center"/>
          </w:tcPr>
          <w:p w:rsidR="0062624E" w:rsidRPr="00164290" w:rsidRDefault="0062624E" w:rsidP="0062624E">
            <w:pPr>
              <w:widowControl w:val="0"/>
              <w:jc w:val="center"/>
              <w:rPr>
                <w:b/>
                <w:bCs/>
                <w:sz w:val="18"/>
                <w:szCs w:val="18"/>
                <w:lang w:val="es-ES_tradnl"/>
              </w:rPr>
            </w:pPr>
            <w:r w:rsidRPr="00164290">
              <w:rPr>
                <w:b/>
                <w:bCs/>
                <w:sz w:val="18"/>
                <w:szCs w:val="18"/>
                <w:lang w:val="es-ES_tradnl"/>
              </w:rPr>
              <w:t>Mitigación</w:t>
            </w:r>
          </w:p>
        </w:tc>
      </w:tr>
      <w:tr w:rsidR="0062624E" w:rsidRPr="00164290" w:rsidTr="000C438B">
        <w:trPr>
          <w:trHeight w:val="1164"/>
        </w:trPr>
        <w:tc>
          <w:tcPr>
            <w:tcW w:w="4111" w:type="dxa"/>
            <w:tcBorders>
              <w:top w:val="single" w:sz="4" w:space="0" w:color="auto"/>
            </w:tcBorders>
            <w:shd w:val="clear" w:color="auto" w:fill="auto"/>
            <w:tcMar>
              <w:top w:w="72" w:type="dxa"/>
              <w:left w:w="72" w:type="dxa"/>
              <w:bottom w:w="72" w:type="dxa"/>
              <w:right w:w="72" w:type="dxa"/>
            </w:tcMar>
          </w:tcPr>
          <w:p w:rsidR="0062624E" w:rsidRPr="00164290" w:rsidRDefault="0062624E" w:rsidP="0062624E">
            <w:pPr>
              <w:widowControl w:val="0"/>
              <w:rPr>
                <w:sz w:val="16"/>
                <w:szCs w:val="16"/>
                <w:lang w:val="es-ES_tradnl"/>
              </w:rPr>
            </w:pPr>
            <w:r w:rsidRPr="00164290">
              <w:rPr>
                <w:sz w:val="16"/>
                <w:szCs w:val="16"/>
                <w:lang w:val="es-ES_tradnl"/>
              </w:rPr>
              <w:t xml:space="preserve">Las decisiones o medidas adoptadas a nivel internacional en el marco de los procesos de las NN.UU. y de otras OIG son perjudiciales para el sistema internacional de P.I. </w:t>
            </w:r>
          </w:p>
        </w:tc>
        <w:tc>
          <w:tcPr>
            <w:tcW w:w="5103" w:type="dxa"/>
            <w:tcBorders>
              <w:top w:val="single" w:sz="4" w:space="0" w:color="auto"/>
            </w:tcBorders>
            <w:shd w:val="clear" w:color="auto" w:fill="auto"/>
            <w:tcMar>
              <w:top w:w="72" w:type="dxa"/>
              <w:left w:w="72" w:type="dxa"/>
              <w:bottom w:w="72" w:type="dxa"/>
              <w:right w:w="72" w:type="dxa"/>
            </w:tcMar>
          </w:tcPr>
          <w:p w:rsidR="0062624E" w:rsidRPr="00164290" w:rsidRDefault="0062624E" w:rsidP="0062624E">
            <w:pPr>
              <w:widowControl w:val="0"/>
              <w:ind w:left="87"/>
              <w:rPr>
                <w:sz w:val="16"/>
                <w:szCs w:val="16"/>
                <w:lang w:val="es-ES_tradnl"/>
              </w:rPr>
            </w:pPr>
            <w:r w:rsidRPr="00164290">
              <w:rPr>
                <w:sz w:val="16"/>
                <w:szCs w:val="16"/>
                <w:lang w:val="es-ES_tradnl"/>
              </w:rPr>
              <w:t>Participar activamente en procesos importantes de las NN.UU. y garantizar una red de contactos eficaz dentro de la Secretaría y las Misiones Permanentes de las NN.UU.</w:t>
            </w:r>
          </w:p>
          <w:p w:rsidR="0062624E" w:rsidRPr="00164290" w:rsidRDefault="0062624E" w:rsidP="0062624E">
            <w:pPr>
              <w:widowControl w:val="0"/>
              <w:ind w:left="87"/>
              <w:rPr>
                <w:sz w:val="16"/>
                <w:szCs w:val="16"/>
                <w:lang w:val="es-ES_tradnl"/>
              </w:rPr>
            </w:pPr>
          </w:p>
          <w:p w:rsidR="0062624E" w:rsidRPr="00164290" w:rsidRDefault="0062624E" w:rsidP="0062624E">
            <w:pPr>
              <w:widowControl w:val="0"/>
              <w:ind w:left="87"/>
              <w:rPr>
                <w:sz w:val="16"/>
                <w:szCs w:val="16"/>
                <w:lang w:val="es-ES_tradnl"/>
              </w:rPr>
            </w:pPr>
            <w:r w:rsidRPr="00164290">
              <w:rPr>
                <w:sz w:val="16"/>
                <w:szCs w:val="16"/>
                <w:lang w:val="es-ES_tradnl"/>
              </w:rPr>
              <w:t xml:space="preserve">Respaldar una perspectiva de P.I. equilibrada e integradora mediante la creación de un espacio donde las partes interesadas de la OMPI (ONG y empresas) puedan expresar su opinión acerca de la labor de la Organización. </w:t>
            </w:r>
          </w:p>
        </w:tc>
      </w:tr>
    </w:tbl>
    <w:p w:rsidR="0062624E" w:rsidRPr="00164290" w:rsidRDefault="0062624E" w:rsidP="0062624E">
      <w:pPr>
        <w:widowControl w:val="0"/>
        <w:rPr>
          <w:szCs w:val="22"/>
          <w:lang w:val="es-ES_tradnl"/>
        </w:rPr>
      </w:pPr>
    </w:p>
    <w:p w:rsidR="0062624E" w:rsidRPr="00164290" w:rsidRDefault="0062624E" w:rsidP="0062624E">
      <w:pPr>
        <w:widowControl w:val="0"/>
        <w:rPr>
          <w:szCs w:val="22"/>
          <w:lang w:val="es-ES_tradnl"/>
        </w:rPr>
      </w:pPr>
    </w:p>
    <w:p w:rsidR="0062624E" w:rsidRPr="00164290" w:rsidRDefault="0062624E" w:rsidP="0062624E">
      <w:pPr>
        <w:widowControl w:val="0"/>
        <w:rPr>
          <w:szCs w:val="22"/>
          <w:lang w:val="es-ES_tradnl"/>
        </w:rPr>
      </w:pPr>
      <w:r w:rsidRPr="00164290">
        <w:rPr>
          <w:szCs w:val="22"/>
          <w:lang w:val="es-ES_tradnl"/>
        </w:rPr>
        <w:t>MARCO DE RESULTADOS</w:t>
      </w:r>
    </w:p>
    <w:p w:rsidR="0062624E" w:rsidRPr="00164290" w:rsidRDefault="0062624E" w:rsidP="0062624E">
      <w:pPr>
        <w:widowControl w:val="0"/>
        <w:rPr>
          <w:szCs w:val="22"/>
          <w:lang w:val="es-ES_tradnl"/>
        </w:rPr>
      </w:pPr>
    </w:p>
    <w:tbl>
      <w:tblPr>
        <w:tblW w:w="9195" w:type="dxa"/>
        <w:tblInd w:w="93" w:type="dxa"/>
        <w:tblLook w:val="04A0" w:firstRow="1" w:lastRow="0" w:firstColumn="1" w:lastColumn="0" w:noHBand="0" w:noVBand="1"/>
      </w:tblPr>
      <w:tblGrid>
        <w:gridCol w:w="2160"/>
        <w:gridCol w:w="2880"/>
        <w:gridCol w:w="2840"/>
        <w:gridCol w:w="1315"/>
      </w:tblGrid>
      <w:tr w:rsidR="0062624E" w:rsidRPr="00164290" w:rsidTr="0062624E">
        <w:trPr>
          <w:trHeight w:val="570"/>
        </w:trPr>
        <w:tc>
          <w:tcPr>
            <w:tcW w:w="2160" w:type="dxa"/>
            <w:tcBorders>
              <w:top w:val="single" w:sz="4" w:space="0" w:color="auto"/>
              <w:left w:val="single" w:sz="4" w:space="0" w:color="auto"/>
              <w:bottom w:val="single" w:sz="4" w:space="0" w:color="auto"/>
              <w:right w:val="nil"/>
            </w:tcBorders>
            <w:shd w:val="clear" w:color="auto" w:fill="B8CCE4" w:themeFill="accent1" w:themeFillTint="66"/>
            <w:noWrap/>
            <w:vAlign w:val="center"/>
            <w:hideMark/>
          </w:tcPr>
          <w:p w:rsidR="0062624E" w:rsidRPr="00164290" w:rsidRDefault="0062624E" w:rsidP="0062624E">
            <w:pPr>
              <w:widowControl w:val="0"/>
              <w:jc w:val="center"/>
              <w:rPr>
                <w:b/>
                <w:bCs/>
                <w:sz w:val="18"/>
                <w:szCs w:val="18"/>
                <w:lang w:val="es-ES_tradnl"/>
              </w:rPr>
            </w:pPr>
            <w:r w:rsidRPr="00164290">
              <w:rPr>
                <w:b/>
                <w:bCs/>
                <w:sz w:val="18"/>
                <w:szCs w:val="18"/>
                <w:lang w:val="es-ES_tradnl"/>
              </w:rPr>
              <w:t xml:space="preserve">Resultados previstos </w:t>
            </w:r>
          </w:p>
        </w:tc>
        <w:tc>
          <w:tcPr>
            <w:tcW w:w="2880" w:type="dxa"/>
            <w:tcBorders>
              <w:top w:val="single" w:sz="4" w:space="0" w:color="auto"/>
              <w:left w:val="nil"/>
              <w:bottom w:val="single" w:sz="4" w:space="0" w:color="auto"/>
              <w:right w:val="nil"/>
            </w:tcBorders>
            <w:shd w:val="clear" w:color="auto" w:fill="B8CCE4" w:themeFill="accent1" w:themeFillTint="66"/>
            <w:noWrap/>
            <w:vAlign w:val="center"/>
            <w:hideMark/>
          </w:tcPr>
          <w:p w:rsidR="0062624E" w:rsidRPr="00164290" w:rsidRDefault="0062624E" w:rsidP="0062624E">
            <w:pPr>
              <w:widowControl w:val="0"/>
              <w:jc w:val="center"/>
              <w:rPr>
                <w:b/>
                <w:bCs/>
                <w:sz w:val="18"/>
                <w:szCs w:val="18"/>
                <w:lang w:val="es-ES_tradnl"/>
              </w:rPr>
            </w:pPr>
            <w:r w:rsidRPr="00164290">
              <w:rPr>
                <w:b/>
                <w:bCs/>
                <w:sz w:val="18"/>
                <w:szCs w:val="18"/>
                <w:lang w:val="es-ES_tradnl"/>
              </w:rPr>
              <w:t>Indicadores de rendimiento</w:t>
            </w:r>
          </w:p>
        </w:tc>
        <w:tc>
          <w:tcPr>
            <w:tcW w:w="2840" w:type="dxa"/>
            <w:tcBorders>
              <w:top w:val="single" w:sz="4" w:space="0" w:color="auto"/>
              <w:left w:val="nil"/>
              <w:bottom w:val="single" w:sz="4" w:space="0" w:color="auto"/>
              <w:right w:val="nil"/>
            </w:tcBorders>
            <w:shd w:val="clear" w:color="auto" w:fill="B8CCE4" w:themeFill="accent1" w:themeFillTint="66"/>
            <w:noWrap/>
            <w:vAlign w:val="center"/>
            <w:hideMark/>
          </w:tcPr>
          <w:p w:rsidR="0062624E" w:rsidRPr="00164290" w:rsidRDefault="0062624E" w:rsidP="0062624E">
            <w:pPr>
              <w:widowControl w:val="0"/>
              <w:jc w:val="center"/>
              <w:rPr>
                <w:b/>
                <w:bCs/>
                <w:sz w:val="18"/>
                <w:szCs w:val="18"/>
                <w:lang w:val="es-ES_tradnl"/>
              </w:rPr>
            </w:pPr>
            <w:r w:rsidRPr="00164290">
              <w:rPr>
                <w:b/>
                <w:bCs/>
                <w:sz w:val="18"/>
                <w:szCs w:val="18"/>
                <w:lang w:val="es-ES_tradnl"/>
              </w:rPr>
              <w:t xml:space="preserve"> Referencia</w:t>
            </w:r>
          </w:p>
        </w:tc>
        <w:tc>
          <w:tcPr>
            <w:tcW w:w="1315"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rsidR="0062624E" w:rsidRPr="00164290" w:rsidRDefault="0062624E" w:rsidP="0062624E">
            <w:pPr>
              <w:widowControl w:val="0"/>
              <w:jc w:val="center"/>
              <w:rPr>
                <w:b/>
                <w:bCs/>
                <w:sz w:val="18"/>
                <w:szCs w:val="18"/>
                <w:lang w:val="es-ES_tradnl"/>
              </w:rPr>
            </w:pPr>
            <w:r w:rsidRPr="00164290">
              <w:rPr>
                <w:b/>
                <w:bCs/>
                <w:sz w:val="18"/>
                <w:szCs w:val="18"/>
                <w:lang w:val="es-ES_tradnl"/>
              </w:rPr>
              <w:t xml:space="preserve"> Objetivos</w:t>
            </w:r>
          </w:p>
        </w:tc>
      </w:tr>
      <w:tr w:rsidR="0062624E" w:rsidRPr="00164290" w:rsidTr="0062624E">
        <w:trPr>
          <w:trHeight w:val="1079"/>
        </w:trPr>
        <w:tc>
          <w:tcPr>
            <w:tcW w:w="2160" w:type="dxa"/>
            <w:vMerge w:val="restart"/>
            <w:tcBorders>
              <w:top w:val="nil"/>
              <w:left w:val="single" w:sz="4" w:space="0" w:color="auto"/>
              <w:bottom w:val="single" w:sz="4" w:space="0" w:color="000000"/>
              <w:right w:val="nil"/>
            </w:tcBorders>
            <w:shd w:val="clear" w:color="000000" w:fill="FFFFFF"/>
            <w:hideMark/>
          </w:tcPr>
          <w:p w:rsidR="0062624E" w:rsidRPr="00164290" w:rsidRDefault="00D06C6A" w:rsidP="0062624E">
            <w:pPr>
              <w:widowControl w:val="0"/>
              <w:rPr>
                <w:sz w:val="16"/>
                <w:szCs w:val="16"/>
                <w:lang w:val="es-ES_tradnl"/>
              </w:rPr>
            </w:pPr>
            <w:r>
              <w:rPr>
                <w:sz w:val="16"/>
                <w:szCs w:val="16"/>
                <w:lang w:val="es-ES_tradnl"/>
              </w:rPr>
              <w:br/>
            </w:r>
            <w:r w:rsidR="005B1060">
              <w:rPr>
                <w:sz w:val="16"/>
                <w:szCs w:val="16"/>
                <w:lang w:val="es-ES_tradnl"/>
              </w:rPr>
              <w:t xml:space="preserve">VIII.5  </w:t>
            </w:r>
            <w:r w:rsidR="005B1060" w:rsidRPr="00F77CA1">
              <w:rPr>
                <w:sz w:val="16"/>
                <w:szCs w:val="16"/>
                <w:lang w:val="es-ES_tradnl"/>
              </w:rPr>
              <w:t>La OMPI participa y colabora eficazmente en los procesos y negociaciones de las NN.UU. y otras OIG</w:t>
            </w:r>
          </w:p>
        </w:tc>
        <w:tc>
          <w:tcPr>
            <w:tcW w:w="2880" w:type="dxa"/>
            <w:tcBorders>
              <w:top w:val="nil"/>
              <w:left w:val="nil"/>
              <w:bottom w:val="nil"/>
              <w:right w:val="nil"/>
            </w:tcBorders>
            <w:shd w:val="clear" w:color="000000" w:fill="FFFFFF"/>
            <w:hideMark/>
          </w:tcPr>
          <w:p w:rsidR="0062624E" w:rsidRDefault="00D06C6A" w:rsidP="0062624E">
            <w:pPr>
              <w:widowControl w:val="0"/>
              <w:rPr>
                <w:sz w:val="16"/>
                <w:szCs w:val="16"/>
                <w:lang w:val="es-ES_tradnl"/>
              </w:rPr>
            </w:pPr>
            <w:r>
              <w:rPr>
                <w:sz w:val="16"/>
                <w:szCs w:val="16"/>
                <w:lang w:val="es-ES_tradnl"/>
              </w:rPr>
              <w:br/>
            </w:r>
            <w:r w:rsidR="0062624E" w:rsidRPr="00164290">
              <w:rPr>
                <w:sz w:val="16"/>
                <w:szCs w:val="16"/>
                <w:lang w:val="es-ES_tradnl"/>
              </w:rPr>
              <w:t>Las contribuciones de la OMPI quedan reflejadas en informes, resoluciones y documentos de procesos relevantes de las NN.UU. y otras OIG.</w:t>
            </w:r>
          </w:p>
          <w:p w:rsidR="00F77CA1" w:rsidRPr="00164290" w:rsidRDefault="00F77CA1" w:rsidP="0062624E">
            <w:pPr>
              <w:widowControl w:val="0"/>
              <w:rPr>
                <w:sz w:val="16"/>
                <w:szCs w:val="16"/>
                <w:lang w:val="es-ES_tradnl"/>
              </w:rPr>
            </w:pPr>
          </w:p>
        </w:tc>
        <w:tc>
          <w:tcPr>
            <w:tcW w:w="2840" w:type="dxa"/>
            <w:tcBorders>
              <w:top w:val="nil"/>
              <w:left w:val="nil"/>
              <w:bottom w:val="nil"/>
              <w:right w:val="nil"/>
            </w:tcBorders>
            <w:shd w:val="clear" w:color="000000" w:fill="FFFFFF"/>
            <w:hideMark/>
          </w:tcPr>
          <w:p w:rsidR="0062624E" w:rsidRPr="00164290" w:rsidRDefault="0062624E" w:rsidP="0062624E">
            <w:pPr>
              <w:widowControl w:val="0"/>
              <w:ind w:left="87" w:firstLineChars="200" w:firstLine="320"/>
              <w:rPr>
                <w:sz w:val="16"/>
                <w:szCs w:val="16"/>
                <w:lang w:val="es-ES_tradnl"/>
              </w:rPr>
            </w:pPr>
            <w:r w:rsidRPr="00164290">
              <w:rPr>
                <w:sz w:val="16"/>
                <w:szCs w:val="16"/>
                <w:lang w:val="es-ES_tradnl"/>
              </w:rPr>
              <w:t xml:space="preserve"> </w:t>
            </w:r>
            <w:r w:rsidRPr="00164290">
              <w:rPr>
                <w:sz w:val="16"/>
                <w:szCs w:val="16"/>
                <w:lang w:val="es-ES_tradnl"/>
              </w:rPr>
              <w:br/>
              <w:t xml:space="preserve">2012/13 – 38 de 38; </w:t>
            </w:r>
          </w:p>
          <w:p w:rsidR="0062624E" w:rsidRPr="00164290" w:rsidRDefault="0062624E" w:rsidP="0062624E">
            <w:pPr>
              <w:widowControl w:val="0"/>
              <w:ind w:left="87"/>
              <w:rPr>
                <w:sz w:val="16"/>
                <w:szCs w:val="16"/>
                <w:lang w:val="es-ES_tradnl"/>
              </w:rPr>
            </w:pPr>
            <w:r w:rsidRPr="00164290">
              <w:rPr>
                <w:sz w:val="16"/>
                <w:szCs w:val="16"/>
                <w:lang w:val="es-ES_tradnl"/>
              </w:rPr>
              <w:t>2014 12 de 15, 3 en curso.</w:t>
            </w:r>
          </w:p>
        </w:tc>
        <w:tc>
          <w:tcPr>
            <w:tcW w:w="1315" w:type="dxa"/>
            <w:tcBorders>
              <w:top w:val="nil"/>
              <w:left w:val="nil"/>
              <w:bottom w:val="nil"/>
              <w:right w:val="single" w:sz="4" w:space="0" w:color="auto"/>
            </w:tcBorders>
            <w:shd w:val="clear" w:color="000000" w:fill="FFFFFF"/>
            <w:hideMark/>
          </w:tcPr>
          <w:p w:rsidR="0062624E" w:rsidRPr="00164290" w:rsidRDefault="0062624E" w:rsidP="00F3466F">
            <w:pPr>
              <w:widowControl w:val="0"/>
              <w:rPr>
                <w:sz w:val="16"/>
                <w:szCs w:val="16"/>
                <w:lang w:val="es-ES_tradnl"/>
              </w:rPr>
            </w:pPr>
            <w:r w:rsidRPr="00164290">
              <w:rPr>
                <w:sz w:val="16"/>
                <w:szCs w:val="16"/>
                <w:lang w:val="es-ES_tradnl"/>
              </w:rPr>
              <w:br/>
              <w:t xml:space="preserve"> 80%</w:t>
            </w:r>
          </w:p>
        </w:tc>
      </w:tr>
      <w:tr w:rsidR="0062624E" w:rsidRPr="00164290" w:rsidTr="00083821">
        <w:trPr>
          <w:trHeight w:val="593"/>
        </w:trPr>
        <w:tc>
          <w:tcPr>
            <w:tcW w:w="2160" w:type="dxa"/>
            <w:vMerge/>
            <w:tcBorders>
              <w:top w:val="nil"/>
              <w:left w:val="single" w:sz="4" w:space="0" w:color="auto"/>
              <w:bottom w:val="single" w:sz="4" w:space="0" w:color="000000"/>
              <w:right w:val="nil"/>
            </w:tcBorders>
            <w:vAlign w:val="center"/>
            <w:hideMark/>
          </w:tcPr>
          <w:p w:rsidR="0062624E" w:rsidRPr="00164290" w:rsidRDefault="0062624E" w:rsidP="0062624E">
            <w:pPr>
              <w:widowControl w:val="0"/>
              <w:rPr>
                <w:sz w:val="16"/>
                <w:szCs w:val="16"/>
                <w:lang w:val="es-ES_tradnl"/>
              </w:rPr>
            </w:pPr>
          </w:p>
        </w:tc>
        <w:tc>
          <w:tcPr>
            <w:tcW w:w="2880" w:type="dxa"/>
            <w:tcBorders>
              <w:top w:val="nil"/>
              <w:left w:val="nil"/>
              <w:bottom w:val="nil"/>
              <w:right w:val="nil"/>
            </w:tcBorders>
            <w:shd w:val="clear" w:color="000000" w:fill="FFFFFF"/>
            <w:hideMark/>
          </w:tcPr>
          <w:p w:rsidR="0062624E" w:rsidRPr="00164290" w:rsidRDefault="0062624E" w:rsidP="00F77CA1">
            <w:pPr>
              <w:widowControl w:val="0"/>
              <w:rPr>
                <w:sz w:val="16"/>
                <w:szCs w:val="16"/>
                <w:lang w:val="es-ES_tradnl"/>
              </w:rPr>
            </w:pPr>
            <w:r w:rsidRPr="00164290">
              <w:rPr>
                <w:sz w:val="16"/>
                <w:szCs w:val="16"/>
                <w:lang w:val="es-ES_tradnl"/>
              </w:rPr>
              <w:t>N</w:t>
            </w:r>
            <w:r w:rsidR="00F77CA1">
              <w:rPr>
                <w:sz w:val="16"/>
                <w:szCs w:val="16"/>
                <w:lang w:val="es-ES_tradnl"/>
              </w:rPr>
              <w:t>º</w:t>
            </w:r>
            <w:r w:rsidRPr="00164290">
              <w:rPr>
                <w:sz w:val="16"/>
                <w:szCs w:val="16"/>
                <w:lang w:val="es-ES_tradnl"/>
              </w:rPr>
              <w:t xml:space="preserve"> de iniciativas de la OMPI en colaboración con las NN.UU. y otras OIG para conseguir los ODS.</w:t>
            </w:r>
          </w:p>
        </w:tc>
        <w:tc>
          <w:tcPr>
            <w:tcW w:w="2840" w:type="dxa"/>
            <w:tcBorders>
              <w:top w:val="nil"/>
              <w:left w:val="nil"/>
              <w:bottom w:val="nil"/>
              <w:right w:val="nil"/>
            </w:tcBorders>
            <w:shd w:val="clear" w:color="000000" w:fill="FFFFFF"/>
            <w:hideMark/>
          </w:tcPr>
          <w:p w:rsidR="0062624E" w:rsidRPr="00164290" w:rsidRDefault="0062624E" w:rsidP="0062624E">
            <w:pPr>
              <w:widowControl w:val="0"/>
              <w:ind w:left="87"/>
              <w:rPr>
                <w:sz w:val="16"/>
                <w:szCs w:val="16"/>
                <w:lang w:val="es-ES_tradnl"/>
              </w:rPr>
            </w:pPr>
            <w:r w:rsidRPr="00164290">
              <w:rPr>
                <w:sz w:val="16"/>
                <w:szCs w:val="16"/>
                <w:lang w:val="es-ES_tradnl"/>
              </w:rPr>
              <w:t>Ninguna.</w:t>
            </w:r>
          </w:p>
        </w:tc>
        <w:tc>
          <w:tcPr>
            <w:tcW w:w="1315" w:type="dxa"/>
            <w:tcBorders>
              <w:top w:val="nil"/>
              <w:left w:val="nil"/>
              <w:bottom w:val="nil"/>
              <w:right w:val="single" w:sz="4" w:space="0" w:color="auto"/>
            </w:tcBorders>
            <w:shd w:val="clear" w:color="000000" w:fill="FFFFFF"/>
            <w:hideMark/>
          </w:tcPr>
          <w:p w:rsidR="0062624E" w:rsidRPr="00164290" w:rsidRDefault="0062624E" w:rsidP="00F3466F">
            <w:pPr>
              <w:widowControl w:val="0"/>
              <w:rPr>
                <w:sz w:val="16"/>
                <w:szCs w:val="16"/>
                <w:lang w:val="es-ES_tradnl"/>
              </w:rPr>
            </w:pPr>
            <w:r w:rsidRPr="00164290">
              <w:rPr>
                <w:sz w:val="16"/>
                <w:szCs w:val="16"/>
                <w:lang w:val="es-ES_tradnl"/>
              </w:rPr>
              <w:t>5</w:t>
            </w:r>
          </w:p>
        </w:tc>
      </w:tr>
      <w:tr w:rsidR="0062624E" w:rsidRPr="00164290" w:rsidTr="0062624E">
        <w:trPr>
          <w:trHeight w:val="56"/>
        </w:trPr>
        <w:tc>
          <w:tcPr>
            <w:tcW w:w="2160" w:type="dxa"/>
            <w:vMerge/>
            <w:tcBorders>
              <w:top w:val="nil"/>
              <w:left w:val="single" w:sz="4" w:space="0" w:color="auto"/>
              <w:bottom w:val="single" w:sz="4" w:space="0" w:color="000000"/>
              <w:right w:val="nil"/>
            </w:tcBorders>
            <w:vAlign w:val="center"/>
            <w:hideMark/>
          </w:tcPr>
          <w:p w:rsidR="0062624E" w:rsidRPr="00164290" w:rsidRDefault="0062624E" w:rsidP="0062624E">
            <w:pPr>
              <w:widowControl w:val="0"/>
              <w:rPr>
                <w:sz w:val="16"/>
                <w:szCs w:val="16"/>
                <w:lang w:val="es-ES_tradnl"/>
              </w:rPr>
            </w:pPr>
          </w:p>
        </w:tc>
        <w:tc>
          <w:tcPr>
            <w:tcW w:w="2880" w:type="dxa"/>
            <w:tcBorders>
              <w:top w:val="nil"/>
              <w:left w:val="nil"/>
              <w:bottom w:val="single" w:sz="4" w:space="0" w:color="auto"/>
              <w:right w:val="nil"/>
            </w:tcBorders>
            <w:shd w:val="clear" w:color="000000" w:fill="FFFFFF"/>
          </w:tcPr>
          <w:p w:rsidR="0062624E" w:rsidRPr="00164290" w:rsidRDefault="0062624E" w:rsidP="0062624E">
            <w:pPr>
              <w:widowControl w:val="0"/>
              <w:rPr>
                <w:sz w:val="16"/>
                <w:szCs w:val="16"/>
                <w:lang w:val="es-ES_tradnl"/>
              </w:rPr>
            </w:pPr>
          </w:p>
        </w:tc>
        <w:tc>
          <w:tcPr>
            <w:tcW w:w="2840" w:type="dxa"/>
            <w:tcBorders>
              <w:top w:val="nil"/>
              <w:left w:val="nil"/>
              <w:bottom w:val="single" w:sz="4" w:space="0" w:color="auto"/>
              <w:right w:val="nil"/>
            </w:tcBorders>
            <w:shd w:val="clear" w:color="000000" w:fill="FFFFFF"/>
          </w:tcPr>
          <w:p w:rsidR="0062624E" w:rsidRPr="00164290" w:rsidRDefault="0062624E" w:rsidP="0062624E">
            <w:pPr>
              <w:widowControl w:val="0"/>
              <w:ind w:left="87"/>
              <w:rPr>
                <w:sz w:val="16"/>
                <w:szCs w:val="16"/>
                <w:lang w:val="es-ES_tradnl"/>
              </w:rPr>
            </w:pPr>
          </w:p>
        </w:tc>
        <w:tc>
          <w:tcPr>
            <w:tcW w:w="1315" w:type="dxa"/>
            <w:tcBorders>
              <w:top w:val="nil"/>
              <w:left w:val="nil"/>
              <w:bottom w:val="single" w:sz="4" w:space="0" w:color="auto"/>
              <w:right w:val="single" w:sz="4" w:space="0" w:color="auto"/>
            </w:tcBorders>
            <w:shd w:val="clear" w:color="000000" w:fill="FFFFFF"/>
          </w:tcPr>
          <w:p w:rsidR="0062624E" w:rsidRPr="00164290" w:rsidRDefault="0062624E" w:rsidP="0062624E">
            <w:pPr>
              <w:widowControl w:val="0"/>
              <w:ind w:firstLineChars="200" w:firstLine="320"/>
              <w:rPr>
                <w:sz w:val="16"/>
                <w:szCs w:val="16"/>
                <w:lang w:val="es-ES_tradnl"/>
              </w:rPr>
            </w:pPr>
          </w:p>
        </w:tc>
      </w:tr>
    </w:tbl>
    <w:p w:rsidR="0062624E" w:rsidRPr="00164290" w:rsidRDefault="0062624E" w:rsidP="0062624E">
      <w:pPr>
        <w:widowControl w:val="0"/>
        <w:jc w:val="both"/>
        <w:rPr>
          <w:bCs/>
          <w:szCs w:val="22"/>
          <w:lang w:val="es-ES_tradnl"/>
        </w:rPr>
      </w:pPr>
    </w:p>
    <w:p w:rsidR="0062624E" w:rsidRPr="00164290" w:rsidRDefault="0062624E" w:rsidP="0062624E">
      <w:pPr>
        <w:widowControl w:val="0"/>
        <w:jc w:val="both"/>
        <w:rPr>
          <w:bCs/>
          <w:szCs w:val="22"/>
          <w:lang w:val="es-ES_tradnl"/>
        </w:rPr>
      </w:pPr>
    </w:p>
    <w:p w:rsidR="0062624E" w:rsidRPr="00164290" w:rsidRDefault="00946521" w:rsidP="00177320">
      <w:pPr>
        <w:keepNext/>
        <w:keepLines/>
        <w:widowControl w:val="0"/>
        <w:jc w:val="both"/>
        <w:rPr>
          <w:b/>
          <w:bCs/>
          <w:szCs w:val="22"/>
          <w:lang w:val="es-ES_tradnl"/>
        </w:rPr>
      </w:pPr>
      <w:r w:rsidRPr="00946521">
        <w:rPr>
          <w:b/>
          <w:bCs/>
          <w:szCs w:val="22"/>
          <w:lang w:val="es-ES_tradnl"/>
        </w:rPr>
        <w:t>OFICINAS EN EL EXTERIOR</w:t>
      </w:r>
    </w:p>
    <w:p w:rsidR="0062624E" w:rsidRPr="00F3466F" w:rsidRDefault="0062624E" w:rsidP="00177320">
      <w:pPr>
        <w:keepNext/>
        <w:keepLines/>
        <w:widowControl w:val="0"/>
        <w:jc w:val="both"/>
        <w:rPr>
          <w:bCs/>
          <w:sz w:val="20"/>
          <w:lang w:val="es-ES_tradnl"/>
        </w:rPr>
      </w:pPr>
    </w:p>
    <w:p w:rsidR="00A750F3" w:rsidRPr="00F3466F" w:rsidRDefault="00A750F3" w:rsidP="00177320">
      <w:pPr>
        <w:keepNext/>
        <w:keepLines/>
        <w:widowControl w:val="0"/>
        <w:jc w:val="both"/>
        <w:rPr>
          <w:bCs/>
          <w:sz w:val="20"/>
          <w:lang w:val="es-ES_tradnl"/>
        </w:rPr>
      </w:pPr>
    </w:p>
    <w:p w:rsidR="0062624E" w:rsidRPr="00F74B7D" w:rsidRDefault="00946521" w:rsidP="00177320">
      <w:pPr>
        <w:keepNext/>
        <w:keepLines/>
      </w:pPr>
      <w:r w:rsidRPr="00F74B7D">
        <w:t>CONTEXTO DE PLANIFICACIÓN</w:t>
      </w:r>
    </w:p>
    <w:p w:rsidR="00F74B7D" w:rsidRPr="00ED4DE9" w:rsidRDefault="00F74B7D" w:rsidP="00F74B7D">
      <w:pPr>
        <w:keepNext/>
        <w:keepLines/>
      </w:pPr>
    </w:p>
    <w:p w:rsidR="00F74B7D" w:rsidRPr="00ED4DE9" w:rsidRDefault="00F74B7D" w:rsidP="00F74B7D">
      <w:pPr>
        <w:keepNext/>
        <w:keepLines/>
        <w:numPr>
          <w:ilvl w:val="0"/>
          <w:numId w:val="40"/>
        </w:numPr>
        <w:jc w:val="both"/>
        <w:rPr>
          <w:sz w:val="20"/>
        </w:rPr>
      </w:pPr>
      <w:r>
        <w:rPr>
          <w:sz w:val="20"/>
        </w:rPr>
        <w:t>La</w:t>
      </w:r>
      <w:r w:rsidRPr="00ED4DE9">
        <w:rPr>
          <w:sz w:val="20"/>
        </w:rPr>
        <w:t xml:space="preserve"> red de Oficinas de la OMPI en el exterior comenzó </w:t>
      </w:r>
      <w:r>
        <w:rPr>
          <w:sz w:val="20"/>
        </w:rPr>
        <w:t xml:space="preserve">a crearse </w:t>
      </w:r>
      <w:r w:rsidRPr="00ED4DE9">
        <w:rPr>
          <w:sz w:val="20"/>
        </w:rPr>
        <w:t xml:space="preserve">hace más de diez años y hoy en día </w:t>
      </w:r>
      <w:r>
        <w:rPr>
          <w:sz w:val="20"/>
        </w:rPr>
        <w:t xml:space="preserve">está constituida por </w:t>
      </w:r>
      <w:r w:rsidRPr="00ED4DE9">
        <w:rPr>
          <w:sz w:val="20"/>
        </w:rPr>
        <w:t>cinco oficinas</w:t>
      </w:r>
      <w:proofErr w:type="gramStart"/>
      <w:r w:rsidRPr="00ED4DE9">
        <w:rPr>
          <w:sz w:val="20"/>
        </w:rPr>
        <w:t>:  la</w:t>
      </w:r>
      <w:proofErr w:type="gramEnd"/>
      <w:r w:rsidRPr="00ED4DE9">
        <w:rPr>
          <w:sz w:val="20"/>
        </w:rPr>
        <w:t xml:space="preserve"> Oficina de la OMPI en Singapur (creada en 2005), la Oficina de la OMPI en el Japón (creada en 2006), la Oficina de la OMPI en el Brasil (creada en 2010), la Oficina de la OMPI en China (creada en 2014) y la Oficina de la OMPI en </w:t>
      </w:r>
      <w:r w:rsidR="001C42F2">
        <w:rPr>
          <w:sz w:val="20"/>
        </w:rPr>
        <w:t xml:space="preserve">la Federación de </w:t>
      </w:r>
      <w:r w:rsidRPr="00ED4DE9">
        <w:rPr>
          <w:sz w:val="20"/>
        </w:rPr>
        <w:t>Rusia (creada en 2014).</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lastRenderedPageBreak/>
        <w:t xml:space="preserve">Las Oficinas de la OMPI en el exterior forman parte integral de la Organización, </w:t>
      </w:r>
      <w:r>
        <w:rPr>
          <w:sz w:val="20"/>
        </w:rPr>
        <w:t>ya que colaboran</w:t>
      </w:r>
      <w:r w:rsidRPr="00ED4DE9">
        <w:rPr>
          <w:sz w:val="20"/>
        </w:rPr>
        <w:t xml:space="preserve"> con todos los programas en la sede para contribuir al logro de las metas estratégicas.  En </w:t>
      </w:r>
      <w:r>
        <w:rPr>
          <w:sz w:val="20"/>
        </w:rPr>
        <w:t>ese sentido</w:t>
      </w:r>
      <w:r w:rsidRPr="00ED4DE9">
        <w:rPr>
          <w:sz w:val="20"/>
        </w:rPr>
        <w:t xml:space="preserve">, constituyen una importante extensión de la presencia de la OMPI en los países o la región </w:t>
      </w:r>
      <w:r>
        <w:rPr>
          <w:sz w:val="20"/>
        </w:rPr>
        <w:t>circundante;</w:t>
      </w:r>
      <w:r w:rsidRPr="00ED4DE9">
        <w:rPr>
          <w:sz w:val="20"/>
        </w:rPr>
        <w:t xml:space="preserve">  están perfectamente preparadas para acercar la Organización a sus Estados m</w:t>
      </w:r>
      <w:r>
        <w:rPr>
          <w:sz w:val="20"/>
        </w:rPr>
        <w:t>iembros y sectores interesados.</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La creación de una red de Oficinas en el exterior se ha basado en los siguientes principios centrales:  1) las Oficinas en el exterior deberían añadir valor, eficiencia y </w:t>
      </w:r>
      <w:r>
        <w:rPr>
          <w:sz w:val="20"/>
        </w:rPr>
        <w:t>eficacia</w:t>
      </w:r>
      <w:r w:rsidRPr="00ED4DE9">
        <w:rPr>
          <w:sz w:val="20"/>
        </w:rPr>
        <w:t xml:space="preserve"> a la ejecución del programa</w:t>
      </w:r>
      <w:r>
        <w:rPr>
          <w:sz w:val="20"/>
        </w:rPr>
        <w:t>,</w:t>
      </w:r>
      <w:r w:rsidRPr="00ED4DE9">
        <w:rPr>
          <w:sz w:val="20"/>
        </w:rPr>
        <w:t xml:space="preserve"> de una manera coordinada y complementaria a la labor que se lleva a cabo en la sede;  2) tienen diferentes funciones mixtas en función de las prioridades y particularidades locales;  3) deberían ser </w:t>
      </w:r>
      <w:r>
        <w:rPr>
          <w:sz w:val="20"/>
        </w:rPr>
        <w:t>costoeficaces</w:t>
      </w:r>
      <w:r w:rsidRPr="00ED4DE9">
        <w:rPr>
          <w:sz w:val="20"/>
        </w:rPr>
        <w:t>;  y 4) forman parte integral del marco regula</w:t>
      </w:r>
      <w:r>
        <w:rPr>
          <w:sz w:val="20"/>
        </w:rPr>
        <w:t>dor</w:t>
      </w:r>
      <w:r w:rsidRPr="00ED4DE9">
        <w:rPr>
          <w:sz w:val="20"/>
        </w:rPr>
        <w:t xml:space="preserve"> y d</w:t>
      </w:r>
      <w:r>
        <w:rPr>
          <w:sz w:val="20"/>
        </w:rPr>
        <w:t>e gestión basada en resultados.</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En este contexto, las Oficinas de la OMPI en el exterior han contribuido a los resultados previstos y a la consecución de las metas estratégicas de la OMPI.  Han prestado servicios de apoyo a los sistemas mundiales de P.I.;  han prestado asistencia técnica en los países en desarrollo en relación con los programas de la Organización relativos a la infraestructura mundial;  han llevado a cabo actividades de fortalecimiento de capacidades para facilitar el uso de la P.I. en aras del desarrollo;  han impulsado los tratados de la OMPI en favor de la evolución equilibrada del marco normativo internacional de P.I.;  han facilitado comunicaciones más </w:t>
      </w:r>
      <w:r>
        <w:rPr>
          <w:sz w:val="20"/>
        </w:rPr>
        <w:t>eficaces</w:t>
      </w:r>
      <w:r w:rsidRPr="00ED4DE9">
        <w:rPr>
          <w:sz w:val="20"/>
        </w:rPr>
        <w:t xml:space="preserve"> </w:t>
      </w:r>
      <w:r>
        <w:rPr>
          <w:sz w:val="20"/>
        </w:rPr>
        <w:t>con</w:t>
      </w:r>
      <w:r w:rsidRPr="00ED4DE9">
        <w:rPr>
          <w:sz w:val="20"/>
        </w:rPr>
        <w:t xml:space="preserve"> un público más amplio, aprovechando su proximidad para llevar a cabo actividades de divulgación concretas y forjar relaciones más estrechas con los sectores interesados;  y han ofrecido servicios “las 24 horas” para asegurar la disponibilidad de la OMPI al margen del horario </w:t>
      </w:r>
      <w:r>
        <w:rPr>
          <w:sz w:val="20"/>
        </w:rPr>
        <w:t>laborable</w:t>
      </w:r>
      <w:r w:rsidRPr="00ED4DE9">
        <w:rPr>
          <w:sz w:val="20"/>
        </w:rPr>
        <w:t xml:space="preserve"> </w:t>
      </w:r>
      <w:r>
        <w:rPr>
          <w:sz w:val="20"/>
        </w:rPr>
        <w:t>en</w:t>
      </w:r>
      <w:r w:rsidRPr="00ED4DE9">
        <w:rPr>
          <w:sz w:val="20"/>
        </w:rPr>
        <w:t xml:space="preserve"> Ginebra. </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Sin dejar de reconocer el desafío que supone integrar </w:t>
      </w:r>
      <w:r>
        <w:rPr>
          <w:sz w:val="20"/>
        </w:rPr>
        <w:t>por completo</w:t>
      </w:r>
      <w:r w:rsidRPr="00ED4DE9">
        <w:rPr>
          <w:sz w:val="20"/>
        </w:rPr>
        <w:t xml:space="preserve"> una red relativamente nueva en las actividades de una Organización que desempeña su misión en su mayor parte desde la sede, se ha considerado necesario seguir mejorando la productividad y la eficiencia de las Oficinas en el exterior, agilizar la coordinación con todos los programas en la sede y fomentar la coherencia de su gestión general mediante etapas concretas.  Con este fin, en 2014/2015 se han lanzado distintas iniciativas para:  mejorar la infraestructura de T.I. en las Oficinas en el exterior e integrarlas progresivamente en la arquitectura general de T.I. de la Organización;  elaborar una estrategia exhaustiva de comunicaciones para las Oficinas en el exterior;  mejorar e institucionalizar la presentación de informes y la comunicación entre las Oficinas en el exterior y la sede, y elaborar planes de continuidad de las actividades para cada Oficina en el exterior.</w:t>
      </w:r>
    </w:p>
    <w:p w:rsidR="0062624E" w:rsidRPr="00F74B7D" w:rsidRDefault="0062624E" w:rsidP="0062624E">
      <w:pPr>
        <w:jc w:val="both"/>
        <w:rPr>
          <w:sz w:val="20"/>
          <w:highlight w:val="lightGray"/>
        </w:rPr>
      </w:pPr>
    </w:p>
    <w:p w:rsidR="0062624E" w:rsidRPr="00F74B7D" w:rsidRDefault="0062624E" w:rsidP="0062624E">
      <w:pPr>
        <w:jc w:val="both"/>
        <w:rPr>
          <w:sz w:val="20"/>
          <w:highlight w:val="lightGray"/>
          <w:lang w:val="es-ES_tradnl"/>
        </w:rPr>
      </w:pPr>
    </w:p>
    <w:p w:rsidR="0062624E" w:rsidRPr="00D95E7D" w:rsidRDefault="00946521" w:rsidP="0062624E">
      <w:pPr>
        <w:jc w:val="both"/>
      </w:pPr>
      <w:r w:rsidRPr="00D95E7D">
        <w:t>ESTRATEGIAS DE EJECUCIÓN</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A partir de las iniciativas mencionadas anteriormente, se </w:t>
      </w:r>
      <w:r>
        <w:rPr>
          <w:sz w:val="20"/>
        </w:rPr>
        <w:t>desplegarán</w:t>
      </w:r>
      <w:r w:rsidRPr="00ED4DE9">
        <w:rPr>
          <w:sz w:val="20"/>
        </w:rPr>
        <w:t xml:space="preserve"> continuos esfuerzos para mejorar la integración progresiva de las Oficinas en el exterior en todos los aspectos del funcionamiento de la Organización.  Esto será fundamental para asegurar que la OMPI siga evolucionando como una verdadera Organización mundial, receptiva a las necesidades de sus Estados miembros y sectores interesados y capaz de materializar sus ambiciosas metas de prestar sus servicios de manera más eficiente estrechando la cooperación.  Para lograrlo, las Oficinas de la OMPI en </w:t>
      </w:r>
      <w:r>
        <w:rPr>
          <w:sz w:val="20"/>
        </w:rPr>
        <w:t xml:space="preserve">el </w:t>
      </w:r>
      <w:r w:rsidRPr="00ED4DE9">
        <w:rPr>
          <w:sz w:val="20"/>
        </w:rPr>
        <w:t xml:space="preserve">exterior, en el marco de sus respectivos países anfitriones o </w:t>
      </w:r>
      <w:r>
        <w:rPr>
          <w:sz w:val="20"/>
        </w:rPr>
        <w:t>región circundante</w:t>
      </w:r>
      <w:r w:rsidRPr="00ED4DE9">
        <w:rPr>
          <w:sz w:val="20"/>
        </w:rPr>
        <w:t>, contribuirán al logro de los resultados previstos y las metas estratégicas en coordinación con la sede.  Además, se aplicarán las siguientes estrategias específicas en relación con las Oficinas en el exterior.</w:t>
      </w:r>
    </w:p>
    <w:p w:rsidR="00F74B7D" w:rsidRPr="00ED4DE9" w:rsidRDefault="00F74B7D" w:rsidP="00F74B7D">
      <w:pPr>
        <w:jc w:val="both"/>
        <w:rPr>
          <w:sz w:val="20"/>
        </w:rPr>
      </w:pPr>
    </w:p>
    <w:p w:rsidR="00F74B7D" w:rsidRPr="00ED4DE9" w:rsidRDefault="00F74B7D" w:rsidP="00F74B7D">
      <w:pPr>
        <w:keepNext/>
        <w:keepLines/>
        <w:jc w:val="both"/>
        <w:rPr>
          <w:sz w:val="20"/>
          <w:u w:val="single"/>
        </w:rPr>
      </w:pPr>
      <w:r w:rsidRPr="00ED4DE9">
        <w:rPr>
          <w:sz w:val="20"/>
          <w:u w:val="single"/>
        </w:rPr>
        <w:t>Oficina de la OMPI en Singapur (OOS)</w:t>
      </w:r>
    </w:p>
    <w:p w:rsidR="00F74B7D" w:rsidRPr="00ED4DE9" w:rsidRDefault="00F74B7D" w:rsidP="00F74B7D">
      <w:pPr>
        <w:keepNext/>
        <w:keepLines/>
        <w:jc w:val="both"/>
        <w:rPr>
          <w:sz w:val="20"/>
        </w:rPr>
      </w:pPr>
    </w:p>
    <w:p w:rsidR="00F74B7D" w:rsidRPr="00ED4DE9" w:rsidRDefault="00F74B7D" w:rsidP="00F74B7D">
      <w:pPr>
        <w:keepNext/>
        <w:keepLines/>
        <w:numPr>
          <w:ilvl w:val="0"/>
          <w:numId w:val="40"/>
        </w:numPr>
        <w:jc w:val="both"/>
        <w:rPr>
          <w:sz w:val="20"/>
        </w:rPr>
      </w:pPr>
      <w:r w:rsidRPr="00ED4DE9">
        <w:rPr>
          <w:sz w:val="20"/>
        </w:rPr>
        <w:t>La Oficina de la OMPI en Singapur seguirá actuando como un centro de servicios en la región, entre otr</w:t>
      </w:r>
      <w:r>
        <w:rPr>
          <w:sz w:val="20"/>
        </w:rPr>
        <w:t>as cosa</w:t>
      </w:r>
      <w:r w:rsidRPr="00ED4DE9">
        <w:rPr>
          <w:sz w:val="20"/>
        </w:rPr>
        <w:t xml:space="preserve">s, </w:t>
      </w:r>
      <w:r>
        <w:rPr>
          <w:sz w:val="20"/>
        </w:rPr>
        <w:t xml:space="preserve">para </w:t>
      </w:r>
      <w:r w:rsidRPr="00ED4DE9">
        <w:rPr>
          <w:sz w:val="20"/>
        </w:rPr>
        <w:t>facilitar el uso de la P.I. en aras del desarrollo, fomentar los servicios mundiales de P.I. de la OMPI y apoyar e impulsar el Centro de Arbitraje y Mediación de la OMPI en Singapur.</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Se seguirá prestando especial atención a la subregión de la Asociación de Naciones de</w:t>
      </w:r>
      <w:r w:rsidR="001C42F2">
        <w:rPr>
          <w:sz w:val="20"/>
        </w:rPr>
        <w:t>l</w:t>
      </w:r>
      <w:r w:rsidRPr="00ED4DE9">
        <w:rPr>
          <w:sz w:val="20"/>
        </w:rPr>
        <w:t xml:space="preserve"> Asia Sudoriental (ASEAN) contribuyendo a la puesta en práctica del Plan de Acción de la ASEAN en materia de P.I. (201</w:t>
      </w:r>
      <w:r>
        <w:rPr>
          <w:sz w:val="20"/>
        </w:rPr>
        <w:t>6</w:t>
      </w:r>
      <w:r w:rsidRPr="00ED4DE9">
        <w:rPr>
          <w:sz w:val="20"/>
        </w:rPr>
        <w:t>-20</w:t>
      </w:r>
      <w:r>
        <w:rPr>
          <w:sz w:val="20"/>
        </w:rPr>
        <w:t>2</w:t>
      </w:r>
      <w:r w:rsidRPr="00ED4DE9">
        <w:rPr>
          <w:sz w:val="20"/>
        </w:rPr>
        <w:t xml:space="preserve">5), de conformidad con los planes y las estrategias nacionales de P.I. del país.  En ese sentido, será fundamental </w:t>
      </w:r>
      <w:r>
        <w:rPr>
          <w:sz w:val="20"/>
        </w:rPr>
        <w:t>colaborar</w:t>
      </w:r>
      <w:r w:rsidRPr="00ED4DE9">
        <w:rPr>
          <w:sz w:val="20"/>
        </w:rPr>
        <w:t xml:space="preserve"> estrechamente con el Grupo de Trabajo de la ASEAN sobre cooperación en materia de propiedad intelectual (AWGIPC) y la Secretaría de la ASEAN.</w:t>
      </w:r>
    </w:p>
    <w:p w:rsidR="00F74B7D" w:rsidRPr="00ED4DE9" w:rsidRDefault="00F74B7D" w:rsidP="00F74B7D">
      <w:pPr>
        <w:jc w:val="both"/>
        <w:rPr>
          <w:sz w:val="20"/>
        </w:rPr>
      </w:pPr>
    </w:p>
    <w:p w:rsidR="00F74B7D" w:rsidRPr="00ED4DE9" w:rsidRDefault="00F74B7D" w:rsidP="006561F7">
      <w:pPr>
        <w:keepNext/>
        <w:keepLines/>
        <w:jc w:val="both"/>
        <w:rPr>
          <w:sz w:val="20"/>
          <w:u w:val="single"/>
        </w:rPr>
      </w:pPr>
      <w:r w:rsidRPr="00ED4DE9">
        <w:rPr>
          <w:sz w:val="20"/>
          <w:u w:val="single"/>
        </w:rPr>
        <w:lastRenderedPageBreak/>
        <w:t>Oficina de la OMPI en el Brasil (OOB)</w:t>
      </w:r>
    </w:p>
    <w:p w:rsidR="00F74B7D" w:rsidRPr="00ED4DE9" w:rsidRDefault="00F74B7D" w:rsidP="006561F7">
      <w:pPr>
        <w:keepNext/>
        <w:keepLines/>
        <w:jc w:val="both"/>
        <w:rPr>
          <w:sz w:val="20"/>
        </w:rPr>
      </w:pPr>
    </w:p>
    <w:p w:rsidR="00F74B7D" w:rsidRPr="00ED4DE9" w:rsidRDefault="00F74B7D" w:rsidP="006561F7">
      <w:pPr>
        <w:keepNext/>
        <w:keepLines/>
        <w:numPr>
          <w:ilvl w:val="0"/>
          <w:numId w:val="40"/>
        </w:numPr>
        <w:jc w:val="both"/>
        <w:rPr>
          <w:sz w:val="20"/>
        </w:rPr>
      </w:pPr>
      <w:r w:rsidRPr="00ED4DE9">
        <w:rPr>
          <w:sz w:val="20"/>
        </w:rPr>
        <w:t xml:space="preserve">En su calidad de centro de servicios de la OMPI en el Brasil, la Oficina de la OMPI en el Brasil (OOB) se centrará en fomentar los servicios mundiales de P.I. que presta la OMPI así como en facilitar el uso de la P.I. </w:t>
      </w:r>
      <w:r>
        <w:rPr>
          <w:sz w:val="20"/>
        </w:rPr>
        <w:t>para</w:t>
      </w:r>
      <w:r w:rsidRPr="00ED4DE9">
        <w:rPr>
          <w:sz w:val="20"/>
        </w:rPr>
        <w:t xml:space="preserve"> fortalecer las capacidades de recursos humanos en el Brasil y en otros países en desarrollo que tengan programas de cooperación con </w:t>
      </w:r>
      <w:r>
        <w:rPr>
          <w:sz w:val="20"/>
        </w:rPr>
        <w:t>dicho país</w:t>
      </w:r>
      <w:r w:rsidRPr="00ED4DE9">
        <w:rPr>
          <w:sz w:val="20"/>
        </w:rPr>
        <w:t>.</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La O</w:t>
      </w:r>
      <w:r>
        <w:rPr>
          <w:sz w:val="20"/>
        </w:rPr>
        <w:t>O</w:t>
      </w:r>
      <w:r w:rsidRPr="00ED4DE9">
        <w:rPr>
          <w:sz w:val="20"/>
        </w:rPr>
        <w:t>B gestiona dos fondos fiduciarios entre el Gobierno del Brasil y la OMPI, que, entre otras cosas, tienen por objeto fomentar una cultura de P.I. entre las instituciones internacionales y nacionales y los usuarios mediante la cooperación Sur-Sur</w:t>
      </w:r>
      <w:r>
        <w:rPr>
          <w:sz w:val="20"/>
        </w:rPr>
        <w:t xml:space="preserve"> establecida </w:t>
      </w:r>
      <w:r w:rsidRPr="00ED4DE9">
        <w:rPr>
          <w:sz w:val="20"/>
        </w:rPr>
        <w:t>entre los países en desarrollo</w:t>
      </w:r>
      <w:r>
        <w:rPr>
          <w:sz w:val="20"/>
        </w:rPr>
        <w:t>,</w:t>
      </w:r>
      <w:r w:rsidRPr="00ED4DE9">
        <w:rPr>
          <w:sz w:val="20"/>
        </w:rPr>
        <w:t xml:space="preserve"> dentro y fuera de la región de América Latina.</w:t>
      </w:r>
    </w:p>
    <w:p w:rsidR="00F74B7D" w:rsidRPr="00ED4DE9" w:rsidRDefault="00F74B7D" w:rsidP="00F74B7D">
      <w:pPr>
        <w:jc w:val="both"/>
        <w:rPr>
          <w:sz w:val="20"/>
        </w:rPr>
      </w:pPr>
    </w:p>
    <w:p w:rsidR="00F74B7D" w:rsidRPr="00ED4DE9" w:rsidRDefault="00F74B7D" w:rsidP="00F74B7D">
      <w:pPr>
        <w:jc w:val="both"/>
        <w:rPr>
          <w:sz w:val="20"/>
          <w:u w:val="single"/>
        </w:rPr>
      </w:pPr>
      <w:r w:rsidRPr="00ED4DE9">
        <w:rPr>
          <w:sz w:val="20"/>
          <w:u w:val="single"/>
        </w:rPr>
        <w:t>Oficina de la OMPI en el Japón (OOJ)</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La Oficina de la OMPI en el Japón (OOJ) fortalecerá su papel en cuanto que centro de servicios de la OMPI en el Japón haciendo hincapié, en particular, en el fomento de los servicios mundiales de P.I. de la OMPI destinados a los usuarios actuales y potenciales.  Los logros en este ámbito se alcanzarán estrechando la cooperación con las instituciones, el sector académico, el sector privado y otros sectores interesados del Japón.</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La OOJ mantendrá su cooperación con el Gobierno del Japón en el marco del acuerdo de fondos fiduciarios para llevar a cabo actividades encaminadas a fortalecer las capacidades, reforzar la infraestructura técnica y mejorar el uso de la P.I. en las empresas, lo que incluye la ejecución de proyectos especiales como el perfeccionamiento de la base de datos IP </w:t>
      </w:r>
      <w:proofErr w:type="spellStart"/>
      <w:r w:rsidRPr="00ED4DE9">
        <w:rPr>
          <w:sz w:val="20"/>
        </w:rPr>
        <w:t>Advantage</w:t>
      </w:r>
      <w:proofErr w:type="spellEnd"/>
      <w:r w:rsidRPr="00ED4DE9">
        <w:rPr>
          <w:sz w:val="20"/>
        </w:rPr>
        <w:t xml:space="preserve">, en países situados principalmente en la región de Asia y el Pacífico. </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La OOJ prestará especial atención al fomento del Sistema de </w:t>
      </w:r>
      <w:r w:rsidR="003B0DF0">
        <w:rPr>
          <w:sz w:val="20"/>
        </w:rPr>
        <w:t>La Haya</w:t>
      </w:r>
      <w:r w:rsidRPr="00ED4DE9">
        <w:rPr>
          <w:sz w:val="20"/>
        </w:rPr>
        <w:t xml:space="preserve"> (teniendo en cuenta la ratificación del Arreglo de </w:t>
      </w:r>
      <w:r w:rsidR="003B0DF0">
        <w:rPr>
          <w:sz w:val="20"/>
        </w:rPr>
        <w:t>La Haya</w:t>
      </w:r>
      <w:r w:rsidRPr="00ED4DE9">
        <w:rPr>
          <w:sz w:val="20"/>
        </w:rPr>
        <w:t xml:space="preserve"> por el Japón en 2015) y</w:t>
      </w:r>
      <w:r>
        <w:rPr>
          <w:sz w:val="20"/>
        </w:rPr>
        <w:t xml:space="preserve"> a</w:t>
      </w:r>
      <w:r w:rsidRPr="00ED4DE9">
        <w:rPr>
          <w:sz w:val="20"/>
        </w:rPr>
        <w:t xml:space="preserve"> </w:t>
      </w:r>
      <w:r>
        <w:rPr>
          <w:sz w:val="20"/>
        </w:rPr>
        <w:t>lograr acercarse a</w:t>
      </w:r>
      <w:r w:rsidRPr="00ED4DE9">
        <w:rPr>
          <w:sz w:val="20"/>
        </w:rPr>
        <w:t xml:space="preserve"> las pymes para </w:t>
      </w:r>
      <w:r>
        <w:rPr>
          <w:sz w:val="20"/>
        </w:rPr>
        <w:t>alentarlas</w:t>
      </w:r>
      <w:r w:rsidRPr="00ED4DE9">
        <w:rPr>
          <w:sz w:val="20"/>
        </w:rPr>
        <w:t xml:space="preserve"> a que utilicen los servicios de la OMPI.</w:t>
      </w:r>
    </w:p>
    <w:p w:rsidR="00F74B7D" w:rsidRPr="00ED4DE9" w:rsidRDefault="00F74B7D" w:rsidP="00F74B7D">
      <w:pPr>
        <w:jc w:val="both"/>
        <w:rPr>
          <w:sz w:val="20"/>
        </w:rPr>
      </w:pPr>
    </w:p>
    <w:p w:rsidR="00F74B7D" w:rsidRPr="00ED4DE9" w:rsidRDefault="00F74B7D" w:rsidP="00F74B7D">
      <w:pPr>
        <w:jc w:val="both"/>
        <w:rPr>
          <w:sz w:val="20"/>
          <w:u w:val="single"/>
        </w:rPr>
      </w:pPr>
      <w:r w:rsidRPr="00ED4DE9">
        <w:rPr>
          <w:sz w:val="20"/>
          <w:u w:val="single"/>
        </w:rPr>
        <w:t xml:space="preserve">Oficina de la OMPI en China </w:t>
      </w:r>
      <w:r w:rsidR="001C42F2">
        <w:rPr>
          <w:sz w:val="20"/>
          <w:u w:val="single"/>
        </w:rPr>
        <w:t>(OOC)</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En la medida en que es una oficina relativamente nueva, la Oficina de la OMPI en China seguirá efectuando actividades </w:t>
      </w:r>
      <w:r>
        <w:rPr>
          <w:sz w:val="20"/>
        </w:rPr>
        <w:t xml:space="preserve">y poniendo en marcha </w:t>
      </w:r>
      <w:r w:rsidRPr="00ED4DE9">
        <w:rPr>
          <w:sz w:val="20"/>
        </w:rPr>
        <w:t xml:space="preserve">iniciativas concretas para seguir mejorando su papel como centro de servicios de la OMPI en China.  A ese respecto, revestirá especial importancia, en particular, el fomento de los servicios mundiales de P.I. de la OMPI para los usuarios actuales y potenciales.  Teniendo en cuenta el tamaño de China, </w:t>
      </w:r>
      <w:r>
        <w:rPr>
          <w:sz w:val="20"/>
        </w:rPr>
        <w:t>las tareas de divulgación</w:t>
      </w:r>
      <w:r w:rsidRPr="00ED4DE9">
        <w:rPr>
          <w:sz w:val="20"/>
        </w:rPr>
        <w:t xml:space="preserve"> en las regiones administrativas y territoriales del país constituirá</w:t>
      </w:r>
      <w:r>
        <w:rPr>
          <w:sz w:val="20"/>
        </w:rPr>
        <w:t>n</w:t>
      </w:r>
      <w:r w:rsidRPr="00ED4DE9">
        <w:rPr>
          <w:sz w:val="20"/>
        </w:rPr>
        <w:t xml:space="preserve"> un reto </w:t>
      </w:r>
      <w:r>
        <w:rPr>
          <w:sz w:val="20"/>
        </w:rPr>
        <w:t>importante</w:t>
      </w:r>
      <w:r w:rsidRPr="00ED4DE9">
        <w:rPr>
          <w:sz w:val="20"/>
        </w:rPr>
        <w:t>.  Así, los esfuerzos se destinarán a seguir estrechando la cooperación constructiva con el Gobierno de China y ampliar las actividades de divulgación al sector privado y otros sectores interesados, a</w:t>
      </w:r>
      <w:r>
        <w:rPr>
          <w:sz w:val="20"/>
        </w:rPr>
        <w:t>demás de</w:t>
      </w:r>
      <w:r w:rsidRPr="00ED4DE9">
        <w:rPr>
          <w:sz w:val="20"/>
        </w:rPr>
        <w:t xml:space="preserve"> estrechar los vínculos con los mismos.</w:t>
      </w:r>
    </w:p>
    <w:p w:rsidR="00F74B7D" w:rsidRPr="00ED4DE9" w:rsidRDefault="00F74B7D" w:rsidP="00F74B7D">
      <w:pPr>
        <w:jc w:val="both"/>
        <w:rPr>
          <w:sz w:val="20"/>
        </w:rPr>
      </w:pPr>
    </w:p>
    <w:p w:rsidR="00F74B7D" w:rsidRPr="00ED4DE9" w:rsidRDefault="00F74B7D" w:rsidP="00F74B7D">
      <w:pPr>
        <w:jc w:val="both"/>
        <w:rPr>
          <w:sz w:val="20"/>
          <w:u w:val="single"/>
        </w:rPr>
      </w:pPr>
      <w:r w:rsidRPr="00ED4DE9">
        <w:rPr>
          <w:sz w:val="20"/>
          <w:u w:val="single"/>
        </w:rPr>
        <w:t xml:space="preserve">Oficina de la OMPI en </w:t>
      </w:r>
      <w:r w:rsidR="001C42F2">
        <w:rPr>
          <w:sz w:val="20"/>
          <w:u w:val="single"/>
        </w:rPr>
        <w:t xml:space="preserve">la Federación de </w:t>
      </w:r>
      <w:r w:rsidRPr="00ED4DE9">
        <w:rPr>
          <w:sz w:val="20"/>
          <w:u w:val="single"/>
        </w:rPr>
        <w:t>Rusia</w:t>
      </w:r>
      <w:r w:rsidR="001C42F2">
        <w:rPr>
          <w:sz w:val="20"/>
          <w:u w:val="single"/>
        </w:rPr>
        <w:t xml:space="preserve"> (OOR)</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 xml:space="preserve">La Oficina de la OMPI en </w:t>
      </w:r>
      <w:r w:rsidR="001C42F2">
        <w:rPr>
          <w:sz w:val="20"/>
        </w:rPr>
        <w:t xml:space="preserve">la Federación de </w:t>
      </w:r>
      <w:r w:rsidRPr="00ED4DE9">
        <w:rPr>
          <w:sz w:val="20"/>
        </w:rPr>
        <w:t xml:space="preserve">Rusia fue creada en 2014 y, por ello, </w:t>
      </w:r>
      <w:r>
        <w:rPr>
          <w:sz w:val="20"/>
        </w:rPr>
        <w:t>procurará activamente</w:t>
      </w:r>
      <w:r w:rsidRPr="00ED4DE9">
        <w:rPr>
          <w:sz w:val="20"/>
        </w:rPr>
        <w:t xml:space="preserve"> consolidar su papel </w:t>
      </w:r>
      <w:r>
        <w:rPr>
          <w:sz w:val="20"/>
        </w:rPr>
        <w:t>como</w:t>
      </w:r>
      <w:r w:rsidRPr="00ED4DE9">
        <w:rPr>
          <w:sz w:val="20"/>
        </w:rPr>
        <w:t xml:space="preserve"> centro de servicios de la OMPI en la Federación de Rusia.  En este sentido, será especialmente importante impulsar los servicios mundiales de P.I. de la OMPI.  Dado el tamaño de la Federación de Rusia, </w:t>
      </w:r>
      <w:r>
        <w:rPr>
          <w:sz w:val="20"/>
        </w:rPr>
        <w:t xml:space="preserve">las tareas de divulgación </w:t>
      </w:r>
      <w:r w:rsidRPr="00ED4DE9">
        <w:rPr>
          <w:sz w:val="20"/>
        </w:rPr>
        <w:t>en las diferentes regiones del país constituirá</w:t>
      </w:r>
      <w:r>
        <w:rPr>
          <w:sz w:val="20"/>
        </w:rPr>
        <w:t>n</w:t>
      </w:r>
      <w:r w:rsidRPr="00ED4DE9">
        <w:rPr>
          <w:sz w:val="20"/>
        </w:rPr>
        <w:t xml:space="preserve"> un reto </w:t>
      </w:r>
      <w:r>
        <w:rPr>
          <w:sz w:val="20"/>
        </w:rPr>
        <w:t>importante</w:t>
      </w:r>
      <w:r w:rsidRPr="00ED4DE9">
        <w:rPr>
          <w:sz w:val="20"/>
        </w:rPr>
        <w:t xml:space="preserve">.  También tendrá una importancia especial la consolidación de la cooperación constructiva con el Gobierno de la Federación de Rusia así como las campañas de divulgación destinadas al sector académico y otros sectores interesados. </w:t>
      </w:r>
    </w:p>
    <w:p w:rsidR="00F74B7D" w:rsidRPr="00ED4DE9" w:rsidRDefault="00F74B7D" w:rsidP="00F74B7D">
      <w:pPr>
        <w:jc w:val="both"/>
        <w:rPr>
          <w:sz w:val="20"/>
        </w:rPr>
      </w:pPr>
    </w:p>
    <w:p w:rsidR="00F74B7D" w:rsidRPr="00ED4DE9" w:rsidRDefault="00F74B7D" w:rsidP="00F74B7D">
      <w:pPr>
        <w:numPr>
          <w:ilvl w:val="0"/>
          <w:numId w:val="40"/>
        </w:numPr>
        <w:jc w:val="both"/>
        <w:rPr>
          <w:sz w:val="20"/>
        </w:rPr>
      </w:pPr>
      <w:r w:rsidRPr="00ED4DE9">
        <w:rPr>
          <w:sz w:val="20"/>
        </w:rPr>
        <w:t>La Oficina de la OMPI en Rusia se centrará, en particular, en la ejecución de programas</w:t>
      </w:r>
      <w:r w:rsidR="001C42F2" w:rsidRPr="00ED4DE9">
        <w:rPr>
          <w:sz w:val="20"/>
        </w:rPr>
        <w:t xml:space="preserve"> concretos y adaptados a cada caso</w:t>
      </w:r>
      <w:r w:rsidRPr="00ED4DE9">
        <w:rPr>
          <w:sz w:val="20"/>
        </w:rPr>
        <w:t xml:space="preserve"> de asistencia técnica y fortalecimiento de capacidades, lo que incluye la prestación de apoyo continuado  al desarrollo de redes nacionales de CATI sostenibles.</w:t>
      </w:r>
    </w:p>
    <w:p w:rsidR="00F74B7D" w:rsidRPr="00ED4DE9" w:rsidRDefault="00F74B7D" w:rsidP="00F74B7D">
      <w:pPr>
        <w:jc w:val="both"/>
        <w:rPr>
          <w:sz w:val="20"/>
        </w:rPr>
      </w:pPr>
    </w:p>
    <w:p w:rsidR="0062624E" w:rsidRPr="00F74B7D" w:rsidRDefault="0062624E" w:rsidP="0062624E">
      <w:pPr>
        <w:jc w:val="both"/>
        <w:rPr>
          <w:sz w:val="20"/>
          <w:highlight w:val="lightGray"/>
        </w:rPr>
      </w:pPr>
    </w:p>
    <w:p w:rsidR="0062624E" w:rsidRPr="00F74B7D" w:rsidRDefault="00946521" w:rsidP="00C36A29">
      <w:pPr>
        <w:keepNext/>
        <w:keepLines/>
        <w:rPr>
          <w:highlight w:val="lightGray"/>
        </w:rPr>
      </w:pPr>
      <w:r w:rsidRPr="00F74B7D">
        <w:lastRenderedPageBreak/>
        <w:t>PRINCIPALES RIESGOS Y ESTRATEGIAS DE MITIGACIÓN</w:t>
      </w:r>
    </w:p>
    <w:p w:rsidR="00F74B7D" w:rsidRPr="0080529E" w:rsidRDefault="00F74B7D" w:rsidP="00C36A29">
      <w:pPr>
        <w:keepNext/>
        <w:keepLines/>
        <w:jc w:val="both"/>
        <w:rPr>
          <w:sz w:val="16"/>
          <w:szCs w:val="16"/>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111"/>
        <w:gridCol w:w="5103"/>
      </w:tblGrid>
      <w:tr w:rsidR="00F74B7D" w:rsidRPr="00F74B7D" w:rsidTr="00F922F0">
        <w:trPr>
          <w:trHeight w:val="577"/>
        </w:trPr>
        <w:tc>
          <w:tcPr>
            <w:tcW w:w="4111" w:type="dxa"/>
            <w:shd w:val="clear" w:color="auto" w:fill="B8CCE4" w:themeFill="accent1" w:themeFillTint="66"/>
            <w:vAlign w:val="center"/>
          </w:tcPr>
          <w:p w:rsidR="00F74B7D" w:rsidRPr="00F74B7D" w:rsidRDefault="00F74B7D" w:rsidP="00C36A29">
            <w:pPr>
              <w:keepNext/>
              <w:keepLines/>
              <w:jc w:val="center"/>
              <w:rPr>
                <w:b/>
                <w:bCs/>
                <w:sz w:val="18"/>
                <w:szCs w:val="18"/>
              </w:rPr>
            </w:pPr>
            <w:r w:rsidRPr="00F74B7D">
              <w:rPr>
                <w:b/>
                <w:bCs/>
                <w:sz w:val="18"/>
                <w:szCs w:val="18"/>
              </w:rPr>
              <w:t>Riesgo</w:t>
            </w:r>
          </w:p>
        </w:tc>
        <w:tc>
          <w:tcPr>
            <w:tcW w:w="5103" w:type="dxa"/>
            <w:shd w:val="clear" w:color="auto" w:fill="B8CCE4" w:themeFill="accent1" w:themeFillTint="66"/>
            <w:vAlign w:val="center"/>
          </w:tcPr>
          <w:p w:rsidR="00F74B7D" w:rsidRPr="00F74B7D" w:rsidRDefault="00F74B7D" w:rsidP="00C36A29">
            <w:pPr>
              <w:keepNext/>
              <w:keepLines/>
              <w:jc w:val="center"/>
              <w:rPr>
                <w:b/>
                <w:bCs/>
                <w:sz w:val="18"/>
                <w:szCs w:val="18"/>
              </w:rPr>
            </w:pPr>
            <w:r w:rsidRPr="00F74B7D">
              <w:rPr>
                <w:b/>
                <w:bCs/>
                <w:sz w:val="18"/>
                <w:szCs w:val="18"/>
              </w:rPr>
              <w:t>Mitigación</w:t>
            </w:r>
          </w:p>
        </w:tc>
      </w:tr>
      <w:tr w:rsidR="00F74B7D" w:rsidRPr="00F74B7D" w:rsidTr="00F922F0">
        <w:trPr>
          <w:trHeight w:val="791"/>
        </w:trPr>
        <w:tc>
          <w:tcPr>
            <w:tcW w:w="4111" w:type="dxa"/>
            <w:shd w:val="clear" w:color="auto" w:fill="auto"/>
            <w:tcMar>
              <w:top w:w="72" w:type="dxa"/>
              <w:left w:w="72" w:type="dxa"/>
              <w:bottom w:w="72" w:type="dxa"/>
              <w:right w:w="72" w:type="dxa"/>
            </w:tcMar>
          </w:tcPr>
          <w:p w:rsidR="00F74B7D" w:rsidRPr="00F74B7D" w:rsidRDefault="00F74B7D" w:rsidP="00C36A29">
            <w:pPr>
              <w:keepNext/>
              <w:keepLines/>
              <w:rPr>
                <w:sz w:val="16"/>
                <w:szCs w:val="16"/>
              </w:rPr>
            </w:pPr>
            <w:r w:rsidRPr="00F74B7D">
              <w:rPr>
                <w:sz w:val="16"/>
                <w:szCs w:val="16"/>
              </w:rPr>
              <w:t>La separación geográfica de las oficinas en el exterior con respecto a la sede puede ocasionar una fragmentación en la coordinación y la comunicación.</w:t>
            </w:r>
          </w:p>
        </w:tc>
        <w:tc>
          <w:tcPr>
            <w:tcW w:w="5103" w:type="dxa"/>
            <w:shd w:val="clear" w:color="auto" w:fill="auto"/>
            <w:tcMar>
              <w:top w:w="72" w:type="dxa"/>
              <w:left w:w="72" w:type="dxa"/>
              <w:bottom w:w="72" w:type="dxa"/>
              <w:right w:w="72" w:type="dxa"/>
            </w:tcMar>
          </w:tcPr>
          <w:p w:rsidR="00F74B7D" w:rsidRPr="00F74B7D" w:rsidRDefault="00F74B7D" w:rsidP="00C36A29">
            <w:pPr>
              <w:keepNext/>
              <w:keepLines/>
              <w:rPr>
                <w:sz w:val="16"/>
                <w:szCs w:val="16"/>
              </w:rPr>
            </w:pPr>
            <w:r w:rsidRPr="00F74B7D">
              <w:rPr>
                <w:sz w:val="16"/>
                <w:szCs w:val="16"/>
              </w:rPr>
              <w:t>Mantener un compromiso decidido, constante y estructurado para asegurar que la labor de las Oficinas en el exterior se integra plenamente en una red coherente y coordinada, en consonancia con el marco de resultados, los planes de trabajo y el funcionamiento cotidiano de la Organización.</w:t>
            </w:r>
          </w:p>
        </w:tc>
      </w:tr>
    </w:tbl>
    <w:p w:rsidR="00F74B7D" w:rsidRPr="0080529E" w:rsidRDefault="00F74B7D" w:rsidP="00F74B7D">
      <w:pPr>
        <w:jc w:val="both"/>
        <w:rPr>
          <w:sz w:val="16"/>
          <w:szCs w:val="16"/>
        </w:rPr>
      </w:pPr>
    </w:p>
    <w:p w:rsidR="00F74B7D" w:rsidRPr="0080529E" w:rsidRDefault="00F74B7D" w:rsidP="00F74B7D">
      <w:pPr>
        <w:jc w:val="both"/>
        <w:rPr>
          <w:sz w:val="16"/>
          <w:szCs w:val="16"/>
        </w:rPr>
      </w:pPr>
    </w:p>
    <w:p w:rsidR="00F74B7D" w:rsidRPr="00F74B7D" w:rsidRDefault="00F74B7D" w:rsidP="00F74B7D">
      <w:pPr>
        <w:jc w:val="both"/>
      </w:pPr>
      <w:r w:rsidRPr="00F74B7D">
        <w:t>MARCO DE RESULTADOS</w:t>
      </w:r>
    </w:p>
    <w:p w:rsidR="00F74B7D" w:rsidRPr="0080529E" w:rsidRDefault="00F74B7D" w:rsidP="00F74B7D">
      <w:pPr>
        <w:jc w:val="both"/>
        <w:rPr>
          <w:sz w:val="16"/>
          <w:szCs w:val="16"/>
        </w:rPr>
      </w:pPr>
    </w:p>
    <w:tbl>
      <w:tblPr>
        <w:tblW w:w="9229" w:type="dxa"/>
        <w:tblInd w:w="93" w:type="dxa"/>
        <w:tblLook w:val="04A0" w:firstRow="1" w:lastRow="0" w:firstColumn="1" w:lastColumn="0" w:noHBand="0" w:noVBand="1"/>
      </w:tblPr>
      <w:tblGrid>
        <w:gridCol w:w="2380"/>
        <w:gridCol w:w="2380"/>
        <w:gridCol w:w="2380"/>
        <w:gridCol w:w="2089"/>
      </w:tblGrid>
      <w:tr w:rsidR="00F74B7D" w:rsidRPr="004B02F2" w:rsidTr="0080529E">
        <w:trPr>
          <w:trHeight w:val="553"/>
          <w:tblHeader/>
        </w:trPr>
        <w:tc>
          <w:tcPr>
            <w:tcW w:w="238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F74B7D" w:rsidRPr="004B02F2" w:rsidRDefault="00F74B7D" w:rsidP="00112CCF">
            <w:pPr>
              <w:jc w:val="center"/>
              <w:rPr>
                <w:b/>
                <w:bCs/>
                <w:sz w:val="18"/>
                <w:szCs w:val="18"/>
              </w:rPr>
            </w:pPr>
            <w:r w:rsidRPr="004B02F2">
              <w:rPr>
                <w:b/>
                <w:bCs/>
                <w:sz w:val="18"/>
                <w:szCs w:val="18"/>
              </w:rPr>
              <w:t xml:space="preserve">Resultados previstos </w:t>
            </w:r>
          </w:p>
        </w:tc>
        <w:tc>
          <w:tcPr>
            <w:tcW w:w="2380" w:type="dxa"/>
            <w:tcBorders>
              <w:top w:val="single" w:sz="4" w:space="0" w:color="auto"/>
              <w:left w:val="nil"/>
              <w:bottom w:val="single" w:sz="4" w:space="0" w:color="auto"/>
              <w:right w:val="nil"/>
            </w:tcBorders>
            <w:shd w:val="clear" w:color="auto" w:fill="C6D9F1" w:themeFill="text2" w:themeFillTint="33"/>
            <w:vAlign w:val="center"/>
          </w:tcPr>
          <w:p w:rsidR="00F74B7D" w:rsidRPr="004B02F2" w:rsidRDefault="00F74B7D" w:rsidP="00F922F0">
            <w:pPr>
              <w:jc w:val="center"/>
              <w:rPr>
                <w:b/>
                <w:bCs/>
                <w:sz w:val="18"/>
                <w:szCs w:val="18"/>
              </w:rPr>
            </w:pPr>
            <w:r w:rsidRPr="004B02F2">
              <w:rPr>
                <w:b/>
                <w:bCs/>
                <w:sz w:val="18"/>
                <w:szCs w:val="18"/>
              </w:rPr>
              <w:t>Indicadores de rendimiento</w:t>
            </w:r>
          </w:p>
        </w:tc>
        <w:tc>
          <w:tcPr>
            <w:tcW w:w="2380" w:type="dxa"/>
            <w:tcBorders>
              <w:top w:val="single" w:sz="4" w:space="0" w:color="auto"/>
              <w:left w:val="nil"/>
              <w:bottom w:val="single" w:sz="4" w:space="0" w:color="auto"/>
              <w:right w:val="nil"/>
            </w:tcBorders>
            <w:shd w:val="clear" w:color="auto" w:fill="C6D9F1" w:themeFill="text2" w:themeFillTint="33"/>
            <w:vAlign w:val="center"/>
          </w:tcPr>
          <w:p w:rsidR="00F74B7D" w:rsidRPr="004B02F2" w:rsidRDefault="00F74B7D" w:rsidP="00F922F0">
            <w:pPr>
              <w:jc w:val="center"/>
              <w:rPr>
                <w:b/>
                <w:bCs/>
                <w:sz w:val="18"/>
                <w:szCs w:val="18"/>
              </w:rPr>
            </w:pPr>
            <w:r w:rsidRPr="004B02F2">
              <w:rPr>
                <w:b/>
                <w:bCs/>
                <w:sz w:val="18"/>
                <w:szCs w:val="18"/>
              </w:rPr>
              <w:t>Referencia</w:t>
            </w:r>
          </w:p>
        </w:tc>
        <w:tc>
          <w:tcPr>
            <w:tcW w:w="2089" w:type="dxa"/>
            <w:tcBorders>
              <w:top w:val="single" w:sz="4" w:space="0" w:color="auto"/>
              <w:left w:val="nil"/>
              <w:bottom w:val="single" w:sz="4" w:space="0" w:color="auto"/>
              <w:right w:val="single" w:sz="4" w:space="0" w:color="auto"/>
            </w:tcBorders>
            <w:shd w:val="clear" w:color="auto" w:fill="C6D9F1" w:themeFill="text2" w:themeFillTint="33"/>
            <w:vAlign w:val="center"/>
          </w:tcPr>
          <w:p w:rsidR="00F74B7D" w:rsidRPr="004B02F2" w:rsidRDefault="00F74B7D" w:rsidP="00F922F0">
            <w:pPr>
              <w:jc w:val="center"/>
              <w:rPr>
                <w:b/>
                <w:bCs/>
                <w:sz w:val="18"/>
                <w:szCs w:val="18"/>
              </w:rPr>
            </w:pPr>
            <w:r w:rsidRPr="004B02F2">
              <w:rPr>
                <w:b/>
                <w:bCs/>
                <w:sz w:val="18"/>
                <w:szCs w:val="18"/>
              </w:rPr>
              <w:t>Objetivos</w:t>
            </w:r>
          </w:p>
        </w:tc>
      </w:tr>
      <w:tr w:rsidR="00F74B7D" w:rsidRPr="000B01F1" w:rsidTr="0080529E">
        <w:trPr>
          <w:trHeight w:val="1255"/>
        </w:trPr>
        <w:tc>
          <w:tcPr>
            <w:tcW w:w="2380" w:type="dxa"/>
            <w:tcBorders>
              <w:top w:val="single" w:sz="4" w:space="0" w:color="auto"/>
              <w:left w:val="single" w:sz="4" w:space="0" w:color="auto"/>
              <w:bottom w:val="nil"/>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I</w:t>
            </w:r>
            <w:r w:rsidRPr="001C42F2">
              <w:rPr>
                <w:sz w:val="16"/>
                <w:szCs w:val="16"/>
              </w:rPr>
              <w:t>.1</w:t>
            </w:r>
            <w:r w:rsidR="00E74047" w:rsidRPr="001C42F2">
              <w:rPr>
                <w:sz w:val="16"/>
                <w:szCs w:val="16"/>
              </w:rPr>
              <w:t xml:space="preserve"> </w:t>
            </w:r>
            <w:r w:rsidRPr="001C42F2">
              <w:rPr>
                <w:sz w:val="16"/>
                <w:szCs w:val="16"/>
              </w:rPr>
              <w:t xml:space="preserve"> </w:t>
            </w:r>
            <w:r w:rsidR="00BF4D0F" w:rsidRPr="001C42F2">
              <w:rPr>
                <w:sz w:val="16"/>
                <w:szCs w:val="16"/>
              </w:rPr>
              <w:t>Mayor cooperación entre los Estados miembros en la elaboración de marcos normativos internacionales de P.I. equilibrados</w:t>
            </w:r>
          </w:p>
        </w:tc>
        <w:tc>
          <w:tcPr>
            <w:tcW w:w="2380" w:type="dxa"/>
            <w:tcBorders>
              <w:top w:val="single" w:sz="4" w:space="0" w:color="auto"/>
              <w:left w:val="nil"/>
              <w:bottom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ratificaciones o de adhesiones al Tratado de Marrakech.</w:t>
            </w:r>
            <w:r w:rsidRPr="004B02F2">
              <w:rPr>
                <w:color w:val="000000"/>
                <w:sz w:val="16"/>
                <w:szCs w:val="16"/>
              </w:rPr>
              <w:br/>
            </w:r>
            <w:r w:rsidRPr="004B02F2">
              <w:rPr>
                <w:color w:val="000000"/>
                <w:sz w:val="16"/>
                <w:szCs w:val="16"/>
              </w:rPr>
              <w:br/>
            </w:r>
            <w:r w:rsidRPr="004B02F2">
              <w:rPr>
                <w:color w:val="000000"/>
                <w:sz w:val="16"/>
                <w:szCs w:val="16"/>
              </w:rPr>
              <w:br/>
            </w:r>
          </w:p>
        </w:tc>
        <w:tc>
          <w:tcPr>
            <w:tcW w:w="2380" w:type="dxa"/>
            <w:tcBorders>
              <w:top w:val="single" w:sz="4" w:space="0" w:color="auto"/>
              <w:left w:val="nil"/>
              <w:bottom w:val="nil"/>
              <w:right w:val="nil"/>
            </w:tcBorders>
          </w:tcPr>
          <w:p w:rsidR="00F74B7D" w:rsidRPr="004B02F2" w:rsidRDefault="00F74B7D" w:rsidP="00F922F0">
            <w:pPr>
              <w:rPr>
                <w:color w:val="000000"/>
                <w:sz w:val="16"/>
                <w:szCs w:val="16"/>
                <w:lang w:val="en-US"/>
              </w:rPr>
            </w:pPr>
            <w:r w:rsidRPr="004B02F2">
              <w:rPr>
                <w:color w:val="000000"/>
                <w:sz w:val="16"/>
                <w:szCs w:val="16"/>
                <w:lang w:val="en-US"/>
              </w:rPr>
              <w:t>0 (OOS)</w:t>
            </w:r>
            <w:r w:rsidRPr="004B02F2">
              <w:rPr>
                <w:color w:val="000000"/>
                <w:sz w:val="16"/>
                <w:szCs w:val="16"/>
                <w:lang w:val="en-US"/>
              </w:rPr>
              <w:br/>
              <w:t xml:space="preserve">0 (OOB)   </w:t>
            </w:r>
            <w:r w:rsidRPr="004B02F2">
              <w:rPr>
                <w:color w:val="000000"/>
                <w:sz w:val="16"/>
                <w:szCs w:val="16"/>
                <w:lang w:val="en-US"/>
              </w:rPr>
              <w:br/>
              <w:t>0 (OOJ)</w:t>
            </w:r>
            <w:r w:rsidRPr="004B02F2">
              <w:rPr>
                <w:color w:val="000000"/>
                <w:sz w:val="16"/>
                <w:szCs w:val="16"/>
                <w:lang w:val="en-US"/>
              </w:rPr>
              <w:br/>
              <w:t xml:space="preserve">0 (OOR)  </w:t>
            </w:r>
            <w:r w:rsidRPr="004B02F2">
              <w:rPr>
                <w:color w:val="000000"/>
                <w:sz w:val="16"/>
                <w:szCs w:val="16"/>
                <w:lang w:val="en-US"/>
              </w:rPr>
              <w:br/>
              <w:t>0 (OOC)</w:t>
            </w:r>
            <w:r w:rsidRPr="004B02F2">
              <w:rPr>
                <w:color w:val="000000"/>
                <w:sz w:val="16"/>
                <w:szCs w:val="16"/>
                <w:lang w:val="en-US"/>
              </w:rPr>
              <w:br/>
              <w:t xml:space="preserve">                                                 </w:t>
            </w:r>
          </w:p>
        </w:tc>
        <w:tc>
          <w:tcPr>
            <w:tcW w:w="2089" w:type="dxa"/>
            <w:tcBorders>
              <w:top w:val="single" w:sz="4" w:space="0" w:color="auto"/>
              <w:left w:val="nil"/>
              <w:bottom w:val="nil"/>
              <w:right w:val="single" w:sz="4" w:space="0" w:color="auto"/>
            </w:tcBorders>
          </w:tcPr>
          <w:p w:rsidR="00F74B7D" w:rsidRPr="004B02F2" w:rsidRDefault="00F74B7D" w:rsidP="00F922F0">
            <w:pPr>
              <w:rPr>
                <w:sz w:val="16"/>
                <w:szCs w:val="16"/>
                <w:lang w:val="en-US"/>
              </w:rPr>
            </w:pPr>
            <w:r w:rsidRPr="004B02F2">
              <w:rPr>
                <w:sz w:val="16"/>
                <w:szCs w:val="16"/>
                <w:lang w:val="en-US"/>
              </w:rPr>
              <w:t>2(OOS)</w:t>
            </w:r>
          </w:p>
          <w:p w:rsidR="00F74B7D" w:rsidRPr="004B02F2" w:rsidRDefault="00F74B7D" w:rsidP="00F922F0">
            <w:pPr>
              <w:rPr>
                <w:color w:val="000000"/>
                <w:sz w:val="16"/>
                <w:szCs w:val="16"/>
                <w:lang w:val="en-US"/>
              </w:rPr>
            </w:pPr>
            <w:r w:rsidRPr="004B02F2">
              <w:rPr>
                <w:color w:val="000000"/>
                <w:sz w:val="16"/>
                <w:szCs w:val="16"/>
                <w:lang w:val="en-US"/>
              </w:rPr>
              <w:t>1(OOB)</w:t>
            </w:r>
          </w:p>
          <w:p w:rsidR="00F74B7D" w:rsidRPr="004B02F2" w:rsidRDefault="00F74B7D" w:rsidP="00F922F0">
            <w:pPr>
              <w:rPr>
                <w:sz w:val="16"/>
                <w:szCs w:val="16"/>
                <w:lang w:val="en-US"/>
              </w:rPr>
            </w:pPr>
            <w:r w:rsidRPr="004B02F2">
              <w:rPr>
                <w:color w:val="000000"/>
                <w:sz w:val="16"/>
                <w:szCs w:val="16"/>
                <w:lang w:val="en-US"/>
              </w:rPr>
              <w:t>1(OOJ)</w:t>
            </w:r>
            <w:r w:rsidRPr="004B02F2">
              <w:rPr>
                <w:color w:val="000000"/>
                <w:sz w:val="16"/>
                <w:szCs w:val="16"/>
                <w:lang w:val="en-US"/>
              </w:rPr>
              <w:br/>
              <w:t xml:space="preserve">1(OOR)  </w:t>
            </w:r>
            <w:r w:rsidRPr="004B02F2">
              <w:rPr>
                <w:color w:val="000000"/>
                <w:sz w:val="16"/>
                <w:szCs w:val="16"/>
                <w:lang w:val="en-US"/>
              </w:rPr>
              <w:br/>
              <w:t>1(OOC)</w:t>
            </w:r>
            <w:r w:rsidRPr="004B02F2">
              <w:rPr>
                <w:color w:val="000000"/>
                <w:sz w:val="16"/>
                <w:szCs w:val="16"/>
                <w:lang w:val="en-US"/>
              </w:rPr>
              <w:br/>
            </w:r>
          </w:p>
        </w:tc>
      </w:tr>
      <w:tr w:rsidR="00F74B7D" w:rsidRPr="004B02F2" w:rsidTr="0080529E">
        <w:trPr>
          <w:trHeight w:val="344"/>
        </w:trPr>
        <w:tc>
          <w:tcPr>
            <w:tcW w:w="2380" w:type="dxa"/>
            <w:tcBorders>
              <w:top w:val="nil"/>
              <w:left w:val="single" w:sz="4" w:space="0" w:color="auto"/>
              <w:right w:val="nil"/>
            </w:tcBorders>
            <w:shd w:val="clear" w:color="auto" w:fill="auto"/>
            <w:tcMar>
              <w:top w:w="85" w:type="dxa"/>
            </w:tcMar>
            <w:hideMark/>
          </w:tcPr>
          <w:p w:rsidR="00F74B7D" w:rsidRPr="004B02F2" w:rsidRDefault="00F74B7D" w:rsidP="00112CCF">
            <w:pPr>
              <w:rPr>
                <w:sz w:val="16"/>
                <w:szCs w:val="16"/>
                <w:lang w:val="en-US"/>
              </w:rPr>
            </w:pPr>
            <w:r w:rsidRPr="004B02F2">
              <w:rPr>
                <w:sz w:val="16"/>
                <w:szCs w:val="16"/>
                <w:lang w:val="en-US"/>
              </w:rPr>
              <w:t> </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ratificaciones o de adhesiones al Tratado de Beijing.</w:t>
            </w:r>
          </w:p>
          <w:p w:rsidR="00F74B7D" w:rsidRPr="004B02F2" w:rsidRDefault="00F74B7D" w:rsidP="00F922F0">
            <w:pPr>
              <w:rPr>
                <w:color w:val="000000"/>
                <w:sz w:val="16"/>
                <w:szCs w:val="16"/>
              </w:rPr>
            </w:pP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0 (OOS)</w:t>
            </w:r>
            <w:r w:rsidRPr="004B02F2">
              <w:rPr>
                <w:color w:val="000000"/>
                <w:sz w:val="16"/>
                <w:szCs w:val="16"/>
              </w:rPr>
              <w:br/>
              <w:t xml:space="preserve">0 (OOR) </w:t>
            </w:r>
          </w:p>
          <w:p w:rsidR="00F74B7D" w:rsidRPr="004B02F2" w:rsidRDefault="00F74B7D" w:rsidP="00F922F0">
            <w:pPr>
              <w:rPr>
                <w:color w:val="000000"/>
                <w:sz w:val="16"/>
                <w:szCs w:val="16"/>
              </w:rPr>
            </w:pPr>
            <w:r w:rsidRPr="004B02F2">
              <w:rPr>
                <w:color w:val="000000"/>
                <w:sz w:val="16"/>
                <w:szCs w:val="16"/>
              </w:rPr>
              <w:t xml:space="preserve">                          </w:t>
            </w:r>
          </w:p>
        </w:tc>
        <w:tc>
          <w:tcPr>
            <w:tcW w:w="2089" w:type="dxa"/>
            <w:tcBorders>
              <w:top w:val="nil"/>
              <w:left w:val="nil"/>
              <w:right w:val="single" w:sz="4" w:space="0" w:color="auto"/>
            </w:tcBorders>
          </w:tcPr>
          <w:p w:rsidR="00F74B7D" w:rsidRPr="004B02F2" w:rsidRDefault="00F74B7D" w:rsidP="00F922F0">
            <w:pPr>
              <w:rPr>
                <w:sz w:val="16"/>
                <w:szCs w:val="16"/>
              </w:rPr>
            </w:pPr>
            <w:r w:rsidRPr="004B02F2">
              <w:rPr>
                <w:sz w:val="16"/>
                <w:szCs w:val="16"/>
              </w:rPr>
              <w:t>2(OOS)</w:t>
            </w:r>
          </w:p>
          <w:p w:rsidR="00F74B7D" w:rsidRPr="004B02F2" w:rsidRDefault="00F74B7D" w:rsidP="00F922F0">
            <w:pPr>
              <w:rPr>
                <w:sz w:val="16"/>
                <w:szCs w:val="16"/>
              </w:rPr>
            </w:pPr>
            <w:r w:rsidRPr="004B02F2">
              <w:rPr>
                <w:color w:val="000000"/>
                <w:sz w:val="16"/>
                <w:szCs w:val="16"/>
              </w:rPr>
              <w:t xml:space="preserve">1(OOR)  </w:t>
            </w:r>
            <w:r w:rsidRPr="004B02F2">
              <w:rPr>
                <w:color w:val="000000"/>
                <w:sz w:val="16"/>
                <w:szCs w:val="16"/>
              </w:rPr>
              <w:br/>
            </w:r>
            <w:r w:rsidRPr="004B02F2">
              <w:rPr>
                <w:color w:val="000000"/>
                <w:sz w:val="16"/>
                <w:szCs w:val="16"/>
              </w:rPr>
              <w:br/>
            </w:r>
            <w:r w:rsidRPr="004B02F2">
              <w:rPr>
                <w:color w:val="FF0000"/>
                <w:sz w:val="16"/>
                <w:szCs w:val="16"/>
              </w:rPr>
              <w:t> </w:t>
            </w:r>
          </w:p>
        </w:tc>
      </w:tr>
      <w:tr w:rsidR="00F74B7D" w:rsidRPr="004B02F2" w:rsidTr="0080529E">
        <w:trPr>
          <w:trHeight w:val="716"/>
        </w:trPr>
        <w:tc>
          <w:tcPr>
            <w:tcW w:w="2380" w:type="dxa"/>
            <w:tcBorders>
              <w:top w:val="nil"/>
              <w:left w:val="single" w:sz="4" w:space="0" w:color="auto"/>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 </w:t>
            </w:r>
          </w:p>
        </w:tc>
        <w:tc>
          <w:tcPr>
            <w:tcW w:w="2380" w:type="dxa"/>
            <w:tcBorders>
              <w:top w:val="nil"/>
              <w:left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ratificaciones o de adhesiones al Tratado de Singapur.  </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1 (OOS)</w:t>
            </w:r>
            <w:r w:rsidRPr="004B02F2">
              <w:rPr>
                <w:color w:val="000000"/>
                <w:sz w:val="16"/>
                <w:szCs w:val="16"/>
              </w:rPr>
              <w:br/>
              <w:t>0 (OOJ)</w:t>
            </w:r>
          </w:p>
        </w:tc>
        <w:tc>
          <w:tcPr>
            <w:tcW w:w="2089" w:type="dxa"/>
            <w:tcBorders>
              <w:top w:val="nil"/>
              <w:left w:val="nil"/>
              <w:right w:val="single" w:sz="4" w:space="0" w:color="auto"/>
            </w:tcBorders>
          </w:tcPr>
          <w:p w:rsidR="00F74B7D" w:rsidRPr="004B02F2" w:rsidRDefault="00F74B7D" w:rsidP="00F922F0">
            <w:pPr>
              <w:rPr>
                <w:color w:val="000000"/>
                <w:sz w:val="16"/>
                <w:szCs w:val="16"/>
              </w:rPr>
            </w:pPr>
            <w:r w:rsidRPr="004B02F2">
              <w:rPr>
                <w:sz w:val="16"/>
                <w:szCs w:val="16"/>
              </w:rPr>
              <w:t xml:space="preserve">1 </w:t>
            </w:r>
            <w:r w:rsidRPr="004B02F2">
              <w:rPr>
                <w:color w:val="000000"/>
                <w:sz w:val="16"/>
                <w:szCs w:val="16"/>
              </w:rPr>
              <w:t>más (OOS)</w:t>
            </w:r>
          </w:p>
          <w:p w:rsidR="00F74B7D" w:rsidRPr="004B02F2" w:rsidRDefault="00F74B7D" w:rsidP="00F922F0">
            <w:pPr>
              <w:rPr>
                <w:sz w:val="16"/>
                <w:szCs w:val="16"/>
              </w:rPr>
            </w:pPr>
            <w:r w:rsidRPr="004B02F2">
              <w:rPr>
                <w:color w:val="000000"/>
                <w:sz w:val="16"/>
                <w:szCs w:val="16"/>
              </w:rPr>
              <w:t>1 (OOJ)</w:t>
            </w:r>
          </w:p>
        </w:tc>
      </w:tr>
      <w:tr w:rsidR="00F74B7D" w:rsidRPr="004B02F2" w:rsidTr="0080529E">
        <w:trPr>
          <w:trHeight w:val="1625"/>
        </w:trPr>
        <w:tc>
          <w:tcPr>
            <w:tcW w:w="2380" w:type="dxa"/>
            <w:tcBorders>
              <w:left w:val="single" w:sz="4" w:space="0" w:color="auto"/>
              <w:bottom w:val="nil"/>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 </w:t>
            </w:r>
          </w:p>
        </w:tc>
        <w:tc>
          <w:tcPr>
            <w:tcW w:w="2380" w:type="dxa"/>
            <w:tcBorders>
              <w:left w:val="nil"/>
              <w:bottom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 xml:space="preserve">º </w:t>
            </w:r>
            <w:r w:rsidRPr="004B02F2">
              <w:rPr>
                <w:color w:val="000000"/>
                <w:sz w:val="16"/>
                <w:szCs w:val="16"/>
              </w:rPr>
              <w:t>de ratificaciones o de adhesiones a los Tratados Internet.</w:t>
            </w:r>
          </w:p>
        </w:tc>
        <w:tc>
          <w:tcPr>
            <w:tcW w:w="2380" w:type="dxa"/>
            <w:tcBorders>
              <w:left w:val="nil"/>
              <w:bottom w:val="nil"/>
              <w:right w:val="nil"/>
            </w:tcBorders>
          </w:tcPr>
          <w:p w:rsidR="00F74B7D" w:rsidRPr="004B02F2" w:rsidRDefault="00F74B7D" w:rsidP="00F922F0">
            <w:pPr>
              <w:rPr>
                <w:color w:val="000000"/>
                <w:sz w:val="16"/>
                <w:szCs w:val="16"/>
              </w:rPr>
            </w:pPr>
            <w:r w:rsidRPr="004B02F2">
              <w:rPr>
                <w:color w:val="000000"/>
                <w:sz w:val="16"/>
                <w:szCs w:val="16"/>
              </w:rPr>
              <w:t>Tratado de la OMPI sobre Derecho de Autor:</w:t>
            </w:r>
            <w:r w:rsidRPr="004B02F2">
              <w:rPr>
                <w:color w:val="000000"/>
                <w:sz w:val="16"/>
                <w:szCs w:val="16"/>
              </w:rPr>
              <w:br/>
              <w:t xml:space="preserve">4 (OOS).   </w:t>
            </w:r>
            <w:r w:rsidRPr="004B02F2">
              <w:rPr>
                <w:color w:val="000000"/>
                <w:sz w:val="16"/>
                <w:szCs w:val="16"/>
              </w:rPr>
              <w:br/>
              <w:t xml:space="preserve">                                                           </w:t>
            </w:r>
            <w:r w:rsidRPr="004B02F2">
              <w:rPr>
                <w:color w:val="000000"/>
                <w:sz w:val="16"/>
                <w:szCs w:val="16"/>
              </w:rPr>
              <w:br/>
              <w:t>Tratado de la OMPI sobre Interpretación y Ejecución de Fonogramas:</w:t>
            </w:r>
            <w:r w:rsidRPr="004B02F2">
              <w:rPr>
                <w:color w:val="000000"/>
                <w:sz w:val="16"/>
                <w:szCs w:val="16"/>
              </w:rPr>
              <w:br/>
              <w:t xml:space="preserve">4 (OOS).  </w:t>
            </w:r>
            <w:r w:rsidRPr="004B02F2">
              <w:rPr>
                <w:color w:val="000000"/>
                <w:sz w:val="16"/>
                <w:szCs w:val="16"/>
              </w:rPr>
              <w:br/>
              <w:t xml:space="preserve">                          </w:t>
            </w:r>
          </w:p>
        </w:tc>
        <w:tc>
          <w:tcPr>
            <w:tcW w:w="2089" w:type="dxa"/>
            <w:tcBorders>
              <w:left w:val="nil"/>
              <w:bottom w:val="nil"/>
              <w:right w:val="single" w:sz="4" w:space="0" w:color="auto"/>
            </w:tcBorders>
          </w:tcPr>
          <w:p w:rsidR="00F74B7D" w:rsidRPr="004B02F2" w:rsidRDefault="00F74B7D" w:rsidP="00F922F0">
            <w:pPr>
              <w:ind w:firstLineChars="200" w:firstLine="320"/>
              <w:rPr>
                <w:color w:val="FF0000"/>
                <w:sz w:val="16"/>
                <w:szCs w:val="16"/>
              </w:rPr>
            </w:pPr>
            <w:r w:rsidRPr="004B02F2">
              <w:rPr>
                <w:color w:val="FF0000"/>
                <w:sz w:val="16"/>
                <w:szCs w:val="16"/>
              </w:rPr>
              <w:t> </w:t>
            </w:r>
          </w:p>
          <w:p w:rsidR="00F74B7D" w:rsidRPr="004B02F2" w:rsidRDefault="00F74B7D" w:rsidP="008D0192">
            <w:pPr>
              <w:rPr>
                <w:color w:val="000000"/>
                <w:sz w:val="16"/>
                <w:szCs w:val="16"/>
              </w:rPr>
            </w:pPr>
            <w:r w:rsidRPr="004B02F2">
              <w:rPr>
                <w:color w:val="000000"/>
                <w:sz w:val="16"/>
                <w:szCs w:val="16"/>
              </w:rPr>
              <w:t>1 más (OOS)</w:t>
            </w:r>
          </w:p>
          <w:p w:rsidR="00F74B7D" w:rsidRPr="004B02F2" w:rsidRDefault="00F74B7D" w:rsidP="00F922F0">
            <w:pPr>
              <w:ind w:firstLineChars="200" w:firstLine="320"/>
              <w:rPr>
                <w:color w:val="000000"/>
                <w:sz w:val="16"/>
                <w:szCs w:val="16"/>
              </w:rPr>
            </w:pPr>
          </w:p>
          <w:p w:rsidR="00F74B7D" w:rsidRPr="004B02F2" w:rsidRDefault="00F74B7D" w:rsidP="00F922F0">
            <w:pPr>
              <w:ind w:firstLineChars="200" w:firstLine="320"/>
              <w:rPr>
                <w:color w:val="000000"/>
                <w:sz w:val="16"/>
                <w:szCs w:val="16"/>
              </w:rPr>
            </w:pPr>
          </w:p>
          <w:p w:rsidR="00F74B7D" w:rsidRPr="004B02F2" w:rsidRDefault="00F74B7D" w:rsidP="00F922F0">
            <w:pPr>
              <w:ind w:firstLineChars="200" w:firstLine="320"/>
              <w:rPr>
                <w:color w:val="000000"/>
                <w:sz w:val="16"/>
                <w:szCs w:val="16"/>
              </w:rPr>
            </w:pPr>
          </w:p>
          <w:p w:rsidR="00F74B7D" w:rsidRPr="004B02F2" w:rsidRDefault="00F74B7D" w:rsidP="008D0192">
            <w:pPr>
              <w:rPr>
                <w:sz w:val="16"/>
                <w:szCs w:val="16"/>
              </w:rPr>
            </w:pPr>
            <w:r w:rsidRPr="004B02F2">
              <w:rPr>
                <w:color w:val="000000"/>
                <w:sz w:val="16"/>
                <w:szCs w:val="16"/>
              </w:rPr>
              <w:t xml:space="preserve">1 más (OOS)   </w:t>
            </w:r>
          </w:p>
        </w:tc>
      </w:tr>
      <w:tr w:rsidR="00F74B7D" w:rsidRPr="004B02F2" w:rsidTr="0080529E">
        <w:trPr>
          <w:trHeight w:val="947"/>
        </w:trPr>
        <w:tc>
          <w:tcPr>
            <w:tcW w:w="2380" w:type="dxa"/>
            <w:tcBorders>
              <w:top w:val="nil"/>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II.1 </w:t>
            </w:r>
            <w:r w:rsidR="00E74047" w:rsidRPr="008D0192">
              <w:rPr>
                <w:sz w:val="16"/>
                <w:szCs w:val="16"/>
              </w:rPr>
              <w:t xml:space="preserve"> </w:t>
            </w:r>
            <w:r w:rsidR="006C23D5" w:rsidRPr="008D0192">
              <w:rPr>
                <w:sz w:val="16"/>
                <w:szCs w:val="16"/>
                <w:lang w:val="es-ES_tradnl"/>
              </w:rPr>
              <w:t>Mayor y más eficaz utilización del Sistema del PCT para presentar solicitudes internacionales de patentes</w:t>
            </w:r>
          </w:p>
        </w:tc>
        <w:tc>
          <w:tcPr>
            <w:tcW w:w="2380" w:type="dxa"/>
            <w:tcBorders>
              <w:top w:val="nil"/>
              <w:left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solicitudes PCT.</w:t>
            </w:r>
          </w:p>
        </w:tc>
        <w:tc>
          <w:tcPr>
            <w:tcW w:w="2380" w:type="dxa"/>
            <w:tcBorders>
              <w:top w:val="nil"/>
              <w:left w:val="nil"/>
              <w:right w:val="nil"/>
            </w:tcBorders>
          </w:tcPr>
          <w:p w:rsidR="00F74B7D" w:rsidRPr="004B02F2" w:rsidRDefault="00F74B7D" w:rsidP="00291B9D">
            <w:pPr>
              <w:rPr>
                <w:color w:val="000000"/>
                <w:sz w:val="16"/>
                <w:szCs w:val="16"/>
              </w:rPr>
            </w:pPr>
            <w:r w:rsidRPr="004B02F2">
              <w:rPr>
                <w:color w:val="000000"/>
                <w:sz w:val="16"/>
                <w:szCs w:val="16"/>
              </w:rPr>
              <w:t>1.387 (en 2014) (OOS)</w:t>
            </w:r>
            <w:r w:rsidRPr="004B02F2">
              <w:rPr>
                <w:color w:val="000000"/>
                <w:sz w:val="16"/>
                <w:szCs w:val="16"/>
              </w:rPr>
              <w:br/>
              <w:t xml:space="preserve">581 (en 2014) (OOB)  </w:t>
            </w:r>
            <w:r w:rsidRPr="004B02F2">
              <w:rPr>
                <w:color w:val="000000"/>
                <w:sz w:val="16"/>
                <w:szCs w:val="16"/>
              </w:rPr>
              <w:br/>
              <w:t>42.459 (en 2014) (OOJ)</w:t>
            </w:r>
            <w:r w:rsidRPr="004B02F2">
              <w:rPr>
                <w:i/>
                <w:iCs/>
                <w:color w:val="000000"/>
                <w:sz w:val="16"/>
                <w:szCs w:val="16"/>
              </w:rPr>
              <w:br/>
            </w:r>
            <w:r w:rsidRPr="004B02F2">
              <w:rPr>
                <w:color w:val="000000"/>
                <w:sz w:val="16"/>
                <w:szCs w:val="16"/>
              </w:rPr>
              <w:t>890 (en 2014) (OOR)</w:t>
            </w:r>
            <w:r w:rsidRPr="004B02F2">
              <w:rPr>
                <w:i/>
                <w:iCs/>
                <w:color w:val="000000"/>
                <w:sz w:val="16"/>
                <w:szCs w:val="16"/>
              </w:rPr>
              <w:br/>
            </w:r>
            <w:r w:rsidRPr="004B02F2">
              <w:rPr>
                <w:color w:val="000000"/>
                <w:sz w:val="16"/>
                <w:szCs w:val="16"/>
              </w:rPr>
              <w:t xml:space="preserve">25.539 (en 2014)  (OOC). </w:t>
            </w:r>
          </w:p>
        </w:tc>
        <w:tc>
          <w:tcPr>
            <w:tcW w:w="2089" w:type="dxa"/>
            <w:tcBorders>
              <w:top w:val="nil"/>
              <w:left w:val="nil"/>
              <w:right w:val="single" w:sz="4" w:space="0" w:color="auto"/>
            </w:tcBorders>
          </w:tcPr>
          <w:p w:rsidR="00F74B7D" w:rsidRPr="004B02F2" w:rsidRDefault="00F74B7D" w:rsidP="00F922F0">
            <w:pPr>
              <w:rPr>
                <w:sz w:val="16"/>
                <w:szCs w:val="16"/>
              </w:rPr>
            </w:pPr>
            <w:r w:rsidRPr="004B02F2">
              <w:rPr>
                <w:sz w:val="16"/>
                <w:szCs w:val="16"/>
              </w:rPr>
              <w:t>Incremento anual del 2% (todas las Oficinas)</w:t>
            </w:r>
          </w:p>
        </w:tc>
      </w:tr>
      <w:tr w:rsidR="00F74B7D" w:rsidRPr="004B02F2" w:rsidTr="0080529E">
        <w:trPr>
          <w:trHeight w:val="1305"/>
        </w:trPr>
        <w:tc>
          <w:tcPr>
            <w:tcW w:w="2380" w:type="dxa"/>
            <w:tcBorders>
              <w:top w:val="nil"/>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w:t>
            </w:r>
          </w:p>
        </w:tc>
        <w:tc>
          <w:tcPr>
            <w:tcW w:w="2380" w:type="dxa"/>
            <w:tcBorders>
              <w:top w:val="nil"/>
              <w:left w:val="nil"/>
              <w:right w:val="nil"/>
            </w:tcBorders>
          </w:tcPr>
          <w:p w:rsidR="00F74B7D" w:rsidRPr="004B02F2" w:rsidRDefault="00F74B7D" w:rsidP="008D0192">
            <w:pPr>
              <w:rPr>
                <w:color w:val="000000"/>
                <w:sz w:val="16"/>
                <w:szCs w:val="16"/>
              </w:rPr>
            </w:pPr>
            <w:r w:rsidRPr="004B02F2">
              <w:rPr>
                <w:color w:val="000000"/>
                <w:sz w:val="16"/>
                <w:szCs w:val="16"/>
              </w:rPr>
              <w:t>Porcentaje de encargados de la adopción de políticas, funcionarios g</w:t>
            </w:r>
            <w:r w:rsidR="008D0192">
              <w:rPr>
                <w:color w:val="000000"/>
                <w:sz w:val="16"/>
                <w:szCs w:val="16"/>
              </w:rPr>
              <w:t>u</w:t>
            </w:r>
            <w:r w:rsidRPr="004B02F2">
              <w:rPr>
                <w:color w:val="000000"/>
                <w:sz w:val="16"/>
                <w:szCs w:val="16"/>
              </w:rPr>
              <w:t>bernamentales, profesionales de la P.I. y participantes en talleres con un mayor conocimiento del PCT y los temas conexos.</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 xml:space="preserve">93% (OOS) </w:t>
            </w:r>
          </w:p>
          <w:p w:rsidR="00F74B7D" w:rsidRPr="004B02F2" w:rsidRDefault="00F74B7D" w:rsidP="00F922F0">
            <w:pPr>
              <w:rPr>
                <w:color w:val="000000"/>
                <w:sz w:val="16"/>
                <w:szCs w:val="16"/>
              </w:rPr>
            </w:pPr>
            <w:r w:rsidRPr="004B02F2">
              <w:rPr>
                <w:color w:val="000000"/>
                <w:sz w:val="16"/>
                <w:szCs w:val="16"/>
              </w:rPr>
              <w:t>75% (OOB)</w:t>
            </w:r>
          </w:p>
          <w:p w:rsidR="00F74B7D" w:rsidRPr="004B02F2" w:rsidRDefault="00F74B7D" w:rsidP="00F922F0">
            <w:pPr>
              <w:rPr>
                <w:color w:val="000000"/>
                <w:sz w:val="16"/>
                <w:szCs w:val="16"/>
              </w:rPr>
            </w:pPr>
            <w:r w:rsidRPr="004B02F2">
              <w:rPr>
                <w:color w:val="000000"/>
                <w:sz w:val="16"/>
                <w:szCs w:val="16"/>
              </w:rPr>
              <w:t>94% (OOJ)</w:t>
            </w:r>
            <w:r w:rsidRPr="004B02F2">
              <w:rPr>
                <w:color w:val="000000"/>
                <w:sz w:val="16"/>
                <w:szCs w:val="16"/>
              </w:rPr>
              <w:br/>
            </w:r>
          </w:p>
        </w:tc>
        <w:tc>
          <w:tcPr>
            <w:tcW w:w="2089" w:type="dxa"/>
            <w:tcBorders>
              <w:top w:val="nil"/>
              <w:left w:val="nil"/>
              <w:right w:val="single" w:sz="4" w:space="0" w:color="auto"/>
            </w:tcBorders>
          </w:tcPr>
          <w:p w:rsidR="00F74B7D" w:rsidRPr="004B02F2" w:rsidRDefault="00F74B7D" w:rsidP="00F922F0">
            <w:pPr>
              <w:rPr>
                <w:sz w:val="16"/>
                <w:szCs w:val="16"/>
              </w:rPr>
            </w:pPr>
            <w:r w:rsidRPr="004B02F2">
              <w:rPr>
                <w:sz w:val="16"/>
                <w:szCs w:val="16"/>
              </w:rPr>
              <w:t>75% (todas las Oficinas)</w:t>
            </w:r>
          </w:p>
        </w:tc>
      </w:tr>
      <w:tr w:rsidR="00F74B7D" w:rsidRPr="004B02F2" w:rsidTr="0080529E">
        <w:trPr>
          <w:trHeight w:val="707"/>
        </w:trPr>
        <w:tc>
          <w:tcPr>
            <w:tcW w:w="2380" w:type="dxa"/>
            <w:tcBorders>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II.4 </w:t>
            </w:r>
            <w:r w:rsidR="00BE77EA" w:rsidRPr="008D0192">
              <w:rPr>
                <w:sz w:val="16"/>
                <w:szCs w:val="16"/>
              </w:rPr>
              <w:t xml:space="preserve"> </w:t>
            </w:r>
            <w:r w:rsidR="00B74100" w:rsidRPr="008D0192">
              <w:rPr>
                <w:sz w:val="16"/>
                <w:szCs w:val="16"/>
                <w:lang w:val="es-ES_tradnl"/>
              </w:rPr>
              <w:t>Mayor y más eficaz utilización del Sistema de La Haya, entre otros, por los países en desarrollo y los PMA</w:t>
            </w:r>
          </w:p>
        </w:tc>
        <w:tc>
          <w:tcPr>
            <w:tcW w:w="2380" w:type="dxa"/>
            <w:tcBorders>
              <w:left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miembros del Acta de Ginebra (1999).</w:t>
            </w: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2 (OOS)</w:t>
            </w:r>
            <w:r w:rsidRPr="004B02F2">
              <w:rPr>
                <w:color w:val="000000"/>
                <w:sz w:val="16"/>
                <w:szCs w:val="16"/>
              </w:rPr>
              <w:br/>
              <w:t>0 (OOR)</w:t>
            </w:r>
          </w:p>
        </w:tc>
        <w:tc>
          <w:tcPr>
            <w:tcW w:w="2089" w:type="dxa"/>
            <w:tcBorders>
              <w:left w:val="nil"/>
              <w:right w:val="single" w:sz="4" w:space="0" w:color="auto"/>
            </w:tcBorders>
          </w:tcPr>
          <w:p w:rsidR="00F74B7D" w:rsidRPr="004B02F2" w:rsidRDefault="00F74B7D" w:rsidP="00F922F0">
            <w:pPr>
              <w:rPr>
                <w:sz w:val="16"/>
                <w:szCs w:val="16"/>
              </w:rPr>
            </w:pPr>
            <w:r w:rsidRPr="004B02F2">
              <w:rPr>
                <w:sz w:val="16"/>
                <w:szCs w:val="16"/>
              </w:rPr>
              <w:t>3 más (OOS)</w:t>
            </w:r>
          </w:p>
          <w:p w:rsidR="00F74B7D" w:rsidRPr="004B02F2" w:rsidRDefault="00F74B7D" w:rsidP="00F922F0">
            <w:pPr>
              <w:rPr>
                <w:sz w:val="16"/>
                <w:szCs w:val="16"/>
              </w:rPr>
            </w:pPr>
            <w:r w:rsidRPr="004B02F2">
              <w:rPr>
                <w:color w:val="000000"/>
                <w:sz w:val="16"/>
                <w:szCs w:val="16"/>
              </w:rPr>
              <w:t>0 (OOR).</w:t>
            </w:r>
          </w:p>
        </w:tc>
      </w:tr>
      <w:tr w:rsidR="00F74B7D" w:rsidRPr="004B02F2" w:rsidTr="0080529E">
        <w:trPr>
          <w:trHeight w:val="491"/>
        </w:trPr>
        <w:tc>
          <w:tcPr>
            <w:tcW w:w="2380" w:type="dxa"/>
            <w:tcBorders>
              <w:left w:val="single" w:sz="4" w:space="0" w:color="auto"/>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 </w:t>
            </w:r>
          </w:p>
        </w:tc>
        <w:tc>
          <w:tcPr>
            <w:tcW w:w="2380" w:type="dxa"/>
            <w:tcBorders>
              <w:left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solicitudes del Sistema de </w:t>
            </w:r>
            <w:r w:rsidR="003B0DF0" w:rsidRPr="004B02F2">
              <w:rPr>
                <w:color w:val="000000"/>
                <w:sz w:val="16"/>
                <w:szCs w:val="16"/>
              </w:rPr>
              <w:t>La Haya</w:t>
            </w:r>
            <w:r w:rsidRPr="004B02F2">
              <w:rPr>
                <w:color w:val="000000"/>
                <w:sz w:val="16"/>
                <w:szCs w:val="16"/>
              </w:rPr>
              <w:t>.</w:t>
            </w: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50 (OOS)</w:t>
            </w:r>
            <w:r w:rsidRPr="004B02F2">
              <w:rPr>
                <w:color w:val="000000"/>
                <w:sz w:val="16"/>
                <w:szCs w:val="16"/>
              </w:rPr>
              <w:br/>
              <w:t>0 (OOJ)</w:t>
            </w:r>
          </w:p>
        </w:tc>
        <w:tc>
          <w:tcPr>
            <w:tcW w:w="2089" w:type="dxa"/>
            <w:tcBorders>
              <w:left w:val="nil"/>
              <w:right w:val="single" w:sz="4" w:space="0" w:color="auto"/>
            </w:tcBorders>
          </w:tcPr>
          <w:p w:rsidR="00F74B7D" w:rsidRPr="004B02F2" w:rsidRDefault="00F74B7D" w:rsidP="00F922F0">
            <w:pPr>
              <w:rPr>
                <w:sz w:val="16"/>
                <w:szCs w:val="16"/>
              </w:rPr>
            </w:pPr>
            <w:r w:rsidRPr="004B02F2">
              <w:rPr>
                <w:sz w:val="16"/>
                <w:szCs w:val="16"/>
              </w:rPr>
              <w:t>Crecimiento anual del 2%.</w:t>
            </w:r>
          </w:p>
        </w:tc>
      </w:tr>
      <w:tr w:rsidR="00F74B7D" w:rsidRPr="004B02F2" w:rsidTr="0080529E">
        <w:trPr>
          <w:trHeight w:val="123"/>
        </w:trPr>
        <w:tc>
          <w:tcPr>
            <w:tcW w:w="2380" w:type="dxa"/>
            <w:tcBorders>
              <w:top w:val="nil"/>
              <w:left w:val="single" w:sz="4" w:space="0" w:color="auto"/>
              <w:bottom w:val="single" w:sz="4" w:space="0" w:color="auto"/>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 </w:t>
            </w:r>
          </w:p>
        </w:tc>
        <w:tc>
          <w:tcPr>
            <w:tcW w:w="2380" w:type="dxa"/>
            <w:tcBorders>
              <w:top w:val="nil"/>
              <w:left w:val="nil"/>
              <w:bottom w:val="single" w:sz="4" w:space="0" w:color="auto"/>
              <w:right w:val="nil"/>
            </w:tcBorders>
          </w:tcPr>
          <w:p w:rsidR="00F74B7D" w:rsidRPr="004B02F2" w:rsidRDefault="00F74B7D" w:rsidP="00F922F0">
            <w:pPr>
              <w:rPr>
                <w:color w:val="000000"/>
                <w:sz w:val="16"/>
                <w:szCs w:val="16"/>
              </w:rPr>
            </w:pPr>
            <w:r w:rsidRPr="004B02F2">
              <w:rPr>
                <w:color w:val="000000"/>
                <w:sz w:val="16"/>
                <w:szCs w:val="16"/>
              </w:rPr>
              <w:t xml:space="preserve">Porcentaje de encargados de la adopción de políticas, funcionarios gubernamentales, profesionales de la P.I. y participantes en talleres con un mayor conocimiento del Sistema de </w:t>
            </w:r>
            <w:r w:rsidR="003B0DF0" w:rsidRPr="004B02F2">
              <w:rPr>
                <w:color w:val="000000"/>
                <w:sz w:val="16"/>
                <w:szCs w:val="16"/>
              </w:rPr>
              <w:t>La Haya</w:t>
            </w:r>
            <w:r w:rsidRPr="004B02F2">
              <w:rPr>
                <w:color w:val="000000"/>
                <w:sz w:val="16"/>
                <w:szCs w:val="16"/>
              </w:rPr>
              <w:t>.</w:t>
            </w:r>
          </w:p>
          <w:p w:rsidR="0080529E" w:rsidRPr="004B02F2" w:rsidRDefault="0080529E" w:rsidP="00F922F0">
            <w:pPr>
              <w:rPr>
                <w:color w:val="000000"/>
                <w:sz w:val="12"/>
                <w:szCs w:val="12"/>
              </w:rPr>
            </w:pPr>
          </w:p>
        </w:tc>
        <w:tc>
          <w:tcPr>
            <w:tcW w:w="2380" w:type="dxa"/>
            <w:tcBorders>
              <w:top w:val="nil"/>
              <w:left w:val="nil"/>
              <w:bottom w:val="single" w:sz="4" w:space="0" w:color="auto"/>
              <w:right w:val="nil"/>
            </w:tcBorders>
          </w:tcPr>
          <w:p w:rsidR="00F74B7D" w:rsidRPr="004B02F2" w:rsidRDefault="00F74B7D" w:rsidP="00F922F0">
            <w:pPr>
              <w:rPr>
                <w:color w:val="000000"/>
                <w:sz w:val="16"/>
                <w:szCs w:val="16"/>
              </w:rPr>
            </w:pPr>
            <w:r w:rsidRPr="004B02F2">
              <w:rPr>
                <w:color w:val="000000"/>
                <w:sz w:val="16"/>
                <w:szCs w:val="16"/>
              </w:rPr>
              <w:t xml:space="preserve">85% (OOS) </w:t>
            </w:r>
          </w:p>
          <w:p w:rsidR="00F74B7D" w:rsidRPr="004B02F2" w:rsidRDefault="00F74B7D" w:rsidP="00F922F0">
            <w:pPr>
              <w:rPr>
                <w:color w:val="000000"/>
                <w:sz w:val="16"/>
                <w:szCs w:val="16"/>
              </w:rPr>
            </w:pPr>
            <w:r w:rsidRPr="004B02F2">
              <w:rPr>
                <w:color w:val="000000"/>
                <w:sz w:val="16"/>
                <w:szCs w:val="16"/>
              </w:rPr>
              <w:t>75% (OOB)</w:t>
            </w:r>
          </w:p>
          <w:p w:rsidR="00F74B7D" w:rsidRPr="004B02F2" w:rsidRDefault="00F74B7D" w:rsidP="00F922F0">
            <w:pPr>
              <w:rPr>
                <w:color w:val="000000"/>
                <w:sz w:val="16"/>
                <w:szCs w:val="16"/>
              </w:rPr>
            </w:pPr>
            <w:r w:rsidRPr="004B02F2">
              <w:rPr>
                <w:color w:val="000000"/>
                <w:sz w:val="16"/>
                <w:szCs w:val="16"/>
              </w:rPr>
              <w:t>94% (OOJ)</w:t>
            </w:r>
          </w:p>
        </w:tc>
        <w:tc>
          <w:tcPr>
            <w:tcW w:w="2089" w:type="dxa"/>
            <w:tcBorders>
              <w:top w:val="nil"/>
              <w:left w:val="nil"/>
              <w:bottom w:val="single" w:sz="4" w:space="0" w:color="auto"/>
              <w:right w:val="single" w:sz="4" w:space="0" w:color="auto"/>
            </w:tcBorders>
          </w:tcPr>
          <w:p w:rsidR="00F74B7D" w:rsidRPr="004B02F2" w:rsidRDefault="00F74B7D" w:rsidP="00F922F0">
            <w:pPr>
              <w:rPr>
                <w:sz w:val="16"/>
                <w:szCs w:val="16"/>
              </w:rPr>
            </w:pPr>
            <w:r w:rsidRPr="004B02F2">
              <w:rPr>
                <w:sz w:val="16"/>
                <w:szCs w:val="16"/>
              </w:rPr>
              <w:t>75%.</w:t>
            </w:r>
          </w:p>
        </w:tc>
      </w:tr>
      <w:tr w:rsidR="00F74B7D" w:rsidRPr="004B02F2" w:rsidTr="0080529E">
        <w:trPr>
          <w:trHeight w:val="536"/>
        </w:trPr>
        <w:tc>
          <w:tcPr>
            <w:tcW w:w="2380" w:type="dxa"/>
            <w:tcBorders>
              <w:top w:val="single" w:sz="4" w:space="0" w:color="auto"/>
              <w:left w:val="single" w:sz="4" w:space="0" w:color="auto"/>
              <w:bottom w:val="nil"/>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lastRenderedPageBreak/>
              <w:t xml:space="preserve">II.6 </w:t>
            </w:r>
            <w:r w:rsidR="00BE77EA" w:rsidRPr="008D0192">
              <w:rPr>
                <w:sz w:val="16"/>
                <w:szCs w:val="16"/>
              </w:rPr>
              <w:t xml:space="preserve"> </w:t>
            </w:r>
            <w:r w:rsidR="005354CF" w:rsidRPr="008D0192">
              <w:rPr>
                <w:sz w:val="16"/>
                <w:szCs w:val="16"/>
                <w:lang w:val="es-ES_tradnl"/>
              </w:rPr>
              <w:t>Mayor y más eficaz utilización de los Sistemas de Madrid y de Lisboa, entre otros, por los países en desarrollo y los PMA</w:t>
            </w:r>
          </w:p>
        </w:tc>
        <w:tc>
          <w:tcPr>
            <w:tcW w:w="2380" w:type="dxa"/>
            <w:tcBorders>
              <w:top w:val="single" w:sz="4" w:space="0" w:color="auto"/>
              <w:left w:val="nil"/>
              <w:bottom w:val="nil"/>
              <w:right w:val="nil"/>
            </w:tcBorders>
          </w:tcPr>
          <w:p w:rsidR="00F74B7D" w:rsidRPr="004B02F2" w:rsidRDefault="00F74B7D" w:rsidP="00F922F0">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total de miembros del Sistema de Madrid.</w:t>
            </w:r>
          </w:p>
          <w:p w:rsidR="00F74B7D" w:rsidRPr="004B02F2" w:rsidRDefault="00F74B7D" w:rsidP="00F922F0">
            <w:pPr>
              <w:rPr>
                <w:color w:val="000000"/>
                <w:sz w:val="16"/>
                <w:szCs w:val="16"/>
              </w:rPr>
            </w:pPr>
          </w:p>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solicitudes del Sistema de Madrid.</w:t>
            </w:r>
          </w:p>
        </w:tc>
        <w:tc>
          <w:tcPr>
            <w:tcW w:w="2380" w:type="dxa"/>
            <w:tcBorders>
              <w:top w:val="single" w:sz="4" w:space="0" w:color="auto"/>
              <w:left w:val="nil"/>
              <w:bottom w:val="nil"/>
              <w:right w:val="nil"/>
            </w:tcBorders>
          </w:tcPr>
          <w:p w:rsidR="00F74B7D" w:rsidRPr="004B02F2" w:rsidRDefault="00F74B7D" w:rsidP="00F922F0">
            <w:pPr>
              <w:rPr>
                <w:color w:val="000000"/>
                <w:sz w:val="16"/>
                <w:szCs w:val="16"/>
                <w:lang w:val="en-US"/>
              </w:rPr>
            </w:pPr>
            <w:r w:rsidRPr="004B02F2">
              <w:rPr>
                <w:color w:val="000000"/>
                <w:sz w:val="16"/>
                <w:szCs w:val="16"/>
                <w:lang w:val="en-US"/>
              </w:rPr>
              <w:t>4 (OOS)</w:t>
            </w:r>
            <w:r w:rsidRPr="004B02F2">
              <w:rPr>
                <w:color w:val="000000"/>
                <w:sz w:val="16"/>
                <w:szCs w:val="16"/>
                <w:lang w:val="en-US"/>
              </w:rPr>
              <w:br/>
              <w:t xml:space="preserve"> </w:t>
            </w:r>
          </w:p>
          <w:p w:rsidR="00F74B7D" w:rsidRPr="004B02F2" w:rsidRDefault="00F74B7D" w:rsidP="00F922F0">
            <w:pPr>
              <w:rPr>
                <w:color w:val="000000"/>
                <w:sz w:val="16"/>
                <w:szCs w:val="16"/>
                <w:lang w:val="en-US"/>
              </w:rPr>
            </w:pPr>
          </w:p>
          <w:p w:rsidR="00F74B7D" w:rsidRPr="004B02F2" w:rsidRDefault="00F74B7D" w:rsidP="009572EA">
            <w:pPr>
              <w:rPr>
                <w:color w:val="000000"/>
                <w:sz w:val="16"/>
                <w:szCs w:val="16"/>
                <w:lang w:val="en-US"/>
              </w:rPr>
            </w:pPr>
            <w:r w:rsidRPr="004B02F2">
              <w:rPr>
                <w:color w:val="000000"/>
                <w:sz w:val="16"/>
                <w:szCs w:val="16"/>
                <w:lang w:val="en-US"/>
              </w:rPr>
              <w:t>351 (OOS)</w:t>
            </w:r>
            <w:r w:rsidRPr="004B02F2">
              <w:rPr>
                <w:color w:val="000000"/>
                <w:sz w:val="16"/>
                <w:szCs w:val="16"/>
                <w:lang w:val="en-US"/>
              </w:rPr>
              <w:br/>
              <w:t>0 (OOB)</w:t>
            </w:r>
            <w:r w:rsidRPr="004B02F2">
              <w:rPr>
                <w:color w:val="000000"/>
                <w:sz w:val="16"/>
                <w:szCs w:val="16"/>
                <w:lang w:val="en-US"/>
              </w:rPr>
              <w:br/>
              <w:t>2.033 (OOJ)</w:t>
            </w:r>
            <w:r w:rsidRPr="004B02F2">
              <w:rPr>
                <w:color w:val="000000"/>
                <w:sz w:val="16"/>
                <w:szCs w:val="16"/>
                <w:lang w:val="en-US"/>
              </w:rPr>
              <w:br/>
              <w:t xml:space="preserve">1.543 (OOR) </w:t>
            </w:r>
            <w:r w:rsidRPr="004B02F2">
              <w:rPr>
                <w:color w:val="000000"/>
                <w:sz w:val="16"/>
                <w:szCs w:val="16"/>
                <w:lang w:val="en-US"/>
              </w:rPr>
              <w:br/>
              <w:t>2.140 (</w:t>
            </w:r>
            <w:r w:rsidR="009572EA">
              <w:rPr>
                <w:color w:val="000000"/>
                <w:sz w:val="16"/>
                <w:szCs w:val="16"/>
                <w:lang w:val="en-US"/>
              </w:rPr>
              <w:t>OOC</w:t>
            </w:r>
            <w:r w:rsidRPr="004B02F2">
              <w:rPr>
                <w:color w:val="000000"/>
                <w:sz w:val="16"/>
                <w:szCs w:val="16"/>
                <w:lang w:val="en-US"/>
              </w:rPr>
              <w:t>)</w:t>
            </w:r>
          </w:p>
        </w:tc>
        <w:tc>
          <w:tcPr>
            <w:tcW w:w="2089" w:type="dxa"/>
            <w:tcBorders>
              <w:top w:val="single" w:sz="4" w:space="0" w:color="auto"/>
              <w:left w:val="nil"/>
              <w:bottom w:val="nil"/>
              <w:right w:val="single" w:sz="4" w:space="0" w:color="auto"/>
            </w:tcBorders>
          </w:tcPr>
          <w:p w:rsidR="00F74B7D" w:rsidRPr="004B02F2" w:rsidRDefault="00F74B7D" w:rsidP="00F922F0">
            <w:pPr>
              <w:rPr>
                <w:sz w:val="16"/>
                <w:szCs w:val="16"/>
              </w:rPr>
            </w:pPr>
            <w:r w:rsidRPr="004B02F2">
              <w:rPr>
                <w:sz w:val="16"/>
                <w:szCs w:val="16"/>
              </w:rPr>
              <w:t>5 más (OOS).</w:t>
            </w:r>
            <w:r w:rsidRPr="004B02F2">
              <w:rPr>
                <w:sz w:val="16"/>
                <w:szCs w:val="16"/>
              </w:rPr>
              <w:br/>
            </w:r>
          </w:p>
          <w:p w:rsidR="00F74B7D" w:rsidRPr="004B02F2" w:rsidRDefault="00F74B7D" w:rsidP="00F922F0">
            <w:pPr>
              <w:rPr>
                <w:sz w:val="16"/>
                <w:szCs w:val="16"/>
              </w:rPr>
            </w:pPr>
          </w:p>
          <w:p w:rsidR="00F74B7D" w:rsidRPr="004B02F2" w:rsidRDefault="00F74B7D" w:rsidP="00F922F0">
            <w:pPr>
              <w:rPr>
                <w:sz w:val="16"/>
                <w:szCs w:val="16"/>
              </w:rPr>
            </w:pPr>
            <w:r w:rsidRPr="004B02F2">
              <w:rPr>
                <w:sz w:val="16"/>
                <w:szCs w:val="16"/>
              </w:rPr>
              <w:t>Crecimiento anual del 2% (todas las Oficinas).</w:t>
            </w:r>
          </w:p>
          <w:p w:rsidR="00F74B7D" w:rsidRPr="004B02F2" w:rsidRDefault="00F74B7D" w:rsidP="00F922F0">
            <w:pPr>
              <w:rPr>
                <w:sz w:val="16"/>
                <w:szCs w:val="16"/>
              </w:rPr>
            </w:pPr>
          </w:p>
        </w:tc>
      </w:tr>
      <w:tr w:rsidR="00F74B7D" w:rsidRPr="004B02F2" w:rsidTr="0080529E">
        <w:trPr>
          <w:trHeight w:val="1337"/>
        </w:trPr>
        <w:tc>
          <w:tcPr>
            <w:tcW w:w="2380" w:type="dxa"/>
            <w:tcBorders>
              <w:top w:val="nil"/>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Porcentaje de encargados de la adopción de políticas, funcionarios gubernamentales, profesionales de la P.I. y participantes en talleres con un mayor conocimiento del Sistema de Madrid.</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89% sobre la base de comentarios de los participantes (OOS)</w:t>
            </w:r>
          </w:p>
        </w:tc>
        <w:tc>
          <w:tcPr>
            <w:tcW w:w="2089" w:type="dxa"/>
            <w:tcBorders>
              <w:top w:val="nil"/>
              <w:left w:val="nil"/>
              <w:right w:val="single" w:sz="4" w:space="0" w:color="auto"/>
            </w:tcBorders>
          </w:tcPr>
          <w:p w:rsidR="00F74B7D" w:rsidRPr="004B02F2" w:rsidRDefault="00F74B7D" w:rsidP="008D0192">
            <w:pPr>
              <w:rPr>
                <w:sz w:val="16"/>
                <w:szCs w:val="16"/>
              </w:rPr>
            </w:pPr>
            <w:r w:rsidRPr="004B02F2">
              <w:rPr>
                <w:sz w:val="16"/>
                <w:szCs w:val="16"/>
              </w:rPr>
              <w:t>75%.</w:t>
            </w:r>
          </w:p>
        </w:tc>
      </w:tr>
      <w:tr w:rsidR="00F74B7D" w:rsidRPr="004B02F2" w:rsidTr="0080529E">
        <w:trPr>
          <w:trHeight w:val="1860"/>
        </w:trPr>
        <w:tc>
          <w:tcPr>
            <w:tcW w:w="2380" w:type="dxa"/>
            <w:tcBorders>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III.2 </w:t>
            </w:r>
            <w:r w:rsidR="00705810" w:rsidRPr="008D0192">
              <w:rPr>
                <w:sz w:val="16"/>
                <w:szCs w:val="16"/>
              </w:rPr>
              <w:t xml:space="preserve"> </w:t>
            </w:r>
            <w:r w:rsidR="006C23D5" w:rsidRPr="008D0192">
              <w:rPr>
                <w:sz w:val="16"/>
                <w:szCs w:val="16"/>
                <w:lang w:val="es-ES_tradnl"/>
              </w:rPr>
              <w:t>Aumento de las capacidades en recursos humanos para hacer frente a la gran diversidad de exigencias que supone la utilización eficaz de la P.I. para fomentar el desarrollo en los países en desarrollo, PMA y países con economías en transición</w:t>
            </w: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 xml:space="preserve">Porcentaje de encargados de la adopción de políticas, funcionarios </w:t>
            </w:r>
            <w:proofErr w:type="spellStart"/>
            <w:r w:rsidRPr="004B02F2">
              <w:rPr>
                <w:color w:val="000000"/>
                <w:sz w:val="16"/>
                <w:szCs w:val="16"/>
              </w:rPr>
              <w:t>gubernamen</w:t>
            </w:r>
            <w:proofErr w:type="spellEnd"/>
            <w:r w:rsidR="008D0192">
              <w:rPr>
                <w:color w:val="000000"/>
                <w:sz w:val="16"/>
                <w:szCs w:val="16"/>
              </w:rPr>
              <w:t>-</w:t>
            </w:r>
            <w:r w:rsidRPr="004B02F2">
              <w:rPr>
                <w:color w:val="000000"/>
                <w:sz w:val="16"/>
                <w:szCs w:val="16"/>
              </w:rPr>
              <w:t>tales, profesionales de la P.I. y otros grupos destinatarios, incluidas las universidades, organismos de gestión colectiva y periodistas con un mayor conocimiento de las políticas de P.I. y de cómo utilizar efectivamente la P.I. en pro del desarrollo.</w:t>
            </w: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 xml:space="preserve">El 100% de los participantes está de acuerdo en que las competencias y conocimientos adquiridos en el seminario añadieron valor a su organización (OOS) </w:t>
            </w:r>
          </w:p>
          <w:p w:rsidR="00F74B7D" w:rsidRPr="004B02F2" w:rsidRDefault="00F74B7D" w:rsidP="00F922F0">
            <w:pPr>
              <w:rPr>
                <w:color w:val="000000"/>
                <w:sz w:val="16"/>
                <w:szCs w:val="16"/>
              </w:rPr>
            </w:pPr>
            <w:r w:rsidRPr="004B02F2">
              <w:rPr>
                <w:color w:val="000000"/>
                <w:sz w:val="16"/>
                <w:szCs w:val="16"/>
              </w:rPr>
              <w:t xml:space="preserve">75% (OOB) </w:t>
            </w:r>
          </w:p>
          <w:p w:rsidR="00F74B7D" w:rsidRPr="004B02F2" w:rsidRDefault="00F74B7D" w:rsidP="00F922F0">
            <w:pPr>
              <w:rPr>
                <w:color w:val="000000"/>
                <w:sz w:val="16"/>
                <w:szCs w:val="16"/>
              </w:rPr>
            </w:pPr>
            <w:proofErr w:type="spellStart"/>
            <w:r w:rsidRPr="004B02F2">
              <w:rPr>
                <w:color w:val="000000"/>
                <w:sz w:val="16"/>
                <w:szCs w:val="16"/>
              </w:rPr>
              <w:t>n.d</w:t>
            </w:r>
            <w:proofErr w:type="spellEnd"/>
            <w:r w:rsidRPr="004B02F2">
              <w:rPr>
                <w:color w:val="000000"/>
                <w:sz w:val="16"/>
                <w:szCs w:val="16"/>
              </w:rPr>
              <w:t>. (en 2014 la OOJ no organizó seminarios) (OOJ).</w:t>
            </w:r>
          </w:p>
        </w:tc>
        <w:tc>
          <w:tcPr>
            <w:tcW w:w="2089" w:type="dxa"/>
            <w:tcBorders>
              <w:left w:val="nil"/>
              <w:right w:val="single" w:sz="4" w:space="0" w:color="auto"/>
            </w:tcBorders>
          </w:tcPr>
          <w:p w:rsidR="00F74B7D" w:rsidRPr="004B02F2" w:rsidRDefault="00F74B7D" w:rsidP="00F922F0">
            <w:pPr>
              <w:ind w:leftChars="-1" w:hangingChars="1" w:hanging="2"/>
              <w:rPr>
                <w:sz w:val="16"/>
                <w:szCs w:val="16"/>
              </w:rPr>
            </w:pPr>
            <w:r w:rsidRPr="004B02F2">
              <w:rPr>
                <w:sz w:val="16"/>
                <w:szCs w:val="16"/>
              </w:rPr>
              <w:t> 75%.</w:t>
            </w:r>
          </w:p>
        </w:tc>
      </w:tr>
      <w:tr w:rsidR="00F74B7D" w:rsidRPr="004B02F2" w:rsidTr="0080529E">
        <w:trPr>
          <w:trHeight w:val="3143"/>
        </w:trPr>
        <w:tc>
          <w:tcPr>
            <w:tcW w:w="2380" w:type="dxa"/>
            <w:tcBorders>
              <w:top w:val="nil"/>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IV.2 </w:t>
            </w:r>
            <w:r w:rsidR="00E74047" w:rsidRPr="008D0192">
              <w:rPr>
                <w:sz w:val="16"/>
                <w:szCs w:val="16"/>
              </w:rPr>
              <w:t xml:space="preserve"> </w:t>
            </w:r>
            <w:r w:rsidR="005B1060" w:rsidRPr="008D0192">
              <w:rPr>
                <w:sz w:val="16"/>
                <w:szCs w:val="16"/>
                <w:lang w:val="es-ES_tradnl"/>
              </w:rPr>
              <w:t>Mejora del acceso y uso de información de P.I. por parte de instituciones de P.I. y el público para fomentar la innovación y la creatividad</w:t>
            </w:r>
          </w:p>
        </w:tc>
        <w:tc>
          <w:tcPr>
            <w:tcW w:w="2380" w:type="dxa"/>
            <w:tcBorders>
              <w:top w:val="nil"/>
              <w:left w:val="nil"/>
              <w:right w:val="nil"/>
            </w:tcBorders>
          </w:tcPr>
          <w:p w:rsidR="00F74B7D" w:rsidRPr="004B02F2" w:rsidRDefault="008D0192" w:rsidP="008D0192">
            <w:pPr>
              <w:rPr>
                <w:color w:val="000000"/>
                <w:sz w:val="16"/>
                <w:szCs w:val="16"/>
              </w:rPr>
            </w:pPr>
            <w:r>
              <w:rPr>
                <w:color w:val="000000"/>
                <w:sz w:val="16"/>
                <w:szCs w:val="16"/>
              </w:rPr>
              <w:t>Nº</w:t>
            </w:r>
            <w:r w:rsidR="00F74B7D" w:rsidRPr="004B02F2">
              <w:rPr>
                <w:color w:val="000000"/>
                <w:sz w:val="16"/>
                <w:szCs w:val="16"/>
              </w:rPr>
              <w:t xml:space="preserve"> de usuarios de las bases </w:t>
            </w:r>
            <w:r>
              <w:rPr>
                <w:color w:val="000000"/>
                <w:sz w:val="16"/>
                <w:szCs w:val="16"/>
              </w:rPr>
              <w:t xml:space="preserve">mundiales </w:t>
            </w:r>
            <w:r w:rsidR="00F74B7D" w:rsidRPr="004B02F2">
              <w:rPr>
                <w:color w:val="000000"/>
                <w:sz w:val="16"/>
                <w:szCs w:val="16"/>
              </w:rPr>
              <w:t xml:space="preserve">de datos de la OMPI: PATENTSCOPE, base </w:t>
            </w:r>
            <w:r>
              <w:rPr>
                <w:color w:val="000000"/>
                <w:sz w:val="16"/>
                <w:szCs w:val="16"/>
              </w:rPr>
              <w:t xml:space="preserve">mundial </w:t>
            </w:r>
            <w:r w:rsidR="00F74B7D" w:rsidRPr="004B02F2">
              <w:rPr>
                <w:color w:val="000000"/>
                <w:sz w:val="16"/>
                <w:szCs w:val="16"/>
              </w:rPr>
              <w:t xml:space="preserve">de datos sobre marcas, base </w:t>
            </w:r>
            <w:r>
              <w:rPr>
                <w:color w:val="000000"/>
                <w:sz w:val="16"/>
                <w:szCs w:val="16"/>
              </w:rPr>
              <w:t xml:space="preserve">mundial de datos </w:t>
            </w:r>
            <w:r w:rsidR="00F74B7D" w:rsidRPr="004B02F2">
              <w:rPr>
                <w:color w:val="000000"/>
                <w:sz w:val="16"/>
                <w:szCs w:val="16"/>
              </w:rPr>
              <w:t>sobre diseños industriales.</w:t>
            </w:r>
          </w:p>
        </w:tc>
        <w:tc>
          <w:tcPr>
            <w:tcW w:w="2380" w:type="dxa"/>
            <w:tcBorders>
              <w:top w:val="nil"/>
              <w:left w:val="nil"/>
              <w:right w:val="nil"/>
            </w:tcBorders>
          </w:tcPr>
          <w:p w:rsidR="00F74B7D" w:rsidRPr="004B02F2" w:rsidRDefault="00F74B7D" w:rsidP="009572EA">
            <w:pPr>
              <w:rPr>
                <w:color w:val="000000"/>
                <w:sz w:val="16"/>
                <w:szCs w:val="16"/>
              </w:rPr>
            </w:pPr>
            <w:r w:rsidRPr="004B02F2">
              <w:rPr>
                <w:color w:val="000000"/>
                <w:sz w:val="16"/>
                <w:szCs w:val="16"/>
              </w:rPr>
              <w:t xml:space="preserve">PATENTSCOPE: </w:t>
            </w:r>
            <w:r w:rsidRPr="004B02F2">
              <w:rPr>
                <w:color w:val="000000"/>
                <w:sz w:val="16"/>
                <w:szCs w:val="16"/>
              </w:rPr>
              <w:br/>
              <w:t xml:space="preserve">8.054 (OOS) </w:t>
            </w:r>
            <w:r w:rsidRPr="004B02F2">
              <w:rPr>
                <w:color w:val="000000"/>
                <w:sz w:val="16"/>
                <w:szCs w:val="16"/>
              </w:rPr>
              <w:br/>
              <w:t>4.688 (OOB)</w:t>
            </w:r>
            <w:r w:rsidRPr="004B02F2">
              <w:rPr>
                <w:color w:val="000000"/>
                <w:sz w:val="16"/>
                <w:szCs w:val="16"/>
              </w:rPr>
              <w:br/>
              <w:t>14.711 (OOJ)</w:t>
            </w:r>
            <w:r w:rsidRPr="004B02F2">
              <w:rPr>
                <w:color w:val="000000"/>
                <w:sz w:val="16"/>
                <w:szCs w:val="16"/>
              </w:rPr>
              <w:br/>
              <w:t>6.257 (OOR)</w:t>
            </w:r>
            <w:r w:rsidRPr="004B02F2">
              <w:rPr>
                <w:color w:val="000000"/>
                <w:sz w:val="16"/>
                <w:szCs w:val="16"/>
              </w:rPr>
              <w:br/>
              <w:t>56.355 (O</w:t>
            </w:r>
            <w:r w:rsidR="009572EA">
              <w:rPr>
                <w:color w:val="000000"/>
                <w:sz w:val="16"/>
                <w:szCs w:val="16"/>
              </w:rPr>
              <w:t>OC</w:t>
            </w:r>
            <w:r w:rsidRPr="004B02F2">
              <w:rPr>
                <w:color w:val="000000"/>
                <w:sz w:val="16"/>
                <w:szCs w:val="16"/>
              </w:rPr>
              <w:t>)</w:t>
            </w:r>
            <w:r w:rsidRPr="004B02F2">
              <w:rPr>
                <w:color w:val="000000"/>
                <w:sz w:val="16"/>
                <w:szCs w:val="16"/>
              </w:rPr>
              <w:br/>
            </w:r>
            <w:r w:rsidRPr="004B02F2">
              <w:rPr>
                <w:color w:val="000000"/>
                <w:sz w:val="16"/>
                <w:szCs w:val="16"/>
              </w:rPr>
              <w:br/>
              <w:t xml:space="preserve">Base </w:t>
            </w:r>
            <w:r w:rsidR="008D0192">
              <w:rPr>
                <w:color w:val="000000"/>
                <w:sz w:val="16"/>
                <w:szCs w:val="16"/>
              </w:rPr>
              <w:t xml:space="preserve">mundial </w:t>
            </w:r>
            <w:r w:rsidRPr="004B02F2">
              <w:rPr>
                <w:color w:val="000000"/>
                <w:sz w:val="16"/>
                <w:szCs w:val="16"/>
              </w:rPr>
              <w:t>de datos sobre marcas:</w:t>
            </w:r>
            <w:r w:rsidRPr="004B02F2">
              <w:rPr>
                <w:color w:val="000000"/>
                <w:sz w:val="16"/>
                <w:szCs w:val="16"/>
              </w:rPr>
              <w:br/>
              <w:t xml:space="preserve">9.162 (OOS) </w:t>
            </w:r>
            <w:r w:rsidRPr="004B02F2">
              <w:rPr>
                <w:color w:val="000000"/>
                <w:sz w:val="16"/>
                <w:szCs w:val="16"/>
              </w:rPr>
              <w:br/>
              <w:t>596 (OOB)</w:t>
            </w:r>
            <w:r w:rsidRPr="004B02F2">
              <w:rPr>
                <w:color w:val="000000"/>
                <w:sz w:val="16"/>
                <w:szCs w:val="16"/>
              </w:rPr>
              <w:br/>
              <w:t>2.</w:t>
            </w:r>
            <w:r w:rsidR="009572EA">
              <w:rPr>
                <w:color w:val="000000"/>
                <w:sz w:val="16"/>
                <w:szCs w:val="16"/>
              </w:rPr>
              <w:t>871 (OOJ)</w:t>
            </w:r>
            <w:r w:rsidR="009572EA">
              <w:rPr>
                <w:color w:val="000000"/>
                <w:sz w:val="16"/>
                <w:szCs w:val="16"/>
              </w:rPr>
              <w:br/>
              <w:t>2.352 (OOR)</w:t>
            </w:r>
            <w:r w:rsidR="009572EA">
              <w:rPr>
                <w:color w:val="000000"/>
                <w:sz w:val="16"/>
                <w:szCs w:val="16"/>
              </w:rPr>
              <w:br/>
              <w:t>3.398 (OOC</w:t>
            </w:r>
            <w:r w:rsidRPr="004B02F2">
              <w:rPr>
                <w:color w:val="000000"/>
                <w:sz w:val="16"/>
                <w:szCs w:val="16"/>
              </w:rPr>
              <w:t>)</w:t>
            </w:r>
            <w:r w:rsidRPr="004B02F2">
              <w:rPr>
                <w:color w:val="000000"/>
                <w:sz w:val="16"/>
                <w:szCs w:val="16"/>
              </w:rPr>
              <w:br/>
            </w:r>
            <w:r w:rsidRPr="004B02F2">
              <w:rPr>
                <w:color w:val="000000"/>
                <w:sz w:val="16"/>
                <w:szCs w:val="16"/>
              </w:rPr>
              <w:br/>
              <w:t xml:space="preserve">Base </w:t>
            </w:r>
            <w:r w:rsidR="008D0192">
              <w:rPr>
                <w:color w:val="000000"/>
                <w:sz w:val="16"/>
                <w:szCs w:val="16"/>
              </w:rPr>
              <w:t xml:space="preserve">mundial </w:t>
            </w:r>
            <w:r w:rsidRPr="004B02F2">
              <w:rPr>
                <w:color w:val="000000"/>
                <w:sz w:val="16"/>
                <w:szCs w:val="16"/>
              </w:rPr>
              <w:t xml:space="preserve">de datos sobre diseños industriales: </w:t>
            </w:r>
            <w:proofErr w:type="spellStart"/>
            <w:r w:rsidRPr="004B02F2">
              <w:rPr>
                <w:color w:val="000000"/>
                <w:sz w:val="16"/>
                <w:szCs w:val="16"/>
              </w:rPr>
              <w:t>n.d</w:t>
            </w:r>
            <w:proofErr w:type="spellEnd"/>
            <w:r w:rsidRPr="004B02F2">
              <w:rPr>
                <w:color w:val="000000"/>
                <w:sz w:val="16"/>
                <w:szCs w:val="16"/>
              </w:rPr>
              <w:t>.</w:t>
            </w:r>
          </w:p>
        </w:tc>
        <w:tc>
          <w:tcPr>
            <w:tcW w:w="2089" w:type="dxa"/>
            <w:tcBorders>
              <w:top w:val="nil"/>
              <w:left w:val="nil"/>
              <w:right w:val="single" w:sz="4" w:space="0" w:color="auto"/>
            </w:tcBorders>
          </w:tcPr>
          <w:p w:rsidR="00F74B7D" w:rsidRPr="004B02F2" w:rsidRDefault="00F74B7D" w:rsidP="00F922F0">
            <w:pPr>
              <w:rPr>
                <w:sz w:val="16"/>
                <w:szCs w:val="16"/>
              </w:rPr>
            </w:pPr>
            <w:r w:rsidRPr="004B02F2">
              <w:rPr>
                <w:sz w:val="16"/>
                <w:szCs w:val="16"/>
              </w:rPr>
              <w:t>Incremento del 5%.</w:t>
            </w: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r w:rsidRPr="004B02F2">
              <w:rPr>
                <w:sz w:val="16"/>
                <w:szCs w:val="16"/>
              </w:rPr>
              <w:t>Incremento del 5%.</w:t>
            </w: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6"/>
                <w:szCs w:val="16"/>
              </w:rPr>
            </w:pPr>
          </w:p>
          <w:p w:rsidR="00F74B7D" w:rsidRPr="004B02F2" w:rsidRDefault="00F74B7D" w:rsidP="00F922F0">
            <w:pPr>
              <w:rPr>
                <w:sz w:val="12"/>
                <w:szCs w:val="12"/>
              </w:rPr>
            </w:pPr>
          </w:p>
        </w:tc>
      </w:tr>
      <w:tr w:rsidR="00F74B7D" w:rsidRPr="004B02F2" w:rsidTr="008D0192">
        <w:trPr>
          <w:trHeight w:val="370"/>
        </w:trPr>
        <w:tc>
          <w:tcPr>
            <w:tcW w:w="2380" w:type="dxa"/>
            <w:tcBorders>
              <w:left w:val="single" w:sz="4" w:space="0" w:color="auto"/>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 </w:t>
            </w:r>
          </w:p>
        </w:tc>
        <w:tc>
          <w:tcPr>
            <w:tcW w:w="2380" w:type="dxa"/>
            <w:tcBorders>
              <w:left w:val="nil"/>
              <w:right w:val="nil"/>
            </w:tcBorders>
          </w:tcPr>
          <w:p w:rsidR="00F74B7D" w:rsidRPr="004B02F2" w:rsidRDefault="00F74B7D" w:rsidP="008D0192">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redes nacionales sostenibles de CATI.</w:t>
            </w:r>
          </w:p>
        </w:tc>
        <w:tc>
          <w:tcPr>
            <w:tcW w:w="2380" w:type="dxa"/>
            <w:tcBorders>
              <w:left w:val="nil"/>
              <w:right w:val="nil"/>
            </w:tcBorders>
          </w:tcPr>
          <w:p w:rsidR="00F74B7D" w:rsidRPr="004B02F2" w:rsidRDefault="009572EA" w:rsidP="009572EA">
            <w:pPr>
              <w:rPr>
                <w:color w:val="000000"/>
                <w:sz w:val="16"/>
                <w:szCs w:val="16"/>
              </w:rPr>
            </w:pPr>
            <w:r>
              <w:rPr>
                <w:color w:val="000000"/>
                <w:sz w:val="16"/>
                <w:szCs w:val="16"/>
              </w:rPr>
              <w:t>2 (OOS)</w:t>
            </w:r>
            <w:r>
              <w:rPr>
                <w:color w:val="000000"/>
                <w:sz w:val="16"/>
                <w:szCs w:val="16"/>
              </w:rPr>
              <w:br/>
              <w:t>0 (OOC</w:t>
            </w:r>
            <w:r w:rsidR="00F74B7D" w:rsidRPr="004B02F2">
              <w:rPr>
                <w:color w:val="000000"/>
                <w:sz w:val="16"/>
                <w:szCs w:val="16"/>
              </w:rPr>
              <w:t>)</w:t>
            </w:r>
          </w:p>
        </w:tc>
        <w:tc>
          <w:tcPr>
            <w:tcW w:w="2089" w:type="dxa"/>
            <w:tcBorders>
              <w:left w:val="nil"/>
              <w:right w:val="single" w:sz="4" w:space="0" w:color="auto"/>
            </w:tcBorders>
          </w:tcPr>
          <w:p w:rsidR="00F74B7D" w:rsidRPr="004B02F2" w:rsidRDefault="00F74B7D" w:rsidP="00F922F0">
            <w:pPr>
              <w:rPr>
                <w:sz w:val="16"/>
                <w:szCs w:val="16"/>
              </w:rPr>
            </w:pPr>
            <w:r w:rsidRPr="004B02F2">
              <w:rPr>
                <w:sz w:val="16"/>
                <w:szCs w:val="16"/>
              </w:rPr>
              <w:t>2 más (OOS)</w:t>
            </w:r>
          </w:p>
          <w:p w:rsidR="00F74B7D" w:rsidRPr="004B02F2" w:rsidRDefault="009572EA" w:rsidP="00F922F0">
            <w:pPr>
              <w:rPr>
                <w:sz w:val="16"/>
                <w:szCs w:val="16"/>
              </w:rPr>
            </w:pPr>
            <w:r>
              <w:rPr>
                <w:color w:val="000000"/>
                <w:sz w:val="16"/>
                <w:szCs w:val="16"/>
              </w:rPr>
              <w:t>1 (</w:t>
            </w:r>
            <w:r w:rsidR="00F74B7D" w:rsidRPr="004B02F2">
              <w:rPr>
                <w:color w:val="000000"/>
                <w:sz w:val="16"/>
                <w:szCs w:val="16"/>
              </w:rPr>
              <w:t>O</w:t>
            </w:r>
            <w:r>
              <w:rPr>
                <w:color w:val="000000"/>
                <w:sz w:val="16"/>
                <w:szCs w:val="16"/>
              </w:rPr>
              <w:t>OC</w:t>
            </w:r>
            <w:r w:rsidR="00F74B7D" w:rsidRPr="004B02F2">
              <w:rPr>
                <w:color w:val="000000"/>
                <w:sz w:val="16"/>
                <w:szCs w:val="16"/>
              </w:rPr>
              <w:t>)</w:t>
            </w:r>
          </w:p>
        </w:tc>
      </w:tr>
      <w:tr w:rsidR="00F74B7D" w:rsidRPr="004B02F2" w:rsidTr="009572EA">
        <w:trPr>
          <w:trHeight w:val="265"/>
        </w:trPr>
        <w:tc>
          <w:tcPr>
            <w:tcW w:w="2380" w:type="dxa"/>
            <w:tcBorders>
              <w:left w:val="single" w:sz="4" w:space="0" w:color="auto"/>
              <w:right w:val="nil"/>
            </w:tcBorders>
            <w:shd w:val="clear" w:color="auto" w:fill="auto"/>
            <w:tcMar>
              <w:top w:w="85" w:type="dxa"/>
            </w:tcMar>
            <w:hideMark/>
          </w:tcPr>
          <w:p w:rsidR="00F74B7D" w:rsidRPr="004B02F2" w:rsidRDefault="00F74B7D" w:rsidP="00112CCF">
            <w:pPr>
              <w:rPr>
                <w:sz w:val="16"/>
                <w:szCs w:val="16"/>
              </w:rPr>
            </w:pPr>
            <w:r w:rsidRPr="004B02F2">
              <w:rPr>
                <w:sz w:val="16"/>
                <w:szCs w:val="16"/>
              </w:rPr>
              <w:t>IV.</w:t>
            </w:r>
            <w:r w:rsidRPr="008D0192">
              <w:rPr>
                <w:sz w:val="16"/>
                <w:szCs w:val="16"/>
              </w:rPr>
              <w:t xml:space="preserve">4 </w:t>
            </w:r>
            <w:r w:rsidR="00E74047" w:rsidRPr="008D0192">
              <w:rPr>
                <w:sz w:val="16"/>
                <w:szCs w:val="16"/>
              </w:rPr>
              <w:t xml:space="preserve"> </w:t>
            </w:r>
            <w:r w:rsidR="005354CF" w:rsidRPr="008D0192">
              <w:rPr>
                <w:sz w:val="16"/>
                <w:szCs w:val="16"/>
                <w:lang w:val="es-ES_tradnl"/>
              </w:rPr>
              <w:t>Mejora de la infraestructura técnica y de conocimientos de las Oficinas y demás instituciones de P.I. que les permita prestar mejores servicios (más baratos, más rápidos y de mejor calidad) a los sectores interesados y mejores resultados en la administración de la P.I.</w:t>
            </w:r>
            <w:r w:rsidR="009572EA">
              <w:rPr>
                <w:sz w:val="16"/>
                <w:szCs w:val="16"/>
                <w:lang w:val="es-ES_tradnl"/>
              </w:rPr>
              <w:br/>
            </w: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N</w:t>
            </w:r>
            <w:r w:rsidR="008D0192">
              <w:rPr>
                <w:color w:val="000000"/>
                <w:sz w:val="16"/>
                <w:szCs w:val="16"/>
              </w:rPr>
              <w:t>º</w:t>
            </w:r>
            <w:r w:rsidRPr="004B02F2">
              <w:rPr>
                <w:color w:val="000000"/>
                <w:sz w:val="16"/>
                <w:szCs w:val="16"/>
              </w:rPr>
              <w:t xml:space="preserve"> de oficinas que utilizan las plataformas de infraestructura de la OMPI.</w:t>
            </w:r>
          </w:p>
          <w:p w:rsidR="00F74B7D" w:rsidRPr="004B02F2" w:rsidRDefault="00F74B7D" w:rsidP="00F922F0">
            <w:pPr>
              <w:rPr>
                <w:color w:val="000000"/>
                <w:sz w:val="16"/>
                <w:szCs w:val="16"/>
              </w:rPr>
            </w:pPr>
          </w:p>
        </w:tc>
        <w:tc>
          <w:tcPr>
            <w:tcW w:w="2380" w:type="dxa"/>
            <w:tcBorders>
              <w:left w:val="nil"/>
              <w:right w:val="nil"/>
            </w:tcBorders>
          </w:tcPr>
          <w:p w:rsidR="00F74B7D" w:rsidRPr="004B02F2" w:rsidRDefault="00F74B7D" w:rsidP="00F922F0">
            <w:pPr>
              <w:rPr>
                <w:color w:val="000000"/>
                <w:sz w:val="16"/>
                <w:szCs w:val="16"/>
              </w:rPr>
            </w:pPr>
            <w:r w:rsidRPr="004B02F2">
              <w:rPr>
                <w:color w:val="000000"/>
                <w:sz w:val="16"/>
                <w:szCs w:val="16"/>
              </w:rPr>
              <w:t>7 (OOS)</w:t>
            </w:r>
          </w:p>
          <w:p w:rsidR="00F74B7D" w:rsidRPr="004B02F2" w:rsidRDefault="00F74B7D" w:rsidP="008D0192">
            <w:pPr>
              <w:rPr>
                <w:color w:val="000000"/>
                <w:sz w:val="16"/>
                <w:szCs w:val="16"/>
              </w:rPr>
            </w:pPr>
            <w:r w:rsidRPr="004B02F2">
              <w:rPr>
                <w:color w:val="000000"/>
                <w:sz w:val="16"/>
                <w:szCs w:val="16"/>
              </w:rPr>
              <w:t>0 (OOB)</w:t>
            </w:r>
          </w:p>
        </w:tc>
        <w:tc>
          <w:tcPr>
            <w:tcW w:w="2089" w:type="dxa"/>
            <w:tcBorders>
              <w:left w:val="nil"/>
              <w:right w:val="single" w:sz="4" w:space="0" w:color="auto"/>
            </w:tcBorders>
          </w:tcPr>
          <w:p w:rsidR="00F74B7D" w:rsidRPr="004B02F2" w:rsidRDefault="00F74B7D" w:rsidP="00F922F0">
            <w:pPr>
              <w:rPr>
                <w:sz w:val="16"/>
                <w:szCs w:val="16"/>
              </w:rPr>
            </w:pPr>
            <w:r w:rsidRPr="004B02F2">
              <w:rPr>
                <w:sz w:val="16"/>
                <w:szCs w:val="16"/>
              </w:rPr>
              <w:t>Por determinar (OOS)</w:t>
            </w:r>
          </w:p>
          <w:p w:rsidR="00F74B7D" w:rsidRPr="004B02F2" w:rsidRDefault="00F74B7D" w:rsidP="00F922F0">
            <w:pPr>
              <w:rPr>
                <w:sz w:val="16"/>
                <w:szCs w:val="16"/>
              </w:rPr>
            </w:pPr>
            <w:r w:rsidRPr="004B02F2">
              <w:rPr>
                <w:sz w:val="16"/>
                <w:szCs w:val="16"/>
              </w:rPr>
              <w:t>1 (OOB)</w:t>
            </w:r>
          </w:p>
        </w:tc>
      </w:tr>
      <w:tr w:rsidR="00F74B7D" w:rsidRPr="004B02F2" w:rsidTr="009572EA">
        <w:trPr>
          <w:trHeight w:val="1901"/>
        </w:trPr>
        <w:tc>
          <w:tcPr>
            <w:tcW w:w="2380" w:type="dxa"/>
            <w:tcBorders>
              <w:left w:val="single" w:sz="4" w:space="0" w:color="auto"/>
              <w:bottom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VII.2 </w:t>
            </w:r>
            <w:r w:rsidR="0080529E" w:rsidRPr="008D0192">
              <w:rPr>
                <w:sz w:val="16"/>
                <w:szCs w:val="16"/>
              </w:rPr>
              <w:t xml:space="preserve"> </w:t>
            </w:r>
            <w:r w:rsidR="005354CF" w:rsidRPr="008D0192">
              <w:rPr>
                <w:sz w:val="16"/>
                <w:szCs w:val="16"/>
                <w:lang w:val="es-ES_tradnl"/>
              </w:rPr>
              <w:t>Plataformas y herramientas de P.I. utilizadas para la transferencia de conocimiento y la adaptación y difusión de tecnología de los países desarrollados a los países en desarrollo, en particular, a los menos adelantados, con el fin de atender los desafíos mundiales</w:t>
            </w:r>
            <w:r w:rsidR="008C5F94">
              <w:rPr>
                <w:sz w:val="16"/>
                <w:szCs w:val="16"/>
                <w:lang w:val="es-ES_tradnl"/>
              </w:rPr>
              <w:br/>
            </w:r>
          </w:p>
        </w:tc>
        <w:tc>
          <w:tcPr>
            <w:tcW w:w="2380" w:type="dxa"/>
            <w:tcBorders>
              <w:left w:val="nil"/>
              <w:bottom w:val="single" w:sz="4" w:space="0" w:color="auto"/>
              <w:right w:val="nil"/>
            </w:tcBorders>
          </w:tcPr>
          <w:p w:rsidR="00F74B7D" w:rsidRPr="004B02F2" w:rsidRDefault="00F74B7D" w:rsidP="00F922F0">
            <w:pPr>
              <w:rPr>
                <w:color w:val="000000"/>
                <w:sz w:val="16"/>
                <w:szCs w:val="16"/>
              </w:rPr>
            </w:pPr>
            <w:r w:rsidRPr="004B02F2">
              <w:rPr>
                <w:color w:val="000000"/>
                <w:sz w:val="16"/>
                <w:szCs w:val="16"/>
              </w:rPr>
              <w:t xml:space="preserve">Participación de los sectores interesados en plataformas de la OMPI como </w:t>
            </w:r>
            <w:r w:rsidR="004252B2" w:rsidRPr="004252B2">
              <w:rPr>
                <w:i/>
                <w:color w:val="000000"/>
                <w:sz w:val="16"/>
                <w:szCs w:val="16"/>
              </w:rPr>
              <w:t>WIPO GREEN</w:t>
            </w:r>
            <w:r w:rsidRPr="004B02F2">
              <w:rPr>
                <w:color w:val="000000"/>
                <w:sz w:val="16"/>
                <w:szCs w:val="16"/>
              </w:rPr>
              <w:t xml:space="preserve"> y </w:t>
            </w:r>
            <w:r w:rsidR="004252B2" w:rsidRPr="004252B2">
              <w:rPr>
                <w:i/>
                <w:color w:val="000000"/>
                <w:sz w:val="16"/>
                <w:szCs w:val="16"/>
              </w:rPr>
              <w:t xml:space="preserve">WIPO </w:t>
            </w:r>
            <w:proofErr w:type="spellStart"/>
            <w:r w:rsidR="004252B2" w:rsidRPr="004252B2">
              <w:rPr>
                <w:i/>
                <w:color w:val="000000"/>
                <w:sz w:val="16"/>
                <w:szCs w:val="16"/>
              </w:rPr>
              <w:t>Re</w:t>
            </w:r>
            <w:proofErr w:type="gramStart"/>
            <w:r w:rsidR="004252B2" w:rsidRPr="004252B2">
              <w:rPr>
                <w:i/>
                <w:color w:val="000000"/>
                <w:sz w:val="16"/>
                <w:szCs w:val="16"/>
              </w:rPr>
              <w:t>:Search</w:t>
            </w:r>
            <w:proofErr w:type="spellEnd"/>
            <w:proofErr w:type="gramEnd"/>
            <w:r w:rsidRPr="004B02F2">
              <w:rPr>
                <w:color w:val="000000"/>
                <w:sz w:val="16"/>
                <w:szCs w:val="16"/>
              </w:rPr>
              <w:t>.</w:t>
            </w:r>
          </w:p>
        </w:tc>
        <w:tc>
          <w:tcPr>
            <w:tcW w:w="2380" w:type="dxa"/>
            <w:tcBorders>
              <w:left w:val="nil"/>
              <w:bottom w:val="single" w:sz="4" w:space="0" w:color="auto"/>
              <w:right w:val="nil"/>
            </w:tcBorders>
          </w:tcPr>
          <w:p w:rsidR="00F74B7D" w:rsidRPr="004B02F2" w:rsidRDefault="004252B2" w:rsidP="00F922F0">
            <w:pPr>
              <w:rPr>
                <w:color w:val="000000"/>
                <w:sz w:val="16"/>
                <w:szCs w:val="16"/>
              </w:rPr>
            </w:pPr>
            <w:r w:rsidRPr="004252B2">
              <w:rPr>
                <w:i/>
                <w:color w:val="000000"/>
                <w:sz w:val="16"/>
                <w:szCs w:val="16"/>
              </w:rPr>
              <w:t>WIPO GREEN</w:t>
            </w:r>
            <w:r w:rsidR="00F74B7D" w:rsidRPr="004B02F2">
              <w:rPr>
                <w:color w:val="000000"/>
                <w:sz w:val="16"/>
                <w:szCs w:val="16"/>
              </w:rPr>
              <w:t xml:space="preserve"> 3</w:t>
            </w:r>
          </w:p>
          <w:p w:rsidR="00F74B7D" w:rsidRPr="004B02F2" w:rsidRDefault="00F74B7D" w:rsidP="00F922F0">
            <w:pPr>
              <w:rPr>
                <w:color w:val="000000"/>
                <w:sz w:val="16"/>
                <w:szCs w:val="16"/>
              </w:rPr>
            </w:pPr>
            <w:r w:rsidRPr="004B02F2">
              <w:rPr>
                <w:color w:val="000000"/>
                <w:sz w:val="16"/>
                <w:szCs w:val="16"/>
              </w:rPr>
              <w:t xml:space="preserve">21 (OOS) </w:t>
            </w:r>
          </w:p>
          <w:p w:rsidR="00F74B7D" w:rsidRPr="004B02F2" w:rsidRDefault="00F74B7D" w:rsidP="00F922F0">
            <w:pPr>
              <w:rPr>
                <w:color w:val="000000"/>
                <w:sz w:val="16"/>
                <w:szCs w:val="16"/>
              </w:rPr>
            </w:pPr>
            <w:r w:rsidRPr="004B02F2">
              <w:rPr>
                <w:color w:val="000000"/>
                <w:sz w:val="16"/>
                <w:szCs w:val="16"/>
              </w:rPr>
              <w:t>48 región de América Latina y el Caribe (OOB)</w:t>
            </w:r>
          </w:p>
          <w:p w:rsidR="00F74B7D" w:rsidRPr="004B02F2" w:rsidRDefault="00F74B7D" w:rsidP="00F922F0">
            <w:pPr>
              <w:rPr>
                <w:color w:val="000000"/>
                <w:sz w:val="16"/>
                <w:szCs w:val="16"/>
                <w:lang w:val="en-US"/>
              </w:rPr>
            </w:pPr>
            <w:r w:rsidRPr="004B02F2">
              <w:rPr>
                <w:color w:val="000000"/>
                <w:sz w:val="16"/>
                <w:szCs w:val="16"/>
                <w:lang w:val="en-US"/>
              </w:rPr>
              <w:t xml:space="preserve">45 (OOJ) </w:t>
            </w:r>
          </w:p>
          <w:p w:rsidR="00F74B7D" w:rsidRPr="004B02F2" w:rsidRDefault="00F74B7D" w:rsidP="00F922F0">
            <w:pPr>
              <w:rPr>
                <w:color w:val="000000"/>
                <w:sz w:val="16"/>
                <w:szCs w:val="16"/>
                <w:lang w:val="en-US"/>
              </w:rPr>
            </w:pPr>
            <w:r w:rsidRPr="004B02F2">
              <w:rPr>
                <w:color w:val="000000"/>
                <w:sz w:val="16"/>
                <w:szCs w:val="16"/>
                <w:lang w:val="en-US"/>
              </w:rPr>
              <w:t>1 (OOR)</w:t>
            </w:r>
          </w:p>
          <w:p w:rsidR="00F74B7D" w:rsidRPr="004B02F2" w:rsidRDefault="00F74B7D" w:rsidP="00F922F0">
            <w:pPr>
              <w:rPr>
                <w:color w:val="000000"/>
                <w:sz w:val="16"/>
                <w:szCs w:val="16"/>
                <w:lang w:val="en-US"/>
              </w:rPr>
            </w:pPr>
            <w:r w:rsidRPr="004B02F2">
              <w:rPr>
                <w:color w:val="000000"/>
                <w:sz w:val="16"/>
                <w:szCs w:val="16"/>
                <w:lang w:val="en-US"/>
              </w:rPr>
              <w:t>29 (OOC)</w:t>
            </w:r>
          </w:p>
          <w:p w:rsidR="00F74B7D" w:rsidRPr="004B02F2" w:rsidRDefault="00F74B7D" w:rsidP="00F922F0">
            <w:pPr>
              <w:rPr>
                <w:color w:val="000000"/>
                <w:sz w:val="16"/>
                <w:szCs w:val="16"/>
                <w:lang w:val="en-US"/>
              </w:rPr>
            </w:pPr>
            <w:r w:rsidRPr="004B02F2">
              <w:rPr>
                <w:color w:val="000000"/>
                <w:sz w:val="16"/>
                <w:szCs w:val="16"/>
                <w:lang w:val="en-US"/>
              </w:rPr>
              <w:br/>
            </w:r>
            <w:r w:rsidR="004252B2" w:rsidRPr="004252B2">
              <w:rPr>
                <w:i/>
                <w:color w:val="000000"/>
                <w:sz w:val="16"/>
                <w:szCs w:val="16"/>
                <w:lang w:val="en-US"/>
              </w:rPr>
              <w:t xml:space="preserve">WIPO </w:t>
            </w:r>
            <w:proofErr w:type="spellStart"/>
            <w:r w:rsidR="004252B2" w:rsidRPr="004252B2">
              <w:rPr>
                <w:i/>
                <w:color w:val="000000"/>
                <w:sz w:val="16"/>
                <w:szCs w:val="16"/>
                <w:lang w:val="en-US"/>
              </w:rPr>
              <w:t>Re:Search</w:t>
            </w:r>
            <w:proofErr w:type="spellEnd"/>
            <w:r w:rsidRPr="004B02F2">
              <w:rPr>
                <w:color w:val="000000"/>
                <w:sz w:val="16"/>
                <w:szCs w:val="16"/>
                <w:lang w:val="en-US"/>
              </w:rPr>
              <w:t xml:space="preserve">: </w:t>
            </w:r>
            <w:proofErr w:type="spellStart"/>
            <w:r w:rsidRPr="004B02F2">
              <w:rPr>
                <w:color w:val="000000"/>
                <w:sz w:val="16"/>
                <w:szCs w:val="16"/>
                <w:lang w:val="en-US"/>
              </w:rPr>
              <w:t>n.d.</w:t>
            </w:r>
            <w:proofErr w:type="spellEnd"/>
            <w:r w:rsidRPr="004B02F2">
              <w:rPr>
                <w:color w:val="000000"/>
                <w:sz w:val="16"/>
                <w:szCs w:val="16"/>
                <w:lang w:val="en-US"/>
              </w:rPr>
              <w:t xml:space="preserve"> </w:t>
            </w:r>
          </w:p>
        </w:tc>
        <w:tc>
          <w:tcPr>
            <w:tcW w:w="2089" w:type="dxa"/>
            <w:tcBorders>
              <w:left w:val="nil"/>
              <w:bottom w:val="single" w:sz="4" w:space="0" w:color="auto"/>
              <w:right w:val="single" w:sz="4" w:space="0" w:color="auto"/>
            </w:tcBorders>
          </w:tcPr>
          <w:p w:rsidR="00F74B7D" w:rsidRPr="004B02F2" w:rsidRDefault="00F74B7D" w:rsidP="00F922F0">
            <w:pPr>
              <w:rPr>
                <w:sz w:val="16"/>
                <w:szCs w:val="16"/>
              </w:rPr>
            </w:pPr>
            <w:r w:rsidRPr="004B02F2">
              <w:rPr>
                <w:sz w:val="16"/>
                <w:szCs w:val="16"/>
              </w:rPr>
              <w:t xml:space="preserve">Aumento del 20% en </w:t>
            </w:r>
            <w:r w:rsidR="004252B2" w:rsidRPr="004252B2">
              <w:rPr>
                <w:i/>
                <w:sz w:val="16"/>
                <w:szCs w:val="16"/>
              </w:rPr>
              <w:t>WIPO GREEN</w:t>
            </w:r>
            <w:r w:rsidRPr="004B02F2">
              <w:rPr>
                <w:sz w:val="16"/>
                <w:szCs w:val="16"/>
              </w:rPr>
              <w:t xml:space="preserve"> y </w:t>
            </w:r>
            <w:r w:rsidR="009572EA" w:rsidRPr="009572EA">
              <w:rPr>
                <w:i/>
                <w:sz w:val="16"/>
                <w:szCs w:val="16"/>
              </w:rPr>
              <w:t xml:space="preserve">WIPO </w:t>
            </w:r>
            <w:proofErr w:type="spellStart"/>
            <w:r w:rsidRPr="009572EA">
              <w:rPr>
                <w:i/>
                <w:sz w:val="16"/>
                <w:szCs w:val="16"/>
              </w:rPr>
              <w:t>Re:Search</w:t>
            </w:r>
            <w:proofErr w:type="spellEnd"/>
            <w:r w:rsidRPr="004B02F2">
              <w:rPr>
                <w:sz w:val="16"/>
                <w:szCs w:val="16"/>
              </w:rPr>
              <w:t xml:space="preserve"> </w:t>
            </w:r>
          </w:p>
          <w:p w:rsidR="00F74B7D" w:rsidRPr="004B02F2" w:rsidRDefault="00F74B7D" w:rsidP="00F922F0">
            <w:pPr>
              <w:rPr>
                <w:sz w:val="16"/>
                <w:szCs w:val="16"/>
              </w:rPr>
            </w:pPr>
            <w:r w:rsidRPr="004B02F2">
              <w:rPr>
                <w:color w:val="000000"/>
                <w:sz w:val="16"/>
                <w:szCs w:val="16"/>
              </w:rPr>
              <w:t>(todas las Oficinas).</w:t>
            </w:r>
          </w:p>
        </w:tc>
      </w:tr>
      <w:tr w:rsidR="00F74B7D" w:rsidRPr="004B02F2" w:rsidTr="009572EA">
        <w:trPr>
          <w:trHeight w:val="915"/>
        </w:trPr>
        <w:tc>
          <w:tcPr>
            <w:tcW w:w="2380" w:type="dxa"/>
            <w:tcBorders>
              <w:top w:val="single" w:sz="4" w:space="0" w:color="auto"/>
              <w:left w:val="single" w:sz="4" w:space="0" w:color="auto"/>
              <w:bottom w:val="nil"/>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lastRenderedPageBreak/>
              <w:t xml:space="preserve">VIII.1 </w:t>
            </w:r>
            <w:r w:rsidR="0080529E" w:rsidRPr="008D0192">
              <w:rPr>
                <w:sz w:val="16"/>
                <w:szCs w:val="16"/>
              </w:rPr>
              <w:t xml:space="preserve"> </w:t>
            </w:r>
            <w:r w:rsidR="005B1060" w:rsidRPr="008D0192">
              <w:rPr>
                <w:sz w:val="16"/>
                <w:szCs w:val="16"/>
                <w:lang w:val="es-ES_tradnl"/>
              </w:rPr>
              <w:t>Comunicación más eficaz con el público en general acerca de la P.I. y la función de la OMPI</w:t>
            </w:r>
          </w:p>
        </w:tc>
        <w:tc>
          <w:tcPr>
            <w:tcW w:w="2380" w:type="dxa"/>
            <w:tcBorders>
              <w:top w:val="single" w:sz="4" w:space="0" w:color="auto"/>
              <w:left w:val="nil"/>
              <w:bottom w:val="nil"/>
              <w:right w:val="nil"/>
            </w:tcBorders>
          </w:tcPr>
          <w:p w:rsidR="00F74B7D" w:rsidRPr="004B02F2" w:rsidRDefault="00F74B7D" w:rsidP="00F922F0">
            <w:pPr>
              <w:rPr>
                <w:color w:val="000000"/>
                <w:sz w:val="16"/>
                <w:szCs w:val="16"/>
              </w:rPr>
            </w:pPr>
            <w:r w:rsidRPr="004B02F2">
              <w:rPr>
                <w:color w:val="000000"/>
                <w:sz w:val="16"/>
                <w:szCs w:val="16"/>
              </w:rPr>
              <w:t>Aumento del tráfico en el sitio web de las Oficinas de la OMPI en el exterior.</w:t>
            </w:r>
            <w:r w:rsidRPr="004B02F2">
              <w:rPr>
                <w:color w:val="000000"/>
                <w:sz w:val="16"/>
                <w:szCs w:val="16"/>
              </w:rPr>
              <w:br/>
            </w:r>
          </w:p>
        </w:tc>
        <w:tc>
          <w:tcPr>
            <w:tcW w:w="2380" w:type="dxa"/>
            <w:tcBorders>
              <w:top w:val="single" w:sz="4" w:space="0" w:color="auto"/>
              <w:left w:val="nil"/>
              <w:bottom w:val="nil"/>
              <w:right w:val="nil"/>
            </w:tcBorders>
          </w:tcPr>
          <w:p w:rsidR="00F74B7D" w:rsidRPr="004B02F2" w:rsidRDefault="00F74B7D" w:rsidP="00F922F0">
            <w:pPr>
              <w:rPr>
                <w:color w:val="000000"/>
                <w:sz w:val="16"/>
                <w:szCs w:val="16"/>
              </w:rPr>
            </w:pPr>
            <w:r w:rsidRPr="004B02F2">
              <w:rPr>
                <w:color w:val="000000"/>
                <w:sz w:val="16"/>
                <w:szCs w:val="16"/>
              </w:rPr>
              <w:t>9.882 (OOS)</w:t>
            </w:r>
            <w:r w:rsidRPr="004B02F2">
              <w:rPr>
                <w:color w:val="000000"/>
                <w:sz w:val="16"/>
                <w:szCs w:val="16"/>
              </w:rPr>
              <w:br/>
              <w:t>OOB y OOJ: por determinar</w:t>
            </w:r>
          </w:p>
          <w:p w:rsidR="00F74B7D" w:rsidRPr="004B02F2" w:rsidRDefault="00F74B7D" w:rsidP="00F922F0">
            <w:pPr>
              <w:rPr>
                <w:color w:val="000000"/>
                <w:sz w:val="16"/>
                <w:szCs w:val="16"/>
              </w:rPr>
            </w:pPr>
            <w:r w:rsidRPr="004B02F2">
              <w:rPr>
                <w:color w:val="000000"/>
                <w:sz w:val="16"/>
                <w:szCs w:val="16"/>
              </w:rPr>
              <w:t xml:space="preserve">0 (OOR) </w:t>
            </w:r>
          </w:p>
          <w:p w:rsidR="00F74B7D" w:rsidRPr="004B02F2" w:rsidRDefault="00F74B7D" w:rsidP="008C5F94">
            <w:pPr>
              <w:rPr>
                <w:color w:val="000000"/>
                <w:sz w:val="16"/>
                <w:szCs w:val="16"/>
              </w:rPr>
            </w:pPr>
            <w:r w:rsidRPr="004B02F2">
              <w:rPr>
                <w:color w:val="000000"/>
                <w:sz w:val="16"/>
                <w:szCs w:val="16"/>
              </w:rPr>
              <w:t>0 (O</w:t>
            </w:r>
            <w:r w:rsidR="008C5F94">
              <w:rPr>
                <w:color w:val="000000"/>
                <w:sz w:val="16"/>
                <w:szCs w:val="16"/>
              </w:rPr>
              <w:t>OC</w:t>
            </w:r>
            <w:r w:rsidRPr="004B02F2">
              <w:rPr>
                <w:color w:val="000000"/>
                <w:sz w:val="16"/>
                <w:szCs w:val="16"/>
              </w:rPr>
              <w:t xml:space="preserve">) </w:t>
            </w:r>
            <w:r w:rsidRPr="004B02F2">
              <w:rPr>
                <w:color w:val="000000"/>
                <w:sz w:val="16"/>
                <w:szCs w:val="16"/>
              </w:rPr>
              <w:br/>
            </w:r>
          </w:p>
        </w:tc>
        <w:tc>
          <w:tcPr>
            <w:tcW w:w="2089" w:type="dxa"/>
            <w:tcBorders>
              <w:top w:val="single" w:sz="4" w:space="0" w:color="auto"/>
              <w:left w:val="nil"/>
              <w:bottom w:val="nil"/>
              <w:right w:val="single" w:sz="4" w:space="0" w:color="auto"/>
            </w:tcBorders>
          </w:tcPr>
          <w:p w:rsidR="00F74B7D" w:rsidRPr="004B02F2" w:rsidRDefault="00F74B7D" w:rsidP="00F922F0">
            <w:pPr>
              <w:rPr>
                <w:sz w:val="16"/>
                <w:szCs w:val="16"/>
              </w:rPr>
            </w:pPr>
            <w:r w:rsidRPr="004B02F2">
              <w:rPr>
                <w:sz w:val="16"/>
                <w:szCs w:val="16"/>
              </w:rPr>
              <w:t>Aumento del 5% en todas las Oficinas.</w:t>
            </w:r>
          </w:p>
        </w:tc>
      </w:tr>
      <w:tr w:rsidR="00F74B7D" w:rsidRPr="004B02F2" w:rsidTr="0080529E">
        <w:trPr>
          <w:trHeight w:val="660"/>
        </w:trPr>
        <w:tc>
          <w:tcPr>
            <w:tcW w:w="2380" w:type="dxa"/>
            <w:tcBorders>
              <w:top w:val="nil"/>
              <w:left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VIII.2 </w:t>
            </w:r>
            <w:r w:rsidR="004B02F2" w:rsidRPr="008D0192">
              <w:rPr>
                <w:sz w:val="16"/>
                <w:szCs w:val="16"/>
              </w:rPr>
              <w:t xml:space="preserve"> </w:t>
            </w:r>
            <w:r w:rsidR="005B1060" w:rsidRPr="008D0192">
              <w:rPr>
                <w:sz w:val="16"/>
                <w:szCs w:val="16"/>
                <w:lang w:val="es-ES_tradnl"/>
              </w:rPr>
              <w:t>Mejora en la prestación de servicios y la atención de consultas</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Tiempo de tramitación de las consultas.</w:t>
            </w:r>
          </w:p>
        </w:tc>
        <w:tc>
          <w:tcPr>
            <w:tcW w:w="2380" w:type="dxa"/>
            <w:tcBorders>
              <w:top w:val="nil"/>
              <w:left w:val="nil"/>
              <w:right w:val="nil"/>
            </w:tcBorders>
          </w:tcPr>
          <w:p w:rsidR="00F74B7D" w:rsidRPr="004B02F2" w:rsidRDefault="00F74B7D" w:rsidP="00F922F0">
            <w:pPr>
              <w:rPr>
                <w:color w:val="000000"/>
                <w:sz w:val="16"/>
                <w:szCs w:val="16"/>
              </w:rPr>
            </w:pPr>
            <w:r w:rsidRPr="004B02F2">
              <w:rPr>
                <w:color w:val="000000"/>
                <w:sz w:val="16"/>
                <w:szCs w:val="16"/>
              </w:rPr>
              <w:t>48h (todas las Oficinas).</w:t>
            </w:r>
          </w:p>
        </w:tc>
        <w:tc>
          <w:tcPr>
            <w:tcW w:w="2089" w:type="dxa"/>
            <w:tcBorders>
              <w:top w:val="nil"/>
              <w:left w:val="nil"/>
              <w:right w:val="single" w:sz="4" w:space="0" w:color="auto"/>
            </w:tcBorders>
          </w:tcPr>
          <w:p w:rsidR="00F74B7D" w:rsidRPr="004B02F2" w:rsidRDefault="00F74B7D" w:rsidP="00F922F0">
            <w:pPr>
              <w:rPr>
                <w:sz w:val="16"/>
                <w:szCs w:val="16"/>
              </w:rPr>
            </w:pPr>
            <w:r w:rsidRPr="004B02F2">
              <w:rPr>
                <w:sz w:val="16"/>
                <w:szCs w:val="16"/>
              </w:rPr>
              <w:t xml:space="preserve">36h </w:t>
            </w:r>
            <w:r w:rsidRPr="004B02F2">
              <w:rPr>
                <w:color w:val="000000"/>
                <w:sz w:val="16"/>
                <w:szCs w:val="16"/>
              </w:rPr>
              <w:t>(todas las Oficinas).</w:t>
            </w:r>
          </w:p>
        </w:tc>
      </w:tr>
      <w:tr w:rsidR="00F74B7D" w:rsidRPr="00112CCF" w:rsidTr="0080529E">
        <w:trPr>
          <w:trHeight w:val="626"/>
        </w:trPr>
        <w:tc>
          <w:tcPr>
            <w:tcW w:w="2380" w:type="dxa"/>
            <w:tcBorders>
              <w:top w:val="nil"/>
              <w:left w:val="single" w:sz="4" w:space="0" w:color="auto"/>
              <w:bottom w:val="single" w:sz="4" w:space="0" w:color="auto"/>
              <w:right w:val="nil"/>
            </w:tcBorders>
            <w:shd w:val="clear" w:color="auto" w:fill="auto"/>
            <w:tcMar>
              <w:top w:w="85" w:type="dxa"/>
            </w:tcMar>
            <w:hideMark/>
          </w:tcPr>
          <w:p w:rsidR="00F74B7D" w:rsidRPr="008D0192" w:rsidRDefault="00F74B7D" w:rsidP="00112CCF">
            <w:pPr>
              <w:rPr>
                <w:sz w:val="16"/>
                <w:szCs w:val="16"/>
              </w:rPr>
            </w:pPr>
            <w:r w:rsidRPr="008D0192">
              <w:rPr>
                <w:sz w:val="16"/>
                <w:szCs w:val="16"/>
              </w:rPr>
              <w:t xml:space="preserve">VIII.5 </w:t>
            </w:r>
            <w:r w:rsidR="004B02F2" w:rsidRPr="008D0192">
              <w:rPr>
                <w:sz w:val="16"/>
                <w:szCs w:val="16"/>
              </w:rPr>
              <w:t xml:space="preserve"> </w:t>
            </w:r>
            <w:r w:rsidR="005B1060" w:rsidRPr="008D0192">
              <w:rPr>
                <w:sz w:val="16"/>
                <w:szCs w:val="16"/>
                <w:lang w:val="es-ES_tradnl"/>
              </w:rPr>
              <w:t>La OMPI participa y colabora eficazmente en los procesos y negociaciones de las NN.UU. y otras OIG</w:t>
            </w:r>
          </w:p>
          <w:p w:rsidR="00F74B7D" w:rsidRPr="008D0192" w:rsidRDefault="00F74B7D" w:rsidP="00112CCF">
            <w:pPr>
              <w:rPr>
                <w:sz w:val="16"/>
                <w:szCs w:val="16"/>
              </w:rPr>
            </w:pPr>
          </w:p>
        </w:tc>
        <w:tc>
          <w:tcPr>
            <w:tcW w:w="2380" w:type="dxa"/>
            <w:tcBorders>
              <w:top w:val="nil"/>
              <w:left w:val="nil"/>
              <w:bottom w:val="single" w:sz="4" w:space="0" w:color="auto"/>
              <w:right w:val="nil"/>
            </w:tcBorders>
          </w:tcPr>
          <w:p w:rsidR="00F74B7D" w:rsidRPr="004B02F2" w:rsidRDefault="008D0192" w:rsidP="009572EA">
            <w:pPr>
              <w:rPr>
                <w:color w:val="000000"/>
                <w:sz w:val="16"/>
                <w:szCs w:val="16"/>
              </w:rPr>
            </w:pPr>
            <w:r>
              <w:rPr>
                <w:color w:val="000000"/>
                <w:sz w:val="16"/>
                <w:szCs w:val="16"/>
              </w:rPr>
              <w:t>Nº</w:t>
            </w:r>
            <w:r w:rsidR="00F74B7D" w:rsidRPr="004B02F2">
              <w:rPr>
                <w:color w:val="000000"/>
                <w:sz w:val="16"/>
                <w:szCs w:val="16"/>
              </w:rPr>
              <w:t xml:space="preserve"> de actividades comunes con la Secretaría de la ASEAN, ECAP/OA</w:t>
            </w:r>
            <w:r w:rsidR="009572EA">
              <w:rPr>
                <w:color w:val="000000"/>
                <w:sz w:val="16"/>
                <w:szCs w:val="16"/>
              </w:rPr>
              <w:t>M</w:t>
            </w:r>
            <w:r w:rsidR="00F74B7D" w:rsidRPr="004B02F2">
              <w:rPr>
                <w:color w:val="000000"/>
                <w:sz w:val="16"/>
                <w:szCs w:val="16"/>
              </w:rPr>
              <w:t>I, Fundación Asia/Europa, AANZFTA.</w:t>
            </w:r>
            <w:r w:rsidR="009572EA">
              <w:rPr>
                <w:color w:val="000000"/>
                <w:sz w:val="16"/>
                <w:szCs w:val="16"/>
              </w:rPr>
              <w:br/>
            </w:r>
          </w:p>
        </w:tc>
        <w:tc>
          <w:tcPr>
            <w:tcW w:w="2380" w:type="dxa"/>
            <w:tcBorders>
              <w:top w:val="nil"/>
              <w:left w:val="nil"/>
              <w:bottom w:val="single" w:sz="4" w:space="0" w:color="auto"/>
              <w:right w:val="nil"/>
            </w:tcBorders>
          </w:tcPr>
          <w:p w:rsidR="00F74B7D" w:rsidRPr="004B02F2" w:rsidRDefault="00F74B7D" w:rsidP="00F922F0">
            <w:pPr>
              <w:rPr>
                <w:color w:val="000000"/>
                <w:sz w:val="16"/>
                <w:szCs w:val="16"/>
              </w:rPr>
            </w:pPr>
            <w:r w:rsidRPr="004B02F2">
              <w:rPr>
                <w:color w:val="000000"/>
                <w:sz w:val="16"/>
                <w:szCs w:val="16"/>
              </w:rPr>
              <w:t>11 (OOS).</w:t>
            </w:r>
          </w:p>
        </w:tc>
        <w:tc>
          <w:tcPr>
            <w:tcW w:w="2089" w:type="dxa"/>
            <w:tcBorders>
              <w:top w:val="nil"/>
              <w:left w:val="nil"/>
              <w:bottom w:val="single" w:sz="4" w:space="0" w:color="auto"/>
              <w:right w:val="single" w:sz="4" w:space="0" w:color="auto"/>
            </w:tcBorders>
          </w:tcPr>
          <w:p w:rsidR="00F74B7D" w:rsidRPr="00ED4DE9" w:rsidRDefault="00F74B7D" w:rsidP="00F922F0">
            <w:pPr>
              <w:rPr>
                <w:sz w:val="16"/>
                <w:szCs w:val="16"/>
              </w:rPr>
            </w:pPr>
            <w:r w:rsidRPr="004B02F2">
              <w:rPr>
                <w:sz w:val="16"/>
                <w:szCs w:val="16"/>
              </w:rPr>
              <w:t>8 más.</w:t>
            </w:r>
          </w:p>
        </w:tc>
      </w:tr>
    </w:tbl>
    <w:p w:rsidR="00241BBB" w:rsidRPr="00ED4DE9" w:rsidRDefault="00241BBB" w:rsidP="00241BBB">
      <w:pPr>
        <w:jc w:val="both"/>
      </w:pPr>
    </w:p>
    <w:p w:rsidR="00DB2A74" w:rsidRPr="00ED4DE9" w:rsidRDefault="00DB2A74" w:rsidP="00DB2A74">
      <w:pPr>
        <w:keepNext/>
        <w:keepLines/>
        <w:jc w:val="both"/>
      </w:pPr>
      <w:r>
        <w:lastRenderedPageBreak/>
        <w:t>RECURSOS PARA EL PROGRAMA</w:t>
      </w:r>
      <w:r w:rsidRPr="00ED4DE9">
        <w:t xml:space="preserve"> 20</w:t>
      </w:r>
    </w:p>
    <w:p w:rsidR="00DB2A74" w:rsidRPr="00ED4DE9" w:rsidRDefault="00DB2A74" w:rsidP="00DB2A74">
      <w:pPr>
        <w:keepNext/>
        <w:keepLines/>
        <w:jc w:val="both"/>
        <w:rPr>
          <w:sz w:val="20"/>
        </w:rPr>
      </w:pPr>
    </w:p>
    <w:p w:rsidR="00DB2A74" w:rsidRPr="00ED4DE9" w:rsidRDefault="00DB2A74" w:rsidP="00DB2A74">
      <w:pPr>
        <w:keepNext/>
        <w:keepLines/>
        <w:tabs>
          <w:tab w:val="left" w:pos="1427"/>
        </w:tabs>
        <w:jc w:val="center"/>
        <w:rPr>
          <w:sz w:val="20"/>
        </w:rPr>
      </w:pPr>
      <w:r w:rsidRPr="00ED4DE9">
        <w:rPr>
          <w:b/>
          <w:sz w:val="20"/>
          <w:szCs w:val="24"/>
        </w:rPr>
        <w:t>Program</w:t>
      </w:r>
      <w:r>
        <w:rPr>
          <w:b/>
          <w:sz w:val="20"/>
          <w:szCs w:val="24"/>
        </w:rPr>
        <w:t>a</w:t>
      </w:r>
      <w:r w:rsidRPr="00ED4DE9">
        <w:rPr>
          <w:b/>
          <w:sz w:val="20"/>
          <w:szCs w:val="24"/>
        </w:rPr>
        <w:t xml:space="preserve"> 20</w:t>
      </w:r>
      <w:proofErr w:type="gramStart"/>
      <w:r w:rsidRPr="00ED4DE9">
        <w:rPr>
          <w:b/>
          <w:sz w:val="20"/>
          <w:szCs w:val="24"/>
        </w:rPr>
        <w:t xml:space="preserve">:  </w:t>
      </w:r>
      <w:r>
        <w:rPr>
          <w:b/>
          <w:sz w:val="20"/>
          <w:szCs w:val="24"/>
        </w:rPr>
        <w:t>Recursos</w:t>
      </w:r>
      <w:proofErr w:type="gramEnd"/>
      <w:r>
        <w:rPr>
          <w:b/>
          <w:sz w:val="20"/>
          <w:szCs w:val="24"/>
        </w:rPr>
        <w:t xml:space="preserve"> por resultado</w:t>
      </w:r>
    </w:p>
    <w:p w:rsidR="00DB2A74" w:rsidRPr="00ED4DE9" w:rsidRDefault="00DB2A74" w:rsidP="00DB2A74">
      <w:pPr>
        <w:keepNext/>
        <w:keepLines/>
        <w:tabs>
          <w:tab w:val="left" w:pos="1427"/>
        </w:tabs>
        <w:jc w:val="center"/>
        <w:rPr>
          <w:i/>
          <w:sz w:val="20"/>
          <w:szCs w:val="24"/>
        </w:rPr>
      </w:pPr>
      <w:r w:rsidRPr="00ED4DE9">
        <w:rPr>
          <w:i/>
          <w:sz w:val="20"/>
          <w:szCs w:val="24"/>
        </w:rPr>
        <w:t>(</w:t>
      </w:r>
      <w:proofErr w:type="gramStart"/>
      <w:r>
        <w:rPr>
          <w:i/>
          <w:sz w:val="20"/>
          <w:szCs w:val="24"/>
        </w:rPr>
        <w:t>en</w:t>
      </w:r>
      <w:proofErr w:type="gramEnd"/>
      <w:r>
        <w:rPr>
          <w:i/>
          <w:sz w:val="20"/>
          <w:szCs w:val="24"/>
        </w:rPr>
        <w:t xml:space="preserve"> miles de francos suizos</w:t>
      </w:r>
      <w:r w:rsidRPr="00ED4DE9">
        <w:rPr>
          <w:i/>
          <w:sz w:val="20"/>
          <w:szCs w:val="24"/>
        </w:rPr>
        <w:t>)</w:t>
      </w:r>
    </w:p>
    <w:p w:rsidR="00DB2A74" w:rsidRPr="00ED4DE9" w:rsidRDefault="00DB2A74" w:rsidP="00DB2A74">
      <w:pPr>
        <w:keepNext/>
        <w:keepLines/>
        <w:tabs>
          <w:tab w:val="left" w:pos="1427"/>
        </w:tabs>
        <w:jc w:val="center"/>
        <w:rPr>
          <w:i/>
          <w:sz w:val="20"/>
          <w:szCs w:val="24"/>
        </w:rPr>
      </w:pPr>
    </w:p>
    <w:p w:rsidR="008C5F94" w:rsidRDefault="008C5F94" w:rsidP="00331385">
      <w:pPr>
        <w:keepNext/>
        <w:keepLines/>
        <w:tabs>
          <w:tab w:val="left" w:pos="1427"/>
        </w:tabs>
        <w:jc w:val="center"/>
      </w:pPr>
      <w:r w:rsidRPr="008C5F94">
        <w:rPr>
          <w:noProof/>
          <w:lang w:val="en-US" w:eastAsia="en-US"/>
        </w:rPr>
        <w:drawing>
          <wp:inline distT="0" distB="0" distL="0" distR="0">
            <wp:extent cx="5676900" cy="8248650"/>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676900" cy="8248650"/>
                    </a:xfrm>
                    <a:prstGeom prst="rect">
                      <a:avLst/>
                    </a:prstGeom>
                    <a:noFill/>
                    <a:ln>
                      <a:noFill/>
                    </a:ln>
                  </pic:spPr>
                </pic:pic>
              </a:graphicData>
            </a:graphic>
          </wp:inline>
        </w:drawing>
      </w:r>
      <w:r w:rsidRPr="008C5F94">
        <w:t xml:space="preserve"> </w:t>
      </w:r>
    </w:p>
    <w:p w:rsidR="00DB2A74" w:rsidRPr="00ED4DE9" w:rsidRDefault="00DB2A74" w:rsidP="008C5F94">
      <w:pPr>
        <w:tabs>
          <w:tab w:val="left" w:pos="1427"/>
        </w:tabs>
        <w:rPr>
          <w:b/>
          <w:sz w:val="20"/>
          <w:szCs w:val="24"/>
        </w:rPr>
      </w:pPr>
      <w:r w:rsidRPr="00ED4DE9">
        <w:rPr>
          <w:b/>
          <w:sz w:val="20"/>
          <w:szCs w:val="24"/>
        </w:rPr>
        <w:br w:type="page"/>
      </w:r>
    </w:p>
    <w:p w:rsidR="00DB2A74" w:rsidRPr="00ED4DE9" w:rsidRDefault="00DB2A74" w:rsidP="00DB2A74">
      <w:pPr>
        <w:keepNext/>
        <w:keepLines/>
        <w:tabs>
          <w:tab w:val="left" w:pos="1427"/>
        </w:tabs>
        <w:jc w:val="center"/>
        <w:rPr>
          <w:sz w:val="20"/>
        </w:rPr>
      </w:pPr>
      <w:r w:rsidRPr="00ED4DE9">
        <w:rPr>
          <w:b/>
          <w:sz w:val="20"/>
          <w:szCs w:val="24"/>
        </w:rPr>
        <w:lastRenderedPageBreak/>
        <w:t>Program</w:t>
      </w:r>
      <w:r>
        <w:rPr>
          <w:b/>
          <w:sz w:val="20"/>
          <w:szCs w:val="24"/>
        </w:rPr>
        <w:t>a</w:t>
      </w:r>
      <w:r w:rsidRPr="00ED4DE9">
        <w:rPr>
          <w:b/>
          <w:sz w:val="20"/>
          <w:szCs w:val="24"/>
        </w:rPr>
        <w:t xml:space="preserve"> 20</w:t>
      </w:r>
      <w:proofErr w:type="gramStart"/>
      <w:r w:rsidRPr="00ED4DE9">
        <w:rPr>
          <w:b/>
          <w:sz w:val="20"/>
          <w:szCs w:val="24"/>
        </w:rPr>
        <w:t xml:space="preserve">:  </w:t>
      </w:r>
      <w:r>
        <w:rPr>
          <w:b/>
          <w:sz w:val="20"/>
          <w:szCs w:val="24"/>
        </w:rPr>
        <w:t>Recursos</w:t>
      </w:r>
      <w:proofErr w:type="gramEnd"/>
      <w:r>
        <w:rPr>
          <w:b/>
          <w:sz w:val="20"/>
          <w:szCs w:val="24"/>
        </w:rPr>
        <w:t xml:space="preserve"> por objeto de gasto</w:t>
      </w:r>
    </w:p>
    <w:p w:rsidR="00DB2A74" w:rsidRPr="00ED4DE9" w:rsidRDefault="00DB2A74" w:rsidP="00DB2A74">
      <w:pPr>
        <w:keepNext/>
        <w:keepLines/>
        <w:tabs>
          <w:tab w:val="left" w:pos="1427"/>
        </w:tabs>
        <w:jc w:val="center"/>
        <w:rPr>
          <w:i/>
          <w:sz w:val="20"/>
          <w:szCs w:val="24"/>
        </w:rPr>
      </w:pPr>
      <w:r w:rsidRPr="00ED4DE9">
        <w:rPr>
          <w:i/>
          <w:sz w:val="20"/>
          <w:szCs w:val="24"/>
        </w:rPr>
        <w:t>(</w:t>
      </w:r>
      <w:proofErr w:type="gramStart"/>
      <w:r>
        <w:rPr>
          <w:i/>
          <w:sz w:val="20"/>
          <w:szCs w:val="24"/>
        </w:rPr>
        <w:t>en</w:t>
      </w:r>
      <w:proofErr w:type="gramEnd"/>
      <w:r>
        <w:rPr>
          <w:i/>
          <w:sz w:val="20"/>
          <w:szCs w:val="24"/>
        </w:rPr>
        <w:t xml:space="preserve"> miles de francos suizos</w:t>
      </w:r>
      <w:r w:rsidRPr="00ED4DE9">
        <w:rPr>
          <w:i/>
          <w:sz w:val="20"/>
          <w:szCs w:val="24"/>
        </w:rPr>
        <w:t>)</w:t>
      </w:r>
    </w:p>
    <w:p w:rsidR="00DB2A74" w:rsidRPr="00ED4DE9" w:rsidRDefault="00DB2A74" w:rsidP="00DB2A74">
      <w:pPr>
        <w:keepNext/>
        <w:keepLines/>
        <w:tabs>
          <w:tab w:val="left" w:pos="1427"/>
        </w:tabs>
        <w:jc w:val="center"/>
        <w:rPr>
          <w:i/>
          <w:sz w:val="20"/>
          <w:szCs w:val="24"/>
        </w:rPr>
      </w:pPr>
    </w:p>
    <w:p w:rsidR="00DB2A74" w:rsidRPr="00ED4DE9" w:rsidRDefault="00835617" w:rsidP="00DB2A74">
      <w:pPr>
        <w:jc w:val="center"/>
        <w:rPr>
          <w:sz w:val="20"/>
        </w:rPr>
      </w:pPr>
      <w:r>
        <w:rPr>
          <w:noProof/>
          <w:lang w:val="en-US" w:eastAsia="en-US"/>
        </w:rPr>
        <w:drawing>
          <wp:inline distT="0" distB="0" distL="0" distR="0" wp14:anchorId="5E7C78C4" wp14:editId="6831CF64">
            <wp:extent cx="5940425" cy="6118130"/>
            <wp:effectExtent l="0" t="0" r="3175" b="0"/>
            <wp:docPr id="1162" name="Picture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DB2A74" w:rsidRPr="00ED4DE9" w:rsidRDefault="00DB2A74" w:rsidP="00DB2A74">
      <w:pPr>
        <w:jc w:val="center"/>
        <w:rPr>
          <w:sz w:val="20"/>
        </w:rPr>
      </w:pPr>
    </w:p>
    <w:p w:rsidR="00DB2A74" w:rsidRPr="00ED4DE9" w:rsidRDefault="00DB2A74" w:rsidP="00DB2A74">
      <w:pPr>
        <w:jc w:val="center"/>
        <w:rPr>
          <w:sz w:val="20"/>
        </w:rPr>
      </w:pPr>
    </w:p>
    <w:p w:rsidR="00DB2A74" w:rsidRPr="00ED4DE9" w:rsidRDefault="00DB2A74" w:rsidP="00DB2A74">
      <w:pPr>
        <w:keepNext/>
        <w:keepLines/>
        <w:jc w:val="center"/>
        <w:rPr>
          <w:b/>
          <w:sz w:val="20"/>
        </w:rPr>
      </w:pPr>
      <w:r>
        <w:rPr>
          <w:b/>
          <w:sz w:val="20"/>
        </w:rPr>
        <w:t>Recursos de fondos fiduciarios disponibles potencialmente para su utilización</w:t>
      </w:r>
      <w:r w:rsidRPr="00ED4DE9">
        <w:rPr>
          <w:b/>
          <w:sz w:val="20"/>
        </w:rPr>
        <w:t xml:space="preserve"> 2016/17</w:t>
      </w:r>
      <w:r w:rsidR="00C750A5">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DB2A74" w:rsidRPr="00ED4DE9" w:rsidRDefault="00DB2A74" w:rsidP="00DB2A74">
      <w:pPr>
        <w:keepNext/>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DB2A74" w:rsidRPr="00ED4DE9" w:rsidRDefault="00DB2A74" w:rsidP="00DB2A74">
      <w:pPr>
        <w:keepNext/>
        <w:keepLines/>
        <w:jc w:val="center"/>
        <w:rPr>
          <w:sz w:val="20"/>
        </w:rPr>
      </w:pPr>
    </w:p>
    <w:p w:rsidR="00DB2A74" w:rsidRPr="00ED4DE9" w:rsidRDefault="00150FA5" w:rsidP="00150FA5">
      <w:pPr>
        <w:keepNext/>
        <w:keepLines/>
        <w:rPr>
          <w:sz w:val="20"/>
        </w:rPr>
      </w:pPr>
      <w:r w:rsidRPr="00150FA5">
        <w:rPr>
          <w:noProof/>
          <w:lang w:val="en-US" w:eastAsia="en-US"/>
        </w:rPr>
        <w:drawing>
          <wp:inline distT="0" distB="0" distL="0" distR="0" wp14:anchorId="59EE2783" wp14:editId="206EB3EB">
            <wp:extent cx="5940425" cy="906737"/>
            <wp:effectExtent l="0" t="0" r="317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940425" cy="906737"/>
                    </a:xfrm>
                    <a:prstGeom prst="rect">
                      <a:avLst/>
                    </a:prstGeom>
                    <a:noFill/>
                    <a:ln>
                      <a:noFill/>
                    </a:ln>
                  </pic:spPr>
                </pic:pic>
              </a:graphicData>
            </a:graphic>
          </wp:inline>
        </w:drawing>
      </w:r>
    </w:p>
    <w:p w:rsidR="00DB2A74" w:rsidRPr="00ED4DE9" w:rsidRDefault="00DB2A74" w:rsidP="00DB2A74">
      <w:pPr>
        <w:keepNext/>
        <w:keepLines/>
        <w:jc w:val="both"/>
        <w:rPr>
          <w:bCs/>
          <w:sz w:val="20"/>
        </w:rPr>
      </w:pPr>
    </w:p>
    <w:p w:rsidR="00DB2A74" w:rsidRPr="00ED4DE9" w:rsidRDefault="00DB2A74" w:rsidP="00DB2A74">
      <w:pPr>
        <w:keepNext/>
        <w:keepLines/>
        <w:spacing w:after="60"/>
        <w:rPr>
          <w:i/>
          <w:sz w:val="16"/>
          <w:szCs w:val="14"/>
        </w:rPr>
      </w:pPr>
      <w:r w:rsidRPr="00ED4DE9">
        <w:rPr>
          <w:i/>
          <w:sz w:val="16"/>
          <w:szCs w:val="14"/>
          <w:vertAlign w:val="superscript"/>
        </w:rPr>
        <w:t>1</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w:t>
      </w:r>
      <w:r w:rsidR="00150FA5">
        <w:rPr>
          <w:i/>
          <w:sz w:val="16"/>
          <w:szCs w:val="14"/>
        </w:rPr>
        <w:t xml:space="preserve">os ingresos y se incurre en </w:t>
      </w:r>
      <w:r>
        <w:rPr>
          <w:i/>
          <w:sz w:val="16"/>
          <w:szCs w:val="14"/>
        </w:rPr>
        <w:t>gastos</w:t>
      </w:r>
      <w:r w:rsidRPr="00ED4DE9">
        <w:rPr>
          <w:i/>
          <w:sz w:val="16"/>
          <w:szCs w:val="14"/>
        </w:rPr>
        <w:t>.</w:t>
      </w:r>
    </w:p>
    <w:p w:rsidR="007B412B" w:rsidRPr="00DB2A74" w:rsidRDefault="00DB2A74">
      <w:pPr>
        <w:rPr>
          <w:sz w:val="20"/>
          <w:szCs w:val="21"/>
        </w:rPr>
      </w:pPr>
      <w:r w:rsidRPr="00ED4DE9">
        <w:rPr>
          <w:i/>
          <w:sz w:val="16"/>
          <w:szCs w:val="14"/>
          <w:vertAlign w:val="superscript"/>
        </w:rPr>
        <w:t>2</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007B412B" w:rsidRPr="00DB2A74">
        <w:rPr>
          <w:sz w:val="20"/>
          <w:szCs w:val="21"/>
        </w:rPr>
        <w:br w:type="page"/>
      </w:r>
    </w:p>
    <w:p w:rsidR="00C644DC" w:rsidRPr="001F6DC8" w:rsidRDefault="00C644DC" w:rsidP="00336FF1">
      <w:pPr>
        <w:shd w:val="clear" w:color="auto" w:fill="FFFFFF"/>
        <w:tabs>
          <w:tab w:val="left" w:pos="709"/>
        </w:tabs>
        <w:suppressAutoHyphens/>
        <w:jc w:val="both"/>
        <w:rPr>
          <w:sz w:val="20"/>
          <w:szCs w:val="21"/>
        </w:rPr>
      </w:pPr>
    </w:p>
    <w:p w:rsidR="007B412B" w:rsidRPr="009572EA" w:rsidRDefault="007B412B" w:rsidP="0088192C">
      <w:pPr>
        <w:pStyle w:val="StyleStyleHeading3ComplexItalicLatin12pt"/>
        <w:tabs>
          <w:tab w:val="left" w:pos="3402"/>
        </w:tabs>
        <w:ind w:left="3402" w:hanging="3402"/>
        <w:rPr>
          <w:rStyle w:val="StyleStyleHeading3ComplexItalicLatin12ptChar"/>
          <w:rFonts w:eastAsia="SimSun"/>
          <w:b/>
          <w:highlight w:val="lightGray"/>
          <w:lang w:val="es-ES_tradnl"/>
        </w:rPr>
      </w:pPr>
      <w:bookmarkStart w:id="70" w:name="_Toc367350601"/>
      <w:bookmarkStart w:id="71" w:name="_Toc419283270"/>
      <w:bookmarkStart w:id="72" w:name="_Toc420681160"/>
      <w:r w:rsidRPr="009572EA">
        <w:rPr>
          <w:rStyle w:val="StyleStyleHeading3ComplexItalicLatin12ptChar"/>
          <w:rFonts w:eastAsia="SimSun"/>
          <w:b/>
          <w:lang w:val="es-ES_tradnl"/>
        </w:rPr>
        <w:t>META ESTRATÉGICA IX</w:t>
      </w:r>
      <w:r w:rsidRPr="009572EA">
        <w:rPr>
          <w:rStyle w:val="StyleStyleHeading3ComplexItalicLatin12ptChar"/>
          <w:rFonts w:eastAsia="SimSun"/>
          <w:b/>
          <w:lang w:val="es-ES_tradnl"/>
        </w:rPr>
        <w:tab/>
      </w:r>
      <w:bookmarkEnd w:id="70"/>
      <w:bookmarkEnd w:id="71"/>
      <w:r w:rsidRPr="009572EA">
        <w:rPr>
          <w:rStyle w:val="StyleStyleHeading3ComplexItalicLatin12ptChar"/>
          <w:rFonts w:eastAsia="SimSun"/>
          <w:b/>
          <w:lang w:val="es-ES_tradnl"/>
        </w:rPr>
        <w:t>APOYO ADMINISTRATIVO Y FINANCIERO EFICIENTE</w:t>
      </w:r>
      <w:bookmarkEnd w:id="72"/>
    </w:p>
    <w:p w:rsidR="007B412B" w:rsidRPr="001F6DC8" w:rsidRDefault="007B412B" w:rsidP="007B412B">
      <w:pPr>
        <w:tabs>
          <w:tab w:val="left" w:pos="1701"/>
        </w:tabs>
        <w:ind w:left="1701" w:hanging="1701"/>
        <w:rPr>
          <w:bCs/>
          <w:caps/>
          <w:sz w:val="20"/>
          <w:highlight w:val="lightGray"/>
          <w:lang w:val="es-ES_tradnl"/>
        </w:rPr>
      </w:pPr>
    </w:p>
    <w:p w:rsidR="007B412B" w:rsidRPr="001F6DC8" w:rsidRDefault="007B412B" w:rsidP="007B412B">
      <w:pPr>
        <w:tabs>
          <w:tab w:val="left" w:pos="1701"/>
        </w:tabs>
        <w:ind w:left="1701" w:hanging="1701"/>
        <w:rPr>
          <w:bCs/>
          <w:caps/>
          <w:sz w:val="20"/>
          <w:highlight w:val="lightGray"/>
          <w:lang w:val="es-ES_tradnl"/>
        </w:rPr>
      </w:pPr>
    </w:p>
    <w:p w:rsidR="007B412B" w:rsidRPr="001F6DC8" w:rsidRDefault="001F6DC8" w:rsidP="007B412B">
      <w:pPr>
        <w:tabs>
          <w:tab w:val="left" w:pos="0"/>
        </w:tabs>
        <w:jc w:val="both"/>
        <w:rPr>
          <w:b/>
          <w:bCs/>
          <w:i/>
          <w:iCs/>
          <w:caps/>
          <w:sz w:val="20"/>
          <w:highlight w:val="lightGray"/>
          <w:lang w:val="es-ES_tradnl"/>
        </w:rPr>
      </w:pPr>
      <w:r w:rsidRPr="001F6DC8">
        <w:rPr>
          <w:sz w:val="20"/>
        </w:rPr>
        <w:t xml:space="preserve">La </w:t>
      </w:r>
      <w:r w:rsidR="008C5F94" w:rsidRPr="001F6DC8">
        <w:rPr>
          <w:sz w:val="20"/>
        </w:rPr>
        <w:t xml:space="preserve">meta estratégica </w:t>
      </w:r>
      <w:r w:rsidRPr="001F6DC8">
        <w:rPr>
          <w:sz w:val="20"/>
        </w:rPr>
        <w:t>IX es la segunda de las dos metas coadyuvantes.  Refleja y satisface la necesidad de la Organización de contar con una estructura de apoyo administrativo, financiero y de gestión que coadyuve la ejecución de los programas y cuyos principios rectores sean la eficiencia y la transparencia.  Esta meta estratégica también abarca la reforma institucional amplia (programa de alineación estratégica) que mejorará el apoyo que brinda la OMPI, haciéndolo más eficiente y económico, y favorecerá un mejor rendimiento en la Organización.</w:t>
      </w:r>
    </w:p>
    <w:p w:rsidR="007B412B" w:rsidRPr="001F6DC8" w:rsidRDefault="007B412B" w:rsidP="001F6DC8">
      <w:pPr>
        <w:tabs>
          <w:tab w:val="left" w:pos="1701"/>
        </w:tabs>
        <w:ind w:left="1701" w:hanging="1701"/>
        <w:rPr>
          <w:b/>
          <w:bCs/>
          <w:caps/>
          <w:sz w:val="20"/>
          <w:highlight w:val="lightGray"/>
          <w:lang w:val="es-ES_tradnl"/>
        </w:rPr>
      </w:pPr>
    </w:p>
    <w:p w:rsidR="007B412B" w:rsidRPr="001F6DC8" w:rsidRDefault="007B412B" w:rsidP="001F6DC8">
      <w:pPr>
        <w:rPr>
          <w:sz w:val="20"/>
          <w:highlight w:val="lightGray"/>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833"/>
        <w:gridCol w:w="2946"/>
      </w:tblGrid>
      <w:tr w:rsidR="001F6DC8" w:rsidRPr="001F6DC8" w:rsidTr="001F608E">
        <w:trPr>
          <w:cantSplit/>
          <w:trHeight w:val="317"/>
          <w:tblHeader/>
        </w:trPr>
        <w:tc>
          <w:tcPr>
            <w:tcW w:w="1891" w:type="pct"/>
            <w:tcBorders>
              <w:top w:val="single" w:sz="4" w:space="0" w:color="auto"/>
              <w:bottom w:val="single" w:sz="4" w:space="0" w:color="auto"/>
            </w:tcBorders>
            <w:shd w:val="clear" w:color="auto" w:fill="C6D9F1" w:themeFill="text2" w:themeFillTint="33"/>
            <w:tcMar>
              <w:top w:w="85" w:type="dxa"/>
              <w:bottom w:w="85" w:type="dxa"/>
            </w:tcMar>
            <w:vAlign w:val="center"/>
          </w:tcPr>
          <w:p w:rsidR="001F6DC8" w:rsidRPr="001F6DC8" w:rsidRDefault="001F6DC8" w:rsidP="001F608E">
            <w:pPr>
              <w:spacing w:after="120"/>
              <w:jc w:val="center"/>
              <w:rPr>
                <w:b/>
                <w:bCs/>
                <w:sz w:val="18"/>
                <w:szCs w:val="18"/>
              </w:rPr>
            </w:pPr>
            <w:r w:rsidRPr="001F6DC8">
              <w:rPr>
                <w:b/>
                <w:bCs/>
                <w:sz w:val="18"/>
                <w:szCs w:val="18"/>
              </w:rPr>
              <w:t>Resultados previstos</w:t>
            </w:r>
          </w:p>
        </w:tc>
        <w:tc>
          <w:tcPr>
            <w:tcW w:w="1524" w:type="pct"/>
            <w:tcBorders>
              <w:top w:val="single" w:sz="4" w:space="0" w:color="auto"/>
              <w:bottom w:val="single" w:sz="4" w:space="0" w:color="auto"/>
            </w:tcBorders>
            <w:shd w:val="clear" w:color="auto" w:fill="C6D9F1" w:themeFill="text2" w:themeFillTint="33"/>
            <w:tcMar>
              <w:top w:w="85" w:type="dxa"/>
              <w:bottom w:w="85" w:type="dxa"/>
            </w:tcMar>
            <w:vAlign w:val="center"/>
          </w:tcPr>
          <w:p w:rsidR="001F6DC8" w:rsidRPr="001F6DC8" w:rsidRDefault="001F6DC8" w:rsidP="001F608E">
            <w:pPr>
              <w:spacing w:after="120"/>
              <w:jc w:val="center"/>
              <w:rPr>
                <w:b/>
                <w:sz w:val="18"/>
                <w:szCs w:val="18"/>
              </w:rPr>
            </w:pPr>
            <w:r w:rsidRPr="001F6DC8">
              <w:rPr>
                <w:b/>
                <w:sz w:val="18"/>
                <w:szCs w:val="18"/>
              </w:rPr>
              <w:t>Indicadores de rendimiento</w:t>
            </w:r>
          </w:p>
        </w:tc>
        <w:tc>
          <w:tcPr>
            <w:tcW w:w="1585" w:type="pct"/>
            <w:tcBorders>
              <w:top w:val="single" w:sz="4" w:space="0" w:color="auto"/>
              <w:bottom w:val="single" w:sz="4" w:space="0" w:color="auto"/>
            </w:tcBorders>
            <w:shd w:val="clear" w:color="auto" w:fill="C6D9F1" w:themeFill="text2" w:themeFillTint="33"/>
            <w:tcMar>
              <w:top w:w="85" w:type="dxa"/>
              <w:bottom w:w="85" w:type="dxa"/>
            </w:tcMar>
            <w:vAlign w:val="center"/>
          </w:tcPr>
          <w:p w:rsidR="001F6DC8" w:rsidRPr="001F6DC8" w:rsidRDefault="001F6DC8" w:rsidP="001F608E">
            <w:pPr>
              <w:spacing w:after="120"/>
              <w:ind w:left="85"/>
              <w:rPr>
                <w:sz w:val="18"/>
                <w:szCs w:val="18"/>
              </w:rPr>
            </w:pPr>
            <w:r w:rsidRPr="001F6DC8">
              <w:rPr>
                <w:b/>
                <w:sz w:val="18"/>
                <w:szCs w:val="18"/>
              </w:rPr>
              <w:t>Programas responsables</w:t>
            </w:r>
          </w:p>
        </w:tc>
      </w:tr>
      <w:tr w:rsidR="001F6DC8" w:rsidRPr="001F6DC8" w:rsidTr="001F608E">
        <w:trPr>
          <w:cantSplit/>
          <w:trHeight w:val="540"/>
        </w:trPr>
        <w:tc>
          <w:tcPr>
            <w:tcW w:w="1891" w:type="pct"/>
            <w:tcBorders>
              <w:top w:val="single" w:sz="4" w:space="0" w:color="auto"/>
            </w:tcBorders>
            <w:shd w:val="clear" w:color="auto" w:fill="auto"/>
            <w:tcMar>
              <w:top w:w="85" w:type="dxa"/>
              <w:bottom w:w="85" w:type="dxa"/>
            </w:tcMar>
          </w:tcPr>
          <w:p w:rsidR="001F6DC8" w:rsidRPr="008C5F94" w:rsidRDefault="001F6DC8" w:rsidP="001F608E">
            <w:pPr>
              <w:rPr>
                <w:sz w:val="16"/>
                <w:szCs w:val="16"/>
              </w:rPr>
            </w:pPr>
            <w:r w:rsidRPr="008C5F94">
              <w:rPr>
                <w:sz w:val="16"/>
                <w:szCs w:val="16"/>
              </w:rPr>
              <w:t xml:space="preserve">IX.1  </w:t>
            </w:r>
            <w:r w:rsidR="00532057" w:rsidRPr="008C5F94">
              <w:rPr>
                <w:sz w:val="16"/>
                <w:szCs w:val="16"/>
                <w:lang w:val="es-ES_tradnl"/>
              </w:rPr>
              <w:t>Servicios de apoyo eficaces, eficientes, de calidad y orientados al cliente, tanto a los usuarios internos como a las partes interesadas externas</w:t>
            </w:r>
          </w:p>
        </w:tc>
        <w:tc>
          <w:tcPr>
            <w:tcW w:w="1524" w:type="pct"/>
            <w:tcBorders>
              <w:top w:val="single" w:sz="4" w:space="0" w:color="auto"/>
            </w:tcBorders>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peticiones de asesoramiento y servicios jurídicos que reciben respuestas rápidas de la Oficina del Consejero Jurídico.</w:t>
            </w:r>
          </w:p>
        </w:tc>
        <w:tc>
          <w:tcPr>
            <w:tcW w:w="1585" w:type="pct"/>
            <w:tcBorders>
              <w:top w:val="single" w:sz="4" w:space="0" w:color="auto"/>
            </w:tcBorders>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21</w:t>
            </w:r>
          </w:p>
        </w:tc>
      </w:tr>
      <w:tr w:rsidR="001F6DC8" w:rsidRPr="001F6DC8" w:rsidTr="001F608E">
        <w:trPr>
          <w:cantSplit/>
        </w:trPr>
        <w:tc>
          <w:tcPr>
            <w:tcW w:w="1891" w:type="pct"/>
            <w:shd w:val="clear" w:color="auto" w:fill="auto"/>
            <w:tcMar>
              <w:top w:w="85" w:type="dxa"/>
              <w:bottom w:w="85" w:type="dxa"/>
            </w:tcMar>
          </w:tcPr>
          <w:p w:rsidR="001F6DC8" w:rsidRPr="008C5F94"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Suministro de informes y análisis financieros y de gestión solicitados por el personal directivo superior, los directores de programa y los Estados miembros con arreglo a los plazos acordados</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22</w:t>
            </w:r>
          </w:p>
        </w:tc>
      </w:tr>
      <w:tr w:rsidR="001F6DC8" w:rsidRPr="001F6DC8" w:rsidTr="001F608E">
        <w:trPr>
          <w:cantSplit/>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8C5F94">
            <w:pPr>
              <w:rPr>
                <w:sz w:val="16"/>
                <w:szCs w:val="16"/>
              </w:rPr>
            </w:pPr>
            <w:r w:rsidRPr="001F6DC8">
              <w:rPr>
                <w:sz w:val="16"/>
                <w:szCs w:val="16"/>
              </w:rPr>
              <w:t>N</w:t>
            </w:r>
            <w:r w:rsidR="008C5F94">
              <w:rPr>
                <w:sz w:val="16"/>
                <w:szCs w:val="16"/>
              </w:rPr>
              <w:t>º</w:t>
            </w:r>
            <w:r w:rsidRPr="001F6DC8">
              <w:rPr>
                <w:sz w:val="16"/>
                <w:szCs w:val="16"/>
              </w:rPr>
              <w:t xml:space="preserve"> de documentos del PBC presentados a tiempo a los Estados miembros.</w:t>
            </w:r>
          </w:p>
        </w:tc>
        <w:tc>
          <w:tcPr>
            <w:tcW w:w="1585" w:type="pct"/>
            <w:shd w:val="clear" w:color="auto" w:fill="FFFFFF"/>
            <w:tcMar>
              <w:top w:w="85" w:type="dxa"/>
              <w:bottom w:w="85" w:type="dxa"/>
            </w:tcMar>
          </w:tcPr>
          <w:p w:rsidR="001F6DC8" w:rsidRPr="001F6DC8" w:rsidRDefault="001F6DC8" w:rsidP="001F608E">
            <w:pPr>
              <w:jc w:val="center"/>
              <w:rPr>
                <w:sz w:val="16"/>
                <w:szCs w:val="16"/>
                <w:lang w:bidi="th-TH"/>
              </w:rPr>
            </w:pPr>
            <w:r w:rsidRPr="001F6DC8">
              <w:rPr>
                <w:sz w:val="16"/>
                <w:szCs w:val="16"/>
              </w:rPr>
              <w:t>Programa 22</w:t>
            </w:r>
          </w:p>
        </w:tc>
      </w:tr>
      <w:tr w:rsidR="001F6DC8" w:rsidRPr="001F6DC8" w:rsidTr="001F608E">
        <w:trPr>
          <w:cantSplit/>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El sistema de la OMPI de PRI (AIMS) funciona eficazmente con arreglo a las necesidades operacionales y en concordancia con las mejores prácticas.</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22</w:t>
            </w:r>
          </w:p>
        </w:tc>
      </w:tr>
      <w:tr w:rsidR="001F6DC8" w:rsidRPr="001F6DC8" w:rsidTr="001F608E">
        <w:trPr>
          <w:cantSplit/>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Los proyectos de PRI se ejecutan con arreglo a lo previsto en el marco del presupuesto de la cartera.</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22</w:t>
            </w:r>
          </w:p>
        </w:tc>
      </w:tr>
      <w:tr w:rsidR="001F6DC8" w:rsidRPr="001F6DC8" w:rsidTr="001F608E">
        <w:trPr>
          <w:cantSplit/>
          <w:trHeight w:val="472"/>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bCs/>
                <w:sz w:val="16"/>
                <w:szCs w:val="16"/>
              </w:rPr>
            </w:pPr>
            <w:r w:rsidRPr="001F6DC8">
              <w:rPr>
                <w:sz w:val="16"/>
                <w:szCs w:val="16"/>
              </w:rPr>
              <w:t>Porcentaje de miembros del personal satisfechos con los servicios de recursos humanos</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23</w:t>
            </w:r>
          </w:p>
        </w:tc>
      </w:tr>
      <w:tr w:rsidR="001F6DC8" w:rsidRPr="001F6DC8" w:rsidTr="001F608E">
        <w:trPr>
          <w:cantSplit/>
          <w:trHeight w:val="472"/>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 xml:space="preserve">Aumento de los procedimientos automatizados en lugar de los procesos que actualmente se efectúan a mano. </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23</w:t>
            </w:r>
          </w:p>
        </w:tc>
      </w:tr>
      <w:tr w:rsidR="001F6DC8" w:rsidRPr="001F6DC8" w:rsidTr="001F608E">
        <w:trPr>
          <w:cantSplit/>
          <w:trHeight w:val="472"/>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8C5F94">
            <w:pPr>
              <w:rPr>
                <w:sz w:val="16"/>
                <w:szCs w:val="16"/>
              </w:rPr>
            </w:pPr>
            <w:r w:rsidRPr="001F6DC8">
              <w:rPr>
                <w:sz w:val="16"/>
                <w:szCs w:val="16"/>
              </w:rPr>
              <w:t>Porcentaje de consultas solucionadas en 5 días hábiles.</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23</w:t>
            </w:r>
          </w:p>
        </w:tc>
      </w:tr>
      <w:tr w:rsidR="001F6DC8" w:rsidRPr="001F6DC8" w:rsidTr="001F608E">
        <w:trPr>
          <w:cantSplit/>
          <w:trHeight w:val="233"/>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Cobertura de seguros optimizada.</w:t>
            </w:r>
          </w:p>
        </w:tc>
        <w:tc>
          <w:tcPr>
            <w:tcW w:w="1585" w:type="pct"/>
            <w:shd w:val="clear" w:color="auto" w:fill="FFFFFF"/>
            <w:tcMar>
              <w:top w:w="85" w:type="dxa"/>
              <w:bottom w:w="85" w:type="dxa"/>
            </w:tcMar>
          </w:tcPr>
          <w:p w:rsidR="001F6DC8" w:rsidRPr="001F6DC8" w:rsidRDefault="001F6DC8" w:rsidP="001F608E">
            <w:pPr>
              <w:jc w:val="center"/>
              <w:rPr>
                <w:sz w:val="16"/>
                <w:szCs w:val="16"/>
              </w:rPr>
            </w:pPr>
            <w:r w:rsidRPr="001F6DC8">
              <w:rPr>
                <w:sz w:val="16"/>
                <w:szCs w:val="16"/>
              </w:rPr>
              <w:t>Programa 23</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bCs/>
                <w:sz w:val="16"/>
                <w:szCs w:val="16"/>
              </w:rPr>
            </w:pPr>
            <w:r w:rsidRPr="001F6DC8">
              <w:rPr>
                <w:sz w:val="16"/>
                <w:szCs w:val="16"/>
              </w:rPr>
              <w:t>Disminución de los costos de adquisición de productos y servicios por la OMPI (derivada de solicitudes de ofertas o negociaciones directas).</w:t>
            </w:r>
          </w:p>
        </w:tc>
        <w:tc>
          <w:tcPr>
            <w:tcW w:w="1585" w:type="pct"/>
            <w:shd w:val="clear" w:color="auto" w:fill="FFFFFF"/>
            <w:tcMar>
              <w:top w:w="85" w:type="dxa"/>
              <w:bottom w:w="85" w:type="dxa"/>
            </w:tcMar>
          </w:tcPr>
          <w:p w:rsidR="001F6DC8" w:rsidRPr="001F6DC8" w:rsidRDefault="001F6DC8" w:rsidP="001F608E">
            <w:pPr>
              <w:jc w:val="center"/>
              <w:rPr>
                <w:sz w:val="16"/>
                <w:szCs w:val="16"/>
                <w:lang w:bidi="th-TH"/>
              </w:rPr>
            </w:pPr>
            <w:r w:rsidRPr="001F6DC8">
              <w:rPr>
                <w:sz w:val="16"/>
                <w:szCs w:val="16"/>
                <w:lang w:bidi="th-TH"/>
              </w:rPr>
              <w:t>Programa 24</w:t>
            </w:r>
          </w:p>
        </w:tc>
      </w:tr>
      <w:tr w:rsidR="001F6DC8" w:rsidRPr="001F6DC8" w:rsidTr="001F608E">
        <w:trPr>
          <w:cantSplit/>
          <w:trHeight w:val="32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Tiempo de tramitación de peticiones electrónicas de actividades.</w:t>
            </w:r>
          </w:p>
        </w:tc>
        <w:tc>
          <w:tcPr>
            <w:tcW w:w="1585" w:type="pct"/>
            <w:shd w:val="clear" w:color="auto" w:fill="FFFFFF"/>
            <w:tcMar>
              <w:top w:w="85" w:type="dxa"/>
              <w:bottom w:w="85" w:type="dxa"/>
            </w:tcMar>
          </w:tcPr>
          <w:p w:rsidR="001F6DC8" w:rsidRPr="001F6DC8" w:rsidRDefault="001F6DC8" w:rsidP="001F608E">
            <w:pPr>
              <w:jc w:val="center"/>
            </w:pPr>
            <w:r w:rsidRPr="001F6DC8">
              <w:rPr>
                <w:sz w:val="16"/>
                <w:szCs w:val="16"/>
                <w:lang w:bidi="th-TH"/>
              </w:rPr>
              <w:t>Programa 24</w:t>
            </w:r>
          </w:p>
        </w:tc>
      </w:tr>
      <w:tr w:rsidR="001F6DC8" w:rsidRPr="001F6DC8" w:rsidTr="001F608E">
        <w:trPr>
          <w:cantSplit/>
          <w:trHeight w:val="37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Tiempo de tramitación de autorizaciones electrónicas de viaje.</w:t>
            </w:r>
          </w:p>
        </w:tc>
        <w:tc>
          <w:tcPr>
            <w:tcW w:w="1585" w:type="pct"/>
            <w:shd w:val="clear" w:color="auto" w:fill="FFFFFF"/>
            <w:tcMar>
              <w:top w:w="85" w:type="dxa"/>
              <w:bottom w:w="85" w:type="dxa"/>
            </w:tcMar>
          </w:tcPr>
          <w:p w:rsidR="001F6DC8" w:rsidRPr="001F6DC8" w:rsidRDefault="001F6DC8" w:rsidP="001F608E">
            <w:pPr>
              <w:jc w:val="center"/>
            </w:pPr>
            <w:r w:rsidRPr="001F6DC8">
              <w:rPr>
                <w:sz w:val="16"/>
                <w:szCs w:val="16"/>
                <w:lang w:bidi="th-TH"/>
              </w:rPr>
              <w:t>Programa 24</w:t>
            </w:r>
          </w:p>
        </w:tc>
      </w:tr>
      <w:tr w:rsidR="001F6DC8" w:rsidRPr="001F6DC8" w:rsidTr="001F608E">
        <w:trPr>
          <w:cantSplit/>
          <w:trHeight w:val="214"/>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Tiempo de tramitación de visados.</w:t>
            </w:r>
          </w:p>
        </w:tc>
        <w:tc>
          <w:tcPr>
            <w:tcW w:w="1585" w:type="pct"/>
            <w:shd w:val="clear" w:color="auto" w:fill="FFFFFF"/>
            <w:tcMar>
              <w:top w:w="85" w:type="dxa"/>
              <w:bottom w:w="85" w:type="dxa"/>
            </w:tcMar>
          </w:tcPr>
          <w:p w:rsidR="001F6DC8" w:rsidRPr="001F6DC8" w:rsidRDefault="001F6DC8" w:rsidP="001F608E">
            <w:pPr>
              <w:jc w:val="center"/>
            </w:pPr>
            <w:r w:rsidRPr="001F6DC8">
              <w:rPr>
                <w:sz w:val="16"/>
                <w:szCs w:val="16"/>
                <w:lang w:bidi="th-TH"/>
              </w:rPr>
              <w:t>Programa 24</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Precio medio general del billete de la empresa de gestión de viajes.</w:t>
            </w:r>
          </w:p>
        </w:tc>
        <w:tc>
          <w:tcPr>
            <w:tcW w:w="1585" w:type="pct"/>
            <w:shd w:val="clear" w:color="auto" w:fill="FFFFFF"/>
            <w:tcMar>
              <w:top w:w="85" w:type="dxa"/>
              <w:bottom w:w="85" w:type="dxa"/>
            </w:tcMar>
          </w:tcPr>
          <w:p w:rsidR="001F6DC8" w:rsidRPr="001F6DC8" w:rsidRDefault="001F6DC8" w:rsidP="001F608E">
            <w:pPr>
              <w:jc w:val="center"/>
            </w:pPr>
            <w:r w:rsidRPr="001F6DC8">
              <w:rPr>
                <w:sz w:val="16"/>
                <w:szCs w:val="16"/>
                <w:lang w:bidi="th-TH"/>
              </w:rPr>
              <w:t>Programa 24</w:t>
            </w:r>
          </w:p>
        </w:tc>
      </w:tr>
      <w:tr w:rsidR="001F6DC8" w:rsidRPr="001F6DC8" w:rsidTr="001F608E">
        <w:trPr>
          <w:cantSplit/>
          <w:trHeight w:val="348"/>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Precio medio general del billete.</w:t>
            </w:r>
            <w:r w:rsidRPr="001F6DC8">
              <w:rPr>
                <w:sz w:val="16"/>
                <w:szCs w:val="16"/>
              </w:rPr>
              <w:br/>
            </w:r>
          </w:p>
        </w:tc>
        <w:tc>
          <w:tcPr>
            <w:tcW w:w="1585" w:type="pct"/>
            <w:shd w:val="clear" w:color="auto" w:fill="FFFFFF"/>
            <w:tcMar>
              <w:top w:w="85" w:type="dxa"/>
              <w:bottom w:w="85" w:type="dxa"/>
            </w:tcMar>
          </w:tcPr>
          <w:p w:rsidR="001F6DC8" w:rsidRPr="001F6DC8" w:rsidRDefault="001F6DC8" w:rsidP="001F608E">
            <w:pPr>
              <w:jc w:val="center"/>
            </w:pPr>
            <w:r w:rsidRPr="001F6DC8">
              <w:rPr>
                <w:sz w:val="16"/>
                <w:szCs w:val="16"/>
                <w:lang w:bidi="th-TH"/>
              </w:rPr>
              <w:t>Programa 24</w:t>
            </w:r>
          </w:p>
        </w:tc>
      </w:tr>
      <w:tr w:rsidR="001F6DC8" w:rsidRPr="001F6DC8" w:rsidTr="001F608E">
        <w:trPr>
          <w:cantSplit/>
          <w:trHeight w:val="20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Promedio de la tasa de servicio.</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24</w:t>
            </w:r>
          </w:p>
        </w:tc>
      </w:tr>
      <w:tr w:rsidR="001F6DC8" w:rsidRPr="001F6DC8" w:rsidTr="001F608E">
        <w:trPr>
          <w:cantSplit/>
          <w:trHeight w:val="368"/>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Los locales y las instalaciones de la OMPI siguen sirviendo a los fines establecidos.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24</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Utilización y ocupación óptimas de los locales y todos los tipos de espacios de la OMPI.</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24</w:t>
            </w:r>
          </w:p>
        </w:tc>
      </w:tr>
      <w:tr w:rsidR="001F6DC8" w:rsidRPr="001F6DC8" w:rsidTr="001F608E">
        <w:trPr>
          <w:cantSplit/>
          <w:trHeight w:val="378"/>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rFonts w:eastAsia="Times New Roman"/>
                <w:sz w:val="16"/>
                <w:szCs w:val="16"/>
              </w:rPr>
              <w:t>Porcentaje de artículos de elevado valor (ej. &gt;5.000 CHF) inventariados.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24</w:t>
            </w:r>
          </w:p>
        </w:tc>
      </w:tr>
      <w:tr w:rsidR="001F6DC8" w:rsidRPr="001F6DC8" w:rsidTr="001F608E">
        <w:trPr>
          <w:cantSplit/>
          <w:trHeight w:val="279"/>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BA58A3">
            <w:pPr>
              <w:rPr>
                <w:sz w:val="16"/>
                <w:szCs w:val="16"/>
              </w:rPr>
            </w:pPr>
            <w:r w:rsidRPr="001F6DC8">
              <w:rPr>
                <w:rFonts w:eastAsia="Times New Roman"/>
                <w:sz w:val="16"/>
                <w:szCs w:val="16"/>
              </w:rPr>
              <w:t>Porc</w:t>
            </w:r>
            <w:r w:rsidR="00BA58A3">
              <w:rPr>
                <w:rFonts w:eastAsia="Times New Roman"/>
                <w:sz w:val="16"/>
                <w:szCs w:val="16"/>
              </w:rPr>
              <w:t>entaje de artículos de valor (1.</w:t>
            </w:r>
            <w:r w:rsidRPr="001F6DC8">
              <w:rPr>
                <w:rFonts w:eastAsia="Times New Roman"/>
                <w:sz w:val="16"/>
                <w:szCs w:val="16"/>
              </w:rPr>
              <w:t>000-5</w:t>
            </w:r>
            <w:r w:rsidR="00BA58A3">
              <w:rPr>
                <w:rFonts w:eastAsia="Times New Roman"/>
                <w:sz w:val="16"/>
                <w:szCs w:val="16"/>
              </w:rPr>
              <w:t>.</w:t>
            </w:r>
            <w:r w:rsidRPr="001F6DC8">
              <w:rPr>
                <w:rFonts w:eastAsia="Times New Roman"/>
                <w:sz w:val="16"/>
                <w:szCs w:val="16"/>
              </w:rPr>
              <w:t xml:space="preserve">000 CHF), obras de arte y artículos atractivos. </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24</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bCs/>
                <w:sz w:val="16"/>
                <w:szCs w:val="16"/>
              </w:rPr>
            </w:pPr>
            <w:r w:rsidRPr="001F6DC8">
              <w:rPr>
                <w:sz w:val="16"/>
                <w:szCs w:val="16"/>
              </w:rPr>
              <w:t>Los sistemas de TIC se alojan y se administran económicamente en concordancia con las necesidades operativas.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25</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Las actividades de desarrollo de aplicaciones se ajustan a las normas relativas a los datos maestros y de referencia de la OMPI.</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25</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Los proyectos de TIC se administran de conformidad con las Directrices de gestión de proyectos de la OMPI.</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25</w:t>
            </w:r>
          </w:p>
        </w:tc>
      </w:tr>
      <w:tr w:rsidR="001F6DC8" w:rsidRPr="001F6DC8" w:rsidTr="001F608E">
        <w:trPr>
          <w:cantSplit/>
          <w:trHeight w:val="348"/>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clientes satisfechos con los servicios prestados por el servicio de asistencia.</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25</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Los proyectos de TIC de la OMPI se administran de conformidad con las Directrices para la gestión de proyectos y transición del servicio de la OMPI.</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25</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bCs/>
                <w:sz w:val="16"/>
                <w:szCs w:val="16"/>
              </w:rPr>
            </w:pPr>
            <w:r w:rsidRPr="001F6DC8">
              <w:rPr>
                <w:bCs/>
                <w:sz w:val="16"/>
                <w:szCs w:val="16"/>
              </w:rPr>
              <w:t>Porcentaje de usuarios internos y externos satisfechos de los Servicios de Conferencias de la OMPI</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27</w:t>
            </w:r>
          </w:p>
        </w:tc>
      </w:tr>
      <w:tr w:rsidR="001F6DC8" w:rsidRPr="001F6DC8" w:rsidTr="001F608E">
        <w:trPr>
          <w:cantSplit/>
          <w:trHeight w:val="508"/>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Aplicación eficaz de la Política Lingüística de la OMPI</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27</w:t>
            </w:r>
          </w:p>
        </w:tc>
      </w:tr>
      <w:tr w:rsidR="001F6DC8" w:rsidRPr="001F6DC8" w:rsidTr="001F608E">
        <w:trPr>
          <w:cantSplit/>
          <w:trHeight w:val="362"/>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Disminución de los costos de impresión (por página)</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27</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Publicación a tiempo de los documentos para los comités y grupos de trabajo</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27</w:t>
            </w:r>
          </w:p>
        </w:tc>
      </w:tr>
      <w:tr w:rsidR="001F6DC8" w:rsidRPr="001F6DC8" w:rsidTr="001F608E">
        <w:trPr>
          <w:cantSplit/>
          <w:trHeight w:val="36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Costo por palabra traducida</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lang w:bidi="th-TH"/>
              </w:rPr>
              <w:t xml:space="preserve">  Programa 27</w:t>
            </w:r>
          </w:p>
        </w:tc>
      </w:tr>
      <w:tr w:rsidR="001F6DC8" w:rsidRPr="001F6DC8" w:rsidTr="001F608E">
        <w:trPr>
          <w:cantSplit/>
          <w:trHeight w:val="504"/>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Definición y fortalecimiento de la gobernanza en materia de aseguramiento de la información.</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28 </w:t>
            </w:r>
          </w:p>
        </w:tc>
      </w:tr>
      <w:tr w:rsidR="001F6DC8" w:rsidRPr="001F6DC8" w:rsidTr="001F608E">
        <w:trPr>
          <w:cantSplit/>
          <w:trHeight w:val="516"/>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8C5F94">
            <w:pPr>
              <w:rPr>
                <w:sz w:val="16"/>
                <w:szCs w:val="16"/>
              </w:rPr>
            </w:pPr>
            <w:r w:rsidRPr="001F6DC8">
              <w:rPr>
                <w:sz w:val="16"/>
                <w:szCs w:val="16"/>
              </w:rPr>
              <w:t>N</w:t>
            </w:r>
            <w:r w:rsidR="008C5F94">
              <w:rPr>
                <w:sz w:val="16"/>
                <w:szCs w:val="16"/>
              </w:rPr>
              <w:t>º</w:t>
            </w:r>
            <w:r w:rsidRPr="001F6DC8">
              <w:rPr>
                <w:sz w:val="16"/>
                <w:szCs w:val="16"/>
              </w:rPr>
              <w:t xml:space="preserve"> de miembros del personal consciente de sus responsabilidades con respecto a la seguridad de la información, las políticas de seguridad y las prácticas más extendidas.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 xml:space="preserve">  Programa 28</w:t>
            </w:r>
          </w:p>
        </w:tc>
      </w:tr>
      <w:tr w:rsidR="001F6DC8" w:rsidRPr="001F6DC8" w:rsidTr="001F608E">
        <w:trPr>
          <w:cantSplit/>
          <w:trHeight w:val="516"/>
        </w:trPr>
        <w:tc>
          <w:tcPr>
            <w:tcW w:w="1891" w:type="pct"/>
            <w:shd w:val="clear" w:color="auto" w:fill="auto"/>
            <w:tcMar>
              <w:top w:w="85" w:type="dxa"/>
              <w:bottom w:w="85" w:type="dxa"/>
            </w:tcMar>
          </w:tcPr>
          <w:p w:rsidR="001F6DC8" w:rsidRPr="008C5F94" w:rsidRDefault="001F6DC8" w:rsidP="001F608E">
            <w:pPr>
              <w:rPr>
                <w:sz w:val="16"/>
                <w:szCs w:val="16"/>
              </w:rPr>
            </w:pPr>
            <w:r w:rsidRPr="008C5F94">
              <w:rPr>
                <w:sz w:val="16"/>
                <w:szCs w:val="16"/>
              </w:rPr>
              <w:lastRenderedPageBreak/>
              <w:t xml:space="preserve">IX.2  </w:t>
            </w:r>
            <w:r w:rsidR="005354CF" w:rsidRPr="008C5F94">
              <w:rPr>
                <w:sz w:val="16"/>
                <w:szCs w:val="16"/>
                <w:lang w:val="es-ES_tradnl"/>
              </w:rPr>
              <w:t>Funcionamiento sin contratiempos de la Secretaría, provista de un personal bien dirigido, dotado de las competencias adecuadas, y capaz de conseguir resultados</w:t>
            </w:r>
          </w:p>
        </w:tc>
        <w:tc>
          <w:tcPr>
            <w:tcW w:w="1524" w:type="pct"/>
            <w:shd w:val="clear" w:color="auto" w:fill="auto"/>
            <w:tcMar>
              <w:top w:w="85" w:type="dxa"/>
              <w:bottom w:w="85" w:type="dxa"/>
            </w:tcMar>
          </w:tcPr>
          <w:p w:rsidR="001F6DC8" w:rsidRPr="001F6DC8" w:rsidRDefault="001F6DC8" w:rsidP="00DA24D6">
            <w:pPr>
              <w:rPr>
                <w:sz w:val="16"/>
                <w:szCs w:val="16"/>
              </w:rPr>
            </w:pPr>
            <w:r w:rsidRPr="001F6DC8">
              <w:rPr>
                <w:sz w:val="16"/>
                <w:szCs w:val="16"/>
              </w:rPr>
              <w:t>Establecimiento de un nuevo marco institucional de reacción</w:t>
            </w:r>
            <w:r w:rsidR="00DA24D6">
              <w:rPr>
                <w:sz w:val="16"/>
                <w:szCs w:val="16"/>
              </w:rPr>
              <w:t xml:space="preserve"> y recuperación</w:t>
            </w:r>
            <w:r w:rsidRPr="001F6DC8">
              <w:rPr>
                <w:sz w:val="16"/>
                <w:szCs w:val="16"/>
              </w:rPr>
              <w:t xml:space="preserve"> </w:t>
            </w:r>
            <w:r w:rsidR="00DA24D6">
              <w:rPr>
                <w:sz w:val="16"/>
                <w:szCs w:val="16"/>
              </w:rPr>
              <w:t xml:space="preserve">y </w:t>
            </w:r>
            <w:r w:rsidRPr="001F6DC8">
              <w:rPr>
                <w:sz w:val="16"/>
                <w:szCs w:val="16"/>
              </w:rPr>
              <w:t>continuidad de las actividades y documentación conexa.</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Programa 21</w:t>
            </w:r>
          </w:p>
        </w:tc>
      </w:tr>
      <w:tr w:rsidR="001F6DC8" w:rsidRPr="001F6DC8" w:rsidTr="001F608E">
        <w:trPr>
          <w:cantSplit/>
          <w:trHeight w:val="335"/>
        </w:trPr>
        <w:tc>
          <w:tcPr>
            <w:tcW w:w="1891" w:type="pct"/>
            <w:shd w:val="clear" w:color="auto" w:fill="auto"/>
            <w:tcMar>
              <w:top w:w="85" w:type="dxa"/>
              <w:bottom w:w="85" w:type="dxa"/>
            </w:tcMar>
          </w:tcPr>
          <w:p w:rsidR="001F6DC8" w:rsidRPr="008C5F94"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DA24D6">
            <w:pPr>
              <w:rPr>
                <w:sz w:val="16"/>
                <w:szCs w:val="16"/>
              </w:rPr>
            </w:pPr>
            <w:r w:rsidRPr="001F6DC8">
              <w:rPr>
                <w:sz w:val="16"/>
                <w:szCs w:val="16"/>
              </w:rPr>
              <w:t>Informe financiero satisfactorio de los auditores externos que confirma la conformidad de las operaciones contables con los convenios y tratados aplicables de la OMPI, el Reglamento</w:t>
            </w:r>
            <w:r w:rsidR="00DA24D6">
              <w:rPr>
                <w:sz w:val="16"/>
                <w:szCs w:val="16"/>
              </w:rPr>
              <w:t xml:space="preserve"> </w:t>
            </w:r>
            <w:r w:rsidRPr="001F6DC8">
              <w:rPr>
                <w:sz w:val="16"/>
                <w:szCs w:val="16"/>
              </w:rPr>
              <w:t>y la Reglamentación Financier</w:t>
            </w:r>
            <w:r w:rsidR="00DA24D6">
              <w:rPr>
                <w:sz w:val="16"/>
                <w:szCs w:val="16"/>
              </w:rPr>
              <w:t>os</w:t>
            </w:r>
            <w:r w:rsidRPr="001F6DC8">
              <w:rPr>
                <w:sz w:val="16"/>
                <w:szCs w:val="16"/>
              </w:rPr>
              <w:t xml:space="preserve"> de la OMPI y las IPSAS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Fomento del desarrollo de la gestión por resultados.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Rendimiento del capital invertido en concordancia con los parámetros establecidos por el Comité Asesor en materia de Inversiones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Gestión eficaz de los gastos y las reservas.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 xml:space="preserve">Los pagos (incluidas las tasas correspondientes a los </w:t>
            </w:r>
            <w:r w:rsidR="00DA24D6" w:rsidRPr="001F6DC8">
              <w:rPr>
                <w:sz w:val="16"/>
                <w:szCs w:val="16"/>
              </w:rPr>
              <w:t xml:space="preserve">Sistemas </w:t>
            </w:r>
            <w:r w:rsidRPr="001F6DC8">
              <w:rPr>
                <w:sz w:val="16"/>
                <w:szCs w:val="16"/>
              </w:rPr>
              <w:t>de Madrid y de La Haya) se efectúan en el plazo estipulado</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mujeres en cargos de la categoría profesional y superior</w:t>
            </w:r>
          </w:p>
          <w:p w:rsidR="001F6DC8" w:rsidRPr="001F6DC8" w:rsidRDefault="001F6DC8" w:rsidP="001F608E">
            <w:pPr>
              <w:rPr>
                <w:sz w:val="16"/>
                <w:szCs w:val="16"/>
              </w:rPr>
            </w:pP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Duración del proceso de contratación</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miembros del personal cuyo desempeño se evalúa en función de objetivos y competencias específicos</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8C5F94">
            <w:pPr>
              <w:rPr>
                <w:sz w:val="16"/>
                <w:szCs w:val="16"/>
              </w:rPr>
            </w:pPr>
            <w:r w:rsidRPr="001F6DC8">
              <w:rPr>
                <w:sz w:val="16"/>
                <w:szCs w:val="16"/>
              </w:rPr>
              <w:t>N</w:t>
            </w:r>
            <w:r w:rsidR="008C5F94">
              <w:rPr>
                <w:sz w:val="16"/>
                <w:szCs w:val="16"/>
              </w:rPr>
              <w:t>º</w:t>
            </w:r>
            <w:r w:rsidRPr="001F6DC8">
              <w:rPr>
                <w:sz w:val="16"/>
                <w:szCs w:val="16"/>
              </w:rPr>
              <w:t xml:space="preserve"> de días para:  i) notificar al funcionario decisiones relativas a peticiones de revisión o reclamaciones,  ii) notificar al funcionario decisiones relativas a casos de refutación o faltas disciplinarias, iii) ofrecer respuestas a consultas de asesoramiento.</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Diversidad geográfica – porcentaje de funcionarios por región</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8C5F94">
            <w:pPr>
              <w:rPr>
                <w:sz w:val="16"/>
                <w:szCs w:val="16"/>
              </w:rPr>
            </w:pPr>
            <w:r w:rsidRPr="001F6DC8">
              <w:rPr>
                <w:sz w:val="16"/>
                <w:szCs w:val="16"/>
              </w:rPr>
              <w:t>N</w:t>
            </w:r>
            <w:r w:rsidR="008C5F94">
              <w:rPr>
                <w:sz w:val="16"/>
                <w:szCs w:val="16"/>
              </w:rPr>
              <w:t>º</w:t>
            </w:r>
            <w:r w:rsidRPr="001F6DC8">
              <w:rPr>
                <w:sz w:val="16"/>
                <w:szCs w:val="16"/>
              </w:rPr>
              <w:t xml:space="preserve"> de solicitudes recibidas por parte de Estados miembros no representados, como porcentaje del total.</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Mayor consolidación de la planificación de los recursos humanos.</w:t>
            </w:r>
          </w:p>
        </w:tc>
        <w:tc>
          <w:tcPr>
            <w:tcW w:w="1585" w:type="pct"/>
            <w:shd w:val="clear" w:color="auto" w:fill="FFFFFF"/>
            <w:tcMar>
              <w:top w:w="85" w:type="dxa"/>
              <w:bottom w:w="85" w:type="dxa"/>
            </w:tcMar>
          </w:tcPr>
          <w:p w:rsidR="001F6DC8" w:rsidRPr="001F6DC8" w:rsidRDefault="001F6DC8" w:rsidP="001F608E">
            <w:pPr>
              <w:ind w:left="963" w:hanging="142"/>
              <w:rPr>
                <w:sz w:val="16"/>
                <w:szCs w:val="16"/>
              </w:rPr>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necesidades de formación satisfechas, de las cuales: i) necesidades esenciales de formación colectiva y ii) necesidades de formación individuales.</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23</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r w:rsidRPr="001F6DC8">
              <w:rPr>
                <w:sz w:val="16"/>
                <w:szCs w:val="16"/>
              </w:rPr>
              <w:t xml:space="preserve">IX.3  </w:t>
            </w:r>
            <w:r w:rsidR="005354CF" w:rsidRPr="008C5F94">
              <w:rPr>
                <w:sz w:val="16"/>
                <w:szCs w:val="16"/>
                <w:lang w:val="es-ES_tradnl"/>
              </w:rPr>
              <w:t>Entorno de trabajo propicio basado en un marco reglamentario eficaz y medios adecuados para atender los temas de interés del personal</w:t>
            </w: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miembros del personal de la OMPI conscientes de los servicios disponibles en la Oficina del Mediador y del mecanismo informal de solución de conflictos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Programa 21</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miembros del personal de la OMPI que tienen conocimiento de los principios y políticas de la OMPI en materia de ética.</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Programa 21</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El Reglamento Financiero y la Reglamentación Financiera y las órdenes de servicio pertinentes están actualizados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Fomento del desarrollo de la gestión de riesgos y controles internos, de conformidad con la Hoja de ruta de control interno.</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22</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Seguimiento eficaz de las recomendaciones en materia de supervisión.</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22</w:t>
            </w:r>
          </w:p>
        </w:tc>
      </w:tr>
      <w:tr w:rsidR="001F6DC8" w:rsidRPr="001F6DC8" w:rsidTr="001F608E">
        <w:trPr>
          <w:cantSplit/>
          <w:trHeight w:val="692"/>
        </w:trPr>
        <w:tc>
          <w:tcPr>
            <w:tcW w:w="1891" w:type="pct"/>
            <w:shd w:val="clear" w:color="auto" w:fill="auto"/>
            <w:tcMar>
              <w:top w:w="85" w:type="dxa"/>
              <w:bottom w:w="85" w:type="dxa"/>
            </w:tcMar>
          </w:tcPr>
          <w:p w:rsidR="001F6DC8" w:rsidRPr="008C5F94" w:rsidRDefault="001F6DC8" w:rsidP="001F608E">
            <w:pPr>
              <w:rPr>
                <w:sz w:val="16"/>
                <w:szCs w:val="16"/>
              </w:rPr>
            </w:pPr>
            <w:r w:rsidRPr="008C5F94">
              <w:rPr>
                <w:sz w:val="16"/>
                <w:szCs w:val="16"/>
              </w:rPr>
              <w:t xml:space="preserve">IX.4  </w:t>
            </w:r>
            <w:r w:rsidR="00532057" w:rsidRPr="008C5F94">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Reducción de las repercusiones de las actividades de la OMPI sobre el medio ambiente</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lang w:bidi="th-TH"/>
              </w:rPr>
              <w:t>Programa 24</w:t>
            </w:r>
          </w:p>
        </w:tc>
      </w:tr>
      <w:tr w:rsidR="001F6DC8" w:rsidRPr="001F6DC8" w:rsidTr="001F608E">
        <w:trPr>
          <w:cantSplit/>
          <w:trHeight w:val="335"/>
        </w:trPr>
        <w:tc>
          <w:tcPr>
            <w:tcW w:w="1891" w:type="pct"/>
            <w:shd w:val="clear" w:color="auto" w:fill="auto"/>
            <w:tcMar>
              <w:top w:w="85" w:type="dxa"/>
              <w:bottom w:w="85" w:type="dxa"/>
            </w:tcMar>
          </w:tcPr>
          <w:p w:rsidR="001F6DC8" w:rsidRPr="008C5F94"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Mejora de la accesibilidad al recinto de la OMPI</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24</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Continuidad de los servicios de TIC de los sistemas esenciales</w:t>
            </w:r>
          </w:p>
        </w:tc>
        <w:tc>
          <w:tcPr>
            <w:tcW w:w="1585" w:type="pct"/>
            <w:shd w:val="clear" w:color="auto" w:fill="FFFFFF"/>
            <w:tcMar>
              <w:top w:w="85" w:type="dxa"/>
              <w:bottom w:w="85" w:type="dxa"/>
            </w:tcMar>
          </w:tcPr>
          <w:p w:rsidR="001F6DC8" w:rsidRPr="001F6DC8" w:rsidRDefault="001F6DC8" w:rsidP="001F608E">
            <w:pPr>
              <w:ind w:left="821"/>
            </w:pPr>
            <w:r w:rsidRPr="001F6DC8">
              <w:rPr>
                <w:sz w:val="16"/>
                <w:szCs w:val="16"/>
              </w:rPr>
              <w:t>Programa 25</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riesgos de la información, incluidos los riesgos con respecto a terceros, presentado y gestionado de manera coherente en el marco de la tolerancia de la OMPI a los riesgos.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Identificación dinámica y subsanación puntual de las vulnerabilidades en el marco de los niveles de servicio acordados.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Incremento de la observancia de las políticas y las normas de aseguramiento de la información.</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Amplia adopción de la política de clasificación y gestión de la información para asegurar la confidencialidad de la información.</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Se reduce la necesidad de duplicación de las capacidades técnicas de seguridad de la información mediante la aplicación de modelos reutilizables de arquitectura de la seguridad.</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Mayor capacidad para detectar amenazas contra la seguridad de la información y dar respuesta a las mismas con mucha mayor rapidez, garantizando la mínima perturbación de las operaciones.</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miembros del personal de la OMPI, delegados y visitantes que comunican lesiones o incidentes relacionados con el trabajo</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Porcentaje de peticiones de asistencia relativa a la seguridad atendidas puntualmente en las conferencias o actividades organizadas en Ginebra o en otros lugares</w:t>
            </w:r>
          </w:p>
        </w:tc>
        <w:tc>
          <w:tcPr>
            <w:tcW w:w="1585" w:type="pct"/>
            <w:shd w:val="clear" w:color="auto" w:fill="FFFFFF"/>
            <w:tcMar>
              <w:top w:w="85" w:type="dxa"/>
              <w:bottom w:w="85" w:type="dxa"/>
            </w:tcMar>
          </w:tcPr>
          <w:p w:rsidR="001F6DC8" w:rsidRPr="001F6DC8" w:rsidRDefault="001F6DC8" w:rsidP="001F608E">
            <w:pPr>
              <w:ind w:left="821"/>
              <w:rPr>
                <w:sz w:val="16"/>
                <w:szCs w:val="16"/>
              </w:rPr>
            </w:pPr>
            <w:r w:rsidRPr="001F6DC8">
              <w:rPr>
                <w:sz w:val="16"/>
                <w:szCs w:val="16"/>
              </w:rPr>
              <w:t>Programa 28</w:t>
            </w:r>
          </w:p>
        </w:tc>
      </w:tr>
      <w:tr w:rsidR="001F6DC8" w:rsidRPr="001F6DC8" w:rsidTr="001F608E">
        <w:trPr>
          <w:cantSplit/>
          <w:trHeight w:val="335"/>
        </w:trPr>
        <w:tc>
          <w:tcPr>
            <w:tcW w:w="1891" w:type="pct"/>
            <w:shd w:val="clear" w:color="auto" w:fill="auto"/>
            <w:tcMar>
              <w:top w:w="85" w:type="dxa"/>
              <w:bottom w:w="85" w:type="dxa"/>
            </w:tcMar>
          </w:tcPr>
          <w:p w:rsidR="001F6DC8" w:rsidRPr="008C5F94" w:rsidRDefault="001F6DC8" w:rsidP="001F608E">
            <w:pPr>
              <w:rPr>
                <w:sz w:val="16"/>
                <w:szCs w:val="16"/>
              </w:rPr>
            </w:pPr>
            <w:r w:rsidRPr="008C5F94">
              <w:rPr>
                <w:sz w:val="16"/>
                <w:szCs w:val="16"/>
              </w:rPr>
              <w:t xml:space="preserve">IX.8  </w:t>
            </w:r>
            <w:r w:rsidR="00532057" w:rsidRPr="008C5F94">
              <w:rPr>
                <w:sz w:val="16"/>
                <w:szCs w:val="16"/>
                <w:lang w:val="es-ES_tradnl"/>
              </w:rPr>
              <w:t>Mejor rendición de cuentas, aprendizaje institucional, uso óptimo de los recursos, administración, control interno y buen gobierno gracias a la asistencia que proporciona una supervisión eficaz e independiente</w:t>
            </w:r>
          </w:p>
        </w:tc>
        <w:tc>
          <w:tcPr>
            <w:tcW w:w="1524" w:type="pct"/>
            <w:shd w:val="clear" w:color="auto" w:fill="auto"/>
            <w:tcMar>
              <w:top w:w="85" w:type="dxa"/>
              <w:bottom w:w="85" w:type="dxa"/>
            </w:tcMar>
          </w:tcPr>
          <w:p w:rsidR="001F6DC8" w:rsidRPr="001F6DC8" w:rsidRDefault="001F6DC8" w:rsidP="001F608E">
            <w:pPr>
              <w:rPr>
                <w:b/>
                <w:sz w:val="16"/>
                <w:szCs w:val="16"/>
              </w:rPr>
            </w:pPr>
            <w:r w:rsidRPr="001F6DC8">
              <w:rPr>
                <w:sz w:val="16"/>
                <w:szCs w:val="16"/>
              </w:rPr>
              <w:t>INDEPENDENCIA – No interferencia y grado de independencia percibido por las principales partes interesadas.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26</w:t>
            </w:r>
          </w:p>
        </w:tc>
      </w:tr>
      <w:tr w:rsidR="001F6DC8" w:rsidRPr="001F6DC8" w:rsidTr="001F608E">
        <w:trPr>
          <w:cantSplit/>
          <w:trHeight w:val="335"/>
        </w:trPr>
        <w:tc>
          <w:tcPr>
            <w:tcW w:w="1891" w:type="pct"/>
            <w:shd w:val="clear" w:color="auto" w:fill="auto"/>
            <w:tcMar>
              <w:top w:w="85" w:type="dxa"/>
              <w:bottom w:w="85" w:type="dxa"/>
            </w:tcMar>
          </w:tcPr>
          <w:p w:rsidR="001F6DC8" w:rsidRPr="008C5F94"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EFECTIVIDAD - Porcentaje de la labor que abarca ámbitos de importancia y de alto riesgo de conformidad con la estrategia de la Organización.</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26</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EFICACIA – Los informes de la DSI se elaboran oportunamente y se ajustan a las recomendaciones SMART (específicas, mensurables, realizables, pertinentes y sujetas a plazo).</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26</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PERTINENCIA, VALOR AÑADIDO Y ADMINISTRACIÓN:  Ahorros o mejoras tangibles en los procedimientos y sistemas</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26</w:t>
            </w:r>
          </w:p>
        </w:tc>
      </w:tr>
      <w:tr w:rsidR="001F6DC8" w:rsidRPr="001F6DC8" w:rsidTr="001F608E">
        <w:trPr>
          <w:cantSplit/>
          <w:trHeight w:val="335"/>
        </w:trPr>
        <w:tc>
          <w:tcPr>
            <w:tcW w:w="1891" w:type="pct"/>
            <w:shd w:val="clear" w:color="auto" w:fill="auto"/>
            <w:tcMar>
              <w:top w:w="85" w:type="dxa"/>
              <w:bottom w:w="85" w:type="dxa"/>
            </w:tcMar>
          </w:tcPr>
          <w:p w:rsidR="001F6DC8" w:rsidRPr="001F6DC8" w:rsidRDefault="001F6DC8" w:rsidP="001F608E">
            <w:pPr>
              <w:rPr>
                <w:sz w:val="16"/>
                <w:szCs w:val="16"/>
              </w:rPr>
            </w:pPr>
          </w:p>
        </w:tc>
        <w:tc>
          <w:tcPr>
            <w:tcW w:w="1524" w:type="pct"/>
            <w:shd w:val="clear" w:color="auto" w:fill="auto"/>
            <w:tcMar>
              <w:top w:w="85" w:type="dxa"/>
              <w:bottom w:w="85" w:type="dxa"/>
            </w:tcMar>
          </w:tcPr>
          <w:p w:rsidR="001F6DC8" w:rsidRPr="001F6DC8" w:rsidRDefault="001F6DC8" w:rsidP="001F608E">
            <w:pPr>
              <w:rPr>
                <w:sz w:val="16"/>
                <w:szCs w:val="16"/>
              </w:rPr>
            </w:pPr>
            <w:r w:rsidRPr="001F6DC8">
              <w:rPr>
                <w:sz w:val="16"/>
                <w:szCs w:val="16"/>
              </w:rPr>
              <w:t>APRENDIZAJE INSTITUCIONAL:   Adopción de enseñanzas y recomendaciones extraídas de los procesos de supervisión</w:t>
            </w:r>
          </w:p>
        </w:tc>
        <w:tc>
          <w:tcPr>
            <w:tcW w:w="1585" w:type="pct"/>
            <w:shd w:val="clear" w:color="auto" w:fill="FFFFFF"/>
            <w:tcMar>
              <w:top w:w="85" w:type="dxa"/>
              <w:bottom w:w="85" w:type="dxa"/>
            </w:tcMar>
          </w:tcPr>
          <w:p w:rsidR="001F6DC8" w:rsidRPr="001F6DC8" w:rsidRDefault="001F6DC8" w:rsidP="001F608E">
            <w:pPr>
              <w:ind w:left="821"/>
              <w:rPr>
                <w:sz w:val="16"/>
                <w:szCs w:val="16"/>
                <w:lang w:bidi="th-TH"/>
              </w:rPr>
            </w:pPr>
            <w:r w:rsidRPr="001F6DC8">
              <w:rPr>
                <w:sz w:val="16"/>
                <w:szCs w:val="16"/>
              </w:rPr>
              <w:t>Programa 26</w:t>
            </w:r>
          </w:p>
        </w:tc>
      </w:tr>
    </w:tbl>
    <w:p w:rsidR="001F6DC8" w:rsidRPr="00AA0D49" w:rsidRDefault="001F6DC8" w:rsidP="001F6DC8">
      <w:pPr>
        <w:rPr>
          <w:sz w:val="20"/>
        </w:rPr>
      </w:pPr>
    </w:p>
    <w:p w:rsidR="007F0AB4" w:rsidRDefault="007F0AB4">
      <w:pPr>
        <w:rPr>
          <w:sz w:val="20"/>
          <w:szCs w:val="21"/>
          <w:lang w:val="en-US"/>
        </w:rPr>
      </w:pPr>
      <w:r>
        <w:rPr>
          <w:sz w:val="20"/>
          <w:szCs w:val="21"/>
          <w:lang w:val="en-US"/>
        </w:rPr>
        <w:br w:type="page"/>
      </w:r>
    </w:p>
    <w:p w:rsidR="007F0AB4" w:rsidRPr="00F12B73" w:rsidRDefault="007F0AB4" w:rsidP="00F12B73">
      <w:pPr>
        <w:pStyle w:val="StyleStyleHeading3ComplexItalicLatin12pt"/>
        <w:rPr>
          <w:lang w:val="es-ES"/>
        </w:rPr>
      </w:pPr>
      <w:bookmarkStart w:id="73" w:name="_Toc420681161"/>
      <w:r w:rsidRPr="00F12B73">
        <w:rPr>
          <w:lang w:val="es-ES"/>
        </w:rPr>
        <w:lastRenderedPageBreak/>
        <w:t>PROGRAMA 21</w:t>
      </w:r>
      <w:r w:rsidR="00F12B73" w:rsidRPr="00F12B73">
        <w:rPr>
          <w:lang w:val="es-ES"/>
        </w:rPr>
        <w:tab/>
      </w:r>
      <w:r w:rsidRPr="00F12B73">
        <w:rPr>
          <w:lang w:val="es-ES"/>
        </w:rPr>
        <w:t>GESTIÓN EJECUTIVA</w:t>
      </w:r>
      <w:bookmarkEnd w:id="73"/>
    </w:p>
    <w:p w:rsidR="007F0AB4" w:rsidRPr="007F0AB4" w:rsidRDefault="007F0AB4" w:rsidP="003F0A8C">
      <w:pPr>
        <w:widowControl w:val="0"/>
        <w:tabs>
          <w:tab w:val="left" w:pos="2268"/>
        </w:tabs>
        <w:ind w:left="2268" w:hanging="2268"/>
        <w:rPr>
          <w:sz w:val="20"/>
        </w:rPr>
      </w:pPr>
    </w:p>
    <w:p w:rsidR="007F0AB4" w:rsidRPr="007F0AB4" w:rsidRDefault="007F0AB4" w:rsidP="003F0A8C">
      <w:pPr>
        <w:pStyle w:val="BodyTextIndent"/>
        <w:widowControl w:val="0"/>
        <w:spacing w:after="0"/>
        <w:ind w:left="1985" w:hanging="1985"/>
        <w:jc w:val="both"/>
        <w:rPr>
          <w:sz w:val="20"/>
        </w:rPr>
      </w:pPr>
    </w:p>
    <w:p w:rsidR="007F0AB4" w:rsidRPr="00344B27" w:rsidRDefault="007F0AB4" w:rsidP="003F0A8C">
      <w:pPr>
        <w:pStyle w:val="BodyTextIndent"/>
        <w:widowControl w:val="0"/>
        <w:spacing w:after="0"/>
        <w:ind w:left="1985" w:hanging="1985"/>
        <w:jc w:val="both"/>
        <w:rPr>
          <w:szCs w:val="22"/>
        </w:rPr>
      </w:pPr>
      <w:r w:rsidRPr="00344B27">
        <w:rPr>
          <w:szCs w:val="22"/>
        </w:rPr>
        <w:t>CONTEXTO DE PLANIFICACIÓN</w:t>
      </w:r>
    </w:p>
    <w:p w:rsidR="007F0AB4" w:rsidRPr="00344B27" w:rsidRDefault="007F0AB4" w:rsidP="003F0A8C">
      <w:pPr>
        <w:widowControl w:val="0"/>
        <w:rPr>
          <w:sz w:val="20"/>
        </w:rPr>
      </w:pPr>
    </w:p>
    <w:p w:rsidR="007F0AB4" w:rsidRPr="00344B27" w:rsidRDefault="007F0AB4" w:rsidP="007F0AB4">
      <w:pPr>
        <w:widowControl w:val="0"/>
        <w:numPr>
          <w:ilvl w:val="0"/>
          <w:numId w:val="42"/>
        </w:numPr>
        <w:jc w:val="both"/>
        <w:rPr>
          <w:sz w:val="20"/>
        </w:rPr>
      </w:pPr>
      <w:r w:rsidRPr="00344B27">
        <w:rPr>
          <w:sz w:val="20"/>
        </w:rPr>
        <w:t>El programa de gestión ejecutiva proporciona a la Organización una dirección estratégica que le permite progresar para alcanzar sus metas estratégicas.  Asimismo, se encarga de dirigir el cambio necesario para garantizar que la OMPI cumpla con su mandato de manera eficiente y eficaz en el marco de un entorno externo en rápida evolución.</w:t>
      </w:r>
    </w:p>
    <w:p w:rsidR="007F0AB4" w:rsidRPr="00344B27" w:rsidRDefault="007F0AB4" w:rsidP="007F0AB4">
      <w:pPr>
        <w:widowControl w:val="0"/>
        <w:jc w:val="both"/>
        <w:rPr>
          <w:sz w:val="20"/>
        </w:rPr>
      </w:pPr>
    </w:p>
    <w:p w:rsidR="007F0AB4" w:rsidRPr="00344B27" w:rsidRDefault="007F0AB4" w:rsidP="007F0AB4">
      <w:pPr>
        <w:widowControl w:val="0"/>
        <w:numPr>
          <w:ilvl w:val="0"/>
          <w:numId w:val="42"/>
        </w:numPr>
        <w:jc w:val="both"/>
        <w:rPr>
          <w:sz w:val="20"/>
        </w:rPr>
      </w:pPr>
      <w:r w:rsidRPr="00344B27">
        <w:rPr>
          <w:sz w:val="20"/>
        </w:rPr>
        <w:t xml:space="preserve">El entorno externo en el que actúa la OMPI sigue siendo difícil y plantea desafíos para la consecución de sus objetivos.  La recuperación económica mundial ha sido irregular y las perturbaciones como la reciente inestabilidad cambiaria ponen de manifiesto los riesgos externos a los que la Organización sigue estando expuesta.  En ese contexto, la P.I. y la innovación se mantienen en el centro de una intensa competencia económica, lo que destaca la importancia que siguen teniendo para el éxito económico y el desarrollo nacional.  Ello sigue reflejándose en la fuerte demanda del apoyo y la asistencia que brinda la OMPI por parte de los Estados miembros.  Al mismo tiempo, el ritmo de la elaboración de nuevas normas en el ámbito de la P.I. contrasta con el rápido ritmo del cambio tecnológico y social.  De cara al futuro, se plantean a la Organización los múltiples desafíos de dar respuestas equitativas y eficaces a los pedidos de asistencia, velar por que los servicios generadores de ingresos de la OMPI cuenten con recursos adecuados, se mantengan actualizados y competitivos mediante las reformas apropiadas, y de crear un espacio propicio para que los Estados miembros se congreguen y </w:t>
      </w:r>
      <w:r w:rsidR="008C5F94" w:rsidRPr="00344B27">
        <w:rPr>
          <w:sz w:val="20"/>
        </w:rPr>
        <w:t>consensuen</w:t>
      </w:r>
      <w:r w:rsidRPr="00344B27">
        <w:rPr>
          <w:sz w:val="20"/>
        </w:rPr>
        <w:t xml:space="preserve"> un marco normativo.</w:t>
      </w:r>
    </w:p>
    <w:p w:rsidR="007F0AB4" w:rsidRPr="00344B27" w:rsidRDefault="007F0AB4" w:rsidP="007F0AB4">
      <w:pPr>
        <w:widowControl w:val="0"/>
        <w:tabs>
          <w:tab w:val="num" w:pos="709"/>
        </w:tabs>
        <w:ind w:left="1140" w:hanging="1140"/>
        <w:rPr>
          <w:bCs/>
          <w:sz w:val="20"/>
        </w:rPr>
      </w:pPr>
    </w:p>
    <w:p w:rsidR="007F0AB4" w:rsidRPr="00344B27" w:rsidRDefault="007F0AB4" w:rsidP="007F0AB4">
      <w:pPr>
        <w:widowControl w:val="0"/>
        <w:tabs>
          <w:tab w:val="num" w:pos="709"/>
        </w:tabs>
        <w:ind w:left="1140" w:hanging="1140"/>
        <w:rPr>
          <w:bCs/>
          <w:sz w:val="20"/>
        </w:rPr>
      </w:pPr>
    </w:p>
    <w:p w:rsidR="007F0AB4" w:rsidRPr="00344B27" w:rsidRDefault="007F0AB4" w:rsidP="007F0AB4">
      <w:pPr>
        <w:widowControl w:val="0"/>
        <w:jc w:val="both"/>
        <w:rPr>
          <w:iCs/>
          <w:sz w:val="20"/>
        </w:rPr>
      </w:pPr>
      <w:r w:rsidRPr="00344B27">
        <w:rPr>
          <w:iCs/>
          <w:szCs w:val="22"/>
        </w:rPr>
        <w:t>ESTRATEGIAS DE EJECUCIÓN</w:t>
      </w:r>
    </w:p>
    <w:p w:rsidR="007F0AB4" w:rsidRPr="00344B27" w:rsidRDefault="007F0AB4" w:rsidP="007F0AB4">
      <w:pPr>
        <w:widowControl w:val="0"/>
        <w:tabs>
          <w:tab w:val="num" w:pos="709"/>
        </w:tabs>
        <w:jc w:val="both"/>
        <w:rPr>
          <w:bCs/>
          <w:sz w:val="20"/>
        </w:rPr>
      </w:pPr>
    </w:p>
    <w:p w:rsidR="007F0AB4" w:rsidRPr="00344B27" w:rsidRDefault="007F0AB4" w:rsidP="007F0AB4">
      <w:pPr>
        <w:widowControl w:val="0"/>
        <w:numPr>
          <w:ilvl w:val="0"/>
          <w:numId w:val="42"/>
        </w:numPr>
        <w:jc w:val="both"/>
        <w:rPr>
          <w:sz w:val="20"/>
        </w:rPr>
      </w:pPr>
      <w:r w:rsidRPr="00344B27">
        <w:rPr>
          <w:sz w:val="20"/>
        </w:rPr>
        <w:t xml:space="preserve">Para mantener una atención permanente en la P.I. y el equilibrio entre los distintos intereses, en el contexto actual, será necesario que el programa insista considerablemente en liderar los esfuerzos para fortalecer una comunicación fiable y transparente con los Estados miembros y otras partes interesadas, </w:t>
      </w:r>
      <w:r w:rsidRPr="009817C4">
        <w:rPr>
          <w:sz w:val="20"/>
        </w:rPr>
        <w:t>con el fin de facilitar el logro de un consenso en torno al cumplimiento de las metas estratégicas.</w:t>
      </w:r>
    </w:p>
    <w:p w:rsidR="007F0AB4" w:rsidRPr="00344B27" w:rsidRDefault="007F0AB4" w:rsidP="007F0AB4">
      <w:pPr>
        <w:widowControl w:val="0"/>
        <w:jc w:val="both"/>
        <w:rPr>
          <w:sz w:val="20"/>
        </w:rPr>
      </w:pPr>
    </w:p>
    <w:p w:rsidR="007F0AB4" w:rsidRPr="00344B27" w:rsidRDefault="007F0AB4" w:rsidP="007F0AB4">
      <w:pPr>
        <w:widowControl w:val="0"/>
        <w:numPr>
          <w:ilvl w:val="0"/>
          <w:numId w:val="42"/>
        </w:numPr>
        <w:jc w:val="both"/>
        <w:rPr>
          <w:sz w:val="20"/>
          <w:lang w:val="es-ES_tradnl"/>
        </w:rPr>
      </w:pPr>
      <w:r w:rsidRPr="00344B27">
        <w:rPr>
          <w:sz w:val="20"/>
        </w:rPr>
        <w:t xml:space="preserve">El programa promoverá y apoyará la aplicación de estrategias e iniciativas que favorezcan una gestión decisiva, integrada y responsable, centrada en el logro de resultados, fomentando al mismo tiempo la conducta ética y el buen gobierno.  </w:t>
      </w:r>
      <w:r w:rsidRPr="00344B27">
        <w:rPr>
          <w:sz w:val="20"/>
          <w:lang w:val="es-ES_tradnl"/>
        </w:rPr>
        <w:t xml:space="preserve">En ese contexto, en el marco del programa se concentrará la energía en velar por la eficacia de las tareas que realizan las oficinas de la OMPI en el exterior, así como su plena integración con el empeño de la Organización por lograr las metas estratégicas.  La atención se centrará en fomentar la capacidad reacción </w:t>
      </w:r>
      <w:r w:rsidR="00387230">
        <w:rPr>
          <w:sz w:val="20"/>
          <w:lang w:val="es-ES_tradnl"/>
        </w:rPr>
        <w:t xml:space="preserve">y recuperación </w:t>
      </w:r>
      <w:r w:rsidRPr="00344B27">
        <w:rPr>
          <w:sz w:val="20"/>
          <w:lang w:val="es-ES_tradnl"/>
        </w:rPr>
        <w:t>de la Organización en relación con un amplio espectro de riesgos y en salvaguardar los procesos de funcionamiento vitales.  En el marco del programa, se procurará fomentar un entorno productivo de trabajo que refleje los valores de la Organización y se sustente en un marco regulador equitativo, políticas laborales basadas en el respeto y canales eficaces para dar respuesta a las inquietudes del personal.</w:t>
      </w:r>
    </w:p>
    <w:p w:rsidR="007F0AB4" w:rsidRPr="00344B27" w:rsidRDefault="007F0AB4" w:rsidP="007F0AB4">
      <w:pPr>
        <w:widowControl w:val="0"/>
        <w:jc w:val="both"/>
        <w:rPr>
          <w:sz w:val="20"/>
          <w:lang w:val="es-ES_tradnl"/>
        </w:rPr>
      </w:pPr>
    </w:p>
    <w:p w:rsidR="007F0AB4" w:rsidRPr="00344B27" w:rsidRDefault="007F0AB4" w:rsidP="007F0AB4">
      <w:pPr>
        <w:widowControl w:val="0"/>
        <w:numPr>
          <w:ilvl w:val="0"/>
          <w:numId w:val="42"/>
        </w:numPr>
        <w:jc w:val="both"/>
        <w:rPr>
          <w:sz w:val="20"/>
        </w:rPr>
      </w:pPr>
      <w:r w:rsidRPr="00344B27">
        <w:rPr>
          <w:sz w:val="20"/>
        </w:rPr>
        <w:t>En 2016/17, se aplicarán las siguientes estrategias:</w:t>
      </w:r>
    </w:p>
    <w:p w:rsidR="007F0AB4" w:rsidRPr="00344B27" w:rsidRDefault="007F0AB4" w:rsidP="007F0AB4">
      <w:pPr>
        <w:widowControl w:val="0"/>
        <w:tabs>
          <w:tab w:val="left" w:pos="1134"/>
        </w:tabs>
        <w:jc w:val="both"/>
        <w:rPr>
          <w:sz w:val="20"/>
        </w:rPr>
      </w:pPr>
    </w:p>
    <w:p w:rsidR="007F0AB4" w:rsidRPr="00344B27" w:rsidRDefault="007F0AB4" w:rsidP="007F0AB4">
      <w:pPr>
        <w:widowControl w:val="0"/>
        <w:numPr>
          <w:ilvl w:val="1"/>
          <w:numId w:val="42"/>
        </w:numPr>
        <w:tabs>
          <w:tab w:val="clear" w:pos="1250"/>
          <w:tab w:val="num" w:pos="360"/>
          <w:tab w:val="left" w:pos="1134"/>
        </w:tabs>
        <w:ind w:left="567"/>
        <w:jc w:val="both"/>
        <w:rPr>
          <w:sz w:val="20"/>
        </w:rPr>
      </w:pPr>
      <w:r w:rsidRPr="00344B27">
        <w:rPr>
          <w:i/>
          <w:sz w:val="20"/>
        </w:rPr>
        <w:t>Fortalecer la comunicación con los Estados miembros</w:t>
      </w:r>
      <w:proofErr w:type="gramStart"/>
      <w:r w:rsidRPr="00344B27">
        <w:rPr>
          <w:sz w:val="20"/>
        </w:rPr>
        <w:t>:  la</w:t>
      </w:r>
      <w:proofErr w:type="gramEnd"/>
      <w:r w:rsidRPr="00344B27">
        <w:rPr>
          <w:sz w:val="20"/>
        </w:rPr>
        <w:t xml:space="preserve"> continuidad, periodicidad y eficacia de la comunicación, las consultas y el diálogo con los Estados miembros garantizarán la difusión de la información a todos los niveles y continuarán mejorando la transparencia respecto de las actividades programáticas.</w:t>
      </w:r>
    </w:p>
    <w:p w:rsidR="007F0AB4" w:rsidRPr="00344B27" w:rsidRDefault="007F0AB4" w:rsidP="007F0AB4">
      <w:pPr>
        <w:widowControl w:val="0"/>
        <w:tabs>
          <w:tab w:val="num" w:pos="360"/>
          <w:tab w:val="left" w:pos="1134"/>
        </w:tabs>
        <w:ind w:left="567"/>
        <w:jc w:val="both"/>
        <w:rPr>
          <w:sz w:val="20"/>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rPr>
        <w:t>Mejorar la coherencia y la eficiencia en el plano interno</w:t>
      </w:r>
      <w:proofErr w:type="gramStart"/>
      <w:r w:rsidRPr="00344B27">
        <w:rPr>
          <w:sz w:val="20"/>
        </w:rPr>
        <w:t>:  este</w:t>
      </w:r>
      <w:proofErr w:type="gramEnd"/>
      <w:r w:rsidRPr="00344B27">
        <w:rPr>
          <w:sz w:val="20"/>
        </w:rPr>
        <w:t xml:space="preserve"> aspecto seguirá consolidándose mediante procesos de coordinación en el nivel del Equipo Directivo Superior y de presentación de informes en el nivel de la Administración.  </w:t>
      </w:r>
      <w:r w:rsidRPr="00344B27">
        <w:rPr>
          <w:sz w:val="20"/>
          <w:lang w:val="es-ES_tradnl"/>
        </w:rPr>
        <w:t>El establecimiento de mecanismos de coordinación bien definidos garantizará la integración de las oficinas en el exterior en los procesos de gestión, mejorando su funcionamiento.</w:t>
      </w:r>
    </w:p>
    <w:p w:rsidR="007F0AB4" w:rsidRPr="00344B27" w:rsidRDefault="007F0AB4" w:rsidP="007F0AB4">
      <w:pPr>
        <w:widowControl w:val="0"/>
        <w:tabs>
          <w:tab w:val="num" w:pos="360"/>
          <w:tab w:val="left" w:pos="1134"/>
        </w:tabs>
        <w:ind w:left="567"/>
        <w:jc w:val="both"/>
        <w:rPr>
          <w:sz w:val="20"/>
          <w:lang w:val="es-ES_tradnl"/>
        </w:rPr>
      </w:pPr>
    </w:p>
    <w:p w:rsidR="007F0AB4" w:rsidRPr="00344B27" w:rsidRDefault="007F0AB4" w:rsidP="007F0AB4">
      <w:pPr>
        <w:widowControl w:val="0"/>
        <w:numPr>
          <w:ilvl w:val="1"/>
          <w:numId w:val="42"/>
        </w:numPr>
        <w:tabs>
          <w:tab w:val="clear" w:pos="1250"/>
        </w:tabs>
        <w:ind w:left="567"/>
        <w:jc w:val="both"/>
        <w:rPr>
          <w:sz w:val="20"/>
          <w:lang w:val="es-ES_tradnl"/>
        </w:rPr>
      </w:pPr>
      <w:r w:rsidRPr="00344B27">
        <w:rPr>
          <w:i/>
          <w:iCs/>
          <w:sz w:val="20"/>
          <w:lang w:val="es-ES_tradnl"/>
        </w:rPr>
        <w:t>Prestar servicios y brindar asesoramiento en el ámbito jurídico, de forma rápida,</w:t>
      </w:r>
      <w:r w:rsidRPr="00344B27">
        <w:rPr>
          <w:sz w:val="20"/>
          <w:lang w:val="es-ES_tradnl"/>
        </w:rPr>
        <w:t xml:space="preserve"> en sintonía con las obligaciones reglamentarias y la legislación aplicable, contribuirá al buen funcionamiento de la Secretaría y de los órganos constituyentes de la Organización.  Gracias a su desarrollo y mantenimiento constantes, la base de datos WIPO </w:t>
      </w:r>
      <w:proofErr w:type="spellStart"/>
      <w:r w:rsidRPr="00344B27">
        <w:rPr>
          <w:sz w:val="20"/>
          <w:lang w:val="es-ES_tradnl"/>
        </w:rPr>
        <w:t>Lex</w:t>
      </w:r>
      <w:proofErr w:type="spellEnd"/>
      <w:r w:rsidRPr="00344B27">
        <w:rPr>
          <w:sz w:val="20"/>
          <w:lang w:val="es-ES_tradnl"/>
        </w:rPr>
        <w:t xml:space="preserve"> seguirá siendo un recurso universal de leyes y tratados en materia de P.I. acorde con la innovación tecnológica actual.</w:t>
      </w:r>
    </w:p>
    <w:p w:rsidR="007F0AB4" w:rsidRPr="00344B27" w:rsidRDefault="007F0AB4" w:rsidP="007F0AB4">
      <w:pPr>
        <w:widowControl w:val="0"/>
        <w:tabs>
          <w:tab w:val="num" w:pos="360"/>
          <w:tab w:val="left" w:pos="1134"/>
        </w:tabs>
        <w:ind w:left="567"/>
        <w:jc w:val="both"/>
        <w:rPr>
          <w:sz w:val="20"/>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lang w:val="es-ES_tradnl"/>
        </w:rPr>
        <w:t>Establecer un marco institucional de reacción</w:t>
      </w:r>
      <w:r w:rsidR="00387230">
        <w:rPr>
          <w:i/>
          <w:sz w:val="20"/>
          <w:lang w:val="es-ES_tradnl"/>
        </w:rPr>
        <w:t xml:space="preserve"> y recuperación</w:t>
      </w:r>
      <w:proofErr w:type="gramStart"/>
      <w:r w:rsidRPr="00344B27">
        <w:rPr>
          <w:sz w:val="20"/>
          <w:lang w:val="es-ES_tradnl"/>
        </w:rPr>
        <w:t>:  mediante</w:t>
      </w:r>
      <w:proofErr w:type="gramEnd"/>
      <w:r w:rsidRPr="00344B27">
        <w:rPr>
          <w:sz w:val="20"/>
          <w:lang w:val="es-ES_tradnl"/>
        </w:rPr>
        <w:t xml:space="preserve"> la elaboración de una política, una estrategia y planes, se mejorarán las capacidades de la OMPI de planificación para situaciones de emergencia con miras a mitigar o minimizar, en la medida de lo posible, la incidencia de las perturbaciones en las funciones vitales de la Organización.</w:t>
      </w:r>
    </w:p>
    <w:p w:rsidR="007F0AB4" w:rsidRPr="00344B27" w:rsidRDefault="007F0AB4" w:rsidP="007F0AB4">
      <w:pPr>
        <w:widowControl w:val="0"/>
        <w:tabs>
          <w:tab w:val="num" w:pos="360"/>
          <w:tab w:val="left" w:pos="1134"/>
        </w:tabs>
        <w:ind w:left="567"/>
        <w:rPr>
          <w:szCs w:val="22"/>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lang w:val="es-ES_tradnl"/>
        </w:rPr>
        <w:t>Consolidar la aportación de la OMPI a la Junta de los Jefes Ejecutivos del sistema de las NN.UU. para la Coordinación</w:t>
      </w:r>
      <w:proofErr w:type="gramStart"/>
      <w:r w:rsidRPr="00344B27">
        <w:rPr>
          <w:sz w:val="20"/>
          <w:lang w:val="es-ES_tradnl"/>
        </w:rPr>
        <w:t>:  la</w:t>
      </w:r>
      <w:proofErr w:type="gramEnd"/>
      <w:r w:rsidRPr="00344B27">
        <w:rPr>
          <w:sz w:val="20"/>
          <w:lang w:val="es-ES_tradnl"/>
        </w:rPr>
        <w:t xml:space="preserve"> OMPI seguirá ampliando su participación activa en el sistema de las NN.UU., en particular mediante sus aportaciones a la Junta.  A través de su partición activa en dichos órganos, la OMPI seguirá fortaleciendo las iniciativas de las NN.UU</w:t>
      </w:r>
      <w:r w:rsidR="008C5F94">
        <w:rPr>
          <w:sz w:val="20"/>
          <w:lang w:val="es-ES_tradnl"/>
        </w:rPr>
        <w:t>.</w:t>
      </w:r>
      <w:r w:rsidRPr="00344B27">
        <w:rPr>
          <w:sz w:val="20"/>
          <w:lang w:val="es-ES_tradnl"/>
        </w:rPr>
        <w:t xml:space="preserve"> que sean de importancia para la promoción de la innovación y la creatividad, destacando sus buenas prácticas de gestión.</w:t>
      </w:r>
    </w:p>
    <w:p w:rsidR="007F0AB4" w:rsidRPr="00344B27" w:rsidRDefault="007F0AB4" w:rsidP="007F0AB4">
      <w:pPr>
        <w:widowControl w:val="0"/>
        <w:tabs>
          <w:tab w:val="num" w:pos="360"/>
          <w:tab w:val="left" w:pos="1134"/>
        </w:tabs>
        <w:ind w:left="567"/>
        <w:jc w:val="both"/>
        <w:rPr>
          <w:sz w:val="20"/>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lang w:val="es-ES_tradnl"/>
        </w:rPr>
        <w:t>Profundizar el amplio sistema de la OMPI de ética e integridad</w:t>
      </w:r>
      <w:r w:rsidRPr="00344B27">
        <w:rPr>
          <w:sz w:val="20"/>
          <w:lang w:val="es-ES_tradnl"/>
        </w:rPr>
        <w:t>:  tras el establecimiento de un amplio sistema de ética e integridad en la OMPI y a partir de la labor ya realizada (que incluye el Código de Ética, la política de lucha contra las represalias y la formación del personal), la Oficina de Ética Profesional seguirá incorporando el sistema en la Organización mediante el establecimiento de normas, el suministro de asesoramiento confiable de forma clara a la Administración y el personal en todos los niveles, así como mediante actividades de sensibilización y promoción.  En particular, tras el establecimiento de la Política de la OMPI de declaración de intereses, se elaborará una nueva Política de declaración de la situación financiera.</w:t>
      </w:r>
    </w:p>
    <w:p w:rsidR="007F0AB4" w:rsidRPr="00344B27" w:rsidRDefault="007F0AB4" w:rsidP="007F0AB4">
      <w:pPr>
        <w:widowControl w:val="0"/>
        <w:tabs>
          <w:tab w:val="num" w:pos="360"/>
          <w:tab w:val="left" w:pos="1134"/>
        </w:tabs>
        <w:ind w:left="567"/>
        <w:rPr>
          <w:szCs w:val="22"/>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lang w:val="es-ES_tradnl"/>
        </w:rPr>
        <w:t>Mejorar la organización de las Asambleas de la OMPI</w:t>
      </w:r>
      <w:proofErr w:type="gramStart"/>
      <w:r w:rsidRPr="00344B27">
        <w:rPr>
          <w:sz w:val="20"/>
          <w:lang w:val="es-ES_tradnl"/>
        </w:rPr>
        <w:t>:  la</w:t>
      </w:r>
      <w:proofErr w:type="gramEnd"/>
      <w:r w:rsidRPr="00344B27">
        <w:rPr>
          <w:sz w:val="20"/>
          <w:lang w:val="es-ES_tradnl"/>
        </w:rPr>
        <w:t xml:space="preserve"> eficiencia en la coordinación y la planificación internas contribuirá a la preparación minuciosa de las Asambleas en los plazos previstos, facilitando de esa manera la labor de los Estados miembros en los órganos rectores más importantes de la de la OMPI.</w:t>
      </w:r>
    </w:p>
    <w:p w:rsidR="007F0AB4" w:rsidRPr="00344B27" w:rsidRDefault="007F0AB4" w:rsidP="007F0AB4">
      <w:pPr>
        <w:widowControl w:val="0"/>
        <w:tabs>
          <w:tab w:val="num" w:pos="360"/>
          <w:tab w:val="left" w:pos="1134"/>
        </w:tabs>
        <w:ind w:left="567"/>
        <w:jc w:val="both"/>
        <w:rPr>
          <w:sz w:val="20"/>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sz w:val="20"/>
          <w:lang w:val="es-ES_tradnl"/>
        </w:rPr>
      </w:pPr>
      <w:r w:rsidRPr="00344B27">
        <w:rPr>
          <w:i/>
          <w:sz w:val="20"/>
          <w:lang w:val="es-ES_tradnl"/>
        </w:rPr>
        <w:t>Reforzar los servicios prestados a los Estados miembros y otras partes interesadas en relación con determinadas reuniones</w:t>
      </w:r>
      <w:proofErr w:type="gramStart"/>
      <w:r w:rsidRPr="00344B27">
        <w:rPr>
          <w:sz w:val="20"/>
          <w:lang w:val="es-ES_tradnl"/>
        </w:rPr>
        <w:t>:  seguir</w:t>
      </w:r>
      <w:proofErr w:type="gramEnd"/>
      <w:r w:rsidRPr="00344B27">
        <w:rPr>
          <w:sz w:val="20"/>
          <w:lang w:val="es-ES_tradnl"/>
        </w:rPr>
        <w:t xml:space="preserve"> mejorando el apoyo que se da a los Estados miembros y otras partes interesadas para la organización de reuniones de alto nivel aumentará la visibilidad y la sensibilización acerca del papel que la P.I. desempeña en el fomento del progreso y el desarrollo económico, social y cultural.</w:t>
      </w:r>
    </w:p>
    <w:p w:rsidR="007F0AB4" w:rsidRPr="00344B27" w:rsidRDefault="007F0AB4" w:rsidP="007F0AB4">
      <w:pPr>
        <w:widowControl w:val="0"/>
        <w:tabs>
          <w:tab w:val="num" w:pos="360"/>
          <w:tab w:val="left" w:pos="1134"/>
        </w:tabs>
        <w:ind w:left="567"/>
        <w:jc w:val="both"/>
        <w:rPr>
          <w:sz w:val="20"/>
          <w:lang w:val="es-ES_tradnl"/>
        </w:rPr>
      </w:pPr>
    </w:p>
    <w:p w:rsidR="007F0AB4" w:rsidRPr="00344B27" w:rsidRDefault="007F0AB4" w:rsidP="007F0AB4">
      <w:pPr>
        <w:widowControl w:val="0"/>
        <w:numPr>
          <w:ilvl w:val="1"/>
          <w:numId w:val="42"/>
        </w:numPr>
        <w:tabs>
          <w:tab w:val="clear" w:pos="1250"/>
          <w:tab w:val="num" w:pos="360"/>
          <w:tab w:val="left" w:pos="1134"/>
        </w:tabs>
        <w:ind w:left="567"/>
        <w:jc w:val="both"/>
        <w:rPr>
          <w:bCs/>
          <w:sz w:val="20"/>
        </w:rPr>
      </w:pPr>
      <w:r w:rsidRPr="00344B27">
        <w:rPr>
          <w:i/>
          <w:sz w:val="20"/>
          <w:lang w:val="es-ES_tradnl"/>
        </w:rPr>
        <w:t>Mejorar la gestión de las reclamaciones y conflictos</w:t>
      </w:r>
      <w:proofErr w:type="gramStart"/>
      <w:r w:rsidRPr="00344B27">
        <w:rPr>
          <w:i/>
          <w:sz w:val="20"/>
          <w:lang w:val="es-ES_tradnl"/>
        </w:rPr>
        <w:t xml:space="preserve">:  </w:t>
      </w:r>
      <w:r w:rsidRPr="00344B27">
        <w:rPr>
          <w:sz w:val="20"/>
          <w:lang w:val="es-ES_tradnl"/>
        </w:rPr>
        <w:t>La</w:t>
      </w:r>
      <w:proofErr w:type="gramEnd"/>
      <w:r w:rsidRPr="00344B27">
        <w:rPr>
          <w:sz w:val="20"/>
          <w:lang w:val="es-ES_tradnl"/>
        </w:rPr>
        <w:t xml:space="preserve"> Organización seguirá fomentando el uso de mecanismos informales, en la medida de lo posible, para impedir que se intensifiquen los conflictos y lograr soluciones satisfactorias.  </w:t>
      </w:r>
      <w:r w:rsidRPr="00344B27">
        <w:rPr>
          <w:sz w:val="20"/>
        </w:rPr>
        <w:t>Con tal fin, la Organización seguirá desarrollando y fortaleciendo políticas, mecanismos y procedimientos relativos al entorno laboral, ofreciendo así al personal un conjunto de posibilidades para resolver los conflictos de manera formal o informal.</w:t>
      </w:r>
    </w:p>
    <w:p w:rsidR="007F0AB4" w:rsidRPr="00344B27" w:rsidRDefault="007F0AB4" w:rsidP="007F0AB4">
      <w:pPr>
        <w:widowControl w:val="0"/>
        <w:tabs>
          <w:tab w:val="num" w:pos="709"/>
        </w:tabs>
        <w:rPr>
          <w:i/>
          <w:sz w:val="20"/>
        </w:rPr>
      </w:pPr>
    </w:p>
    <w:p w:rsidR="007F0AB4" w:rsidRPr="00344B27" w:rsidRDefault="007F0AB4" w:rsidP="007F0AB4">
      <w:pPr>
        <w:widowControl w:val="0"/>
        <w:jc w:val="both"/>
      </w:pPr>
    </w:p>
    <w:p w:rsidR="007F0AB4" w:rsidRPr="00344B27" w:rsidRDefault="007F0AB4" w:rsidP="007F0AB4">
      <w:pPr>
        <w:pStyle w:val="BodyText"/>
        <w:widowControl w:val="0"/>
        <w:spacing w:after="0"/>
      </w:pPr>
      <w:r w:rsidRPr="00344B27">
        <w:t>PRINCIPALES RIESGOS Y ESTRATEGIAS DE MITIGACIÓN</w:t>
      </w:r>
    </w:p>
    <w:p w:rsidR="007F0AB4" w:rsidRPr="00344B27" w:rsidRDefault="007F0AB4" w:rsidP="007F0AB4">
      <w:pPr>
        <w:pStyle w:val="BodyText"/>
        <w:widowControl w:val="0"/>
        <w:spacing w:after="0"/>
        <w:rPr>
          <w:szCs w:val="22"/>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95"/>
        <w:gridCol w:w="4961"/>
      </w:tblGrid>
      <w:tr w:rsidR="007F0AB4" w:rsidRPr="00344B27" w:rsidTr="006038F1">
        <w:trPr>
          <w:trHeight w:val="577"/>
        </w:trPr>
        <w:tc>
          <w:tcPr>
            <w:tcW w:w="4395" w:type="dxa"/>
            <w:tcBorders>
              <w:top w:val="single" w:sz="4" w:space="0" w:color="auto"/>
              <w:bottom w:val="single" w:sz="4" w:space="0" w:color="auto"/>
            </w:tcBorders>
            <w:shd w:val="clear" w:color="auto" w:fill="C6D9F1"/>
            <w:vAlign w:val="center"/>
          </w:tcPr>
          <w:p w:rsidR="007F0AB4" w:rsidRPr="00344B27" w:rsidRDefault="007F0AB4" w:rsidP="00DD333A">
            <w:pPr>
              <w:widowControl w:val="0"/>
              <w:jc w:val="center"/>
              <w:rPr>
                <w:b/>
                <w:bCs/>
                <w:sz w:val="18"/>
                <w:szCs w:val="18"/>
              </w:rPr>
            </w:pPr>
            <w:r w:rsidRPr="00344B27">
              <w:rPr>
                <w:b/>
                <w:bCs/>
                <w:sz w:val="18"/>
                <w:szCs w:val="18"/>
              </w:rPr>
              <w:t>Riesgo</w:t>
            </w:r>
          </w:p>
        </w:tc>
        <w:tc>
          <w:tcPr>
            <w:tcW w:w="4961" w:type="dxa"/>
            <w:tcBorders>
              <w:top w:val="single" w:sz="4" w:space="0" w:color="auto"/>
              <w:bottom w:val="single" w:sz="4" w:space="0" w:color="auto"/>
            </w:tcBorders>
            <w:shd w:val="clear" w:color="auto" w:fill="C6D9F1"/>
            <w:vAlign w:val="center"/>
          </w:tcPr>
          <w:p w:rsidR="007F0AB4" w:rsidRPr="00344B27" w:rsidRDefault="007F0AB4" w:rsidP="00DD333A">
            <w:pPr>
              <w:widowControl w:val="0"/>
              <w:jc w:val="center"/>
              <w:rPr>
                <w:b/>
                <w:bCs/>
                <w:sz w:val="18"/>
                <w:szCs w:val="18"/>
              </w:rPr>
            </w:pPr>
            <w:r w:rsidRPr="00344B27">
              <w:rPr>
                <w:b/>
                <w:bCs/>
                <w:sz w:val="18"/>
                <w:szCs w:val="18"/>
              </w:rPr>
              <w:t>Mitigación</w:t>
            </w:r>
          </w:p>
        </w:tc>
      </w:tr>
      <w:tr w:rsidR="007F0AB4" w:rsidRPr="004950EE" w:rsidTr="006038F1">
        <w:trPr>
          <w:trHeight w:val="224"/>
        </w:trPr>
        <w:tc>
          <w:tcPr>
            <w:tcW w:w="4395"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7F0AB4" w:rsidRPr="00344B27" w:rsidRDefault="007F0AB4" w:rsidP="00DD333A">
            <w:pPr>
              <w:widowControl w:val="0"/>
              <w:rPr>
                <w:sz w:val="16"/>
                <w:szCs w:val="16"/>
              </w:rPr>
            </w:pPr>
            <w:r w:rsidRPr="00344B27">
              <w:rPr>
                <w:sz w:val="16"/>
                <w:szCs w:val="16"/>
              </w:rPr>
              <w:t>La colaboración eficaz de la OMPI con los Estados miembros tiene una importancia primordial para lograr resultados puntuales.   Existe el riesgo de que se atenúen los avances en los procesos intergubernamentales de la OMPI, como por ejemplo los debates normativos, y aumenten los costos o se amplíen los calendarios de ejecución de los programas aprobados.  Esa situación repercutiría negativamente en la credibilidad de la OMPI en tanto que organismo internacional dedicado al establecimiento de normas de P.I.</w:t>
            </w:r>
          </w:p>
        </w:tc>
        <w:tc>
          <w:tcPr>
            <w:tcW w:w="4961"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7F0AB4" w:rsidRPr="00344B27" w:rsidRDefault="007F0AB4" w:rsidP="00DD333A">
            <w:pPr>
              <w:widowControl w:val="0"/>
              <w:rPr>
                <w:sz w:val="16"/>
                <w:szCs w:val="16"/>
              </w:rPr>
            </w:pPr>
            <w:r w:rsidRPr="00344B27">
              <w:rPr>
                <w:sz w:val="16"/>
                <w:szCs w:val="16"/>
              </w:rPr>
              <w:t>Seguir manteniendo una coordinación estrecha, transparente y basada en la confianza entre la Secretaría y los Estados miembros.</w:t>
            </w:r>
          </w:p>
        </w:tc>
      </w:tr>
    </w:tbl>
    <w:p w:rsidR="007F0AB4" w:rsidRPr="00344B27" w:rsidRDefault="007F0AB4" w:rsidP="007F0AB4">
      <w:pPr>
        <w:widowControl w:val="0"/>
        <w:rPr>
          <w:sz w:val="20"/>
        </w:rPr>
      </w:pPr>
    </w:p>
    <w:p w:rsidR="00E442BF" w:rsidRDefault="00E442BF">
      <w:pPr>
        <w:rPr>
          <w:sz w:val="20"/>
        </w:rPr>
      </w:pPr>
      <w:r>
        <w:rPr>
          <w:sz w:val="20"/>
        </w:rPr>
        <w:br w:type="page"/>
      </w:r>
    </w:p>
    <w:p w:rsidR="007F0AB4" w:rsidRPr="00344B27" w:rsidRDefault="007F0AB4" w:rsidP="007F0AB4">
      <w:pPr>
        <w:widowControl w:val="0"/>
        <w:rPr>
          <w:szCs w:val="22"/>
        </w:rPr>
      </w:pPr>
      <w:r w:rsidRPr="00344B27">
        <w:rPr>
          <w:szCs w:val="22"/>
        </w:rPr>
        <w:lastRenderedPageBreak/>
        <w:t xml:space="preserve">MARCO DE RESULTADOS </w:t>
      </w:r>
    </w:p>
    <w:p w:rsidR="007F0AB4" w:rsidRPr="00344B27" w:rsidRDefault="007F0AB4" w:rsidP="007F0AB4">
      <w:pPr>
        <w:widowControl w:val="0"/>
        <w:rPr>
          <w:szCs w:val="22"/>
        </w:rPr>
      </w:pPr>
    </w:p>
    <w:tbl>
      <w:tblPr>
        <w:tblW w:w="9699" w:type="dxa"/>
        <w:tblInd w:w="93" w:type="dxa"/>
        <w:tblLook w:val="04A0" w:firstRow="1" w:lastRow="0" w:firstColumn="1" w:lastColumn="0" w:noHBand="0" w:noVBand="1"/>
      </w:tblPr>
      <w:tblGrid>
        <w:gridCol w:w="2560"/>
        <w:gridCol w:w="2560"/>
        <w:gridCol w:w="2266"/>
        <w:gridCol w:w="2313"/>
      </w:tblGrid>
      <w:tr w:rsidR="007F0AB4" w:rsidRPr="00344B27" w:rsidTr="006038F1">
        <w:trPr>
          <w:trHeight w:val="645"/>
        </w:trPr>
        <w:tc>
          <w:tcPr>
            <w:tcW w:w="2560" w:type="dxa"/>
            <w:tcBorders>
              <w:top w:val="single" w:sz="4" w:space="0" w:color="auto"/>
              <w:left w:val="single" w:sz="4" w:space="0" w:color="auto"/>
              <w:bottom w:val="single" w:sz="4" w:space="0" w:color="auto"/>
              <w:right w:val="nil"/>
            </w:tcBorders>
            <w:shd w:val="clear" w:color="auto" w:fill="C6D9F1"/>
            <w:vAlign w:val="center"/>
            <w:hideMark/>
          </w:tcPr>
          <w:p w:rsidR="007F0AB4" w:rsidRPr="00344B27" w:rsidRDefault="007F0AB4" w:rsidP="00DD333A">
            <w:pPr>
              <w:widowControl w:val="0"/>
              <w:jc w:val="center"/>
              <w:rPr>
                <w:b/>
                <w:bCs/>
                <w:sz w:val="18"/>
                <w:szCs w:val="18"/>
              </w:rPr>
            </w:pPr>
            <w:r w:rsidRPr="00344B27">
              <w:rPr>
                <w:b/>
                <w:bCs/>
                <w:sz w:val="18"/>
                <w:szCs w:val="18"/>
              </w:rPr>
              <w:t>Resultados previstos</w:t>
            </w:r>
          </w:p>
        </w:tc>
        <w:tc>
          <w:tcPr>
            <w:tcW w:w="2560" w:type="dxa"/>
            <w:tcBorders>
              <w:top w:val="single" w:sz="4" w:space="0" w:color="auto"/>
              <w:left w:val="nil"/>
              <w:bottom w:val="single" w:sz="4" w:space="0" w:color="auto"/>
              <w:right w:val="nil"/>
            </w:tcBorders>
            <w:shd w:val="clear" w:color="auto" w:fill="C6D9F1"/>
            <w:vAlign w:val="center"/>
            <w:hideMark/>
          </w:tcPr>
          <w:p w:rsidR="007F0AB4" w:rsidRPr="00344B27" w:rsidRDefault="007F0AB4" w:rsidP="00DD333A">
            <w:pPr>
              <w:widowControl w:val="0"/>
              <w:jc w:val="center"/>
              <w:rPr>
                <w:b/>
                <w:bCs/>
                <w:sz w:val="18"/>
                <w:szCs w:val="18"/>
              </w:rPr>
            </w:pPr>
            <w:r w:rsidRPr="00344B27">
              <w:rPr>
                <w:b/>
                <w:bCs/>
                <w:sz w:val="18"/>
                <w:szCs w:val="18"/>
              </w:rPr>
              <w:t>Indicadores de rendimiento</w:t>
            </w:r>
          </w:p>
        </w:tc>
        <w:tc>
          <w:tcPr>
            <w:tcW w:w="2266" w:type="dxa"/>
            <w:tcBorders>
              <w:top w:val="single" w:sz="4" w:space="0" w:color="auto"/>
              <w:left w:val="nil"/>
              <w:bottom w:val="single" w:sz="4" w:space="0" w:color="auto"/>
              <w:right w:val="nil"/>
            </w:tcBorders>
            <w:shd w:val="clear" w:color="auto" w:fill="C6D9F1"/>
            <w:vAlign w:val="center"/>
            <w:hideMark/>
          </w:tcPr>
          <w:p w:rsidR="007F0AB4" w:rsidRPr="00344B27" w:rsidRDefault="007F0AB4" w:rsidP="00DD333A">
            <w:pPr>
              <w:widowControl w:val="0"/>
              <w:jc w:val="center"/>
              <w:rPr>
                <w:b/>
                <w:bCs/>
                <w:sz w:val="18"/>
                <w:szCs w:val="18"/>
              </w:rPr>
            </w:pPr>
            <w:r w:rsidRPr="00344B27">
              <w:rPr>
                <w:b/>
                <w:bCs/>
                <w:sz w:val="18"/>
                <w:szCs w:val="18"/>
              </w:rPr>
              <w:t>Referencia</w:t>
            </w:r>
          </w:p>
        </w:tc>
        <w:tc>
          <w:tcPr>
            <w:tcW w:w="2313" w:type="dxa"/>
            <w:tcBorders>
              <w:top w:val="single" w:sz="4" w:space="0" w:color="auto"/>
              <w:left w:val="nil"/>
              <w:bottom w:val="single" w:sz="4" w:space="0" w:color="auto"/>
              <w:right w:val="single" w:sz="4" w:space="0" w:color="auto"/>
            </w:tcBorders>
            <w:shd w:val="clear" w:color="auto" w:fill="C6D9F1"/>
            <w:vAlign w:val="center"/>
            <w:hideMark/>
          </w:tcPr>
          <w:p w:rsidR="007F0AB4" w:rsidRPr="00344B27" w:rsidRDefault="007F0AB4" w:rsidP="00DD333A">
            <w:pPr>
              <w:widowControl w:val="0"/>
              <w:jc w:val="center"/>
              <w:rPr>
                <w:b/>
                <w:bCs/>
                <w:sz w:val="18"/>
                <w:szCs w:val="18"/>
              </w:rPr>
            </w:pPr>
            <w:r w:rsidRPr="00344B27">
              <w:rPr>
                <w:b/>
                <w:bCs/>
                <w:sz w:val="18"/>
                <w:szCs w:val="18"/>
              </w:rPr>
              <w:t>Objetivos</w:t>
            </w:r>
          </w:p>
        </w:tc>
      </w:tr>
      <w:tr w:rsidR="007F0AB4" w:rsidRPr="00344B27" w:rsidTr="006038F1">
        <w:trPr>
          <w:trHeight w:val="1098"/>
        </w:trPr>
        <w:tc>
          <w:tcPr>
            <w:tcW w:w="2560" w:type="dxa"/>
            <w:tcBorders>
              <w:top w:val="nil"/>
              <w:left w:val="single" w:sz="4" w:space="0" w:color="auto"/>
              <w:bottom w:val="nil"/>
              <w:right w:val="nil"/>
            </w:tcBorders>
            <w:shd w:val="clear" w:color="000000" w:fill="FFFFFF"/>
            <w:hideMark/>
          </w:tcPr>
          <w:p w:rsidR="007F0AB4" w:rsidRPr="006038F1" w:rsidRDefault="007F0AB4" w:rsidP="00DD333A">
            <w:pPr>
              <w:widowControl w:val="0"/>
              <w:rPr>
                <w:sz w:val="16"/>
                <w:szCs w:val="16"/>
              </w:rPr>
            </w:pPr>
          </w:p>
          <w:p w:rsidR="007F0AB4" w:rsidRPr="006038F1" w:rsidRDefault="007F0AB4" w:rsidP="0091739D">
            <w:pPr>
              <w:widowControl w:val="0"/>
              <w:rPr>
                <w:sz w:val="16"/>
                <w:szCs w:val="16"/>
              </w:rPr>
            </w:pPr>
            <w:r w:rsidRPr="006038F1">
              <w:rPr>
                <w:sz w:val="16"/>
                <w:szCs w:val="16"/>
              </w:rPr>
              <w:t>IV.2</w:t>
            </w:r>
            <w:r w:rsidR="0091739D" w:rsidRPr="006038F1">
              <w:rPr>
                <w:sz w:val="16"/>
                <w:szCs w:val="16"/>
              </w:rPr>
              <w:t xml:space="preserve"> </w:t>
            </w:r>
            <w:r w:rsidRPr="006038F1">
              <w:rPr>
                <w:sz w:val="16"/>
                <w:szCs w:val="16"/>
              </w:rPr>
              <w:t xml:space="preserve"> </w:t>
            </w:r>
            <w:r w:rsidR="005B1060" w:rsidRPr="006038F1">
              <w:rPr>
                <w:sz w:val="16"/>
                <w:szCs w:val="16"/>
                <w:lang w:val="es-ES_tradnl"/>
              </w:rPr>
              <w:t>Mejora del acceso y uso de información de P.I. por parte de instituciones de P.I. y el público para fomentar la innovación y la creatividad</w:t>
            </w:r>
          </w:p>
        </w:tc>
        <w:tc>
          <w:tcPr>
            <w:tcW w:w="2560" w:type="dxa"/>
            <w:tcBorders>
              <w:top w:val="nil"/>
              <w:left w:val="nil"/>
              <w:bottom w:val="nil"/>
              <w:right w:val="nil"/>
            </w:tcBorders>
            <w:shd w:val="clear" w:color="000000" w:fill="FFFFFF"/>
            <w:hideMark/>
          </w:tcPr>
          <w:p w:rsidR="007F0AB4" w:rsidRPr="00344B27" w:rsidRDefault="007F0AB4" w:rsidP="00DD333A">
            <w:pPr>
              <w:widowControl w:val="0"/>
              <w:ind w:left="182"/>
              <w:rPr>
                <w:sz w:val="16"/>
                <w:szCs w:val="16"/>
              </w:rPr>
            </w:pPr>
          </w:p>
          <w:p w:rsidR="007F0AB4" w:rsidRPr="00344B27" w:rsidRDefault="007F0AB4" w:rsidP="006038F1">
            <w:pPr>
              <w:widowControl w:val="0"/>
              <w:ind w:left="63"/>
              <w:rPr>
                <w:sz w:val="16"/>
                <w:szCs w:val="16"/>
              </w:rPr>
            </w:pPr>
            <w:r w:rsidRPr="00344B27">
              <w:rPr>
                <w:sz w:val="16"/>
                <w:szCs w:val="16"/>
              </w:rPr>
              <w:t xml:space="preserve">Aumento del número de usuarios de WIPO </w:t>
            </w:r>
            <w:proofErr w:type="spellStart"/>
            <w:r w:rsidRPr="00344B27">
              <w:rPr>
                <w:sz w:val="16"/>
                <w:szCs w:val="16"/>
              </w:rPr>
              <w:t>Lex</w:t>
            </w:r>
            <w:proofErr w:type="spellEnd"/>
            <w:r>
              <w:rPr>
                <w:sz w:val="16"/>
                <w:szCs w:val="16"/>
              </w:rPr>
              <w:t>.</w:t>
            </w:r>
          </w:p>
        </w:tc>
        <w:tc>
          <w:tcPr>
            <w:tcW w:w="2266" w:type="dxa"/>
            <w:tcBorders>
              <w:top w:val="nil"/>
              <w:left w:val="nil"/>
              <w:bottom w:val="nil"/>
              <w:right w:val="nil"/>
            </w:tcBorders>
            <w:shd w:val="clear" w:color="000000" w:fill="FFFFFF"/>
            <w:hideMark/>
          </w:tcPr>
          <w:p w:rsidR="007F0AB4" w:rsidRPr="00344B27" w:rsidRDefault="007F0AB4" w:rsidP="00DD333A">
            <w:pPr>
              <w:widowControl w:val="0"/>
              <w:ind w:left="316" w:firstLineChars="2" w:firstLine="3"/>
              <w:rPr>
                <w:sz w:val="16"/>
                <w:szCs w:val="16"/>
              </w:rPr>
            </w:pPr>
          </w:p>
          <w:p w:rsidR="007F0AB4" w:rsidRPr="00344B27" w:rsidRDefault="007F0AB4" w:rsidP="006038F1">
            <w:pPr>
              <w:widowControl w:val="0"/>
              <w:ind w:left="107" w:firstLineChars="2" w:firstLine="3"/>
              <w:rPr>
                <w:sz w:val="16"/>
                <w:szCs w:val="16"/>
              </w:rPr>
            </w:pPr>
            <w:r w:rsidRPr="00344B27">
              <w:rPr>
                <w:sz w:val="16"/>
                <w:szCs w:val="16"/>
              </w:rPr>
              <w:t>2.36.486 (2012/13)</w:t>
            </w:r>
          </w:p>
          <w:p w:rsidR="007F0AB4" w:rsidRPr="00344B27" w:rsidRDefault="007F0AB4" w:rsidP="006038F1">
            <w:pPr>
              <w:widowControl w:val="0"/>
              <w:ind w:left="107" w:firstLineChars="2" w:firstLine="3"/>
              <w:rPr>
                <w:sz w:val="16"/>
                <w:szCs w:val="16"/>
              </w:rPr>
            </w:pPr>
            <w:r w:rsidRPr="00344B27">
              <w:rPr>
                <w:sz w:val="16"/>
                <w:szCs w:val="16"/>
              </w:rPr>
              <w:t>1.506.508 (2014)</w:t>
            </w:r>
            <w:r>
              <w:rPr>
                <w:sz w:val="16"/>
                <w:szCs w:val="16"/>
              </w:rPr>
              <w:t>.</w:t>
            </w:r>
          </w:p>
        </w:tc>
        <w:tc>
          <w:tcPr>
            <w:tcW w:w="2313" w:type="dxa"/>
            <w:tcBorders>
              <w:top w:val="nil"/>
              <w:left w:val="nil"/>
              <w:bottom w:val="nil"/>
              <w:right w:val="single" w:sz="4" w:space="0" w:color="auto"/>
            </w:tcBorders>
            <w:shd w:val="clear" w:color="000000" w:fill="FFFFFF"/>
            <w:hideMark/>
          </w:tcPr>
          <w:p w:rsidR="007F0AB4" w:rsidRPr="00344B27" w:rsidRDefault="007F0AB4" w:rsidP="00DD333A">
            <w:pPr>
              <w:widowControl w:val="0"/>
              <w:ind w:left="220" w:firstLineChars="62" w:firstLine="99"/>
              <w:rPr>
                <w:sz w:val="16"/>
                <w:szCs w:val="16"/>
              </w:rPr>
            </w:pPr>
          </w:p>
          <w:p w:rsidR="007F0AB4" w:rsidRPr="00344B27" w:rsidRDefault="007F0AB4" w:rsidP="00387230">
            <w:pPr>
              <w:widowControl w:val="0"/>
              <w:ind w:left="34"/>
              <w:rPr>
                <w:sz w:val="16"/>
                <w:szCs w:val="16"/>
              </w:rPr>
            </w:pPr>
            <w:r w:rsidRPr="00344B27">
              <w:rPr>
                <w:sz w:val="16"/>
                <w:szCs w:val="16"/>
              </w:rPr>
              <w:t>Aumento del 20%</w:t>
            </w:r>
            <w:r>
              <w:rPr>
                <w:sz w:val="16"/>
                <w:szCs w:val="16"/>
              </w:rPr>
              <w:t>.</w:t>
            </w:r>
          </w:p>
        </w:tc>
      </w:tr>
      <w:tr w:rsidR="007F0AB4" w:rsidRPr="00344B27" w:rsidTr="006038F1">
        <w:trPr>
          <w:trHeight w:val="905"/>
        </w:trPr>
        <w:tc>
          <w:tcPr>
            <w:tcW w:w="2560" w:type="dxa"/>
            <w:vMerge w:val="restart"/>
            <w:tcBorders>
              <w:top w:val="nil"/>
              <w:left w:val="single" w:sz="4" w:space="0" w:color="auto"/>
              <w:bottom w:val="nil"/>
              <w:right w:val="nil"/>
            </w:tcBorders>
            <w:shd w:val="clear" w:color="000000" w:fill="FFFFFF"/>
            <w:hideMark/>
          </w:tcPr>
          <w:p w:rsidR="007F0AB4" w:rsidRPr="006038F1" w:rsidRDefault="007F0AB4" w:rsidP="00DD333A">
            <w:pPr>
              <w:widowControl w:val="0"/>
              <w:rPr>
                <w:sz w:val="16"/>
                <w:szCs w:val="16"/>
              </w:rPr>
            </w:pPr>
            <w:r w:rsidRPr="006038F1">
              <w:rPr>
                <w:sz w:val="16"/>
                <w:szCs w:val="16"/>
              </w:rPr>
              <w:t xml:space="preserve">VIII.3  </w:t>
            </w:r>
            <w:r w:rsidR="00532057" w:rsidRPr="006038F1">
              <w:rPr>
                <w:sz w:val="16"/>
                <w:szCs w:val="16"/>
                <w:lang w:val="es-ES_tradnl"/>
              </w:rPr>
              <w:t>Atención eficaz a los Estados miembros</w:t>
            </w: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rPr>
            </w:pPr>
            <w:r w:rsidRPr="00344B27">
              <w:rPr>
                <w:sz w:val="16"/>
                <w:szCs w:val="16"/>
              </w:rPr>
              <w:t>Porcentaje de sesiones de Comités precedidas de reuniones informativas para los Estados miembros</w:t>
            </w:r>
            <w:r>
              <w:rPr>
                <w:sz w:val="16"/>
                <w:szCs w:val="16"/>
              </w:rPr>
              <w:t>.</w:t>
            </w: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rPr>
            </w:pPr>
            <w:r w:rsidRPr="00344B27">
              <w:rPr>
                <w:sz w:val="16"/>
                <w:szCs w:val="16"/>
              </w:rPr>
              <w:t>El 93% (finales de 2014)</w:t>
            </w:r>
            <w:r>
              <w:rPr>
                <w:sz w:val="16"/>
                <w:szCs w:val="16"/>
              </w:rPr>
              <w:t>.</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90%</w:t>
            </w:r>
            <w:r>
              <w:rPr>
                <w:sz w:val="16"/>
                <w:szCs w:val="16"/>
              </w:rPr>
              <w:t>.</w:t>
            </w:r>
          </w:p>
        </w:tc>
      </w:tr>
      <w:tr w:rsidR="007F0AB4" w:rsidRPr="00063F4E" w:rsidTr="006038F1">
        <w:trPr>
          <w:trHeight w:val="887"/>
        </w:trPr>
        <w:tc>
          <w:tcPr>
            <w:tcW w:w="2560" w:type="dxa"/>
            <w:vMerge/>
            <w:tcBorders>
              <w:top w:val="nil"/>
              <w:left w:val="single" w:sz="4" w:space="0" w:color="auto"/>
              <w:bottom w:val="nil"/>
              <w:right w:val="nil"/>
            </w:tcBorders>
            <w:vAlign w:val="center"/>
            <w:hideMark/>
          </w:tcPr>
          <w:p w:rsidR="007F0AB4" w:rsidRPr="00344B27"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rPr>
            </w:pPr>
            <w:r w:rsidRPr="00344B27">
              <w:rPr>
                <w:sz w:val="16"/>
                <w:szCs w:val="16"/>
              </w:rPr>
              <w:t xml:space="preserve">Porcentaje de notificaciones de adhesión y otras medidas relacionadas con los tratados </w:t>
            </w:r>
            <w:proofErr w:type="gramStart"/>
            <w:r w:rsidRPr="00344B27">
              <w:rPr>
                <w:sz w:val="16"/>
                <w:szCs w:val="16"/>
              </w:rPr>
              <w:t>tramitadas</w:t>
            </w:r>
            <w:proofErr w:type="gramEnd"/>
            <w:r w:rsidRPr="00344B27">
              <w:rPr>
                <w:sz w:val="16"/>
                <w:szCs w:val="16"/>
              </w:rPr>
              <w:t xml:space="preserve"> de manera puntual</w:t>
            </w:r>
            <w:r>
              <w:rPr>
                <w:sz w:val="16"/>
                <w:szCs w:val="16"/>
              </w:rPr>
              <w:t>.</w:t>
            </w: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lang w:val="es-ES_tradnl"/>
              </w:rPr>
            </w:pPr>
            <w:r w:rsidRPr="00344B27">
              <w:rPr>
                <w:sz w:val="16"/>
                <w:szCs w:val="16"/>
                <w:lang w:val="es-ES_tradnl"/>
              </w:rPr>
              <w:t xml:space="preserve">El </w:t>
            </w:r>
            <w:r w:rsidRPr="008245AE">
              <w:rPr>
                <w:sz w:val="16"/>
                <w:szCs w:val="16"/>
              </w:rPr>
              <w:t>95</w:t>
            </w:r>
            <w:r w:rsidRPr="00344B27">
              <w:rPr>
                <w:sz w:val="16"/>
                <w:szCs w:val="16"/>
                <w:lang w:val="es-ES_tradnl"/>
              </w:rPr>
              <w:t>% se tramitó en un plazo máximo de tres días (finales de 2014)</w:t>
            </w:r>
            <w:r>
              <w:rPr>
                <w:sz w:val="16"/>
                <w:szCs w:val="16"/>
                <w:lang w:val="es-ES_tradnl"/>
              </w:rPr>
              <w:t>.</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proofErr w:type="gramStart"/>
            <w:r w:rsidRPr="00344B27">
              <w:rPr>
                <w:sz w:val="16"/>
                <w:szCs w:val="16"/>
              </w:rPr>
              <w:t>El 95% tramitadas</w:t>
            </w:r>
            <w:proofErr w:type="gramEnd"/>
            <w:r w:rsidRPr="00344B27">
              <w:rPr>
                <w:sz w:val="16"/>
                <w:szCs w:val="16"/>
              </w:rPr>
              <w:t xml:space="preserve"> en un plazo máximo de tres días.</w:t>
            </w:r>
          </w:p>
        </w:tc>
      </w:tr>
      <w:tr w:rsidR="007F0AB4" w:rsidRPr="004950EE" w:rsidTr="006038F1">
        <w:trPr>
          <w:trHeight w:val="914"/>
        </w:trPr>
        <w:tc>
          <w:tcPr>
            <w:tcW w:w="2560" w:type="dxa"/>
            <w:vMerge/>
            <w:tcBorders>
              <w:top w:val="nil"/>
              <w:left w:val="single" w:sz="4" w:space="0" w:color="auto"/>
              <w:bottom w:val="nil"/>
              <w:right w:val="nil"/>
            </w:tcBorders>
            <w:vAlign w:val="center"/>
            <w:hideMark/>
          </w:tcPr>
          <w:p w:rsidR="007F0AB4" w:rsidRPr="00344B27"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rPr>
            </w:pPr>
            <w:r w:rsidRPr="00344B27">
              <w:rPr>
                <w:sz w:val="16"/>
                <w:szCs w:val="16"/>
              </w:rPr>
              <w:t>Publicación puntual de los documentos de las Asambleas</w:t>
            </w:r>
            <w:r>
              <w:rPr>
                <w:sz w:val="16"/>
                <w:szCs w:val="16"/>
              </w:rPr>
              <w:t>.</w:t>
            </w: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rPr>
            </w:pPr>
            <w:r w:rsidRPr="00344B27">
              <w:rPr>
                <w:sz w:val="16"/>
                <w:szCs w:val="16"/>
              </w:rPr>
              <w:t>El 96% de los documentos pertinentes publicados al menos dos meses antes de las Asambleas de 2014</w:t>
            </w:r>
            <w:r>
              <w:rPr>
                <w:sz w:val="16"/>
                <w:szCs w:val="16"/>
              </w:rPr>
              <w:t>.</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95% de los documentos pertinentes publicados al menos dos meses antes de las Asambleas.</w:t>
            </w:r>
          </w:p>
        </w:tc>
      </w:tr>
      <w:tr w:rsidR="007F0AB4" w:rsidRPr="00344B27" w:rsidTr="006038F1">
        <w:trPr>
          <w:trHeight w:val="716"/>
        </w:trPr>
        <w:tc>
          <w:tcPr>
            <w:tcW w:w="2560" w:type="dxa"/>
            <w:vMerge/>
            <w:tcBorders>
              <w:top w:val="nil"/>
              <w:left w:val="single" w:sz="4" w:space="0" w:color="auto"/>
              <w:bottom w:val="nil"/>
              <w:right w:val="nil"/>
            </w:tcBorders>
            <w:vAlign w:val="center"/>
            <w:hideMark/>
          </w:tcPr>
          <w:p w:rsidR="007F0AB4" w:rsidRPr="00344B27"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Default="007F0AB4" w:rsidP="008245AE">
            <w:pPr>
              <w:widowControl w:val="0"/>
              <w:ind w:left="63"/>
              <w:rPr>
                <w:sz w:val="16"/>
                <w:szCs w:val="16"/>
              </w:rPr>
            </w:pPr>
            <w:r w:rsidRPr="00344B27">
              <w:rPr>
                <w:sz w:val="16"/>
                <w:szCs w:val="16"/>
              </w:rPr>
              <w:t>Índice de satisfacción de los Estados miembros y otras partes interesadas con la organización de reuniones</w:t>
            </w:r>
            <w:r>
              <w:rPr>
                <w:sz w:val="16"/>
                <w:szCs w:val="16"/>
              </w:rPr>
              <w:t>.</w:t>
            </w:r>
          </w:p>
          <w:p w:rsidR="007F0AB4" w:rsidRPr="00344B27" w:rsidRDefault="007F0AB4" w:rsidP="00DD333A">
            <w:pPr>
              <w:widowControl w:val="0"/>
              <w:ind w:left="182"/>
              <w:rPr>
                <w:sz w:val="16"/>
                <w:szCs w:val="16"/>
              </w:rPr>
            </w:pP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rPr>
            </w:pPr>
            <w:r w:rsidRPr="00344B27">
              <w:rPr>
                <w:sz w:val="16"/>
                <w:szCs w:val="16"/>
              </w:rPr>
              <w:t xml:space="preserve">Resultados de la encuesta </w:t>
            </w:r>
            <w:r w:rsidR="008245AE">
              <w:rPr>
                <w:sz w:val="16"/>
                <w:szCs w:val="16"/>
              </w:rPr>
              <w:t>de</w:t>
            </w:r>
            <w:r w:rsidRPr="00344B27">
              <w:rPr>
                <w:sz w:val="16"/>
                <w:szCs w:val="16"/>
              </w:rPr>
              <w:t xml:space="preserve"> 2014</w:t>
            </w:r>
            <w:proofErr w:type="gramStart"/>
            <w:r w:rsidRPr="00344B27">
              <w:rPr>
                <w:sz w:val="16"/>
                <w:szCs w:val="16"/>
              </w:rPr>
              <w:t>:  el</w:t>
            </w:r>
            <w:proofErr w:type="gramEnd"/>
            <w:r w:rsidRPr="00344B27">
              <w:rPr>
                <w:sz w:val="16"/>
                <w:szCs w:val="16"/>
              </w:rPr>
              <w:t xml:space="preserve"> 82%</w:t>
            </w:r>
            <w:r>
              <w:rPr>
                <w:sz w:val="16"/>
                <w:szCs w:val="16"/>
              </w:rPr>
              <w:t>.</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85%</w:t>
            </w:r>
            <w:r>
              <w:rPr>
                <w:sz w:val="16"/>
                <w:szCs w:val="16"/>
              </w:rPr>
              <w:t>.</w:t>
            </w:r>
          </w:p>
        </w:tc>
      </w:tr>
      <w:tr w:rsidR="007F0AB4" w:rsidRPr="004950EE" w:rsidTr="006038F1">
        <w:trPr>
          <w:trHeight w:val="887"/>
        </w:trPr>
        <w:tc>
          <w:tcPr>
            <w:tcW w:w="2560" w:type="dxa"/>
            <w:vMerge/>
            <w:tcBorders>
              <w:top w:val="nil"/>
              <w:left w:val="single" w:sz="4" w:space="0" w:color="auto"/>
              <w:bottom w:val="nil"/>
              <w:right w:val="nil"/>
            </w:tcBorders>
            <w:vAlign w:val="center"/>
            <w:hideMark/>
          </w:tcPr>
          <w:p w:rsidR="007F0AB4" w:rsidRPr="00344B27"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lang w:val="es-ES_tradnl"/>
              </w:rPr>
            </w:pPr>
            <w:r w:rsidRPr="00344B27">
              <w:rPr>
                <w:sz w:val="16"/>
                <w:szCs w:val="16"/>
                <w:lang w:val="es-ES_tradnl"/>
              </w:rPr>
              <w:t xml:space="preserve">Nivel de </w:t>
            </w:r>
            <w:r w:rsidRPr="008245AE">
              <w:rPr>
                <w:sz w:val="16"/>
                <w:szCs w:val="16"/>
              </w:rPr>
              <w:t>satisfacción</w:t>
            </w:r>
            <w:r w:rsidRPr="00344B27">
              <w:rPr>
                <w:sz w:val="16"/>
                <w:szCs w:val="16"/>
                <w:lang w:val="es-ES_tradnl"/>
              </w:rPr>
              <w:t xml:space="preserve"> de los delegados con la organización de las Asambleas</w:t>
            </w:r>
            <w:r>
              <w:rPr>
                <w:sz w:val="16"/>
                <w:szCs w:val="16"/>
                <w:lang w:val="es-ES_tradnl"/>
              </w:rPr>
              <w:t>.</w:t>
            </w: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lang w:val="es-ES_tradnl"/>
              </w:rPr>
            </w:pPr>
            <w:r w:rsidRPr="00344B27">
              <w:rPr>
                <w:sz w:val="16"/>
                <w:szCs w:val="16"/>
                <w:lang w:val="es-ES_tradnl"/>
              </w:rPr>
              <w:t xml:space="preserve">El </w:t>
            </w:r>
            <w:r w:rsidRPr="008245AE">
              <w:rPr>
                <w:sz w:val="16"/>
                <w:szCs w:val="16"/>
              </w:rPr>
              <w:t>87</w:t>
            </w:r>
            <w:r w:rsidRPr="00344B27">
              <w:rPr>
                <w:sz w:val="16"/>
                <w:szCs w:val="16"/>
                <w:lang w:val="es-ES_tradnl"/>
              </w:rPr>
              <w:t>% satisfecho con las disposiciones adoptadas (encuesta sobre las Asambleas de la OMPI de 2014)</w:t>
            </w:r>
            <w:r>
              <w:rPr>
                <w:sz w:val="16"/>
                <w:szCs w:val="16"/>
                <w:lang w:val="es-ES_tradnl"/>
              </w:rPr>
              <w:t>.</w:t>
            </w:r>
            <w:r w:rsidR="008245AE">
              <w:rPr>
                <w:sz w:val="16"/>
                <w:szCs w:val="16"/>
                <w:lang w:val="es-ES_tradnl"/>
              </w:rPr>
              <w:br/>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80% satisfecho con las disposiciones adoptadas.</w:t>
            </w:r>
          </w:p>
        </w:tc>
      </w:tr>
      <w:tr w:rsidR="007F0AB4" w:rsidRPr="00344B27" w:rsidTr="006038F1">
        <w:trPr>
          <w:trHeight w:val="797"/>
        </w:trPr>
        <w:tc>
          <w:tcPr>
            <w:tcW w:w="2560" w:type="dxa"/>
            <w:tcBorders>
              <w:top w:val="nil"/>
              <w:left w:val="single" w:sz="4" w:space="0" w:color="auto"/>
              <w:bottom w:val="nil"/>
              <w:right w:val="nil"/>
            </w:tcBorders>
            <w:shd w:val="clear" w:color="000000" w:fill="FFFFFF"/>
            <w:hideMark/>
          </w:tcPr>
          <w:p w:rsidR="00E442BF" w:rsidRPr="008245AE" w:rsidRDefault="008B6455" w:rsidP="00E442BF">
            <w:pPr>
              <w:rPr>
                <w:sz w:val="16"/>
                <w:szCs w:val="16"/>
              </w:rPr>
            </w:pPr>
            <w:r w:rsidRPr="008245AE">
              <w:rPr>
                <w:sz w:val="16"/>
                <w:szCs w:val="16"/>
              </w:rPr>
              <w:t xml:space="preserve">VIII.4  </w:t>
            </w:r>
            <w:r w:rsidR="00532057" w:rsidRPr="008245AE">
              <w:rPr>
                <w:sz w:val="16"/>
                <w:szCs w:val="16"/>
                <w:lang w:val="es-ES_tradnl"/>
              </w:rPr>
              <w:t>Intercambios abiertos, transparentes y dinámicos con las partes interesadas no gubernamentales</w:t>
            </w:r>
          </w:p>
          <w:p w:rsidR="00E442BF" w:rsidRPr="008245AE" w:rsidRDefault="00E442BF" w:rsidP="00DD333A">
            <w:pPr>
              <w:widowControl w:val="0"/>
              <w:rPr>
                <w:sz w:val="16"/>
                <w:szCs w:val="16"/>
              </w:rPr>
            </w:pPr>
          </w:p>
          <w:p w:rsidR="007F0AB4" w:rsidRPr="008245AE" w:rsidRDefault="0091739D" w:rsidP="00DD333A">
            <w:pPr>
              <w:widowControl w:val="0"/>
              <w:rPr>
                <w:sz w:val="16"/>
                <w:szCs w:val="16"/>
              </w:rPr>
            </w:pPr>
            <w:r w:rsidRPr="008245AE">
              <w:rPr>
                <w:sz w:val="16"/>
                <w:szCs w:val="16"/>
              </w:rPr>
              <w:t xml:space="preserve">VIII.5 </w:t>
            </w:r>
            <w:r w:rsidR="007F0AB4" w:rsidRPr="008245AE">
              <w:rPr>
                <w:sz w:val="16"/>
                <w:szCs w:val="16"/>
              </w:rPr>
              <w:t xml:space="preserve"> </w:t>
            </w:r>
            <w:r w:rsidR="005B1060" w:rsidRPr="008245AE">
              <w:rPr>
                <w:sz w:val="16"/>
                <w:szCs w:val="16"/>
                <w:lang w:val="es-ES_tradnl"/>
              </w:rPr>
              <w:t>La OMPI participa y colabora eficazmente en los procesos y negociaciones de las NN.UU. y otras OIG</w:t>
            </w:r>
          </w:p>
        </w:tc>
        <w:tc>
          <w:tcPr>
            <w:tcW w:w="2560" w:type="dxa"/>
            <w:tcBorders>
              <w:top w:val="nil"/>
              <w:left w:val="nil"/>
              <w:bottom w:val="nil"/>
              <w:right w:val="nil"/>
            </w:tcBorders>
            <w:shd w:val="clear" w:color="000000" w:fill="FFFFFF"/>
            <w:hideMark/>
          </w:tcPr>
          <w:p w:rsidR="00E442BF" w:rsidRPr="008B6455" w:rsidRDefault="008B6455" w:rsidP="008245AE">
            <w:pPr>
              <w:widowControl w:val="0"/>
              <w:ind w:left="63"/>
              <w:rPr>
                <w:color w:val="000000"/>
                <w:sz w:val="16"/>
                <w:szCs w:val="16"/>
              </w:rPr>
            </w:pPr>
            <w:r w:rsidRPr="008B6455">
              <w:rPr>
                <w:color w:val="000000"/>
                <w:sz w:val="16"/>
                <w:szCs w:val="16"/>
              </w:rPr>
              <w:t>N</w:t>
            </w:r>
            <w:r w:rsidR="008245AE">
              <w:rPr>
                <w:color w:val="000000"/>
                <w:sz w:val="16"/>
                <w:szCs w:val="16"/>
              </w:rPr>
              <w:t>º</w:t>
            </w:r>
            <w:r w:rsidRPr="008B6455">
              <w:rPr>
                <w:color w:val="000000"/>
                <w:sz w:val="16"/>
                <w:szCs w:val="16"/>
              </w:rPr>
              <w:t xml:space="preserve"> de ONG con calidad de observador permanente que participan en las actividades de la OMPI y vice versa</w:t>
            </w:r>
          </w:p>
          <w:p w:rsidR="00E442BF" w:rsidRPr="008B6455" w:rsidRDefault="00E442BF" w:rsidP="00DD333A">
            <w:pPr>
              <w:widowControl w:val="0"/>
              <w:ind w:left="182"/>
              <w:rPr>
                <w:sz w:val="16"/>
                <w:szCs w:val="16"/>
              </w:rPr>
            </w:pPr>
          </w:p>
          <w:p w:rsidR="007F0AB4" w:rsidRPr="00344B27" w:rsidRDefault="007F0AB4" w:rsidP="008245AE">
            <w:pPr>
              <w:widowControl w:val="0"/>
              <w:ind w:left="63"/>
              <w:rPr>
                <w:sz w:val="16"/>
                <w:szCs w:val="16"/>
                <w:lang w:val="es-ES_tradnl"/>
              </w:rPr>
            </w:pPr>
            <w:r w:rsidRPr="008245AE">
              <w:rPr>
                <w:color w:val="000000"/>
                <w:sz w:val="16"/>
                <w:szCs w:val="16"/>
              </w:rPr>
              <w:t>Nuevas</w:t>
            </w:r>
            <w:r w:rsidRPr="00344B27">
              <w:rPr>
                <w:sz w:val="16"/>
                <w:szCs w:val="16"/>
                <w:lang w:val="es-ES_tradnl"/>
              </w:rPr>
              <w:t xml:space="preserve"> iniciativas conjuntas llevadas a cabo con otros organismos de las NN.UU./OIG</w:t>
            </w:r>
            <w:r>
              <w:rPr>
                <w:sz w:val="16"/>
                <w:szCs w:val="16"/>
                <w:lang w:val="es-ES_tradnl"/>
              </w:rPr>
              <w:t>.</w:t>
            </w:r>
          </w:p>
        </w:tc>
        <w:tc>
          <w:tcPr>
            <w:tcW w:w="2266" w:type="dxa"/>
            <w:tcBorders>
              <w:top w:val="nil"/>
              <w:left w:val="nil"/>
              <w:bottom w:val="nil"/>
              <w:right w:val="nil"/>
            </w:tcBorders>
            <w:shd w:val="clear" w:color="000000" w:fill="FFFFFF"/>
            <w:hideMark/>
          </w:tcPr>
          <w:p w:rsidR="00E442BF" w:rsidRDefault="008245AE" w:rsidP="008245AE">
            <w:pPr>
              <w:widowControl w:val="0"/>
              <w:ind w:left="107" w:firstLineChars="2" w:firstLine="3"/>
              <w:rPr>
                <w:color w:val="000000"/>
                <w:sz w:val="16"/>
                <w:szCs w:val="16"/>
              </w:rPr>
            </w:pPr>
            <w:r>
              <w:rPr>
                <w:color w:val="000000"/>
                <w:sz w:val="16"/>
                <w:szCs w:val="16"/>
              </w:rPr>
              <w:t>Por determinar.</w:t>
            </w:r>
          </w:p>
          <w:p w:rsidR="00E442BF" w:rsidRPr="008245AE" w:rsidRDefault="00E442BF" w:rsidP="00DD333A">
            <w:pPr>
              <w:widowControl w:val="0"/>
              <w:ind w:firstLineChars="200" w:firstLine="320"/>
              <w:rPr>
                <w:color w:val="000000"/>
                <w:sz w:val="16"/>
                <w:szCs w:val="16"/>
              </w:rPr>
            </w:pPr>
          </w:p>
          <w:p w:rsidR="00E442BF" w:rsidRPr="008245AE" w:rsidRDefault="00E442BF" w:rsidP="00DD333A">
            <w:pPr>
              <w:widowControl w:val="0"/>
              <w:ind w:firstLineChars="200" w:firstLine="320"/>
              <w:rPr>
                <w:color w:val="000000"/>
                <w:sz w:val="16"/>
                <w:szCs w:val="16"/>
              </w:rPr>
            </w:pPr>
          </w:p>
          <w:p w:rsidR="008245AE" w:rsidRPr="008245AE" w:rsidRDefault="008245AE" w:rsidP="00DD333A">
            <w:pPr>
              <w:widowControl w:val="0"/>
              <w:ind w:firstLineChars="200" w:firstLine="320"/>
              <w:rPr>
                <w:color w:val="000000"/>
                <w:sz w:val="16"/>
                <w:szCs w:val="16"/>
              </w:rPr>
            </w:pPr>
          </w:p>
          <w:p w:rsidR="008245AE" w:rsidRPr="008245AE" w:rsidRDefault="008245AE" w:rsidP="00DD333A">
            <w:pPr>
              <w:widowControl w:val="0"/>
              <w:ind w:firstLineChars="200" w:firstLine="320"/>
              <w:rPr>
                <w:color w:val="000000"/>
                <w:sz w:val="16"/>
                <w:szCs w:val="16"/>
              </w:rPr>
            </w:pPr>
          </w:p>
          <w:p w:rsidR="007F0AB4" w:rsidRPr="008245AE" w:rsidRDefault="007F0AB4" w:rsidP="008245AE">
            <w:pPr>
              <w:widowControl w:val="0"/>
              <w:ind w:left="107" w:firstLineChars="2" w:firstLine="3"/>
              <w:rPr>
                <w:color w:val="000000"/>
                <w:sz w:val="16"/>
                <w:szCs w:val="16"/>
              </w:rPr>
            </w:pPr>
            <w:r w:rsidRPr="008245AE">
              <w:rPr>
                <w:color w:val="000000"/>
                <w:sz w:val="16"/>
                <w:szCs w:val="16"/>
              </w:rPr>
              <w:t>Una (2014).</w:t>
            </w:r>
          </w:p>
        </w:tc>
        <w:tc>
          <w:tcPr>
            <w:tcW w:w="2313" w:type="dxa"/>
            <w:tcBorders>
              <w:top w:val="nil"/>
              <w:left w:val="nil"/>
              <w:bottom w:val="nil"/>
              <w:right w:val="single" w:sz="4" w:space="0" w:color="auto"/>
            </w:tcBorders>
            <w:shd w:val="clear" w:color="000000" w:fill="FFFFFF"/>
            <w:hideMark/>
          </w:tcPr>
          <w:p w:rsidR="00E442BF" w:rsidRPr="007536CC" w:rsidRDefault="00E442BF" w:rsidP="00387230">
            <w:pPr>
              <w:widowControl w:val="0"/>
              <w:ind w:left="34"/>
              <w:rPr>
                <w:b/>
                <w:sz w:val="16"/>
                <w:szCs w:val="16"/>
              </w:rPr>
            </w:pPr>
            <w:r w:rsidRPr="008245AE">
              <w:rPr>
                <w:sz w:val="16"/>
                <w:szCs w:val="16"/>
              </w:rPr>
              <w:t>Mant</w:t>
            </w:r>
            <w:r w:rsidR="008245AE">
              <w:rPr>
                <w:sz w:val="16"/>
                <w:szCs w:val="16"/>
              </w:rPr>
              <w:t>e</w:t>
            </w:r>
            <w:r w:rsidRPr="008245AE">
              <w:rPr>
                <w:sz w:val="16"/>
                <w:szCs w:val="16"/>
              </w:rPr>
              <w:t>n</w:t>
            </w:r>
            <w:r w:rsidR="008245AE">
              <w:rPr>
                <w:sz w:val="16"/>
                <w:szCs w:val="16"/>
              </w:rPr>
              <w:t>er o aumentar la participación.</w:t>
            </w:r>
          </w:p>
          <w:p w:rsidR="00E442BF" w:rsidRDefault="00E442BF" w:rsidP="00DD333A">
            <w:pPr>
              <w:widowControl w:val="0"/>
              <w:ind w:left="220"/>
              <w:rPr>
                <w:sz w:val="16"/>
                <w:szCs w:val="16"/>
              </w:rPr>
            </w:pPr>
          </w:p>
          <w:p w:rsidR="008245AE" w:rsidRDefault="008245AE" w:rsidP="00DD333A">
            <w:pPr>
              <w:widowControl w:val="0"/>
              <w:ind w:left="220"/>
              <w:rPr>
                <w:sz w:val="16"/>
                <w:szCs w:val="16"/>
              </w:rPr>
            </w:pPr>
          </w:p>
          <w:p w:rsidR="008245AE" w:rsidRDefault="008245AE" w:rsidP="00DD333A">
            <w:pPr>
              <w:widowControl w:val="0"/>
              <w:ind w:left="220"/>
              <w:rPr>
                <w:sz w:val="16"/>
                <w:szCs w:val="16"/>
              </w:rPr>
            </w:pPr>
          </w:p>
          <w:p w:rsidR="007F0AB4" w:rsidRPr="00344B27" w:rsidRDefault="007F0AB4" w:rsidP="00387230">
            <w:pPr>
              <w:widowControl w:val="0"/>
              <w:ind w:left="34"/>
              <w:rPr>
                <w:sz w:val="16"/>
                <w:szCs w:val="16"/>
              </w:rPr>
            </w:pPr>
            <w:r w:rsidRPr="00344B27">
              <w:rPr>
                <w:sz w:val="16"/>
                <w:szCs w:val="16"/>
              </w:rPr>
              <w:t>Dos</w:t>
            </w:r>
            <w:r>
              <w:rPr>
                <w:sz w:val="16"/>
                <w:szCs w:val="16"/>
              </w:rPr>
              <w:t>.</w:t>
            </w:r>
          </w:p>
        </w:tc>
      </w:tr>
      <w:tr w:rsidR="007F0AB4" w:rsidRPr="00344B27" w:rsidTr="006038F1">
        <w:trPr>
          <w:trHeight w:val="986"/>
        </w:trPr>
        <w:tc>
          <w:tcPr>
            <w:tcW w:w="2560" w:type="dxa"/>
            <w:tcBorders>
              <w:top w:val="nil"/>
              <w:left w:val="single" w:sz="4" w:space="0" w:color="auto"/>
              <w:bottom w:val="nil"/>
              <w:right w:val="nil"/>
            </w:tcBorders>
            <w:shd w:val="clear" w:color="000000" w:fill="FFFFFF"/>
            <w:hideMark/>
          </w:tcPr>
          <w:p w:rsidR="007F0AB4" w:rsidRPr="008245AE" w:rsidRDefault="007F0AB4" w:rsidP="00DD333A">
            <w:pPr>
              <w:widowControl w:val="0"/>
              <w:rPr>
                <w:sz w:val="16"/>
                <w:szCs w:val="16"/>
              </w:rPr>
            </w:pPr>
            <w:r w:rsidRPr="008245AE">
              <w:rPr>
                <w:sz w:val="16"/>
                <w:szCs w:val="16"/>
              </w:rPr>
              <w:t xml:space="preserve">IX.1  </w:t>
            </w:r>
            <w:r w:rsidR="00532057" w:rsidRPr="008245AE">
              <w:rPr>
                <w:sz w:val="16"/>
                <w:szCs w:val="16"/>
                <w:lang w:val="es-ES_tradnl"/>
              </w:rPr>
              <w:t>Servicios de apoyo eficaces, eficientes, de calidad y orientados al cliente, tanto a los usuarios internos como a las partes interesadas externas</w:t>
            </w:r>
          </w:p>
          <w:p w:rsidR="007F0AB4" w:rsidRPr="008245AE"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lang w:val="es-ES_tradnl"/>
              </w:rPr>
            </w:pPr>
            <w:r w:rsidRPr="008245AE">
              <w:rPr>
                <w:color w:val="000000"/>
                <w:sz w:val="16"/>
                <w:szCs w:val="16"/>
              </w:rPr>
              <w:t>Porcentaje</w:t>
            </w:r>
            <w:r w:rsidRPr="00344B27">
              <w:rPr>
                <w:sz w:val="16"/>
                <w:szCs w:val="16"/>
                <w:lang w:val="es-ES_tradnl"/>
              </w:rPr>
              <w:t xml:space="preserve"> de peticiones de asesoramiento y servicios jurídicos que reciben respuestas rápidas de la Oficina del Consejero Jurídico</w:t>
            </w:r>
            <w:r>
              <w:rPr>
                <w:sz w:val="16"/>
                <w:szCs w:val="16"/>
                <w:lang w:val="es-ES_tradnl"/>
              </w:rPr>
              <w:t>.</w:t>
            </w:r>
          </w:p>
        </w:tc>
        <w:tc>
          <w:tcPr>
            <w:tcW w:w="2266" w:type="dxa"/>
            <w:tcBorders>
              <w:top w:val="nil"/>
              <w:left w:val="nil"/>
              <w:bottom w:val="nil"/>
              <w:right w:val="nil"/>
            </w:tcBorders>
            <w:shd w:val="clear" w:color="000000" w:fill="FFFFFF"/>
            <w:hideMark/>
          </w:tcPr>
          <w:p w:rsidR="007F0AB4" w:rsidRPr="008245AE" w:rsidRDefault="007F0AB4" w:rsidP="008245AE">
            <w:pPr>
              <w:widowControl w:val="0"/>
              <w:ind w:left="107" w:firstLineChars="2" w:firstLine="3"/>
              <w:rPr>
                <w:color w:val="000000"/>
                <w:sz w:val="16"/>
                <w:szCs w:val="16"/>
              </w:rPr>
            </w:pPr>
            <w:r w:rsidRPr="008245AE">
              <w:rPr>
                <w:color w:val="000000"/>
                <w:sz w:val="16"/>
                <w:szCs w:val="16"/>
              </w:rPr>
              <w:t>El 95%.</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95%</w:t>
            </w:r>
            <w:r>
              <w:rPr>
                <w:sz w:val="16"/>
                <w:szCs w:val="16"/>
              </w:rPr>
              <w:t>.</w:t>
            </w:r>
          </w:p>
        </w:tc>
      </w:tr>
      <w:tr w:rsidR="007F0AB4" w:rsidRPr="004950EE" w:rsidTr="006038F1">
        <w:trPr>
          <w:trHeight w:val="1139"/>
        </w:trPr>
        <w:tc>
          <w:tcPr>
            <w:tcW w:w="2560" w:type="dxa"/>
            <w:tcBorders>
              <w:top w:val="nil"/>
              <w:left w:val="single" w:sz="4" w:space="0" w:color="auto"/>
              <w:bottom w:val="nil"/>
              <w:right w:val="nil"/>
            </w:tcBorders>
            <w:shd w:val="clear" w:color="000000" w:fill="FFFFFF"/>
            <w:hideMark/>
          </w:tcPr>
          <w:p w:rsidR="007F0AB4" w:rsidRPr="008245AE" w:rsidRDefault="0091739D" w:rsidP="00DD333A">
            <w:pPr>
              <w:widowControl w:val="0"/>
              <w:rPr>
                <w:sz w:val="16"/>
                <w:szCs w:val="16"/>
              </w:rPr>
            </w:pPr>
            <w:r w:rsidRPr="008245AE">
              <w:rPr>
                <w:sz w:val="16"/>
                <w:szCs w:val="16"/>
              </w:rPr>
              <w:t xml:space="preserve">IX.2 </w:t>
            </w:r>
            <w:r w:rsidR="007F0AB4" w:rsidRPr="008245AE">
              <w:rPr>
                <w:sz w:val="16"/>
                <w:szCs w:val="16"/>
              </w:rPr>
              <w:t xml:space="preserve"> </w:t>
            </w:r>
            <w:r w:rsidR="005354CF" w:rsidRPr="008245AE">
              <w:rPr>
                <w:sz w:val="16"/>
                <w:szCs w:val="16"/>
                <w:lang w:val="es-ES_tradnl"/>
              </w:rPr>
              <w:t>Funcionamiento sin contratiempos de la Secretaría, provista de un personal bien dirigido, dotado de las competencias adecuadas, y capaz de conseguir resultados</w:t>
            </w:r>
          </w:p>
          <w:p w:rsidR="007F0AB4" w:rsidRPr="008245AE" w:rsidRDefault="007F0AB4" w:rsidP="00DD333A">
            <w:pPr>
              <w:widowControl w:val="0"/>
              <w:rPr>
                <w:sz w:val="16"/>
                <w:szCs w:val="16"/>
              </w:rPr>
            </w:pP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rPr>
            </w:pPr>
            <w:r w:rsidRPr="00344B27">
              <w:rPr>
                <w:sz w:val="16"/>
                <w:szCs w:val="16"/>
              </w:rPr>
              <w:t xml:space="preserve">Establecimiento de un nuevo marco </w:t>
            </w:r>
            <w:r w:rsidRPr="008245AE">
              <w:rPr>
                <w:color w:val="000000"/>
                <w:sz w:val="16"/>
                <w:szCs w:val="16"/>
              </w:rPr>
              <w:t>institucional</w:t>
            </w:r>
            <w:r w:rsidRPr="00344B27">
              <w:rPr>
                <w:sz w:val="16"/>
                <w:szCs w:val="16"/>
              </w:rPr>
              <w:t xml:space="preserve"> de reacción</w:t>
            </w:r>
            <w:r w:rsidR="00387230">
              <w:rPr>
                <w:sz w:val="16"/>
                <w:szCs w:val="16"/>
              </w:rPr>
              <w:t xml:space="preserve"> y recuperación</w:t>
            </w:r>
            <w:r w:rsidRPr="00344B27">
              <w:rPr>
                <w:sz w:val="16"/>
                <w:szCs w:val="16"/>
              </w:rPr>
              <w:t xml:space="preserve"> y continuidad de las actividades y documentación conexa</w:t>
            </w:r>
            <w:r>
              <w:rPr>
                <w:sz w:val="16"/>
                <w:szCs w:val="16"/>
              </w:rPr>
              <w:t>.</w:t>
            </w:r>
          </w:p>
        </w:tc>
        <w:tc>
          <w:tcPr>
            <w:tcW w:w="2266" w:type="dxa"/>
            <w:tcBorders>
              <w:top w:val="nil"/>
              <w:left w:val="nil"/>
              <w:bottom w:val="nil"/>
              <w:right w:val="nil"/>
            </w:tcBorders>
            <w:shd w:val="clear" w:color="000000" w:fill="FFFFFF"/>
            <w:hideMark/>
          </w:tcPr>
          <w:p w:rsidR="007F0AB4" w:rsidRPr="008245AE" w:rsidRDefault="007F0AB4" w:rsidP="008245AE">
            <w:pPr>
              <w:widowControl w:val="0"/>
              <w:ind w:left="107" w:firstLineChars="2" w:firstLine="3"/>
              <w:rPr>
                <w:color w:val="000000"/>
                <w:sz w:val="16"/>
                <w:szCs w:val="16"/>
              </w:rPr>
            </w:pPr>
            <w:r w:rsidRPr="008245AE">
              <w:rPr>
                <w:color w:val="000000"/>
                <w:sz w:val="16"/>
                <w:szCs w:val="16"/>
              </w:rPr>
              <w:t>El marco actual no es lo suficientemente amplio y debe ser reemplazado.</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Elaboración de estrategias institucionales de reacción</w:t>
            </w:r>
            <w:r w:rsidR="00387230">
              <w:rPr>
                <w:sz w:val="16"/>
                <w:szCs w:val="16"/>
              </w:rPr>
              <w:t xml:space="preserve"> y recuperación</w:t>
            </w:r>
            <w:r w:rsidRPr="00344B27">
              <w:rPr>
                <w:sz w:val="16"/>
                <w:szCs w:val="16"/>
              </w:rPr>
              <w:t xml:space="preserve"> y continuidad de las actividades para las esferas clave de la Organización</w:t>
            </w:r>
            <w:r>
              <w:rPr>
                <w:sz w:val="16"/>
                <w:szCs w:val="16"/>
              </w:rPr>
              <w:t>.</w:t>
            </w:r>
          </w:p>
        </w:tc>
      </w:tr>
      <w:tr w:rsidR="007F0AB4" w:rsidRPr="00344B27" w:rsidTr="006038F1">
        <w:trPr>
          <w:trHeight w:val="1076"/>
        </w:trPr>
        <w:tc>
          <w:tcPr>
            <w:tcW w:w="2560" w:type="dxa"/>
            <w:vMerge w:val="restart"/>
            <w:tcBorders>
              <w:top w:val="nil"/>
              <w:left w:val="single" w:sz="4" w:space="0" w:color="auto"/>
              <w:bottom w:val="single" w:sz="4" w:space="0" w:color="000000"/>
              <w:right w:val="nil"/>
            </w:tcBorders>
            <w:shd w:val="clear" w:color="000000" w:fill="FFFFFF"/>
            <w:hideMark/>
          </w:tcPr>
          <w:p w:rsidR="007F0AB4" w:rsidRPr="008245AE" w:rsidRDefault="007F0AB4" w:rsidP="0091739D">
            <w:pPr>
              <w:widowControl w:val="0"/>
              <w:rPr>
                <w:sz w:val="16"/>
                <w:szCs w:val="16"/>
              </w:rPr>
            </w:pPr>
            <w:r w:rsidRPr="008245AE">
              <w:rPr>
                <w:sz w:val="16"/>
                <w:szCs w:val="16"/>
              </w:rPr>
              <w:t>IX.3</w:t>
            </w:r>
            <w:r w:rsidR="0091739D" w:rsidRPr="008245AE">
              <w:rPr>
                <w:sz w:val="16"/>
                <w:szCs w:val="16"/>
              </w:rPr>
              <w:t xml:space="preserve"> </w:t>
            </w:r>
            <w:r w:rsidRPr="008245AE">
              <w:rPr>
                <w:sz w:val="16"/>
                <w:szCs w:val="16"/>
              </w:rPr>
              <w:t xml:space="preserve"> </w:t>
            </w:r>
            <w:r w:rsidR="005354CF" w:rsidRPr="008245AE">
              <w:rPr>
                <w:sz w:val="16"/>
                <w:szCs w:val="16"/>
                <w:lang w:val="es-ES_tradnl"/>
              </w:rPr>
              <w:t>Entorno de trabajo propicio basado en un marco reglamentario eficaz y medios adecuados para atender los temas de interés del personal</w:t>
            </w:r>
          </w:p>
        </w:tc>
        <w:tc>
          <w:tcPr>
            <w:tcW w:w="2560" w:type="dxa"/>
            <w:tcBorders>
              <w:top w:val="nil"/>
              <w:left w:val="nil"/>
              <w:bottom w:val="nil"/>
              <w:right w:val="nil"/>
            </w:tcBorders>
            <w:shd w:val="clear" w:color="000000" w:fill="FFFFFF"/>
            <w:hideMark/>
          </w:tcPr>
          <w:p w:rsidR="007F0AB4" w:rsidRPr="00344B27" w:rsidRDefault="007F0AB4" w:rsidP="008245AE">
            <w:pPr>
              <w:widowControl w:val="0"/>
              <w:ind w:left="63"/>
              <w:rPr>
                <w:sz w:val="16"/>
                <w:szCs w:val="16"/>
              </w:rPr>
            </w:pPr>
            <w:r w:rsidRPr="008245AE">
              <w:rPr>
                <w:color w:val="000000"/>
                <w:sz w:val="16"/>
                <w:szCs w:val="16"/>
              </w:rPr>
              <w:t>Porcentaje</w:t>
            </w:r>
            <w:r w:rsidRPr="00344B27">
              <w:rPr>
                <w:sz w:val="16"/>
                <w:szCs w:val="16"/>
              </w:rPr>
              <w:t xml:space="preserve"> de miembros del personal de la OMPI que tienen conocimiento de los servicios disponibles en la Oficina del Mediador y del mecanismo informal de solución de conflictos.</w:t>
            </w:r>
            <w:r w:rsidR="008245AE">
              <w:rPr>
                <w:sz w:val="16"/>
                <w:szCs w:val="16"/>
              </w:rPr>
              <w:br/>
            </w:r>
          </w:p>
        </w:tc>
        <w:tc>
          <w:tcPr>
            <w:tcW w:w="2266" w:type="dxa"/>
            <w:tcBorders>
              <w:top w:val="nil"/>
              <w:left w:val="nil"/>
              <w:bottom w:val="nil"/>
              <w:right w:val="nil"/>
            </w:tcBorders>
            <w:shd w:val="clear" w:color="000000" w:fill="FFFFFF"/>
            <w:hideMark/>
          </w:tcPr>
          <w:p w:rsidR="007F0AB4" w:rsidRPr="00344B27" w:rsidRDefault="007F0AB4" w:rsidP="008245AE">
            <w:pPr>
              <w:widowControl w:val="0"/>
              <w:ind w:left="107" w:firstLineChars="2" w:firstLine="3"/>
              <w:rPr>
                <w:sz w:val="16"/>
                <w:szCs w:val="16"/>
                <w:lang w:val="es-ES_tradnl"/>
              </w:rPr>
            </w:pPr>
            <w:r w:rsidRPr="008245AE">
              <w:rPr>
                <w:color w:val="000000"/>
                <w:sz w:val="16"/>
                <w:szCs w:val="16"/>
              </w:rPr>
              <w:t>Encuesta</w:t>
            </w:r>
            <w:r w:rsidRPr="00344B27">
              <w:rPr>
                <w:sz w:val="16"/>
                <w:szCs w:val="16"/>
                <w:lang w:val="es-ES_tradnl"/>
              </w:rPr>
              <w:t xml:space="preserve"> de 2013</w:t>
            </w:r>
            <w:proofErr w:type="gramStart"/>
            <w:r w:rsidRPr="00344B27">
              <w:rPr>
                <w:sz w:val="16"/>
                <w:szCs w:val="16"/>
                <w:lang w:val="es-ES_tradnl"/>
              </w:rPr>
              <w:t>:  el</w:t>
            </w:r>
            <w:proofErr w:type="gramEnd"/>
            <w:r w:rsidRPr="00344B27">
              <w:rPr>
                <w:sz w:val="16"/>
                <w:szCs w:val="16"/>
                <w:lang w:val="es-ES_tradnl"/>
              </w:rPr>
              <w:t xml:space="preserve"> 63% tiene pleno conocimiento.  Se prevé realizar otra encuesta en 2015.</w:t>
            </w:r>
          </w:p>
        </w:tc>
        <w:tc>
          <w:tcPr>
            <w:tcW w:w="2313" w:type="dxa"/>
            <w:tcBorders>
              <w:top w:val="nil"/>
              <w:left w:val="nil"/>
              <w:bottom w:val="nil"/>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70%</w:t>
            </w:r>
          </w:p>
        </w:tc>
      </w:tr>
      <w:tr w:rsidR="007F0AB4" w:rsidRPr="004950EE" w:rsidTr="006038F1">
        <w:trPr>
          <w:trHeight w:val="1081"/>
        </w:trPr>
        <w:tc>
          <w:tcPr>
            <w:tcW w:w="2560" w:type="dxa"/>
            <w:vMerge/>
            <w:tcBorders>
              <w:top w:val="nil"/>
              <w:left w:val="single" w:sz="4" w:space="0" w:color="auto"/>
              <w:bottom w:val="single" w:sz="4" w:space="0" w:color="000000"/>
              <w:right w:val="nil"/>
            </w:tcBorders>
            <w:vAlign w:val="center"/>
            <w:hideMark/>
          </w:tcPr>
          <w:p w:rsidR="007F0AB4" w:rsidRPr="00344B27" w:rsidRDefault="007F0AB4" w:rsidP="00DD333A">
            <w:pPr>
              <w:widowControl w:val="0"/>
              <w:rPr>
                <w:sz w:val="16"/>
                <w:szCs w:val="16"/>
              </w:rPr>
            </w:pPr>
          </w:p>
        </w:tc>
        <w:tc>
          <w:tcPr>
            <w:tcW w:w="2560" w:type="dxa"/>
            <w:tcBorders>
              <w:top w:val="nil"/>
              <w:left w:val="nil"/>
              <w:bottom w:val="single" w:sz="4" w:space="0" w:color="auto"/>
              <w:right w:val="nil"/>
            </w:tcBorders>
            <w:shd w:val="clear" w:color="000000" w:fill="FFFFFF"/>
            <w:hideMark/>
          </w:tcPr>
          <w:p w:rsidR="007F0AB4" w:rsidRPr="00344B27" w:rsidRDefault="007F0AB4" w:rsidP="008245AE">
            <w:pPr>
              <w:widowControl w:val="0"/>
              <w:ind w:left="63"/>
              <w:rPr>
                <w:sz w:val="16"/>
                <w:szCs w:val="16"/>
                <w:lang w:val="es-ES_tradnl"/>
              </w:rPr>
            </w:pPr>
            <w:r w:rsidRPr="008245AE">
              <w:rPr>
                <w:color w:val="000000"/>
                <w:sz w:val="16"/>
                <w:szCs w:val="16"/>
              </w:rPr>
              <w:t>Porcentaje</w:t>
            </w:r>
            <w:r w:rsidRPr="00344B27">
              <w:rPr>
                <w:sz w:val="16"/>
                <w:szCs w:val="16"/>
                <w:lang w:val="es-ES_tradnl"/>
              </w:rPr>
              <w:t xml:space="preserve"> de miembros del personal de la OMPI que tienen conocimiento de los principios y políticas de la OMPI en materia de ética.</w:t>
            </w:r>
          </w:p>
        </w:tc>
        <w:tc>
          <w:tcPr>
            <w:tcW w:w="2266" w:type="dxa"/>
            <w:tcBorders>
              <w:top w:val="nil"/>
              <w:left w:val="nil"/>
              <w:bottom w:val="single" w:sz="4" w:space="0" w:color="auto"/>
              <w:right w:val="nil"/>
            </w:tcBorders>
            <w:shd w:val="clear" w:color="000000" w:fill="FFFFFF"/>
            <w:hideMark/>
          </w:tcPr>
          <w:p w:rsidR="007F0AB4" w:rsidRPr="00344B27" w:rsidRDefault="007F0AB4" w:rsidP="008245AE">
            <w:pPr>
              <w:widowControl w:val="0"/>
              <w:ind w:left="107" w:firstLineChars="2" w:firstLine="3"/>
              <w:rPr>
                <w:sz w:val="16"/>
                <w:szCs w:val="16"/>
                <w:lang w:val="es-ES_tradnl"/>
              </w:rPr>
            </w:pPr>
            <w:r w:rsidRPr="00344B27">
              <w:rPr>
                <w:sz w:val="16"/>
                <w:szCs w:val="16"/>
                <w:lang w:val="es-ES_tradnl"/>
              </w:rPr>
              <w:t>El 98%, según la encuesta sobre las prioridades centrales del Programa de Alineación Estratégica (realizada en 2013).  Se prevé realizar otra encuesta en 2015.</w:t>
            </w:r>
            <w:r w:rsidR="008245AE">
              <w:rPr>
                <w:sz w:val="16"/>
                <w:szCs w:val="16"/>
                <w:lang w:val="es-ES_tradnl"/>
              </w:rPr>
              <w:br/>
            </w:r>
          </w:p>
        </w:tc>
        <w:tc>
          <w:tcPr>
            <w:tcW w:w="2313" w:type="dxa"/>
            <w:tcBorders>
              <w:top w:val="nil"/>
              <w:left w:val="nil"/>
              <w:bottom w:val="single" w:sz="4" w:space="0" w:color="auto"/>
              <w:right w:val="single" w:sz="4" w:space="0" w:color="auto"/>
            </w:tcBorders>
            <w:shd w:val="clear" w:color="000000" w:fill="FFFFFF"/>
            <w:hideMark/>
          </w:tcPr>
          <w:p w:rsidR="007F0AB4" w:rsidRPr="00344B27" w:rsidRDefault="007F0AB4" w:rsidP="00387230">
            <w:pPr>
              <w:widowControl w:val="0"/>
              <w:ind w:left="34"/>
              <w:rPr>
                <w:sz w:val="16"/>
                <w:szCs w:val="16"/>
              </w:rPr>
            </w:pPr>
            <w:r w:rsidRPr="00344B27">
              <w:rPr>
                <w:sz w:val="16"/>
                <w:szCs w:val="16"/>
              </w:rPr>
              <w:t>El 95% de los miembros del personal tienen conocimiento de esos principios y políticas</w:t>
            </w:r>
            <w:r>
              <w:rPr>
                <w:sz w:val="16"/>
                <w:szCs w:val="16"/>
              </w:rPr>
              <w:t>.</w:t>
            </w:r>
          </w:p>
        </w:tc>
      </w:tr>
    </w:tbl>
    <w:p w:rsidR="007F0AB4" w:rsidRPr="00DD333A" w:rsidRDefault="007F0AB4" w:rsidP="007F0AB4">
      <w:pPr>
        <w:widowControl w:val="0"/>
        <w:rPr>
          <w:szCs w:val="22"/>
        </w:rPr>
      </w:pPr>
    </w:p>
    <w:p w:rsidR="00DD333A" w:rsidRPr="00E11325" w:rsidRDefault="00AC5C67" w:rsidP="00DD333A">
      <w:pPr>
        <w:keepNext/>
        <w:keepLines/>
      </w:pPr>
      <w:r w:rsidRPr="00E11325">
        <w:lastRenderedPageBreak/>
        <w:t xml:space="preserve">RECURSOS PARA EL PROGRAMA </w:t>
      </w:r>
      <w:r w:rsidR="00DD333A" w:rsidRPr="00E11325">
        <w:t>21</w:t>
      </w:r>
    </w:p>
    <w:p w:rsidR="00DD333A" w:rsidRPr="00E11325" w:rsidRDefault="00DD333A" w:rsidP="00DD333A">
      <w:pPr>
        <w:keepNext/>
        <w:keepLines/>
        <w:rPr>
          <w:sz w:val="20"/>
          <w:highlight w:val="lightGray"/>
        </w:rPr>
      </w:pPr>
    </w:p>
    <w:p w:rsidR="00DD333A" w:rsidRPr="001F08EF" w:rsidRDefault="001F08EF" w:rsidP="00DD333A">
      <w:pPr>
        <w:numPr>
          <w:ilvl w:val="0"/>
          <w:numId w:val="42"/>
        </w:numPr>
        <w:jc w:val="both"/>
        <w:rPr>
          <w:sz w:val="20"/>
        </w:rPr>
      </w:pPr>
      <w:r w:rsidRPr="00892A2A">
        <w:rPr>
          <w:sz w:val="20"/>
        </w:rPr>
        <w:t>En 2016/17, puede observarse un ligero aumento en la dotación global de recursos para el programa con respecto al presupuesto de 2014/</w:t>
      </w:r>
      <w:r w:rsidR="00ED0A05">
        <w:rPr>
          <w:sz w:val="20"/>
        </w:rPr>
        <w:t>15 tras las</w:t>
      </w:r>
      <w:r w:rsidRPr="00892A2A">
        <w:rPr>
          <w:sz w:val="20"/>
        </w:rPr>
        <w:t xml:space="preserve"> transferencias.  Ello se debe a una asignación de recursos ligeramente mayor para la organización de las Asambleas de la OMPI a partir de las pautas de gasto de 2014/15, el continuo desarrollo de la base de datos </w:t>
      </w:r>
      <w:r w:rsidRPr="008245AE">
        <w:rPr>
          <w:i/>
          <w:sz w:val="20"/>
        </w:rPr>
        <w:t xml:space="preserve">WIPO </w:t>
      </w:r>
      <w:proofErr w:type="spellStart"/>
      <w:r w:rsidRPr="008245AE">
        <w:rPr>
          <w:i/>
          <w:sz w:val="20"/>
        </w:rPr>
        <w:t>Lex</w:t>
      </w:r>
      <w:proofErr w:type="spellEnd"/>
      <w:r w:rsidRPr="00892A2A">
        <w:rPr>
          <w:sz w:val="20"/>
        </w:rPr>
        <w:t xml:space="preserve"> y las actividades de coordinación de las Oficinas de la OMPI en el exterior.</w:t>
      </w:r>
    </w:p>
    <w:p w:rsidR="00DD333A" w:rsidRPr="001F08EF" w:rsidRDefault="00DD333A" w:rsidP="00DD333A">
      <w:pPr>
        <w:jc w:val="both"/>
        <w:rPr>
          <w:sz w:val="20"/>
          <w:highlight w:val="lightGray"/>
        </w:rPr>
      </w:pPr>
    </w:p>
    <w:p w:rsidR="00DD333A" w:rsidRPr="001F08EF" w:rsidRDefault="001F08EF" w:rsidP="00DD333A">
      <w:pPr>
        <w:numPr>
          <w:ilvl w:val="0"/>
          <w:numId w:val="42"/>
        </w:numPr>
        <w:jc w:val="both"/>
        <w:rPr>
          <w:sz w:val="20"/>
        </w:rPr>
      </w:pPr>
      <w:r w:rsidRPr="00892A2A">
        <w:rPr>
          <w:sz w:val="20"/>
        </w:rPr>
        <w:t>En lo que respecta a las variaciones en la dotación de recursos destinados a los resultados previstos, se considera más adecuado vincular los recursos relativos a los servicios jurídicos y las actividades de asesoramiento con el resultado previsto IX.1, en lugar del resultado previsto IX.2, como se hizo en 2014/15.</w:t>
      </w:r>
    </w:p>
    <w:p w:rsidR="00DD333A" w:rsidRPr="001F08EF" w:rsidRDefault="00DD333A" w:rsidP="001F08EF">
      <w:pPr>
        <w:pStyle w:val="Salutation"/>
        <w:rPr>
          <w:sz w:val="20"/>
        </w:rPr>
      </w:pPr>
    </w:p>
    <w:p w:rsidR="00DD333A" w:rsidRPr="008245AE" w:rsidRDefault="001F08EF" w:rsidP="001F08EF">
      <w:pPr>
        <w:numPr>
          <w:ilvl w:val="0"/>
          <w:numId w:val="42"/>
        </w:numPr>
        <w:jc w:val="both"/>
        <w:rPr>
          <w:sz w:val="20"/>
          <w:szCs w:val="22"/>
        </w:rPr>
      </w:pPr>
      <w:r w:rsidRPr="00892A2A">
        <w:rPr>
          <w:sz w:val="20"/>
        </w:rPr>
        <w:t>En 2016/17, la dotación de recursos en el marco del resultado previsto VIII.4 refleja la labor relativa a la concesión de la condición de observador permanente a las ONG.</w:t>
      </w:r>
    </w:p>
    <w:p w:rsidR="008245AE" w:rsidRPr="001F08EF" w:rsidRDefault="008245AE" w:rsidP="008245AE">
      <w:pPr>
        <w:jc w:val="both"/>
        <w:rPr>
          <w:sz w:val="20"/>
          <w:szCs w:val="22"/>
        </w:rPr>
      </w:pPr>
    </w:p>
    <w:p w:rsidR="00DD333A" w:rsidRPr="001F08EF" w:rsidRDefault="00DD333A" w:rsidP="00DD333A">
      <w:pPr>
        <w:rPr>
          <w:highlight w:val="lightGray"/>
        </w:rPr>
      </w:pPr>
    </w:p>
    <w:p w:rsidR="00E757F4" w:rsidRPr="00C155C9" w:rsidRDefault="00E757F4" w:rsidP="00E757F4">
      <w:pPr>
        <w:pStyle w:val="ListParagraph"/>
        <w:keepNext/>
        <w:keepLines/>
        <w:spacing w:after="240"/>
        <w:jc w:val="center"/>
        <w:rPr>
          <w:rFonts w:ascii="Arial" w:hAnsi="Arial" w:cs="Arial"/>
          <w:b/>
          <w:sz w:val="20"/>
          <w:lang w:val="es-ES_tradnl"/>
        </w:rPr>
      </w:pPr>
      <w:r w:rsidRPr="00C155C9">
        <w:rPr>
          <w:rFonts w:ascii="Arial" w:hAnsi="Arial" w:cs="Arial"/>
          <w:b/>
          <w:sz w:val="20"/>
          <w:lang w:val="es-ES_tradnl"/>
        </w:rPr>
        <w:t>Programa 21</w:t>
      </w:r>
      <w:proofErr w:type="gramStart"/>
      <w:r w:rsidRPr="00C155C9">
        <w:rPr>
          <w:rFonts w:ascii="Arial" w:hAnsi="Arial" w:cs="Arial"/>
          <w:b/>
          <w:sz w:val="20"/>
          <w:lang w:val="es-ES_tradnl"/>
        </w:rPr>
        <w:t>:  Recursos</w:t>
      </w:r>
      <w:proofErr w:type="gramEnd"/>
      <w:r w:rsidRPr="00C155C9">
        <w:rPr>
          <w:rFonts w:ascii="Arial" w:hAnsi="Arial" w:cs="Arial"/>
          <w:b/>
          <w:sz w:val="20"/>
          <w:lang w:val="es-ES_tradnl"/>
        </w:rPr>
        <w:t xml:space="preserve"> por resultado </w:t>
      </w:r>
    </w:p>
    <w:p w:rsidR="00DD333A" w:rsidRPr="00C155C9" w:rsidRDefault="00E757F4" w:rsidP="00E757F4">
      <w:pPr>
        <w:pStyle w:val="ListParagraph"/>
        <w:keepNext/>
        <w:keepLines/>
        <w:tabs>
          <w:tab w:val="left" w:pos="9072"/>
        </w:tabs>
        <w:spacing w:after="240"/>
        <w:jc w:val="center"/>
        <w:rPr>
          <w:rFonts w:ascii="Arial" w:hAnsi="Arial" w:cs="Arial"/>
          <w:i/>
          <w:sz w:val="20"/>
          <w:highlight w:val="lightGray"/>
          <w:lang w:val="es-ES_tradnl"/>
        </w:rPr>
      </w:pPr>
      <w:r w:rsidRPr="00C155C9">
        <w:rPr>
          <w:rFonts w:ascii="Arial" w:hAnsi="Arial" w:cs="Arial"/>
          <w:i/>
          <w:sz w:val="20"/>
          <w:lang w:val="es-ES_tradnl"/>
        </w:rPr>
        <w:t>(</w:t>
      </w:r>
      <w:proofErr w:type="gramStart"/>
      <w:r w:rsidRPr="00C155C9">
        <w:rPr>
          <w:rFonts w:ascii="Arial" w:hAnsi="Arial" w:cs="Arial"/>
          <w:i/>
          <w:sz w:val="20"/>
          <w:lang w:val="es-ES_tradnl"/>
        </w:rPr>
        <w:t>en</w:t>
      </w:r>
      <w:proofErr w:type="gramEnd"/>
      <w:r w:rsidRPr="00C155C9">
        <w:rPr>
          <w:rFonts w:ascii="Arial" w:hAnsi="Arial" w:cs="Arial"/>
          <w:i/>
          <w:sz w:val="20"/>
          <w:lang w:val="es-ES_tradnl"/>
        </w:rPr>
        <w:t xml:space="preserve"> miles de francos suizos)</w:t>
      </w:r>
    </w:p>
    <w:p w:rsidR="00DD333A" w:rsidRPr="00C155C9" w:rsidRDefault="00DD333A" w:rsidP="00DD333A">
      <w:pPr>
        <w:pStyle w:val="ListParagraph"/>
        <w:keepNext/>
        <w:keepLines/>
        <w:tabs>
          <w:tab w:val="left" w:pos="9072"/>
        </w:tabs>
        <w:spacing w:after="240"/>
        <w:jc w:val="center"/>
        <w:rPr>
          <w:rFonts w:ascii="Arial" w:hAnsi="Arial" w:cs="Arial"/>
          <w:i/>
          <w:sz w:val="20"/>
          <w:highlight w:val="lightGray"/>
          <w:lang w:val="es-ES_tradnl"/>
        </w:rPr>
      </w:pPr>
    </w:p>
    <w:p w:rsidR="00DD333A" w:rsidRPr="00DD333A" w:rsidRDefault="008245AE" w:rsidP="00DD333A">
      <w:pPr>
        <w:pStyle w:val="ListParagraph"/>
        <w:keepNext/>
        <w:keepLines/>
        <w:tabs>
          <w:tab w:val="left" w:pos="9072"/>
        </w:tabs>
        <w:spacing w:after="240"/>
        <w:ind w:hanging="720"/>
        <w:jc w:val="center"/>
        <w:rPr>
          <w:rFonts w:ascii="Arial" w:hAnsi="Arial" w:cs="Arial"/>
          <w:i/>
          <w:sz w:val="20"/>
          <w:highlight w:val="lightGray"/>
        </w:rPr>
      </w:pPr>
      <w:r w:rsidRPr="008245AE">
        <w:rPr>
          <w:noProof/>
          <w:lang w:eastAsia="en-US"/>
        </w:rPr>
        <w:drawing>
          <wp:inline distT="0" distB="0" distL="0" distR="0">
            <wp:extent cx="5677535" cy="4102735"/>
            <wp:effectExtent l="0" t="0" r="0"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677535" cy="4102735"/>
                    </a:xfrm>
                    <a:prstGeom prst="rect">
                      <a:avLst/>
                    </a:prstGeom>
                    <a:noFill/>
                    <a:ln>
                      <a:noFill/>
                    </a:ln>
                  </pic:spPr>
                </pic:pic>
              </a:graphicData>
            </a:graphic>
          </wp:inline>
        </w:drawing>
      </w:r>
    </w:p>
    <w:p w:rsidR="00DD333A" w:rsidRPr="00DD333A" w:rsidRDefault="00DD333A" w:rsidP="00DD333A">
      <w:pPr>
        <w:pStyle w:val="ListParagraph"/>
        <w:tabs>
          <w:tab w:val="left" w:pos="9072"/>
        </w:tabs>
        <w:spacing w:after="240"/>
        <w:rPr>
          <w:rFonts w:ascii="Arial" w:hAnsi="Arial" w:cs="Arial"/>
          <w:i/>
          <w:sz w:val="20"/>
          <w:highlight w:val="lightGray"/>
        </w:rPr>
      </w:pPr>
    </w:p>
    <w:p w:rsidR="00DD333A" w:rsidRPr="00DD333A" w:rsidRDefault="00DD333A" w:rsidP="00DD333A">
      <w:pPr>
        <w:pStyle w:val="ListParagraph"/>
        <w:tabs>
          <w:tab w:val="left" w:pos="9072"/>
        </w:tabs>
        <w:spacing w:after="240"/>
        <w:rPr>
          <w:rFonts w:ascii="Arial" w:hAnsi="Arial" w:cs="Arial"/>
          <w:i/>
          <w:sz w:val="20"/>
          <w:highlight w:val="lightGray"/>
        </w:rPr>
      </w:pPr>
    </w:p>
    <w:p w:rsidR="00DD333A" w:rsidRPr="00DD333A" w:rsidRDefault="00DD333A" w:rsidP="00DD333A">
      <w:pPr>
        <w:rPr>
          <w:rFonts w:eastAsiaTheme="minorHAnsi"/>
          <w:b/>
          <w:sz w:val="20"/>
          <w:highlight w:val="lightGray"/>
        </w:rPr>
      </w:pPr>
      <w:r w:rsidRPr="00DD333A">
        <w:rPr>
          <w:b/>
          <w:sz w:val="20"/>
          <w:highlight w:val="lightGray"/>
        </w:rPr>
        <w:br w:type="page"/>
      </w:r>
    </w:p>
    <w:p w:rsidR="00044170" w:rsidRPr="005012AC" w:rsidRDefault="00044170" w:rsidP="005012AC">
      <w:pPr>
        <w:pStyle w:val="ListParagraph"/>
        <w:spacing w:after="240"/>
        <w:ind w:left="0"/>
        <w:jc w:val="center"/>
        <w:rPr>
          <w:rFonts w:ascii="Arial" w:hAnsi="Arial" w:cs="Arial"/>
          <w:b/>
          <w:sz w:val="20"/>
          <w:lang w:val="es-ES_tradnl"/>
        </w:rPr>
      </w:pPr>
      <w:r w:rsidRPr="005012AC">
        <w:rPr>
          <w:rFonts w:ascii="Arial" w:hAnsi="Arial" w:cs="Arial"/>
          <w:b/>
          <w:sz w:val="20"/>
          <w:lang w:val="es-ES_tradnl"/>
        </w:rPr>
        <w:lastRenderedPageBreak/>
        <w:t>Programa 21</w:t>
      </w:r>
      <w:proofErr w:type="gramStart"/>
      <w:r w:rsidRPr="005012AC">
        <w:rPr>
          <w:rFonts w:ascii="Arial" w:hAnsi="Arial" w:cs="Arial"/>
          <w:b/>
          <w:sz w:val="20"/>
          <w:lang w:val="es-ES_tradnl"/>
        </w:rPr>
        <w:t>:  Recursos</w:t>
      </w:r>
      <w:proofErr w:type="gramEnd"/>
      <w:r w:rsidRPr="005012AC">
        <w:rPr>
          <w:rFonts w:ascii="Arial" w:hAnsi="Arial" w:cs="Arial"/>
          <w:b/>
          <w:sz w:val="20"/>
          <w:lang w:val="es-ES_tradnl"/>
        </w:rPr>
        <w:t xml:space="preserve"> por objeto de gasto</w:t>
      </w:r>
    </w:p>
    <w:p w:rsidR="00DD333A" w:rsidRPr="005012AC" w:rsidRDefault="00044170" w:rsidP="005012AC">
      <w:pPr>
        <w:pStyle w:val="ListParagraph"/>
        <w:tabs>
          <w:tab w:val="left" w:pos="9072"/>
        </w:tabs>
        <w:spacing w:after="240"/>
        <w:ind w:left="0"/>
        <w:jc w:val="center"/>
        <w:rPr>
          <w:rFonts w:ascii="Arial" w:hAnsi="Arial" w:cs="Arial"/>
          <w:i/>
          <w:sz w:val="20"/>
          <w:highlight w:val="lightGray"/>
          <w:lang w:val="es-ES_tradnl"/>
        </w:rPr>
      </w:pPr>
      <w:r w:rsidRPr="005012AC">
        <w:rPr>
          <w:rFonts w:ascii="Arial" w:hAnsi="Arial" w:cs="Arial"/>
          <w:i/>
          <w:sz w:val="20"/>
          <w:lang w:val="es-ES_tradnl"/>
        </w:rPr>
        <w:t>(</w:t>
      </w:r>
      <w:proofErr w:type="gramStart"/>
      <w:r w:rsidRPr="005012AC">
        <w:rPr>
          <w:rFonts w:ascii="Arial" w:hAnsi="Arial" w:cs="Arial"/>
          <w:i/>
          <w:sz w:val="20"/>
          <w:lang w:val="es-ES_tradnl"/>
        </w:rPr>
        <w:t>en</w:t>
      </w:r>
      <w:proofErr w:type="gramEnd"/>
      <w:r w:rsidRPr="005012AC">
        <w:rPr>
          <w:rFonts w:ascii="Arial" w:hAnsi="Arial" w:cs="Arial"/>
          <w:i/>
          <w:sz w:val="20"/>
          <w:lang w:val="es-ES_tradnl"/>
        </w:rPr>
        <w:t xml:space="preserve"> miles de francos suizos)</w:t>
      </w:r>
    </w:p>
    <w:p w:rsidR="00DD333A" w:rsidRPr="008245AE" w:rsidRDefault="00DD333A" w:rsidP="005012AC">
      <w:pPr>
        <w:pStyle w:val="ListParagraph"/>
        <w:tabs>
          <w:tab w:val="left" w:pos="9072"/>
        </w:tabs>
        <w:ind w:left="0"/>
        <w:jc w:val="center"/>
        <w:rPr>
          <w:rFonts w:ascii="Arial" w:hAnsi="Arial" w:cs="Arial"/>
          <w:sz w:val="20"/>
          <w:highlight w:val="lightGray"/>
          <w:lang w:val="es-ES_tradnl"/>
        </w:rPr>
      </w:pPr>
    </w:p>
    <w:p w:rsidR="00DD333A" w:rsidRPr="005012AC" w:rsidRDefault="00835617" w:rsidP="005012AC">
      <w:pPr>
        <w:jc w:val="center"/>
        <w:rPr>
          <w:sz w:val="18"/>
          <w:highlight w:val="lightGray"/>
        </w:rPr>
      </w:pPr>
      <w:r>
        <w:rPr>
          <w:noProof/>
          <w:lang w:val="en-US" w:eastAsia="en-US"/>
        </w:rPr>
        <w:drawing>
          <wp:inline distT="0" distB="0" distL="0" distR="0" wp14:anchorId="10AED040" wp14:editId="1D77DEED">
            <wp:extent cx="5940425" cy="6118130"/>
            <wp:effectExtent l="0" t="0" r="3175"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DD333A" w:rsidRPr="00DD333A" w:rsidRDefault="00DD333A" w:rsidP="00DD333A">
      <w:pPr>
        <w:rPr>
          <w:sz w:val="18"/>
          <w:highlight w:val="lightGray"/>
        </w:rPr>
      </w:pPr>
    </w:p>
    <w:p w:rsidR="00DD333A" w:rsidRPr="00DD333A" w:rsidRDefault="00DD333A" w:rsidP="00DD333A">
      <w:pPr>
        <w:rPr>
          <w:sz w:val="20"/>
          <w:highlight w:val="lightGray"/>
        </w:rPr>
      </w:pPr>
    </w:p>
    <w:p w:rsidR="003C14CD" w:rsidRPr="00ED4DE9" w:rsidRDefault="003C14CD" w:rsidP="003C14CD">
      <w:pPr>
        <w:keepLines/>
        <w:jc w:val="center"/>
        <w:rPr>
          <w:b/>
          <w:sz w:val="20"/>
        </w:rPr>
      </w:pPr>
      <w:r>
        <w:rPr>
          <w:b/>
          <w:sz w:val="20"/>
        </w:rPr>
        <w:t>Recursos de fondos fiduciarios disponibles potencialmente para su utilización</w:t>
      </w:r>
      <w:r w:rsidRPr="00ED4DE9">
        <w:rPr>
          <w:b/>
          <w:sz w:val="20"/>
        </w:rPr>
        <w:t xml:space="preserve"> 2016/17</w:t>
      </w:r>
      <w:r>
        <w:rPr>
          <w:b/>
          <w:sz w:val="20"/>
        </w:rPr>
        <w:br/>
      </w:r>
      <w:r w:rsidRPr="00ED4DE9">
        <w:rPr>
          <w:b/>
          <w:sz w:val="20"/>
        </w:rPr>
        <w:t>(</w:t>
      </w:r>
      <w:r>
        <w:rPr>
          <w:b/>
          <w:sz w:val="20"/>
        </w:rPr>
        <w:t>POR</w:t>
      </w:r>
      <w:r w:rsidRPr="00ED4DE9">
        <w:rPr>
          <w:b/>
          <w:sz w:val="20"/>
        </w:rPr>
        <w:t xml:space="preserve"> PROGRAM</w:t>
      </w:r>
      <w:r>
        <w:rPr>
          <w:b/>
          <w:sz w:val="20"/>
        </w:rPr>
        <w:t>A</w:t>
      </w:r>
      <w:r w:rsidRPr="00ED4DE9">
        <w:rPr>
          <w:b/>
          <w:sz w:val="20"/>
        </w:rPr>
        <w:t>)</w:t>
      </w:r>
      <w:r w:rsidRPr="00ED4DE9">
        <w:rPr>
          <w:sz w:val="20"/>
          <w:vertAlign w:val="superscript"/>
        </w:rPr>
        <w:t>1</w:t>
      </w:r>
    </w:p>
    <w:p w:rsidR="003C14CD" w:rsidRPr="00ED4DE9" w:rsidRDefault="003C14CD" w:rsidP="003C14CD">
      <w:pPr>
        <w:keepLines/>
        <w:jc w:val="center"/>
        <w:rPr>
          <w:i/>
          <w:sz w:val="20"/>
        </w:rPr>
      </w:pPr>
      <w:r w:rsidRPr="00ED4DE9">
        <w:rPr>
          <w:i/>
          <w:sz w:val="20"/>
        </w:rPr>
        <w:t>(</w:t>
      </w:r>
      <w:proofErr w:type="gramStart"/>
      <w:r>
        <w:rPr>
          <w:i/>
          <w:sz w:val="20"/>
        </w:rPr>
        <w:t>en</w:t>
      </w:r>
      <w:proofErr w:type="gramEnd"/>
      <w:r>
        <w:rPr>
          <w:i/>
          <w:sz w:val="20"/>
        </w:rPr>
        <w:t xml:space="preserve"> miles de francos suizos</w:t>
      </w:r>
      <w:r w:rsidRPr="00ED4DE9">
        <w:rPr>
          <w:i/>
          <w:sz w:val="20"/>
        </w:rPr>
        <w:t>)</w:t>
      </w:r>
    </w:p>
    <w:p w:rsidR="00DD333A" w:rsidRPr="003C14CD" w:rsidRDefault="00DD333A" w:rsidP="003C14CD">
      <w:pPr>
        <w:keepLines/>
        <w:rPr>
          <w:sz w:val="18"/>
          <w:highlight w:val="lightGray"/>
        </w:rPr>
      </w:pPr>
    </w:p>
    <w:p w:rsidR="00DD333A" w:rsidRPr="00DD333A" w:rsidRDefault="007E5EE2" w:rsidP="008245AE">
      <w:pPr>
        <w:keepLines/>
        <w:rPr>
          <w:sz w:val="20"/>
          <w:highlight w:val="lightGray"/>
        </w:rPr>
      </w:pPr>
      <w:r w:rsidRPr="007E5EE2">
        <w:rPr>
          <w:noProof/>
          <w:lang w:val="en-US" w:eastAsia="en-US"/>
        </w:rPr>
        <w:drawing>
          <wp:inline distT="0" distB="0" distL="0" distR="0" wp14:anchorId="70A30D88" wp14:editId="3A4AFF2F">
            <wp:extent cx="5940425" cy="897456"/>
            <wp:effectExtent l="0" t="0" r="3175"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940425" cy="897456"/>
                    </a:xfrm>
                    <a:prstGeom prst="rect">
                      <a:avLst/>
                    </a:prstGeom>
                    <a:noFill/>
                    <a:ln>
                      <a:noFill/>
                    </a:ln>
                  </pic:spPr>
                </pic:pic>
              </a:graphicData>
            </a:graphic>
          </wp:inline>
        </w:drawing>
      </w:r>
    </w:p>
    <w:p w:rsidR="003C14CD" w:rsidRPr="00ED4DE9" w:rsidRDefault="003C14CD" w:rsidP="003C14CD">
      <w:pPr>
        <w:keepLines/>
        <w:jc w:val="both"/>
        <w:rPr>
          <w:bCs/>
          <w:sz w:val="20"/>
        </w:rPr>
      </w:pPr>
    </w:p>
    <w:p w:rsidR="003C14CD" w:rsidRPr="00ED4DE9" w:rsidRDefault="003C14CD" w:rsidP="003C14CD">
      <w:pPr>
        <w:keepLines/>
        <w:spacing w:after="60"/>
        <w:rPr>
          <w:i/>
          <w:sz w:val="16"/>
          <w:szCs w:val="14"/>
        </w:rPr>
      </w:pPr>
      <w:r w:rsidRPr="00ED4DE9">
        <w:rPr>
          <w:i/>
          <w:sz w:val="16"/>
          <w:szCs w:val="14"/>
          <w:vertAlign w:val="superscript"/>
        </w:rPr>
        <w:t>1</w:t>
      </w:r>
      <w:r>
        <w:rPr>
          <w:i/>
          <w:sz w:val="16"/>
          <w:szCs w:val="14"/>
          <w:vertAlign w:val="superscript"/>
        </w:rPr>
        <w:t xml:space="preserve">  </w:t>
      </w:r>
      <w:r>
        <w:rPr>
          <w:i/>
          <w:sz w:val="16"/>
          <w:szCs w:val="14"/>
        </w:rPr>
        <w:t>En las cifras no se han incluido los intereses ni los ajustes cambiarios</w:t>
      </w:r>
      <w:r w:rsidRPr="00ED4DE9">
        <w:rPr>
          <w:i/>
          <w:sz w:val="16"/>
          <w:szCs w:val="14"/>
        </w:rPr>
        <w:t xml:space="preserve">.  </w:t>
      </w:r>
      <w:r>
        <w:rPr>
          <w:i/>
          <w:sz w:val="16"/>
          <w:szCs w:val="14"/>
        </w:rPr>
        <w:t>Cabe observar asimismo que estos fondos se destinan generalmente a actividades que cubren un período que va más allá de un solo bienio, a medida que se reciben los i</w:t>
      </w:r>
      <w:r w:rsidR="00546B32">
        <w:rPr>
          <w:i/>
          <w:sz w:val="16"/>
          <w:szCs w:val="14"/>
        </w:rPr>
        <w:t>ngresos y se incurre en</w:t>
      </w:r>
      <w:r>
        <w:rPr>
          <w:i/>
          <w:sz w:val="16"/>
          <w:szCs w:val="14"/>
        </w:rPr>
        <w:t xml:space="preserve"> gastos</w:t>
      </w:r>
      <w:r w:rsidRPr="00ED4DE9">
        <w:rPr>
          <w:i/>
          <w:sz w:val="16"/>
          <w:szCs w:val="14"/>
        </w:rPr>
        <w:t>.</w:t>
      </w:r>
    </w:p>
    <w:p w:rsidR="00044170" w:rsidRPr="003C14CD" w:rsidRDefault="003C14CD" w:rsidP="003C14CD">
      <w:pPr>
        <w:widowControl w:val="0"/>
        <w:rPr>
          <w:szCs w:val="22"/>
        </w:rPr>
      </w:pPr>
      <w:r w:rsidRPr="00ED4DE9">
        <w:rPr>
          <w:i/>
          <w:sz w:val="16"/>
          <w:szCs w:val="14"/>
          <w:vertAlign w:val="superscript"/>
        </w:rPr>
        <w:t>2</w:t>
      </w:r>
      <w:r>
        <w:rPr>
          <w:i/>
          <w:sz w:val="16"/>
          <w:szCs w:val="14"/>
          <w:vertAlign w:val="superscript"/>
        </w:rPr>
        <w:t xml:space="preserve">  </w:t>
      </w:r>
      <w:r>
        <w:rPr>
          <w:i/>
          <w:sz w:val="16"/>
          <w:szCs w:val="14"/>
        </w:rPr>
        <w:t>Estas cifras son puramente indicativas y se basan en patrones de financiación anteriores</w:t>
      </w:r>
      <w:r w:rsidRPr="00ED4DE9">
        <w:rPr>
          <w:i/>
          <w:sz w:val="16"/>
          <w:szCs w:val="14"/>
        </w:rPr>
        <w:t xml:space="preserve">.  </w:t>
      </w:r>
      <w:r>
        <w:rPr>
          <w:i/>
          <w:sz w:val="16"/>
          <w:szCs w:val="14"/>
        </w:rPr>
        <w:t>No representan los compromisos de los Estados miembros salvo cuando quedan incluidos en el acuerdo de fondos fiduciarios</w:t>
      </w:r>
      <w:r w:rsidRPr="00ED4DE9">
        <w:rPr>
          <w:i/>
          <w:sz w:val="16"/>
          <w:szCs w:val="14"/>
        </w:rPr>
        <w:t>.</w:t>
      </w:r>
      <w:r w:rsidR="00044170" w:rsidRPr="003C14CD">
        <w:rPr>
          <w:szCs w:val="22"/>
        </w:rPr>
        <w:br w:type="page"/>
      </w:r>
    </w:p>
    <w:p w:rsidR="00044170" w:rsidRPr="00F4741E" w:rsidRDefault="00044170" w:rsidP="00F12B73">
      <w:pPr>
        <w:pStyle w:val="StyleStyleHeading3ComplexItalicLatin12pt"/>
        <w:rPr>
          <w:lang w:val="es-ES"/>
        </w:rPr>
      </w:pPr>
      <w:bookmarkStart w:id="74" w:name="_Toc420681162"/>
      <w:r w:rsidRPr="00F4741E">
        <w:rPr>
          <w:lang w:val="es-ES"/>
        </w:rPr>
        <w:lastRenderedPageBreak/>
        <w:t>PROGRAMA 22</w:t>
      </w:r>
      <w:r w:rsidRPr="00F4741E">
        <w:rPr>
          <w:lang w:val="es-ES"/>
        </w:rPr>
        <w:tab/>
        <w:t>GESTIÓN DE PROGRAMAS Y RECURSOS</w:t>
      </w:r>
      <w:bookmarkEnd w:id="74"/>
    </w:p>
    <w:p w:rsidR="00044170" w:rsidRPr="00781BE0" w:rsidRDefault="00044170" w:rsidP="00F12B73"/>
    <w:p w:rsidR="00044170" w:rsidRPr="00781BE0" w:rsidRDefault="00044170" w:rsidP="00044170">
      <w:pPr>
        <w:keepNext/>
        <w:keepLines/>
        <w:tabs>
          <w:tab w:val="left" w:pos="2268"/>
        </w:tabs>
        <w:ind w:left="2268" w:hanging="2268"/>
        <w:rPr>
          <w:b/>
          <w:sz w:val="20"/>
        </w:rPr>
      </w:pPr>
    </w:p>
    <w:p w:rsidR="00044170" w:rsidRPr="00781BE0" w:rsidRDefault="00044170" w:rsidP="008245AE">
      <w:pPr>
        <w:pStyle w:val="BodyTextIndent"/>
        <w:keepNext/>
        <w:keepLines/>
        <w:spacing w:after="0"/>
        <w:ind w:left="1985" w:hanging="1985"/>
        <w:jc w:val="both"/>
        <w:rPr>
          <w:szCs w:val="22"/>
        </w:rPr>
      </w:pPr>
      <w:r w:rsidRPr="00781BE0">
        <w:rPr>
          <w:szCs w:val="22"/>
        </w:rPr>
        <w:t>CONTEXTO DE PLANIFICACIÓN</w:t>
      </w:r>
    </w:p>
    <w:p w:rsidR="00044170" w:rsidRPr="00781BE0" w:rsidRDefault="00044170" w:rsidP="00044170">
      <w:pPr>
        <w:ind w:left="6"/>
        <w:jc w:val="both"/>
        <w:rPr>
          <w:sz w:val="20"/>
        </w:rPr>
      </w:pPr>
    </w:p>
    <w:p w:rsidR="00044170" w:rsidRPr="00781BE0" w:rsidRDefault="00044170" w:rsidP="00044170">
      <w:pPr>
        <w:numPr>
          <w:ilvl w:val="0"/>
          <w:numId w:val="43"/>
        </w:numPr>
        <w:jc w:val="both"/>
        <w:rPr>
          <w:sz w:val="20"/>
        </w:rPr>
      </w:pPr>
      <w:r w:rsidRPr="00781BE0">
        <w:rPr>
          <w:sz w:val="20"/>
        </w:rPr>
        <w:t>Las incertidumbres de la economía mundial, la volatilidad de los mercados de divisas, los cambios en el entorno bancario, el modesto crecimiento de los ingresos, el incremento de los costos de personal y la creciente demanda mundial de servicios de la OMPI siguen estableciendo unas circunstancias complejas para la ejecución de este programa en el bienio 2016/17.  En el presente bienio se ha constatado la incidencia positiva de la plena implantación del enfoque de gestión por resultados, un proceso más desarrollado de gestión de riesgos y una atención más pronunciada al fortalecimiento de la gestión financiera y los controles internos.  Gracias a las mejoras en la integración de los procesos y sistemas de gestión financiera, presupuestaria y de rendimiento de los programas y de gestión de riesgos, este programa está en condiciones de poner en práctica un enfoque exhaustivo de gestión del rendimiento de la Organización que abarca principios de gestión institucional, operacional y financiera.</w:t>
      </w:r>
    </w:p>
    <w:p w:rsidR="00044170" w:rsidRPr="00781BE0" w:rsidRDefault="00044170" w:rsidP="00044170">
      <w:pPr>
        <w:rPr>
          <w:sz w:val="20"/>
        </w:rPr>
      </w:pPr>
    </w:p>
    <w:p w:rsidR="00044170" w:rsidRPr="00781BE0" w:rsidRDefault="00044170" w:rsidP="00044170">
      <w:pPr>
        <w:rPr>
          <w:sz w:val="20"/>
        </w:rPr>
      </w:pPr>
    </w:p>
    <w:p w:rsidR="00044170" w:rsidRPr="00781BE0" w:rsidRDefault="00044170" w:rsidP="00044170">
      <w:pPr>
        <w:tabs>
          <w:tab w:val="left" w:pos="567"/>
          <w:tab w:val="left" w:pos="1985"/>
        </w:tabs>
        <w:jc w:val="both"/>
        <w:rPr>
          <w:bCs/>
          <w:szCs w:val="22"/>
        </w:rPr>
      </w:pPr>
      <w:r w:rsidRPr="00781BE0">
        <w:rPr>
          <w:bCs/>
          <w:szCs w:val="22"/>
        </w:rPr>
        <w:t>ESTRATEGIAS DE EJECUCIÓN</w:t>
      </w:r>
    </w:p>
    <w:p w:rsidR="00044170" w:rsidRPr="00781BE0" w:rsidRDefault="00044170" w:rsidP="00044170">
      <w:pPr>
        <w:tabs>
          <w:tab w:val="left" w:pos="567"/>
          <w:tab w:val="left" w:pos="1985"/>
        </w:tabs>
        <w:jc w:val="both"/>
        <w:rPr>
          <w:bCs/>
          <w:sz w:val="20"/>
        </w:rPr>
      </w:pPr>
    </w:p>
    <w:p w:rsidR="00044170" w:rsidRPr="008245AE" w:rsidRDefault="00044170" w:rsidP="00044170">
      <w:pPr>
        <w:numPr>
          <w:ilvl w:val="0"/>
          <w:numId w:val="43"/>
        </w:numPr>
        <w:jc w:val="both"/>
        <w:rPr>
          <w:sz w:val="20"/>
        </w:rPr>
      </w:pPr>
      <w:r w:rsidRPr="00781BE0">
        <w:rPr>
          <w:sz w:val="20"/>
        </w:rPr>
        <w:t>Uno de los objetivos principales de las actividades durante el bienio 2016/17 será velar por que toda la serie de procesos, desde la planificación a la supervisión, evaluación y presentación de informes, tenga la misma calidad en toda la Organización, haciendo posible de esa manera que este programa preste un apoyo más adecuado al Director General y participe con los directores de programas en seguir mejorando la ejecución de los programas.  Se seguirá facilitando la ejecución de los programas gracias a las capacidades de inteligencia institucional desarrolladas recientemente que servirán para tratar los datos de los sistemas de PRI que comprenden actualmente datos financieros, de compras, rendimiento de los programas, presupuesto, recursos y humanos y los relacionados con el riesgo.  En el próximo bienio el programa ofrecerá un apoyo activo a los directores de programas para el análisis de sus actividades y modelos de ejecución con el fin de identificar oportunidades de mejorar de manera continua el rendimiento y la eficacia en función de los costos.  Esta labor comprenderá el fortalecimiento de la gestión financiera de los proyectos.</w:t>
      </w:r>
      <w:r>
        <w:rPr>
          <w:sz w:val="20"/>
        </w:rPr>
        <w:t xml:space="preserve">  </w:t>
      </w:r>
      <w:r w:rsidR="008245AE" w:rsidRPr="008245AE">
        <w:rPr>
          <w:sz w:val="20"/>
        </w:rPr>
        <w:t>Esas iniciativas</w:t>
      </w:r>
      <w:r w:rsidR="008245AE">
        <w:rPr>
          <w:sz w:val="20"/>
        </w:rPr>
        <w:t xml:space="preserve"> </w:t>
      </w:r>
      <w:r w:rsidR="00BE6047">
        <w:rPr>
          <w:sz w:val="20"/>
        </w:rPr>
        <w:t xml:space="preserve">permitirán acentuar aún más </w:t>
      </w:r>
      <w:r w:rsidR="008245AE">
        <w:rPr>
          <w:sz w:val="20"/>
        </w:rPr>
        <w:t>el grado de madurez de la Organización en la gestión por resultados</w:t>
      </w:r>
      <w:r w:rsidRPr="008245AE">
        <w:rPr>
          <w:sz w:val="20"/>
        </w:rPr>
        <w:t>.</w:t>
      </w:r>
    </w:p>
    <w:p w:rsidR="00044170" w:rsidRPr="00984EFC" w:rsidRDefault="00044170" w:rsidP="00044170">
      <w:pPr>
        <w:ind w:left="6"/>
        <w:jc w:val="both"/>
        <w:rPr>
          <w:sz w:val="20"/>
          <w:lang w:val="es-ES_tradnl"/>
        </w:rPr>
      </w:pPr>
    </w:p>
    <w:p w:rsidR="00044170" w:rsidRPr="00984EFC" w:rsidRDefault="00044170" w:rsidP="00044170">
      <w:pPr>
        <w:numPr>
          <w:ilvl w:val="0"/>
          <w:numId w:val="43"/>
        </w:numPr>
        <w:jc w:val="both"/>
        <w:rPr>
          <w:sz w:val="20"/>
          <w:lang w:val="es-ES_tradnl"/>
        </w:rPr>
      </w:pPr>
      <w:r w:rsidRPr="00BE6047">
        <w:rPr>
          <w:sz w:val="20"/>
        </w:rPr>
        <w:t xml:space="preserve">Entre las prioridades del programa figurará el continuo perfeccionamiento de los procesos de previsión y gestión de ingresos de la OMPI, así como de seguimiento de los gastos.  Esta labor conllevará seguir colaborando con los programas que generan ingresos para seguir conociendo mejor las pautas de pago respecto de las tasas PCT recibidas de las Oficinas receptoras y mejorar los procesos y la prestación de servicios al cliente </w:t>
      </w:r>
      <w:r w:rsidR="00BE6047">
        <w:rPr>
          <w:sz w:val="20"/>
        </w:rPr>
        <w:t>en lo relativo a</w:t>
      </w:r>
      <w:r w:rsidRPr="00BE6047">
        <w:rPr>
          <w:sz w:val="20"/>
        </w:rPr>
        <w:t xml:space="preserve"> las tasas del Sistema de Madrid.</w:t>
      </w:r>
      <w:r w:rsidR="00BE6047">
        <w:rPr>
          <w:sz w:val="20"/>
        </w:rPr>
        <w:t xml:space="preserve">  En el marco del programa se efectuará el seguimiento, en colaboración con el programa 5, de las decisiones que adopten los Estados miembros para cubrirse del riesgo cambiario asociado a las tasas del PCT.  </w:t>
      </w:r>
      <w:r w:rsidRPr="00BE6047">
        <w:rPr>
          <w:sz w:val="20"/>
        </w:rPr>
        <w:t xml:space="preserve">  </w:t>
      </w:r>
      <w:r w:rsidRPr="00BE6047">
        <w:rPr>
          <w:sz w:val="20"/>
          <w:lang w:val="es-ES_tradnl"/>
        </w:rPr>
        <w:t xml:space="preserve">Está previsto que estas iniciativas sigan fortaleciendo la gestión de riesgos financieros.  </w:t>
      </w:r>
      <w:r w:rsidRPr="00BE6047">
        <w:rPr>
          <w:sz w:val="20"/>
        </w:rPr>
        <w:t>El próximo bienio se caracterizará por varios cambios en el ámbito bancario y de inversiones habida cuenta de que al final de diciembre de 2015 finalizará el ventajoso acuerdo financiero que ofrece actualmente a la OMPI el Departamento Federal Suizo de Finanzas y la introducción de tipos de interés negativos en los depósitos en francos suizos.  Por lo tanto, el programa tendrá que velar por adoptar un enfoque más activo de planificación y gestión de inversiones que resulte no obstante prudente, bajo la orientación de una política revisada de inversiones aprobada por los Estados miembros.</w:t>
      </w:r>
      <w:r w:rsidR="00BE6047">
        <w:rPr>
          <w:sz w:val="20"/>
        </w:rPr>
        <w:t xml:space="preserve">  Además, el programa velará, en colaboración con el programa 23 (Gestión y desarrollo de los recursos humanos), por que se efectúe una supervisión estrecha de los gastos de personal</w:t>
      </w:r>
      <w:r w:rsidR="00150F07">
        <w:rPr>
          <w:sz w:val="20"/>
        </w:rPr>
        <w:t xml:space="preserve"> de cara a su contención de conformidad con el plan.</w:t>
      </w:r>
    </w:p>
    <w:p w:rsidR="00044170" w:rsidRPr="00984EFC" w:rsidRDefault="00044170" w:rsidP="00044170">
      <w:pPr>
        <w:tabs>
          <w:tab w:val="left" w:pos="567"/>
          <w:tab w:val="left" w:pos="1985"/>
        </w:tabs>
        <w:jc w:val="both"/>
        <w:rPr>
          <w:bCs/>
          <w:sz w:val="20"/>
          <w:lang w:val="es-ES_tradnl"/>
        </w:rPr>
      </w:pPr>
    </w:p>
    <w:p w:rsidR="00044170" w:rsidRPr="00781BE0" w:rsidRDefault="00044170" w:rsidP="00044170">
      <w:pPr>
        <w:numPr>
          <w:ilvl w:val="0"/>
          <w:numId w:val="43"/>
        </w:numPr>
        <w:jc w:val="both"/>
        <w:rPr>
          <w:sz w:val="20"/>
        </w:rPr>
      </w:pPr>
      <w:r w:rsidRPr="00781BE0">
        <w:rPr>
          <w:sz w:val="20"/>
        </w:rPr>
        <w:t xml:space="preserve">El programa seguirá asumiendo como parte de las operaciones la implantación de nuevos módulos y capacidades del sistema de PRI que conlleven la necesidad de respaldar y sostener un sistema de PRI plenamente integrado de manera eficaz en función de los costos y orientado a los servicios.  La subcontratación de la labor de apoyo, mantenimiento y desarrollo técnico en el marco de un marco sólido de gestión y control de calidad seguirá siendo una estrategia esencial.  La puesta en práctica del sistema de planificación de los recursos institucionales y de mejores capacidades para la presentación de informes representa una gran oportunidad para sistematizar el uso de los instrumentos de análisis y la información institucional para fundamentar las decisiones que deban adoptarse en materia de programas y de gestión de recursos.  Un sistema de presentación de informes mejorado también permitirá que en el marco del programa se evalúe y se siga reforzando los controles donde sea necesario.  La puesta en práctica de la cartera de proyectos del PRI, la entrada en funcionamiento de los </w:t>
      </w:r>
      <w:r w:rsidRPr="00781BE0">
        <w:rPr>
          <w:sz w:val="20"/>
        </w:rPr>
        <w:lastRenderedPageBreak/>
        <w:t>sistemas implantados y una mayor atención al seguimiento y evaluación de los beneficios garantizarán la continuidad del valor generado por la cartera de proyectos.</w:t>
      </w:r>
    </w:p>
    <w:p w:rsidR="00044170" w:rsidRPr="00781BE0" w:rsidRDefault="00044170" w:rsidP="00044170">
      <w:pPr>
        <w:rPr>
          <w:sz w:val="20"/>
        </w:rPr>
      </w:pPr>
    </w:p>
    <w:p w:rsidR="00044170" w:rsidRPr="00781BE0" w:rsidRDefault="00044170" w:rsidP="00044170">
      <w:pPr>
        <w:numPr>
          <w:ilvl w:val="0"/>
          <w:numId w:val="43"/>
        </w:numPr>
        <w:jc w:val="both"/>
        <w:rPr>
          <w:sz w:val="20"/>
        </w:rPr>
      </w:pPr>
      <w:r w:rsidRPr="00781BE0">
        <w:rPr>
          <w:sz w:val="20"/>
        </w:rPr>
        <w:t>En el bienio presente se han desarrollado notablemente la cultura y los procesos de gestión de riesgos de la Organización.  Teniendo como base esa situación, el programa seguirá facilitando la labor del Grupo de Gestión de Riesgos mediante el examen y la supervisión de riesgos esenciales e institucionales, así como mediante la presentación sistemática de informes sobre riesgos y el apoyo al proceso de gestión de riesgos en toda la Organización.  El programa prestará gran atención a fomentar visiblemente el desarrollo del sistema de control interno de la Organización.  En este contexto, proseguirán los esfuerzos para que quede constancia de los procesos esenciales de control, se fomente la sensibilización acerca de las circunstancias que rodean la labor de control y de los controles esenciales, se mejore el apoyo que se ofrece al sistema de control mediante la información y los análisis de los sistemas de PRI y se evalúe de manera constante la efectividad de los controles esenciales.  El programa otorgará carácter prioritario al diálogo establecido de manera continua con los órganos de auditoría y supervisión y al seguimiento sistemático de todas las recomendaciones pendientes.</w:t>
      </w:r>
    </w:p>
    <w:p w:rsidR="00044170" w:rsidRPr="00781BE0" w:rsidRDefault="00044170" w:rsidP="00044170">
      <w:pPr>
        <w:ind w:left="6"/>
        <w:jc w:val="both"/>
        <w:rPr>
          <w:sz w:val="20"/>
        </w:rPr>
      </w:pPr>
    </w:p>
    <w:p w:rsidR="00044170" w:rsidRPr="00781BE0" w:rsidRDefault="00044170" w:rsidP="00044170">
      <w:pPr>
        <w:ind w:left="6"/>
        <w:jc w:val="both"/>
        <w:rPr>
          <w:sz w:val="20"/>
        </w:rPr>
      </w:pPr>
    </w:p>
    <w:p w:rsidR="00044170" w:rsidRPr="00781BE0" w:rsidRDefault="00044170" w:rsidP="00044170">
      <w:pPr>
        <w:jc w:val="both"/>
        <w:rPr>
          <w:sz w:val="28"/>
          <w:szCs w:val="28"/>
        </w:rPr>
      </w:pPr>
      <w:r w:rsidRPr="00781BE0">
        <w:rPr>
          <w:szCs w:val="22"/>
        </w:rPr>
        <w:t xml:space="preserve">PRINCIPALES RIESGOS Y ESTRATEGIAS DE MITIGACIÓN </w:t>
      </w:r>
    </w:p>
    <w:p w:rsidR="00044170" w:rsidRPr="00781BE0" w:rsidRDefault="00044170" w:rsidP="00044170">
      <w:pPr>
        <w:rPr>
          <w:sz w:val="20"/>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245"/>
      </w:tblGrid>
      <w:tr w:rsidR="00044170" w:rsidRPr="00781BE0" w:rsidTr="00150F07">
        <w:trPr>
          <w:trHeight w:val="577"/>
        </w:trPr>
        <w:tc>
          <w:tcPr>
            <w:tcW w:w="4111" w:type="dxa"/>
            <w:tcBorders>
              <w:top w:val="single" w:sz="4" w:space="0" w:color="auto"/>
              <w:bottom w:val="single" w:sz="4" w:space="0" w:color="auto"/>
            </w:tcBorders>
            <w:shd w:val="clear" w:color="auto" w:fill="C6D9F1"/>
            <w:vAlign w:val="center"/>
          </w:tcPr>
          <w:p w:rsidR="00044170" w:rsidRPr="00781BE0" w:rsidRDefault="00044170" w:rsidP="00D26095">
            <w:pPr>
              <w:jc w:val="center"/>
              <w:rPr>
                <w:b/>
                <w:bCs/>
                <w:sz w:val="18"/>
                <w:szCs w:val="18"/>
              </w:rPr>
            </w:pPr>
            <w:r w:rsidRPr="00781BE0">
              <w:rPr>
                <w:b/>
                <w:bCs/>
                <w:sz w:val="18"/>
                <w:szCs w:val="18"/>
              </w:rPr>
              <w:t>Riesgo</w:t>
            </w:r>
          </w:p>
        </w:tc>
        <w:tc>
          <w:tcPr>
            <w:tcW w:w="5245" w:type="dxa"/>
            <w:tcBorders>
              <w:top w:val="single" w:sz="4" w:space="0" w:color="auto"/>
              <w:bottom w:val="single" w:sz="4" w:space="0" w:color="auto"/>
            </w:tcBorders>
            <w:shd w:val="clear" w:color="auto" w:fill="C6D9F1"/>
            <w:vAlign w:val="center"/>
          </w:tcPr>
          <w:p w:rsidR="00044170" w:rsidRPr="00781BE0" w:rsidRDefault="00044170" w:rsidP="00D26095">
            <w:pPr>
              <w:jc w:val="center"/>
              <w:rPr>
                <w:b/>
                <w:bCs/>
                <w:sz w:val="18"/>
                <w:szCs w:val="18"/>
              </w:rPr>
            </w:pPr>
            <w:r w:rsidRPr="00781BE0">
              <w:rPr>
                <w:b/>
                <w:bCs/>
                <w:sz w:val="18"/>
                <w:szCs w:val="18"/>
              </w:rPr>
              <w:t>Mitigación</w:t>
            </w:r>
          </w:p>
        </w:tc>
      </w:tr>
      <w:tr w:rsidR="00044170" w:rsidRPr="00781BE0" w:rsidTr="00D26095">
        <w:trPr>
          <w:trHeight w:val="1101"/>
        </w:trPr>
        <w:tc>
          <w:tcPr>
            <w:tcW w:w="4111" w:type="dxa"/>
            <w:tcBorders>
              <w:top w:val="single" w:sz="4" w:space="0" w:color="auto"/>
            </w:tcBorders>
            <w:shd w:val="clear" w:color="auto" w:fill="auto"/>
            <w:tcMar>
              <w:top w:w="113" w:type="dxa"/>
              <w:bottom w:w="113" w:type="dxa"/>
            </w:tcMar>
          </w:tcPr>
          <w:p w:rsidR="00044170" w:rsidRPr="00781BE0" w:rsidRDefault="00044170" w:rsidP="00D26095">
            <w:pPr>
              <w:rPr>
                <w:sz w:val="16"/>
                <w:szCs w:val="16"/>
              </w:rPr>
            </w:pPr>
            <w:r w:rsidRPr="00781BE0">
              <w:rPr>
                <w:sz w:val="16"/>
                <w:szCs w:val="16"/>
              </w:rPr>
              <w:t>Los niveles de ingresos podrían ser bastante inferiores a los previstos.  Esta circunstancia, unida a la incapacidad para reaccionar rápidamente a fin de reducir gastos a un nivel adecuado, podría acarrear un déficit y repercutir negativamente en la ejecución de los programas.</w:t>
            </w:r>
          </w:p>
        </w:tc>
        <w:tc>
          <w:tcPr>
            <w:tcW w:w="5245" w:type="dxa"/>
            <w:tcBorders>
              <w:top w:val="single" w:sz="4" w:space="0" w:color="auto"/>
            </w:tcBorders>
            <w:shd w:val="clear" w:color="auto" w:fill="auto"/>
            <w:tcMar>
              <w:top w:w="113" w:type="dxa"/>
              <w:bottom w:w="113" w:type="dxa"/>
            </w:tcMar>
          </w:tcPr>
          <w:p w:rsidR="00044170" w:rsidRPr="00984EFC" w:rsidRDefault="00044170" w:rsidP="00D26095">
            <w:pPr>
              <w:rPr>
                <w:sz w:val="16"/>
                <w:szCs w:val="16"/>
                <w:lang w:val="es-ES_tradnl"/>
              </w:rPr>
            </w:pPr>
            <w:r w:rsidRPr="00150F07">
              <w:rPr>
                <w:sz w:val="16"/>
                <w:szCs w:val="16"/>
              </w:rPr>
              <w:t xml:space="preserve">La Organización mantiene </w:t>
            </w:r>
            <w:r w:rsidR="00150F07" w:rsidRPr="00150F07">
              <w:rPr>
                <w:sz w:val="16"/>
                <w:szCs w:val="16"/>
              </w:rPr>
              <w:t xml:space="preserve">actualmente </w:t>
            </w:r>
            <w:r w:rsidRPr="00150F07">
              <w:rPr>
                <w:sz w:val="16"/>
                <w:szCs w:val="16"/>
              </w:rPr>
              <w:t>un nivel de reservas adecuado (alrededor del 18% del presupuesto bienal) para poder hacer frente a una posible disminución de los ingresos</w:t>
            </w:r>
            <w:r w:rsidR="00150F07" w:rsidRPr="00150F07">
              <w:rPr>
                <w:sz w:val="16"/>
                <w:szCs w:val="16"/>
              </w:rPr>
              <w:t>.  El aumento de las reservas específicas contribuirá a mitigar ese riego</w:t>
            </w:r>
            <w:r w:rsidRPr="00150F07">
              <w:rPr>
                <w:sz w:val="16"/>
                <w:szCs w:val="16"/>
              </w:rPr>
              <w:t xml:space="preserve">.  </w:t>
            </w:r>
          </w:p>
          <w:p w:rsidR="00044170" w:rsidRPr="00984EFC" w:rsidRDefault="00044170" w:rsidP="00D26095">
            <w:pPr>
              <w:rPr>
                <w:sz w:val="16"/>
                <w:szCs w:val="16"/>
                <w:lang w:val="es-ES_tradnl"/>
              </w:rPr>
            </w:pPr>
          </w:p>
          <w:p w:rsidR="00044170" w:rsidRPr="00150F07" w:rsidRDefault="00044170" w:rsidP="00D26095">
            <w:pPr>
              <w:rPr>
                <w:sz w:val="16"/>
                <w:szCs w:val="16"/>
              </w:rPr>
            </w:pPr>
            <w:r w:rsidRPr="00150F07">
              <w:rPr>
                <w:sz w:val="16"/>
                <w:szCs w:val="16"/>
              </w:rPr>
              <w:t>La Secretaría actualiza trimestralmente las previsiones de ingresos y supervisa estrechamente los ingresos y los gastos.</w:t>
            </w:r>
          </w:p>
        </w:tc>
      </w:tr>
      <w:tr w:rsidR="00044170" w:rsidRPr="00781BE0" w:rsidTr="00D26095">
        <w:trPr>
          <w:trHeight w:val="1188"/>
        </w:trPr>
        <w:tc>
          <w:tcPr>
            <w:tcW w:w="4111" w:type="dxa"/>
            <w:shd w:val="clear" w:color="auto" w:fill="auto"/>
            <w:tcMar>
              <w:top w:w="113" w:type="dxa"/>
              <w:bottom w:w="113" w:type="dxa"/>
            </w:tcMar>
          </w:tcPr>
          <w:p w:rsidR="00044170" w:rsidRPr="00781BE0" w:rsidRDefault="00044170" w:rsidP="00D26095">
            <w:pPr>
              <w:rPr>
                <w:sz w:val="16"/>
                <w:szCs w:val="16"/>
              </w:rPr>
            </w:pPr>
            <w:r w:rsidRPr="00781BE0">
              <w:rPr>
                <w:sz w:val="16"/>
                <w:szCs w:val="16"/>
              </w:rPr>
              <w:t>En el contexto de una Organización con aversión al riesgo y del cambio en la política del Banco Nacional Suizo en relación con la gestión de las cuentas de las organizaciones internacionales, se puede producir el riesgo de que aumenten los gastos así como de que se reduzcan los activos netos (reservas) debido a:  i) tipos de interés negativos, ii) cargas adicionales por colocaciones múltiples y iii) falta de garantía plena de capital para cubrir los activos líquidos que será necesario colocar en varios bancos comerciales de calificación inferior.</w:t>
            </w:r>
          </w:p>
        </w:tc>
        <w:tc>
          <w:tcPr>
            <w:tcW w:w="5245" w:type="dxa"/>
            <w:shd w:val="clear" w:color="auto" w:fill="auto"/>
            <w:tcMar>
              <w:top w:w="113" w:type="dxa"/>
              <w:bottom w:w="113" w:type="dxa"/>
            </w:tcMar>
          </w:tcPr>
          <w:p w:rsidR="00044170" w:rsidRPr="00044170" w:rsidRDefault="00044170" w:rsidP="00150F07">
            <w:pPr>
              <w:rPr>
                <w:sz w:val="16"/>
                <w:szCs w:val="16"/>
                <w:highlight w:val="lightGray"/>
              </w:rPr>
            </w:pPr>
            <w:r w:rsidRPr="00150F07">
              <w:rPr>
                <w:sz w:val="16"/>
                <w:szCs w:val="16"/>
              </w:rPr>
              <w:t xml:space="preserve">La aprobación por los Estados miembros de una nueva política de inversiones i) posibilitará a la Organización colocar sus activos líquidos en instituciones financieras que tienen una calificación inferior a la del Banco Nacional Suizo y ii) hará posible que se inviertan los activos líquidos de la Organización para obtener </w:t>
            </w:r>
            <w:r w:rsidR="00150F07">
              <w:rPr>
                <w:sz w:val="16"/>
                <w:szCs w:val="16"/>
              </w:rPr>
              <w:t>algo de rendimiento</w:t>
            </w:r>
            <w:r w:rsidRPr="00150F07">
              <w:rPr>
                <w:sz w:val="16"/>
                <w:szCs w:val="16"/>
              </w:rPr>
              <w:t>, en caso de que se acepte la posibilidad de que se produzcan pérdidas limitadas</w:t>
            </w:r>
            <w:r w:rsidR="00150F07">
              <w:rPr>
                <w:sz w:val="16"/>
                <w:szCs w:val="16"/>
              </w:rPr>
              <w:t xml:space="preserve"> y iii) permitirá que se inviertan, de forma que generen una tasa positiva de rentabilidad a largo plazo, los fondos de la Organización destinados a las prestaciones de seguro médico después de la separación del servicio.</w:t>
            </w:r>
          </w:p>
        </w:tc>
      </w:tr>
    </w:tbl>
    <w:p w:rsidR="00044170" w:rsidRPr="00781BE0" w:rsidRDefault="00044170" w:rsidP="00044170">
      <w:pPr>
        <w:tabs>
          <w:tab w:val="left" w:pos="567"/>
          <w:tab w:val="left" w:pos="1985"/>
        </w:tabs>
        <w:jc w:val="both"/>
        <w:rPr>
          <w:bCs/>
          <w:sz w:val="20"/>
        </w:rPr>
      </w:pPr>
    </w:p>
    <w:p w:rsidR="00044170" w:rsidRPr="00781BE0" w:rsidRDefault="00044170" w:rsidP="00044170">
      <w:pPr>
        <w:tabs>
          <w:tab w:val="left" w:pos="567"/>
          <w:tab w:val="left" w:pos="1985"/>
        </w:tabs>
        <w:jc w:val="both"/>
        <w:rPr>
          <w:bCs/>
          <w:sz w:val="20"/>
        </w:rPr>
      </w:pPr>
    </w:p>
    <w:p w:rsidR="00044170" w:rsidRPr="00781BE0" w:rsidRDefault="00044170" w:rsidP="00044170">
      <w:pPr>
        <w:tabs>
          <w:tab w:val="left" w:pos="567"/>
          <w:tab w:val="left" w:pos="1985"/>
        </w:tabs>
        <w:jc w:val="both"/>
        <w:rPr>
          <w:bCs/>
          <w:szCs w:val="22"/>
        </w:rPr>
      </w:pPr>
      <w:r w:rsidRPr="00781BE0">
        <w:rPr>
          <w:bCs/>
          <w:szCs w:val="22"/>
        </w:rPr>
        <w:t>MARCO DE RESULTADOS</w:t>
      </w:r>
    </w:p>
    <w:p w:rsidR="00044170" w:rsidRPr="00781BE0" w:rsidRDefault="00044170" w:rsidP="00044170">
      <w:pPr>
        <w:tabs>
          <w:tab w:val="left" w:pos="567"/>
          <w:tab w:val="left" w:pos="1985"/>
        </w:tabs>
        <w:jc w:val="both"/>
        <w:rPr>
          <w:bCs/>
          <w:szCs w:val="22"/>
        </w:rPr>
      </w:pPr>
    </w:p>
    <w:tbl>
      <w:tblPr>
        <w:tblW w:w="9371" w:type="dxa"/>
        <w:tblInd w:w="93" w:type="dxa"/>
        <w:tblLook w:val="04A0" w:firstRow="1" w:lastRow="0" w:firstColumn="1" w:lastColumn="0" w:noHBand="0" w:noVBand="1"/>
      </w:tblPr>
      <w:tblGrid>
        <w:gridCol w:w="2320"/>
        <w:gridCol w:w="2320"/>
        <w:gridCol w:w="2420"/>
        <w:gridCol w:w="2311"/>
      </w:tblGrid>
      <w:tr w:rsidR="00044170" w:rsidRPr="00781BE0" w:rsidTr="00150F07">
        <w:trPr>
          <w:trHeight w:val="465"/>
          <w:tblHeader/>
        </w:trPr>
        <w:tc>
          <w:tcPr>
            <w:tcW w:w="2320" w:type="dxa"/>
            <w:tcBorders>
              <w:top w:val="single" w:sz="4" w:space="0" w:color="auto"/>
              <w:left w:val="single" w:sz="4" w:space="0" w:color="auto"/>
              <w:bottom w:val="single" w:sz="4" w:space="0" w:color="auto"/>
              <w:right w:val="nil"/>
            </w:tcBorders>
            <w:shd w:val="clear" w:color="auto" w:fill="C6D9F1"/>
            <w:tcMar>
              <w:top w:w="85" w:type="dxa"/>
            </w:tcMar>
            <w:vAlign w:val="center"/>
            <w:hideMark/>
          </w:tcPr>
          <w:p w:rsidR="00044170" w:rsidRPr="00781BE0" w:rsidRDefault="00044170" w:rsidP="00D26095">
            <w:pPr>
              <w:jc w:val="center"/>
              <w:rPr>
                <w:b/>
                <w:bCs/>
                <w:sz w:val="18"/>
                <w:szCs w:val="18"/>
              </w:rPr>
            </w:pPr>
            <w:r w:rsidRPr="00781BE0">
              <w:rPr>
                <w:b/>
                <w:bCs/>
                <w:sz w:val="18"/>
                <w:szCs w:val="18"/>
              </w:rPr>
              <w:t>Resultados previstos</w:t>
            </w:r>
          </w:p>
        </w:tc>
        <w:tc>
          <w:tcPr>
            <w:tcW w:w="2320" w:type="dxa"/>
            <w:tcBorders>
              <w:top w:val="single" w:sz="4" w:space="0" w:color="auto"/>
              <w:left w:val="nil"/>
              <w:bottom w:val="single" w:sz="4" w:space="0" w:color="auto"/>
              <w:right w:val="nil"/>
            </w:tcBorders>
            <w:shd w:val="clear" w:color="auto" w:fill="C6D9F1"/>
            <w:tcMar>
              <w:top w:w="85" w:type="dxa"/>
            </w:tcMar>
            <w:vAlign w:val="center"/>
            <w:hideMark/>
          </w:tcPr>
          <w:p w:rsidR="00044170" w:rsidRPr="00781BE0" w:rsidRDefault="00044170" w:rsidP="00D26095">
            <w:pPr>
              <w:jc w:val="center"/>
              <w:rPr>
                <w:b/>
                <w:bCs/>
                <w:sz w:val="18"/>
                <w:szCs w:val="18"/>
              </w:rPr>
            </w:pPr>
            <w:r w:rsidRPr="00781BE0">
              <w:rPr>
                <w:b/>
                <w:bCs/>
                <w:sz w:val="18"/>
                <w:szCs w:val="18"/>
              </w:rPr>
              <w:t>Indicadores de rendimiento</w:t>
            </w:r>
          </w:p>
        </w:tc>
        <w:tc>
          <w:tcPr>
            <w:tcW w:w="2420" w:type="dxa"/>
            <w:tcBorders>
              <w:top w:val="single" w:sz="4" w:space="0" w:color="auto"/>
              <w:left w:val="nil"/>
              <w:bottom w:val="single" w:sz="4" w:space="0" w:color="auto"/>
              <w:right w:val="nil"/>
            </w:tcBorders>
            <w:shd w:val="clear" w:color="auto" w:fill="C6D9F1"/>
            <w:tcMar>
              <w:top w:w="85" w:type="dxa"/>
            </w:tcMar>
            <w:vAlign w:val="center"/>
            <w:hideMark/>
          </w:tcPr>
          <w:p w:rsidR="00044170" w:rsidRPr="00781BE0" w:rsidRDefault="00044170" w:rsidP="00D26095">
            <w:pPr>
              <w:jc w:val="center"/>
              <w:rPr>
                <w:b/>
                <w:bCs/>
                <w:sz w:val="18"/>
                <w:szCs w:val="18"/>
              </w:rPr>
            </w:pPr>
            <w:r w:rsidRPr="00781BE0">
              <w:rPr>
                <w:b/>
                <w:bCs/>
                <w:sz w:val="18"/>
                <w:szCs w:val="18"/>
              </w:rPr>
              <w:t>Referencia</w:t>
            </w:r>
          </w:p>
        </w:tc>
        <w:tc>
          <w:tcPr>
            <w:tcW w:w="2311" w:type="dxa"/>
            <w:tcBorders>
              <w:top w:val="single" w:sz="4" w:space="0" w:color="auto"/>
              <w:left w:val="nil"/>
              <w:bottom w:val="single" w:sz="4" w:space="0" w:color="auto"/>
              <w:right w:val="single" w:sz="4" w:space="0" w:color="auto"/>
            </w:tcBorders>
            <w:shd w:val="clear" w:color="auto" w:fill="C6D9F1"/>
            <w:tcMar>
              <w:top w:w="85" w:type="dxa"/>
            </w:tcMar>
            <w:vAlign w:val="center"/>
            <w:hideMark/>
          </w:tcPr>
          <w:p w:rsidR="00044170" w:rsidRPr="00781BE0" w:rsidRDefault="00044170" w:rsidP="00D26095">
            <w:pPr>
              <w:jc w:val="center"/>
              <w:rPr>
                <w:b/>
                <w:bCs/>
                <w:sz w:val="18"/>
                <w:szCs w:val="18"/>
              </w:rPr>
            </w:pPr>
            <w:r w:rsidRPr="00781BE0">
              <w:rPr>
                <w:b/>
                <w:bCs/>
                <w:sz w:val="18"/>
                <w:szCs w:val="18"/>
              </w:rPr>
              <w:t>Objetivos</w:t>
            </w:r>
          </w:p>
        </w:tc>
      </w:tr>
      <w:tr w:rsidR="00044170" w:rsidRPr="00781BE0" w:rsidTr="004C05E1">
        <w:trPr>
          <w:trHeight w:val="1593"/>
        </w:trPr>
        <w:tc>
          <w:tcPr>
            <w:tcW w:w="2320" w:type="dxa"/>
            <w:tcBorders>
              <w:top w:val="single" w:sz="4" w:space="0" w:color="auto"/>
              <w:left w:val="single" w:sz="4" w:space="0" w:color="auto"/>
              <w:right w:val="nil"/>
            </w:tcBorders>
            <w:shd w:val="clear" w:color="000000" w:fill="FFFFFF"/>
            <w:tcMar>
              <w:top w:w="85" w:type="dxa"/>
            </w:tcMar>
            <w:hideMark/>
          </w:tcPr>
          <w:p w:rsidR="00044170" w:rsidRPr="00781BE0" w:rsidRDefault="00044170" w:rsidP="00532057">
            <w:pPr>
              <w:rPr>
                <w:sz w:val="16"/>
                <w:szCs w:val="16"/>
              </w:rPr>
            </w:pPr>
            <w:r w:rsidRPr="00781BE0">
              <w:rPr>
                <w:sz w:val="16"/>
                <w:szCs w:val="16"/>
              </w:rPr>
              <w:t>IX.</w:t>
            </w:r>
            <w:r w:rsidRPr="00150F07">
              <w:rPr>
                <w:sz w:val="16"/>
                <w:szCs w:val="16"/>
              </w:rPr>
              <w:t>1</w:t>
            </w:r>
            <w:r w:rsidR="00532057" w:rsidRPr="00150F07">
              <w:rPr>
                <w:sz w:val="16"/>
                <w:szCs w:val="16"/>
              </w:rPr>
              <w:t xml:space="preserve">  </w:t>
            </w:r>
            <w:r w:rsidR="00532057" w:rsidRPr="00150F07">
              <w:rPr>
                <w:sz w:val="16"/>
                <w:szCs w:val="16"/>
                <w:lang w:val="es-ES_tradnl"/>
              </w:rPr>
              <w:t>Servicios de apoyo eficaces, eficientes, de calidad y orientados al cliente, tanto a los usuarios internos como a las partes interesadas externas</w:t>
            </w:r>
          </w:p>
        </w:tc>
        <w:tc>
          <w:tcPr>
            <w:tcW w:w="2320" w:type="dxa"/>
            <w:tcBorders>
              <w:top w:val="single" w:sz="4" w:space="0" w:color="auto"/>
              <w:left w:val="nil"/>
              <w:right w:val="nil"/>
            </w:tcBorders>
            <w:shd w:val="clear" w:color="000000" w:fill="FFFFFF"/>
            <w:tcMar>
              <w:top w:w="85" w:type="dxa"/>
            </w:tcMar>
            <w:hideMark/>
          </w:tcPr>
          <w:p w:rsidR="00044170" w:rsidRPr="00781BE0" w:rsidRDefault="00044170" w:rsidP="004C05E1">
            <w:pPr>
              <w:rPr>
                <w:sz w:val="16"/>
                <w:szCs w:val="16"/>
              </w:rPr>
            </w:pPr>
            <w:r w:rsidRPr="00781BE0">
              <w:rPr>
                <w:sz w:val="16"/>
                <w:szCs w:val="16"/>
              </w:rPr>
              <w:t xml:space="preserve">Suministro de informes y análisis financieros y de </w:t>
            </w:r>
            <w:proofErr w:type="gramStart"/>
            <w:r w:rsidRPr="00781BE0">
              <w:rPr>
                <w:sz w:val="16"/>
                <w:szCs w:val="16"/>
              </w:rPr>
              <w:t>gestión solicitados</w:t>
            </w:r>
            <w:proofErr w:type="gramEnd"/>
            <w:r w:rsidRPr="00781BE0">
              <w:rPr>
                <w:sz w:val="16"/>
                <w:szCs w:val="16"/>
              </w:rPr>
              <w:t xml:space="preserve"> por el personal directivo superior, los directores de programas y los Estados miembros, con arreglo a los plazos acordados.</w:t>
            </w:r>
          </w:p>
        </w:tc>
        <w:tc>
          <w:tcPr>
            <w:tcW w:w="2420" w:type="dxa"/>
            <w:tcBorders>
              <w:top w:val="single" w:sz="4" w:space="0" w:color="auto"/>
              <w:left w:val="nil"/>
              <w:right w:val="nil"/>
            </w:tcBorders>
            <w:shd w:val="clear" w:color="000000" w:fill="FFFFFF"/>
            <w:tcMar>
              <w:top w:w="85" w:type="dxa"/>
            </w:tcMar>
            <w:hideMark/>
          </w:tcPr>
          <w:p w:rsidR="00044170" w:rsidRPr="00781BE0" w:rsidRDefault="00044170" w:rsidP="004C05E1">
            <w:pPr>
              <w:ind w:left="87"/>
              <w:rPr>
                <w:sz w:val="16"/>
                <w:szCs w:val="16"/>
              </w:rPr>
            </w:pPr>
            <w:r w:rsidRPr="00781BE0">
              <w:rPr>
                <w:sz w:val="16"/>
                <w:szCs w:val="16"/>
              </w:rPr>
              <w:t>El cierre mensual finaliza 10 días laborables después del final de mes (salvo en enero, cuando el cierre se determina por los avances en el cierre anual).</w:t>
            </w:r>
          </w:p>
        </w:tc>
        <w:tc>
          <w:tcPr>
            <w:tcW w:w="2311" w:type="dxa"/>
            <w:tcBorders>
              <w:top w:val="single" w:sz="4" w:space="0" w:color="auto"/>
              <w:left w:val="nil"/>
              <w:right w:val="single" w:sz="4" w:space="0" w:color="auto"/>
            </w:tcBorders>
            <w:shd w:val="clear" w:color="000000" w:fill="FFFFFF"/>
            <w:tcMar>
              <w:top w:w="85" w:type="dxa"/>
            </w:tcMar>
            <w:hideMark/>
          </w:tcPr>
          <w:p w:rsidR="00044170" w:rsidRPr="00781BE0" w:rsidRDefault="00044170" w:rsidP="004C05E1">
            <w:pPr>
              <w:keepNext/>
              <w:keepLines/>
              <w:ind w:left="77"/>
              <w:rPr>
                <w:sz w:val="16"/>
                <w:szCs w:val="16"/>
              </w:rPr>
            </w:pPr>
            <w:r w:rsidRPr="00781BE0">
              <w:rPr>
                <w:sz w:val="16"/>
                <w:szCs w:val="16"/>
              </w:rPr>
              <w:t>Igual a la referencia de base.</w:t>
            </w:r>
          </w:p>
        </w:tc>
      </w:tr>
      <w:tr w:rsidR="00044170" w:rsidRPr="00781BE0" w:rsidTr="004C05E1">
        <w:trPr>
          <w:trHeight w:val="635"/>
        </w:trPr>
        <w:tc>
          <w:tcPr>
            <w:tcW w:w="2320" w:type="dxa"/>
            <w:tcBorders>
              <w:top w:val="nil"/>
              <w:left w:val="single" w:sz="4" w:space="0" w:color="auto"/>
              <w:right w:val="nil"/>
            </w:tcBorders>
            <w:shd w:val="clear" w:color="000000" w:fill="FFFFFF"/>
            <w:tcMar>
              <w:top w:w="85" w:type="dxa"/>
            </w:tcMar>
            <w:hideMark/>
          </w:tcPr>
          <w:p w:rsidR="00044170" w:rsidRPr="00781BE0" w:rsidRDefault="00044170" w:rsidP="00D26095">
            <w:pPr>
              <w:rPr>
                <w:sz w:val="16"/>
                <w:szCs w:val="16"/>
              </w:rPr>
            </w:pPr>
          </w:p>
        </w:tc>
        <w:tc>
          <w:tcPr>
            <w:tcW w:w="2320" w:type="dxa"/>
            <w:tcBorders>
              <w:top w:val="nil"/>
              <w:left w:val="nil"/>
              <w:right w:val="nil"/>
            </w:tcBorders>
            <w:shd w:val="clear" w:color="000000" w:fill="FFFFFF"/>
            <w:tcMar>
              <w:top w:w="85" w:type="dxa"/>
            </w:tcMar>
            <w:hideMark/>
          </w:tcPr>
          <w:p w:rsidR="004C05E1" w:rsidRPr="00781BE0" w:rsidRDefault="00044170" w:rsidP="00295415">
            <w:pPr>
              <w:ind w:left="-3"/>
              <w:rPr>
                <w:sz w:val="16"/>
                <w:szCs w:val="16"/>
              </w:rPr>
            </w:pPr>
            <w:r w:rsidRPr="00781BE0">
              <w:rPr>
                <w:sz w:val="16"/>
                <w:szCs w:val="16"/>
              </w:rPr>
              <w:t>N</w:t>
            </w:r>
            <w:r w:rsidR="00150F07">
              <w:rPr>
                <w:sz w:val="16"/>
                <w:szCs w:val="16"/>
              </w:rPr>
              <w:t>º</w:t>
            </w:r>
            <w:r w:rsidRPr="00781BE0">
              <w:rPr>
                <w:sz w:val="16"/>
                <w:szCs w:val="16"/>
              </w:rPr>
              <w:t xml:space="preserve"> de documentos del PBC presentados a tiempo a los Estados miembros</w:t>
            </w:r>
          </w:p>
        </w:tc>
        <w:tc>
          <w:tcPr>
            <w:tcW w:w="2420" w:type="dxa"/>
            <w:tcBorders>
              <w:top w:val="nil"/>
              <w:left w:val="nil"/>
              <w:right w:val="nil"/>
            </w:tcBorders>
            <w:shd w:val="clear" w:color="000000" w:fill="FFFFFF"/>
            <w:tcMar>
              <w:top w:w="85" w:type="dxa"/>
            </w:tcMar>
            <w:hideMark/>
          </w:tcPr>
          <w:p w:rsidR="00044170" w:rsidRPr="00781BE0" w:rsidRDefault="00146E3A" w:rsidP="004C05E1">
            <w:pPr>
              <w:ind w:left="87"/>
              <w:rPr>
                <w:sz w:val="16"/>
                <w:szCs w:val="16"/>
              </w:rPr>
            </w:pPr>
            <w:r>
              <w:rPr>
                <w:sz w:val="16"/>
                <w:szCs w:val="16"/>
              </w:rPr>
              <w:t>12</w:t>
            </w:r>
            <w:r w:rsidR="00044170" w:rsidRPr="00781BE0">
              <w:rPr>
                <w:sz w:val="16"/>
                <w:szCs w:val="16"/>
              </w:rPr>
              <w:t xml:space="preserve">% (2014 sobre la base de un plazo de </w:t>
            </w:r>
            <w:r>
              <w:rPr>
                <w:sz w:val="16"/>
                <w:szCs w:val="16"/>
              </w:rPr>
              <w:t>8</w:t>
            </w:r>
            <w:r w:rsidR="00044170" w:rsidRPr="00781BE0">
              <w:rPr>
                <w:sz w:val="16"/>
                <w:szCs w:val="16"/>
              </w:rPr>
              <w:t xml:space="preserve"> semanas)</w:t>
            </w:r>
          </w:p>
        </w:tc>
        <w:tc>
          <w:tcPr>
            <w:tcW w:w="2311" w:type="dxa"/>
            <w:tcBorders>
              <w:top w:val="nil"/>
              <w:left w:val="nil"/>
              <w:right w:val="single" w:sz="4" w:space="0" w:color="auto"/>
            </w:tcBorders>
            <w:shd w:val="clear" w:color="000000" w:fill="FFFFFF"/>
            <w:tcMar>
              <w:top w:w="85" w:type="dxa"/>
            </w:tcMar>
            <w:hideMark/>
          </w:tcPr>
          <w:p w:rsidR="00044170" w:rsidRPr="00781BE0" w:rsidRDefault="00146E3A" w:rsidP="004C05E1">
            <w:pPr>
              <w:keepNext/>
              <w:keepLines/>
              <w:ind w:left="77"/>
              <w:rPr>
                <w:sz w:val="16"/>
                <w:szCs w:val="16"/>
              </w:rPr>
            </w:pPr>
            <w:r>
              <w:rPr>
                <w:sz w:val="16"/>
                <w:szCs w:val="16"/>
              </w:rPr>
              <w:t>15</w:t>
            </w:r>
            <w:r w:rsidR="00044170" w:rsidRPr="00781BE0">
              <w:rPr>
                <w:sz w:val="16"/>
                <w:szCs w:val="16"/>
              </w:rPr>
              <w:t>% (sobre la base de un plazo de 8 semanas)</w:t>
            </w:r>
          </w:p>
        </w:tc>
      </w:tr>
      <w:tr w:rsidR="00044170" w:rsidRPr="00781BE0" w:rsidTr="004C05E1">
        <w:trPr>
          <w:trHeight w:val="1280"/>
        </w:trPr>
        <w:tc>
          <w:tcPr>
            <w:tcW w:w="2320" w:type="dxa"/>
            <w:tcBorders>
              <w:left w:val="single" w:sz="4" w:space="0" w:color="auto"/>
              <w:bottom w:val="single" w:sz="4" w:space="0" w:color="auto"/>
              <w:right w:val="nil"/>
            </w:tcBorders>
            <w:shd w:val="clear" w:color="000000" w:fill="FFFFFF"/>
            <w:tcMar>
              <w:top w:w="85" w:type="dxa"/>
            </w:tcMar>
            <w:hideMark/>
          </w:tcPr>
          <w:p w:rsidR="00044170" w:rsidRPr="00781BE0" w:rsidRDefault="00044170" w:rsidP="00D26095">
            <w:pPr>
              <w:rPr>
                <w:sz w:val="16"/>
                <w:szCs w:val="16"/>
              </w:rPr>
            </w:pPr>
          </w:p>
        </w:tc>
        <w:tc>
          <w:tcPr>
            <w:tcW w:w="2320" w:type="dxa"/>
            <w:tcBorders>
              <w:left w:val="nil"/>
              <w:bottom w:val="single" w:sz="4" w:space="0" w:color="auto"/>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El sistema de la OMPI de PRI (AIMS) funciona eficazmente con arreglo a las necesidades operacionales y en concordancia con las mejores prácticas</w:t>
            </w:r>
          </w:p>
        </w:tc>
        <w:tc>
          <w:tcPr>
            <w:tcW w:w="2420" w:type="dxa"/>
            <w:tcBorders>
              <w:left w:val="nil"/>
              <w:bottom w:val="single" w:sz="4" w:space="0" w:color="auto"/>
              <w:right w:val="nil"/>
            </w:tcBorders>
            <w:shd w:val="clear" w:color="000000" w:fill="FFFFFF"/>
            <w:tcMar>
              <w:top w:w="85" w:type="dxa"/>
            </w:tcMar>
            <w:hideMark/>
          </w:tcPr>
          <w:p w:rsidR="00044170" w:rsidRPr="00781BE0" w:rsidRDefault="00044170" w:rsidP="004C05E1">
            <w:pPr>
              <w:keepNext/>
              <w:keepLines/>
              <w:ind w:left="87"/>
              <w:rPr>
                <w:sz w:val="16"/>
                <w:szCs w:val="16"/>
              </w:rPr>
            </w:pPr>
            <w:r w:rsidRPr="00781BE0">
              <w:rPr>
                <w:sz w:val="16"/>
                <w:szCs w:val="16"/>
              </w:rPr>
              <w:t xml:space="preserve">En 2014, el porcentaje de tiempo útil del AIMS fue del 99.80%.  El número más elevado de incidentes de carácter prioritario que están sin resolver en todo momento fue de 25. </w:t>
            </w:r>
          </w:p>
        </w:tc>
        <w:tc>
          <w:tcPr>
            <w:tcW w:w="2311" w:type="dxa"/>
            <w:tcBorders>
              <w:left w:val="nil"/>
              <w:bottom w:val="single" w:sz="4" w:space="0" w:color="auto"/>
              <w:right w:val="single" w:sz="4" w:space="0" w:color="auto"/>
            </w:tcBorders>
            <w:shd w:val="clear" w:color="000000" w:fill="FFFFFF"/>
            <w:tcMar>
              <w:top w:w="85" w:type="dxa"/>
            </w:tcMar>
            <w:hideMark/>
          </w:tcPr>
          <w:p w:rsidR="00044170" w:rsidRPr="00781BE0" w:rsidRDefault="004C05E1" w:rsidP="004C05E1">
            <w:pPr>
              <w:keepNext/>
              <w:keepLines/>
              <w:ind w:left="77"/>
              <w:rPr>
                <w:sz w:val="16"/>
                <w:szCs w:val="16"/>
              </w:rPr>
            </w:pPr>
            <w:r>
              <w:rPr>
                <w:sz w:val="16"/>
                <w:szCs w:val="16"/>
              </w:rPr>
              <w:t>P</w:t>
            </w:r>
            <w:r w:rsidR="00044170" w:rsidRPr="00781BE0">
              <w:rPr>
                <w:sz w:val="16"/>
                <w:szCs w:val="16"/>
              </w:rPr>
              <w:t>orcentaje de tiempo útil de AIMS es superior al 99</w:t>
            </w:r>
            <w:r>
              <w:rPr>
                <w:sz w:val="16"/>
                <w:szCs w:val="16"/>
              </w:rPr>
              <w:t>,</w:t>
            </w:r>
            <w:r w:rsidR="00044170" w:rsidRPr="00781BE0">
              <w:rPr>
                <w:sz w:val="16"/>
                <w:szCs w:val="16"/>
              </w:rPr>
              <w:t>9%</w:t>
            </w:r>
            <w:r>
              <w:rPr>
                <w:sz w:val="16"/>
                <w:szCs w:val="16"/>
              </w:rPr>
              <w:t xml:space="preserve">. </w:t>
            </w:r>
            <w:r w:rsidR="00044170" w:rsidRPr="00781BE0">
              <w:rPr>
                <w:sz w:val="16"/>
                <w:szCs w:val="16"/>
              </w:rPr>
              <w:t>No hay más de 20 incidentes de carácter prioritario que estén sin resolver en todo momento. Los incidentes de carácter prioritario se resuelven en 8 días</w:t>
            </w:r>
            <w:r>
              <w:rPr>
                <w:sz w:val="16"/>
                <w:szCs w:val="16"/>
              </w:rPr>
              <w:t xml:space="preserve"> como máximo</w:t>
            </w:r>
            <w:r w:rsidR="00044170" w:rsidRPr="00781BE0">
              <w:rPr>
                <w:sz w:val="16"/>
                <w:szCs w:val="16"/>
              </w:rPr>
              <w:t>.</w:t>
            </w:r>
          </w:p>
        </w:tc>
      </w:tr>
      <w:tr w:rsidR="00044170" w:rsidRPr="00781BE0" w:rsidTr="004C05E1">
        <w:trPr>
          <w:trHeight w:val="764"/>
        </w:trPr>
        <w:tc>
          <w:tcPr>
            <w:tcW w:w="2320" w:type="dxa"/>
            <w:tcBorders>
              <w:top w:val="single" w:sz="4" w:space="0" w:color="auto"/>
              <w:left w:val="single" w:sz="4" w:space="0" w:color="auto"/>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lastRenderedPageBreak/>
              <w:t> </w:t>
            </w:r>
          </w:p>
        </w:tc>
        <w:tc>
          <w:tcPr>
            <w:tcW w:w="2320" w:type="dxa"/>
            <w:tcBorders>
              <w:top w:val="single" w:sz="4" w:space="0" w:color="auto"/>
              <w:left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Los proyectos de PRI se ejecutan con arreglo a lo previsto y en el marco del presupuesto de la cartera</w:t>
            </w:r>
          </w:p>
        </w:tc>
        <w:tc>
          <w:tcPr>
            <w:tcW w:w="2420" w:type="dxa"/>
            <w:tcBorders>
              <w:top w:val="single" w:sz="4" w:space="0" w:color="auto"/>
              <w:left w:val="nil"/>
              <w:right w:val="nil"/>
            </w:tcBorders>
            <w:shd w:val="clear" w:color="000000" w:fill="FFFFFF"/>
            <w:tcMar>
              <w:top w:w="85" w:type="dxa"/>
            </w:tcMar>
            <w:hideMark/>
          </w:tcPr>
          <w:p w:rsidR="00044170" w:rsidRPr="00781BE0" w:rsidRDefault="004C05E1" w:rsidP="004C05E1">
            <w:pPr>
              <w:ind w:left="87"/>
              <w:rPr>
                <w:sz w:val="16"/>
                <w:szCs w:val="16"/>
              </w:rPr>
            </w:pPr>
            <w:r w:rsidRPr="004C05E1">
              <w:rPr>
                <w:sz w:val="16"/>
                <w:szCs w:val="16"/>
              </w:rPr>
              <w:t>Plan actualizado comunicado</w:t>
            </w:r>
            <w:r w:rsidR="00044170" w:rsidRPr="004C05E1">
              <w:rPr>
                <w:sz w:val="16"/>
                <w:szCs w:val="16"/>
              </w:rPr>
              <w:t xml:space="preserve"> a los Estados miembros en 2015.</w:t>
            </w:r>
            <w:r w:rsidR="00146E3A" w:rsidRPr="004C05E1">
              <w:rPr>
                <w:sz w:val="16"/>
                <w:szCs w:val="16"/>
              </w:rPr>
              <w:t xml:space="preserve">  </w:t>
            </w:r>
            <w:r w:rsidR="00044170" w:rsidRPr="004C05E1">
              <w:rPr>
                <w:sz w:val="16"/>
                <w:szCs w:val="16"/>
              </w:rPr>
              <w:t xml:space="preserve">El presupuesto </w:t>
            </w:r>
            <w:r w:rsidRPr="004C05E1">
              <w:rPr>
                <w:sz w:val="16"/>
                <w:szCs w:val="16"/>
              </w:rPr>
              <w:t xml:space="preserve">corresponde al </w:t>
            </w:r>
            <w:r w:rsidR="00044170" w:rsidRPr="004C05E1">
              <w:rPr>
                <w:sz w:val="16"/>
                <w:szCs w:val="16"/>
              </w:rPr>
              <w:t>aprobado por los Estados miembros en 2010.</w:t>
            </w:r>
          </w:p>
        </w:tc>
        <w:tc>
          <w:tcPr>
            <w:tcW w:w="2311" w:type="dxa"/>
            <w:tcBorders>
              <w:top w:val="single" w:sz="4" w:space="0" w:color="auto"/>
              <w:left w:val="nil"/>
              <w:right w:val="single" w:sz="4" w:space="0" w:color="auto"/>
            </w:tcBorders>
            <w:shd w:val="clear" w:color="000000" w:fill="FFFFFF"/>
            <w:tcMar>
              <w:top w:w="85" w:type="dxa"/>
            </w:tcMar>
            <w:hideMark/>
          </w:tcPr>
          <w:p w:rsidR="00044170" w:rsidRPr="00781BE0" w:rsidRDefault="00044170" w:rsidP="00044170">
            <w:pPr>
              <w:tabs>
                <w:tab w:val="left" w:pos="218"/>
              </w:tabs>
              <w:ind w:leftChars="90" w:left="198"/>
              <w:rPr>
                <w:sz w:val="16"/>
                <w:szCs w:val="16"/>
              </w:rPr>
            </w:pPr>
            <w:r w:rsidRPr="00781BE0">
              <w:rPr>
                <w:sz w:val="16"/>
                <w:szCs w:val="16"/>
              </w:rPr>
              <w:t xml:space="preserve">De conformidad con lo previsto </w:t>
            </w:r>
          </w:p>
        </w:tc>
      </w:tr>
      <w:tr w:rsidR="00044170" w:rsidRPr="00781BE0" w:rsidTr="00295415">
        <w:trPr>
          <w:trHeight w:val="1840"/>
        </w:trPr>
        <w:tc>
          <w:tcPr>
            <w:tcW w:w="2320" w:type="dxa"/>
            <w:tcBorders>
              <w:left w:val="single" w:sz="4" w:space="0" w:color="auto"/>
              <w:bottom w:val="nil"/>
              <w:right w:val="nil"/>
            </w:tcBorders>
            <w:shd w:val="clear" w:color="000000" w:fill="FFFFFF"/>
            <w:tcMar>
              <w:top w:w="85" w:type="dxa"/>
            </w:tcMar>
            <w:hideMark/>
          </w:tcPr>
          <w:p w:rsidR="00044170" w:rsidRPr="00781BE0" w:rsidRDefault="00044170" w:rsidP="00AD5AC5">
            <w:pPr>
              <w:rPr>
                <w:sz w:val="16"/>
                <w:szCs w:val="16"/>
              </w:rPr>
            </w:pPr>
            <w:r w:rsidRPr="00781BE0">
              <w:rPr>
                <w:sz w:val="16"/>
                <w:szCs w:val="16"/>
              </w:rPr>
              <w:t>IX.</w:t>
            </w:r>
            <w:r w:rsidRPr="004C05E1">
              <w:rPr>
                <w:sz w:val="16"/>
                <w:szCs w:val="16"/>
              </w:rPr>
              <w:t>2</w:t>
            </w:r>
            <w:r w:rsidR="00AD5AC5" w:rsidRPr="004C05E1">
              <w:rPr>
                <w:sz w:val="16"/>
                <w:szCs w:val="16"/>
              </w:rPr>
              <w:t xml:space="preserve"> </w:t>
            </w:r>
            <w:r w:rsidRPr="004C05E1">
              <w:rPr>
                <w:sz w:val="16"/>
                <w:szCs w:val="16"/>
              </w:rPr>
              <w:t xml:space="preserve"> </w:t>
            </w:r>
            <w:r w:rsidR="005354CF" w:rsidRPr="004C05E1">
              <w:rPr>
                <w:sz w:val="16"/>
                <w:szCs w:val="16"/>
                <w:lang w:val="es-ES_tradnl"/>
              </w:rPr>
              <w:t>Funcionamiento sin contratiempos de la Secretaría, provista de un personal bien dirigido, dotado de las competencias adecuadas, y capaz de conseguir resultados</w:t>
            </w:r>
          </w:p>
        </w:tc>
        <w:tc>
          <w:tcPr>
            <w:tcW w:w="2320" w:type="dxa"/>
            <w:tcBorders>
              <w:left w:val="nil"/>
              <w:bottom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Informe financiero satisfactorio del auditor externo que confirma la conformidad de las operaciones contables con los convenios y tratados de la OMPI, el Reglamento y Reglamentación Financier</w:t>
            </w:r>
            <w:r w:rsidR="00295415">
              <w:rPr>
                <w:sz w:val="16"/>
                <w:szCs w:val="16"/>
              </w:rPr>
              <w:t>os</w:t>
            </w:r>
            <w:r w:rsidRPr="00781BE0">
              <w:rPr>
                <w:sz w:val="16"/>
                <w:szCs w:val="16"/>
              </w:rPr>
              <w:t xml:space="preserve"> de la OMPI y las IPSAS, según proceda.</w:t>
            </w:r>
          </w:p>
        </w:tc>
        <w:tc>
          <w:tcPr>
            <w:tcW w:w="2420" w:type="dxa"/>
            <w:tcBorders>
              <w:left w:val="nil"/>
              <w:bottom w:val="nil"/>
              <w:right w:val="nil"/>
            </w:tcBorders>
            <w:shd w:val="clear" w:color="000000" w:fill="FFFFFF"/>
            <w:tcMar>
              <w:top w:w="85" w:type="dxa"/>
            </w:tcMar>
            <w:hideMark/>
          </w:tcPr>
          <w:p w:rsidR="00044170" w:rsidRPr="00781BE0" w:rsidRDefault="00044170" w:rsidP="004C05E1">
            <w:pPr>
              <w:ind w:left="87"/>
              <w:rPr>
                <w:sz w:val="16"/>
                <w:szCs w:val="16"/>
              </w:rPr>
            </w:pPr>
            <w:r w:rsidRPr="00781BE0">
              <w:rPr>
                <w:sz w:val="16"/>
                <w:szCs w:val="16"/>
              </w:rPr>
              <w:t>Informe de auditoría satisfactorio en 2014 y 2015 y respuestas proporcionadas en relación con todas las recomendaciones de auditoría.</w:t>
            </w:r>
          </w:p>
        </w:tc>
        <w:tc>
          <w:tcPr>
            <w:tcW w:w="2311" w:type="dxa"/>
            <w:tcBorders>
              <w:left w:val="nil"/>
              <w:bottom w:val="nil"/>
              <w:right w:val="single" w:sz="4" w:space="0" w:color="auto"/>
            </w:tcBorders>
            <w:shd w:val="clear" w:color="000000" w:fill="FFFFFF"/>
            <w:tcMar>
              <w:top w:w="85" w:type="dxa"/>
            </w:tcMar>
            <w:hideMark/>
          </w:tcPr>
          <w:p w:rsidR="00044170" w:rsidRPr="00781BE0" w:rsidRDefault="00044170" w:rsidP="00D26095">
            <w:pPr>
              <w:ind w:left="218"/>
              <w:rPr>
                <w:sz w:val="16"/>
                <w:szCs w:val="16"/>
              </w:rPr>
            </w:pPr>
            <w:r w:rsidRPr="00781BE0">
              <w:rPr>
                <w:sz w:val="16"/>
                <w:szCs w:val="16"/>
              </w:rPr>
              <w:t xml:space="preserve">Informes de auditoría </w:t>
            </w:r>
            <w:proofErr w:type="gramStart"/>
            <w:r w:rsidRPr="00781BE0">
              <w:rPr>
                <w:sz w:val="16"/>
                <w:szCs w:val="16"/>
              </w:rPr>
              <w:t>satisfactorios</w:t>
            </w:r>
            <w:proofErr w:type="gramEnd"/>
            <w:r w:rsidRPr="00781BE0">
              <w:rPr>
                <w:sz w:val="16"/>
                <w:szCs w:val="16"/>
              </w:rPr>
              <w:t xml:space="preserve"> respecto de los dos años del bienio.</w:t>
            </w:r>
          </w:p>
        </w:tc>
      </w:tr>
      <w:tr w:rsidR="00044170" w:rsidRPr="00781BE0" w:rsidTr="00295415">
        <w:trPr>
          <w:trHeight w:val="478"/>
        </w:trPr>
        <w:tc>
          <w:tcPr>
            <w:tcW w:w="2320" w:type="dxa"/>
            <w:tcBorders>
              <w:top w:val="nil"/>
              <w:left w:val="single" w:sz="4" w:space="0" w:color="auto"/>
              <w:bottom w:val="nil"/>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t> </w:t>
            </w:r>
          </w:p>
        </w:tc>
        <w:tc>
          <w:tcPr>
            <w:tcW w:w="2320" w:type="dxa"/>
            <w:tcBorders>
              <w:top w:val="nil"/>
              <w:left w:val="nil"/>
              <w:bottom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Fomento del desarrollo de la gestión por resultados</w:t>
            </w:r>
          </w:p>
        </w:tc>
        <w:tc>
          <w:tcPr>
            <w:tcW w:w="2420" w:type="dxa"/>
            <w:tcBorders>
              <w:top w:val="nil"/>
              <w:left w:val="nil"/>
              <w:bottom w:val="nil"/>
              <w:right w:val="nil"/>
            </w:tcBorders>
            <w:shd w:val="clear" w:color="000000" w:fill="FFFFFF"/>
            <w:tcMar>
              <w:top w:w="85" w:type="dxa"/>
            </w:tcMar>
            <w:hideMark/>
          </w:tcPr>
          <w:p w:rsidR="00044170" w:rsidRPr="00781BE0" w:rsidRDefault="00044170" w:rsidP="004C05E1">
            <w:pPr>
              <w:ind w:left="87"/>
              <w:rPr>
                <w:sz w:val="16"/>
                <w:szCs w:val="16"/>
              </w:rPr>
            </w:pPr>
            <w:r w:rsidRPr="00781BE0">
              <w:rPr>
                <w:sz w:val="16"/>
                <w:szCs w:val="16"/>
              </w:rPr>
              <w:t>Nivel de desarrollo 2</w:t>
            </w:r>
          </w:p>
        </w:tc>
        <w:tc>
          <w:tcPr>
            <w:tcW w:w="2311" w:type="dxa"/>
            <w:tcBorders>
              <w:top w:val="nil"/>
              <w:left w:val="nil"/>
              <w:bottom w:val="nil"/>
              <w:right w:val="single" w:sz="4" w:space="0" w:color="auto"/>
            </w:tcBorders>
            <w:shd w:val="clear" w:color="000000" w:fill="FFFFFF"/>
            <w:tcMar>
              <w:top w:w="85" w:type="dxa"/>
            </w:tcMar>
            <w:hideMark/>
          </w:tcPr>
          <w:p w:rsidR="00044170" w:rsidRPr="00781BE0" w:rsidRDefault="00044170" w:rsidP="00D26095">
            <w:pPr>
              <w:tabs>
                <w:tab w:val="left" w:pos="218"/>
              </w:tabs>
              <w:ind w:left="218"/>
              <w:rPr>
                <w:sz w:val="16"/>
                <w:szCs w:val="16"/>
              </w:rPr>
            </w:pPr>
            <w:r w:rsidRPr="00781BE0">
              <w:rPr>
                <w:sz w:val="16"/>
                <w:szCs w:val="16"/>
              </w:rPr>
              <w:t>Nivel de desarrollo 3</w:t>
            </w:r>
          </w:p>
        </w:tc>
      </w:tr>
      <w:tr w:rsidR="00044170" w:rsidRPr="00781BE0" w:rsidTr="00D26095">
        <w:trPr>
          <w:trHeight w:val="1123"/>
        </w:trPr>
        <w:tc>
          <w:tcPr>
            <w:tcW w:w="2320" w:type="dxa"/>
            <w:tcBorders>
              <w:top w:val="nil"/>
              <w:left w:val="single" w:sz="4" w:space="0" w:color="auto"/>
              <w:bottom w:val="nil"/>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t> </w:t>
            </w:r>
          </w:p>
        </w:tc>
        <w:tc>
          <w:tcPr>
            <w:tcW w:w="2320" w:type="dxa"/>
            <w:tcBorders>
              <w:top w:val="nil"/>
              <w:left w:val="nil"/>
              <w:bottom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Rendimiento del capital invertido en concordancia con los parámetros establecidos por el Comité Asesor de Inversiones (CAI).</w:t>
            </w:r>
          </w:p>
        </w:tc>
        <w:tc>
          <w:tcPr>
            <w:tcW w:w="2420" w:type="dxa"/>
            <w:tcBorders>
              <w:top w:val="nil"/>
              <w:left w:val="nil"/>
              <w:bottom w:val="nil"/>
              <w:right w:val="nil"/>
            </w:tcBorders>
            <w:shd w:val="clear" w:color="000000" w:fill="FFFFFF"/>
            <w:tcMar>
              <w:top w:w="85" w:type="dxa"/>
            </w:tcMar>
            <w:hideMark/>
          </w:tcPr>
          <w:p w:rsidR="00044170" w:rsidRPr="00781BE0" w:rsidRDefault="00044170" w:rsidP="004C05E1">
            <w:pPr>
              <w:ind w:left="87"/>
              <w:rPr>
                <w:sz w:val="16"/>
                <w:szCs w:val="16"/>
              </w:rPr>
            </w:pPr>
            <w:r w:rsidRPr="00781BE0">
              <w:rPr>
                <w:sz w:val="16"/>
                <w:szCs w:val="16"/>
              </w:rPr>
              <w:t>Siguen las inversiones con las autoridades suizas, en concordancia con los parámetros establecidos por el CAI en 2014/15</w:t>
            </w:r>
          </w:p>
          <w:p w:rsidR="00044170" w:rsidRPr="00781BE0" w:rsidRDefault="00044170" w:rsidP="00D26095">
            <w:pPr>
              <w:ind w:left="229"/>
              <w:rPr>
                <w:sz w:val="16"/>
                <w:szCs w:val="16"/>
              </w:rPr>
            </w:pPr>
          </w:p>
        </w:tc>
        <w:tc>
          <w:tcPr>
            <w:tcW w:w="2311" w:type="dxa"/>
            <w:tcBorders>
              <w:top w:val="nil"/>
              <w:left w:val="nil"/>
              <w:bottom w:val="nil"/>
              <w:right w:val="single" w:sz="4" w:space="0" w:color="auto"/>
            </w:tcBorders>
            <w:shd w:val="clear" w:color="000000" w:fill="FFFFFF"/>
            <w:tcMar>
              <w:top w:w="85" w:type="dxa"/>
            </w:tcMar>
            <w:hideMark/>
          </w:tcPr>
          <w:p w:rsidR="00044170" w:rsidRPr="00781BE0" w:rsidRDefault="00044170" w:rsidP="00D26095">
            <w:pPr>
              <w:ind w:left="218"/>
              <w:rPr>
                <w:sz w:val="16"/>
                <w:szCs w:val="16"/>
              </w:rPr>
            </w:pPr>
            <w:r w:rsidRPr="00781BE0">
              <w:rPr>
                <w:sz w:val="16"/>
                <w:szCs w:val="16"/>
              </w:rPr>
              <w:t>Rendimiento del capital invertido en concordancia con los parámetros establecidos por el CAI en 2016/17.</w:t>
            </w:r>
          </w:p>
        </w:tc>
      </w:tr>
      <w:tr w:rsidR="00044170" w:rsidRPr="006A3CA4" w:rsidTr="00D26095">
        <w:trPr>
          <w:trHeight w:val="1002"/>
        </w:trPr>
        <w:tc>
          <w:tcPr>
            <w:tcW w:w="2320" w:type="dxa"/>
            <w:tcBorders>
              <w:top w:val="nil"/>
              <w:left w:val="single" w:sz="4" w:space="0" w:color="auto"/>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t> </w:t>
            </w:r>
          </w:p>
        </w:tc>
        <w:tc>
          <w:tcPr>
            <w:tcW w:w="2320" w:type="dxa"/>
            <w:tcBorders>
              <w:top w:val="nil"/>
              <w:left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Gestión eficaz de los gastos y las reservas</w:t>
            </w:r>
          </w:p>
        </w:tc>
        <w:tc>
          <w:tcPr>
            <w:tcW w:w="2420" w:type="dxa"/>
            <w:tcBorders>
              <w:top w:val="nil"/>
              <w:left w:val="nil"/>
              <w:right w:val="nil"/>
            </w:tcBorders>
            <w:shd w:val="clear" w:color="000000" w:fill="FFFFFF"/>
            <w:tcMar>
              <w:top w:w="85" w:type="dxa"/>
            </w:tcMar>
            <w:hideMark/>
          </w:tcPr>
          <w:p w:rsidR="00044170" w:rsidRPr="004C05E1" w:rsidRDefault="004C05E1" w:rsidP="004C05E1">
            <w:pPr>
              <w:ind w:left="87"/>
              <w:rPr>
                <w:sz w:val="16"/>
                <w:szCs w:val="16"/>
              </w:rPr>
            </w:pPr>
            <w:r w:rsidRPr="004C05E1">
              <w:rPr>
                <w:color w:val="000000"/>
                <w:sz w:val="16"/>
                <w:szCs w:val="16"/>
              </w:rPr>
              <w:t xml:space="preserve">Panorama de gastos en </w:t>
            </w:r>
            <w:r w:rsidR="00146E3A" w:rsidRPr="004C05E1">
              <w:rPr>
                <w:color w:val="000000"/>
                <w:sz w:val="16"/>
                <w:szCs w:val="16"/>
              </w:rPr>
              <w:t>2014/15 (</w:t>
            </w:r>
            <w:r w:rsidRPr="004C05E1">
              <w:rPr>
                <w:color w:val="000000"/>
                <w:sz w:val="16"/>
                <w:szCs w:val="16"/>
              </w:rPr>
              <w:t>presupuesto antes de ajuste</w:t>
            </w:r>
            <w:r w:rsidR="00146E3A" w:rsidRPr="004C05E1">
              <w:rPr>
                <w:color w:val="000000"/>
                <w:sz w:val="16"/>
                <w:szCs w:val="16"/>
              </w:rPr>
              <w:t xml:space="preserve"> IPSAS</w:t>
            </w:r>
            <w:proofErr w:type="gramStart"/>
            <w:r w:rsidR="00146E3A" w:rsidRPr="004C05E1">
              <w:rPr>
                <w:color w:val="000000"/>
                <w:sz w:val="16"/>
                <w:szCs w:val="16"/>
              </w:rPr>
              <w:t>) :</w:t>
            </w:r>
            <w:proofErr w:type="gramEnd"/>
            <w:r w:rsidR="00146E3A" w:rsidRPr="004C05E1">
              <w:rPr>
                <w:color w:val="000000"/>
                <w:sz w:val="16"/>
                <w:szCs w:val="16"/>
              </w:rPr>
              <w:t xml:space="preserve"> 659</w:t>
            </w:r>
            <w:r>
              <w:rPr>
                <w:color w:val="000000"/>
                <w:sz w:val="16"/>
                <w:szCs w:val="16"/>
              </w:rPr>
              <w:t>,</w:t>
            </w:r>
            <w:r w:rsidR="00146E3A" w:rsidRPr="004C05E1">
              <w:rPr>
                <w:color w:val="000000"/>
                <w:sz w:val="16"/>
                <w:szCs w:val="16"/>
              </w:rPr>
              <w:t>9 millon</w:t>
            </w:r>
            <w:r>
              <w:rPr>
                <w:color w:val="000000"/>
                <w:sz w:val="16"/>
                <w:szCs w:val="16"/>
              </w:rPr>
              <w:t>es de francos suizos</w:t>
            </w:r>
            <w:r w:rsidR="00146E3A" w:rsidRPr="004C05E1">
              <w:rPr>
                <w:color w:val="000000"/>
                <w:sz w:val="16"/>
                <w:szCs w:val="16"/>
              </w:rPr>
              <w:t xml:space="preserve"> (</w:t>
            </w:r>
            <w:r>
              <w:rPr>
                <w:color w:val="000000"/>
                <w:sz w:val="16"/>
                <w:szCs w:val="16"/>
              </w:rPr>
              <w:t>en abril de</w:t>
            </w:r>
            <w:r w:rsidR="00146E3A" w:rsidRPr="004C05E1">
              <w:rPr>
                <w:color w:val="000000"/>
                <w:sz w:val="16"/>
                <w:szCs w:val="16"/>
              </w:rPr>
              <w:t>l 2015).</w:t>
            </w:r>
          </w:p>
        </w:tc>
        <w:tc>
          <w:tcPr>
            <w:tcW w:w="2311" w:type="dxa"/>
            <w:tcBorders>
              <w:top w:val="nil"/>
              <w:left w:val="nil"/>
              <w:right w:val="single" w:sz="4" w:space="0" w:color="auto"/>
            </w:tcBorders>
            <w:shd w:val="clear" w:color="000000" w:fill="FFFFFF"/>
            <w:tcMar>
              <w:top w:w="85" w:type="dxa"/>
            </w:tcMar>
            <w:hideMark/>
          </w:tcPr>
          <w:p w:rsidR="00044170" w:rsidRPr="00295415" w:rsidRDefault="00044170" w:rsidP="00295415">
            <w:pPr>
              <w:ind w:left="218"/>
              <w:rPr>
                <w:sz w:val="16"/>
                <w:szCs w:val="16"/>
              </w:rPr>
            </w:pPr>
            <w:r w:rsidRPr="00295415">
              <w:rPr>
                <w:sz w:val="16"/>
                <w:szCs w:val="16"/>
              </w:rPr>
              <w:t>Los gastos se gestionan dentro de la asignación presupuestaria global</w:t>
            </w:r>
            <w:r w:rsidR="00295415" w:rsidRPr="00295415">
              <w:rPr>
                <w:sz w:val="16"/>
                <w:szCs w:val="16"/>
              </w:rPr>
              <w:t xml:space="preserve"> pero </w:t>
            </w:r>
            <w:r w:rsidRPr="00295415">
              <w:rPr>
                <w:sz w:val="16"/>
                <w:szCs w:val="16"/>
              </w:rPr>
              <w:t>no</w:t>
            </w:r>
            <w:r w:rsidR="00295415" w:rsidRPr="00295415">
              <w:rPr>
                <w:sz w:val="16"/>
                <w:szCs w:val="16"/>
              </w:rPr>
              <w:t xml:space="preserve"> deben</w:t>
            </w:r>
            <w:r w:rsidRPr="00295415">
              <w:rPr>
                <w:sz w:val="16"/>
                <w:szCs w:val="16"/>
              </w:rPr>
              <w:t xml:space="preserve"> supera</w:t>
            </w:r>
            <w:r w:rsidR="00295415" w:rsidRPr="00295415">
              <w:rPr>
                <w:sz w:val="16"/>
                <w:szCs w:val="16"/>
              </w:rPr>
              <w:t>r</w:t>
            </w:r>
            <w:r w:rsidRPr="00295415">
              <w:rPr>
                <w:sz w:val="16"/>
                <w:szCs w:val="16"/>
              </w:rPr>
              <w:t xml:space="preserve"> a los ingresos</w:t>
            </w:r>
            <w:r w:rsidR="00295415" w:rsidRPr="00295415">
              <w:rPr>
                <w:sz w:val="16"/>
                <w:szCs w:val="16"/>
              </w:rPr>
              <w:t xml:space="preserve"> </w:t>
            </w:r>
            <w:r w:rsidR="00025C8D" w:rsidRPr="00295415">
              <w:rPr>
                <w:color w:val="000000"/>
                <w:sz w:val="16"/>
                <w:szCs w:val="16"/>
              </w:rPr>
              <w:t>(</w:t>
            </w:r>
            <w:r w:rsidR="00295415">
              <w:rPr>
                <w:color w:val="000000"/>
                <w:sz w:val="16"/>
                <w:szCs w:val="16"/>
              </w:rPr>
              <w:t>si</w:t>
            </w:r>
            <w:r w:rsidR="00025C8D" w:rsidRPr="00295415">
              <w:rPr>
                <w:color w:val="000000"/>
                <w:sz w:val="16"/>
                <w:szCs w:val="16"/>
              </w:rPr>
              <w:t xml:space="preserve"> excep</w:t>
            </w:r>
            <w:r w:rsidR="00295415">
              <w:rPr>
                <w:color w:val="000000"/>
                <w:sz w:val="16"/>
                <w:szCs w:val="16"/>
              </w:rPr>
              <w:t>c</w:t>
            </w:r>
            <w:r w:rsidR="00025C8D" w:rsidRPr="00295415">
              <w:rPr>
                <w:color w:val="000000"/>
                <w:sz w:val="16"/>
                <w:szCs w:val="16"/>
              </w:rPr>
              <w:t>ional</w:t>
            </w:r>
            <w:r w:rsidR="00295415">
              <w:rPr>
                <w:color w:val="000000"/>
                <w:sz w:val="16"/>
                <w:szCs w:val="16"/>
              </w:rPr>
              <w:t>mente se previera una caída de los ingresos por debajo del gasto previsto</w:t>
            </w:r>
            <w:r w:rsidR="00025C8D" w:rsidRPr="00295415">
              <w:rPr>
                <w:color w:val="000000"/>
                <w:sz w:val="16"/>
                <w:szCs w:val="16"/>
              </w:rPr>
              <w:t>.)</w:t>
            </w:r>
          </w:p>
        </w:tc>
      </w:tr>
      <w:tr w:rsidR="00044170" w:rsidRPr="00781BE0" w:rsidTr="00295415">
        <w:trPr>
          <w:trHeight w:val="1330"/>
        </w:trPr>
        <w:tc>
          <w:tcPr>
            <w:tcW w:w="2320" w:type="dxa"/>
            <w:tcBorders>
              <w:top w:val="nil"/>
              <w:left w:val="single" w:sz="4" w:space="0" w:color="auto"/>
              <w:right w:val="nil"/>
            </w:tcBorders>
            <w:shd w:val="clear" w:color="000000" w:fill="FFFFFF"/>
            <w:tcMar>
              <w:top w:w="85" w:type="dxa"/>
            </w:tcMar>
            <w:hideMark/>
          </w:tcPr>
          <w:p w:rsidR="00044170" w:rsidRPr="00984EFC" w:rsidRDefault="00044170" w:rsidP="00D26095">
            <w:pPr>
              <w:rPr>
                <w:sz w:val="16"/>
                <w:szCs w:val="16"/>
                <w:lang w:val="es-ES_tradnl"/>
              </w:rPr>
            </w:pPr>
            <w:r w:rsidRPr="00984EFC">
              <w:rPr>
                <w:sz w:val="16"/>
                <w:szCs w:val="16"/>
                <w:lang w:val="es-ES_tradnl"/>
              </w:rPr>
              <w:t> </w:t>
            </w:r>
          </w:p>
        </w:tc>
        <w:tc>
          <w:tcPr>
            <w:tcW w:w="2320" w:type="dxa"/>
            <w:tcBorders>
              <w:top w:val="nil"/>
              <w:left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 xml:space="preserve">Los pagos (incluidas las tasas correspondientes a los </w:t>
            </w:r>
            <w:r w:rsidR="00295415" w:rsidRPr="00781BE0">
              <w:rPr>
                <w:sz w:val="16"/>
                <w:szCs w:val="16"/>
              </w:rPr>
              <w:t xml:space="preserve">Sistemas </w:t>
            </w:r>
            <w:r w:rsidRPr="00781BE0">
              <w:rPr>
                <w:sz w:val="16"/>
                <w:szCs w:val="16"/>
              </w:rPr>
              <w:t xml:space="preserve">de Madrid y de </w:t>
            </w:r>
            <w:r w:rsidR="003B0DF0">
              <w:rPr>
                <w:sz w:val="16"/>
                <w:szCs w:val="16"/>
              </w:rPr>
              <w:t>La Haya</w:t>
            </w:r>
            <w:r w:rsidRPr="00781BE0">
              <w:rPr>
                <w:sz w:val="16"/>
                <w:szCs w:val="16"/>
              </w:rPr>
              <w:t>) se efectúan en el plazo estipulado.</w:t>
            </w:r>
          </w:p>
        </w:tc>
        <w:tc>
          <w:tcPr>
            <w:tcW w:w="2420" w:type="dxa"/>
            <w:tcBorders>
              <w:top w:val="nil"/>
              <w:left w:val="nil"/>
              <w:right w:val="nil"/>
            </w:tcBorders>
            <w:shd w:val="clear" w:color="000000" w:fill="FFFFFF"/>
            <w:tcMar>
              <w:top w:w="85" w:type="dxa"/>
            </w:tcMar>
            <w:hideMark/>
          </w:tcPr>
          <w:p w:rsidR="00044170" w:rsidRPr="00781BE0" w:rsidRDefault="00044170" w:rsidP="00295415">
            <w:pPr>
              <w:ind w:left="87"/>
              <w:rPr>
                <w:sz w:val="16"/>
                <w:szCs w:val="16"/>
              </w:rPr>
            </w:pPr>
            <w:r w:rsidRPr="00781BE0">
              <w:rPr>
                <w:sz w:val="16"/>
                <w:szCs w:val="16"/>
              </w:rPr>
              <w:t>90% de los pagos efectuados en un plazo de siete días con arreglo a las condiciones de pago o la fecha de recepción (en caso de recepción tardía) cuando no haya otros problemas de flujo de trabajo (por ejemplo, la no ent</w:t>
            </w:r>
            <w:r w:rsidR="00295415">
              <w:rPr>
                <w:sz w:val="16"/>
                <w:szCs w:val="16"/>
              </w:rPr>
              <w:t>rega de la orden de compra, etc.</w:t>
            </w:r>
            <w:r w:rsidRPr="00781BE0">
              <w:rPr>
                <w:sz w:val="16"/>
                <w:szCs w:val="16"/>
              </w:rPr>
              <w:t>).</w:t>
            </w:r>
          </w:p>
        </w:tc>
        <w:tc>
          <w:tcPr>
            <w:tcW w:w="2311" w:type="dxa"/>
            <w:tcBorders>
              <w:top w:val="nil"/>
              <w:left w:val="nil"/>
              <w:right w:val="single" w:sz="4" w:space="0" w:color="auto"/>
            </w:tcBorders>
            <w:shd w:val="clear" w:color="000000" w:fill="FFFFFF"/>
            <w:tcMar>
              <w:top w:w="85" w:type="dxa"/>
            </w:tcMar>
            <w:hideMark/>
          </w:tcPr>
          <w:p w:rsidR="00044170" w:rsidRPr="00781BE0" w:rsidRDefault="00044170" w:rsidP="00D26095">
            <w:pPr>
              <w:ind w:left="218"/>
              <w:rPr>
                <w:sz w:val="16"/>
                <w:szCs w:val="16"/>
              </w:rPr>
            </w:pPr>
            <w:r w:rsidRPr="00781BE0">
              <w:rPr>
                <w:sz w:val="16"/>
                <w:szCs w:val="16"/>
              </w:rPr>
              <w:t>90% de los pagos efectuados en un plazo de dos a tres días a partir de la recepción de la factura.</w:t>
            </w:r>
          </w:p>
        </w:tc>
      </w:tr>
      <w:tr w:rsidR="00044170" w:rsidRPr="00781BE0" w:rsidTr="00295415">
        <w:trPr>
          <w:trHeight w:val="207"/>
        </w:trPr>
        <w:tc>
          <w:tcPr>
            <w:tcW w:w="2320" w:type="dxa"/>
            <w:tcBorders>
              <w:left w:val="single" w:sz="4" w:space="0" w:color="auto"/>
              <w:right w:val="nil"/>
            </w:tcBorders>
            <w:shd w:val="clear" w:color="000000" w:fill="FFFFFF"/>
            <w:tcMar>
              <w:top w:w="85" w:type="dxa"/>
            </w:tcMar>
            <w:hideMark/>
          </w:tcPr>
          <w:p w:rsidR="00044170" w:rsidRPr="00781BE0" w:rsidRDefault="00044170" w:rsidP="00D06A71">
            <w:pPr>
              <w:keepNext/>
              <w:rPr>
                <w:sz w:val="16"/>
                <w:szCs w:val="16"/>
              </w:rPr>
            </w:pPr>
            <w:r w:rsidRPr="00781BE0">
              <w:rPr>
                <w:sz w:val="16"/>
                <w:szCs w:val="16"/>
              </w:rPr>
              <w:t>IX.3</w:t>
            </w:r>
            <w:r w:rsidR="00D06A71">
              <w:rPr>
                <w:sz w:val="16"/>
                <w:szCs w:val="16"/>
              </w:rPr>
              <w:t xml:space="preserve"> </w:t>
            </w:r>
            <w:r w:rsidRPr="00781BE0">
              <w:rPr>
                <w:sz w:val="16"/>
                <w:szCs w:val="16"/>
              </w:rPr>
              <w:t xml:space="preserve"> </w:t>
            </w:r>
            <w:r w:rsidR="005354CF" w:rsidRPr="00295415">
              <w:rPr>
                <w:sz w:val="16"/>
                <w:szCs w:val="16"/>
                <w:lang w:val="es-ES_tradnl"/>
              </w:rPr>
              <w:t>Entorno de trabajo propicio basado en un marco reglamentario eficaz y medios adecuados para atender los temas de interés del personal</w:t>
            </w:r>
          </w:p>
        </w:tc>
        <w:tc>
          <w:tcPr>
            <w:tcW w:w="2320" w:type="dxa"/>
            <w:tcBorders>
              <w:left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 xml:space="preserve">Reglamento </w:t>
            </w:r>
            <w:r w:rsidR="00295415">
              <w:rPr>
                <w:sz w:val="16"/>
                <w:szCs w:val="16"/>
              </w:rPr>
              <w:t>y</w:t>
            </w:r>
            <w:r w:rsidRPr="00781BE0">
              <w:rPr>
                <w:sz w:val="16"/>
                <w:szCs w:val="16"/>
              </w:rPr>
              <w:t xml:space="preserve"> Reglamentación Financier</w:t>
            </w:r>
            <w:r w:rsidR="00295415">
              <w:rPr>
                <w:sz w:val="16"/>
                <w:szCs w:val="16"/>
              </w:rPr>
              <w:t>os</w:t>
            </w:r>
            <w:r w:rsidRPr="00781BE0">
              <w:rPr>
                <w:sz w:val="16"/>
                <w:szCs w:val="16"/>
              </w:rPr>
              <w:t xml:space="preserve"> y órdenes de servicio pertinentes están actualizados.</w:t>
            </w:r>
          </w:p>
        </w:tc>
        <w:tc>
          <w:tcPr>
            <w:tcW w:w="2420" w:type="dxa"/>
            <w:tcBorders>
              <w:left w:val="nil"/>
              <w:right w:val="nil"/>
            </w:tcBorders>
            <w:shd w:val="clear" w:color="000000" w:fill="FFFFFF"/>
            <w:tcMar>
              <w:top w:w="85" w:type="dxa"/>
            </w:tcMar>
            <w:hideMark/>
          </w:tcPr>
          <w:p w:rsidR="00044170" w:rsidRPr="00781BE0" w:rsidRDefault="00295415" w:rsidP="00295415">
            <w:pPr>
              <w:ind w:left="87"/>
              <w:rPr>
                <w:sz w:val="16"/>
                <w:szCs w:val="16"/>
              </w:rPr>
            </w:pPr>
            <w:r>
              <w:rPr>
                <w:sz w:val="16"/>
                <w:szCs w:val="16"/>
              </w:rPr>
              <w:t>Ó</w:t>
            </w:r>
            <w:r w:rsidR="00044170" w:rsidRPr="00781BE0">
              <w:rPr>
                <w:sz w:val="16"/>
                <w:szCs w:val="16"/>
              </w:rPr>
              <w:t>rdenes de servicio emitidas en 2014 y 2015.  Reglamento y Reglamentación Financier</w:t>
            </w:r>
            <w:r>
              <w:rPr>
                <w:sz w:val="16"/>
                <w:szCs w:val="16"/>
              </w:rPr>
              <w:t>os</w:t>
            </w:r>
            <w:r w:rsidR="00044170" w:rsidRPr="00781BE0">
              <w:rPr>
                <w:sz w:val="16"/>
                <w:szCs w:val="16"/>
              </w:rPr>
              <w:t xml:space="preserve"> modificados en 2014 cuando hubo necesidad. </w:t>
            </w:r>
          </w:p>
        </w:tc>
        <w:tc>
          <w:tcPr>
            <w:tcW w:w="2311" w:type="dxa"/>
            <w:tcBorders>
              <w:left w:val="nil"/>
              <w:right w:val="single" w:sz="4" w:space="0" w:color="auto"/>
            </w:tcBorders>
            <w:shd w:val="clear" w:color="000000" w:fill="FFFFFF"/>
            <w:tcMar>
              <w:top w:w="85" w:type="dxa"/>
            </w:tcMar>
            <w:hideMark/>
          </w:tcPr>
          <w:p w:rsidR="00044170" w:rsidRPr="00781BE0" w:rsidRDefault="00044170" w:rsidP="00D26095">
            <w:pPr>
              <w:keepNext/>
              <w:ind w:left="218"/>
              <w:rPr>
                <w:sz w:val="16"/>
                <w:szCs w:val="16"/>
              </w:rPr>
            </w:pPr>
            <w:r w:rsidRPr="00781BE0">
              <w:rPr>
                <w:sz w:val="16"/>
                <w:szCs w:val="16"/>
              </w:rPr>
              <w:t>Examen y revisión del marco regulador cuando se considere apropiado.</w:t>
            </w:r>
          </w:p>
        </w:tc>
      </w:tr>
      <w:tr w:rsidR="00044170" w:rsidRPr="00781BE0" w:rsidTr="00295415">
        <w:trPr>
          <w:trHeight w:val="999"/>
        </w:trPr>
        <w:tc>
          <w:tcPr>
            <w:tcW w:w="2320" w:type="dxa"/>
            <w:tcBorders>
              <w:left w:val="single" w:sz="4" w:space="0" w:color="auto"/>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t> </w:t>
            </w:r>
          </w:p>
        </w:tc>
        <w:tc>
          <w:tcPr>
            <w:tcW w:w="2320" w:type="dxa"/>
            <w:tcBorders>
              <w:left w:val="nil"/>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Fomento del desarrollo de la gestión de riesgos y controles internos, de conformidad con la Hoja de ruta de control interno</w:t>
            </w:r>
          </w:p>
        </w:tc>
        <w:tc>
          <w:tcPr>
            <w:tcW w:w="2420" w:type="dxa"/>
            <w:tcBorders>
              <w:left w:val="nil"/>
              <w:right w:val="nil"/>
            </w:tcBorders>
            <w:shd w:val="clear" w:color="000000" w:fill="FFFFFF"/>
            <w:tcMar>
              <w:top w:w="85" w:type="dxa"/>
            </w:tcMar>
            <w:hideMark/>
          </w:tcPr>
          <w:p w:rsidR="00044170" w:rsidRPr="00781BE0" w:rsidRDefault="00044170" w:rsidP="00295415">
            <w:pPr>
              <w:ind w:left="87"/>
              <w:rPr>
                <w:sz w:val="16"/>
                <w:szCs w:val="16"/>
              </w:rPr>
            </w:pPr>
            <w:r w:rsidRPr="00781BE0">
              <w:rPr>
                <w:sz w:val="16"/>
                <w:szCs w:val="16"/>
              </w:rPr>
              <w:t>Avance del 75% en la Hoja de ruta de gestión de riesgos; avance del 25% en la Hoja de ruta de control interno</w:t>
            </w:r>
          </w:p>
          <w:p w:rsidR="00044170" w:rsidRPr="00781BE0" w:rsidRDefault="00044170" w:rsidP="00D26095">
            <w:pPr>
              <w:ind w:left="229"/>
              <w:rPr>
                <w:sz w:val="16"/>
                <w:szCs w:val="16"/>
              </w:rPr>
            </w:pPr>
          </w:p>
        </w:tc>
        <w:tc>
          <w:tcPr>
            <w:tcW w:w="2311" w:type="dxa"/>
            <w:tcBorders>
              <w:left w:val="nil"/>
              <w:right w:val="single" w:sz="4" w:space="0" w:color="auto"/>
            </w:tcBorders>
            <w:shd w:val="clear" w:color="000000" w:fill="FFFFFF"/>
            <w:tcMar>
              <w:top w:w="85" w:type="dxa"/>
            </w:tcMar>
            <w:hideMark/>
          </w:tcPr>
          <w:p w:rsidR="00044170" w:rsidRPr="00781BE0" w:rsidRDefault="00044170" w:rsidP="00D26095">
            <w:pPr>
              <w:ind w:left="218"/>
              <w:rPr>
                <w:sz w:val="16"/>
                <w:szCs w:val="16"/>
              </w:rPr>
            </w:pPr>
            <w:r w:rsidRPr="00781BE0">
              <w:rPr>
                <w:sz w:val="16"/>
                <w:szCs w:val="16"/>
              </w:rPr>
              <w:t xml:space="preserve">Avance del 100% en la Hoja de ruta de gestión de riesgos;  avance del 80% en la Hoja de ruta de  control interno </w:t>
            </w:r>
          </w:p>
        </w:tc>
      </w:tr>
      <w:tr w:rsidR="00044170" w:rsidRPr="00781BE0" w:rsidTr="00295415">
        <w:trPr>
          <w:trHeight w:val="2181"/>
        </w:trPr>
        <w:tc>
          <w:tcPr>
            <w:tcW w:w="2320" w:type="dxa"/>
            <w:tcBorders>
              <w:left w:val="single" w:sz="4" w:space="0" w:color="auto"/>
              <w:bottom w:val="single" w:sz="4" w:space="0" w:color="auto"/>
              <w:right w:val="nil"/>
            </w:tcBorders>
            <w:shd w:val="clear" w:color="000000" w:fill="FFFFFF"/>
            <w:tcMar>
              <w:top w:w="85" w:type="dxa"/>
            </w:tcMar>
            <w:hideMark/>
          </w:tcPr>
          <w:p w:rsidR="00044170" w:rsidRPr="00781BE0" w:rsidRDefault="00044170" w:rsidP="00D26095">
            <w:pPr>
              <w:rPr>
                <w:sz w:val="16"/>
                <w:szCs w:val="16"/>
              </w:rPr>
            </w:pPr>
            <w:r w:rsidRPr="00781BE0">
              <w:rPr>
                <w:sz w:val="16"/>
                <w:szCs w:val="16"/>
              </w:rPr>
              <w:t> </w:t>
            </w:r>
          </w:p>
        </w:tc>
        <w:tc>
          <w:tcPr>
            <w:tcW w:w="2320" w:type="dxa"/>
            <w:tcBorders>
              <w:left w:val="nil"/>
              <w:bottom w:val="single" w:sz="4" w:space="0" w:color="auto"/>
              <w:right w:val="nil"/>
            </w:tcBorders>
            <w:shd w:val="clear" w:color="000000" w:fill="FFFFFF"/>
            <w:tcMar>
              <w:top w:w="85" w:type="dxa"/>
            </w:tcMar>
            <w:hideMark/>
          </w:tcPr>
          <w:p w:rsidR="00044170" w:rsidRPr="00781BE0" w:rsidRDefault="00044170" w:rsidP="00295415">
            <w:pPr>
              <w:ind w:left="-3"/>
              <w:rPr>
                <w:sz w:val="16"/>
                <w:szCs w:val="16"/>
              </w:rPr>
            </w:pPr>
            <w:r w:rsidRPr="00781BE0">
              <w:rPr>
                <w:sz w:val="16"/>
                <w:szCs w:val="16"/>
              </w:rPr>
              <w:t>Seguimiento eficaz de las recomendaciones en materia de supervisión</w:t>
            </w:r>
          </w:p>
        </w:tc>
        <w:tc>
          <w:tcPr>
            <w:tcW w:w="2420" w:type="dxa"/>
            <w:tcBorders>
              <w:left w:val="nil"/>
              <w:bottom w:val="single" w:sz="4" w:space="0" w:color="auto"/>
              <w:right w:val="nil"/>
            </w:tcBorders>
            <w:shd w:val="clear" w:color="000000" w:fill="FFFFFF"/>
            <w:tcMar>
              <w:top w:w="85" w:type="dxa"/>
            </w:tcMar>
            <w:hideMark/>
          </w:tcPr>
          <w:p w:rsidR="00044170" w:rsidRPr="00781BE0" w:rsidRDefault="00044170" w:rsidP="00295415">
            <w:pPr>
              <w:ind w:left="87"/>
              <w:rPr>
                <w:sz w:val="16"/>
                <w:szCs w:val="16"/>
              </w:rPr>
            </w:pPr>
            <w:r w:rsidRPr="00781BE0">
              <w:rPr>
                <w:sz w:val="16"/>
                <w:szCs w:val="16"/>
              </w:rPr>
              <w:t>AE = 47% de las recomendaciones pendientes a fin de 2013 dadas por aplicadas en 2014 (en toda la Organización)</w:t>
            </w:r>
            <w:r w:rsidRPr="00781BE0">
              <w:rPr>
                <w:sz w:val="16"/>
                <w:szCs w:val="16"/>
              </w:rPr>
              <w:br/>
              <w:t>DSI = 64% de las recomendaciones pendientes a fin de 2013 dadas por aplicadas en 2014  (</w:t>
            </w:r>
            <w:proofErr w:type="spellStart"/>
            <w:r w:rsidRPr="00781BE0">
              <w:rPr>
                <w:sz w:val="16"/>
                <w:szCs w:val="16"/>
              </w:rPr>
              <w:t>prog</w:t>
            </w:r>
            <w:proofErr w:type="spellEnd"/>
            <w:r w:rsidR="00295415">
              <w:rPr>
                <w:sz w:val="16"/>
                <w:szCs w:val="16"/>
              </w:rPr>
              <w:t>.</w:t>
            </w:r>
            <w:r w:rsidRPr="00781BE0">
              <w:rPr>
                <w:sz w:val="16"/>
                <w:szCs w:val="16"/>
              </w:rPr>
              <w:t xml:space="preserve"> 22)</w:t>
            </w:r>
            <w:r w:rsidRPr="00781BE0">
              <w:rPr>
                <w:sz w:val="16"/>
                <w:szCs w:val="16"/>
              </w:rPr>
              <w:br/>
              <w:t>DCI = 61% de las recomendaciones pendientes a fin de 2013 dadas por aplicadas en 2014 (comenzando en 2010)</w:t>
            </w:r>
          </w:p>
        </w:tc>
        <w:tc>
          <w:tcPr>
            <w:tcW w:w="2311" w:type="dxa"/>
            <w:tcBorders>
              <w:left w:val="nil"/>
              <w:bottom w:val="single" w:sz="4" w:space="0" w:color="auto"/>
              <w:right w:val="single" w:sz="4" w:space="0" w:color="auto"/>
            </w:tcBorders>
            <w:shd w:val="clear" w:color="000000" w:fill="FFFFFF"/>
            <w:tcMar>
              <w:top w:w="85" w:type="dxa"/>
            </w:tcMar>
            <w:hideMark/>
          </w:tcPr>
          <w:p w:rsidR="00044170" w:rsidRPr="00781BE0" w:rsidRDefault="00044170" w:rsidP="00D26095">
            <w:pPr>
              <w:ind w:left="218"/>
              <w:rPr>
                <w:sz w:val="16"/>
                <w:szCs w:val="16"/>
              </w:rPr>
            </w:pPr>
            <w:r w:rsidRPr="00781BE0">
              <w:rPr>
                <w:sz w:val="16"/>
                <w:szCs w:val="16"/>
              </w:rPr>
              <w:t xml:space="preserve">AE = 55% de las recomendaciones pendientes a fin de 2015 dadas por aplicadas en 2016/17 </w:t>
            </w:r>
          </w:p>
          <w:p w:rsidR="00044170" w:rsidRPr="00781BE0" w:rsidRDefault="00044170" w:rsidP="00D26095">
            <w:pPr>
              <w:ind w:left="218"/>
              <w:rPr>
                <w:sz w:val="16"/>
                <w:szCs w:val="16"/>
              </w:rPr>
            </w:pPr>
            <w:r w:rsidRPr="00781BE0">
              <w:rPr>
                <w:sz w:val="16"/>
                <w:szCs w:val="16"/>
              </w:rPr>
              <w:t>DSI = 70% de las recomendaciones pendientes a fin de 2015 dadas por aplicadas en 2016/17</w:t>
            </w:r>
          </w:p>
          <w:p w:rsidR="00044170" w:rsidRPr="00781BE0" w:rsidRDefault="00044170" w:rsidP="00295415">
            <w:pPr>
              <w:ind w:left="218"/>
              <w:rPr>
                <w:sz w:val="16"/>
                <w:szCs w:val="16"/>
              </w:rPr>
            </w:pPr>
            <w:r w:rsidRPr="00781BE0">
              <w:rPr>
                <w:sz w:val="16"/>
                <w:szCs w:val="16"/>
              </w:rPr>
              <w:t>DCI = 70% de las recomendaciones pendientes a fin de 2015 dadas por aplicadas en 2016/17 (</w:t>
            </w:r>
            <w:r w:rsidR="00295415">
              <w:rPr>
                <w:sz w:val="16"/>
                <w:szCs w:val="16"/>
              </w:rPr>
              <w:t>desde</w:t>
            </w:r>
            <w:r w:rsidRPr="00781BE0">
              <w:rPr>
                <w:sz w:val="16"/>
                <w:szCs w:val="16"/>
              </w:rPr>
              <w:t xml:space="preserve"> en 2010)</w:t>
            </w:r>
          </w:p>
        </w:tc>
      </w:tr>
    </w:tbl>
    <w:p w:rsidR="00044170" w:rsidRPr="00781BE0" w:rsidRDefault="00044170" w:rsidP="00044170">
      <w:pPr>
        <w:rPr>
          <w:sz w:val="20"/>
        </w:rPr>
      </w:pPr>
    </w:p>
    <w:p w:rsidR="00025C8D" w:rsidRDefault="00025C8D" w:rsidP="001F08EF">
      <w:pPr>
        <w:rPr>
          <w:sz w:val="20"/>
        </w:rPr>
      </w:pPr>
    </w:p>
    <w:p w:rsidR="00025C8D" w:rsidRPr="00446D89" w:rsidRDefault="00446D89" w:rsidP="001F08EF">
      <w:r>
        <w:t>RECURSOS PARA EL PROGRAMA</w:t>
      </w:r>
      <w:r w:rsidR="00025C8D" w:rsidRPr="00446D89">
        <w:t xml:space="preserve"> 22</w:t>
      </w:r>
    </w:p>
    <w:p w:rsidR="00025C8D" w:rsidRPr="00446D89" w:rsidRDefault="00025C8D" w:rsidP="001F08EF"/>
    <w:p w:rsidR="00025C8D" w:rsidRPr="00446D89" w:rsidRDefault="00446D89" w:rsidP="001F08EF">
      <w:pPr>
        <w:numPr>
          <w:ilvl w:val="0"/>
          <w:numId w:val="43"/>
        </w:numPr>
        <w:jc w:val="both"/>
        <w:rPr>
          <w:rFonts w:eastAsia="Times New Roman"/>
          <w:sz w:val="20"/>
        </w:rPr>
      </w:pPr>
      <w:r w:rsidRPr="00892A2A">
        <w:rPr>
          <w:sz w:val="20"/>
        </w:rPr>
        <w:t>En 2016/17, puede observarse un aumento de 5 millones de francos suizos con respecto al presupuesto de 2014/</w:t>
      </w:r>
      <w:r w:rsidR="00ED0A05">
        <w:rPr>
          <w:sz w:val="20"/>
        </w:rPr>
        <w:t>15 tras las</w:t>
      </w:r>
      <w:r w:rsidRPr="00892A2A">
        <w:rPr>
          <w:sz w:val="20"/>
        </w:rPr>
        <w:t xml:space="preserve"> transferencias.  El incremento neto en el marco del resultado previsto IX.1 se debe principalmente a la dotación adicional de 1,6 millones de francos suizos de recursos </w:t>
      </w:r>
      <w:r w:rsidR="00DE0A62">
        <w:rPr>
          <w:sz w:val="20"/>
        </w:rPr>
        <w:t>no relativos a personal</w:t>
      </w:r>
      <w:r w:rsidRPr="00892A2A">
        <w:rPr>
          <w:sz w:val="20"/>
        </w:rPr>
        <w:t xml:space="preserve"> para la integración de los nuevos módulos y capacidades del sistema de PRI en las actividades de la Organización, así como un aumento adicional de 4,3 millones de francos suizos en el marco del resultado previsto IX.</w:t>
      </w:r>
      <w:r w:rsidR="00995B30">
        <w:rPr>
          <w:sz w:val="20"/>
        </w:rPr>
        <w:t>2</w:t>
      </w:r>
      <w:r w:rsidRPr="00892A2A">
        <w:rPr>
          <w:sz w:val="20"/>
        </w:rPr>
        <w:t>, relativo a la asignación correspondiente a los tipos de interés negativos sobre los depósitos en francos suizos (2,4 millones de francos suizos) y al aumento reglamentario de los gastos de personal.</w:t>
      </w:r>
      <w:r w:rsidR="0049229A">
        <w:rPr>
          <w:sz w:val="20"/>
        </w:rPr>
        <w:t xml:space="preserve"> </w:t>
      </w:r>
      <w:r w:rsidRPr="00892A2A">
        <w:rPr>
          <w:sz w:val="20"/>
        </w:rPr>
        <w:t xml:space="preserve"> En el aumento marginal, en </w:t>
      </w:r>
      <w:r>
        <w:rPr>
          <w:sz w:val="20"/>
        </w:rPr>
        <w:t>el marco del resultado previsto </w:t>
      </w:r>
      <w:r w:rsidRPr="00892A2A">
        <w:rPr>
          <w:sz w:val="20"/>
        </w:rPr>
        <w:t>IX.3, se tienen en cuenta los recursos previstos para la gestión del riesgo institucional, el fortalecimiento de los controles internos y la transferencia de responsabilidades con respecto a la coordinación de la DCI y los costos conexos desde el programa 24 (Servicios</w:t>
      </w:r>
      <w:r w:rsidR="00995B30">
        <w:rPr>
          <w:sz w:val="20"/>
        </w:rPr>
        <w:t xml:space="preserve"> generales </w:t>
      </w:r>
      <w:r w:rsidRPr="00892A2A">
        <w:rPr>
          <w:sz w:val="20"/>
        </w:rPr>
        <w:t>de apoyo) al programa.</w:t>
      </w:r>
      <w:r w:rsidR="00025C8D" w:rsidRPr="00446D89">
        <w:rPr>
          <w:rFonts w:eastAsia="Times New Roman"/>
          <w:sz w:val="20"/>
        </w:rPr>
        <w:t xml:space="preserve"> </w:t>
      </w:r>
    </w:p>
    <w:p w:rsidR="00025C8D" w:rsidRPr="00446D89" w:rsidRDefault="00025C8D" w:rsidP="001F08EF">
      <w:pPr>
        <w:ind w:left="6"/>
        <w:jc w:val="both"/>
        <w:rPr>
          <w:rFonts w:eastAsia="Times New Roman"/>
          <w:sz w:val="20"/>
        </w:rPr>
      </w:pPr>
    </w:p>
    <w:p w:rsidR="00025C8D" w:rsidRPr="00426D53" w:rsidRDefault="00426D53" w:rsidP="001F08EF">
      <w:pPr>
        <w:numPr>
          <w:ilvl w:val="0"/>
          <w:numId w:val="43"/>
        </w:numPr>
        <w:jc w:val="both"/>
        <w:rPr>
          <w:rFonts w:eastAsia="Times New Roman"/>
          <w:sz w:val="20"/>
        </w:rPr>
      </w:pPr>
      <w:r w:rsidRPr="00892A2A">
        <w:rPr>
          <w:sz w:val="20"/>
        </w:rPr>
        <w:t xml:space="preserve">Los recursos </w:t>
      </w:r>
      <w:bookmarkStart w:id="75" w:name="_GoBack"/>
      <w:bookmarkEnd w:id="75"/>
      <w:r w:rsidRPr="00892A2A">
        <w:rPr>
          <w:sz w:val="20"/>
        </w:rPr>
        <w:t xml:space="preserve">vinculados con el resultado previsto IX.8 reflejan la asignación presupuestaria al </w:t>
      </w:r>
      <w:r w:rsidR="006F39F7" w:rsidRPr="00892A2A">
        <w:rPr>
          <w:sz w:val="20"/>
        </w:rPr>
        <w:t>Auditor Extern</w:t>
      </w:r>
      <w:r w:rsidR="006F39F7">
        <w:rPr>
          <w:sz w:val="20"/>
        </w:rPr>
        <w:t>o y a la Comisión Consultiva Independiente de Supervisión (CCIS).  La dotación de recursos de personal para la CCIS asciende a 446.</w:t>
      </w:r>
      <w:r w:rsidR="008D2EB6">
        <w:rPr>
          <w:sz w:val="20"/>
        </w:rPr>
        <w:t>6</w:t>
      </w:r>
      <w:r w:rsidR="006F39F7">
        <w:rPr>
          <w:sz w:val="20"/>
        </w:rPr>
        <w:t>00 francos suizos, un aumento del 14% respecto del presupuesto aprobado de 2014/15.</w:t>
      </w:r>
    </w:p>
    <w:p w:rsidR="00025C8D" w:rsidRPr="00426D53" w:rsidRDefault="00025C8D" w:rsidP="00025C8D">
      <w:pPr>
        <w:pStyle w:val="NormalWeb"/>
        <w:shd w:val="clear" w:color="auto" w:fill="FFFFFF"/>
        <w:rPr>
          <w:rFonts w:ascii="Calibri" w:hAnsi="Calibri"/>
          <w:color w:val="000000"/>
          <w:lang w:val="es-ES"/>
        </w:rPr>
      </w:pPr>
    </w:p>
    <w:p w:rsidR="006F2F5E" w:rsidRPr="00426D53" w:rsidRDefault="006F2F5E">
      <w:pPr>
        <w:rPr>
          <w:b/>
          <w:sz w:val="20"/>
          <w:szCs w:val="24"/>
        </w:rPr>
      </w:pPr>
    </w:p>
    <w:p w:rsidR="00D26095" w:rsidRPr="001744A9" w:rsidRDefault="00D26095" w:rsidP="00D26095">
      <w:pPr>
        <w:tabs>
          <w:tab w:val="left" w:pos="1427"/>
        </w:tabs>
        <w:jc w:val="center"/>
        <w:rPr>
          <w:sz w:val="20"/>
          <w:lang w:val="es-ES_tradnl"/>
        </w:rPr>
      </w:pPr>
      <w:r w:rsidRPr="001744A9">
        <w:rPr>
          <w:b/>
          <w:sz w:val="20"/>
          <w:lang w:val="es-ES_tradnl"/>
        </w:rPr>
        <w:t>Programa 22</w:t>
      </w:r>
      <w:proofErr w:type="gramStart"/>
      <w:r w:rsidRPr="001744A9">
        <w:rPr>
          <w:b/>
          <w:sz w:val="20"/>
          <w:lang w:val="es-ES_tradnl"/>
        </w:rPr>
        <w:t>:  Recursos</w:t>
      </w:r>
      <w:proofErr w:type="gramEnd"/>
      <w:r w:rsidRPr="001744A9">
        <w:rPr>
          <w:b/>
          <w:sz w:val="20"/>
          <w:lang w:val="es-ES_tradnl"/>
        </w:rPr>
        <w:t xml:space="preserve"> por resultado</w:t>
      </w:r>
    </w:p>
    <w:p w:rsidR="00025C8D" w:rsidRPr="001744A9" w:rsidRDefault="00D26095" w:rsidP="00D26095">
      <w:pPr>
        <w:tabs>
          <w:tab w:val="left" w:pos="1427"/>
        </w:tabs>
        <w:jc w:val="center"/>
        <w:rPr>
          <w:i/>
          <w:sz w:val="20"/>
          <w:szCs w:val="24"/>
          <w:lang w:val="es-ES_tradnl"/>
        </w:rPr>
      </w:pPr>
      <w:r w:rsidRPr="001744A9">
        <w:rPr>
          <w:i/>
          <w:sz w:val="20"/>
          <w:szCs w:val="24"/>
          <w:lang w:val="es-ES_tradnl"/>
        </w:rPr>
        <w:t>(</w:t>
      </w:r>
      <w:proofErr w:type="gramStart"/>
      <w:r w:rsidRPr="001744A9">
        <w:rPr>
          <w:i/>
          <w:sz w:val="20"/>
          <w:szCs w:val="24"/>
          <w:lang w:val="es-ES_tradnl"/>
        </w:rPr>
        <w:t>en</w:t>
      </w:r>
      <w:proofErr w:type="gramEnd"/>
      <w:r w:rsidRPr="001744A9">
        <w:rPr>
          <w:i/>
          <w:sz w:val="20"/>
          <w:szCs w:val="24"/>
          <w:lang w:val="es-ES_tradnl"/>
        </w:rPr>
        <w:t xml:space="preserve"> miles de francos suizos)</w:t>
      </w:r>
    </w:p>
    <w:p w:rsidR="00025C8D" w:rsidRPr="00D26095" w:rsidRDefault="00025C8D" w:rsidP="00025C8D">
      <w:pPr>
        <w:tabs>
          <w:tab w:val="left" w:pos="1427"/>
        </w:tabs>
        <w:jc w:val="center"/>
        <w:rPr>
          <w:i/>
          <w:sz w:val="20"/>
          <w:szCs w:val="24"/>
          <w:lang w:val="es-ES_tradnl"/>
        </w:rPr>
      </w:pPr>
    </w:p>
    <w:p w:rsidR="00025C8D" w:rsidRDefault="00295415" w:rsidP="00025C8D">
      <w:pPr>
        <w:tabs>
          <w:tab w:val="left" w:pos="1427"/>
        </w:tabs>
        <w:jc w:val="center"/>
        <w:rPr>
          <w:i/>
          <w:sz w:val="20"/>
          <w:szCs w:val="24"/>
        </w:rPr>
      </w:pPr>
      <w:r w:rsidRPr="00295415">
        <w:rPr>
          <w:noProof/>
          <w:lang w:val="en-US" w:eastAsia="en-US"/>
        </w:rPr>
        <w:drawing>
          <wp:inline distT="0" distB="0" distL="0" distR="0">
            <wp:extent cx="5677535" cy="3084830"/>
            <wp:effectExtent l="0" t="0" r="0" b="127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677535" cy="3084830"/>
                    </a:xfrm>
                    <a:prstGeom prst="rect">
                      <a:avLst/>
                    </a:prstGeom>
                    <a:noFill/>
                    <a:ln>
                      <a:noFill/>
                    </a:ln>
                  </pic:spPr>
                </pic:pic>
              </a:graphicData>
            </a:graphic>
          </wp:inline>
        </w:drawing>
      </w:r>
    </w:p>
    <w:p w:rsidR="00025C8D" w:rsidRDefault="00025C8D" w:rsidP="00025C8D">
      <w:pPr>
        <w:tabs>
          <w:tab w:val="left" w:pos="1427"/>
        </w:tabs>
        <w:rPr>
          <w:i/>
          <w:sz w:val="20"/>
          <w:szCs w:val="24"/>
        </w:rPr>
      </w:pPr>
    </w:p>
    <w:p w:rsidR="00025C8D" w:rsidRDefault="00025C8D" w:rsidP="00025C8D">
      <w:pPr>
        <w:tabs>
          <w:tab w:val="left" w:pos="1427"/>
        </w:tabs>
        <w:rPr>
          <w:i/>
          <w:sz w:val="20"/>
          <w:szCs w:val="24"/>
        </w:rPr>
      </w:pPr>
    </w:p>
    <w:p w:rsidR="00025C8D" w:rsidRDefault="00025C8D" w:rsidP="00025C8D">
      <w:pPr>
        <w:rPr>
          <w:b/>
          <w:sz w:val="20"/>
          <w:szCs w:val="24"/>
        </w:rPr>
      </w:pPr>
      <w:r>
        <w:rPr>
          <w:b/>
          <w:sz w:val="20"/>
          <w:szCs w:val="24"/>
        </w:rPr>
        <w:br w:type="page"/>
      </w:r>
    </w:p>
    <w:p w:rsidR="00D26095" w:rsidRPr="005012AC" w:rsidRDefault="00D26095" w:rsidP="00D26095">
      <w:pPr>
        <w:tabs>
          <w:tab w:val="left" w:pos="1427"/>
        </w:tabs>
        <w:jc w:val="center"/>
        <w:rPr>
          <w:sz w:val="20"/>
          <w:lang w:val="es-ES_tradnl"/>
        </w:rPr>
      </w:pPr>
      <w:r w:rsidRPr="005012AC">
        <w:rPr>
          <w:b/>
          <w:sz w:val="20"/>
          <w:lang w:val="es-ES_tradnl"/>
        </w:rPr>
        <w:lastRenderedPageBreak/>
        <w:t>Programa 22</w:t>
      </w:r>
      <w:proofErr w:type="gramStart"/>
      <w:r w:rsidRPr="005012AC">
        <w:rPr>
          <w:b/>
          <w:sz w:val="20"/>
          <w:lang w:val="es-ES_tradnl"/>
        </w:rPr>
        <w:t>:  Recursos</w:t>
      </w:r>
      <w:proofErr w:type="gramEnd"/>
      <w:r w:rsidRPr="005012AC">
        <w:rPr>
          <w:b/>
          <w:sz w:val="20"/>
          <w:lang w:val="es-ES_tradnl"/>
        </w:rPr>
        <w:t xml:space="preserve"> por objeto de gasto</w:t>
      </w:r>
    </w:p>
    <w:p w:rsidR="00025C8D" w:rsidRPr="005012AC" w:rsidRDefault="00D26095" w:rsidP="00D26095">
      <w:pPr>
        <w:tabs>
          <w:tab w:val="left" w:pos="1427"/>
        </w:tabs>
        <w:jc w:val="center"/>
        <w:rPr>
          <w:i/>
          <w:sz w:val="20"/>
          <w:szCs w:val="24"/>
          <w:lang w:val="es-ES_tradnl"/>
        </w:rPr>
      </w:pPr>
      <w:r w:rsidRPr="005012AC">
        <w:rPr>
          <w:i/>
          <w:sz w:val="20"/>
          <w:szCs w:val="24"/>
          <w:lang w:val="es-ES_tradnl"/>
        </w:rPr>
        <w:t>(</w:t>
      </w:r>
      <w:proofErr w:type="gramStart"/>
      <w:r w:rsidRPr="005012AC">
        <w:rPr>
          <w:i/>
          <w:sz w:val="20"/>
          <w:szCs w:val="24"/>
          <w:lang w:val="es-ES_tradnl"/>
        </w:rPr>
        <w:t>en</w:t>
      </w:r>
      <w:proofErr w:type="gramEnd"/>
      <w:r w:rsidRPr="005012AC">
        <w:rPr>
          <w:i/>
          <w:sz w:val="20"/>
          <w:szCs w:val="24"/>
          <w:lang w:val="es-ES_tradnl"/>
        </w:rPr>
        <w:t xml:space="preserve"> miles de francos suizos)</w:t>
      </w:r>
    </w:p>
    <w:p w:rsidR="00025C8D" w:rsidRPr="005012AC" w:rsidRDefault="00025C8D" w:rsidP="00025C8D">
      <w:pPr>
        <w:tabs>
          <w:tab w:val="left" w:pos="1427"/>
        </w:tabs>
        <w:jc w:val="center"/>
        <w:rPr>
          <w:i/>
          <w:sz w:val="20"/>
          <w:szCs w:val="24"/>
          <w:lang w:val="es-ES_tradnl"/>
        </w:rPr>
      </w:pPr>
    </w:p>
    <w:p w:rsidR="00025C8D" w:rsidRDefault="00835617" w:rsidP="00025C8D">
      <w:pPr>
        <w:jc w:val="center"/>
        <w:rPr>
          <w:sz w:val="20"/>
        </w:rPr>
      </w:pPr>
      <w:r>
        <w:rPr>
          <w:noProof/>
          <w:lang w:val="en-US" w:eastAsia="en-US"/>
        </w:rPr>
        <w:drawing>
          <wp:inline distT="0" distB="0" distL="0" distR="0" wp14:anchorId="64BCADF5" wp14:editId="356A8D0F">
            <wp:extent cx="5940425" cy="6128285"/>
            <wp:effectExtent l="0" t="0" r="3175" b="6350"/>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940425" cy="6128285"/>
                    </a:xfrm>
                    <a:prstGeom prst="rect">
                      <a:avLst/>
                    </a:prstGeom>
                    <a:noFill/>
                    <a:ln>
                      <a:noFill/>
                    </a:ln>
                  </pic:spPr>
                </pic:pic>
              </a:graphicData>
            </a:graphic>
          </wp:inline>
        </w:drawing>
      </w:r>
    </w:p>
    <w:p w:rsidR="00025C8D" w:rsidRPr="0082048C" w:rsidRDefault="00025C8D" w:rsidP="00025C8D">
      <w:pPr>
        <w:rPr>
          <w:sz w:val="20"/>
        </w:rPr>
      </w:pPr>
    </w:p>
    <w:p w:rsidR="007B412B" w:rsidRDefault="007B412B" w:rsidP="00336FF1">
      <w:pPr>
        <w:shd w:val="clear" w:color="auto" w:fill="FFFFFF"/>
        <w:tabs>
          <w:tab w:val="left" w:pos="709"/>
        </w:tabs>
        <w:suppressAutoHyphens/>
        <w:jc w:val="both"/>
        <w:rPr>
          <w:szCs w:val="22"/>
        </w:rPr>
      </w:pPr>
    </w:p>
    <w:p w:rsidR="00D26095" w:rsidRDefault="00D26095">
      <w:pPr>
        <w:rPr>
          <w:szCs w:val="22"/>
        </w:rPr>
      </w:pPr>
      <w:r>
        <w:rPr>
          <w:szCs w:val="22"/>
        </w:rPr>
        <w:br w:type="page"/>
      </w:r>
    </w:p>
    <w:p w:rsidR="00D26095" w:rsidRPr="00F12B73" w:rsidRDefault="00F12B73" w:rsidP="00F12B73">
      <w:pPr>
        <w:pStyle w:val="StyleStyleHeading3ComplexItalicLatin12pt"/>
        <w:rPr>
          <w:lang w:val="es-ES"/>
        </w:rPr>
      </w:pPr>
      <w:bookmarkStart w:id="76" w:name="_Toc420681163"/>
      <w:r w:rsidRPr="00F12B73">
        <w:rPr>
          <w:caps w:val="0"/>
          <w:lang w:val="es-ES"/>
        </w:rPr>
        <w:lastRenderedPageBreak/>
        <w:t>PROGRAMA 23</w:t>
      </w:r>
      <w:r w:rsidRPr="00F12B73">
        <w:rPr>
          <w:caps w:val="0"/>
          <w:lang w:val="es-ES"/>
        </w:rPr>
        <w:tab/>
        <w:t>GESTIÓN Y DESARROLLO DE LOS RECURSOS HUMANOS</w:t>
      </w:r>
      <w:bookmarkEnd w:id="76"/>
    </w:p>
    <w:p w:rsidR="00D26095" w:rsidRPr="00B46E56" w:rsidRDefault="00D26095" w:rsidP="00D26095">
      <w:pPr>
        <w:rPr>
          <w:lang w:val="es-ES_tradnl"/>
        </w:rPr>
      </w:pPr>
    </w:p>
    <w:p w:rsidR="00D26095" w:rsidRPr="00B46E56" w:rsidRDefault="00D26095" w:rsidP="00D26095">
      <w:pPr>
        <w:rPr>
          <w:sz w:val="20"/>
          <w:lang w:val="es-ES_tradnl"/>
        </w:rPr>
      </w:pPr>
    </w:p>
    <w:p w:rsidR="00D26095" w:rsidRPr="00B46E56" w:rsidRDefault="00D26095" w:rsidP="00D26095">
      <w:pPr>
        <w:rPr>
          <w:lang w:val="es-ES_tradnl"/>
        </w:rPr>
      </w:pPr>
      <w:r w:rsidRPr="00B46E56">
        <w:rPr>
          <w:lang w:val="es-ES_tradnl"/>
        </w:rPr>
        <w:t>CONTEXTO DE PLANIFICACIÓN</w:t>
      </w:r>
    </w:p>
    <w:p w:rsidR="00D26095" w:rsidRPr="00B46E56" w:rsidRDefault="00D26095" w:rsidP="00D26095">
      <w:pPr>
        <w:rPr>
          <w:sz w:val="20"/>
          <w:lang w:val="es-ES_tradnl"/>
        </w:rPr>
      </w:pPr>
    </w:p>
    <w:p w:rsidR="00D26095" w:rsidRPr="00B2103B" w:rsidRDefault="00D26095" w:rsidP="00D26095">
      <w:pPr>
        <w:pStyle w:val="ListParagraph"/>
        <w:numPr>
          <w:ilvl w:val="0"/>
          <w:numId w:val="44"/>
        </w:numPr>
        <w:tabs>
          <w:tab w:val="left" w:pos="709"/>
        </w:tabs>
        <w:ind w:left="0" w:firstLine="0"/>
        <w:jc w:val="both"/>
        <w:rPr>
          <w:rFonts w:ascii="Arial" w:hAnsi="Arial" w:cs="Arial"/>
          <w:sz w:val="20"/>
          <w:szCs w:val="20"/>
          <w:lang w:val="es-ES_tradnl"/>
        </w:rPr>
      </w:pPr>
      <w:r w:rsidRPr="00B2103B">
        <w:rPr>
          <w:rFonts w:ascii="Arial" w:hAnsi="Arial" w:cs="Arial"/>
          <w:sz w:val="20"/>
          <w:szCs w:val="20"/>
          <w:lang w:val="es-ES_tradnl"/>
        </w:rPr>
        <w:t>Con el fin de lograr sus objetivos fundamentales, la OMPI debe contar con una Secretaría eficaz que disponga de un personal bien dirigido y con las competencias adecuadas, además de políticas claras, procedimientos eficaces y sistemas modernos.  Muchos de los retos a que se enfrenta la Organización en este contexto han sido abordados mediante la aplicación de la estrategia de recursos humanos.  No obstante, todavía quedan algunos retos por abordar, en particular, l</w:t>
      </w:r>
      <w:r w:rsidR="00B2103B">
        <w:rPr>
          <w:rFonts w:ascii="Arial" w:hAnsi="Arial" w:cs="Arial"/>
          <w:sz w:val="20"/>
          <w:szCs w:val="20"/>
          <w:lang w:val="es-ES_tradnl"/>
        </w:rPr>
        <w:t>ograr que</w:t>
      </w:r>
      <w:r w:rsidRPr="00B2103B">
        <w:rPr>
          <w:rFonts w:ascii="Arial" w:hAnsi="Arial" w:cs="Arial"/>
          <w:sz w:val="20"/>
          <w:szCs w:val="20"/>
          <w:lang w:val="es-ES_tradnl"/>
        </w:rPr>
        <w:t xml:space="preserve"> las competencias y aptitudes </w:t>
      </w:r>
      <w:r w:rsidR="00B2103B">
        <w:rPr>
          <w:rFonts w:ascii="Arial" w:hAnsi="Arial" w:cs="Arial"/>
          <w:sz w:val="20"/>
          <w:szCs w:val="20"/>
          <w:lang w:val="es-ES_tradnl"/>
        </w:rPr>
        <w:t>del personal permitan</w:t>
      </w:r>
      <w:r w:rsidRPr="00B2103B">
        <w:rPr>
          <w:rFonts w:ascii="Arial" w:hAnsi="Arial" w:cs="Arial"/>
          <w:sz w:val="20"/>
          <w:szCs w:val="20"/>
          <w:lang w:val="es-ES_tradnl"/>
        </w:rPr>
        <w:t xml:space="preserve"> satisfacer las necesidades de la Organización</w:t>
      </w:r>
      <w:r w:rsidR="00B2103B">
        <w:rPr>
          <w:rFonts w:ascii="Arial" w:hAnsi="Arial" w:cs="Arial"/>
          <w:sz w:val="20"/>
          <w:szCs w:val="20"/>
          <w:lang w:val="es-ES_tradnl"/>
        </w:rPr>
        <w:t xml:space="preserve"> en constante evolución</w:t>
      </w:r>
      <w:r w:rsidRPr="00B2103B">
        <w:rPr>
          <w:rFonts w:ascii="Arial" w:hAnsi="Arial" w:cs="Arial"/>
          <w:sz w:val="20"/>
          <w:szCs w:val="20"/>
          <w:lang w:val="es-ES_tradnl"/>
        </w:rPr>
        <w:t xml:space="preserve">, </w:t>
      </w:r>
      <w:r w:rsidR="00B2103B">
        <w:rPr>
          <w:rFonts w:ascii="Arial" w:hAnsi="Arial" w:cs="Arial"/>
          <w:sz w:val="20"/>
          <w:szCs w:val="20"/>
          <w:lang w:val="es-ES_tradnl"/>
        </w:rPr>
        <w:t>y mejorar la situación en torn</w:t>
      </w:r>
      <w:r w:rsidRPr="00B2103B">
        <w:rPr>
          <w:rFonts w:ascii="Arial" w:hAnsi="Arial" w:cs="Arial"/>
          <w:sz w:val="20"/>
          <w:szCs w:val="20"/>
          <w:lang w:val="es-ES_tradnl"/>
        </w:rPr>
        <w:t xml:space="preserve">o </w:t>
      </w:r>
      <w:r w:rsidR="00B2103B">
        <w:rPr>
          <w:rFonts w:ascii="Arial" w:hAnsi="Arial" w:cs="Arial"/>
          <w:sz w:val="20"/>
          <w:szCs w:val="20"/>
          <w:lang w:val="es-ES_tradnl"/>
        </w:rPr>
        <w:t>a</w:t>
      </w:r>
      <w:r w:rsidRPr="00B2103B">
        <w:rPr>
          <w:rFonts w:ascii="Arial" w:hAnsi="Arial" w:cs="Arial"/>
          <w:sz w:val="20"/>
          <w:szCs w:val="20"/>
          <w:lang w:val="es-ES_tradnl"/>
        </w:rPr>
        <w:t>l equilibrio de género y la diversidad de la representación geográfica.</w:t>
      </w:r>
    </w:p>
    <w:p w:rsidR="00D26095" w:rsidRPr="00B46E56" w:rsidRDefault="00D26095" w:rsidP="00D26095">
      <w:pPr>
        <w:pStyle w:val="ListParagraph"/>
        <w:ind w:left="0"/>
        <w:jc w:val="both"/>
        <w:rPr>
          <w:rFonts w:ascii="Arial" w:hAnsi="Arial" w:cs="Arial"/>
          <w:sz w:val="20"/>
          <w:szCs w:val="20"/>
          <w:lang w:val="es-ES_tradnl"/>
        </w:rPr>
      </w:pPr>
    </w:p>
    <w:p w:rsidR="00D26095" w:rsidRPr="00B2103B" w:rsidRDefault="00D26095" w:rsidP="00D26095">
      <w:pPr>
        <w:pStyle w:val="ListParagraph"/>
        <w:numPr>
          <w:ilvl w:val="0"/>
          <w:numId w:val="44"/>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La </w:t>
      </w:r>
      <w:r w:rsidR="00B2103B">
        <w:rPr>
          <w:rFonts w:ascii="Arial" w:hAnsi="Arial" w:cs="Arial"/>
          <w:sz w:val="20"/>
          <w:szCs w:val="20"/>
          <w:lang w:val="es-ES_tradnl"/>
        </w:rPr>
        <w:t xml:space="preserve">puesta en </w:t>
      </w:r>
      <w:r w:rsidRPr="00B2103B">
        <w:rPr>
          <w:rFonts w:ascii="Arial" w:hAnsi="Arial" w:cs="Arial"/>
          <w:sz w:val="20"/>
          <w:szCs w:val="20"/>
          <w:lang w:val="es-ES_tradnl"/>
        </w:rPr>
        <w:t xml:space="preserve">aplicación del sistema de planificación de los recursos institucionales (PRI) en este bienio permitirá una mayor integración de </w:t>
      </w:r>
      <w:r w:rsidR="00B2103B">
        <w:rPr>
          <w:rFonts w:ascii="Arial" w:hAnsi="Arial" w:cs="Arial"/>
          <w:sz w:val="20"/>
          <w:szCs w:val="20"/>
          <w:lang w:val="es-ES_tradnl"/>
        </w:rPr>
        <w:t xml:space="preserve">los </w:t>
      </w:r>
      <w:r w:rsidRPr="00B2103B">
        <w:rPr>
          <w:rFonts w:ascii="Arial" w:hAnsi="Arial" w:cs="Arial"/>
          <w:sz w:val="20"/>
          <w:szCs w:val="20"/>
          <w:lang w:val="es-ES_tradnl"/>
        </w:rPr>
        <w:t>sistemas y procedimientos en materia de recursos humanos en el Departamento de Gestión de Recursos Humanos, y también en el resto de la Organización.</w:t>
      </w:r>
    </w:p>
    <w:p w:rsidR="00D26095" w:rsidRPr="00B46E56" w:rsidRDefault="00D26095" w:rsidP="00D26095">
      <w:pPr>
        <w:rPr>
          <w:sz w:val="20"/>
          <w:lang w:val="es-ES_tradnl"/>
        </w:rPr>
      </w:pPr>
    </w:p>
    <w:p w:rsidR="00D26095" w:rsidRPr="00B46E56" w:rsidRDefault="00D26095" w:rsidP="00D26095">
      <w:pPr>
        <w:rPr>
          <w:sz w:val="20"/>
          <w:lang w:val="es-ES_tradnl"/>
        </w:rPr>
      </w:pPr>
    </w:p>
    <w:p w:rsidR="00D26095" w:rsidRPr="00B46E56" w:rsidRDefault="00D26095" w:rsidP="00D26095">
      <w:pPr>
        <w:rPr>
          <w:lang w:val="es-ES_tradnl"/>
        </w:rPr>
      </w:pPr>
      <w:r w:rsidRPr="00B46E56">
        <w:rPr>
          <w:lang w:val="es-ES_tradnl"/>
        </w:rPr>
        <w:t>ESTRATEGIAS DE EJECUCIÓN</w:t>
      </w:r>
    </w:p>
    <w:p w:rsidR="00D26095" w:rsidRPr="00B46E56" w:rsidRDefault="00D26095" w:rsidP="00D26095">
      <w:pPr>
        <w:rPr>
          <w:sz w:val="20"/>
          <w:lang w:val="es-ES_tradnl"/>
        </w:rPr>
      </w:pPr>
    </w:p>
    <w:p w:rsidR="00D26095" w:rsidRPr="00B46E56" w:rsidRDefault="00D26095" w:rsidP="00D26095">
      <w:pPr>
        <w:pStyle w:val="ListParagraph"/>
        <w:numPr>
          <w:ilvl w:val="0"/>
          <w:numId w:val="44"/>
        </w:numPr>
        <w:ind w:left="0" w:firstLine="0"/>
        <w:jc w:val="both"/>
        <w:rPr>
          <w:rFonts w:ascii="Arial" w:hAnsi="Arial" w:cs="Arial"/>
          <w:sz w:val="20"/>
          <w:szCs w:val="20"/>
          <w:lang w:val="es-ES_tradnl"/>
        </w:rPr>
      </w:pPr>
      <w:r w:rsidRPr="00B46E56">
        <w:rPr>
          <w:rFonts w:ascii="Arial" w:hAnsi="Arial" w:cs="Arial"/>
          <w:sz w:val="20"/>
          <w:szCs w:val="20"/>
          <w:lang w:val="es-ES_tradnl"/>
        </w:rPr>
        <w:t xml:space="preserve">El equilibrio de género y la diversidad de la representación geográfica serán objeto de particular atención en este bienio.  Se continuarán los esfuerzos por reforzar las capacidades de gestión y dirección de las mujeres en la Organización, con objeto de que puedan </w:t>
      </w:r>
      <w:r w:rsidR="00EB06D0">
        <w:rPr>
          <w:rFonts w:ascii="Arial" w:hAnsi="Arial" w:cs="Arial"/>
          <w:sz w:val="20"/>
          <w:szCs w:val="20"/>
          <w:lang w:val="es-ES_tradnl"/>
        </w:rPr>
        <w:t>ocupar</w:t>
      </w:r>
      <w:r w:rsidRPr="00B46E56">
        <w:rPr>
          <w:rFonts w:ascii="Arial" w:hAnsi="Arial" w:cs="Arial"/>
          <w:sz w:val="20"/>
          <w:szCs w:val="20"/>
          <w:lang w:val="es-ES_tradnl"/>
        </w:rPr>
        <w:t xml:space="preserve"> </w:t>
      </w:r>
      <w:r w:rsidR="00EB06D0">
        <w:rPr>
          <w:rFonts w:ascii="Arial" w:hAnsi="Arial" w:cs="Arial"/>
          <w:sz w:val="20"/>
          <w:szCs w:val="20"/>
          <w:lang w:val="es-ES_tradnl"/>
        </w:rPr>
        <w:t>cargos</w:t>
      </w:r>
      <w:r w:rsidRPr="00B46E56">
        <w:rPr>
          <w:rFonts w:ascii="Arial" w:hAnsi="Arial" w:cs="Arial"/>
          <w:sz w:val="20"/>
          <w:szCs w:val="20"/>
          <w:lang w:val="es-ES_tradnl"/>
        </w:rPr>
        <w:t xml:space="preserve"> en niveles superiores, al mismo tiempo que se continuará con el objetivo de identificar posibles candidatas.  De conformidad con la política sobre igualdad de género, la OMPI fomentará las capacidades de su personal, sobre todo en el caso de los coordinadores y directores de cuestiones de género, y colaborará con los Estados miembros con el objetivo de integrar las cuestiones de género en los programas de la Organización.</w:t>
      </w: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D26095">
      <w:pPr>
        <w:pStyle w:val="ListParagraph"/>
        <w:numPr>
          <w:ilvl w:val="0"/>
          <w:numId w:val="44"/>
        </w:numPr>
        <w:ind w:left="0" w:firstLine="0"/>
        <w:jc w:val="both"/>
        <w:rPr>
          <w:rFonts w:ascii="Arial" w:hAnsi="Arial" w:cs="Arial"/>
          <w:sz w:val="20"/>
          <w:szCs w:val="20"/>
          <w:lang w:val="es-ES_tradnl"/>
        </w:rPr>
      </w:pPr>
      <w:r w:rsidRPr="00B46E56">
        <w:rPr>
          <w:rFonts w:ascii="Arial" w:hAnsi="Arial" w:cs="Arial"/>
          <w:sz w:val="20"/>
          <w:szCs w:val="20"/>
          <w:lang w:val="es-ES_tradnl"/>
        </w:rPr>
        <w:t>En cuanto a la diversidad geográfica, se prevé realizar esfuerzos sostenidos y dinámicos, con ayuda de los Estados miembros, para entrar en contacto con candidatos de países que no están bien representados en las categorías profesional y superiores.  Estos esfuerzos se basarán en las enseñanzas extraídas de las campañas de sensibilización llevadas a cabo con un número selecto de Estados miembros en 2015.  También se utilizarán las nuevas funcionalidades del instrumento de contratación TALEO para seguir aumentando la capacidad de contratación focalizada de la Organización, entre otras, la búsqueda dinámica y la localización directa a través de coordinadores a nivel nacional.</w:t>
      </w: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D26095">
      <w:pPr>
        <w:pStyle w:val="ListParagraph"/>
        <w:numPr>
          <w:ilvl w:val="0"/>
          <w:numId w:val="44"/>
        </w:numPr>
        <w:ind w:left="0" w:firstLine="0"/>
        <w:jc w:val="both"/>
        <w:rPr>
          <w:rFonts w:ascii="Arial" w:hAnsi="Arial" w:cs="Arial"/>
          <w:sz w:val="20"/>
          <w:szCs w:val="20"/>
          <w:lang w:val="es-ES_tradnl"/>
        </w:rPr>
      </w:pPr>
      <w:r w:rsidRPr="00B46E56">
        <w:rPr>
          <w:rFonts w:ascii="Arial" w:hAnsi="Arial" w:cs="Arial"/>
          <w:sz w:val="20"/>
          <w:szCs w:val="20"/>
          <w:lang w:val="es-ES_tradnl"/>
        </w:rPr>
        <w:t>Gracias a la incorporación de la planificación de los recursos humanos, plenamente integrada con los ciclos de planificación anual y bienal del trabajo, la Organización podrá disminuir paulatinamente la brecha entre las necesidades de personal presentes y futuras, mediante la evaluación sistemática de las cuestiones de personal y la facilitación de la toma de decisiones a mediano y largo plazo.  Para ello, se continuarán integrando conceptos y mejores prácticas en relación con la planificación de los recursos humanos a través de mejoras del sistema.  Además, el personal directivo de la OMPI se encontrará en una mejor posición para gestionar su personal y anticipar necesidades a través del uso de mejores herramientas de presentación de informes de gestión (inteligencia institucional).</w:t>
      </w:r>
    </w:p>
    <w:p w:rsidR="00D26095" w:rsidRPr="00B46E56" w:rsidRDefault="00D26095" w:rsidP="00D26095">
      <w:pPr>
        <w:pStyle w:val="ListParagraph"/>
        <w:ind w:left="0"/>
        <w:rPr>
          <w:rFonts w:ascii="Arial" w:hAnsi="Arial" w:cs="Arial"/>
          <w:sz w:val="20"/>
          <w:szCs w:val="20"/>
          <w:lang w:val="es-ES_tradnl"/>
        </w:rPr>
      </w:pPr>
    </w:p>
    <w:p w:rsidR="00D26095" w:rsidRPr="00B2103B" w:rsidRDefault="00D26095" w:rsidP="00D26095">
      <w:pPr>
        <w:pStyle w:val="ListParagraph"/>
        <w:numPr>
          <w:ilvl w:val="0"/>
          <w:numId w:val="44"/>
        </w:numPr>
        <w:ind w:left="0" w:firstLine="0"/>
        <w:jc w:val="both"/>
        <w:rPr>
          <w:rFonts w:ascii="Arial" w:hAnsi="Arial" w:cs="Arial"/>
          <w:sz w:val="20"/>
          <w:szCs w:val="20"/>
          <w:lang w:val="es-ES_tradnl"/>
        </w:rPr>
      </w:pPr>
      <w:r w:rsidRPr="00B2103B">
        <w:rPr>
          <w:rFonts w:ascii="Arial" w:hAnsi="Arial" w:cs="Arial"/>
          <w:sz w:val="20"/>
          <w:szCs w:val="20"/>
          <w:lang w:val="es-ES_tradnl"/>
        </w:rPr>
        <w:t>Tras la aplicación del Estatuto y Reglamento del Personal revisado, aprobado por el Comité de Coordinación en 2012 y 2013, que incluye el fortalecimiento del sistema de justicia interna, en el próximo bienio se prevén nuevos ajustes y mejoras en el Estatuto y Reglamento del Personal y en las políticas relacionadas con los recursos humanos para obtener un marco regulador transparente, moderno y actualizado que satisfaga las necesidades cambiantes de la Organización y se adecue a las mejores prácticas del sistema de las Naciones Unidas.  Será importante centrarse en el área de la prevención y mitigación de conflictos, y en la gestión eficaz de casos a través del sistema de justicia interna.  La Organización también continuará colaborando</w:t>
      </w:r>
      <w:r w:rsidR="00B2103B">
        <w:rPr>
          <w:rFonts w:ascii="Arial" w:hAnsi="Arial" w:cs="Arial"/>
          <w:sz w:val="20"/>
          <w:szCs w:val="20"/>
          <w:lang w:val="es-ES_tradnl"/>
        </w:rPr>
        <w:t xml:space="preserve"> con la Comisión de Administración Pública Internacional (CAPI) y otras organizaciones de NN.UU.</w:t>
      </w:r>
      <w:r w:rsidRPr="00B2103B">
        <w:rPr>
          <w:rFonts w:ascii="Arial" w:hAnsi="Arial" w:cs="Arial"/>
          <w:sz w:val="20"/>
          <w:szCs w:val="20"/>
          <w:lang w:val="es-ES_tradnl"/>
        </w:rPr>
        <w:t xml:space="preserve"> en la revisión del conjunto integral de la remuneración del régimen común de las Naciones Unidas.</w:t>
      </w: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D26095">
      <w:pPr>
        <w:pStyle w:val="ListParagraph"/>
        <w:numPr>
          <w:ilvl w:val="0"/>
          <w:numId w:val="44"/>
        </w:numPr>
        <w:ind w:left="0" w:firstLine="0"/>
        <w:jc w:val="both"/>
        <w:rPr>
          <w:rFonts w:ascii="Arial" w:hAnsi="Arial" w:cs="Arial"/>
          <w:sz w:val="20"/>
          <w:szCs w:val="20"/>
          <w:lang w:val="es-ES_tradnl"/>
        </w:rPr>
      </w:pPr>
      <w:r w:rsidRPr="00B46E56">
        <w:rPr>
          <w:rFonts w:ascii="Arial" w:hAnsi="Arial" w:cs="Arial"/>
          <w:sz w:val="20"/>
          <w:szCs w:val="20"/>
          <w:lang w:val="es-ES_tradnl"/>
        </w:rPr>
        <w:t xml:space="preserve">A la integración del Sistema de gestión del desempeño y el perfeccionamiento del personal (PMSDS) y de la base de datos de formación vendrán a añadirse las nuevas funcionalidades del PRI, </w:t>
      </w:r>
      <w:r w:rsidRPr="00B46E56">
        <w:rPr>
          <w:rFonts w:ascii="Arial" w:hAnsi="Arial" w:cs="Arial"/>
          <w:sz w:val="20"/>
          <w:szCs w:val="20"/>
          <w:lang w:val="es-ES_tradnl"/>
        </w:rPr>
        <w:lastRenderedPageBreak/>
        <w:t>como por ejemplo, el inventario de las capacidades y el seguimiento más eficaz de los datos de formación, para mejorar la facilidad de uso del sistema y facilitar el acceso y el intercambio de datos entre diferentes áreas de la Organización.</w:t>
      </w:r>
    </w:p>
    <w:p w:rsidR="00D26095" w:rsidRPr="00B46E56" w:rsidRDefault="00D26095" w:rsidP="00D26095">
      <w:pPr>
        <w:pStyle w:val="ListParagraph"/>
        <w:ind w:left="0"/>
        <w:jc w:val="both"/>
        <w:rPr>
          <w:rFonts w:ascii="Arial" w:hAnsi="Arial" w:cs="Arial"/>
          <w:sz w:val="20"/>
          <w:szCs w:val="20"/>
          <w:lang w:val="es-ES_tradnl"/>
        </w:rPr>
      </w:pPr>
    </w:p>
    <w:p w:rsidR="00D26095" w:rsidRPr="00B2103B" w:rsidRDefault="00D26095" w:rsidP="00B2103B">
      <w:pPr>
        <w:pStyle w:val="ListParagraph"/>
        <w:numPr>
          <w:ilvl w:val="0"/>
          <w:numId w:val="44"/>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Con el objetivo de mejorar la capacidad de gestión de la Organización, el personal directivo recibirá </w:t>
      </w:r>
      <w:r w:rsidR="00B2103B">
        <w:rPr>
          <w:rFonts w:ascii="Arial" w:hAnsi="Arial" w:cs="Arial"/>
          <w:sz w:val="20"/>
          <w:szCs w:val="20"/>
          <w:lang w:val="es-ES_tradnl"/>
        </w:rPr>
        <w:t xml:space="preserve">una </w:t>
      </w:r>
      <w:r w:rsidRPr="00B2103B">
        <w:rPr>
          <w:rFonts w:ascii="Arial" w:hAnsi="Arial" w:cs="Arial"/>
          <w:sz w:val="20"/>
          <w:szCs w:val="20"/>
          <w:lang w:val="es-ES_tradnl"/>
        </w:rPr>
        <w:t>formaci</w:t>
      </w:r>
      <w:r w:rsidR="00B2103B">
        <w:rPr>
          <w:rFonts w:ascii="Arial" w:hAnsi="Arial" w:cs="Arial"/>
          <w:sz w:val="20"/>
          <w:szCs w:val="20"/>
          <w:lang w:val="es-ES_tradnl"/>
        </w:rPr>
        <w:t>ón obligatoria, en particular, sobre gestión de programas, de personal y de tiempo</w:t>
      </w:r>
      <w:r w:rsidRPr="00B2103B">
        <w:rPr>
          <w:rFonts w:ascii="Arial" w:hAnsi="Arial" w:cs="Arial"/>
          <w:sz w:val="20"/>
          <w:szCs w:val="20"/>
          <w:lang w:val="es-ES_tradnl"/>
        </w:rPr>
        <w:t>.</w:t>
      </w:r>
    </w:p>
    <w:p w:rsidR="00D26095" w:rsidRPr="00B2103B" w:rsidRDefault="00D26095" w:rsidP="00D26095">
      <w:pPr>
        <w:pStyle w:val="ListParagraph"/>
        <w:ind w:left="0"/>
        <w:jc w:val="both"/>
        <w:rPr>
          <w:rFonts w:ascii="Arial" w:hAnsi="Arial" w:cs="Arial"/>
          <w:sz w:val="20"/>
          <w:szCs w:val="20"/>
          <w:lang w:val="es-ES_tradnl"/>
        </w:rPr>
      </w:pPr>
    </w:p>
    <w:p w:rsidR="00D26095" w:rsidRPr="00B2103B" w:rsidRDefault="00D26095" w:rsidP="00D26095">
      <w:pPr>
        <w:pStyle w:val="ListParagraph"/>
        <w:numPr>
          <w:ilvl w:val="0"/>
          <w:numId w:val="44"/>
        </w:numPr>
        <w:ind w:left="0" w:firstLine="0"/>
        <w:jc w:val="both"/>
        <w:rPr>
          <w:rFonts w:ascii="Arial" w:hAnsi="Arial" w:cs="Arial"/>
          <w:sz w:val="20"/>
          <w:szCs w:val="20"/>
          <w:lang w:val="es-ES_tradnl"/>
        </w:rPr>
      </w:pPr>
      <w:r w:rsidRPr="00B2103B">
        <w:rPr>
          <w:rFonts w:ascii="Arial" w:hAnsi="Arial" w:cs="Arial"/>
          <w:sz w:val="20"/>
          <w:szCs w:val="20"/>
          <w:lang w:val="es-ES_tradnl"/>
        </w:rPr>
        <w:t xml:space="preserve">Se examinarán y actualizarán los procedimientos y las prácticas en relación con la gestión de los beneficios y prestaciones y, de ser posible, se buscarán soluciones automatizadas.  Además, se ajustarán los sistemas y procedimientos relacionados con la gestión del tiempo, teniendo en cuenta las recomendaciones del personal encargado de la gestión del tiempo.  A través de la fase II del PRI, se pondrán en la Intranet, al servicio de todo el personal, herramientas </w:t>
      </w:r>
      <w:r w:rsidR="00B2103B">
        <w:rPr>
          <w:rFonts w:ascii="Arial" w:hAnsi="Arial" w:cs="Arial"/>
          <w:sz w:val="20"/>
          <w:szCs w:val="20"/>
          <w:lang w:val="es-ES_tradnl"/>
        </w:rPr>
        <w:t>que permitan tratar de forma automatizada pedidos rutinarios</w:t>
      </w:r>
      <w:r w:rsidR="00D323ED">
        <w:rPr>
          <w:rFonts w:ascii="Arial" w:hAnsi="Arial" w:cs="Arial"/>
          <w:sz w:val="20"/>
          <w:szCs w:val="20"/>
          <w:lang w:val="es-ES_tradnl"/>
        </w:rPr>
        <w:t>,</w:t>
      </w:r>
      <w:r w:rsidRPr="00B2103B">
        <w:rPr>
          <w:rFonts w:ascii="Arial" w:hAnsi="Arial" w:cs="Arial"/>
          <w:sz w:val="20"/>
          <w:szCs w:val="20"/>
          <w:lang w:val="es-ES_tradnl"/>
        </w:rPr>
        <w:t xml:space="preserve"> de modo que </w:t>
      </w:r>
      <w:r w:rsidR="00D323ED">
        <w:rPr>
          <w:rFonts w:ascii="Arial" w:hAnsi="Arial" w:cs="Arial"/>
          <w:sz w:val="20"/>
          <w:szCs w:val="20"/>
          <w:lang w:val="es-ES_tradnl"/>
        </w:rPr>
        <w:t>el personal d</w:t>
      </w:r>
      <w:r w:rsidRPr="00B2103B">
        <w:rPr>
          <w:rFonts w:ascii="Arial" w:hAnsi="Arial" w:cs="Arial"/>
          <w:sz w:val="20"/>
          <w:szCs w:val="20"/>
          <w:lang w:val="es-ES_tradnl"/>
        </w:rPr>
        <w:t>el Departamento de Recursos Humanos  pueda concentrar</w:t>
      </w:r>
      <w:r w:rsidR="00D323ED">
        <w:rPr>
          <w:rFonts w:ascii="Arial" w:hAnsi="Arial" w:cs="Arial"/>
          <w:sz w:val="20"/>
          <w:szCs w:val="20"/>
          <w:lang w:val="es-ES_tradnl"/>
        </w:rPr>
        <w:t>se</w:t>
      </w:r>
      <w:r w:rsidRPr="00B2103B">
        <w:rPr>
          <w:rFonts w:ascii="Arial" w:hAnsi="Arial" w:cs="Arial"/>
          <w:sz w:val="20"/>
          <w:szCs w:val="20"/>
          <w:lang w:val="es-ES_tradnl"/>
        </w:rPr>
        <w:t xml:space="preserve"> en tareas más complejas y, así, brindar un servicio orientado al cliente, más completo y de mejor calidad</w:t>
      </w:r>
      <w:r w:rsidR="00D323ED">
        <w:rPr>
          <w:rFonts w:ascii="Arial" w:hAnsi="Arial" w:cs="Arial"/>
          <w:sz w:val="20"/>
          <w:szCs w:val="20"/>
          <w:lang w:val="es-ES_tradnl"/>
        </w:rPr>
        <w:t xml:space="preserve">. </w:t>
      </w:r>
      <w:r w:rsidRPr="00B2103B">
        <w:rPr>
          <w:rFonts w:ascii="Arial" w:hAnsi="Arial" w:cs="Arial"/>
          <w:sz w:val="20"/>
          <w:szCs w:val="20"/>
          <w:lang w:val="es-ES_tradnl"/>
        </w:rPr>
        <w:t xml:space="preserve"> También se prevé actualizar los servicios y la información para el personal disponible en la Intranet.</w:t>
      </w:r>
    </w:p>
    <w:p w:rsidR="00D26095" w:rsidRPr="00B46E56" w:rsidRDefault="00D26095" w:rsidP="00D26095">
      <w:pPr>
        <w:pStyle w:val="ListParagraph"/>
        <w:ind w:left="0"/>
        <w:rPr>
          <w:rFonts w:ascii="Arial" w:hAnsi="Arial" w:cs="Arial"/>
          <w:sz w:val="20"/>
          <w:szCs w:val="20"/>
          <w:lang w:val="es-ES_tradnl"/>
        </w:rPr>
      </w:pPr>
    </w:p>
    <w:p w:rsidR="00D26095" w:rsidRPr="00B46E56" w:rsidRDefault="00D26095" w:rsidP="00D26095">
      <w:pPr>
        <w:pStyle w:val="ListParagraph"/>
        <w:numPr>
          <w:ilvl w:val="0"/>
          <w:numId w:val="44"/>
        </w:numPr>
        <w:ind w:left="0" w:firstLine="0"/>
        <w:jc w:val="both"/>
        <w:rPr>
          <w:rFonts w:ascii="Arial" w:hAnsi="Arial" w:cs="Arial"/>
          <w:sz w:val="20"/>
          <w:szCs w:val="20"/>
          <w:lang w:val="es-ES_tradnl"/>
        </w:rPr>
      </w:pPr>
      <w:r w:rsidRPr="00B46E56">
        <w:rPr>
          <w:rFonts w:ascii="Arial" w:hAnsi="Arial" w:cs="Arial"/>
          <w:sz w:val="20"/>
          <w:szCs w:val="20"/>
          <w:lang w:val="es-ES_tradnl"/>
        </w:rPr>
        <w:t>Asimismo, se continuará trabajando en la mejora de los servicios médicos en la OMPI, prestando mayor atención a la salud profesional y al seguimiento de las ausencias de larga duración.</w:t>
      </w: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D26095">
      <w:pPr>
        <w:rPr>
          <w:lang w:val="es-ES_tradnl"/>
        </w:rPr>
      </w:pPr>
      <w:r w:rsidRPr="00B46E56">
        <w:rPr>
          <w:lang w:val="es-ES_tradnl"/>
        </w:rPr>
        <w:t>PRINCIPALES RIESGOS Y ESTRATEGIAS DE MITIGACIÓN</w:t>
      </w:r>
    </w:p>
    <w:p w:rsidR="00D26095" w:rsidRPr="00B46E56" w:rsidRDefault="00D26095" w:rsidP="00D26095">
      <w:pPr>
        <w:rPr>
          <w:rFonts w:eastAsia="Times New Roman"/>
          <w:sz w:val="20"/>
          <w:lang w:val="es-ES_tradnl"/>
        </w:rPr>
      </w:pPr>
    </w:p>
    <w:tbl>
      <w:tblPr>
        <w:tblW w:w="9450"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53"/>
        <w:gridCol w:w="5197"/>
      </w:tblGrid>
      <w:tr w:rsidR="00D26095" w:rsidRPr="00B46E56" w:rsidTr="00D26095">
        <w:trPr>
          <w:trHeight w:val="577"/>
        </w:trPr>
        <w:tc>
          <w:tcPr>
            <w:tcW w:w="4253" w:type="dxa"/>
            <w:tcBorders>
              <w:top w:val="single" w:sz="4" w:space="0" w:color="auto"/>
              <w:bottom w:val="single" w:sz="4" w:space="0" w:color="auto"/>
            </w:tcBorders>
            <w:shd w:val="clear" w:color="auto" w:fill="C6D9F1" w:themeFill="text2" w:themeFillTint="33"/>
            <w:vAlign w:val="center"/>
          </w:tcPr>
          <w:p w:rsidR="00D26095" w:rsidRPr="00B46E56" w:rsidRDefault="00D26095" w:rsidP="00D26095">
            <w:pPr>
              <w:jc w:val="center"/>
              <w:rPr>
                <w:rFonts w:eastAsia="Times New Roman"/>
                <w:b/>
                <w:bCs/>
                <w:sz w:val="18"/>
                <w:lang w:val="es-ES_tradnl"/>
              </w:rPr>
            </w:pPr>
            <w:r w:rsidRPr="00B46E56">
              <w:rPr>
                <w:rFonts w:eastAsia="Times New Roman"/>
                <w:b/>
                <w:bCs/>
                <w:sz w:val="18"/>
                <w:lang w:val="es-ES_tradnl"/>
              </w:rPr>
              <w:t>Riesgo</w:t>
            </w:r>
          </w:p>
        </w:tc>
        <w:tc>
          <w:tcPr>
            <w:tcW w:w="5197" w:type="dxa"/>
            <w:tcBorders>
              <w:top w:val="single" w:sz="4" w:space="0" w:color="auto"/>
              <w:bottom w:val="single" w:sz="4" w:space="0" w:color="auto"/>
            </w:tcBorders>
            <w:shd w:val="clear" w:color="auto" w:fill="C6D9F1" w:themeFill="text2" w:themeFillTint="33"/>
            <w:vAlign w:val="center"/>
          </w:tcPr>
          <w:p w:rsidR="00D26095" w:rsidRPr="00B46E56" w:rsidRDefault="00D26095" w:rsidP="00D26095">
            <w:pPr>
              <w:jc w:val="center"/>
              <w:rPr>
                <w:rFonts w:eastAsia="Times New Roman"/>
                <w:b/>
                <w:bCs/>
                <w:sz w:val="18"/>
                <w:lang w:val="es-ES_tradnl"/>
              </w:rPr>
            </w:pPr>
            <w:r w:rsidRPr="00B46E56">
              <w:rPr>
                <w:rFonts w:eastAsia="Times New Roman"/>
                <w:b/>
                <w:bCs/>
                <w:sz w:val="18"/>
                <w:lang w:val="es-ES_tradnl"/>
              </w:rPr>
              <w:t>Mitigación</w:t>
            </w:r>
          </w:p>
        </w:tc>
      </w:tr>
      <w:tr w:rsidR="00D26095" w:rsidRPr="00B46E56" w:rsidTr="00D26095">
        <w:trPr>
          <w:trHeight w:val="1188"/>
        </w:trPr>
        <w:tc>
          <w:tcPr>
            <w:tcW w:w="4253" w:type="dxa"/>
            <w:tcBorders>
              <w:top w:val="single" w:sz="4" w:space="0" w:color="auto"/>
              <w:left w:val="single" w:sz="4" w:space="0" w:color="auto"/>
              <w:bottom w:val="single" w:sz="4" w:space="0" w:color="auto"/>
              <w:right w:val="nil"/>
            </w:tcBorders>
            <w:shd w:val="clear" w:color="auto" w:fill="auto"/>
            <w:tcMar>
              <w:top w:w="113" w:type="dxa"/>
              <w:bottom w:w="113" w:type="dxa"/>
            </w:tcMar>
          </w:tcPr>
          <w:p w:rsidR="00D26095" w:rsidRPr="00B46E56" w:rsidRDefault="00D26095" w:rsidP="00D26095">
            <w:pPr>
              <w:rPr>
                <w:rFonts w:eastAsia="Times New Roman"/>
                <w:sz w:val="16"/>
                <w:lang w:val="es-ES_tradnl"/>
              </w:rPr>
            </w:pPr>
            <w:r w:rsidRPr="00B46E56">
              <w:rPr>
                <w:rFonts w:eastAsia="Times New Roman"/>
                <w:sz w:val="16"/>
                <w:lang w:val="es-ES_tradnl"/>
              </w:rPr>
              <w:t>La rápida evolución del entorno externo que exige nuevos procedimientos, capacidades y soluciones de T.I. podría dar lugar a desajustes de plantilla en sectores esenciales de la OMPI.  Esto podría acarrear costos elevados de contratación de personal temporal, deficiencias en los procedimientos, retrasos en sectores esenciales y el menoscabo de la reputación de la OMPI.</w:t>
            </w:r>
          </w:p>
        </w:tc>
        <w:tc>
          <w:tcPr>
            <w:tcW w:w="5197" w:type="dxa"/>
            <w:tcBorders>
              <w:top w:val="single" w:sz="4" w:space="0" w:color="auto"/>
              <w:left w:val="nil"/>
              <w:bottom w:val="single" w:sz="4" w:space="0" w:color="auto"/>
              <w:right w:val="single" w:sz="4" w:space="0" w:color="auto"/>
            </w:tcBorders>
            <w:shd w:val="clear" w:color="auto" w:fill="auto"/>
            <w:tcMar>
              <w:top w:w="113" w:type="dxa"/>
              <w:bottom w:w="113" w:type="dxa"/>
            </w:tcMar>
          </w:tcPr>
          <w:p w:rsidR="00D26095" w:rsidRPr="00B46E56" w:rsidRDefault="00D26095" w:rsidP="00D26095">
            <w:pPr>
              <w:rPr>
                <w:rFonts w:eastAsia="Times New Roman"/>
                <w:sz w:val="16"/>
                <w:lang w:val="es-ES_tradnl"/>
              </w:rPr>
            </w:pPr>
            <w:r w:rsidRPr="00B46E56">
              <w:rPr>
                <w:rFonts w:eastAsia="Times New Roman"/>
                <w:sz w:val="16"/>
                <w:lang w:val="es-ES_tradnl"/>
              </w:rPr>
              <w:t xml:space="preserve">Desarrollo gradual de una plantilla flexible que responda más adecuadamente a las necesidades, dotada de una estructura capaz de responder a las fluctuaciones en la demanda y a los nuevos objetivos prácticos;  labor detallada de análisis y evaluación de las necesidades en cuanto a las capacidades y la solidez de la plantilla, acompañada de planes de ejecución entre los que figuren la reasignación y la formación adecuada del personal, la contratación de personal especializado para desempeñar labores esenciales y la subcontratación, y el uso de una amplia gama de herramientas de contratación para hallar nuevas fuentes de talento. </w:t>
            </w:r>
          </w:p>
        </w:tc>
      </w:tr>
    </w:tbl>
    <w:p w:rsidR="00D26095" w:rsidRPr="00B46E56" w:rsidRDefault="00D26095" w:rsidP="00D26095">
      <w:pPr>
        <w:rPr>
          <w:rFonts w:eastAsia="Times New Roman"/>
          <w:sz w:val="20"/>
          <w:lang w:val="es-ES_tradnl"/>
        </w:rPr>
      </w:pPr>
    </w:p>
    <w:p w:rsidR="00D26095" w:rsidRPr="00B46E56" w:rsidRDefault="00D26095" w:rsidP="00D26095">
      <w:pPr>
        <w:rPr>
          <w:rFonts w:eastAsia="Times New Roman"/>
          <w:sz w:val="20"/>
          <w:lang w:val="es-ES_tradnl"/>
        </w:rPr>
      </w:pPr>
    </w:p>
    <w:p w:rsidR="00D26095" w:rsidRPr="00B46E56" w:rsidRDefault="00D26095" w:rsidP="00D26095">
      <w:pPr>
        <w:rPr>
          <w:rFonts w:eastAsia="Times New Roman"/>
          <w:sz w:val="20"/>
          <w:lang w:val="es-ES_tradnl"/>
        </w:rPr>
      </w:pPr>
      <w:r w:rsidRPr="00B46E56">
        <w:rPr>
          <w:rFonts w:eastAsia="Times New Roman"/>
          <w:sz w:val="20"/>
          <w:lang w:val="es-ES_tradnl"/>
        </w:rPr>
        <w:t>MARCO DE RESULTADOS</w:t>
      </w:r>
    </w:p>
    <w:p w:rsidR="00D26095" w:rsidRPr="00B46E56" w:rsidRDefault="00D26095" w:rsidP="00D26095">
      <w:pPr>
        <w:rPr>
          <w:rFonts w:eastAsia="Times New Roman"/>
          <w:sz w:val="20"/>
          <w:lang w:val="es-ES_tradnl"/>
        </w:rPr>
      </w:pPr>
    </w:p>
    <w:tbl>
      <w:tblPr>
        <w:tblW w:w="9465" w:type="dxa"/>
        <w:tblInd w:w="93" w:type="dxa"/>
        <w:tblLook w:val="04A0" w:firstRow="1" w:lastRow="0" w:firstColumn="1" w:lastColumn="0" w:noHBand="0" w:noVBand="1"/>
      </w:tblPr>
      <w:tblGrid>
        <w:gridCol w:w="2440"/>
        <w:gridCol w:w="2440"/>
        <w:gridCol w:w="2440"/>
        <w:gridCol w:w="2145"/>
      </w:tblGrid>
      <w:tr w:rsidR="00D26095" w:rsidRPr="00B46E56" w:rsidTr="00D26095">
        <w:trPr>
          <w:trHeight w:val="674"/>
          <w:tblHeader/>
        </w:trPr>
        <w:tc>
          <w:tcPr>
            <w:tcW w:w="2440" w:type="dxa"/>
            <w:tcBorders>
              <w:top w:val="single" w:sz="4" w:space="0" w:color="auto"/>
              <w:left w:val="single" w:sz="4" w:space="0" w:color="auto"/>
              <w:bottom w:val="single" w:sz="4" w:space="0" w:color="auto"/>
              <w:right w:val="nil"/>
            </w:tcBorders>
            <w:shd w:val="clear" w:color="auto" w:fill="C6D9F1" w:themeFill="text2" w:themeFillTint="33"/>
            <w:vAlign w:val="center"/>
            <w:hideMark/>
          </w:tcPr>
          <w:p w:rsidR="00D26095" w:rsidRPr="00B46E56" w:rsidRDefault="00D26095" w:rsidP="00D26095">
            <w:pPr>
              <w:jc w:val="center"/>
              <w:rPr>
                <w:rFonts w:eastAsia="Times New Roman"/>
                <w:b/>
                <w:bCs/>
                <w:sz w:val="18"/>
                <w:szCs w:val="16"/>
                <w:lang w:val="es-ES_tradnl"/>
              </w:rPr>
            </w:pPr>
            <w:r w:rsidRPr="00B46E56">
              <w:rPr>
                <w:rFonts w:eastAsia="Times New Roman"/>
                <w:b/>
                <w:bCs/>
                <w:sz w:val="18"/>
                <w:szCs w:val="16"/>
                <w:lang w:val="es-ES_tradnl"/>
              </w:rPr>
              <w:t xml:space="preserve">Resultados previstos </w:t>
            </w:r>
          </w:p>
        </w:tc>
        <w:tc>
          <w:tcPr>
            <w:tcW w:w="2440" w:type="dxa"/>
            <w:tcBorders>
              <w:top w:val="single" w:sz="4" w:space="0" w:color="auto"/>
              <w:left w:val="nil"/>
              <w:bottom w:val="single" w:sz="4" w:space="0" w:color="auto"/>
              <w:right w:val="nil"/>
            </w:tcBorders>
            <w:shd w:val="clear" w:color="auto" w:fill="C6D9F1" w:themeFill="text2" w:themeFillTint="33"/>
            <w:vAlign w:val="center"/>
            <w:hideMark/>
          </w:tcPr>
          <w:p w:rsidR="00D26095" w:rsidRPr="00B46E56" w:rsidRDefault="00D26095" w:rsidP="00D26095">
            <w:pPr>
              <w:jc w:val="center"/>
              <w:rPr>
                <w:rFonts w:eastAsia="Times New Roman"/>
                <w:b/>
                <w:bCs/>
                <w:sz w:val="18"/>
                <w:szCs w:val="16"/>
                <w:lang w:val="es-ES_tradnl"/>
              </w:rPr>
            </w:pPr>
            <w:r w:rsidRPr="00B46E56">
              <w:rPr>
                <w:rFonts w:eastAsia="Times New Roman"/>
                <w:b/>
                <w:bCs/>
                <w:sz w:val="18"/>
                <w:szCs w:val="16"/>
                <w:lang w:val="es-ES_tradnl"/>
              </w:rPr>
              <w:t>Indicadores de rendimiento</w:t>
            </w:r>
          </w:p>
        </w:tc>
        <w:tc>
          <w:tcPr>
            <w:tcW w:w="2440" w:type="dxa"/>
            <w:tcBorders>
              <w:top w:val="single" w:sz="4" w:space="0" w:color="auto"/>
              <w:left w:val="nil"/>
              <w:bottom w:val="single" w:sz="4" w:space="0" w:color="auto"/>
              <w:right w:val="nil"/>
            </w:tcBorders>
            <w:shd w:val="clear" w:color="auto" w:fill="C6D9F1" w:themeFill="text2" w:themeFillTint="33"/>
            <w:vAlign w:val="center"/>
            <w:hideMark/>
          </w:tcPr>
          <w:p w:rsidR="00D26095" w:rsidRPr="00B46E56" w:rsidRDefault="00D26095" w:rsidP="00D26095">
            <w:pPr>
              <w:jc w:val="center"/>
              <w:rPr>
                <w:rFonts w:eastAsia="Times New Roman"/>
                <w:b/>
                <w:bCs/>
                <w:sz w:val="18"/>
                <w:szCs w:val="16"/>
                <w:lang w:val="es-ES_tradnl"/>
              </w:rPr>
            </w:pPr>
            <w:r w:rsidRPr="00B46E56">
              <w:rPr>
                <w:rFonts w:eastAsia="Times New Roman"/>
                <w:b/>
                <w:bCs/>
                <w:sz w:val="18"/>
                <w:szCs w:val="16"/>
                <w:lang w:val="es-ES_tradnl"/>
              </w:rPr>
              <w:t>Referencia</w:t>
            </w:r>
          </w:p>
        </w:tc>
        <w:tc>
          <w:tcPr>
            <w:tcW w:w="2145"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rsidR="00D26095" w:rsidRPr="00B46E56" w:rsidRDefault="00D26095" w:rsidP="00D26095">
            <w:pPr>
              <w:jc w:val="center"/>
              <w:rPr>
                <w:rFonts w:eastAsia="Times New Roman"/>
                <w:b/>
                <w:bCs/>
                <w:sz w:val="18"/>
                <w:szCs w:val="16"/>
                <w:lang w:val="es-ES_tradnl"/>
              </w:rPr>
            </w:pPr>
            <w:r w:rsidRPr="00B46E56">
              <w:rPr>
                <w:rFonts w:eastAsia="Times New Roman"/>
                <w:b/>
                <w:bCs/>
                <w:sz w:val="18"/>
                <w:szCs w:val="16"/>
                <w:lang w:val="es-ES_tradnl"/>
              </w:rPr>
              <w:t>Objetivos</w:t>
            </w:r>
          </w:p>
        </w:tc>
      </w:tr>
      <w:tr w:rsidR="00D26095" w:rsidRPr="00B46E56" w:rsidTr="00FB2CC2">
        <w:trPr>
          <w:trHeight w:val="1106"/>
        </w:trPr>
        <w:tc>
          <w:tcPr>
            <w:tcW w:w="2440" w:type="dxa"/>
            <w:tcBorders>
              <w:top w:val="nil"/>
              <w:left w:val="single" w:sz="4" w:space="0" w:color="auto"/>
              <w:right w:val="nil"/>
            </w:tcBorders>
            <w:shd w:val="clear" w:color="000000" w:fill="FFFFFF"/>
            <w:hideMark/>
          </w:tcPr>
          <w:p w:rsidR="00D26095" w:rsidRPr="00D323ED" w:rsidRDefault="00D26095" w:rsidP="00D26095">
            <w:pPr>
              <w:rPr>
                <w:rFonts w:eastAsia="Times New Roman"/>
                <w:sz w:val="16"/>
                <w:szCs w:val="16"/>
                <w:lang w:val="es-ES_tradnl"/>
              </w:rPr>
            </w:pPr>
          </w:p>
          <w:p w:rsidR="00D26095" w:rsidRPr="00D323ED" w:rsidRDefault="00D26095" w:rsidP="00532057">
            <w:pPr>
              <w:rPr>
                <w:rFonts w:eastAsia="Times New Roman"/>
                <w:sz w:val="16"/>
                <w:szCs w:val="16"/>
                <w:lang w:val="es-ES_tradnl"/>
              </w:rPr>
            </w:pPr>
            <w:r w:rsidRPr="00D323ED">
              <w:rPr>
                <w:rFonts w:eastAsia="Times New Roman"/>
                <w:sz w:val="16"/>
                <w:szCs w:val="16"/>
                <w:lang w:val="es-ES_tradnl"/>
              </w:rPr>
              <w:t>IX.1</w:t>
            </w:r>
            <w:r w:rsidR="00532057" w:rsidRPr="00D323ED">
              <w:rPr>
                <w:rFonts w:eastAsia="Times New Roman"/>
                <w:sz w:val="16"/>
                <w:szCs w:val="16"/>
                <w:lang w:val="es-ES_tradnl"/>
              </w:rPr>
              <w:t xml:space="preserve">  </w:t>
            </w:r>
            <w:r w:rsidR="00532057" w:rsidRPr="00D323ED">
              <w:rPr>
                <w:sz w:val="16"/>
                <w:szCs w:val="16"/>
                <w:lang w:val="es-ES_tradnl"/>
              </w:rPr>
              <w:t>Servicios de apoyo eficaces, eficientes, de calidad y orientados al cliente, tanto a los usuarios internos como a las partes interesadas externas</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Porcentaje de miembros del personal satisfechos de los servicios de recursos humanos.</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Muy satisfechos:  30,8%, Satisfechos:  49,1%, Insatisfechos:  17,6%,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Muy insatisfechos:  2,5%</w:t>
            </w:r>
          </w:p>
        </w:tc>
        <w:tc>
          <w:tcPr>
            <w:tcW w:w="2145" w:type="dxa"/>
            <w:tcBorders>
              <w:top w:val="nil"/>
              <w:left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85% muy satisfechos o satisfechos.</w:t>
            </w:r>
          </w:p>
        </w:tc>
      </w:tr>
      <w:tr w:rsidR="00D26095" w:rsidRPr="00B46E56" w:rsidTr="00FB2CC2">
        <w:trPr>
          <w:trHeight w:val="549"/>
        </w:trPr>
        <w:tc>
          <w:tcPr>
            <w:tcW w:w="2440" w:type="dxa"/>
            <w:tcBorders>
              <w:top w:val="nil"/>
              <w:left w:val="single" w:sz="4" w:space="0" w:color="auto"/>
              <w:right w:val="nil"/>
            </w:tcBorders>
            <w:shd w:val="clear" w:color="000000" w:fill="FFFFFF"/>
            <w:hideMark/>
          </w:tcPr>
          <w:p w:rsidR="00D26095" w:rsidRPr="00D323ED" w:rsidRDefault="00D26095" w:rsidP="00D26095">
            <w:pPr>
              <w:rPr>
                <w:rFonts w:eastAsia="Times New Roman"/>
                <w:sz w:val="16"/>
                <w:szCs w:val="16"/>
                <w:lang w:val="es-ES_tradnl"/>
              </w:rPr>
            </w:pPr>
            <w:r w:rsidRPr="00D323ED">
              <w:rPr>
                <w:rFonts w:eastAsia="Times New Roman"/>
                <w:sz w:val="16"/>
                <w:szCs w:val="16"/>
                <w:lang w:val="es-ES_tradnl"/>
              </w:rPr>
              <w:t> </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Aumento de los procedimientos automatizados en lugar de los procesos que actualmente se efectúan a mano. </w:t>
            </w:r>
            <w:r w:rsidR="00D323ED">
              <w:rPr>
                <w:rFonts w:eastAsia="Times New Roman"/>
                <w:sz w:val="16"/>
                <w:szCs w:val="16"/>
                <w:lang w:val="es-ES_tradnl"/>
              </w:rPr>
              <w:br/>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0%</w:t>
            </w:r>
          </w:p>
        </w:tc>
        <w:tc>
          <w:tcPr>
            <w:tcW w:w="2145" w:type="dxa"/>
            <w:tcBorders>
              <w:top w:val="nil"/>
              <w:left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67%</w:t>
            </w:r>
          </w:p>
        </w:tc>
      </w:tr>
      <w:tr w:rsidR="00D26095" w:rsidRPr="00B46E56" w:rsidTr="00FB2CC2">
        <w:trPr>
          <w:trHeight w:val="522"/>
        </w:trPr>
        <w:tc>
          <w:tcPr>
            <w:tcW w:w="2440" w:type="dxa"/>
            <w:tcBorders>
              <w:left w:val="single" w:sz="4" w:space="0" w:color="auto"/>
              <w:bottom w:val="nil"/>
              <w:right w:val="nil"/>
            </w:tcBorders>
            <w:shd w:val="clear" w:color="000000" w:fill="FFFFFF"/>
            <w:hideMark/>
          </w:tcPr>
          <w:p w:rsidR="00D26095" w:rsidRPr="00D323ED" w:rsidRDefault="00D26095" w:rsidP="00D26095">
            <w:pPr>
              <w:rPr>
                <w:rFonts w:eastAsia="Times New Roman"/>
                <w:sz w:val="16"/>
                <w:szCs w:val="16"/>
                <w:lang w:val="es-ES_tradnl"/>
              </w:rPr>
            </w:pPr>
            <w:r w:rsidRPr="00D323ED">
              <w:rPr>
                <w:rFonts w:eastAsia="Times New Roman"/>
                <w:sz w:val="16"/>
                <w:szCs w:val="16"/>
                <w:lang w:val="es-ES_tradnl"/>
              </w:rPr>
              <w:t> </w:t>
            </w:r>
          </w:p>
        </w:tc>
        <w:tc>
          <w:tcPr>
            <w:tcW w:w="2440" w:type="dxa"/>
            <w:tcBorders>
              <w:left w:val="nil"/>
              <w:bottom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Porcentaje de consultas solucionadas en el plazo de 5 días hábiles.</w:t>
            </w:r>
          </w:p>
        </w:tc>
        <w:tc>
          <w:tcPr>
            <w:tcW w:w="2440" w:type="dxa"/>
            <w:tcBorders>
              <w:left w:val="nil"/>
              <w:bottom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left w:val="nil"/>
              <w:bottom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90%</w:t>
            </w:r>
          </w:p>
        </w:tc>
      </w:tr>
      <w:tr w:rsidR="00D26095" w:rsidRPr="00B46E56" w:rsidTr="00FB2CC2">
        <w:trPr>
          <w:trHeight w:val="660"/>
        </w:trPr>
        <w:tc>
          <w:tcPr>
            <w:tcW w:w="2440" w:type="dxa"/>
            <w:tcBorders>
              <w:top w:val="nil"/>
              <w:left w:val="single" w:sz="4" w:space="0" w:color="auto"/>
              <w:right w:val="nil"/>
            </w:tcBorders>
            <w:shd w:val="clear" w:color="000000" w:fill="FFFFFF"/>
            <w:hideMark/>
          </w:tcPr>
          <w:p w:rsidR="00D26095" w:rsidRPr="00D323ED" w:rsidRDefault="00D26095" w:rsidP="00D26095">
            <w:pPr>
              <w:rPr>
                <w:rFonts w:eastAsia="Times New Roman"/>
                <w:sz w:val="16"/>
                <w:szCs w:val="16"/>
                <w:lang w:val="es-ES_tradnl"/>
              </w:rPr>
            </w:pPr>
            <w:r w:rsidRPr="00D323ED">
              <w:rPr>
                <w:rFonts w:eastAsia="Times New Roman"/>
                <w:sz w:val="16"/>
                <w:szCs w:val="16"/>
                <w:lang w:val="es-ES_tradnl"/>
              </w:rPr>
              <w:t> </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Cobertura de seguros optimizada.  </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A determinar a fines de 2015.</w:t>
            </w:r>
          </w:p>
        </w:tc>
      </w:tr>
      <w:tr w:rsidR="00D26095" w:rsidRPr="00B46E56" w:rsidTr="00FB2CC2">
        <w:trPr>
          <w:trHeight w:val="1200"/>
        </w:trPr>
        <w:tc>
          <w:tcPr>
            <w:tcW w:w="2440" w:type="dxa"/>
            <w:tcBorders>
              <w:top w:val="nil"/>
              <w:left w:val="single" w:sz="4" w:space="0" w:color="auto"/>
              <w:bottom w:val="single" w:sz="4" w:space="0" w:color="auto"/>
              <w:right w:val="nil"/>
            </w:tcBorders>
            <w:shd w:val="clear" w:color="000000" w:fill="FFFFFF"/>
            <w:hideMark/>
          </w:tcPr>
          <w:p w:rsidR="00D26095" w:rsidRPr="00D323ED" w:rsidRDefault="005354CF" w:rsidP="005354CF">
            <w:pPr>
              <w:rPr>
                <w:rFonts w:eastAsia="Times New Roman"/>
                <w:sz w:val="16"/>
                <w:szCs w:val="16"/>
                <w:lang w:val="es-ES_tradnl"/>
              </w:rPr>
            </w:pPr>
            <w:r w:rsidRPr="00D323ED">
              <w:rPr>
                <w:rFonts w:eastAsia="Times New Roman"/>
                <w:sz w:val="16"/>
                <w:szCs w:val="16"/>
                <w:lang w:val="es-ES_tradnl"/>
              </w:rPr>
              <w:t xml:space="preserve">IX.2  </w:t>
            </w:r>
            <w:r w:rsidRPr="00D323ED">
              <w:rPr>
                <w:sz w:val="16"/>
                <w:szCs w:val="16"/>
                <w:lang w:val="es-ES_tradnl"/>
              </w:rPr>
              <w:t>Funcionamiento sin contratiempos de la Secretaría, provista de un personal bien dirigido, dotado de las competencias adecuadas, y capaz de conseguir resultados</w:t>
            </w:r>
          </w:p>
        </w:tc>
        <w:tc>
          <w:tcPr>
            <w:tcW w:w="2440" w:type="dxa"/>
            <w:tcBorders>
              <w:top w:val="nil"/>
              <w:left w:val="nil"/>
              <w:bottom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Porcentaje de mujeres </w:t>
            </w:r>
            <w:r w:rsidR="00F210C1">
              <w:rPr>
                <w:rFonts w:eastAsia="Times New Roman"/>
                <w:sz w:val="16"/>
                <w:szCs w:val="16"/>
                <w:lang w:val="es-ES_tradnl"/>
              </w:rPr>
              <w:t xml:space="preserve">en </w:t>
            </w:r>
            <w:r w:rsidR="006E1F57">
              <w:rPr>
                <w:rFonts w:eastAsia="Times New Roman"/>
                <w:sz w:val="16"/>
                <w:szCs w:val="16"/>
                <w:lang w:val="es-ES_tradnl"/>
              </w:rPr>
              <w:t>cargos</w:t>
            </w:r>
            <w:r w:rsidRPr="00B46E56">
              <w:rPr>
                <w:rFonts w:eastAsia="Times New Roman"/>
                <w:sz w:val="16"/>
                <w:szCs w:val="16"/>
                <w:lang w:val="es-ES_tradnl"/>
              </w:rPr>
              <w:t xml:space="preserve"> </w:t>
            </w:r>
            <w:r w:rsidR="002D0E6B">
              <w:rPr>
                <w:rFonts w:eastAsia="Times New Roman"/>
                <w:sz w:val="16"/>
                <w:szCs w:val="16"/>
                <w:lang w:val="es-ES_tradnl"/>
              </w:rPr>
              <w:t xml:space="preserve">de categorías </w:t>
            </w:r>
            <w:r w:rsidRPr="00B46E56">
              <w:rPr>
                <w:rFonts w:eastAsia="Times New Roman"/>
                <w:sz w:val="16"/>
                <w:szCs w:val="16"/>
                <w:lang w:val="es-ES_tradnl"/>
              </w:rPr>
              <w:t xml:space="preserve">profesional y </w:t>
            </w:r>
            <w:r w:rsidR="002D0E6B">
              <w:rPr>
                <w:rFonts w:eastAsia="Times New Roman"/>
                <w:sz w:val="16"/>
                <w:szCs w:val="16"/>
                <w:lang w:val="es-ES_tradnl"/>
              </w:rPr>
              <w:t>superior</w:t>
            </w:r>
            <w:r w:rsidRPr="00B46E56">
              <w:rPr>
                <w:rFonts w:eastAsia="Times New Roman"/>
                <w:sz w:val="16"/>
                <w:szCs w:val="16"/>
                <w:lang w:val="es-ES_tradnl"/>
              </w:rPr>
              <w:t>.</w:t>
            </w:r>
          </w:p>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Duración del proceso de contratación.</w:t>
            </w:r>
          </w:p>
        </w:tc>
        <w:tc>
          <w:tcPr>
            <w:tcW w:w="2440" w:type="dxa"/>
            <w:tcBorders>
              <w:top w:val="nil"/>
              <w:left w:val="nil"/>
              <w:bottom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P4 – 44,4%  P5 – 34,4%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D1 – 26,7%  D2 – 22,2%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(Dic. de 2014) </w:t>
            </w:r>
          </w:p>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14,7 semanas (con LSTE)</w:t>
            </w:r>
            <w:r w:rsidRPr="00B46E56">
              <w:rPr>
                <w:rFonts w:eastAsia="Times New Roman"/>
                <w:sz w:val="16"/>
                <w:szCs w:val="16"/>
                <w:lang w:val="es-ES_tradnl"/>
              </w:rPr>
              <w:br/>
              <w:t>19,07 semanas (sin LSTE)</w:t>
            </w:r>
          </w:p>
        </w:tc>
        <w:tc>
          <w:tcPr>
            <w:tcW w:w="2145" w:type="dxa"/>
            <w:tcBorders>
              <w:top w:val="nil"/>
              <w:left w:val="nil"/>
              <w:bottom w:val="single" w:sz="4" w:space="0" w:color="auto"/>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P4 – 46% P5 – 35% </w:t>
            </w: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D1 – 30% D2 – 30% </w:t>
            </w:r>
          </w:p>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19 semanas.</w:t>
            </w:r>
          </w:p>
        </w:tc>
      </w:tr>
      <w:tr w:rsidR="00D26095" w:rsidRPr="00B46E56" w:rsidTr="00FB2CC2">
        <w:trPr>
          <w:trHeight w:val="882"/>
        </w:trPr>
        <w:tc>
          <w:tcPr>
            <w:tcW w:w="2440" w:type="dxa"/>
            <w:tcBorders>
              <w:top w:val="single" w:sz="4" w:space="0" w:color="auto"/>
              <w:left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lastRenderedPageBreak/>
              <w:t> </w:t>
            </w:r>
          </w:p>
        </w:tc>
        <w:tc>
          <w:tcPr>
            <w:tcW w:w="2440" w:type="dxa"/>
            <w:tcBorders>
              <w:top w:val="single" w:sz="4" w:space="0" w:color="auto"/>
              <w:left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Porcentaje de miembros del personal cuyo desempeño se evalúa en función de objetivos y competencias específicos.</w:t>
            </w:r>
          </w:p>
        </w:tc>
        <w:tc>
          <w:tcPr>
            <w:tcW w:w="2440" w:type="dxa"/>
            <w:tcBorders>
              <w:top w:val="single" w:sz="4" w:space="0" w:color="auto"/>
              <w:left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82,9% (2014)</w:t>
            </w:r>
          </w:p>
        </w:tc>
        <w:tc>
          <w:tcPr>
            <w:tcW w:w="2145" w:type="dxa"/>
            <w:tcBorders>
              <w:top w:val="single" w:sz="4" w:space="0" w:color="auto"/>
              <w:left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90%</w:t>
            </w:r>
          </w:p>
        </w:tc>
      </w:tr>
      <w:tr w:rsidR="00D26095" w:rsidRPr="00B46E56" w:rsidTr="00D26095">
        <w:trPr>
          <w:trHeight w:val="1431"/>
        </w:trPr>
        <w:tc>
          <w:tcPr>
            <w:tcW w:w="2440" w:type="dxa"/>
            <w:tcBorders>
              <w:left w:val="single" w:sz="4" w:space="0" w:color="auto"/>
              <w:bottom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tc>
        <w:tc>
          <w:tcPr>
            <w:tcW w:w="2440" w:type="dxa"/>
            <w:tcBorders>
              <w:left w:val="nil"/>
              <w:bottom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323ED">
            <w:pPr>
              <w:rPr>
                <w:rFonts w:eastAsia="Times New Roman"/>
                <w:sz w:val="16"/>
                <w:szCs w:val="16"/>
                <w:lang w:val="es-ES_tradnl"/>
              </w:rPr>
            </w:pPr>
            <w:r w:rsidRPr="00B46E56">
              <w:rPr>
                <w:rFonts w:eastAsia="Times New Roman"/>
                <w:sz w:val="16"/>
                <w:szCs w:val="16"/>
                <w:lang w:val="es-ES_tradnl"/>
              </w:rPr>
              <w:t>N</w:t>
            </w:r>
            <w:r w:rsidR="00D323ED">
              <w:rPr>
                <w:rFonts w:eastAsia="Times New Roman"/>
                <w:sz w:val="16"/>
                <w:szCs w:val="16"/>
                <w:lang w:val="es-ES_tradnl"/>
              </w:rPr>
              <w:t>º</w:t>
            </w:r>
            <w:r w:rsidRPr="00B46E56">
              <w:rPr>
                <w:rFonts w:eastAsia="Times New Roman"/>
                <w:sz w:val="16"/>
                <w:szCs w:val="16"/>
                <w:lang w:val="es-ES_tradnl"/>
              </w:rPr>
              <w:t xml:space="preserve"> de días para:  i) notificar al funcionario decisiones relativas a peticiones de revisión o reclamaciones, ii) notificar al funcionario decisiones relativas a casos de refutación o faltas disciplinarias, y iii) ofrecer respuestas a consultas de asesoramiento. </w:t>
            </w:r>
          </w:p>
        </w:tc>
        <w:tc>
          <w:tcPr>
            <w:tcW w:w="2440" w:type="dxa"/>
            <w:tcBorders>
              <w:left w:val="nil"/>
              <w:bottom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3D53A9">
            <w:pPr>
              <w:rPr>
                <w:rFonts w:eastAsia="Times New Roman"/>
                <w:sz w:val="16"/>
                <w:szCs w:val="16"/>
                <w:lang w:val="es-ES_tradnl"/>
              </w:rPr>
            </w:pPr>
            <w:proofErr w:type="spellStart"/>
            <w:r w:rsidRPr="00B46E56">
              <w:rPr>
                <w:rFonts w:eastAsia="Times New Roman"/>
                <w:sz w:val="16"/>
                <w:szCs w:val="16"/>
                <w:lang w:val="es-ES_tradnl"/>
              </w:rPr>
              <w:t>n</w:t>
            </w:r>
            <w:r w:rsidR="003D53A9">
              <w:rPr>
                <w:rFonts w:eastAsia="Times New Roman"/>
                <w:sz w:val="16"/>
                <w:szCs w:val="16"/>
                <w:lang w:val="es-ES_tradnl"/>
              </w:rPr>
              <w:t>.d</w:t>
            </w:r>
            <w:proofErr w:type="spellEnd"/>
            <w:r w:rsidR="003D53A9">
              <w:rPr>
                <w:rFonts w:eastAsia="Times New Roman"/>
                <w:sz w:val="16"/>
                <w:szCs w:val="16"/>
                <w:lang w:val="es-ES_tradnl"/>
              </w:rPr>
              <w:t>.</w:t>
            </w:r>
          </w:p>
        </w:tc>
        <w:tc>
          <w:tcPr>
            <w:tcW w:w="2145" w:type="dxa"/>
            <w:tcBorders>
              <w:left w:val="nil"/>
              <w:bottom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i) 60 días a partir de la recepción de la respuesta a la petición de revisión o reclamación ii) 30 días a partir de la recepción de la refutación o la respuesta a la carta de cargos y iii) 10 días hábiles a partir de la recepción de la consulta </w:t>
            </w:r>
          </w:p>
          <w:p w:rsidR="00D26095" w:rsidRPr="00B46E56" w:rsidRDefault="00D26095" w:rsidP="00D26095">
            <w:pPr>
              <w:rPr>
                <w:rFonts w:eastAsia="Times New Roman"/>
                <w:sz w:val="16"/>
                <w:szCs w:val="16"/>
                <w:lang w:val="es-ES_tradnl"/>
              </w:rPr>
            </w:pPr>
          </w:p>
        </w:tc>
      </w:tr>
      <w:tr w:rsidR="00D26095" w:rsidRPr="00B46E56" w:rsidTr="00D26095">
        <w:trPr>
          <w:trHeight w:val="2160"/>
        </w:trPr>
        <w:tc>
          <w:tcPr>
            <w:tcW w:w="2440" w:type="dxa"/>
            <w:tcBorders>
              <w:top w:val="nil"/>
              <w:left w:val="single" w:sz="4" w:space="0" w:color="auto"/>
              <w:bottom w:val="nil"/>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bottom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Diversidad geográfica – porcentaje de funcionarios por región.</w:t>
            </w:r>
          </w:p>
        </w:tc>
        <w:tc>
          <w:tcPr>
            <w:tcW w:w="2440" w:type="dxa"/>
            <w:tcBorders>
              <w:top w:val="nil"/>
              <w:left w:val="nil"/>
              <w:bottom w:val="nil"/>
              <w:right w:val="nil"/>
            </w:tcBorders>
            <w:shd w:val="clear" w:color="000000" w:fill="FFFFFF"/>
            <w:hideMark/>
          </w:tcPr>
          <w:p w:rsidR="00D26095" w:rsidRPr="00B46E56" w:rsidRDefault="00D26095" w:rsidP="00D26095">
            <w:pPr>
              <w:autoSpaceDE w:val="0"/>
              <w:autoSpaceDN w:val="0"/>
              <w:adjustRightInd w:val="0"/>
              <w:rPr>
                <w:sz w:val="16"/>
                <w:szCs w:val="16"/>
                <w:lang w:val="es-ES_tradnl"/>
              </w:rPr>
            </w:pPr>
          </w:p>
          <w:p w:rsidR="00D26095" w:rsidRPr="00B46E56" w:rsidRDefault="00D26095" w:rsidP="00D26095">
            <w:pPr>
              <w:autoSpaceDE w:val="0"/>
              <w:autoSpaceDN w:val="0"/>
              <w:adjustRightInd w:val="0"/>
              <w:rPr>
                <w:sz w:val="16"/>
                <w:szCs w:val="16"/>
                <w:lang w:val="es-ES_tradnl"/>
              </w:rPr>
            </w:pPr>
            <w:r w:rsidRPr="00B46E56">
              <w:rPr>
                <w:sz w:val="16"/>
                <w:szCs w:val="16"/>
                <w:lang w:val="es-ES_tradnl"/>
              </w:rPr>
              <w:t xml:space="preserve">África </w:t>
            </w:r>
            <w:r w:rsidRPr="00B46E56">
              <w:rPr>
                <w:rFonts w:eastAsia="Times New Roman"/>
                <w:sz w:val="16"/>
                <w:szCs w:val="16"/>
                <w:lang w:val="es-ES_tradnl"/>
              </w:rPr>
              <w:t>– 10,8%</w:t>
            </w:r>
            <w:r w:rsidRPr="00B46E56">
              <w:rPr>
                <w:rFonts w:eastAsia="Times New Roman"/>
                <w:sz w:val="16"/>
                <w:szCs w:val="16"/>
                <w:lang w:val="es-ES_tradnl"/>
              </w:rPr>
              <w:br/>
              <w:t>Asia y el Pacífico – 13,5%</w:t>
            </w:r>
            <w:r w:rsidRPr="00B46E56">
              <w:rPr>
                <w:rFonts w:eastAsia="Times New Roman"/>
                <w:sz w:val="16"/>
                <w:szCs w:val="16"/>
                <w:lang w:val="es-ES_tradnl"/>
              </w:rPr>
              <w:br/>
            </w:r>
            <w:r w:rsidRPr="00B46E56">
              <w:rPr>
                <w:sz w:val="16"/>
                <w:szCs w:val="16"/>
                <w:lang w:val="es-ES_tradnl"/>
              </w:rPr>
              <w:t>Europa Central y Oriental</w:t>
            </w:r>
          </w:p>
          <w:p w:rsidR="00D26095" w:rsidRPr="00B46E56" w:rsidRDefault="00D26095" w:rsidP="00D26095">
            <w:pPr>
              <w:rPr>
                <w:rFonts w:eastAsia="Times New Roman"/>
                <w:sz w:val="16"/>
                <w:szCs w:val="16"/>
                <w:lang w:val="es-ES_tradnl"/>
              </w:rPr>
            </w:pPr>
            <w:r w:rsidRPr="00B46E56">
              <w:rPr>
                <w:sz w:val="16"/>
                <w:szCs w:val="16"/>
                <w:lang w:val="es-ES_tradnl"/>
              </w:rPr>
              <w:t>y Asia Central</w:t>
            </w:r>
            <w:r w:rsidRPr="00B46E56">
              <w:rPr>
                <w:rFonts w:eastAsia="Times New Roman"/>
                <w:sz w:val="16"/>
                <w:szCs w:val="16"/>
                <w:lang w:val="es-ES_tradnl"/>
              </w:rPr>
              <w:t xml:space="preserve"> – 6,7%</w:t>
            </w:r>
            <w:r w:rsidRPr="00B46E56">
              <w:rPr>
                <w:rFonts w:eastAsia="Times New Roman"/>
                <w:sz w:val="16"/>
                <w:szCs w:val="16"/>
                <w:lang w:val="es-ES_tradnl"/>
              </w:rPr>
              <w:br/>
            </w:r>
            <w:r w:rsidRPr="00B46E56">
              <w:rPr>
                <w:sz w:val="16"/>
                <w:szCs w:val="16"/>
                <w:lang w:val="es-ES_tradnl"/>
              </w:rPr>
              <w:t>América Latina y el Caribe</w:t>
            </w:r>
            <w:r w:rsidRPr="00B46E56">
              <w:rPr>
                <w:rFonts w:eastAsia="Times New Roman"/>
                <w:sz w:val="16"/>
                <w:szCs w:val="16"/>
                <w:lang w:val="es-ES_tradnl"/>
              </w:rPr>
              <w:t xml:space="preserve"> – 8,2%</w:t>
            </w:r>
            <w:r w:rsidRPr="00B46E56">
              <w:rPr>
                <w:rFonts w:eastAsia="Times New Roman"/>
                <w:sz w:val="16"/>
                <w:szCs w:val="16"/>
                <w:lang w:val="es-ES_tradnl"/>
              </w:rPr>
              <w:br/>
            </w:r>
            <w:r w:rsidRPr="00B46E56">
              <w:rPr>
                <w:sz w:val="16"/>
                <w:szCs w:val="16"/>
                <w:lang w:val="es-ES_tradnl"/>
              </w:rPr>
              <w:t>Medio Oriente</w:t>
            </w:r>
            <w:r w:rsidRPr="00B46E56">
              <w:rPr>
                <w:rFonts w:eastAsia="Times New Roman"/>
                <w:sz w:val="16"/>
                <w:szCs w:val="16"/>
                <w:lang w:val="es-ES_tradnl"/>
              </w:rPr>
              <w:t xml:space="preserve"> – 1,2%</w:t>
            </w:r>
            <w:r w:rsidRPr="00B46E56">
              <w:rPr>
                <w:rFonts w:eastAsia="Times New Roman"/>
                <w:sz w:val="16"/>
                <w:szCs w:val="16"/>
                <w:lang w:val="es-ES_tradnl"/>
              </w:rPr>
              <w:br/>
            </w:r>
            <w:r w:rsidRPr="00B46E56">
              <w:rPr>
                <w:sz w:val="16"/>
                <w:szCs w:val="16"/>
                <w:lang w:val="es-ES_tradnl"/>
              </w:rPr>
              <w:t>Norteamérica</w:t>
            </w:r>
            <w:r w:rsidRPr="00B46E56">
              <w:rPr>
                <w:rFonts w:eastAsia="Times New Roman"/>
                <w:sz w:val="16"/>
                <w:szCs w:val="16"/>
                <w:lang w:val="es-ES_tradnl"/>
              </w:rPr>
              <w:t xml:space="preserve"> – 8,4%</w:t>
            </w:r>
            <w:r w:rsidRPr="00B46E56">
              <w:rPr>
                <w:rFonts w:eastAsia="Times New Roman"/>
                <w:sz w:val="16"/>
                <w:szCs w:val="16"/>
                <w:lang w:val="es-ES_tradnl"/>
              </w:rPr>
              <w:br/>
            </w:r>
            <w:r w:rsidRPr="00B46E56">
              <w:rPr>
                <w:sz w:val="16"/>
                <w:szCs w:val="16"/>
                <w:lang w:val="es-ES_tradnl"/>
              </w:rPr>
              <w:t>Europa Occidental</w:t>
            </w:r>
            <w:r w:rsidRPr="00B46E56">
              <w:rPr>
                <w:rFonts w:eastAsia="Times New Roman"/>
                <w:sz w:val="16"/>
                <w:szCs w:val="16"/>
                <w:lang w:val="es-ES_tradnl"/>
              </w:rPr>
              <w:t xml:space="preserve"> – 51,2%</w:t>
            </w:r>
            <w:r w:rsidRPr="00B46E56">
              <w:rPr>
                <w:rFonts w:eastAsia="Times New Roman"/>
                <w:sz w:val="16"/>
                <w:szCs w:val="16"/>
                <w:lang w:val="es-ES_tradnl"/>
              </w:rPr>
              <w:br/>
              <w:t>(Dic. de 2014)</w:t>
            </w:r>
          </w:p>
        </w:tc>
        <w:tc>
          <w:tcPr>
            <w:tcW w:w="2145" w:type="dxa"/>
            <w:tcBorders>
              <w:top w:val="nil"/>
              <w:left w:val="nil"/>
              <w:bottom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La política de la OMPI en materia de distribución geográfica requiere el examen de los Estados miembros.  </w:t>
            </w:r>
          </w:p>
        </w:tc>
      </w:tr>
      <w:tr w:rsidR="00D26095" w:rsidRPr="00B46E56" w:rsidTr="00D26095">
        <w:trPr>
          <w:trHeight w:val="747"/>
        </w:trPr>
        <w:tc>
          <w:tcPr>
            <w:tcW w:w="2440" w:type="dxa"/>
            <w:tcBorders>
              <w:top w:val="nil"/>
              <w:left w:val="single" w:sz="4" w:space="0" w:color="auto"/>
              <w:bottom w:val="nil"/>
              <w:right w:val="nil"/>
            </w:tcBorders>
            <w:shd w:val="clear" w:color="000000" w:fill="FFFFFF"/>
          </w:tcPr>
          <w:p w:rsidR="00D26095" w:rsidRPr="00B46E56" w:rsidRDefault="00D26095" w:rsidP="00D26095">
            <w:pPr>
              <w:rPr>
                <w:rFonts w:eastAsia="Times New Roman"/>
                <w:sz w:val="16"/>
                <w:szCs w:val="16"/>
                <w:lang w:val="es-ES_tradnl"/>
              </w:rPr>
            </w:pPr>
          </w:p>
        </w:tc>
        <w:tc>
          <w:tcPr>
            <w:tcW w:w="2440" w:type="dxa"/>
            <w:tcBorders>
              <w:top w:val="nil"/>
              <w:left w:val="nil"/>
              <w:bottom w:val="nil"/>
              <w:right w:val="nil"/>
            </w:tcBorders>
            <w:shd w:val="clear" w:color="000000" w:fill="FFFFFF"/>
          </w:tcPr>
          <w:p w:rsidR="00D26095" w:rsidRPr="00B46E56" w:rsidRDefault="00D26095" w:rsidP="00D323ED">
            <w:pPr>
              <w:rPr>
                <w:rFonts w:eastAsia="Times New Roman"/>
                <w:sz w:val="16"/>
                <w:szCs w:val="16"/>
                <w:lang w:val="es-ES_tradnl"/>
              </w:rPr>
            </w:pPr>
            <w:r w:rsidRPr="00B46E56">
              <w:rPr>
                <w:rFonts w:eastAsia="Times New Roman"/>
                <w:sz w:val="16"/>
                <w:szCs w:val="16"/>
                <w:lang w:val="es-ES_tradnl"/>
              </w:rPr>
              <w:t>N</w:t>
            </w:r>
            <w:r w:rsidR="00D323ED">
              <w:rPr>
                <w:rFonts w:eastAsia="Times New Roman"/>
                <w:sz w:val="16"/>
                <w:szCs w:val="16"/>
                <w:lang w:val="es-ES_tradnl"/>
              </w:rPr>
              <w:t>º</w:t>
            </w:r>
            <w:r w:rsidRPr="00B46E56">
              <w:rPr>
                <w:rFonts w:eastAsia="Times New Roman"/>
                <w:sz w:val="16"/>
                <w:szCs w:val="16"/>
                <w:lang w:val="es-ES_tradnl"/>
              </w:rPr>
              <w:t xml:space="preserve"> de solicitudes recibidas por parte de Estados miembros no representados, como porcentaje del total </w:t>
            </w:r>
          </w:p>
        </w:tc>
        <w:tc>
          <w:tcPr>
            <w:tcW w:w="2440" w:type="dxa"/>
            <w:tcBorders>
              <w:top w:val="nil"/>
              <w:left w:val="nil"/>
              <w:bottom w:val="nil"/>
              <w:right w:val="nil"/>
            </w:tcBorders>
            <w:shd w:val="clear" w:color="000000" w:fill="FFFFFF"/>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bottom w:val="nil"/>
              <w:right w:val="single" w:sz="4" w:space="0" w:color="auto"/>
            </w:tcBorders>
            <w:shd w:val="clear" w:color="000000" w:fill="FFFFFF"/>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A determinar a fines de 2015 (sobre la base del aumento del porcentaje entre 2014-2015). </w:t>
            </w:r>
          </w:p>
        </w:tc>
      </w:tr>
      <w:tr w:rsidR="00D26095" w:rsidRPr="00B46E56" w:rsidTr="00D26095">
        <w:trPr>
          <w:trHeight w:val="567"/>
        </w:trPr>
        <w:tc>
          <w:tcPr>
            <w:tcW w:w="2440" w:type="dxa"/>
            <w:tcBorders>
              <w:top w:val="nil"/>
              <w:left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Mayor consolidación de la planificación de los recursos humanos.  </w:t>
            </w:r>
          </w:p>
        </w:tc>
        <w:tc>
          <w:tcPr>
            <w:tcW w:w="2440" w:type="dxa"/>
            <w:tcBorders>
              <w:top w:val="nil"/>
              <w:left w:val="nil"/>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 determinar.</w:t>
            </w:r>
          </w:p>
        </w:tc>
        <w:tc>
          <w:tcPr>
            <w:tcW w:w="2145" w:type="dxa"/>
            <w:tcBorders>
              <w:top w:val="nil"/>
              <w:left w:val="nil"/>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 determinar.</w:t>
            </w:r>
          </w:p>
        </w:tc>
      </w:tr>
      <w:tr w:rsidR="00D26095" w:rsidRPr="00B46E56" w:rsidTr="00D26095">
        <w:trPr>
          <w:trHeight w:val="1170"/>
        </w:trPr>
        <w:tc>
          <w:tcPr>
            <w:tcW w:w="2440" w:type="dxa"/>
            <w:tcBorders>
              <w:top w:val="nil"/>
              <w:left w:val="single" w:sz="4" w:space="0" w:color="auto"/>
              <w:bottom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w:t>
            </w:r>
          </w:p>
        </w:tc>
        <w:tc>
          <w:tcPr>
            <w:tcW w:w="2440" w:type="dxa"/>
            <w:tcBorders>
              <w:top w:val="nil"/>
              <w:left w:val="nil"/>
              <w:bottom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Porcentaje de necesidades de formación satisfechas, de las cuales</w:t>
            </w:r>
            <w:proofErr w:type="gramStart"/>
            <w:r w:rsidRPr="00B46E56">
              <w:rPr>
                <w:rFonts w:eastAsia="Times New Roman"/>
                <w:sz w:val="16"/>
                <w:szCs w:val="16"/>
                <w:lang w:val="es-ES_tradnl"/>
              </w:rPr>
              <w:t>:  i</w:t>
            </w:r>
            <w:proofErr w:type="gramEnd"/>
            <w:r w:rsidRPr="00B46E56">
              <w:rPr>
                <w:rFonts w:eastAsia="Times New Roman"/>
                <w:sz w:val="16"/>
                <w:szCs w:val="16"/>
                <w:lang w:val="es-ES_tradnl"/>
              </w:rPr>
              <w:t>) necesidades esenciales de formación colectiva y  ii) necesidades de formación individuales.</w:t>
            </w:r>
          </w:p>
        </w:tc>
        <w:tc>
          <w:tcPr>
            <w:tcW w:w="2440" w:type="dxa"/>
            <w:tcBorders>
              <w:top w:val="nil"/>
              <w:left w:val="nil"/>
              <w:bottom w:val="single" w:sz="4" w:space="0" w:color="auto"/>
              <w:right w:val="nil"/>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A determinar a fines de 2015.</w:t>
            </w:r>
          </w:p>
        </w:tc>
        <w:tc>
          <w:tcPr>
            <w:tcW w:w="2145" w:type="dxa"/>
            <w:tcBorders>
              <w:top w:val="nil"/>
              <w:left w:val="nil"/>
              <w:bottom w:val="single" w:sz="4" w:space="0" w:color="auto"/>
              <w:right w:val="single" w:sz="4" w:space="0" w:color="auto"/>
            </w:tcBorders>
            <w:shd w:val="clear" w:color="000000" w:fill="FFFFFF"/>
            <w:hideMark/>
          </w:tcPr>
          <w:p w:rsidR="00D26095" w:rsidRPr="00B46E56" w:rsidRDefault="00D26095" w:rsidP="00D26095">
            <w:pPr>
              <w:rPr>
                <w:rFonts w:eastAsia="Times New Roman"/>
                <w:sz w:val="16"/>
                <w:szCs w:val="16"/>
                <w:lang w:val="es-ES_tradnl"/>
              </w:rPr>
            </w:pPr>
          </w:p>
          <w:p w:rsidR="00D26095" w:rsidRPr="00B46E56" w:rsidRDefault="00D26095" w:rsidP="00D26095">
            <w:pPr>
              <w:rPr>
                <w:rFonts w:eastAsia="Times New Roman"/>
                <w:sz w:val="16"/>
                <w:szCs w:val="16"/>
                <w:lang w:val="es-ES_tradnl"/>
              </w:rPr>
            </w:pPr>
            <w:r w:rsidRPr="00B46E56">
              <w:rPr>
                <w:rFonts w:eastAsia="Times New Roman"/>
                <w:sz w:val="16"/>
                <w:szCs w:val="16"/>
                <w:lang w:val="es-ES_tradnl"/>
              </w:rPr>
              <w:t xml:space="preserve">i) 60% de las necesidades se satisfacen mediante un programa de formación ii) 55% de necesidades de formación individuales satisfechas. </w:t>
            </w:r>
            <w:r w:rsidR="00D323ED">
              <w:rPr>
                <w:rFonts w:eastAsia="Times New Roman"/>
                <w:sz w:val="16"/>
                <w:szCs w:val="16"/>
                <w:lang w:val="es-ES_tradnl"/>
              </w:rPr>
              <w:br/>
            </w:r>
          </w:p>
        </w:tc>
      </w:tr>
    </w:tbl>
    <w:p w:rsidR="00D26095" w:rsidRPr="00B46E56" w:rsidRDefault="00D26095" w:rsidP="00D26095">
      <w:pPr>
        <w:rPr>
          <w:rFonts w:eastAsia="Times New Roman"/>
          <w:sz w:val="20"/>
          <w:lang w:val="es-ES_tradnl"/>
        </w:rPr>
      </w:pPr>
    </w:p>
    <w:p w:rsidR="00D26095" w:rsidRPr="00B46E56" w:rsidRDefault="00D26095" w:rsidP="00D26095">
      <w:pPr>
        <w:rPr>
          <w:rFonts w:eastAsia="Times New Roman"/>
          <w:sz w:val="20"/>
          <w:lang w:val="es-ES_tradnl"/>
        </w:rPr>
      </w:pPr>
    </w:p>
    <w:p w:rsidR="00D26095" w:rsidRPr="00B46E56" w:rsidRDefault="00D26095" w:rsidP="00D26095">
      <w:pPr>
        <w:rPr>
          <w:rFonts w:eastAsia="Times New Roman"/>
          <w:lang w:val="es-ES_tradnl"/>
        </w:rPr>
      </w:pPr>
      <w:r w:rsidRPr="00B46E56">
        <w:rPr>
          <w:rFonts w:eastAsia="Times New Roman"/>
          <w:lang w:val="es-ES_tradnl"/>
        </w:rPr>
        <w:t>RECURSOS PARA EL PROGRAMA 23</w:t>
      </w:r>
    </w:p>
    <w:p w:rsidR="00D26095" w:rsidRPr="00B46E56" w:rsidRDefault="00D26095" w:rsidP="00D26095">
      <w:pPr>
        <w:rPr>
          <w:rFonts w:eastAsia="Times New Roman"/>
          <w:sz w:val="20"/>
          <w:lang w:val="es-ES_tradnl"/>
        </w:rPr>
      </w:pPr>
    </w:p>
    <w:p w:rsidR="00D26095" w:rsidRPr="00B46E56" w:rsidRDefault="00D26095" w:rsidP="006E1F57">
      <w:pPr>
        <w:pStyle w:val="ListParagraph"/>
        <w:numPr>
          <w:ilvl w:val="0"/>
          <w:numId w:val="44"/>
        </w:numPr>
        <w:tabs>
          <w:tab w:val="left" w:pos="851"/>
        </w:tabs>
        <w:ind w:left="0" w:firstLine="0"/>
        <w:jc w:val="both"/>
        <w:rPr>
          <w:rFonts w:ascii="Arial" w:hAnsi="Arial" w:cs="Arial"/>
          <w:sz w:val="20"/>
          <w:szCs w:val="20"/>
          <w:lang w:val="es-ES_tradnl"/>
        </w:rPr>
      </w:pPr>
      <w:r w:rsidRPr="00B46E56">
        <w:rPr>
          <w:rFonts w:ascii="Arial" w:hAnsi="Arial" w:cs="Arial"/>
          <w:sz w:val="20"/>
          <w:szCs w:val="20"/>
          <w:lang w:val="es-ES_tradnl"/>
        </w:rPr>
        <w:t>L</w:t>
      </w:r>
      <w:r w:rsidR="00D323ED">
        <w:rPr>
          <w:rFonts w:ascii="Arial" w:hAnsi="Arial" w:cs="Arial"/>
          <w:sz w:val="20"/>
          <w:szCs w:val="20"/>
          <w:lang w:val="es-ES_tradnl"/>
        </w:rPr>
        <w:t xml:space="preserve">a dotación global de </w:t>
      </w:r>
      <w:r w:rsidRPr="00B46E56">
        <w:rPr>
          <w:rFonts w:ascii="Arial" w:hAnsi="Arial" w:cs="Arial"/>
          <w:sz w:val="20"/>
          <w:szCs w:val="20"/>
          <w:lang w:val="es-ES_tradnl"/>
        </w:rPr>
        <w:t>recursos para el pro</w:t>
      </w:r>
      <w:r w:rsidR="00D323ED">
        <w:rPr>
          <w:rFonts w:ascii="Arial" w:hAnsi="Arial" w:cs="Arial"/>
          <w:sz w:val="20"/>
          <w:szCs w:val="20"/>
          <w:lang w:val="es-ES_tradnl"/>
        </w:rPr>
        <w:t>grama 23 en 2016/17 permanecerá</w:t>
      </w:r>
      <w:r w:rsidRPr="00B46E56">
        <w:rPr>
          <w:rFonts w:ascii="Arial" w:hAnsi="Arial" w:cs="Arial"/>
          <w:sz w:val="20"/>
          <w:szCs w:val="20"/>
          <w:lang w:val="es-ES_tradnl"/>
        </w:rPr>
        <w:t xml:space="preserve"> estable en comparación con el presupuesto de 2014/</w:t>
      </w:r>
      <w:r w:rsidR="00ED0A05">
        <w:rPr>
          <w:rFonts w:ascii="Arial" w:hAnsi="Arial" w:cs="Arial"/>
          <w:sz w:val="20"/>
          <w:szCs w:val="20"/>
          <w:lang w:val="es-ES_tradnl"/>
        </w:rPr>
        <w:t>15 tras las</w:t>
      </w:r>
      <w:r w:rsidRPr="00B46E56">
        <w:rPr>
          <w:rFonts w:ascii="Arial" w:hAnsi="Arial" w:cs="Arial"/>
          <w:sz w:val="20"/>
          <w:szCs w:val="20"/>
          <w:lang w:val="es-ES_tradnl"/>
        </w:rPr>
        <w:t xml:space="preserve"> transferencias.  La disminución de pasantías, que ahora se incluyen directamente en el presupuesto del programa, se debe a que se prevén recursos adicionales para a) actividades relacionadas con diversidad geográfica y equilibrio de género, b) el programa de recompensa y reconocimiento de la OMPI y c) contribuciones a los costos comunes a todo el sistema de las Naciones Unidas.</w:t>
      </w:r>
    </w:p>
    <w:p w:rsidR="00D26095" w:rsidRPr="00B46E56" w:rsidRDefault="00D26095" w:rsidP="00D26095">
      <w:pPr>
        <w:pStyle w:val="ListParagraph"/>
        <w:ind w:left="0"/>
        <w:jc w:val="both"/>
        <w:rPr>
          <w:rFonts w:ascii="Arial" w:hAnsi="Arial" w:cs="Arial"/>
          <w:sz w:val="20"/>
          <w:szCs w:val="20"/>
          <w:lang w:val="es-ES_tradnl"/>
        </w:rPr>
      </w:pPr>
    </w:p>
    <w:p w:rsidR="00D26095" w:rsidRPr="00B46E56" w:rsidRDefault="00D26095" w:rsidP="006E1F57">
      <w:pPr>
        <w:pStyle w:val="ListParagraph"/>
        <w:numPr>
          <w:ilvl w:val="0"/>
          <w:numId w:val="44"/>
        </w:numPr>
        <w:tabs>
          <w:tab w:val="left" w:pos="851"/>
        </w:tabs>
        <w:ind w:left="0" w:firstLine="0"/>
        <w:jc w:val="both"/>
        <w:rPr>
          <w:rFonts w:ascii="Arial" w:hAnsi="Arial" w:cs="Arial"/>
          <w:sz w:val="20"/>
          <w:szCs w:val="20"/>
          <w:lang w:val="es-ES_tradnl"/>
        </w:rPr>
      </w:pPr>
      <w:r w:rsidRPr="00B46E56">
        <w:rPr>
          <w:rFonts w:ascii="Arial" w:hAnsi="Arial" w:cs="Arial"/>
          <w:sz w:val="20"/>
          <w:szCs w:val="20"/>
          <w:lang w:val="es-ES_tradnl"/>
        </w:rPr>
        <w:t xml:space="preserve">El aumento observado en el número total de puestos entre el presupuesto propuesto para 2016/17 y el propuesto aprobado de 2014/15 refleja la regularización de </w:t>
      </w:r>
      <w:r w:rsidR="006E1F57">
        <w:rPr>
          <w:rFonts w:ascii="Arial" w:hAnsi="Arial" w:cs="Arial"/>
          <w:sz w:val="20"/>
          <w:szCs w:val="20"/>
          <w:lang w:val="es-ES_tradnl"/>
        </w:rPr>
        <w:t>cargos</w:t>
      </w:r>
      <w:r w:rsidRPr="00B46E56">
        <w:rPr>
          <w:rFonts w:ascii="Arial" w:hAnsi="Arial" w:cs="Arial"/>
          <w:sz w:val="20"/>
          <w:szCs w:val="20"/>
          <w:lang w:val="es-ES_tradnl"/>
        </w:rPr>
        <w:t xml:space="preserve"> temporales en el bienio.</w:t>
      </w:r>
    </w:p>
    <w:p w:rsidR="00D26095" w:rsidRPr="00B46E56" w:rsidRDefault="00D26095" w:rsidP="00D26095">
      <w:pPr>
        <w:tabs>
          <w:tab w:val="left" w:pos="1427"/>
        </w:tabs>
        <w:jc w:val="center"/>
        <w:rPr>
          <w:rFonts w:eastAsiaTheme="minorEastAsia"/>
          <w:b/>
          <w:sz w:val="20"/>
          <w:lang w:val="es-ES_tradnl" w:eastAsia="ja-JP"/>
        </w:rPr>
      </w:pPr>
    </w:p>
    <w:p w:rsidR="00D26095" w:rsidRPr="00B46E56" w:rsidRDefault="00D26095" w:rsidP="00D26095">
      <w:pPr>
        <w:tabs>
          <w:tab w:val="left" w:pos="1427"/>
        </w:tabs>
        <w:jc w:val="center"/>
        <w:rPr>
          <w:rFonts w:eastAsiaTheme="minorEastAsia"/>
          <w:b/>
          <w:sz w:val="20"/>
          <w:lang w:val="es-ES_tradnl" w:eastAsia="ja-JP"/>
        </w:rPr>
      </w:pPr>
    </w:p>
    <w:p w:rsidR="00D26095" w:rsidRPr="00071638" w:rsidRDefault="00D26095" w:rsidP="00D26095">
      <w:pPr>
        <w:keepNext/>
        <w:keepLines/>
        <w:tabs>
          <w:tab w:val="left" w:pos="1427"/>
        </w:tabs>
        <w:jc w:val="center"/>
        <w:rPr>
          <w:rFonts w:eastAsiaTheme="minorEastAsia"/>
          <w:color w:val="244061" w:themeColor="accent1" w:themeShade="80"/>
          <w:sz w:val="20"/>
          <w:lang w:val="es-ES_tradnl"/>
        </w:rPr>
      </w:pPr>
      <w:r w:rsidRPr="00071638">
        <w:rPr>
          <w:rFonts w:eastAsiaTheme="minorEastAsia"/>
          <w:b/>
          <w:color w:val="244061" w:themeColor="accent1" w:themeShade="80"/>
          <w:sz w:val="20"/>
          <w:lang w:val="es-ES_tradnl"/>
        </w:rPr>
        <w:lastRenderedPageBreak/>
        <w:t>Programa</w:t>
      </w:r>
      <w:r w:rsidR="00810833">
        <w:rPr>
          <w:rFonts w:eastAsiaTheme="minorEastAsia"/>
          <w:b/>
          <w:color w:val="244061" w:themeColor="accent1" w:themeShade="80"/>
          <w:sz w:val="20"/>
          <w:lang w:val="es-ES_tradnl"/>
        </w:rPr>
        <w:t xml:space="preserve"> </w:t>
      </w:r>
      <w:r w:rsidRPr="00071638">
        <w:rPr>
          <w:rFonts w:eastAsiaTheme="minorEastAsia"/>
          <w:b/>
          <w:color w:val="244061" w:themeColor="accent1" w:themeShade="80"/>
          <w:sz w:val="20"/>
          <w:lang w:val="es-ES_tradnl"/>
        </w:rPr>
        <w:t>23</w:t>
      </w:r>
      <w:proofErr w:type="gramStart"/>
      <w:r w:rsidRPr="00071638">
        <w:rPr>
          <w:rFonts w:eastAsiaTheme="minorEastAsia"/>
          <w:b/>
          <w:color w:val="244061" w:themeColor="accent1" w:themeShade="80"/>
          <w:sz w:val="20"/>
          <w:lang w:val="es-ES_tradnl"/>
        </w:rPr>
        <w:t>:  Recursos</w:t>
      </w:r>
      <w:proofErr w:type="gramEnd"/>
      <w:r w:rsidRPr="00071638">
        <w:rPr>
          <w:rFonts w:eastAsiaTheme="minorEastAsia"/>
          <w:b/>
          <w:color w:val="244061" w:themeColor="accent1" w:themeShade="80"/>
          <w:sz w:val="20"/>
          <w:lang w:val="es-ES_tradnl"/>
        </w:rPr>
        <w:t xml:space="preserve"> por resultado</w:t>
      </w:r>
    </w:p>
    <w:p w:rsidR="00D26095" w:rsidRPr="00071638" w:rsidRDefault="00D26095" w:rsidP="00D26095">
      <w:pPr>
        <w:keepNext/>
        <w:keepLines/>
        <w:tabs>
          <w:tab w:val="left" w:pos="1427"/>
        </w:tabs>
        <w:jc w:val="center"/>
        <w:rPr>
          <w:rFonts w:eastAsiaTheme="minorEastAsia"/>
          <w:i/>
          <w:color w:val="244061" w:themeColor="accent1" w:themeShade="80"/>
          <w:sz w:val="20"/>
          <w:lang w:val="es-ES_tradnl" w:eastAsia="ja-JP"/>
        </w:rPr>
      </w:pPr>
      <w:r w:rsidRPr="00071638">
        <w:rPr>
          <w:rFonts w:eastAsiaTheme="minorEastAsia"/>
          <w:i/>
          <w:color w:val="244061" w:themeColor="accent1" w:themeShade="80"/>
          <w:sz w:val="20"/>
          <w:lang w:val="es-ES_tradnl" w:eastAsia="ja-JP"/>
        </w:rPr>
        <w:t>(</w:t>
      </w:r>
      <w:proofErr w:type="gramStart"/>
      <w:r w:rsidRPr="00071638">
        <w:rPr>
          <w:rFonts w:eastAsiaTheme="minorEastAsia"/>
          <w:i/>
          <w:color w:val="244061" w:themeColor="accent1" w:themeShade="80"/>
          <w:sz w:val="20"/>
          <w:lang w:val="es-ES_tradnl" w:eastAsia="ja-JP"/>
        </w:rPr>
        <w:t>en</w:t>
      </w:r>
      <w:proofErr w:type="gramEnd"/>
      <w:r w:rsidRPr="00071638">
        <w:rPr>
          <w:rFonts w:eastAsiaTheme="minorEastAsia"/>
          <w:i/>
          <w:color w:val="244061" w:themeColor="accent1" w:themeShade="80"/>
          <w:sz w:val="20"/>
          <w:lang w:val="es-ES_tradnl" w:eastAsia="ja-JP"/>
        </w:rPr>
        <w:t xml:space="preserve"> miles de francos suizos)</w:t>
      </w:r>
    </w:p>
    <w:p w:rsidR="00D26095" w:rsidRPr="00071638" w:rsidRDefault="00D26095" w:rsidP="00D26095">
      <w:pPr>
        <w:keepNext/>
        <w:keepLines/>
        <w:tabs>
          <w:tab w:val="left" w:pos="1427"/>
        </w:tabs>
        <w:jc w:val="center"/>
        <w:rPr>
          <w:rFonts w:eastAsiaTheme="minorEastAsia"/>
          <w:i/>
          <w:color w:val="244061" w:themeColor="accent1" w:themeShade="80"/>
          <w:sz w:val="20"/>
          <w:lang w:val="es-ES_tradnl" w:eastAsia="ja-JP"/>
        </w:rPr>
      </w:pPr>
    </w:p>
    <w:p w:rsidR="00D26095" w:rsidRPr="00B46E56" w:rsidRDefault="00D323ED" w:rsidP="00D26095">
      <w:pPr>
        <w:keepNext/>
        <w:keepLines/>
        <w:tabs>
          <w:tab w:val="left" w:pos="1427"/>
        </w:tabs>
        <w:jc w:val="center"/>
        <w:rPr>
          <w:rFonts w:eastAsiaTheme="minorEastAsia"/>
          <w:i/>
          <w:sz w:val="20"/>
          <w:lang w:val="es-ES_tradnl" w:eastAsia="ja-JP"/>
        </w:rPr>
      </w:pPr>
      <w:r w:rsidRPr="00D323ED">
        <w:rPr>
          <w:noProof/>
          <w:lang w:val="en-US" w:eastAsia="en-US"/>
        </w:rPr>
        <w:drawing>
          <wp:inline distT="0" distB="0" distL="0" distR="0">
            <wp:extent cx="5677535" cy="196405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677535" cy="1964055"/>
                    </a:xfrm>
                    <a:prstGeom prst="rect">
                      <a:avLst/>
                    </a:prstGeom>
                    <a:noFill/>
                    <a:ln>
                      <a:noFill/>
                    </a:ln>
                  </pic:spPr>
                </pic:pic>
              </a:graphicData>
            </a:graphic>
          </wp:inline>
        </w:drawing>
      </w:r>
    </w:p>
    <w:p w:rsidR="00D26095" w:rsidRDefault="00D26095" w:rsidP="00D26095">
      <w:pPr>
        <w:keepNext/>
        <w:keepLines/>
        <w:tabs>
          <w:tab w:val="left" w:pos="1427"/>
        </w:tabs>
        <w:jc w:val="center"/>
        <w:rPr>
          <w:rFonts w:eastAsiaTheme="minorEastAsia"/>
          <w:i/>
          <w:sz w:val="20"/>
          <w:lang w:val="es-ES_tradnl" w:eastAsia="ja-JP"/>
        </w:rPr>
      </w:pPr>
    </w:p>
    <w:p w:rsidR="00FC3704" w:rsidRPr="00B46E56" w:rsidRDefault="00FC3704" w:rsidP="00D26095">
      <w:pPr>
        <w:keepNext/>
        <w:keepLines/>
        <w:tabs>
          <w:tab w:val="left" w:pos="1427"/>
        </w:tabs>
        <w:jc w:val="center"/>
        <w:rPr>
          <w:rFonts w:eastAsiaTheme="minorEastAsia"/>
          <w:i/>
          <w:sz w:val="20"/>
          <w:lang w:val="es-ES_tradnl" w:eastAsia="ja-JP"/>
        </w:rPr>
      </w:pPr>
    </w:p>
    <w:p w:rsidR="00D26095" w:rsidRPr="005012AC" w:rsidRDefault="00D26095" w:rsidP="00D26095">
      <w:pPr>
        <w:keepNext/>
        <w:keepLines/>
        <w:tabs>
          <w:tab w:val="left" w:pos="1427"/>
        </w:tabs>
        <w:jc w:val="center"/>
        <w:rPr>
          <w:rFonts w:eastAsiaTheme="minorEastAsia"/>
          <w:sz w:val="20"/>
          <w:lang w:val="es-ES_tradnl"/>
        </w:rPr>
      </w:pPr>
      <w:r w:rsidRPr="005012AC">
        <w:rPr>
          <w:rFonts w:eastAsiaTheme="minorEastAsia"/>
          <w:b/>
          <w:sz w:val="20"/>
          <w:lang w:val="es-ES_tradnl"/>
        </w:rPr>
        <w:t>Programa</w:t>
      </w:r>
      <w:r w:rsidR="005012AC" w:rsidRPr="005012AC">
        <w:rPr>
          <w:rFonts w:eastAsiaTheme="minorEastAsia"/>
          <w:b/>
          <w:sz w:val="20"/>
          <w:lang w:val="es-ES_tradnl"/>
        </w:rPr>
        <w:t xml:space="preserve"> </w:t>
      </w:r>
      <w:r w:rsidRPr="005012AC">
        <w:rPr>
          <w:rFonts w:eastAsiaTheme="minorEastAsia"/>
          <w:b/>
          <w:sz w:val="20"/>
          <w:lang w:val="es-ES_tradnl"/>
        </w:rPr>
        <w:t>23</w:t>
      </w:r>
      <w:proofErr w:type="gramStart"/>
      <w:r w:rsidRPr="005012AC">
        <w:rPr>
          <w:rFonts w:eastAsiaTheme="minorEastAsia"/>
          <w:b/>
          <w:sz w:val="20"/>
          <w:lang w:val="es-ES_tradnl"/>
        </w:rPr>
        <w:t>:  Recursos</w:t>
      </w:r>
      <w:proofErr w:type="gramEnd"/>
      <w:r w:rsidRPr="005012AC">
        <w:rPr>
          <w:rFonts w:eastAsiaTheme="minorEastAsia"/>
          <w:b/>
          <w:sz w:val="20"/>
          <w:lang w:val="es-ES_tradnl"/>
        </w:rPr>
        <w:t xml:space="preserve"> por objeto de gasto</w:t>
      </w:r>
    </w:p>
    <w:p w:rsidR="00D26095" w:rsidRPr="005012AC" w:rsidRDefault="00D26095" w:rsidP="00D26095">
      <w:pPr>
        <w:keepNext/>
        <w:keepLines/>
        <w:tabs>
          <w:tab w:val="left" w:pos="1427"/>
        </w:tabs>
        <w:jc w:val="center"/>
        <w:rPr>
          <w:rFonts w:eastAsiaTheme="minorEastAsia"/>
          <w:sz w:val="20"/>
          <w:lang w:val="es-ES_tradnl"/>
        </w:rPr>
      </w:pPr>
      <w:r w:rsidRPr="005012AC">
        <w:rPr>
          <w:rFonts w:eastAsiaTheme="minorEastAsia"/>
          <w:i/>
          <w:sz w:val="20"/>
          <w:lang w:val="es-ES_tradnl"/>
        </w:rPr>
        <w:t>(</w:t>
      </w:r>
      <w:proofErr w:type="gramStart"/>
      <w:r w:rsidRPr="005012AC">
        <w:rPr>
          <w:rFonts w:eastAsiaTheme="minorEastAsia"/>
          <w:i/>
          <w:sz w:val="20"/>
          <w:lang w:val="es-ES_tradnl"/>
        </w:rPr>
        <w:t>en</w:t>
      </w:r>
      <w:proofErr w:type="gramEnd"/>
      <w:r w:rsidRPr="005012AC">
        <w:rPr>
          <w:rFonts w:eastAsiaTheme="minorEastAsia"/>
          <w:i/>
          <w:sz w:val="20"/>
          <w:lang w:val="es-ES_tradnl"/>
        </w:rPr>
        <w:t xml:space="preserve"> miles de francos suizos)</w:t>
      </w:r>
    </w:p>
    <w:p w:rsidR="00D26095" w:rsidRPr="005012AC" w:rsidRDefault="00D26095" w:rsidP="00D26095">
      <w:pPr>
        <w:keepNext/>
        <w:keepLines/>
        <w:tabs>
          <w:tab w:val="left" w:pos="1427"/>
        </w:tabs>
        <w:jc w:val="center"/>
        <w:rPr>
          <w:rFonts w:eastAsiaTheme="minorEastAsia"/>
          <w:i/>
          <w:sz w:val="20"/>
          <w:lang w:val="es-ES_tradnl" w:eastAsia="ja-JP"/>
        </w:rPr>
      </w:pPr>
    </w:p>
    <w:p w:rsidR="00D26095" w:rsidRDefault="00835617" w:rsidP="00FC3704">
      <w:pPr>
        <w:keepNext/>
        <w:keepLines/>
        <w:tabs>
          <w:tab w:val="left" w:pos="1427"/>
        </w:tabs>
        <w:jc w:val="center"/>
        <w:rPr>
          <w:szCs w:val="22"/>
        </w:rPr>
      </w:pPr>
      <w:r>
        <w:rPr>
          <w:noProof/>
          <w:lang w:val="en-US" w:eastAsia="en-US"/>
        </w:rPr>
        <w:drawing>
          <wp:inline distT="0" distB="0" distL="0" distR="0" wp14:anchorId="4F752675" wp14:editId="5C512F4B">
            <wp:extent cx="5813590" cy="5968868"/>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816537" cy="5971894"/>
                    </a:xfrm>
                    <a:prstGeom prst="rect">
                      <a:avLst/>
                    </a:prstGeom>
                    <a:noFill/>
                    <a:ln>
                      <a:noFill/>
                    </a:ln>
                  </pic:spPr>
                </pic:pic>
              </a:graphicData>
            </a:graphic>
          </wp:inline>
        </w:drawing>
      </w:r>
      <w:r w:rsidR="00D26095">
        <w:rPr>
          <w:szCs w:val="22"/>
        </w:rPr>
        <w:br w:type="page"/>
      </w:r>
    </w:p>
    <w:p w:rsidR="0051477B" w:rsidRPr="00F4741E" w:rsidRDefault="0051477B" w:rsidP="00714E8E">
      <w:pPr>
        <w:pStyle w:val="StyleStyleHeading3ComplexItalicLatin12pt"/>
        <w:rPr>
          <w:lang w:val="es-ES"/>
        </w:rPr>
      </w:pPr>
      <w:bookmarkStart w:id="77" w:name="_Toc420681164"/>
      <w:r w:rsidRPr="00F4741E">
        <w:rPr>
          <w:lang w:val="es-ES"/>
        </w:rPr>
        <w:lastRenderedPageBreak/>
        <w:t>PROGRAMA 24</w:t>
      </w:r>
      <w:r w:rsidRPr="00F4741E">
        <w:rPr>
          <w:lang w:val="es-ES"/>
        </w:rPr>
        <w:tab/>
        <w:t xml:space="preserve">SERVICIOS </w:t>
      </w:r>
      <w:r w:rsidR="00995B30">
        <w:rPr>
          <w:lang w:val="es-ES"/>
        </w:rPr>
        <w:t xml:space="preserve">GENERALES </w:t>
      </w:r>
      <w:r w:rsidRPr="00F4741E">
        <w:rPr>
          <w:lang w:val="es-ES"/>
        </w:rPr>
        <w:t>DE APOYO</w:t>
      </w:r>
      <w:bookmarkEnd w:id="77"/>
    </w:p>
    <w:p w:rsidR="0051477B" w:rsidRPr="00073668" w:rsidRDefault="0051477B" w:rsidP="0051477B">
      <w:pPr>
        <w:jc w:val="both"/>
      </w:pPr>
    </w:p>
    <w:p w:rsidR="0051477B" w:rsidRPr="00073668" w:rsidRDefault="0051477B" w:rsidP="0051477B">
      <w:pPr>
        <w:jc w:val="both"/>
      </w:pPr>
    </w:p>
    <w:p w:rsidR="0051477B" w:rsidRPr="00073668" w:rsidRDefault="0051477B" w:rsidP="0051477B">
      <w:pPr>
        <w:jc w:val="both"/>
      </w:pPr>
      <w:r w:rsidRPr="00073668">
        <w:t>CONTEXTO DE PLANIFICACIÓN</w:t>
      </w:r>
    </w:p>
    <w:p w:rsidR="0051477B" w:rsidRPr="00073668" w:rsidRDefault="0051477B" w:rsidP="0051477B">
      <w:pPr>
        <w:jc w:val="both"/>
        <w:rPr>
          <w:sz w:val="20"/>
        </w:rPr>
      </w:pPr>
    </w:p>
    <w:p w:rsidR="0051477B" w:rsidRPr="00D323ED"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D323ED">
        <w:rPr>
          <w:rFonts w:ascii="Arial" w:hAnsi="Arial" w:cs="Arial"/>
          <w:sz w:val="20"/>
          <w:lang w:val="es-ES"/>
        </w:rPr>
        <w:t xml:space="preserve">La adquisición de productos y servicios, así como los viajes, sigue siendo uno de los gastos más importantes de la Organización que no son relativos al personal, y, por tanto, una esfera en la que es posible aumentar de forma considerable la eficiencia y reducir los costos en toda la Organización.  En el bienio actual y anterior se han introducido múltiples medidas para obtener el máximo rendimiento de los costos de adquisiciones y viajes mediante la aplicación de nuevas herramientas, </w:t>
      </w:r>
      <w:r w:rsidR="0044351D">
        <w:rPr>
          <w:rFonts w:ascii="Arial" w:hAnsi="Arial" w:cs="Arial"/>
          <w:sz w:val="20"/>
          <w:lang w:val="es-ES"/>
        </w:rPr>
        <w:t xml:space="preserve">la revisión de las normas de procedimiento, </w:t>
      </w:r>
      <w:r w:rsidRPr="00D323ED">
        <w:rPr>
          <w:rFonts w:ascii="Arial" w:hAnsi="Arial" w:cs="Arial"/>
          <w:sz w:val="20"/>
          <w:lang w:val="es-ES"/>
        </w:rPr>
        <w:t>la negociación de contratos y billetes de avión y la mejora de la eficiencia de los procesos, garantizando al mismo tiempo a los usuarios de toda la Organización un apoyo de alta calidad y orientado al cliente.  En el bienio 2014/15, las responsabilidades del programa se ampliaron a fin de gestionar también la contratación de servicios de profesionales independientes, además de los proveedores de servicios comerciales.</w:t>
      </w:r>
    </w:p>
    <w:p w:rsidR="0051477B" w:rsidRPr="00073668" w:rsidRDefault="0051477B" w:rsidP="0051477B">
      <w:pPr>
        <w:ind w:left="6"/>
        <w:jc w:val="both"/>
        <w:rPr>
          <w:sz w:val="20"/>
        </w:rPr>
      </w:pPr>
    </w:p>
    <w:p w:rsidR="0051477B" w:rsidRPr="00073668"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Una vez completado el recinto de la OMPI, con la reciente adición de la nueva sala de conferencias y las instalaciones renovadas en el edificio AB, en el bienio 2016/17 se prestará especial atención a asegurar que todas las instalaciones técnicas guarden conformidad con las normas aplicables y a que funcionen de manera óptima para que el programa pueda aplicarse en toda la Organización.  Muchos de los edificios pertenecientes a la OMPI necesitan importantes renovaciones, transformaciones o modernizaciones.  Se trata de obras de gran envergadura, de las cuales las más significativas aportarán también una disminución del consumo de energía, mientras que otras aportarán, como beneficio adicional, la mejora del acceso físico a los locales (lo que constituye un elemento de responsabilidad social).</w:t>
      </w:r>
    </w:p>
    <w:p w:rsidR="0051477B" w:rsidRPr="00073668" w:rsidRDefault="0051477B" w:rsidP="0051477B">
      <w:pPr>
        <w:pStyle w:val="ListParagraph"/>
        <w:ind w:left="0"/>
        <w:rPr>
          <w:rFonts w:ascii="Arial" w:eastAsiaTheme="minorHAnsi" w:hAnsi="Arial" w:cs="Arial"/>
          <w:sz w:val="20"/>
          <w:lang w:val="es-ES"/>
        </w:rPr>
      </w:pPr>
    </w:p>
    <w:p w:rsidR="0051477B" w:rsidRPr="00073668"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La responsabilidad ambiental seguirá siendo una de las prioridades centrales de la Organización que se integrará en la ejecución del programa, en particular, en lo que respecta a la gestión de las instalaciones en el marco del objetivo general del Sistema de las Naciones Unidas de alcanzar la neutralidad climática en 2020.</w:t>
      </w:r>
    </w:p>
    <w:p w:rsidR="0051477B" w:rsidRPr="00073668" w:rsidRDefault="0051477B" w:rsidP="0051477B">
      <w:pPr>
        <w:jc w:val="both"/>
        <w:rPr>
          <w:sz w:val="20"/>
        </w:rPr>
      </w:pPr>
    </w:p>
    <w:p w:rsidR="0051477B" w:rsidRPr="00073668" w:rsidRDefault="0051477B" w:rsidP="0051477B">
      <w:pPr>
        <w:jc w:val="both"/>
        <w:rPr>
          <w:sz w:val="20"/>
        </w:rPr>
      </w:pPr>
    </w:p>
    <w:p w:rsidR="0051477B" w:rsidRPr="00073668" w:rsidRDefault="0051477B" w:rsidP="0051477B">
      <w:pPr>
        <w:jc w:val="both"/>
      </w:pPr>
      <w:r w:rsidRPr="00073668">
        <w:t>ESTRATEGIAS DE EJECUCIÓN</w:t>
      </w:r>
    </w:p>
    <w:p w:rsidR="0051477B" w:rsidRPr="00073668" w:rsidRDefault="0051477B" w:rsidP="0051477B">
      <w:pPr>
        <w:jc w:val="both"/>
        <w:rPr>
          <w:sz w:val="20"/>
        </w:rPr>
      </w:pPr>
    </w:p>
    <w:p w:rsidR="0051477B" w:rsidRPr="00073668"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A partir de la labor iniciada en el bienio 2014/15 mediante la puesta en funcionamiento de una herramienta para la reserva de billetes aéreos en Internet y de una nueva herramienta para gestionar solicitudes de viaje, se estudiarán nuevas oportunidades de ahorro en billetes y tasas de servicio.  Se seguirá fomentando la eficiencia administrativa mediante</w:t>
      </w:r>
      <w:r w:rsidR="0044351D">
        <w:rPr>
          <w:rFonts w:ascii="Arial" w:hAnsi="Arial" w:cs="Arial"/>
          <w:sz w:val="20"/>
          <w:lang w:val="es-ES"/>
        </w:rPr>
        <w:t xml:space="preserve"> la revisión del marco regulador,</w:t>
      </w:r>
      <w:r w:rsidRPr="00073668">
        <w:rPr>
          <w:rFonts w:ascii="Arial" w:hAnsi="Arial" w:cs="Arial"/>
          <w:sz w:val="20"/>
          <w:lang w:val="es-ES"/>
        </w:rPr>
        <w:t xml:space="preserve"> la simplificación de procesos gracias a las nuevas herramientas de T.I. para la gestión de solicitudes de celebración de actos oficiales y al módulo del PRI de compra al pago.  Para seguir optimizando los costos de los productos y servicios, en el bienio se prestará especial atención a mejorar el proceso de concurso para la contratación de servicios de profesionales independientes mediante una herramienta de T.I. especializada.  Paralelamente, para fomentar el uso óptimo de los recursos, se fortalecerá la gestión del desempeño de los vendedores a partir de las herramientas creadas a dicho fin en 2014/15.  Por otra parte, se seguirán invirtiendo activamente esfuerzos para aprovechar mejor las oportunidades de colaboración con otras organizaciones internacionales.</w:t>
      </w:r>
    </w:p>
    <w:p w:rsidR="0051477B" w:rsidRPr="00073668" w:rsidRDefault="0051477B" w:rsidP="0051477B">
      <w:pPr>
        <w:ind w:left="6"/>
        <w:jc w:val="both"/>
        <w:rPr>
          <w:sz w:val="20"/>
        </w:rPr>
      </w:pPr>
    </w:p>
    <w:p w:rsidR="0051477B" w:rsidRPr="00073668"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073668">
        <w:rPr>
          <w:rFonts w:ascii="Arial" w:hAnsi="Arial" w:cs="Arial"/>
          <w:sz w:val="20"/>
          <w:lang w:val="es-ES"/>
        </w:rPr>
        <w:t>Con el fin de garantizar la mejora continua y uniforme de las instalaciones técnicas de los locales de la OMPI, se seguirá ejecutando el plan general de renovación y mejora de las instalaciones técnicas de todo el recinto de la OMPI, siguiendo la tarea iniciada en el bienio anterior.  En este proceso se dará prioridad a las instalaciones más importantes.  Algunas de las decisiones de renovación o mejora de las instalaciones técnicas se basarán, entre otras cosas, en la capacidad de las mismas para reducir la repercusión en el medio ambiente y mejorar la accesibilidad física de las personas con discapacidades.  Las principales renovaciones, transformaciones o modernización de las instalaciones se llevarán a cabo y se gestionarán de acuerdo con las prioridades que se exponen en el plan maestro de mejoras de infraestructura y en varias iniciativas preventivas de mantenimiento de menor escala.  En lo que respecta a la gestión de los locales, se tratará de efectuar una asignación óptima de los espacios de trabajo para albergar a todo el personal de la OMPI y un examen del uso óptimo y la conversión o la mejora de algunos espacios que no se utilicen como espacios de trabajo a partir del sistema de gestión del espacio establecido en el bienio anterior.</w:t>
      </w:r>
    </w:p>
    <w:p w:rsidR="0051477B" w:rsidRPr="00073668" w:rsidRDefault="0051477B" w:rsidP="0051477B">
      <w:pPr>
        <w:jc w:val="both"/>
        <w:rPr>
          <w:sz w:val="20"/>
        </w:rPr>
      </w:pPr>
    </w:p>
    <w:p w:rsidR="0051477B" w:rsidRPr="0044351D" w:rsidRDefault="0051477B" w:rsidP="0051477B">
      <w:pPr>
        <w:pStyle w:val="ListParagraph"/>
        <w:numPr>
          <w:ilvl w:val="0"/>
          <w:numId w:val="45"/>
        </w:numPr>
        <w:tabs>
          <w:tab w:val="left" w:pos="709"/>
        </w:tabs>
        <w:ind w:left="0" w:firstLine="0"/>
        <w:contextualSpacing w:val="0"/>
        <w:jc w:val="both"/>
        <w:rPr>
          <w:rFonts w:ascii="Arial" w:hAnsi="Arial" w:cs="Arial"/>
          <w:sz w:val="20"/>
          <w:lang w:val="es-ES"/>
        </w:rPr>
      </w:pPr>
      <w:r w:rsidRPr="0044351D">
        <w:rPr>
          <w:rFonts w:ascii="Arial" w:hAnsi="Arial" w:cs="Arial"/>
          <w:sz w:val="20"/>
          <w:lang w:val="es-ES"/>
        </w:rPr>
        <w:lastRenderedPageBreak/>
        <w:t xml:space="preserve">Para garantizar que en 2020 se cumpla el objetivo del Sistema de las Naciones Unidas de lograr la neutralidad climática, se seguirán </w:t>
      </w:r>
      <w:r w:rsidR="0044351D">
        <w:rPr>
          <w:rFonts w:ascii="Arial" w:hAnsi="Arial" w:cs="Arial"/>
          <w:sz w:val="20"/>
          <w:lang w:val="es-ES"/>
        </w:rPr>
        <w:t>desplegan</w:t>
      </w:r>
      <w:r w:rsidRPr="0044351D">
        <w:rPr>
          <w:rFonts w:ascii="Arial" w:hAnsi="Arial" w:cs="Arial"/>
          <w:sz w:val="20"/>
          <w:lang w:val="es-ES"/>
        </w:rPr>
        <w:t xml:space="preserve">do esfuerzos </w:t>
      </w:r>
      <w:r w:rsidR="0044351D">
        <w:rPr>
          <w:rFonts w:ascii="Arial" w:hAnsi="Arial" w:cs="Arial"/>
          <w:sz w:val="20"/>
          <w:lang w:val="es-ES"/>
        </w:rPr>
        <w:t>para</w:t>
      </w:r>
      <w:r w:rsidRPr="0044351D">
        <w:rPr>
          <w:rFonts w:ascii="Arial" w:hAnsi="Arial" w:cs="Arial"/>
          <w:sz w:val="20"/>
          <w:lang w:val="es-ES"/>
        </w:rPr>
        <w:t xml:space="preserve"> aplicar determinadas medidas,</w:t>
      </w:r>
      <w:r w:rsidR="0044351D">
        <w:rPr>
          <w:rFonts w:ascii="Arial" w:hAnsi="Arial" w:cs="Arial"/>
          <w:sz w:val="20"/>
          <w:lang w:val="es-ES"/>
        </w:rPr>
        <w:t xml:space="preserve"> y no solamente en lo tocante a los locales,</w:t>
      </w:r>
      <w:r w:rsidRPr="0044351D">
        <w:rPr>
          <w:rFonts w:ascii="Arial" w:hAnsi="Arial" w:cs="Arial"/>
          <w:sz w:val="20"/>
          <w:lang w:val="es-ES"/>
        </w:rPr>
        <w:t xml:space="preserve"> entre ellas, el programa para contrarrestar las emisiones de carbono y otras emisiones producidas por las acti</w:t>
      </w:r>
      <w:r w:rsidR="0044351D">
        <w:rPr>
          <w:rFonts w:ascii="Arial" w:hAnsi="Arial" w:cs="Arial"/>
          <w:sz w:val="20"/>
          <w:lang w:val="es-ES"/>
        </w:rPr>
        <w:t>vidades de la OMPI en general</w:t>
      </w:r>
      <w:r w:rsidRPr="0044351D">
        <w:rPr>
          <w:rFonts w:ascii="Arial" w:hAnsi="Arial" w:cs="Arial"/>
          <w:sz w:val="20"/>
          <w:lang w:val="es-ES"/>
        </w:rPr>
        <w:t>.</w:t>
      </w:r>
    </w:p>
    <w:p w:rsidR="0051477B" w:rsidRPr="00073668" w:rsidRDefault="0051477B" w:rsidP="0051477B">
      <w:pPr>
        <w:pStyle w:val="ListParagraph"/>
        <w:tabs>
          <w:tab w:val="left" w:pos="709"/>
        </w:tabs>
        <w:ind w:left="0"/>
        <w:jc w:val="both"/>
        <w:rPr>
          <w:rFonts w:ascii="Arial" w:hAnsi="Arial" w:cs="Arial"/>
          <w:sz w:val="20"/>
          <w:lang w:val="es-ES"/>
        </w:rPr>
      </w:pPr>
    </w:p>
    <w:p w:rsidR="0051477B" w:rsidRPr="00073668" w:rsidRDefault="0051477B" w:rsidP="0051477B">
      <w:pPr>
        <w:pStyle w:val="ListParagraph"/>
        <w:tabs>
          <w:tab w:val="left" w:pos="709"/>
        </w:tabs>
        <w:ind w:left="0"/>
        <w:jc w:val="both"/>
        <w:rPr>
          <w:rFonts w:ascii="Arial" w:hAnsi="Arial" w:cs="Arial"/>
          <w:sz w:val="20"/>
          <w:lang w:val="es-ES"/>
        </w:rPr>
      </w:pPr>
    </w:p>
    <w:p w:rsidR="0051477B" w:rsidRPr="00073668" w:rsidRDefault="0051477B" w:rsidP="00714E8E">
      <w:r w:rsidRPr="00073668">
        <w:t>PRINCIPALES RIESGOS Y ESTRATEGIAS DE MITIGACIÓN</w:t>
      </w:r>
    </w:p>
    <w:p w:rsidR="0051477B" w:rsidRPr="00073668" w:rsidRDefault="0051477B" w:rsidP="0051477B">
      <w:pPr>
        <w:keepNext/>
        <w:keepLines/>
        <w:rPr>
          <w:rFonts w:eastAsia="Times New Roman"/>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51477B" w:rsidRPr="00073668" w:rsidTr="00C97D8A">
        <w:trPr>
          <w:trHeight w:val="577"/>
        </w:trPr>
        <w:tc>
          <w:tcPr>
            <w:tcW w:w="4111" w:type="dxa"/>
            <w:tcBorders>
              <w:top w:val="single" w:sz="4" w:space="0" w:color="auto"/>
              <w:bottom w:val="single" w:sz="4" w:space="0" w:color="auto"/>
            </w:tcBorders>
            <w:shd w:val="clear" w:color="auto" w:fill="C6D9F1" w:themeFill="text2" w:themeFillTint="33"/>
            <w:vAlign w:val="center"/>
          </w:tcPr>
          <w:p w:rsidR="0051477B" w:rsidRPr="00073668" w:rsidRDefault="0051477B" w:rsidP="00C97D8A">
            <w:pPr>
              <w:jc w:val="center"/>
              <w:rPr>
                <w:rFonts w:eastAsia="Times New Roman"/>
                <w:b/>
                <w:bCs/>
                <w:sz w:val="18"/>
                <w:szCs w:val="18"/>
              </w:rPr>
            </w:pPr>
            <w:r w:rsidRPr="00073668">
              <w:rPr>
                <w:rFonts w:eastAsia="Times New Roman"/>
                <w:b/>
                <w:bCs/>
                <w:sz w:val="18"/>
                <w:szCs w:val="18"/>
              </w:rPr>
              <w:t>Riesgo</w:t>
            </w:r>
          </w:p>
        </w:tc>
        <w:tc>
          <w:tcPr>
            <w:tcW w:w="5103" w:type="dxa"/>
            <w:tcBorders>
              <w:top w:val="single" w:sz="4" w:space="0" w:color="auto"/>
              <w:bottom w:val="single" w:sz="4" w:space="0" w:color="auto"/>
            </w:tcBorders>
            <w:shd w:val="clear" w:color="auto" w:fill="C6D9F1" w:themeFill="text2" w:themeFillTint="33"/>
            <w:vAlign w:val="center"/>
          </w:tcPr>
          <w:p w:rsidR="0051477B" w:rsidRPr="00073668" w:rsidRDefault="0051477B" w:rsidP="00C97D8A">
            <w:pPr>
              <w:jc w:val="center"/>
              <w:rPr>
                <w:rFonts w:eastAsia="Times New Roman"/>
                <w:b/>
                <w:bCs/>
                <w:sz w:val="18"/>
                <w:szCs w:val="18"/>
              </w:rPr>
            </w:pPr>
            <w:r w:rsidRPr="00073668">
              <w:rPr>
                <w:rFonts w:eastAsia="Times New Roman"/>
                <w:b/>
                <w:bCs/>
                <w:sz w:val="18"/>
                <w:szCs w:val="18"/>
              </w:rPr>
              <w:t>Mitigación</w:t>
            </w:r>
          </w:p>
        </w:tc>
      </w:tr>
      <w:tr w:rsidR="0051477B" w:rsidRPr="00073668" w:rsidTr="006105F6">
        <w:trPr>
          <w:trHeight w:val="550"/>
        </w:trPr>
        <w:tc>
          <w:tcPr>
            <w:tcW w:w="4111" w:type="dxa"/>
            <w:tcBorders>
              <w:top w:val="single" w:sz="4" w:space="0" w:color="auto"/>
            </w:tcBorders>
            <w:shd w:val="clear" w:color="auto" w:fill="auto"/>
            <w:tcMar>
              <w:top w:w="113" w:type="dxa"/>
              <w:bottom w:w="113" w:type="dxa"/>
            </w:tcMar>
          </w:tcPr>
          <w:p w:rsidR="0051477B" w:rsidRPr="00073668" w:rsidRDefault="0051477B" w:rsidP="00C97D8A">
            <w:pPr>
              <w:rPr>
                <w:rFonts w:eastAsia="Times New Roman"/>
                <w:sz w:val="16"/>
                <w:szCs w:val="16"/>
              </w:rPr>
            </w:pPr>
            <w:r w:rsidRPr="00073668">
              <w:rPr>
                <w:rFonts w:eastAsia="Times New Roman"/>
                <w:sz w:val="16"/>
                <w:szCs w:val="16"/>
              </w:rPr>
              <w:t>Las fallas de los proveedores en la prestación de servicios provocan trastornos en el servicio ofrecido a los clientes externos.</w:t>
            </w:r>
          </w:p>
        </w:tc>
        <w:tc>
          <w:tcPr>
            <w:tcW w:w="5103" w:type="dxa"/>
            <w:tcBorders>
              <w:top w:val="single" w:sz="4" w:space="0" w:color="auto"/>
            </w:tcBorders>
            <w:shd w:val="clear" w:color="auto" w:fill="auto"/>
            <w:tcMar>
              <w:top w:w="113" w:type="dxa"/>
              <w:bottom w:w="113" w:type="dxa"/>
            </w:tcMar>
          </w:tcPr>
          <w:p w:rsidR="0051477B" w:rsidRPr="00073668" w:rsidRDefault="0051477B" w:rsidP="00C97D8A">
            <w:pPr>
              <w:rPr>
                <w:rFonts w:eastAsia="Times New Roman"/>
                <w:sz w:val="16"/>
                <w:szCs w:val="16"/>
              </w:rPr>
            </w:pPr>
            <w:r w:rsidRPr="00073668">
              <w:rPr>
                <w:rFonts w:eastAsia="Times New Roman"/>
                <w:sz w:val="16"/>
                <w:szCs w:val="16"/>
              </w:rPr>
              <w:t>Elaborar un plan de urgencia para los contratos que se consideren de alto riesgo y esenciales para poder seguir llevando a cabo las actividades.</w:t>
            </w:r>
          </w:p>
        </w:tc>
      </w:tr>
      <w:tr w:rsidR="0051477B" w:rsidRPr="00073668" w:rsidTr="006105F6">
        <w:trPr>
          <w:trHeight w:val="755"/>
        </w:trPr>
        <w:tc>
          <w:tcPr>
            <w:tcW w:w="4111" w:type="dxa"/>
            <w:shd w:val="clear" w:color="auto" w:fill="auto"/>
            <w:tcMar>
              <w:top w:w="113" w:type="dxa"/>
              <w:bottom w:w="113" w:type="dxa"/>
            </w:tcMar>
          </w:tcPr>
          <w:p w:rsidR="0051477B" w:rsidRPr="00073668" w:rsidRDefault="0051477B" w:rsidP="00C97D8A">
            <w:pPr>
              <w:rPr>
                <w:rFonts w:eastAsia="Times New Roman"/>
                <w:sz w:val="16"/>
                <w:szCs w:val="16"/>
              </w:rPr>
            </w:pPr>
            <w:r w:rsidRPr="00073668">
              <w:rPr>
                <w:rFonts w:eastAsia="Times New Roman"/>
                <w:sz w:val="16"/>
                <w:szCs w:val="16"/>
              </w:rPr>
              <w:t>Pérdida del acceso seguro a uno o más edificios, o la imposibilidad de ocuparlos, durante un periodo de tiempo determinado.</w:t>
            </w:r>
          </w:p>
        </w:tc>
        <w:tc>
          <w:tcPr>
            <w:tcW w:w="5103" w:type="dxa"/>
            <w:shd w:val="clear" w:color="auto" w:fill="auto"/>
            <w:tcMar>
              <w:top w:w="113" w:type="dxa"/>
              <w:bottom w:w="113" w:type="dxa"/>
            </w:tcMar>
          </w:tcPr>
          <w:p w:rsidR="0051477B" w:rsidRPr="00073668" w:rsidRDefault="0051477B" w:rsidP="009C12F8">
            <w:pPr>
              <w:rPr>
                <w:rFonts w:eastAsia="Times New Roman"/>
                <w:sz w:val="16"/>
                <w:szCs w:val="16"/>
              </w:rPr>
            </w:pPr>
            <w:r w:rsidRPr="00073668">
              <w:rPr>
                <w:rFonts w:eastAsia="Times New Roman"/>
                <w:sz w:val="16"/>
                <w:szCs w:val="16"/>
              </w:rPr>
              <w:t xml:space="preserve">Continuar las tareas de renovación y de mantenimiento preventivo de gran alcance de las principales instalaciones y locales técnicos.  Revisión cotidiana, y ejecución en caso necesario, de los planes de </w:t>
            </w:r>
            <w:r w:rsidR="009C12F8">
              <w:rPr>
                <w:rFonts w:eastAsia="Times New Roman"/>
                <w:sz w:val="16"/>
                <w:szCs w:val="16"/>
              </w:rPr>
              <w:t>reacción</w:t>
            </w:r>
            <w:r w:rsidRPr="00073668">
              <w:rPr>
                <w:rFonts w:eastAsia="Times New Roman"/>
                <w:sz w:val="16"/>
                <w:szCs w:val="16"/>
              </w:rPr>
              <w:t xml:space="preserve"> </w:t>
            </w:r>
            <w:r w:rsidR="00387230">
              <w:rPr>
                <w:rFonts w:eastAsia="Times New Roman"/>
                <w:sz w:val="16"/>
                <w:szCs w:val="16"/>
              </w:rPr>
              <w:t xml:space="preserve">y recuperación </w:t>
            </w:r>
            <w:r w:rsidRPr="00073668">
              <w:rPr>
                <w:rFonts w:eastAsia="Times New Roman"/>
                <w:sz w:val="16"/>
                <w:szCs w:val="16"/>
              </w:rPr>
              <w:t>institucional.</w:t>
            </w:r>
          </w:p>
        </w:tc>
      </w:tr>
      <w:tr w:rsidR="0051477B" w:rsidRPr="00073668" w:rsidTr="00C97D8A">
        <w:trPr>
          <w:trHeight w:val="564"/>
        </w:trPr>
        <w:tc>
          <w:tcPr>
            <w:tcW w:w="4111" w:type="dxa"/>
            <w:shd w:val="clear" w:color="auto" w:fill="auto"/>
            <w:tcMar>
              <w:top w:w="113" w:type="dxa"/>
              <w:bottom w:w="113" w:type="dxa"/>
            </w:tcMar>
          </w:tcPr>
          <w:p w:rsidR="0051477B" w:rsidRPr="00073668" w:rsidRDefault="0051477B" w:rsidP="00C97D8A">
            <w:pPr>
              <w:rPr>
                <w:rFonts w:eastAsia="Times New Roman"/>
                <w:sz w:val="16"/>
                <w:szCs w:val="16"/>
              </w:rPr>
            </w:pPr>
            <w:r w:rsidRPr="00073668">
              <w:rPr>
                <w:rFonts w:eastAsia="Times New Roman"/>
                <w:sz w:val="16"/>
                <w:szCs w:val="16"/>
              </w:rPr>
              <w:t xml:space="preserve">Incapacidad de la OMPI, en su calidad de organización de las NN.UU. de cumplir el compromiso contraído con el Secretario General de las NN.UU. de alcanzar la neutralidad climática en 2020. </w:t>
            </w:r>
          </w:p>
        </w:tc>
        <w:tc>
          <w:tcPr>
            <w:tcW w:w="5103" w:type="dxa"/>
            <w:shd w:val="clear" w:color="auto" w:fill="auto"/>
            <w:tcMar>
              <w:top w:w="113" w:type="dxa"/>
              <w:bottom w:w="113" w:type="dxa"/>
            </w:tcMar>
          </w:tcPr>
          <w:p w:rsidR="0051477B" w:rsidRPr="00073668" w:rsidRDefault="0051477B" w:rsidP="00C97D8A">
            <w:pPr>
              <w:rPr>
                <w:rFonts w:eastAsia="Times New Roman"/>
                <w:sz w:val="16"/>
                <w:szCs w:val="16"/>
              </w:rPr>
            </w:pPr>
            <w:r w:rsidRPr="00073668">
              <w:rPr>
                <w:rFonts w:eastAsia="Times New Roman"/>
                <w:sz w:val="16"/>
                <w:szCs w:val="16"/>
              </w:rPr>
              <w:t xml:space="preserve">Supervisión </w:t>
            </w:r>
            <w:proofErr w:type="gramStart"/>
            <w:r w:rsidRPr="00073668">
              <w:rPr>
                <w:rFonts w:eastAsia="Times New Roman"/>
                <w:sz w:val="16"/>
                <w:szCs w:val="16"/>
              </w:rPr>
              <w:t>continua</w:t>
            </w:r>
            <w:proofErr w:type="gramEnd"/>
            <w:r w:rsidRPr="00073668">
              <w:rPr>
                <w:rFonts w:eastAsia="Times New Roman"/>
                <w:sz w:val="16"/>
                <w:szCs w:val="16"/>
              </w:rPr>
              <w:t xml:space="preserve"> de los datos sobre medio ambiente de la Organización a partir de los cuales se formulan propuestas para reducir o contrarrestar las emisiones de carbono y otro tipo de emisiones.</w:t>
            </w:r>
          </w:p>
        </w:tc>
      </w:tr>
    </w:tbl>
    <w:p w:rsidR="0051477B" w:rsidRPr="00073668" w:rsidRDefault="0051477B" w:rsidP="0051477B">
      <w:pPr>
        <w:rPr>
          <w:rFonts w:eastAsia="Times New Roman"/>
          <w:sz w:val="20"/>
        </w:rPr>
      </w:pPr>
    </w:p>
    <w:p w:rsidR="0051477B" w:rsidRPr="00073668" w:rsidRDefault="0051477B" w:rsidP="0051477B">
      <w:pPr>
        <w:jc w:val="both"/>
      </w:pPr>
    </w:p>
    <w:p w:rsidR="0051477B" w:rsidRPr="00073668" w:rsidRDefault="0051477B" w:rsidP="0051477B">
      <w:pPr>
        <w:jc w:val="both"/>
      </w:pPr>
      <w:r w:rsidRPr="00073668">
        <w:t>MARCO DE RESULTADOS</w:t>
      </w:r>
    </w:p>
    <w:p w:rsidR="0051477B" w:rsidRPr="006105F6" w:rsidRDefault="0051477B" w:rsidP="0051477B">
      <w:pPr>
        <w:jc w:val="both"/>
        <w:rPr>
          <w:sz w:val="18"/>
          <w:szCs w:val="18"/>
        </w:rPr>
      </w:pPr>
    </w:p>
    <w:tbl>
      <w:tblPr>
        <w:tblW w:w="9229" w:type="dxa"/>
        <w:tblInd w:w="93" w:type="dxa"/>
        <w:tblLook w:val="04A0" w:firstRow="1" w:lastRow="0" w:firstColumn="1" w:lastColumn="0" w:noHBand="0" w:noVBand="1"/>
      </w:tblPr>
      <w:tblGrid>
        <w:gridCol w:w="2320"/>
        <w:gridCol w:w="2320"/>
        <w:gridCol w:w="2440"/>
        <w:gridCol w:w="2149"/>
      </w:tblGrid>
      <w:tr w:rsidR="0051477B" w:rsidRPr="00073668" w:rsidTr="00C97D8A">
        <w:trPr>
          <w:trHeight w:val="600"/>
          <w:tblHeader/>
        </w:trPr>
        <w:tc>
          <w:tcPr>
            <w:tcW w:w="2320" w:type="dxa"/>
            <w:tcBorders>
              <w:top w:val="single" w:sz="4" w:space="0" w:color="auto"/>
              <w:left w:val="single" w:sz="4" w:space="0" w:color="auto"/>
              <w:bottom w:val="single" w:sz="4" w:space="0" w:color="auto"/>
              <w:right w:val="nil"/>
            </w:tcBorders>
            <w:shd w:val="clear" w:color="auto" w:fill="C6D9F1" w:themeFill="text2" w:themeFillTint="33"/>
            <w:tcMar>
              <w:top w:w="85" w:type="dxa"/>
            </w:tcMar>
            <w:vAlign w:val="center"/>
            <w:hideMark/>
          </w:tcPr>
          <w:p w:rsidR="0051477B" w:rsidRPr="00073668" w:rsidRDefault="0051477B" w:rsidP="00C97D8A">
            <w:pPr>
              <w:jc w:val="center"/>
              <w:rPr>
                <w:rFonts w:eastAsia="Times New Roman"/>
                <w:b/>
                <w:bCs/>
                <w:sz w:val="18"/>
                <w:szCs w:val="18"/>
              </w:rPr>
            </w:pPr>
            <w:r w:rsidRPr="00073668">
              <w:rPr>
                <w:rFonts w:eastAsia="Times New Roman"/>
                <w:b/>
                <w:bCs/>
                <w:sz w:val="18"/>
                <w:szCs w:val="18"/>
              </w:rPr>
              <w:t xml:space="preserve">Resultados previstos </w:t>
            </w:r>
          </w:p>
        </w:tc>
        <w:tc>
          <w:tcPr>
            <w:tcW w:w="232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51477B" w:rsidRPr="00073668" w:rsidRDefault="0051477B" w:rsidP="00C97D8A">
            <w:pPr>
              <w:jc w:val="center"/>
              <w:rPr>
                <w:rFonts w:eastAsia="Times New Roman"/>
                <w:b/>
                <w:bCs/>
                <w:sz w:val="18"/>
                <w:szCs w:val="18"/>
              </w:rPr>
            </w:pPr>
            <w:r w:rsidRPr="00073668">
              <w:rPr>
                <w:rFonts w:eastAsia="Times New Roman"/>
                <w:b/>
                <w:bCs/>
                <w:sz w:val="18"/>
                <w:szCs w:val="18"/>
              </w:rPr>
              <w:t>Indicadores de rendimiento</w:t>
            </w:r>
          </w:p>
        </w:tc>
        <w:tc>
          <w:tcPr>
            <w:tcW w:w="2440" w:type="dxa"/>
            <w:tcBorders>
              <w:top w:val="single" w:sz="4" w:space="0" w:color="auto"/>
              <w:left w:val="nil"/>
              <w:bottom w:val="single" w:sz="4" w:space="0" w:color="auto"/>
              <w:right w:val="nil"/>
            </w:tcBorders>
            <w:shd w:val="clear" w:color="auto" w:fill="C6D9F1" w:themeFill="text2" w:themeFillTint="33"/>
            <w:tcMar>
              <w:top w:w="85" w:type="dxa"/>
            </w:tcMar>
            <w:vAlign w:val="center"/>
            <w:hideMark/>
          </w:tcPr>
          <w:p w:rsidR="0051477B" w:rsidRPr="00073668" w:rsidRDefault="0051477B" w:rsidP="00C97D8A">
            <w:pPr>
              <w:jc w:val="center"/>
              <w:rPr>
                <w:rFonts w:eastAsia="Times New Roman"/>
                <w:b/>
                <w:bCs/>
                <w:sz w:val="18"/>
                <w:szCs w:val="18"/>
              </w:rPr>
            </w:pPr>
            <w:r w:rsidRPr="00073668">
              <w:rPr>
                <w:rFonts w:eastAsia="Times New Roman"/>
                <w:b/>
                <w:bCs/>
                <w:sz w:val="18"/>
                <w:szCs w:val="18"/>
              </w:rPr>
              <w:t>Referencia</w:t>
            </w:r>
          </w:p>
        </w:tc>
        <w:tc>
          <w:tcPr>
            <w:tcW w:w="2149" w:type="dxa"/>
            <w:tcBorders>
              <w:top w:val="single" w:sz="4" w:space="0" w:color="auto"/>
              <w:left w:val="nil"/>
              <w:bottom w:val="single" w:sz="4" w:space="0" w:color="auto"/>
              <w:right w:val="single" w:sz="4" w:space="0" w:color="auto"/>
            </w:tcBorders>
            <w:shd w:val="clear" w:color="auto" w:fill="C6D9F1" w:themeFill="text2" w:themeFillTint="33"/>
            <w:tcMar>
              <w:top w:w="85" w:type="dxa"/>
            </w:tcMar>
            <w:vAlign w:val="center"/>
            <w:hideMark/>
          </w:tcPr>
          <w:p w:rsidR="0051477B" w:rsidRPr="00073668" w:rsidRDefault="0051477B" w:rsidP="00C97D8A">
            <w:pPr>
              <w:jc w:val="center"/>
              <w:rPr>
                <w:rFonts w:eastAsia="Times New Roman"/>
                <w:b/>
                <w:bCs/>
                <w:sz w:val="18"/>
                <w:szCs w:val="18"/>
              </w:rPr>
            </w:pPr>
            <w:r w:rsidRPr="00073668">
              <w:rPr>
                <w:rFonts w:eastAsia="Times New Roman"/>
                <w:b/>
                <w:bCs/>
                <w:sz w:val="18"/>
                <w:szCs w:val="18"/>
              </w:rPr>
              <w:t>Objetivos</w:t>
            </w:r>
          </w:p>
        </w:tc>
      </w:tr>
      <w:tr w:rsidR="0051477B" w:rsidRPr="00073668" w:rsidTr="00C97D8A">
        <w:trPr>
          <w:trHeight w:val="1005"/>
        </w:trPr>
        <w:tc>
          <w:tcPr>
            <w:tcW w:w="2320" w:type="dxa"/>
            <w:tcBorders>
              <w:top w:val="nil"/>
              <w:left w:val="single" w:sz="4" w:space="0" w:color="auto"/>
              <w:bottom w:val="nil"/>
              <w:right w:val="nil"/>
            </w:tcBorders>
            <w:shd w:val="clear" w:color="000000" w:fill="FFFFFF"/>
            <w:tcMar>
              <w:top w:w="85" w:type="dxa"/>
            </w:tcMar>
            <w:hideMark/>
          </w:tcPr>
          <w:p w:rsidR="0051477B" w:rsidRPr="0044351D" w:rsidRDefault="00BD4275" w:rsidP="00C97D8A">
            <w:pPr>
              <w:rPr>
                <w:rFonts w:eastAsia="Times New Roman"/>
                <w:sz w:val="16"/>
                <w:szCs w:val="16"/>
              </w:rPr>
            </w:pPr>
            <w:r w:rsidRPr="0044351D">
              <w:rPr>
                <w:rFonts w:eastAsia="Times New Roman"/>
                <w:sz w:val="16"/>
                <w:szCs w:val="16"/>
              </w:rPr>
              <w:t>VIII.5</w:t>
            </w:r>
            <w:r w:rsidR="0051477B" w:rsidRPr="0044351D">
              <w:rPr>
                <w:rFonts w:eastAsia="Times New Roman"/>
                <w:sz w:val="16"/>
                <w:szCs w:val="16"/>
              </w:rPr>
              <w:t xml:space="preserve"> </w:t>
            </w:r>
            <w:r w:rsidRPr="0044351D">
              <w:rPr>
                <w:rFonts w:eastAsia="Times New Roman"/>
                <w:sz w:val="16"/>
                <w:szCs w:val="16"/>
              </w:rPr>
              <w:t xml:space="preserve"> </w:t>
            </w:r>
            <w:r w:rsidR="005B1060" w:rsidRPr="0044351D">
              <w:rPr>
                <w:sz w:val="16"/>
                <w:szCs w:val="16"/>
                <w:lang w:val="es-ES_tradnl"/>
              </w:rPr>
              <w:t>La OMPI participa y colabora eficazmente en los procesos y negociaciones de las NN.UU. y otras OIG</w:t>
            </w:r>
          </w:p>
        </w:tc>
        <w:tc>
          <w:tcPr>
            <w:tcW w:w="2320" w:type="dxa"/>
            <w:tcBorders>
              <w:top w:val="nil"/>
              <w:left w:val="nil"/>
              <w:bottom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Porcentaje de productos y servicios contratados y adquiridos a nivel local en comparación con el importe total de los adquiridos para actividades de desarrollo.</w:t>
            </w:r>
          </w:p>
        </w:tc>
        <w:tc>
          <w:tcPr>
            <w:tcW w:w="2440" w:type="dxa"/>
            <w:tcBorders>
              <w:top w:val="nil"/>
              <w:left w:val="nil"/>
              <w:bottom w:val="nil"/>
              <w:right w:val="nil"/>
            </w:tcBorders>
            <w:shd w:val="clear" w:color="000000" w:fill="FFFFFF"/>
            <w:tcMar>
              <w:top w:w="85" w:type="dxa"/>
            </w:tcMar>
            <w:hideMark/>
          </w:tcPr>
          <w:p w:rsidR="0051477B" w:rsidRPr="00073668" w:rsidRDefault="0051477B" w:rsidP="00C97D8A">
            <w:pPr>
              <w:ind w:left="229" w:firstLineChars="56" w:firstLine="90"/>
              <w:rPr>
                <w:rFonts w:eastAsia="Times New Roman"/>
                <w:sz w:val="16"/>
                <w:szCs w:val="16"/>
              </w:rPr>
            </w:pPr>
            <w:r w:rsidRPr="00073668">
              <w:rPr>
                <w:rFonts w:eastAsia="Times New Roman"/>
                <w:sz w:val="16"/>
                <w:szCs w:val="16"/>
              </w:rPr>
              <w:t>45% (al final de 2014).</w:t>
            </w:r>
          </w:p>
        </w:tc>
        <w:tc>
          <w:tcPr>
            <w:tcW w:w="2149" w:type="dxa"/>
            <w:tcBorders>
              <w:top w:val="nil"/>
              <w:left w:val="nil"/>
              <w:bottom w:val="nil"/>
              <w:right w:val="single" w:sz="4" w:space="0" w:color="auto"/>
            </w:tcBorders>
            <w:shd w:val="clear" w:color="000000" w:fill="FFFFFF"/>
            <w:tcMar>
              <w:top w:w="85" w:type="dxa"/>
            </w:tcMar>
            <w:hideMark/>
          </w:tcPr>
          <w:p w:rsidR="0051477B" w:rsidRPr="00073668" w:rsidRDefault="0051477B" w:rsidP="00387230">
            <w:pPr>
              <w:ind w:leftChars="90" w:left="198"/>
              <w:rPr>
                <w:rFonts w:eastAsia="Times New Roman"/>
                <w:sz w:val="16"/>
                <w:szCs w:val="16"/>
              </w:rPr>
            </w:pPr>
            <w:r w:rsidRPr="00073668">
              <w:rPr>
                <w:rFonts w:eastAsia="Times New Roman"/>
                <w:sz w:val="16"/>
                <w:szCs w:val="16"/>
              </w:rPr>
              <w:t>Igual o superior al resultado de 2014.</w:t>
            </w:r>
          </w:p>
        </w:tc>
      </w:tr>
      <w:tr w:rsidR="0051477B" w:rsidRPr="00073668" w:rsidTr="00D603D7">
        <w:trPr>
          <w:trHeight w:val="765"/>
        </w:trPr>
        <w:tc>
          <w:tcPr>
            <w:tcW w:w="2320" w:type="dxa"/>
            <w:tcBorders>
              <w:top w:val="nil"/>
              <w:left w:val="single" w:sz="4" w:space="0" w:color="auto"/>
              <w:right w:val="nil"/>
            </w:tcBorders>
            <w:shd w:val="clear" w:color="000000" w:fill="FFFFFF"/>
            <w:tcMar>
              <w:top w:w="85" w:type="dxa"/>
            </w:tcMar>
            <w:hideMark/>
          </w:tcPr>
          <w:p w:rsidR="0051477B" w:rsidRPr="0044351D" w:rsidRDefault="0051477B" w:rsidP="00C97D8A">
            <w:pPr>
              <w:rPr>
                <w:rFonts w:eastAsia="Times New Roman"/>
                <w:sz w:val="16"/>
                <w:szCs w:val="16"/>
              </w:rPr>
            </w:pPr>
            <w:r w:rsidRPr="0044351D">
              <w:rPr>
                <w:rFonts w:eastAsia="Times New Roman"/>
                <w:sz w:val="16"/>
                <w:szCs w:val="16"/>
              </w:rPr>
              <w:t> </w:t>
            </w:r>
          </w:p>
        </w:tc>
        <w:tc>
          <w:tcPr>
            <w:tcW w:w="2320" w:type="dxa"/>
            <w:tcBorders>
              <w:top w:val="nil"/>
              <w:left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Porcentaje de gastos efectuados con arreglo a las prácticas vigentes en NN.UU. (licitaciones comunes o aprovechamiento de los contratos).</w:t>
            </w:r>
          </w:p>
        </w:tc>
        <w:tc>
          <w:tcPr>
            <w:tcW w:w="2440" w:type="dxa"/>
            <w:tcBorders>
              <w:top w:val="nil"/>
              <w:left w:val="nil"/>
              <w:right w:val="nil"/>
            </w:tcBorders>
            <w:shd w:val="clear" w:color="000000" w:fill="FFFFFF"/>
            <w:tcMar>
              <w:top w:w="85" w:type="dxa"/>
            </w:tcMar>
            <w:hideMark/>
          </w:tcPr>
          <w:p w:rsidR="0051477B" w:rsidRPr="00073668" w:rsidRDefault="0051477B" w:rsidP="00C97D8A">
            <w:pPr>
              <w:ind w:left="229"/>
              <w:rPr>
                <w:rFonts w:eastAsia="Times New Roman"/>
                <w:sz w:val="16"/>
                <w:szCs w:val="16"/>
              </w:rPr>
            </w:pPr>
            <w:r w:rsidRPr="00073668">
              <w:rPr>
                <w:rFonts w:eastAsia="Times New Roman"/>
                <w:sz w:val="16"/>
                <w:szCs w:val="16"/>
              </w:rPr>
              <w:t>4,15% (al final de 2014).</w:t>
            </w:r>
          </w:p>
        </w:tc>
        <w:tc>
          <w:tcPr>
            <w:tcW w:w="2149" w:type="dxa"/>
            <w:tcBorders>
              <w:top w:val="nil"/>
              <w:left w:val="nil"/>
              <w:right w:val="single" w:sz="4" w:space="0" w:color="auto"/>
            </w:tcBorders>
            <w:shd w:val="clear" w:color="000000" w:fill="FFFFFF"/>
            <w:tcMar>
              <w:top w:w="85" w:type="dxa"/>
            </w:tcMar>
            <w:hideMark/>
          </w:tcPr>
          <w:p w:rsidR="0051477B" w:rsidRPr="00073668" w:rsidRDefault="0051477B" w:rsidP="00387230">
            <w:pPr>
              <w:ind w:leftChars="90" w:left="198"/>
              <w:rPr>
                <w:rFonts w:eastAsia="Times New Roman"/>
                <w:sz w:val="16"/>
                <w:szCs w:val="16"/>
              </w:rPr>
            </w:pPr>
            <w:r w:rsidRPr="00073668">
              <w:rPr>
                <w:rFonts w:eastAsia="Times New Roman"/>
                <w:sz w:val="16"/>
                <w:szCs w:val="16"/>
              </w:rPr>
              <w:t xml:space="preserve">Igual o superior al resultado de 2014. </w:t>
            </w:r>
          </w:p>
        </w:tc>
      </w:tr>
      <w:tr w:rsidR="0051477B" w:rsidRPr="00073668" w:rsidTr="00D603D7">
        <w:trPr>
          <w:trHeight w:val="1048"/>
        </w:trPr>
        <w:tc>
          <w:tcPr>
            <w:tcW w:w="2320" w:type="dxa"/>
            <w:tcBorders>
              <w:top w:val="nil"/>
              <w:left w:val="single" w:sz="4" w:space="0" w:color="auto"/>
              <w:right w:val="nil"/>
            </w:tcBorders>
            <w:shd w:val="clear" w:color="000000" w:fill="FFFFFF"/>
            <w:tcMar>
              <w:top w:w="85" w:type="dxa"/>
            </w:tcMar>
            <w:hideMark/>
          </w:tcPr>
          <w:p w:rsidR="0051477B" w:rsidRPr="0044351D" w:rsidRDefault="0051477B" w:rsidP="00C97D8A">
            <w:pPr>
              <w:rPr>
                <w:rFonts w:eastAsia="Times New Roman"/>
                <w:sz w:val="16"/>
                <w:szCs w:val="16"/>
              </w:rPr>
            </w:pPr>
            <w:r w:rsidRPr="0044351D">
              <w:rPr>
                <w:rFonts w:eastAsia="Times New Roman"/>
                <w:sz w:val="16"/>
                <w:szCs w:val="16"/>
              </w:rPr>
              <w:t xml:space="preserve">IX.1 </w:t>
            </w:r>
            <w:r w:rsidR="00532057" w:rsidRPr="0044351D">
              <w:rPr>
                <w:rFonts w:eastAsia="Times New Roman"/>
                <w:sz w:val="16"/>
                <w:szCs w:val="16"/>
              </w:rPr>
              <w:t xml:space="preserve"> </w:t>
            </w:r>
            <w:r w:rsidR="00532057" w:rsidRPr="0044351D">
              <w:rPr>
                <w:sz w:val="16"/>
                <w:szCs w:val="16"/>
                <w:lang w:val="es-ES_tradnl"/>
              </w:rPr>
              <w:t>Servicios de apoyo eficaces, eficientes, de calidad y orientados al cliente, tanto a los usuarios internos como a las partes interesadas externas</w:t>
            </w:r>
          </w:p>
        </w:tc>
        <w:tc>
          <w:tcPr>
            <w:tcW w:w="2320" w:type="dxa"/>
            <w:tcBorders>
              <w:top w:val="nil"/>
              <w:left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Disminución de los costos de adquisición de productos y servicios por la OMPI (derivada de solicitudes de ofertas o negociaciones directas).</w:t>
            </w:r>
          </w:p>
        </w:tc>
        <w:tc>
          <w:tcPr>
            <w:tcW w:w="2440" w:type="dxa"/>
            <w:tcBorders>
              <w:top w:val="nil"/>
              <w:left w:val="nil"/>
              <w:right w:val="nil"/>
            </w:tcBorders>
            <w:shd w:val="clear" w:color="000000" w:fill="FFFFFF"/>
            <w:tcMar>
              <w:top w:w="85" w:type="dxa"/>
            </w:tcMar>
            <w:hideMark/>
          </w:tcPr>
          <w:p w:rsidR="0051477B" w:rsidRPr="00073668" w:rsidRDefault="0051477B" w:rsidP="00C97D8A">
            <w:pPr>
              <w:ind w:left="229"/>
              <w:rPr>
                <w:rFonts w:eastAsia="Times New Roman"/>
                <w:sz w:val="16"/>
                <w:szCs w:val="16"/>
              </w:rPr>
            </w:pPr>
            <w:r w:rsidRPr="00073668">
              <w:rPr>
                <w:rFonts w:eastAsia="Times New Roman"/>
                <w:sz w:val="16"/>
                <w:szCs w:val="16"/>
              </w:rPr>
              <w:t>2,6 millones de CHF (al final de 2014).</w:t>
            </w:r>
          </w:p>
        </w:tc>
        <w:tc>
          <w:tcPr>
            <w:tcW w:w="2149" w:type="dxa"/>
            <w:tcBorders>
              <w:top w:val="nil"/>
              <w:left w:val="nil"/>
              <w:right w:val="single" w:sz="4" w:space="0" w:color="auto"/>
            </w:tcBorders>
            <w:shd w:val="clear" w:color="000000" w:fill="FFFFFF"/>
            <w:tcMar>
              <w:top w:w="85" w:type="dxa"/>
            </w:tcMar>
            <w:hideMark/>
          </w:tcPr>
          <w:p w:rsidR="0051477B" w:rsidRPr="00073668" w:rsidRDefault="0051477B" w:rsidP="00387230">
            <w:pPr>
              <w:ind w:leftChars="90" w:left="198"/>
              <w:rPr>
                <w:rFonts w:eastAsia="Times New Roman"/>
                <w:sz w:val="16"/>
                <w:szCs w:val="16"/>
              </w:rPr>
            </w:pPr>
            <w:r w:rsidRPr="00073668">
              <w:rPr>
                <w:rFonts w:eastAsia="Times New Roman"/>
                <w:sz w:val="16"/>
                <w:szCs w:val="16"/>
              </w:rPr>
              <w:t>Igual o superior al resultado de 2014.</w:t>
            </w:r>
          </w:p>
        </w:tc>
      </w:tr>
      <w:tr w:rsidR="0051477B" w:rsidRPr="00073668" w:rsidTr="00D603D7">
        <w:trPr>
          <w:trHeight w:val="1373"/>
        </w:trPr>
        <w:tc>
          <w:tcPr>
            <w:tcW w:w="2320" w:type="dxa"/>
            <w:tcBorders>
              <w:left w:val="single" w:sz="4" w:space="0" w:color="auto"/>
              <w:right w:val="nil"/>
            </w:tcBorders>
            <w:shd w:val="clear" w:color="000000" w:fill="FFFFFF"/>
            <w:tcMar>
              <w:top w:w="85" w:type="dxa"/>
            </w:tcMar>
            <w:hideMark/>
          </w:tcPr>
          <w:p w:rsidR="0051477B" w:rsidRPr="00073668" w:rsidRDefault="0051477B" w:rsidP="00C97D8A">
            <w:pPr>
              <w:rPr>
                <w:rFonts w:eastAsia="Times New Roman"/>
                <w:sz w:val="16"/>
                <w:szCs w:val="16"/>
              </w:rPr>
            </w:pPr>
            <w:r w:rsidRPr="00073668">
              <w:rPr>
                <w:rFonts w:eastAsia="Times New Roman"/>
                <w:sz w:val="16"/>
                <w:szCs w:val="16"/>
              </w:rPr>
              <w:t> </w:t>
            </w:r>
          </w:p>
        </w:tc>
        <w:tc>
          <w:tcPr>
            <w:tcW w:w="2320" w:type="dxa"/>
            <w:tcBorders>
              <w:left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Tiempo de tramitación de peticiones electrónicas de actividades.</w:t>
            </w:r>
            <w:r w:rsidRPr="00073668">
              <w:rPr>
                <w:rFonts w:eastAsia="Times New Roman"/>
                <w:sz w:val="16"/>
                <w:szCs w:val="16"/>
              </w:rPr>
              <w:br/>
            </w:r>
            <w:r w:rsidRPr="00073668">
              <w:rPr>
                <w:rFonts w:eastAsia="Times New Roman"/>
                <w:sz w:val="16"/>
                <w:szCs w:val="16"/>
              </w:rPr>
              <w:br/>
              <w:t>Tiempo de tramitación de autorizaciones electrónicas de viaje.</w:t>
            </w:r>
            <w:r w:rsidRPr="00073668">
              <w:rPr>
                <w:rFonts w:eastAsia="Times New Roman"/>
                <w:sz w:val="16"/>
                <w:szCs w:val="16"/>
              </w:rPr>
              <w:br/>
            </w:r>
            <w:r w:rsidRPr="00073668">
              <w:rPr>
                <w:rFonts w:eastAsia="Times New Roman"/>
                <w:sz w:val="16"/>
                <w:szCs w:val="16"/>
              </w:rPr>
              <w:br/>
              <w:t>Tiempo de tramitación de visados.</w:t>
            </w:r>
          </w:p>
        </w:tc>
        <w:tc>
          <w:tcPr>
            <w:tcW w:w="2440" w:type="dxa"/>
            <w:tcBorders>
              <w:left w:val="nil"/>
              <w:right w:val="nil"/>
            </w:tcBorders>
            <w:shd w:val="clear" w:color="000000" w:fill="FFFFFF"/>
            <w:tcMar>
              <w:top w:w="85" w:type="dxa"/>
            </w:tcMar>
            <w:hideMark/>
          </w:tcPr>
          <w:p w:rsidR="0051477B" w:rsidRPr="00073668" w:rsidRDefault="0051477B" w:rsidP="00C97D8A">
            <w:pPr>
              <w:ind w:left="229"/>
              <w:rPr>
                <w:rFonts w:eastAsia="Times New Roman"/>
                <w:sz w:val="16"/>
                <w:szCs w:val="16"/>
              </w:rPr>
            </w:pPr>
            <w:r w:rsidRPr="00073668">
              <w:rPr>
                <w:rFonts w:eastAsia="Times New Roman"/>
                <w:sz w:val="16"/>
                <w:szCs w:val="16"/>
              </w:rPr>
              <w:t>1/2 día (2014).</w:t>
            </w:r>
          </w:p>
          <w:p w:rsidR="0051477B" w:rsidRPr="00073668" w:rsidRDefault="0051477B" w:rsidP="00C97D8A">
            <w:pPr>
              <w:ind w:left="229"/>
              <w:rPr>
                <w:rFonts w:eastAsia="Times New Roman"/>
                <w:sz w:val="16"/>
                <w:szCs w:val="16"/>
              </w:rPr>
            </w:pPr>
          </w:p>
          <w:p w:rsidR="0051477B" w:rsidRPr="00073668" w:rsidRDefault="0051477B" w:rsidP="00C97D8A">
            <w:pPr>
              <w:ind w:left="229"/>
              <w:rPr>
                <w:rFonts w:eastAsia="Times New Roman"/>
                <w:sz w:val="16"/>
                <w:szCs w:val="16"/>
              </w:rPr>
            </w:pPr>
            <w:r w:rsidRPr="00073668">
              <w:rPr>
                <w:rFonts w:eastAsia="Times New Roman"/>
                <w:sz w:val="16"/>
                <w:szCs w:val="16"/>
              </w:rPr>
              <w:br/>
            </w:r>
            <w:r w:rsidRPr="00073668">
              <w:rPr>
                <w:rFonts w:eastAsia="Times New Roman"/>
                <w:sz w:val="16"/>
                <w:szCs w:val="16"/>
              </w:rPr>
              <w:br/>
              <w:t>1/2 día (2014).</w:t>
            </w:r>
          </w:p>
          <w:p w:rsidR="0051477B" w:rsidRPr="00073668" w:rsidRDefault="0051477B" w:rsidP="00C97D8A">
            <w:pPr>
              <w:ind w:left="229"/>
              <w:rPr>
                <w:rFonts w:eastAsia="Times New Roman"/>
                <w:sz w:val="16"/>
                <w:szCs w:val="16"/>
              </w:rPr>
            </w:pPr>
          </w:p>
          <w:p w:rsidR="0051477B" w:rsidRPr="00073668" w:rsidRDefault="0051477B" w:rsidP="00C97D8A">
            <w:pPr>
              <w:ind w:left="229"/>
              <w:rPr>
                <w:rFonts w:eastAsia="Times New Roman"/>
                <w:sz w:val="16"/>
                <w:szCs w:val="16"/>
              </w:rPr>
            </w:pPr>
            <w:r w:rsidRPr="00073668">
              <w:rPr>
                <w:rFonts w:eastAsia="Times New Roman"/>
                <w:sz w:val="16"/>
                <w:szCs w:val="16"/>
              </w:rPr>
              <w:br/>
            </w:r>
            <w:r w:rsidRPr="00073668">
              <w:rPr>
                <w:rFonts w:eastAsia="Times New Roman"/>
                <w:sz w:val="16"/>
                <w:szCs w:val="16"/>
              </w:rPr>
              <w:br/>
              <w:t>Menos de 1 día (2014).</w:t>
            </w:r>
          </w:p>
        </w:tc>
        <w:tc>
          <w:tcPr>
            <w:tcW w:w="2149" w:type="dxa"/>
            <w:tcBorders>
              <w:left w:val="nil"/>
              <w:right w:val="single" w:sz="4" w:space="0" w:color="auto"/>
            </w:tcBorders>
            <w:shd w:val="clear" w:color="000000" w:fill="FFFFFF"/>
            <w:tcMar>
              <w:top w:w="85" w:type="dxa"/>
            </w:tcMar>
            <w:hideMark/>
          </w:tcPr>
          <w:p w:rsidR="0051477B" w:rsidRPr="00073668" w:rsidRDefault="0051477B" w:rsidP="00C97D8A">
            <w:pPr>
              <w:ind w:leftChars="90" w:left="198"/>
              <w:rPr>
                <w:rFonts w:eastAsia="Times New Roman"/>
                <w:sz w:val="16"/>
                <w:szCs w:val="16"/>
              </w:rPr>
            </w:pPr>
            <w:r w:rsidRPr="00073668">
              <w:rPr>
                <w:rFonts w:eastAsia="Times New Roman"/>
                <w:sz w:val="16"/>
                <w:szCs w:val="16"/>
              </w:rPr>
              <w:t>Menos de medio día.</w:t>
            </w:r>
          </w:p>
          <w:p w:rsidR="0051477B" w:rsidRPr="00073668" w:rsidRDefault="0051477B" w:rsidP="00C97D8A">
            <w:pPr>
              <w:ind w:leftChars="90" w:left="198"/>
              <w:rPr>
                <w:rFonts w:eastAsia="Times New Roman"/>
                <w:sz w:val="16"/>
                <w:szCs w:val="16"/>
              </w:rPr>
            </w:pPr>
            <w:r w:rsidRPr="00073668">
              <w:rPr>
                <w:rFonts w:eastAsia="Times New Roman"/>
                <w:sz w:val="16"/>
                <w:szCs w:val="16"/>
              </w:rPr>
              <w:br/>
              <w:t>Menos de medio día.</w:t>
            </w:r>
          </w:p>
          <w:p w:rsidR="0051477B" w:rsidRPr="00073668" w:rsidRDefault="0051477B" w:rsidP="00C97D8A">
            <w:pPr>
              <w:ind w:leftChars="90" w:left="198"/>
              <w:rPr>
                <w:rFonts w:eastAsia="Times New Roman"/>
                <w:sz w:val="16"/>
                <w:szCs w:val="16"/>
              </w:rPr>
            </w:pPr>
            <w:r w:rsidRPr="00073668">
              <w:rPr>
                <w:rFonts w:eastAsia="Times New Roman"/>
                <w:sz w:val="16"/>
                <w:szCs w:val="16"/>
              </w:rPr>
              <w:br/>
              <w:t>Menos de 1 día.</w:t>
            </w:r>
          </w:p>
        </w:tc>
      </w:tr>
      <w:tr w:rsidR="0051477B" w:rsidRPr="00073668" w:rsidTr="006105F6">
        <w:trPr>
          <w:trHeight w:val="223"/>
        </w:trPr>
        <w:tc>
          <w:tcPr>
            <w:tcW w:w="2320" w:type="dxa"/>
            <w:tcBorders>
              <w:top w:val="nil"/>
              <w:left w:val="single" w:sz="4" w:space="0" w:color="auto"/>
              <w:bottom w:val="single" w:sz="4" w:space="0" w:color="auto"/>
              <w:right w:val="nil"/>
            </w:tcBorders>
            <w:shd w:val="clear" w:color="000000" w:fill="FFFFFF"/>
            <w:tcMar>
              <w:top w:w="85" w:type="dxa"/>
            </w:tcMar>
            <w:hideMark/>
          </w:tcPr>
          <w:p w:rsidR="0051477B" w:rsidRPr="00073668" w:rsidRDefault="0051477B" w:rsidP="00C97D8A">
            <w:pPr>
              <w:rPr>
                <w:rFonts w:eastAsia="Times New Roman"/>
                <w:sz w:val="16"/>
                <w:szCs w:val="16"/>
              </w:rPr>
            </w:pPr>
            <w:r w:rsidRPr="00073668">
              <w:rPr>
                <w:rFonts w:eastAsia="Times New Roman"/>
                <w:sz w:val="16"/>
                <w:szCs w:val="16"/>
              </w:rPr>
              <w:t> </w:t>
            </w:r>
          </w:p>
        </w:tc>
        <w:tc>
          <w:tcPr>
            <w:tcW w:w="2320" w:type="dxa"/>
            <w:tcBorders>
              <w:top w:val="nil"/>
              <w:left w:val="nil"/>
              <w:bottom w:val="single" w:sz="4" w:space="0" w:color="auto"/>
              <w:right w:val="nil"/>
            </w:tcBorders>
            <w:shd w:val="clear" w:color="000000" w:fill="FFFFFF"/>
            <w:tcMar>
              <w:top w:w="85" w:type="dxa"/>
            </w:tcMar>
            <w:hideMark/>
          </w:tcPr>
          <w:p w:rsidR="0051477B" w:rsidRPr="00073668" w:rsidRDefault="009E0FFC" w:rsidP="0044351D">
            <w:pPr>
              <w:ind w:left="-3"/>
              <w:rPr>
                <w:rFonts w:eastAsia="Times New Roman"/>
                <w:sz w:val="16"/>
                <w:szCs w:val="16"/>
              </w:rPr>
            </w:pPr>
            <w:r w:rsidRPr="0044351D">
              <w:rPr>
                <w:rFonts w:eastAsia="Times New Roman"/>
                <w:sz w:val="16"/>
                <w:szCs w:val="16"/>
              </w:rPr>
              <w:t>Precio</w:t>
            </w:r>
            <w:r>
              <w:rPr>
                <w:color w:val="000000"/>
                <w:sz w:val="16"/>
                <w:szCs w:val="16"/>
              </w:rPr>
              <w:t xml:space="preserve"> medio general del billete </w:t>
            </w:r>
            <w:r w:rsidRPr="006F02B8">
              <w:rPr>
                <w:color w:val="000000"/>
                <w:sz w:val="16"/>
                <w:szCs w:val="16"/>
              </w:rPr>
              <w:t>de la empresa de gestión de viajes.</w:t>
            </w:r>
            <w:r w:rsidR="0051477B" w:rsidRPr="00073668">
              <w:rPr>
                <w:rFonts w:eastAsia="Times New Roman"/>
                <w:sz w:val="16"/>
                <w:szCs w:val="16"/>
              </w:rPr>
              <w:br/>
            </w:r>
            <w:r w:rsidR="0051477B" w:rsidRPr="00073668">
              <w:rPr>
                <w:rFonts w:eastAsia="Times New Roman"/>
                <w:sz w:val="16"/>
                <w:szCs w:val="16"/>
              </w:rPr>
              <w:br/>
            </w:r>
            <w:r>
              <w:rPr>
                <w:color w:val="000000"/>
                <w:sz w:val="16"/>
                <w:szCs w:val="16"/>
              </w:rPr>
              <w:t>Precio medio general</w:t>
            </w:r>
            <w:r w:rsidRPr="006F02B8">
              <w:rPr>
                <w:color w:val="000000"/>
                <w:sz w:val="16"/>
                <w:szCs w:val="16"/>
              </w:rPr>
              <w:t xml:space="preserve"> del billete.</w:t>
            </w:r>
            <w:r w:rsidR="0051477B" w:rsidRPr="00073668">
              <w:rPr>
                <w:rFonts w:eastAsia="Times New Roman"/>
                <w:sz w:val="16"/>
                <w:szCs w:val="16"/>
              </w:rPr>
              <w:br/>
            </w:r>
            <w:r w:rsidR="0051477B" w:rsidRPr="00073668">
              <w:rPr>
                <w:rFonts w:eastAsia="Times New Roman"/>
                <w:sz w:val="16"/>
                <w:szCs w:val="16"/>
              </w:rPr>
              <w:br/>
              <w:t>Promedio de las tasas de servicio.</w:t>
            </w:r>
          </w:p>
        </w:tc>
        <w:tc>
          <w:tcPr>
            <w:tcW w:w="2440" w:type="dxa"/>
            <w:tcBorders>
              <w:top w:val="nil"/>
              <w:left w:val="nil"/>
              <w:bottom w:val="single" w:sz="4" w:space="0" w:color="auto"/>
              <w:right w:val="nil"/>
            </w:tcBorders>
            <w:shd w:val="clear" w:color="000000" w:fill="FFFFFF"/>
            <w:tcMar>
              <w:top w:w="85" w:type="dxa"/>
            </w:tcMar>
            <w:hideMark/>
          </w:tcPr>
          <w:p w:rsidR="0051477B" w:rsidRPr="0051477B" w:rsidRDefault="0051477B" w:rsidP="00C97D8A">
            <w:pPr>
              <w:ind w:left="229"/>
              <w:rPr>
                <w:rFonts w:eastAsia="Times New Roman"/>
                <w:sz w:val="16"/>
                <w:szCs w:val="16"/>
                <w:lang w:val="en-US"/>
              </w:rPr>
            </w:pPr>
            <w:r w:rsidRPr="0051477B">
              <w:rPr>
                <w:rFonts w:eastAsia="Times New Roman"/>
                <w:sz w:val="16"/>
                <w:szCs w:val="16"/>
                <w:lang w:val="en-US"/>
              </w:rPr>
              <w:t>1.850 CHF (</w:t>
            </w:r>
            <w:proofErr w:type="spellStart"/>
            <w:r w:rsidRPr="0051477B">
              <w:rPr>
                <w:rFonts w:eastAsia="Times New Roman"/>
                <w:sz w:val="16"/>
                <w:szCs w:val="16"/>
                <w:lang w:val="en-US"/>
              </w:rPr>
              <w:t>dic</w:t>
            </w:r>
            <w:proofErr w:type="spellEnd"/>
            <w:r w:rsidRPr="0051477B">
              <w:rPr>
                <w:rFonts w:eastAsia="Times New Roman"/>
                <w:sz w:val="16"/>
                <w:szCs w:val="16"/>
                <w:lang w:val="en-US"/>
              </w:rPr>
              <w:t>. 2014).</w:t>
            </w:r>
          </w:p>
          <w:p w:rsidR="0051477B" w:rsidRPr="0051477B" w:rsidRDefault="0051477B" w:rsidP="00C97D8A">
            <w:pPr>
              <w:ind w:left="229"/>
              <w:rPr>
                <w:rFonts w:eastAsia="Times New Roman"/>
                <w:sz w:val="16"/>
                <w:szCs w:val="16"/>
                <w:lang w:val="en-US"/>
              </w:rPr>
            </w:pPr>
            <w:r w:rsidRPr="0051477B">
              <w:rPr>
                <w:rFonts w:eastAsia="Times New Roman"/>
                <w:sz w:val="16"/>
                <w:szCs w:val="16"/>
                <w:lang w:val="en-US"/>
              </w:rPr>
              <w:br/>
            </w:r>
            <w:r w:rsidRPr="0051477B">
              <w:rPr>
                <w:rFonts w:eastAsia="Times New Roman"/>
                <w:sz w:val="16"/>
                <w:szCs w:val="16"/>
                <w:lang w:val="en-US"/>
              </w:rPr>
              <w:br/>
            </w:r>
          </w:p>
          <w:p w:rsidR="0051477B" w:rsidRPr="0051477B" w:rsidRDefault="0051477B" w:rsidP="00C97D8A">
            <w:pPr>
              <w:ind w:left="229"/>
              <w:rPr>
                <w:rFonts w:eastAsia="Times New Roman"/>
                <w:sz w:val="16"/>
                <w:szCs w:val="16"/>
                <w:lang w:val="en-US"/>
              </w:rPr>
            </w:pPr>
            <w:r w:rsidRPr="0051477B">
              <w:rPr>
                <w:rFonts w:eastAsia="Times New Roman"/>
                <w:sz w:val="16"/>
                <w:szCs w:val="16"/>
                <w:lang w:val="en-US"/>
              </w:rPr>
              <w:t>1.600 CHF (</w:t>
            </w:r>
            <w:proofErr w:type="spellStart"/>
            <w:r w:rsidRPr="0051477B">
              <w:rPr>
                <w:rFonts w:eastAsia="Times New Roman"/>
                <w:sz w:val="16"/>
                <w:szCs w:val="16"/>
                <w:lang w:val="en-US"/>
              </w:rPr>
              <w:t>dic</w:t>
            </w:r>
            <w:proofErr w:type="spellEnd"/>
            <w:r w:rsidRPr="0051477B">
              <w:rPr>
                <w:rFonts w:eastAsia="Times New Roman"/>
                <w:sz w:val="16"/>
                <w:szCs w:val="16"/>
                <w:lang w:val="en-US"/>
              </w:rPr>
              <w:t>. 2014).</w:t>
            </w:r>
          </w:p>
          <w:p w:rsidR="0051477B" w:rsidRPr="0051477B" w:rsidRDefault="0051477B" w:rsidP="00C97D8A">
            <w:pPr>
              <w:ind w:left="229"/>
              <w:rPr>
                <w:rFonts w:eastAsia="Times New Roman"/>
                <w:sz w:val="16"/>
                <w:szCs w:val="16"/>
                <w:lang w:val="en-US"/>
              </w:rPr>
            </w:pPr>
          </w:p>
          <w:p w:rsidR="0051477B" w:rsidRPr="0051477B" w:rsidRDefault="0051477B" w:rsidP="00C97D8A">
            <w:pPr>
              <w:ind w:left="229"/>
              <w:rPr>
                <w:rFonts w:eastAsia="Times New Roman"/>
                <w:sz w:val="16"/>
                <w:szCs w:val="16"/>
                <w:lang w:val="en-US"/>
              </w:rPr>
            </w:pPr>
          </w:p>
          <w:p w:rsidR="0051477B" w:rsidRPr="0051477B" w:rsidRDefault="0051477B" w:rsidP="00C97D8A">
            <w:pPr>
              <w:ind w:left="229"/>
              <w:rPr>
                <w:rFonts w:eastAsia="Times New Roman"/>
                <w:sz w:val="16"/>
                <w:szCs w:val="16"/>
                <w:lang w:val="en-US"/>
              </w:rPr>
            </w:pPr>
            <w:r w:rsidRPr="0051477B">
              <w:rPr>
                <w:rFonts w:eastAsia="Times New Roman"/>
                <w:sz w:val="16"/>
                <w:szCs w:val="16"/>
                <w:lang w:val="en-US"/>
              </w:rPr>
              <w:t>118 CHF (final de 2014).</w:t>
            </w:r>
          </w:p>
        </w:tc>
        <w:tc>
          <w:tcPr>
            <w:tcW w:w="2149" w:type="dxa"/>
            <w:tcBorders>
              <w:top w:val="nil"/>
              <w:left w:val="nil"/>
              <w:bottom w:val="single" w:sz="4" w:space="0" w:color="auto"/>
              <w:right w:val="single" w:sz="4" w:space="0" w:color="auto"/>
            </w:tcBorders>
            <w:shd w:val="clear" w:color="000000" w:fill="FFFFFF"/>
            <w:tcMar>
              <w:top w:w="85" w:type="dxa"/>
            </w:tcMar>
            <w:hideMark/>
          </w:tcPr>
          <w:p w:rsidR="0051477B" w:rsidRPr="00073668" w:rsidRDefault="0051477B" w:rsidP="00C97D8A">
            <w:pPr>
              <w:ind w:left="198"/>
              <w:rPr>
                <w:rFonts w:eastAsia="Times New Roman"/>
                <w:sz w:val="16"/>
                <w:szCs w:val="16"/>
              </w:rPr>
            </w:pPr>
            <w:r w:rsidRPr="00073668">
              <w:rPr>
                <w:rFonts w:eastAsia="Times New Roman"/>
                <w:sz w:val="16"/>
                <w:szCs w:val="16"/>
              </w:rPr>
              <w:t>≤ 1.850 CHF</w:t>
            </w:r>
            <w:r w:rsidRPr="00073668">
              <w:rPr>
                <w:rFonts w:eastAsia="Times New Roman"/>
                <w:sz w:val="16"/>
                <w:szCs w:val="16"/>
              </w:rPr>
              <w:br/>
            </w:r>
            <w:r w:rsidRPr="00073668">
              <w:rPr>
                <w:rFonts w:eastAsia="Times New Roman"/>
                <w:sz w:val="16"/>
                <w:szCs w:val="16"/>
              </w:rPr>
              <w:br/>
            </w:r>
          </w:p>
          <w:p w:rsidR="0051477B" w:rsidRPr="00073668" w:rsidRDefault="0051477B" w:rsidP="00C97D8A">
            <w:pPr>
              <w:ind w:left="198"/>
              <w:rPr>
                <w:rFonts w:eastAsia="Times New Roman"/>
                <w:sz w:val="16"/>
                <w:szCs w:val="16"/>
              </w:rPr>
            </w:pPr>
          </w:p>
          <w:p w:rsidR="0051477B" w:rsidRPr="00073668" w:rsidRDefault="0051477B" w:rsidP="00C97D8A">
            <w:pPr>
              <w:ind w:left="198"/>
              <w:rPr>
                <w:rFonts w:eastAsia="Times New Roman"/>
                <w:sz w:val="16"/>
                <w:szCs w:val="16"/>
              </w:rPr>
            </w:pPr>
            <w:r w:rsidRPr="00073668">
              <w:rPr>
                <w:rFonts w:eastAsia="Times New Roman"/>
                <w:sz w:val="16"/>
                <w:szCs w:val="16"/>
              </w:rPr>
              <w:t xml:space="preserve">≤ 1.600 CHF </w:t>
            </w:r>
            <w:r w:rsidRPr="00073668">
              <w:rPr>
                <w:rFonts w:eastAsia="Times New Roman"/>
                <w:sz w:val="16"/>
                <w:szCs w:val="16"/>
              </w:rPr>
              <w:br/>
            </w:r>
          </w:p>
          <w:p w:rsidR="0051477B" w:rsidRPr="00073668" w:rsidRDefault="0051477B" w:rsidP="00C97D8A">
            <w:pPr>
              <w:ind w:left="198"/>
              <w:rPr>
                <w:rFonts w:eastAsia="Times New Roman"/>
                <w:sz w:val="16"/>
                <w:szCs w:val="16"/>
              </w:rPr>
            </w:pPr>
            <w:r w:rsidRPr="00073668">
              <w:rPr>
                <w:rFonts w:eastAsia="Times New Roman"/>
                <w:sz w:val="16"/>
                <w:szCs w:val="16"/>
              </w:rPr>
              <w:t>&lt; 100 CHF</w:t>
            </w:r>
          </w:p>
        </w:tc>
      </w:tr>
      <w:tr w:rsidR="0051477B" w:rsidRPr="00073668" w:rsidTr="0044351D">
        <w:trPr>
          <w:trHeight w:val="2183"/>
        </w:trPr>
        <w:tc>
          <w:tcPr>
            <w:tcW w:w="2320" w:type="dxa"/>
            <w:tcBorders>
              <w:top w:val="single" w:sz="4" w:space="0" w:color="auto"/>
              <w:left w:val="single" w:sz="4" w:space="0" w:color="auto"/>
              <w:right w:val="nil"/>
            </w:tcBorders>
            <w:shd w:val="clear" w:color="000000" w:fill="FFFFFF"/>
            <w:tcMar>
              <w:top w:w="85" w:type="dxa"/>
            </w:tcMar>
            <w:hideMark/>
          </w:tcPr>
          <w:p w:rsidR="0051477B" w:rsidRPr="00073668" w:rsidRDefault="0051477B" w:rsidP="00C97D8A">
            <w:pPr>
              <w:rPr>
                <w:rFonts w:eastAsia="Times New Roman"/>
                <w:sz w:val="16"/>
                <w:szCs w:val="16"/>
              </w:rPr>
            </w:pPr>
            <w:r w:rsidRPr="00073668">
              <w:rPr>
                <w:rFonts w:eastAsia="Times New Roman"/>
                <w:sz w:val="16"/>
                <w:szCs w:val="16"/>
              </w:rPr>
              <w:lastRenderedPageBreak/>
              <w:t> </w:t>
            </w:r>
          </w:p>
        </w:tc>
        <w:tc>
          <w:tcPr>
            <w:tcW w:w="2320" w:type="dxa"/>
            <w:tcBorders>
              <w:top w:val="single" w:sz="4" w:space="0" w:color="auto"/>
              <w:left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 xml:space="preserve">Los locales y las </w:t>
            </w:r>
            <w:r w:rsidRPr="0044351D">
              <w:rPr>
                <w:color w:val="000000"/>
                <w:sz w:val="16"/>
                <w:szCs w:val="16"/>
              </w:rPr>
              <w:t>instalaciones</w:t>
            </w:r>
            <w:r w:rsidRPr="00073668">
              <w:rPr>
                <w:rFonts w:eastAsia="Times New Roman"/>
                <w:sz w:val="16"/>
                <w:szCs w:val="16"/>
              </w:rPr>
              <w:t xml:space="preserve"> de la OMPI siguen sirviendo a los fines establecidos.</w:t>
            </w:r>
          </w:p>
        </w:tc>
        <w:tc>
          <w:tcPr>
            <w:tcW w:w="2440" w:type="dxa"/>
            <w:tcBorders>
              <w:top w:val="single" w:sz="4" w:space="0" w:color="auto"/>
              <w:left w:val="nil"/>
              <w:right w:val="nil"/>
            </w:tcBorders>
            <w:shd w:val="clear" w:color="000000" w:fill="FFFFFF"/>
            <w:tcMar>
              <w:top w:w="85" w:type="dxa"/>
            </w:tcMar>
            <w:hideMark/>
          </w:tcPr>
          <w:p w:rsidR="0051477B" w:rsidRPr="00073668" w:rsidRDefault="0051477B" w:rsidP="00C97D8A">
            <w:pPr>
              <w:ind w:left="229"/>
              <w:rPr>
                <w:rFonts w:eastAsia="Times New Roman"/>
                <w:sz w:val="16"/>
                <w:szCs w:val="16"/>
              </w:rPr>
            </w:pPr>
            <w:r w:rsidRPr="00073668">
              <w:rPr>
                <w:rFonts w:eastAsia="Times New Roman"/>
                <w:sz w:val="16"/>
                <w:szCs w:val="16"/>
              </w:rPr>
              <w:t xml:space="preserve">El funcionamiento de las instalaciones técnicas (electricidad, agua, calefacción, refrigeración, ventilación) queda interrumpido y </w:t>
            </w:r>
            <w:proofErr w:type="gramStart"/>
            <w:r w:rsidRPr="00073668">
              <w:rPr>
                <w:rFonts w:eastAsia="Times New Roman"/>
                <w:sz w:val="16"/>
                <w:szCs w:val="16"/>
              </w:rPr>
              <w:t>afecta</w:t>
            </w:r>
            <w:proofErr w:type="gramEnd"/>
            <w:r w:rsidRPr="00073668">
              <w:rPr>
                <w:rFonts w:eastAsia="Times New Roman"/>
                <w:sz w:val="16"/>
                <w:szCs w:val="16"/>
              </w:rPr>
              <w:t xml:space="preserve"> a las principales actividades de la OMPI un día de trabajo al año como máximo.</w:t>
            </w:r>
          </w:p>
          <w:p w:rsidR="0051477B" w:rsidRPr="00073668" w:rsidRDefault="0051477B" w:rsidP="00C97D8A">
            <w:pPr>
              <w:ind w:left="229"/>
              <w:rPr>
                <w:rFonts w:eastAsia="Times New Roman"/>
                <w:sz w:val="16"/>
                <w:szCs w:val="16"/>
              </w:rPr>
            </w:pPr>
          </w:p>
        </w:tc>
        <w:tc>
          <w:tcPr>
            <w:tcW w:w="2149" w:type="dxa"/>
            <w:tcBorders>
              <w:top w:val="single" w:sz="4" w:space="0" w:color="auto"/>
              <w:left w:val="nil"/>
              <w:right w:val="single" w:sz="4" w:space="0" w:color="auto"/>
            </w:tcBorders>
            <w:shd w:val="clear" w:color="000000" w:fill="FFFFFF"/>
            <w:tcMar>
              <w:top w:w="85" w:type="dxa"/>
            </w:tcMar>
            <w:hideMark/>
          </w:tcPr>
          <w:p w:rsidR="0051477B" w:rsidRPr="00073668" w:rsidRDefault="0051477B" w:rsidP="00C97D8A">
            <w:pPr>
              <w:ind w:leftChars="90" w:left="198"/>
              <w:rPr>
                <w:rFonts w:eastAsia="Times New Roman"/>
                <w:sz w:val="16"/>
                <w:szCs w:val="16"/>
              </w:rPr>
            </w:pPr>
            <w:r w:rsidRPr="00073668">
              <w:rPr>
                <w:rFonts w:eastAsia="Times New Roman"/>
                <w:sz w:val="16"/>
                <w:szCs w:val="16"/>
              </w:rPr>
              <w:t>El funcionamiento de las instalaciones técnicas (electricidad, agua, calefacción, refrigeración, ventilación) sigue quedando interrumpido y afectando a las principales actividades de la OMPI un día de trabajo al año como máximo.</w:t>
            </w:r>
          </w:p>
        </w:tc>
      </w:tr>
      <w:tr w:rsidR="0051477B" w:rsidRPr="00073668" w:rsidTr="00C97D8A">
        <w:trPr>
          <w:trHeight w:val="917"/>
        </w:trPr>
        <w:tc>
          <w:tcPr>
            <w:tcW w:w="2320" w:type="dxa"/>
            <w:tcBorders>
              <w:left w:val="single" w:sz="4" w:space="0" w:color="auto"/>
              <w:right w:val="nil"/>
            </w:tcBorders>
            <w:shd w:val="clear" w:color="000000" w:fill="FFFFFF"/>
            <w:tcMar>
              <w:top w:w="85" w:type="dxa"/>
            </w:tcMar>
            <w:hideMark/>
          </w:tcPr>
          <w:p w:rsidR="0051477B" w:rsidRPr="00073668" w:rsidRDefault="0051477B" w:rsidP="00C97D8A">
            <w:pPr>
              <w:rPr>
                <w:rFonts w:eastAsia="Times New Roman"/>
                <w:sz w:val="16"/>
                <w:szCs w:val="16"/>
              </w:rPr>
            </w:pPr>
            <w:r w:rsidRPr="00073668">
              <w:rPr>
                <w:rFonts w:eastAsia="Times New Roman"/>
                <w:sz w:val="16"/>
                <w:szCs w:val="16"/>
              </w:rPr>
              <w:t> </w:t>
            </w:r>
          </w:p>
        </w:tc>
        <w:tc>
          <w:tcPr>
            <w:tcW w:w="2320" w:type="dxa"/>
            <w:tcBorders>
              <w:left w:val="nil"/>
              <w:right w:val="nil"/>
            </w:tcBorders>
            <w:shd w:val="clear" w:color="000000" w:fill="FFFFFF"/>
            <w:tcMar>
              <w:top w:w="85" w:type="dxa"/>
            </w:tcMar>
            <w:hideMark/>
          </w:tcPr>
          <w:p w:rsidR="0051477B" w:rsidRPr="00073668" w:rsidRDefault="0051477B" w:rsidP="0044351D">
            <w:pPr>
              <w:ind w:left="-3"/>
              <w:rPr>
                <w:rFonts w:eastAsia="Times New Roman"/>
                <w:sz w:val="16"/>
                <w:szCs w:val="16"/>
              </w:rPr>
            </w:pPr>
            <w:r w:rsidRPr="00073668">
              <w:rPr>
                <w:rFonts w:eastAsia="Times New Roman"/>
                <w:sz w:val="16"/>
                <w:szCs w:val="16"/>
              </w:rPr>
              <w:t xml:space="preserve">Utilización y ocupación </w:t>
            </w:r>
            <w:r w:rsidRPr="0044351D">
              <w:rPr>
                <w:color w:val="000000"/>
                <w:sz w:val="16"/>
                <w:szCs w:val="16"/>
              </w:rPr>
              <w:t>óptimas</w:t>
            </w:r>
            <w:r w:rsidRPr="00073668">
              <w:rPr>
                <w:rFonts w:eastAsia="Times New Roman"/>
                <w:sz w:val="16"/>
                <w:szCs w:val="16"/>
              </w:rPr>
              <w:t xml:space="preserve"> de los locales y todos los tipos de espacios de la OMPI.</w:t>
            </w:r>
          </w:p>
        </w:tc>
        <w:tc>
          <w:tcPr>
            <w:tcW w:w="2440" w:type="dxa"/>
            <w:tcBorders>
              <w:left w:val="nil"/>
              <w:right w:val="nil"/>
            </w:tcBorders>
            <w:shd w:val="clear" w:color="000000" w:fill="FFFFFF"/>
            <w:tcMar>
              <w:top w:w="85" w:type="dxa"/>
            </w:tcMar>
            <w:hideMark/>
          </w:tcPr>
          <w:p w:rsidR="0051477B" w:rsidRPr="00073668" w:rsidRDefault="0051477B" w:rsidP="00C97D8A">
            <w:pPr>
              <w:ind w:left="229"/>
              <w:rPr>
                <w:rFonts w:eastAsia="Times New Roman"/>
                <w:sz w:val="16"/>
                <w:szCs w:val="16"/>
              </w:rPr>
            </w:pPr>
            <w:r w:rsidRPr="00073668">
              <w:rPr>
                <w:rFonts w:eastAsia="Times New Roman"/>
                <w:sz w:val="16"/>
                <w:szCs w:val="16"/>
              </w:rPr>
              <w:t>80 espacios de trabajo alquilados, 5 áreas de almacenamiento y archivo fuera del recinto.</w:t>
            </w:r>
          </w:p>
        </w:tc>
        <w:tc>
          <w:tcPr>
            <w:tcW w:w="2149" w:type="dxa"/>
            <w:tcBorders>
              <w:left w:val="nil"/>
              <w:right w:val="single" w:sz="4" w:space="0" w:color="auto"/>
            </w:tcBorders>
            <w:shd w:val="clear" w:color="000000" w:fill="FFFFFF"/>
            <w:tcMar>
              <w:top w:w="85" w:type="dxa"/>
            </w:tcMar>
            <w:hideMark/>
          </w:tcPr>
          <w:p w:rsidR="0051477B" w:rsidRPr="00073668" w:rsidRDefault="0051477B" w:rsidP="00C97D8A">
            <w:pPr>
              <w:ind w:left="198"/>
              <w:rPr>
                <w:rFonts w:eastAsia="Times New Roman"/>
                <w:sz w:val="16"/>
                <w:szCs w:val="16"/>
              </w:rPr>
            </w:pPr>
            <w:r w:rsidRPr="00073668">
              <w:rPr>
                <w:rFonts w:eastAsia="Times New Roman"/>
                <w:sz w:val="16"/>
                <w:szCs w:val="16"/>
              </w:rPr>
              <w:t>Se mantienen 80 espacios de trabajo alquilados y 5 áreas de almacenamiento y archivo fuera del recinto.</w:t>
            </w:r>
          </w:p>
        </w:tc>
      </w:tr>
      <w:tr w:rsidR="0051477B" w:rsidRPr="00073668" w:rsidTr="00DB3008">
        <w:trPr>
          <w:trHeight w:val="2461"/>
        </w:trPr>
        <w:tc>
          <w:tcPr>
            <w:tcW w:w="2320" w:type="dxa"/>
            <w:tcBorders>
              <w:left w:val="single" w:sz="4" w:space="0" w:color="auto"/>
              <w:right w:val="nil"/>
            </w:tcBorders>
            <w:shd w:val="clear" w:color="000000" w:fill="FFFFFF"/>
            <w:tcMar>
              <w:top w:w="85" w:type="dxa"/>
            </w:tcMar>
            <w:hideMark/>
          </w:tcPr>
          <w:p w:rsidR="008E6FDE" w:rsidRDefault="008E6FDE" w:rsidP="00C97D8A">
            <w:pPr>
              <w:rPr>
                <w:rFonts w:eastAsia="Times New Roman"/>
                <w:sz w:val="16"/>
                <w:szCs w:val="16"/>
              </w:rPr>
            </w:pPr>
          </w:p>
          <w:p w:rsidR="008E6FDE" w:rsidRDefault="008E6FDE" w:rsidP="00C97D8A">
            <w:pPr>
              <w:rPr>
                <w:rFonts w:eastAsia="Times New Roman"/>
                <w:sz w:val="16"/>
                <w:szCs w:val="16"/>
              </w:rPr>
            </w:pPr>
          </w:p>
          <w:p w:rsidR="008E6FDE" w:rsidRDefault="008E6FDE" w:rsidP="00C97D8A">
            <w:pPr>
              <w:rPr>
                <w:rFonts w:eastAsia="Times New Roman"/>
                <w:sz w:val="16"/>
                <w:szCs w:val="16"/>
              </w:rPr>
            </w:pPr>
          </w:p>
          <w:p w:rsidR="00DB3008" w:rsidRDefault="00DB3008" w:rsidP="00C97D8A">
            <w:pPr>
              <w:rPr>
                <w:rFonts w:eastAsia="Times New Roman"/>
                <w:sz w:val="16"/>
                <w:szCs w:val="16"/>
              </w:rPr>
            </w:pPr>
          </w:p>
          <w:p w:rsidR="00DB3008" w:rsidRDefault="00DB3008" w:rsidP="00C97D8A">
            <w:pPr>
              <w:rPr>
                <w:rFonts w:eastAsia="Times New Roman"/>
                <w:sz w:val="16"/>
                <w:szCs w:val="16"/>
              </w:rPr>
            </w:pPr>
          </w:p>
          <w:p w:rsidR="00DB3008" w:rsidRDefault="00DB3008" w:rsidP="00C97D8A">
            <w:pPr>
              <w:rPr>
                <w:rFonts w:eastAsia="Times New Roman"/>
                <w:sz w:val="16"/>
                <w:szCs w:val="16"/>
              </w:rPr>
            </w:pPr>
          </w:p>
          <w:p w:rsidR="00DB3008" w:rsidRDefault="00DB3008" w:rsidP="00C97D8A">
            <w:pPr>
              <w:rPr>
                <w:rFonts w:eastAsia="Times New Roman"/>
                <w:sz w:val="16"/>
                <w:szCs w:val="16"/>
              </w:rPr>
            </w:pPr>
          </w:p>
          <w:p w:rsidR="0044351D" w:rsidRDefault="0044351D" w:rsidP="00C97D8A">
            <w:pPr>
              <w:rPr>
                <w:rFonts w:eastAsia="Times New Roman"/>
                <w:sz w:val="16"/>
                <w:szCs w:val="16"/>
              </w:rPr>
            </w:pPr>
          </w:p>
          <w:p w:rsidR="0044351D" w:rsidRDefault="0044351D" w:rsidP="00C97D8A">
            <w:pPr>
              <w:rPr>
                <w:rFonts w:eastAsia="Times New Roman"/>
                <w:sz w:val="16"/>
                <w:szCs w:val="16"/>
              </w:rPr>
            </w:pPr>
          </w:p>
          <w:p w:rsidR="0051477B" w:rsidRPr="00073668" w:rsidRDefault="0051477B" w:rsidP="00C97D8A">
            <w:pPr>
              <w:rPr>
                <w:rFonts w:eastAsia="Times New Roman"/>
                <w:sz w:val="16"/>
                <w:szCs w:val="16"/>
              </w:rPr>
            </w:pPr>
            <w:r w:rsidRPr="00073668">
              <w:rPr>
                <w:rFonts w:eastAsia="Times New Roman"/>
                <w:sz w:val="16"/>
                <w:szCs w:val="16"/>
              </w:rPr>
              <w:t xml:space="preserve">IX.4.  </w:t>
            </w:r>
            <w:r w:rsidR="00532057" w:rsidRPr="0044351D">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2320" w:type="dxa"/>
            <w:tcBorders>
              <w:left w:val="nil"/>
              <w:right w:val="nil"/>
            </w:tcBorders>
            <w:shd w:val="clear" w:color="000000" w:fill="FFFFFF"/>
            <w:tcMar>
              <w:top w:w="85" w:type="dxa"/>
            </w:tcMar>
            <w:hideMark/>
          </w:tcPr>
          <w:p w:rsidR="008E6FDE" w:rsidRPr="00984EFC" w:rsidRDefault="0044351D" w:rsidP="0044351D">
            <w:pPr>
              <w:ind w:left="-3"/>
              <w:rPr>
                <w:rFonts w:eastAsia="Times New Roman"/>
                <w:sz w:val="16"/>
                <w:szCs w:val="16"/>
                <w:lang w:val="es-ES_tradnl"/>
              </w:rPr>
            </w:pPr>
            <w:r w:rsidRPr="00006363">
              <w:rPr>
                <w:rFonts w:eastAsia="Times New Roman"/>
                <w:sz w:val="16"/>
                <w:szCs w:val="16"/>
              </w:rPr>
              <w:t>Porcentaje de artículos de elevado valor (ej. &gt;5.000 CHF) inventariados</w:t>
            </w:r>
            <w:r>
              <w:rPr>
                <w:sz w:val="16"/>
                <w:szCs w:val="16"/>
              </w:rPr>
              <w:t>.</w:t>
            </w:r>
          </w:p>
          <w:p w:rsidR="008E6FDE" w:rsidRPr="00984EFC" w:rsidRDefault="008E6FDE" w:rsidP="00C97D8A">
            <w:pPr>
              <w:ind w:left="281"/>
              <w:rPr>
                <w:rFonts w:eastAsia="Times New Roman"/>
                <w:sz w:val="16"/>
                <w:szCs w:val="16"/>
                <w:lang w:val="es-ES_tradnl"/>
              </w:rPr>
            </w:pPr>
          </w:p>
          <w:p w:rsidR="00DB3008" w:rsidRPr="00984EFC" w:rsidRDefault="0044351D" w:rsidP="0044351D">
            <w:pPr>
              <w:ind w:left="-3"/>
              <w:rPr>
                <w:rFonts w:eastAsia="Times New Roman"/>
                <w:sz w:val="16"/>
                <w:szCs w:val="16"/>
                <w:lang w:val="es-ES_tradnl"/>
              </w:rPr>
            </w:pPr>
            <w:r w:rsidRPr="00006363">
              <w:rPr>
                <w:rFonts w:eastAsia="Times New Roman"/>
                <w:sz w:val="16"/>
                <w:szCs w:val="16"/>
              </w:rPr>
              <w:t>Porc</w:t>
            </w:r>
            <w:r>
              <w:rPr>
                <w:rFonts w:eastAsia="Times New Roman"/>
                <w:sz w:val="16"/>
                <w:szCs w:val="16"/>
              </w:rPr>
              <w:t>entaje de artículos de valor (1.</w:t>
            </w:r>
            <w:r w:rsidRPr="00006363">
              <w:rPr>
                <w:rFonts w:eastAsia="Times New Roman"/>
                <w:sz w:val="16"/>
                <w:szCs w:val="16"/>
              </w:rPr>
              <w:t>000-5</w:t>
            </w:r>
            <w:r>
              <w:rPr>
                <w:rFonts w:eastAsia="Times New Roman"/>
                <w:sz w:val="16"/>
                <w:szCs w:val="16"/>
              </w:rPr>
              <w:t>.</w:t>
            </w:r>
            <w:r w:rsidRPr="00006363">
              <w:rPr>
                <w:rFonts w:eastAsia="Times New Roman"/>
                <w:sz w:val="16"/>
                <w:szCs w:val="16"/>
              </w:rPr>
              <w:t>000 CHF), obras de arte y artículos atractivos</w:t>
            </w:r>
            <w:r>
              <w:rPr>
                <w:rFonts w:eastAsia="Times New Roman"/>
                <w:sz w:val="16"/>
                <w:szCs w:val="16"/>
              </w:rPr>
              <w:t>.</w:t>
            </w:r>
          </w:p>
          <w:p w:rsidR="0044351D" w:rsidRPr="00984EFC" w:rsidRDefault="0044351D" w:rsidP="0044351D">
            <w:pPr>
              <w:rPr>
                <w:rFonts w:eastAsia="Times New Roman"/>
                <w:sz w:val="16"/>
                <w:szCs w:val="16"/>
                <w:lang w:val="es-ES_tradnl"/>
              </w:rPr>
            </w:pPr>
          </w:p>
          <w:p w:rsidR="0051477B" w:rsidRPr="00073668" w:rsidRDefault="0051477B" w:rsidP="0044351D">
            <w:pPr>
              <w:ind w:left="-3"/>
              <w:rPr>
                <w:rFonts w:eastAsia="Times New Roman"/>
                <w:sz w:val="16"/>
                <w:szCs w:val="16"/>
              </w:rPr>
            </w:pPr>
            <w:r w:rsidRPr="00073668">
              <w:rPr>
                <w:rFonts w:eastAsia="Times New Roman"/>
                <w:sz w:val="16"/>
                <w:szCs w:val="16"/>
              </w:rPr>
              <w:t xml:space="preserve">Reducción de las repercusiones de las </w:t>
            </w:r>
            <w:r w:rsidRPr="0044351D">
              <w:rPr>
                <w:color w:val="000000"/>
                <w:sz w:val="16"/>
                <w:szCs w:val="16"/>
              </w:rPr>
              <w:t>actividades</w:t>
            </w:r>
            <w:r w:rsidRPr="00073668">
              <w:rPr>
                <w:rFonts w:eastAsia="Times New Roman"/>
                <w:sz w:val="16"/>
                <w:szCs w:val="16"/>
              </w:rPr>
              <w:t xml:space="preserve"> de la OMPI sobre el medio ambiente.</w:t>
            </w:r>
          </w:p>
        </w:tc>
        <w:tc>
          <w:tcPr>
            <w:tcW w:w="2440" w:type="dxa"/>
            <w:tcBorders>
              <w:left w:val="nil"/>
              <w:right w:val="nil"/>
            </w:tcBorders>
            <w:shd w:val="clear" w:color="000000" w:fill="FFFFFF"/>
            <w:tcMar>
              <w:top w:w="85" w:type="dxa"/>
            </w:tcMar>
            <w:hideMark/>
          </w:tcPr>
          <w:p w:rsidR="008E6FDE" w:rsidRDefault="00DB3008" w:rsidP="00C97D8A">
            <w:pPr>
              <w:ind w:left="229"/>
              <w:rPr>
                <w:rFonts w:eastAsia="Times New Roman"/>
                <w:sz w:val="16"/>
                <w:szCs w:val="16"/>
              </w:rPr>
            </w:pPr>
            <w:r>
              <w:rPr>
                <w:rFonts w:eastAsia="Times New Roman"/>
                <w:color w:val="000000"/>
                <w:sz w:val="16"/>
                <w:szCs w:val="16"/>
              </w:rPr>
              <w:t>95%</w:t>
            </w:r>
          </w:p>
          <w:p w:rsidR="008E6FDE" w:rsidRDefault="008E6FDE" w:rsidP="00C97D8A">
            <w:pPr>
              <w:ind w:left="229"/>
              <w:rPr>
                <w:rFonts w:eastAsia="Times New Roman"/>
                <w:sz w:val="16"/>
                <w:szCs w:val="16"/>
              </w:rPr>
            </w:pPr>
          </w:p>
          <w:p w:rsidR="008E6FDE" w:rsidRDefault="008E6FDE" w:rsidP="00C97D8A">
            <w:pPr>
              <w:ind w:left="229"/>
              <w:rPr>
                <w:rFonts w:eastAsia="Times New Roman"/>
                <w:sz w:val="16"/>
                <w:szCs w:val="16"/>
              </w:rPr>
            </w:pPr>
          </w:p>
          <w:p w:rsidR="00DB3008" w:rsidRDefault="00DB3008" w:rsidP="00C97D8A">
            <w:pPr>
              <w:ind w:left="229"/>
              <w:rPr>
                <w:rFonts w:eastAsia="Times New Roman"/>
                <w:sz w:val="16"/>
                <w:szCs w:val="16"/>
              </w:rPr>
            </w:pPr>
          </w:p>
          <w:p w:rsidR="00DB3008" w:rsidRDefault="00DB3008" w:rsidP="00C97D8A">
            <w:pPr>
              <w:ind w:left="229"/>
              <w:rPr>
                <w:rFonts w:eastAsia="Times New Roman"/>
                <w:sz w:val="16"/>
                <w:szCs w:val="16"/>
              </w:rPr>
            </w:pPr>
            <w:proofErr w:type="spellStart"/>
            <w:r>
              <w:rPr>
                <w:rFonts w:eastAsia="Times New Roman"/>
                <w:color w:val="000000"/>
                <w:sz w:val="16"/>
                <w:szCs w:val="16"/>
              </w:rPr>
              <w:t>n</w:t>
            </w:r>
            <w:r w:rsidR="0044351D">
              <w:rPr>
                <w:rFonts w:eastAsia="Times New Roman"/>
                <w:color w:val="000000"/>
                <w:sz w:val="16"/>
                <w:szCs w:val="16"/>
              </w:rPr>
              <w:t>.d</w:t>
            </w:r>
            <w:proofErr w:type="spellEnd"/>
            <w:r w:rsidR="0044351D">
              <w:rPr>
                <w:rFonts w:eastAsia="Times New Roman"/>
                <w:color w:val="000000"/>
                <w:sz w:val="16"/>
                <w:szCs w:val="16"/>
              </w:rPr>
              <w:t>.</w:t>
            </w:r>
          </w:p>
          <w:p w:rsidR="00DB3008" w:rsidRDefault="00DB3008" w:rsidP="00C97D8A">
            <w:pPr>
              <w:ind w:left="229"/>
              <w:rPr>
                <w:rFonts w:eastAsia="Times New Roman"/>
                <w:sz w:val="16"/>
                <w:szCs w:val="16"/>
              </w:rPr>
            </w:pPr>
          </w:p>
          <w:p w:rsidR="00DB3008" w:rsidRDefault="00DB3008" w:rsidP="00C97D8A">
            <w:pPr>
              <w:ind w:left="229"/>
              <w:rPr>
                <w:rFonts w:eastAsia="Times New Roman"/>
                <w:sz w:val="16"/>
                <w:szCs w:val="16"/>
              </w:rPr>
            </w:pPr>
          </w:p>
          <w:p w:rsidR="0044351D" w:rsidRDefault="0044351D" w:rsidP="00C97D8A">
            <w:pPr>
              <w:ind w:left="229"/>
              <w:rPr>
                <w:rFonts w:eastAsia="Times New Roman"/>
                <w:sz w:val="16"/>
                <w:szCs w:val="16"/>
              </w:rPr>
            </w:pPr>
          </w:p>
          <w:p w:rsidR="0044351D" w:rsidRDefault="0044351D" w:rsidP="00C97D8A">
            <w:pPr>
              <w:ind w:left="229"/>
              <w:rPr>
                <w:rFonts w:eastAsia="Times New Roman"/>
                <w:sz w:val="16"/>
                <w:szCs w:val="16"/>
              </w:rPr>
            </w:pPr>
          </w:p>
          <w:p w:rsidR="0051477B" w:rsidRPr="00073668" w:rsidRDefault="0051477B" w:rsidP="00C97D8A">
            <w:pPr>
              <w:ind w:left="229"/>
              <w:rPr>
                <w:rFonts w:eastAsia="Times New Roman"/>
                <w:sz w:val="16"/>
                <w:szCs w:val="16"/>
              </w:rPr>
            </w:pPr>
            <w:r w:rsidRPr="00073668">
              <w:rPr>
                <w:rFonts w:eastAsia="Times New Roman"/>
                <w:sz w:val="16"/>
                <w:szCs w:val="16"/>
              </w:rPr>
              <w:t>A.  Compromiso con el marco de las NN.UU. de neutralidad climática anunciado por el Secretario General de las NN.UU. en septiembre de 2014.</w:t>
            </w:r>
          </w:p>
          <w:p w:rsidR="0051477B" w:rsidRPr="00073668" w:rsidRDefault="0051477B" w:rsidP="00C97D8A">
            <w:pPr>
              <w:ind w:left="229"/>
              <w:rPr>
                <w:rFonts w:eastAsia="Times New Roman"/>
                <w:sz w:val="16"/>
                <w:szCs w:val="16"/>
              </w:rPr>
            </w:pPr>
            <w:r w:rsidRPr="00073668">
              <w:rPr>
                <w:rFonts w:eastAsia="Times New Roman"/>
                <w:sz w:val="16"/>
                <w:szCs w:val="16"/>
              </w:rPr>
              <w:t>B.  Compromiso con el reglamento local y del país anfitrión relativos al consumo energético.</w:t>
            </w:r>
          </w:p>
          <w:p w:rsidR="0051477B" w:rsidRPr="00073668" w:rsidRDefault="0051477B" w:rsidP="00C97D8A">
            <w:pPr>
              <w:ind w:left="229"/>
              <w:rPr>
                <w:rFonts w:eastAsia="Times New Roman"/>
                <w:sz w:val="16"/>
                <w:szCs w:val="16"/>
              </w:rPr>
            </w:pPr>
            <w:r w:rsidRPr="00073668">
              <w:rPr>
                <w:rFonts w:eastAsia="Times New Roman"/>
                <w:sz w:val="16"/>
                <w:szCs w:val="16"/>
              </w:rPr>
              <w:t>C.  Niveles de consumo energético al final de 2015.</w:t>
            </w:r>
          </w:p>
        </w:tc>
        <w:tc>
          <w:tcPr>
            <w:tcW w:w="2149" w:type="dxa"/>
            <w:tcBorders>
              <w:left w:val="nil"/>
              <w:right w:val="single" w:sz="4" w:space="0" w:color="auto"/>
            </w:tcBorders>
            <w:shd w:val="clear" w:color="000000" w:fill="FFFFFF"/>
            <w:tcMar>
              <w:top w:w="85" w:type="dxa"/>
            </w:tcMar>
            <w:hideMark/>
          </w:tcPr>
          <w:p w:rsidR="008E6FDE" w:rsidRDefault="00DB3008" w:rsidP="00C97D8A">
            <w:pPr>
              <w:ind w:left="198"/>
              <w:rPr>
                <w:rFonts w:eastAsia="Times New Roman"/>
                <w:sz w:val="16"/>
                <w:szCs w:val="16"/>
              </w:rPr>
            </w:pPr>
            <w:r>
              <w:rPr>
                <w:rFonts w:eastAsia="Times New Roman"/>
                <w:color w:val="000000"/>
                <w:sz w:val="16"/>
                <w:szCs w:val="16"/>
              </w:rPr>
              <w:t>Mant</w:t>
            </w:r>
            <w:r w:rsidR="0044351D">
              <w:rPr>
                <w:rFonts w:eastAsia="Times New Roman"/>
                <w:color w:val="000000"/>
                <w:sz w:val="16"/>
                <w:szCs w:val="16"/>
              </w:rPr>
              <w:t>e</w:t>
            </w:r>
            <w:r>
              <w:rPr>
                <w:rFonts w:eastAsia="Times New Roman"/>
                <w:color w:val="000000"/>
                <w:sz w:val="16"/>
                <w:szCs w:val="16"/>
              </w:rPr>
              <w:t>n</w:t>
            </w:r>
            <w:r w:rsidR="0044351D">
              <w:rPr>
                <w:rFonts w:eastAsia="Times New Roman"/>
                <w:color w:val="000000"/>
                <w:sz w:val="16"/>
                <w:szCs w:val="16"/>
              </w:rPr>
              <w:t>erse en</w:t>
            </w:r>
            <w:r>
              <w:rPr>
                <w:rFonts w:eastAsia="Times New Roman"/>
                <w:color w:val="000000"/>
                <w:sz w:val="16"/>
                <w:szCs w:val="16"/>
              </w:rPr>
              <w:t xml:space="preserve"> 95%</w:t>
            </w:r>
            <w:r w:rsidR="0044351D">
              <w:rPr>
                <w:rFonts w:eastAsia="Times New Roman"/>
                <w:color w:val="000000"/>
                <w:sz w:val="16"/>
                <w:szCs w:val="16"/>
              </w:rPr>
              <w:t>.</w:t>
            </w:r>
          </w:p>
          <w:p w:rsidR="008E6FDE" w:rsidRDefault="008E6FDE" w:rsidP="00C97D8A">
            <w:pPr>
              <w:ind w:left="198"/>
              <w:rPr>
                <w:rFonts w:eastAsia="Times New Roman"/>
                <w:sz w:val="16"/>
                <w:szCs w:val="16"/>
              </w:rPr>
            </w:pPr>
          </w:p>
          <w:p w:rsidR="008E6FDE" w:rsidRDefault="008E6FDE" w:rsidP="00C97D8A">
            <w:pPr>
              <w:ind w:left="198"/>
              <w:rPr>
                <w:rFonts w:eastAsia="Times New Roman"/>
                <w:sz w:val="16"/>
                <w:szCs w:val="16"/>
              </w:rPr>
            </w:pPr>
          </w:p>
          <w:p w:rsidR="00DB3008" w:rsidRDefault="00DB3008" w:rsidP="00C97D8A">
            <w:pPr>
              <w:ind w:left="198"/>
              <w:rPr>
                <w:rFonts w:eastAsia="Times New Roman"/>
                <w:sz w:val="16"/>
                <w:szCs w:val="16"/>
              </w:rPr>
            </w:pPr>
          </w:p>
          <w:p w:rsidR="00DB3008" w:rsidRDefault="00DB3008" w:rsidP="00C97D8A">
            <w:pPr>
              <w:ind w:left="198"/>
              <w:rPr>
                <w:rFonts w:eastAsia="Times New Roman"/>
                <w:sz w:val="16"/>
                <w:szCs w:val="16"/>
              </w:rPr>
            </w:pPr>
            <w:r>
              <w:rPr>
                <w:rFonts w:eastAsia="Times New Roman"/>
                <w:color w:val="000000"/>
                <w:sz w:val="16"/>
                <w:szCs w:val="16"/>
              </w:rPr>
              <w:t>90%</w:t>
            </w:r>
          </w:p>
          <w:p w:rsidR="00DB3008" w:rsidRDefault="00DB3008" w:rsidP="00C97D8A">
            <w:pPr>
              <w:ind w:left="198"/>
              <w:rPr>
                <w:rFonts w:eastAsia="Times New Roman"/>
                <w:sz w:val="16"/>
                <w:szCs w:val="16"/>
              </w:rPr>
            </w:pPr>
          </w:p>
          <w:p w:rsidR="00DB3008" w:rsidRDefault="00DB3008" w:rsidP="00C97D8A">
            <w:pPr>
              <w:ind w:left="198"/>
              <w:rPr>
                <w:rFonts w:eastAsia="Times New Roman"/>
                <w:sz w:val="16"/>
                <w:szCs w:val="16"/>
              </w:rPr>
            </w:pPr>
          </w:p>
          <w:p w:rsidR="0044351D" w:rsidRDefault="0044351D" w:rsidP="00C97D8A">
            <w:pPr>
              <w:ind w:left="198"/>
              <w:rPr>
                <w:rFonts w:eastAsia="Times New Roman"/>
                <w:sz w:val="16"/>
                <w:szCs w:val="16"/>
              </w:rPr>
            </w:pPr>
          </w:p>
          <w:p w:rsidR="0044351D" w:rsidRDefault="0044351D" w:rsidP="00C97D8A">
            <w:pPr>
              <w:ind w:left="198"/>
              <w:rPr>
                <w:rFonts w:eastAsia="Times New Roman"/>
                <w:sz w:val="16"/>
                <w:szCs w:val="16"/>
              </w:rPr>
            </w:pPr>
          </w:p>
          <w:p w:rsidR="0051477B" w:rsidRPr="00073668" w:rsidRDefault="0051477B" w:rsidP="00C97D8A">
            <w:pPr>
              <w:ind w:left="198"/>
              <w:rPr>
                <w:rFonts w:eastAsia="Times New Roman"/>
                <w:sz w:val="16"/>
                <w:szCs w:val="16"/>
              </w:rPr>
            </w:pPr>
            <w:r w:rsidRPr="00073668">
              <w:rPr>
                <w:rFonts w:eastAsia="Times New Roman"/>
                <w:sz w:val="16"/>
                <w:szCs w:val="16"/>
              </w:rPr>
              <w:t>A.  Se mantienen las emisiones de carbono y de gases de efecto invernadero en los niveles existentes al final de 2015.</w:t>
            </w:r>
            <w:r w:rsidRPr="00073668">
              <w:rPr>
                <w:rFonts w:eastAsia="Times New Roman"/>
                <w:sz w:val="16"/>
                <w:szCs w:val="16"/>
              </w:rPr>
              <w:br/>
              <w:t>B.  Aplicación de medidas al final de 2017 para mantener el consumo energético en los niveles existentes al final de 2015 y de condiciones atmosféricas comparables (para electricidad, agua, gas y combustible para calefacción).</w:t>
            </w:r>
          </w:p>
        </w:tc>
      </w:tr>
      <w:tr w:rsidR="0051477B" w:rsidRPr="00073668" w:rsidTr="00DB3008">
        <w:trPr>
          <w:trHeight w:val="1719"/>
        </w:trPr>
        <w:tc>
          <w:tcPr>
            <w:tcW w:w="2320" w:type="dxa"/>
            <w:tcBorders>
              <w:left w:val="single" w:sz="4" w:space="0" w:color="auto"/>
              <w:bottom w:val="single" w:sz="4" w:space="0" w:color="auto"/>
              <w:right w:val="nil"/>
            </w:tcBorders>
            <w:shd w:val="clear" w:color="000000" w:fill="FFFFFF"/>
            <w:tcMar>
              <w:top w:w="85" w:type="dxa"/>
            </w:tcMar>
          </w:tcPr>
          <w:p w:rsidR="0051477B" w:rsidRPr="00073668" w:rsidRDefault="0051477B" w:rsidP="00C97D8A">
            <w:pPr>
              <w:rPr>
                <w:rFonts w:eastAsia="Times New Roman"/>
                <w:sz w:val="16"/>
                <w:szCs w:val="16"/>
              </w:rPr>
            </w:pPr>
          </w:p>
        </w:tc>
        <w:tc>
          <w:tcPr>
            <w:tcW w:w="2320" w:type="dxa"/>
            <w:tcBorders>
              <w:left w:val="nil"/>
              <w:bottom w:val="single" w:sz="4" w:space="0" w:color="auto"/>
              <w:right w:val="nil"/>
            </w:tcBorders>
            <w:shd w:val="clear" w:color="000000" w:fill="FFFFFF"/>
            <w:tcMar>
              <w:top w:w="85" w:type="dxa"/>
            </w:tcMar>
          </w:tcPr>
          <w:p w:rsidR="0051477B" w:rsidRPr="00073668" w:rsidRDefault="0051477B" w:rsidP="00C97D8A">
            <w:pPr>
              <w:ind w:left="281"/>
              <w:rPr>
                <w:rFonts w:eastAsia="Times New Roman"/>
                <w:sz w:val="16"/>
                <w:szCs w:val="16"/>
              </w:rPr>
            </w:pPr>
            <w:r w:rsidRPr="00073668">
              <w:rPr>
                <w:rFonts w:eastAsia="Times New Roman"/>
                <w:sz w:val="16"/>
                <w:szCs w:val="16"/>
              </w:rPr>
              <w:t xml:space="preserve">Mejora de la accesibilidad al recinto de la OMPI. </w:t>
            </w:r>
          </w:p>
        </w:tc>
        <w:tc>
          <w:tcPr>
            <w:tcW w:w="2440" w:type="dxa"/>
            <w:tcBorders>
              <w:left w:val="nil"/>
              <w:bottom w:val="single" w:sz="4" w:space="0" w:color="auto"/>
              <w:right w:val="nil"/>
            </w:tcBorders>
            <w:shd w:val="clear" w:color="000000" w:fill="FFFFFF"/>
            <w:tcMar>
              <w:top w:w="85" w:type="dxa"/>
            </w:tcMar>
          </w:tcPr>
          <w:p w:rsidR="0051477B" w:rsidRPr="00073668" w:rsidRDefault="0051477B" w:rsidP="00C97D8A">
            <w:pPr>
              <w:ind w:left="229"/>
              <w:rPr>
                <w:rFonts w:eastAsia="Times New Roman"/>
                <w:sz w:val="16"/>
                <w:szCs w:val="16"/>
              </w:rPr>
            </w:pPr>
            <w:r w:rsidRPr="00073668">
              <w:rPr>
                <w:rFonts w:eastAsia="Times New Roman"/>
                <w:sz w:val="16"/>
                <w:szCs w:val="16"/>
              </w:rPr>
              <w:t>Recomendaciones contenidas en la auditoría de accesibilidad física.</w:t>
            </w:r>
          </w:p>
        </w:tc>
        <w:tc>
          <w:tcPr>
            <w:tcW w:w="2149" w:type="dxa"/>
            <w:tcBorders>
              <w:left w:val="nil"/>
              <w:bottom w:val="single" w:sz="4" w:space="0" w:color="auto"/>
              <w:right w:val="single" w:sz="4" w:space="0" w:color="auto"/>
            </w:tcBorders>
            <w:shd w:val="clear" w:color="000000" w:fill="FFFFFF"/>
            <w:tcMar>
              <w:top w:w="85" w:type="dxa"/>
            </w:tcMar>
          </w:tcPr>
          <w:p w:rsidR="0051477B" w:rsidRPr="00073668" w:rsidRDefault="0051477B" w:rsidP="00C97D8A">
            <w:pPr>
              <w:ind w:left="198"/>
              <w:rPr>
                <w:rFonts w:eastAsia="Times New Roman"/>
                <w:sz w:val="16"/>
                <w:szCs w:val="16"/>
              </w:rPr>
            </w:pPr>
            <w:r w:rsidRPr="00073668">
              <w:rPr>
                <w:rFonts w:eastAsia="Times New Roman"/>
                <w:sz w:val="16"/>
                <w:szCs w:val="16"/>
              </w:rPr>
              <w:t xml:space="preserve">Aplicación de las siguientes medidas al final de 2017: </w:t>
            </w:r>
            <w:r w:rsidRPr="00073668">
              <w:rPr>
                <w:rFonts w:eastAsia="Times New Roman"/>
                <w:sz w:val="16"/>
                <w:szCs w:val="16"/>
              </w:rPr>
              <w:br/>
              <w:t xml:space="preserve">1. </w:t>
            </w:r>
            <w:proofErr w:type="gramStart"/>
            <w:r w:rsidRPr="00073668">
              <w:rPr>
                <w:rFonts w:eastAsia="Times New Roman"/>
                <w:sz w:val="16"/>
                <w:szCs w:val="16"/>
              </w:rPr>
              <w:t>lectores</w:t>
            </w:r>
            <w:proofErr w:type="gramEnd"/>
            <w:r w:rsidRPr="00073668">
              <w:rPr>
                <w:rFonts w:eastAsia="Times New Roman"/>
                <w:sz w:val="16"/>
                <w:szCs w:val="16"/>
              </w:rPr>
              <w:t xml:space="preserve"> de pases en los niveles necesarios para las personas con discapacidad; </w:t>
            </w:r>
            <w:r w:rsidRPr="00073668">
              <w:rPr>
                <w:rFonts w:eastAsia="Times New Roman"/>
                <w:sz w:val="16"/>
                <w:szCs w:val="16"/>
              </w:rPr>
              <w:br/>
              <w:t xml:space="preserve">2. </w:t>
            </w:r>
            <w:proofErr w:type="gramStart"/>
            <w:r w:rsidRPr="00073668">
              <w:rPr>
                <w:rFonts w:eastAsia="Times New Roman"/>
                <w:sz w:val="16"/>
                <w:szCs w:val="16"/>
              </w:rPr>
              <w:t>barreras</w:t>
            </w:r>
            <w:proofErr w:type="gramEnd"/>
            <w:r w:rsidRPr="00073668">
              <w:rPr>
                <w:rFonts w:eastAsia="Times New Roman"/>
                <w:sz w:val="16"/>
                <w:szCs w:val="16"/>
              </w:rPr>
              <w:t xml:space="preserve"> de seguridad, cuando sea necesario.</w:t>
            </w:r>
            <w:r w:rsidR="00BA58A3">
              <w:rPr>
                <w:rFonts w:eastAsia="Times New Roman"/>
                <w:sz w:val="16"/>
                <w:szCs w:val="16"/>
              </w:rPr>
              <w:br/>
            </w:r>
          </w:p>
        </w:tc>
      </w:tr>
    </w:tbl>
    <w:p w:rsidR="0051477B" w:rsidRPr="00073668" w:rsidRDefault="0051477B" w:rsidP="0051477B">
      <w:pPr>
        <w:pStyle w:val="ListParagraph"/>
        <w:tabs>
          <w:tab w:val="left" w:pos="709"/>
        </w:tabs>
        <w:ind w:left="0"/>
        <w:jc w:val="both"/>
        <w:rPr>
          <w:rFonts w:ascii="Arial" w:hAnsi="Arial" w:cs="Arial"/>
          <w:sz w:val="20"/>
          <w:lang w:val="es-ES"/>
        </w:rPr>
      </w:pPr>
    </w:p>
    <w:p w:rsidR="0051477B" w:rsidRPr="00073668" w:rsidRDefault="0051477B" w:rsidP="0051477B">
      <w:pPr>
        <w:pStyle w:val="ListParagraph"/>
        <w:tabs>
          <w:tab w:val="left" w:pos="709"/>
        </w:tabs>
        <w:ind w:left="0"/>
        <w:jc w:val="both"/>
        <w:rPr>
          <w:rFonts w:ascii="Arial" w:hAnsi="Arial" w:cs="Arial"/>
          <w:sz w:val="20"/>
          <w:lang w:val="es-ES"/>
        </w:rPr>
      </w:pPr>
    </w:p>
    <w:p w:rsidR="00DB3008" w:rsidRDefault="00DB3008">
      <w:pPr>
        <w:rPr>
          <w:rFonts w:eastAsiaTheme="minorEastAsia"/>
          <w:szCs w:val="22"/>
          <w:lang w:eastAsia="ja-JP"/>
        </w:rPr>
      </w:pPr>
      <w:r>
        <w:br w:type="page"/>
      </w:r>
    </w:p>
    <w:p w:rsidR="0051477B" w:rsidRDefault="0051477B" w:rsidP="0051477B">
      <w:pPr>
        <w:pStyle w:val="ListParagraph"/>
        <w:tabs>
          <w:tab w:val="left" w:pos="709"/>
        </w:tabs>
        <w:ind w:left="0"/>
        <w:jc w:val="both"/>
        <w:rPr>
          <w:rFonts w:ascii="Arial" w:hAnsi="Arial" w:cs="Arial"/>
          <w:lang w:val="es-ES"/>
        </w:rPr>
      </w:pPr>
      <w:r w:rsidRPr="00073668">
        <w:rPr>
          <w:rFonts w:ascii="Arial" w:hAnsi="Arial" w:cs="Arial"/>
          <w:lang w:val="es-ES"/>
        </w:rPr>
        <w:lastRenderedPageBreak/>
        <w:t>RECURSOS PARA EL PROGRAMA 24</w:t>
      </w:r>
    </w:p>
    <w:p w:rsidR="00DB3008" w:rsidRDefault="00DB3008" w:rsidP="0051477B">
      <w:pPr>
        <w:pStyle w:val="ListParagraph"/>
        <w:tabs>
          <w:tab w:val="left" w:pos="709"/>
        </w:tabs>
        <w:ind w:left="0"/>
        <w:jc w:val="both"/>
        <w:rPr>
          <w:rFonts w:ascii="Arial" w:hAnsi="Arial" w:cs="Arial"/>
          <w:lang w:val="es-ES"/>
        </w:rPr>
      </w:pPr>
    </w:p>
    <w:p w:rsidR="00DB3008" w:rsidRPr="001744A9" w:rsidRDefault="001744A9" w:rsidP="001744A9">
      <w:pPr>
        <w:pStyle w:val="ListParagraph"/>
        <w:numPr>
          <w:ilvl w:val="0"/>
          <w:numId w:val="45"/>
        </w:numPr>
        <w:tabs>
          <w:tab w:val="left" w:pos="709"/>
        </w:tabs>
        <w:ind w:left="0" w:firstLine="0"/>
        <w:contextualSpacing w:val="0"/>
        <w:jc w:val="both"/>
        <w:rPr>
          <w:rFonts w:ascii="Arial" w:hAnsi="Arial" w:cs="Arial"/>
          <w:color w:val="000000"/>
          <w:sz w:val="20"/>
          <w:szCs w:val="20"/>
          <w:lang w:val="es-ES"/>
        </w:rPr>
      </w:pPr>
      <w:r w:rsidRPr="001744A9">
        <w:rPr>
          <w:rFonts w:ascii="Arial" w:hAnsi="Arial" w:cs="Arial"/>
          <w:sz w:val="20"/>
          <w:szCs w:val="20"/>
          <w:lang w:val="es-ES"/>
        </w:rPr>
        <w:t>Puede observarse una ligera disminución en el total de la dotación de recursos para 2016/17 con respecto al presupuesto de 2014/</w:t>
      </w:r>
      <w:r w:rsidR="00ED0A05">
        <w:rPr>
          <w:rFonts w:ascii="Arial" w:hAnsi="Arial" w:cs="Arial"/>
          <w:sz w:val="20"/>
          <w:szCs w:val="20"/>
          <w:lang w:val="es-ES"/>
        </w:rPr>
        <w:t>15 tras las</w:t>
      </w:r>
      <w:r w:rsidRPr="001744A9">
        <w:rPr>
          <w:rFonts w:ascii="Arial" w:hAnsi="Arial" w:cs="Arial"/>
          <w:sz w:val="20"/>
          <w:szCs w:val="20"/>
          <w:lang w:val="es-ES"/>
        </w:rPr>
        <w:t xml:space="preserve"> transferencias.  La disminución neta en los recursos de personal se debe a una combinación de los incrementos reglamentarios así como a la transferencia de tres puestos a otros programas.  El ligero aumento en los recursos </w:t>
      </w:r>
      <w:r w:rsidR="00DE0A62">
        <w:rPr>
          <w:rFonts w:ascii="Arial" w:hAnsi="Arial" w:cs="Arial"/>
          <w:sz w:val="20"/>
          <w:szCs w:val="20"/>
          <w:lang w:val="es-ES"/>
        </w:rPr>
        <w:t>no relativos a personal</w:t>
      </w:r>
      <w:r w:rsidRPr="001744A9">
        <w:rPr>
          <w:rFonts w:ascii="Arial" w:hAnsi="Arial" w:cs="Arial"/>
          <w:sz w:val="20"/>
          <w:szCs w:val="20"/>
          <w:lang w:val="es-ES"/>
        </w:rPr>
        <w:t xml:space="preserve"> es el resultado neto de, por una parte, los recursos adicionales previstos para las mejoras de los edificios de la OMPI y las obras relacionadas con la infraestructura de la unidad médica y, por otra parte, los ahorros previstos relacionados con el estacionamiento para el personal de la OMPI y una reducción de 2 millones de francos suizos correspondiente a la asignación del pago de intereses sobre el préstamo del nuevo edificio, con respecto a la asignación en el presupuesto aprobado de 2014/15.</w:t>
      </w:r>
    </w:p>
    <w:p w:rsidR="00DB3008" w:rsidRPr="001744A9" w:rsidRDefault="00DB3008" w:rsidP="001744A9">
      <w:pPr>
        <w:pStyle w:val="NormalWeb"/>
        <w:shd w:val="clear" w:color="auto" w:fill="FFFFFF"/>
        <w:jc w:val="both"/>
        <w:rPr>
          <w:rFonts w:ascii="Arial" w:hAnsi="Arial" w:cs="Arial"/>
          <w:color w:val="000000"/>
          <w:sz w:val="20"/>
          <w:szCs w:val="20"/>
          <w:lang w:val="es-ES"/>
        </w:rPr>
      </w:pPr>
    </w:p>
    <w:p w:rsidR="00DB3008" w:rsidRPr="001744A9" w:rsidRDefault="001744A9" w:rsidP="001744A9">
      <w:pPr>
        <w:pStyle w:val="ListParagraph"/>
        <w:numPr>
          <w:ilvl w:val="0"/>
          <w:numId w:val="45"/>
        </w:numPr>
        <w:tabs>
          <w:tab w:val="left" w:pos="709"/>
        </w:tabs>
        <w:ind w:left="0" w:firstLine="0"/>
        <w:contextualSpacing w:val="0"/>
        <w:jc w:val="both"/>
        <w:rPr>
          <w:rFonts w:ascii="Arial" w:eastAsia="Times New Roman" w:hAnsi="Arial" w:cs="Arial"/>
          <w:color w:val="000000"/>
          <w:sz w:val="20"/>
          <w:szCs w:val="20"/>
          <w:lang w:val="es-ES"/>
        </w:rPr>
      </w:pPr>
      <w:r w:rsidRPr="001744A9">
        <w:rPr>
          <w:rFonts w:ascii="Arial" w:hAnsi="Arial" w:cs="Arial"/>
          <w:sz w:val="20"/>
          <w:szCs w:val="20"/>
          <w:lang w:val="es-ES"/>
        </w:rPr>
        <w:t>La reducción en el marco del resultado previsto VIII.5 se debe a una disminución general en la consignación de recursos de personal a este resultado debido a la transferencia al programa 22 de las responsabilidades correspondientes a los servicios en común con las NN.UU.  El incremento neto en el marco del resultado previsto IX.1 se debe principalmente al aumento en los recursos de personal para apoyar a la Junta de Apelaciones de la OMPI, que es una responsabilidad nueva en el programa.  La reducción en el marco del resultado previsto IX.4 refleja la consecución del proyecto de las medidas de seguridad relativas a las normas mínimas operativas de seguridad para las sedes de las NN.UU. en el bienio 2014/15 y la disminución resultante en los recursos de personal.</w:t>
      </w:r>
    </w:p>
    <w:p w:rsidR="00DB3008" w:rsidRPr="001744A9" w:rsidRDefault="00DB3008" w:rsidP="0051477B">
      <w:pPr>
        <w:pStyle w:val="ListParagraph"/>
        <w:tabs>
          <w:tab w:val="left" w:pos="709"/>
        </w:tabs>
        <w:ind w:left="0"/>
        <w:jc w:val="both"/>
        <w:rPr>
          <w:rFonts w:ascii="Arial" w:hAnsi="Arial" w:cs="Arial"/>
          <w:lang w:val="es-ES"/>
        </w:rPr>
      </w:pPr>
    </w:p>
    <w:p w:rsidR="0051477B" w:rsidRPr="001744A9" w:rsidRDefault="0051477B" w:rsidP="0051477B">
      <w:pPr>
        <w:pStyle w:val="ListParagraph"/>
        <w:tabs>
          <w:tab w:val="left" w:pos="709"/>
        </w:tabs>
        <w:ind w:left="0"/>
        <w:jc w:val="both"/>
        <w:rPr>
          <w:rFonts w:ascii="Arial" w:hAnsi="Arial" w:cs="Arial"/>
          <w:sz w:val="20"/>
          <w:lang w:val="es-ES"/>
        </w:rPr>
      </w:pPr>
    </w:p>
    <w:p w:rsidR="0051477B" w:rsidRPr="00073668" w:rsidRDefault="00810833" w:rsidP="0051477B">
      <w:pPr>
        <w:tabs>
          <w:tab w:val="left" w:pos="1427"/>
        </w:tabs>
        <w:jc w:val="center"/>
        <w:rPr>
          <w:rFonts w:eastAsiaTheme="minorEastAsia"/>
          <w:sz w:val="20"/>
        </w:rPr>
      </w:pPr>
      <w:r>
        <w:rPr>
          <w:rFonts w:eastAsiaTheme="minorEastAsia"/>
          <w:b/>
          <w:sz w:val="20"/>
        </w:rPr>
        <w:t xml:space="preserve">Programa </w:t>
      </w:r>
      <w:r w:rsidR="0051477B" w:rsidRPr="00073668">
        <w:rPr>
          <w:rFonts w:eastAsiaTheme="minorEastAsia"/>
          <w:b/>
          <w:sz w:val="20"/>
        </w:rPr>
        <w:t>24</w:t>
      </w:r>
      <w:proofErr w:type="gramStart"/>
      <w:r w:rsidR="0051477B" w:rsidRPr="00073668">
        <w:rPr>
          <w:rFonts w:eastAsiaTheme="minorEastAsia"/>
          <w:b/>
          <w:sz w:val="20"/>
        </w:rPr>
        <w:t>:  Recursos</w:t>
      </w:r>
      <w:proofErr w:type="gramEnd"/>
      <w:r w:rsidR="0051477B" w:rsidRPr="00073668">
        <w:rPr>
          <w:rFonts w:eastAsiaTheme="minorEastAsia"/>
          <w:b/>
          <w:sz w:val="20"/>
        </w:rPr>
        <w:t xml:space="preserve"> por resultado</w:t>
      </w:r>
    </w:p>
    <w:p w:rsidR="0051477B" w:rsidRPr="00073668" w:rsidRDefault="0051477B" w:rsidP="0051477B">
      <w:pPr>
        <w:tabs>
          <w:tab w:val="left" w:pos="1427"/>
        </w:tabs>
        <w:jc w:val="center"/>
        <w:rPr>
          <w:rFonts w:eastAsiaTheme="minorEastAsia"/>
          <w:i/>
          <w:sz w:val="20"/>
          <w:szCs w:val="24"/>
          <w:lang w:eastAsia="ja-JP"/>
        </w:rPr>
      </w:pPr>
      <w:r w:rsidRPr="00073668">
        <w:rPr>
          <w:rFonts w:eastAsiaTheme="minorEastAsia"/>
          <w:i/>
          <w:sz w:val="20"/>
          <w:szCs w:val="24"/>
          <w:lang w:eastAsia="ja-JP"/>
        </w:rPr>
        <w:t>(</w:t>
      </w:r>
      <w:proofErr w:type="gramStart"/>
      <w:r w:rsidRPr="00073668">
        <w:rPr>
          <w:rFonts w:eastAsiaTheme="minorEastAsia"/>
          <w:i/>
          <w:sz w:val="20"/>
          <w:szCs w:val="24"/>
          <w:lang w:eastAsia="ja-JP"/>
        </w:rPr>
        <w:t>en</w:t>
      </w:r>
      <w:proofErr w:type="gramEnd"/>
      <w:r w:rsidRPr="00073668">
        <w:rPr>
          <w:rFonts w:eastAsiaTheme="minorEastAsia"/>
          <w:i/>
          <w:sz w:val="20"/>
          <w:szCs w:val="24"/>
          <w:lang w:eastAsia="ja-JP"/>
        </w:rPr>
        <w:t xml:space="preserve"> miles de francos suizos)</w:t>
      </w:r>
    </w:p>
    <w:p w:rsidR="0051477B" w:rsidRPr="00073668" w:rsidRDefault="0051477B" w:rsidP="0051477B">
      <w:pPr>
        <w:pStyle w:val="ListParagraph"/>
        <w:tabs>
          <w:tab w:val="left" w:pos="709"/>
        </w:tabs>
        <w:ind w:left="0"/>
        <w:jc w:val="both"/>
        <w:rPr>
          <w:rFonts w:ascii="Arial" w:hAnsi="Arial" w:cs="Arial"/>
          <w:sz w:val="20"/>
          <w:lang w:val="es-ES"/>
        </w:rPr>
      </w:pPr>
    </w:p>
    <w:p w:rsidR="0051477B" w:rsidRPr="00073668" w:rsidRDefault="00BA58A3" w:rsidP="0051477B">
      <w:pPr>
        <w:pStyle w:val="ListParagraph"/>
        <w:tabs>
          <w:tab w:val="left" w:pos="709"/>
        </w:tabs>
        <w:ind w:left="0" w:hanging="142"/>
        <w:jc w:val="center"/>
        <w:rPr>
          <w:rFonts w:ascii="Arial" w:hAnsi="Arial" w:cs="Arial"/>
          <w:sz w:val="20"/>
          <w:lang w:val="es-ES"/>
        </w:rPr>
      </w:pPr>
      <w:r w:rsidRPr="00BA58A3">
        <w:rPr>
          <w:noProof/>
          <w:lang w:eastAsia="en-US"/>
        </w:rPr>
        <w:drawing>
          <wp:inline distT="0" distB="0" distL="0" distR="0">
            <wp:extent cx="5677535" cy="242506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677535" cy="2425065"/>
                    </a:xfrm>
                    <a:prstGeom prst="rect">
                      <a:avLst/>
                    </a:prstGeom>
                    <a:noFill/>
                    <a:ln>
                      <a:noFill/>
                    </a:ln>
                  </pic:spPr>
                </pic:pic>
              </a:graphicData>
            </a:graphic>
          </wp:inline>
        </w:drawing>
      </w:r>
    </w:p>
    <w:p w:rsidR="0051477B" w:rsidRPr="00073668" w:rsidRDefault="0051477B" w:rsidP="0051477B">
      <w:pPr>
        <w:pStyle w:val="ListParagraph"/>
        <w:tabs>
          <w:tab w:val="left" w:pos="709"/>
        </w:tabs>
        <w:ind w:left="0"/>
        <w:jc w:val="both"/>
        <w:rPr>
          <w:rFonts w:ascii="Arial" w:hAnsi="Arial" w:cs="Arial"/>
          <w:sz w:val="20"/>
          <w:lang w:val="es-ES"/>
        </w:rPr>
      </w:pPr>
    </w:p>
    <w:p w:rsidR="0051477B" w:rsidRPr="00073668" w:rsidRDefault="0051477B" w:rsidP="0051477B">
      <w:pPr>
        <w:tabs>
          <w:tab w:val="left" w:pos="1427"/>
        </w:tabs>
        <w:jc w:val="center"/>
        <w:rPr>
          <w:rFonts w:eastAsiaTheme="minorEastAsia"/>
          <w:b/>
          <w:sz w:val="20"/>
          <w:szCs w:val="24"/>
          <w:lang w:eastAsia="ja-JP"/>
        </w:rPr>
      </w:pPr>
    </w:p>
    <w:p w:rsidR="0051477B" w:rsidRPr="00073668" w:rsidRDefault="0051477B" w:rsidP="0051477B">
      <w:pPr>
        <w:tabs>
          <w:tab w:val="left" w:pos="1427"/>
        </w:tabs>
        <w:jc w:val="center"/>
        <w:rPr>
          <w:rFonts w:eastAsiaTheme="minorEastAsia"/>
          <w:b/>
          <w:sz w:val="20"/>
          <w:szCs w:val="24"/>
          <w:lang w:eastAsia="ja-JP"/>
        </w:rPr>
      </w:pPr>
    </w:p>
    <w:p w:rsidR="0051477B" w:rsidRPr="00073668" w:rsidRDefault="0051477B" w:rsidP="0051477B">
      <w:pPr>
        <w:keepNext/>
        <w:keepLines/>
        <w:tabs>
          <w:tab w:val="left" w:pos="1427"/>
        </w:tabs>
        <w:jc w:val="center"/>
        <w:rPr>
          <w:rFonts w:eastAsiaTheme="minorEastAsia"/>
          <w:sz w:val="20"/>
        </w:rPr>
      </w:pPr>
      <w:r w:rsidRPr="00073668">
        <w:rPr>
          <w:rFonts w:eastAsiaTheme="minorEastAsia"/>
          <w:b/>
          <w:sz w:val="20"/>
        </w:rPr>
        <w:lastRenderedPageBreak/>
        <w:t>Programa 24</w:t>
      </w:r>
      <w:proofErr w:type="gramStart"/>
      <w:r w:rsidRPr="00073668">
        <w:rPr>
          <w:rFonts w:eastAsiaTheme="minorEastAsia"/>
          <w:b/>
          <w:sz w:val="20"/>
        </w:rPr>
        <w:t>:  Recursos</w:t>
      </w:r>
      <w:proofErr w:type="gramEnd"/>
      <w:r w:rsidRPr="00073668">
        <w:rPr>
          <w:rFonts w:eastAsiaTheme="minorEastAsia"/>
          <w:b/>
          <w:sz w:val="20"/>
        </w:rPr>
        <w:t xml:space="preserve"> por objeto de gasto</w:t>
      </w:r>
    </w:p>
    <w:p w:rsidR="0051477B" w:rsidRPr="00073668" w:rsidRDefault="0051477B" w:rsidP="0051477B">
      <w:pPr>
        <w:keepNext/>
        <w:keepLines/>
        <w:tabs>
          <w:tab w:val="left" w:pos="1427"/>
        </w:tabs>
        <w:jc w:val="center"/>
        <w:rPr>
          <w:rFonts w:eastAsiaTheme="minorEastAsia"/>
          <w:i/>
          <w:sz w:val="20"/>
          <w:szCs w:val="24"/>
          <w:lang w:eastAsia="ja-JP"/>
        </w:rPr>
      </w:pPr>
      <w:r w:rsidRPr="00073668">
        <w:rPr>
          <w:rFonts w:eastAsiaTheme="minorEastAsia"/>
          <w:i/>
          <w:sz w:val="20"/>
          <w:szCs w:val="24"/>
          <w:lang w:eastAsia="ja-JP"/>
        </w:rPr>
        <w:t>(</w:t>
      </w:r>
      <w:proofErr w:type="gramStart"/>
      <w:r w:rsidRPr="00073668">
        <w:rPr>
          <w:rFonts w:eastAsiaTheme="minorEastAsia"/>
          <w:i/>
          <w:sz w:val="20"/>
          <w:szCs w:val="24"/>
          <w:lang w:eastAsia="ja-JP"/>
        </w:rPr>
        <w:t>en</w:t>
      </w:r>
      <w:proofErr w:type="gramEnd"/>
      <w:r w:rsidRPr="00073668">
        <w:rPr>
          <w:rFonts w:eastAsiaTheme="minorEastAsia"/>
          <w:i/>
          <w:sz w:val="20"/>
          <w:szCs w:val="24"/>
          <w:lang w:eastAsia="ja-JP"/>
        </w:rPr>
        <w:t xml:space="preserve"> miles de francos suizos)</w:t>
      </w:r>
    </w:p>
    <w:p w:rsidR="0051477B" w:rsidRPr="00073668" w:rsidRDefault="0051477B" w:rsidP="0051477B">
      <w:pPr>
        <w:pStyle w:val="ListParagraph"/>
        <w:keepNext/>
        <w:keepLines/>
        <w:tabs>
          <w:tab w:val="left" w:pos="709"/>
        </w:tabs>
        <w:ind w:left="0"/>
        <w:jc w:val="both"/>
        <w:rPr>
          <w:rFonts w:ascii="Arial" w:hAnsi="Arial" w:cs="Arial"/>
          <w:sz w:val="20"/>
          <w:lang w:val="es-ES"/>
        </w:rPr>
      </w:pPr>
    </w:p>
    <w:p w:rsidR="0051477B" w:rsidRPr="00073668" w:rsidRDefault="00835617" w:rsidP="0051477B">
      <w:pPr>
        <w:pStyle w:val="ListParagraph"/>
        <w:tabs>
          <w:tab w:val="left" w:pos="709"/>
        </w:tabs>
        <w:ind w:left="0" w:hanging="142"/>
        <w:jc w:val="center"/>
        <w:rPr>
          <w:rFonts w:ascii="Arial" w:hAnsi="Arial" w:cs="Arial"/>
          <w:sz w:val="20"/>
          <w:lang w:val="es-ES"/>
        </w:rPr>
      </w:pPr>
      <w:r>
        <w:rPr>
          <w:noProof/>
          <w:lang w:eastAsia="en-US"/>
        </w:rPr>
        <w:drawing>
          <wp:inline distT="0" distB="0" distL="0" distR="0" wp14:anchorId="536267DF" wp14:editId="0137CA88">
            <wp:extent cx="5940425" cy="6128285"/>
            <wp:effectExtent l="0" t="0" r="3175" b="635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940425" cy="6128285"/>
                    </a:xfrm>
                    <a:prstGeom prst="rect">
                      <a:avLst/>
                    </a:prstGeom>
                    <a:noFill/>
                    <a:ln>
                      <a:noFill/>
                    </a:ln>
                  </pic:spPr>
                </pic:pic>
              </a:graphicData>
            </a:graphic>
          </wp:inline>
        </w:drawing>
      </w:r>
    </w:p>
    <w:p w:rsidR="0051477B" w:rsidRPr="00073668" w:rsidRDefault="0051477B" w:rsidP="0051477B">
      <w:pPr>
        <w:pStyle w:val="ListParagraph"/>
        <w:tabs>
          <w:tab w:val="left" w:pos="709"/>
        </w:tabs>
        <w:ind w:left="0" w:hanging="142"/>
        <w:rPr>
          <w:rFonts w:ascii="Arial" w:hAnsi="Arial" w:cs="Arial"/>
          <w:sz w:val="20"/>
          <w:lang w:val="es-ES"/>
        </w:rPr>
      </w:pPr>
    </w:p>
    <w:p w:rsidR="0051477B" w:rsidRPr="00073668" w:rsidRDefault="0051477B" w:rsidP="0051477B">
      <w:pPr>
        <w:pStyle w:val="ListParagraph"/>
        <w:tabs>
          <w:tab w:val="left" w:pos="709"/>
        </w:tabs>
        <w:ind w:left="0" w:hanging="142"/>
        <w:rPr>
          <w:rFonts w:ascii="Arial" w:hAnsi="Arial" w:cs="Arial"/>
          <w:sz w:val="20"/>
          <w:lang w:val="es-ES"/>
        </w:rPr>
      </w:pPr>
    </w:p>
    <w:p w:rsidR="00BF536B" w:rsidRDefault="00BF536B">
      <w:pPr>
        <w:rPr>
          <w:rFonts w:eastAsiaTheme="minorEastAsia"/>
          <w:sz w:val="20"/>
          <w:szCs w:val="22"/>
          <w:lang w:eastAsia="ja-JP"/>
        </w:rPr>
      </w:pPr>
      <w:r>
        <w:rPr>
          <w:rFonts w:eastAsiaTheme="minorEastAsia"/>
          <w:sz w:val="20"/>
          <w:szCs w:val="22"/>
          <w:lang w:eastAsia="ja-JP"/>
        </w:rPr>
        <w:br w:type="page"/>
      </w:r>
    </w:p>
    <w:p w:rsidR="00BF536B" w:rsidRPr="00F01092" w:rsidRDefault="00BF536B" w:rsidP="00BF536B">
      <w:pPr>
        <w:pStyle w:val="StyleStyleHeading3ComplexItalicLatin12pt"/>
        <w:ind w:left="1985" w:hanging="1985"/>
        <w:rPr>
          <w:b w:val="0"/>
          <w:lang w:val="es-ES"/>
        </w:rPr>
      </w:pPr>
      <w:bookmarkStart w:id="78" w:name="_Toc420681165"/>
      <w:r w:rsidRPr="00F01092">
        <w:rPr>
          <w:lang w:val="es-ES"/>
        </w:rPr>
        <w:lastRenderedPageBreak/>
        <w:t>PROGRAMA 25</w:t>
      </w:r>
      <w:r w:rsidRPr="00F01092">
        <w:rPr>
          <w:lang w:val="es-ES"/>
        </w:rPr>
        <w:tab/>
        <w:t>TECNOLOGÍAS DE LA INFORMACIÓN Y LAS COMUNICACIONES</w:t>
      </w:r>
      <w:bookmarkEnd w:id="78"/>
      <w:r w:rsidRPr="00F01092">
        <w:rPr>
          <w:lang w:val="es-ES"/>
        </w:rPr>
        <w:t xml:space="preserve"> </w:t>
      </w:r>
    </w:p>
    <w:p w:rsidR="00BF536B" w:rsidRPr="00F01092" w:rsidRDefault="00BF536B" w:rsidP="00BF536B">
      <w:pPr>
        <w:autoSpaceDE w:val="0"/>
        <w:autoSpaceDN w:val="0"/>
        <w:adjustRightInd w:val="0"/>
        <w:rPr>
          <w:bCs/>
        </w:rPr>
      </w:pPr>
    </w:p>
    <w:p w:rsidR="00BF536B" w:rsidRPr="00F01092" w:rsidRDefault="00BF536B" w:rsidP="00BF536B">
      <w:pPr>
        <w:autoSpaceDE w:val="0"/>
        <w:autoSpaceDN w:val="0"/>
        <w:adjustRightInd w:val="0"/>
        <w:rPr>
          <w:bCs/>
        </w:rPr>
      </w:pPr>
    </w:p>
    <w:p w:rsidR="00BF536B" w:rsidRPr="00F01092" w:rsidRDefault="00BF536B" w:rsidP="00BF536B">
      <w:pPr>
        <w:autoSpaceDE w:val="0"/>
        <w:autoSpaceDN w:val="0"/>
        <w:adjustRightInd w:val="0"/>
      </w:pPr>
      <w:r w:rsidRPr="00F01092">
        <w:rPr>
          <w:lang w:val="es-ES_tradnl"/>
        </w:rPr>
        <w:t>CONTEXTO DE PLANIFICACIÓN</w:t>
      </w:r>
    </w:p>
    <w:p w:rsidR="00BF536B" w:rsidRPr="00F01092" w:rsidRDefault="00BF536B" w:rsidP="00BF536B">
      <w:pPr>
        <w:autoSpaceDE w:val="0"/>
        <w:autoSpaceDN w:val="0"/>
        <w:adjustRightInd w:val="0"/>
        <w:rPr>
          <w:sz w:val="20"/>
        </w:rPr>
      </w:pPr>
    </w:p>
    <w:p w:rsidR="00BF536B" w:rsidRPr="00F01092" w:rsidRDefault="00BF536B" w:rsidP="00BF536B">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Las tecnologías de la información y de las comunicaciones (TIC) siguen desempeñando dos funciones vitales en la OMPI.  A nivel externo, se han convertido en el medio de mayor importancia para la prestación de servicios a sus clientes en el mundo entero.  </w:t>
      </w:r>
      <w:r w:rsidRPr="00F01092">
        <w:rPr>
          <w:rFonts w:ascii="Arial" w:hAnsi="Arial" w:cs="Arial"/>
          <w:sz w:val="20"/>
          <w:szCs w:val="20"/>
          <w:lang w:val="es-ES_tradnl"/>
        </w:rPr>
        <w:t>Entre éstos figuran los servicios de registro, los servicios de infraestructura mundial de P.I., el acceso a informaciones y análisis de P.I., el acceso a plataformas relativas a la P.I. en el contexto de las cuestiones mundiales de política pública, y las comunicaciones con los Estados miembros y las partes interesadas mediante la difusión por Internet de las reuniones de la OMPI.  A nivel interno, las TIC permiten que la OMPI lleve a cabo sus operaciones diarias mediante la prestación de servicios tales como las telecomunicaciones, el correo electrónico y la tramitación de una amplia gama de transacciones administrativas.  Por lo tanto, las nueve metas estratégicas de la OMPI dependen en gran medida de una infraestructura y servicios de TIC que sean fiables y eficaces para la ejecución de los programas.</w:t>
      </w:r>
    </w:p>
    <w:p w:rsidR="00BF536B" w:rsidRPr="00F01092" w:rsidRDefault="00BF536B" w:rsidP="00BF536B">
      <w:pPr>
        <w:autoSpaceDE w:val="0"/>
        <w:autoSpaceDN w:val="0"/>
        <w:adjustRightInd w:val="0"/>
        <w:rPr>
          <w:sz w:val="20"/>
        </w:rPr>
      </w:pPr>
    </w:p>
    <w:p w:rsidR="00BF536B" w:rsidRPr="00F01092" w:rsidRDefault="00BF536B" w:rsidP="001B0506">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La capacidad de la OMPI para seguir atendiendo sus necesidades estratégicas y operativas en el ámbito de las TIC dependerá de su capacidad para mejorar continuamente el rendimiento, el alcance y la </w:t>
      </w:r>
      <w:r w:rsidR="00387230">
        <w:rPr>
          <w:rFonts w:ascii="Arial" w:hAnsi="Arial" w:cs="Arial"/>
          <w:sz w:val="20"/>
          <w:szCs w:val="20"/>
          <w:lang w:val="es-ES"/>
        </w:rPr>
        <w:t>capacidad de reacción y recuperación</w:t>
      </w:r>
      <w:r w:rsidRPr="00F01092">
        <w:rPr>
          <w:rFonts w:ascii="Arial" w:hAnsi="Arial" w:cs="Arial"/>
          <w:sz w:val="20"/>
          <w:szCs w:val="20"/>
          <w:lang w:val="es-ES"/>
        </w:rPr>
        <w:t xml:space="preserve"> de sus sistemas de TIC.  Esto exigirá importantes desembolsos, la selección estratégica de proveedores y la constitución de alianzas, así como la consecución de un equilibrio entre la innovación y la preservación de la estabilidad.  El mayor desafío para el programa será contener los gastos y al mismo tiempo atender el rápido aumento de las demandas, y gestionar los riesgos que entraña la mejora sustancial de la infraestructura de las TIC.</w:t>
      </w:r>
    </w:p>
    <w:p w:rsidR="00BF536B" w:rsidRPr="00F01092" w:rsidRDefault="00BF536B" w:rsidP="00BF536B">
      <w:pPr>
        <w:autoSpaceDE w:val="0"/>
        <w:autoSpaceDN w:val="0"/>
        <w:adjustRightInd w:val="0"/>
      </w:pPr>
    </w:p>
    <w:p w:rsidR="00BF536B" w:rsidRPr="00F01092" w:rsidRDefault="00BF536B" w:rsidP="00BF536B">
      <w:pPr>
        <w:autoSpaceDE w:val="0"/>
        <w:autoSpaceDN w:val="0"/>
        <w:adjustRightInd w:val="0"/>
      </w:pPr>
    </w:p>
    <w:p w:rsidR="00BF536B" w:rsidRPr="00F01092" w:rsidRDefault="00BF536B" w:rsidP="00BF536B">
      <w:pPr>
        <w:autoSpaceDE w:val="0"/>
        <w:autoSpaceDN w:val="0"/>
        <w:adjustRightInd w:val="0"/>
      </w:pPr>
      <w:r w:rsidRPr="00F01092">
        <w:rPr>
          <w:lang w:val="es-ES_tradnl"/>
        </w:rPr>
        <w:t>ESTRATEGIAS DE EJECUCIÓN</w:t>
      </w:r>
    </w:p>
    <w:p w:rsidR="00BF536B" w:rsidRPr="00F01092" w:rsidRDefault="00BF536B" w:rsidP="00BF536B">
      <w:pPr>
        <w:autoSpaceDE w:val="0"/>
        <w:autoSpaceDN w:val="0"/>
        <w:adjustRightInd w:val="0"/>
        <w:rPr>
          <w:sz w:val="20"/>
        </w:rPr>
      </w:pPr>
    </w:p>
    <w:p w:rsidR="00BF536B" w:rsidRPr="00BA58A3" w:rsidRDefault="00BF536B" w:rsidP="00BF536B">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BA58A3">
        <w:rPr>
          <w:rFonts w:ascii="Arial" w:hAnsi="Arial" w:cs="Arial"/>
          <w:sz w:val="20"/>
          <w:szCs w:val="20"/>
          <w:lang w:val="es-ES"/>
        </w:rPr>
        <w:t>Se impulsará la integración de la disciplina de la arquitectura institucional para asegurar que haya una mayor correspondencia entre los sistemas y la configuración de las TIC con las necesidades institucionales, que se siga avanzando en la uniformización y coherencia de la arquitectura de las TIC, que se coordinen adecuadamente las actividades de restructuración de la arquitectura de sistemas, que se adopten decisiones sobre soluciones, tecnologías y productos que se correspondan con la arquitectura institucional elegida y que se gestionen los datos, el acceso de los usuarios y la información institucionales de manera integral y coherente.</w:t>
      </w:r>
    </w:p>
    <w:p w:rsidR="00BF536B" w:rsidRPr="00F01092" w:rsidRDefault="00BF536B" w:rsidP="00BF536B">
      <w:pPr>
        <w:tabs>
          <w:tab w:val="left" w:pos="709"/>
        </w:tabs>
        <w:autoSpaceDE w:val="0"/>
        <w:autoSpaceDN w:val="0"/>
        <w:adjustRightInd w:val="0"/>
        <w:rPr>
          <w:strike/>
          <w:sz w:val="20"/>
        </w:rPr>
      </w:pPr>
    </w:p>
    <w:p w:rsidR="00BF536B" w:rsidRPr="00BA58A3" w:rsidRDefault="00BF536B" w:rsidP="00BF536B">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BA58A3">
        <w:rPr>
          <w:rFonts w:ascii="Arial" w:hAnsi="Arial" w:cs="Arial"/>
          <w:sz w:val="20"/>
          <w:szCs w:val="20"/>
          <w:lang w:val="es-ES"/>
        </w:rPr>
        <w:t xml:space="preserve">Para la ejecución del programa en el nuevo bienio se aprovecharán las inversiones realizadas y los logros obtenidos en la esfera de las TIC, como el aumento de la </w:t>
      </w:r>
      <w:r w:rsidR="00BA58A3">
        <w:rPr>
          <w:rFonts w:ascii="Arial" w:hAnsi="Arial" w:cs="Arial"/>
          <w:sz w:val="20"/>
          <w:szCs w:val="20"/>
          <w:lang w:val="es-ES"/>
        </w:rPr>
        <w:t>capacidad de reacción</w:t>
      </w:r>
      <w:r w:rsidR="00387230">
        <w:rPr>
          <w:rFonts w:ascii="Arial" w:hAnsi="Arial" w:cs="Arial"/>
          <w:sz w:val="20"/>
          <w:szCs w:val="20"/>
          <w:lang w:val="es-ES"/>
        </w:rPr>
        <w:t xml:space="preserve"> y recuperación</w:t>
      </w:r>
      <w:r w:rsidRPr="00BA58A3">
        <w:rPr>
          <w:rFonts w:ascii="Arial" w:hAnsi="Arial" w:cs="Arial"/>
          <w:sz w:val="20"/>
          <w:szCs w:val="20"/>
          <w:lang w:val="es-ES"/>
        </w:rPr>
        <w:t xml:space="preserve"> de las TIC ante las amenazas cibernéticas y las catástrofes de gran escala</w:t>
      </w:r>
      <w:r w:rsidR="00BA58A3">
        <w:rPr>
          <w:rFonts w:ascii="Arial" w:hAnsi="Arial" w:cs="Arial"/>
          <w:sz w:val="20"/>
          <w:szCs w:val="20"/>
          <w:lang w:val="es-ES"/>
        </w:rPr>
        <w:t xml:space="preserve">, y se prestará asistencia a la integración armoniosa de las oficinas de la OMPI en el exterior mediante </w:t>
      </w:r>
      <w:r w:rsidR="00207B7E">
        <w:rPr>
          <w:rFonts w:ascii="Arial" w:hAnsi="Arial" w:cs="Arial"/>
          <w:sz w:val="20"/>
          <w:szCs w:val="20"/>
          <w:lang w:val="es-ES"/>
        </w:rPr>
        <w:t>la introducción progresiva de un sistema y arquitectura estándares de Oficina Global</w:t>
      </w:r>
      <w:r w:rsidR="00387230">
        <w:rPr>
          <w:rFonts w:ascii="Arial" w:hAnsi="Arial" w:cs="Arial"/>
          <w:sz w:val="20"/>
          <w:szCs w:val="20"/>
          <w:lang w:val="es-ES"/>
        </w:rPr>
        <w:t xml:space="preserve"> (</w:t>
      </w:r>
      <w:r w:rsidR="00387230" w:rsidRPr="00387230">
        <w:rPr>
          <w:rFonts w:ascii="Arial" w:hAnsi="Arial" w:cs="Arial"/>
          <w:i/>
          <w:sz w:val="20"/>
          <w:szCs w:val="20"/>
          <w:lang w:val="es-ES"/>
        </w:rPr>
        <w:t>Global Office</w:t>
      </w:r>
      <w:r w:rsidR="00387230">
        <w:rPr>
          <w:rFonts w:ascii="Arial" w:hAnsi="Arial" w:cs="Arial"/>
          <w:sz w:val="20"/>
          <w:szCs w:val="20"/>
          <w:lang w:val="es-ES"/>
        </w:rPr>
        <w:t>)</w:t>
      </w:r>
      <w:r w:rsidRPr="00BA58A3">
        <w:rPr>
          <w:rFonts w:ascii="Arial" w:hAnsi="Arial" w:cs="Arial"/>
          <w:sz w:val="20"/>
          <w:szCs w:val="20"/>
          <w:lang w:val="es-ES"/>
        </w:rPr>
        <w:t>.  Se pondrán en marcha las mejoras tecnológicas efectuadas mediante proyectos.  Se prevé que la selección estratégica de proveedores y la creación de alianzas potenciarán la eficacia en función de los costos y la capacidad de respuesta desde una perspectiva geográfica.</w:t>
      </w:r>
    </w:p>
    <w:p w:rsidR="00BF536B" w:rsidRPr="001B0506" w:rsidRDefault="00BF536B" w:rsidP="00BF536B">
      <w:pPr>
        <w:tabs>
          <w:tab w:val="left" w:pos="709"/>
        </w:tabs>
        <w:autoSpaceDE w:val="0"/>
        <w:autoSpaceDN w:val="0"/>
        <w:adjustRightInd w:val="0"/>
        <w:rPr>
          <w:strike/>
          <w:sz w:val="20"/>
          <w:highlight w:val="lightGray"/>
        </w:rPr>
      </w:pPr>
    </w:p>
    <w:p w:rsidR="00BF536B" w:rsidRPr="00207B7E" w:rsidRDefault="00BF536B" w:rsidP="00BF536B">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207B7E">
        <w:rPr>
          <w:rFonts w:ascii="Arial" w:hAnsi="Arial" w:cs="Arial"/>
          <w:sz w:val="20"/>
          <w:szCs w:val="20"/>
          <w:lang w:val="es-ES"/>
        </w:rPr>
        <w:t xml:space="preserve">En coordinación con los </w:t>
      </w:r>
      <w:r w:rsidR="00207B7E">
        <w:rPr>
          <w:rFonts w:ascii="Arial" w:hAnsi="Arial" w:cs="Arial"/>
          <w:sz w:val="20"/>
          <w:szCs w:val="20"/>
          <w:lang w:val="es-ES"/>
        </w:rPr>
        <w:t>programas especializados</w:t>
      </w:r>
      <w:r w:rsidRPr="00207B7E">
        <w:rPr>
          <w:rFonts w:ascii="Arial" w:hAnsi="Arial" w:cs="Arial"/>
          <w:sz w:val="20"/>
          <w:szCs w:val="20"/>
          <w:lang w:val="es-ES"/>
        </w:rPr>
        <w:t xml:space="preserve"> pertinentes y la División de Aseguramiento de la Información, e</w:t>
      </w:r>
      <w:r w:rsidR="00207B7E">
        <w:rPr>
          <w:rFonts w:ascii="Arial" w:hAnsi="Arial" w:cs="Arial"/>
          <w:sz w:val="20"/>
          <w:szCs w:val="20"/>
          <w:lang w:val="es-ES"/>
        </w:rPr>
        <w:t>n e</w:t>
      </w:r>
      <w:r w:rsidRPr="00207B7E">
        <w:rPr>
          <w:rFonts w:ascii="Arial" w:hAnsi="Arial" w:cs="Arial"/>
          <w:sz w:val="20"/>
          <w:szCs w:val="20"/>
          <w:lang w:val="es-ES"/>
        </w:rPr>
        <w:t>l</w:t>
      </w:r>
      <w:r w:rsidR="00207B7E">
        <w:rPr>
          <w:rFonts w:ascii="Arial" w:hAnsi="Arial" w:cs="Arial"/>
          <w:sz w:val="20"/>
          <w:szCs w:val="20"/>
          <w:lang w:val="es-ES"/>
        </w:rPr>
        <w:t xml:space="preserve"> marco de este</w:t>
      </w:r>
      <w:r w:rsidRPr="00207B7E">
        <w:rPr>
          <w:rFonts w:ascii="Arial" w:hAnsi="Arial" w:cs="Arial"/>
          <w:sz w:val="20"/>
          <w:szCs w:val="20"/>
          <w:lang w:val="es-ES"/>
        </w:rPr>
        <w:t xml:space="preserve"> programa </w:t>
      </w:r>
      <w:r w:rsidR="00207B7E">
        <w:rPr>
          <w:rFonts w:ascii="Arial" w:hAnsi="Arial" w:cs="Arial"/>
          <w:sz w:val="20"/>
          <w:szCs w:val="20"/>
          <w:lang w:val="es-ES"/>
        </w:rPr>
        <w:t>se v</w:t>
      </w:r>
      <w:r w:rsidRPr="00207B7E">
        <w:rPr>
          <w:rFonts w:ascii="Arial" w:hAnsi="Arial" w:cs="Arial"/>
          <w:sz w:val="20"/>
          <w:szCs w:val="20"/>
          <w:lang w:val="es-ES"/>
        </w:rPr>
        <w:t>e</w:t>
      </w:r>
      <w:r w:rsidR="00207B7E">
        <w:rPr>
          <w:rFonts w:ascii="Arial" w:hAnsi="Arial" w:cs="Arial"/>
          <w:sz w:val="20"/>
          <w:szCs w:val="20"/>
          <w:lang w:val="es-ES"/>
        </w:rPr>
        <w:t>la</w:t>
      </w:r>
      <w:r w:rsidRPr="00207B7E">
        <w:rPr>
          <w:rFonts w:ascii="Arial" w:hAnsi="Arial" w:cs="Arial"/>
          <w:sz w:val="20"/>
          <w:szCs w:val="20"/>
          <w:lang w:val="es-ES"/>
        </w:rPr>
        <w:t xml:space="preserve">rá </w:t>
      </w:r>
      <w:r w:rsidR="00207B7E">
        <w:rPr>
          <w:rFonts w:ascii="Arial" w:hAnsi="Arial" w:cs="Arial"/>
          <w:sz w:val="20"/>
          <w:szCs w:val="20"/>
          <w:lang w:val="es-ES"/>
        </w:rPr>
        <w:t xml:space="preserve">por </w:t>
      </w:r>
      <w:r w:rsidRPr="00207B7E">
        <w:rPr>
          <w:rFonts w:ascii="Arial" w:hAnsi="Arial" w:cs="Arial"/>
          <w:sz w:val="20"/>
          <w:szCs w:val="20"/>
          <w:lang w:val="es-ES"/>
        </w:rPr>
        <w:t>que los sistemas de TIC que contienen información muy sensible sean menos vulnerables a amenazas externas</w:t>
      </w:r>
      <w:r w:rsidR="00207B7E">
        <w:rPr>
          <w:rFonts w:ascii="Arial" w:hAnsi="Arial" w:cs="Arial"/>
          <w:sz w:val="20"/>
          <w:szCs w:val="20"/>
          <w:lang w:val="es-ES"/>
        </w:rPr>
        <w:t>.  También se velará por que la OMPI</w:t>
      </w:r>
      <w:r w:rsidRPr="00207B7E">
        <w:rPr>
          <w:rFonts w:ascii="Arial" w:hAnsi="Arial" w:cs="Arial"/>
          <w:sz w:val="20"/>
          <w:szCs w:val="20"/>
          <w:lang w:val="es-ES"/>
        </w:rPr>
        <w:t xml:space="preserve"> </w:t>
      </w:r>
      <w:r w:rsidR="00207B7E">
        <w:rPr>
          <w:rFonts w:ascii="Arial" w:hAnsi="Arial" w:cs="Arial"/>
          <w:sz w:val="20"/>
          <w:szCs w:val="20"/>
          <w:lang w:val="es-ES"/>
        </w:rPr>
        <w:t>encuentre</w:t>
      </w:r>
      <w:r w:rsidRPr="00207B7E">
        <w:rPr>
          <w:rFonts w:ascii="Arial" w:hAnsi="Arial" w:cs="Arial"/>
          <w:sz w:val="20"/>
          <w:szCs w:val="20"/>
          <w:lang w:val="es-ES"/>
        </w:rPr>
        <w:t xml:space="preserve"> soluciones de alojamiento de datos más </w:t>
      </w:r>
      <w:r w:rsidR="00207B7E">
        <w:rPr>
          <w:rFonts w:ascii="Arial" w:hAnsi="Arial" w:cs="Arial"/>
          <w:sz w:val="20"/>
          <w:szCs w:val="20"/>
          <w:lang w:val="es-ES"/>
        </w:rPr>
        <w:t>costo</w:t>
      </w:r>
      <w:r w:rsidRPr="00207B7E">
        <w:rPr>
          <w:rFonts w:ascii="Arial" w:hAnsi="Arial" w:cs="Arial"/>
          <w:sz w:val="20"/>
          <w:szCs w:val="20"/>
          <w:lang w:val="es-ES"/>
        </w:rPr>
        <w:t>eficaces</w:t>
      </w:r>
      <w:r w:rsidR="00207B7E">
        <w:rPr>
          <w:rFonts w:ascii="Arial" w:hAnsi="Arial" w:cs="Arial"/>
          <w:sz w:val="20"/>
          <w:szCs w:val="20"/>
          <w:lang w:val="es-ES"/>
        </w:rPr>
        <w:t>, y con mayor poder de recuperación,</w:t>
      </w:r>
      <w:r w:rsidRPr="00207B7E">
        <w:rPr>
          <w:rFonts w:ascii="Arial" w:hAnsi="Arial" w:cs="Arial"/>
          <w:sz w:val="20"/>
          <w:szCs w:val="20"/>
          <w:lang w:val="es-ES"/>
        </w:rPr>
        <w:t xml:space="preserve"> para los sistemas de TIC que no tienen exigencias en materia de confidencialidad.</w:t>
      </w:r>
    </w:p>
    <w:p w:rsidR="00BF536B" w:rsidRPr="00F01092" w:rsidRDefault="00BF536B" w:rsidP="00BF536B">
      <w:pPr>
        <w:autoSpaceDE w:val="0"/>
        <w:autoSpaceDN w:val="0"/>
        <w:adjustRightInd w:val="0"/>
        <w:rPr>
          <w:sz w:val="20"/>
        </w:rPr>
      </w:pPr>
    </w:p>
    <w:p w:rsidR="00BF536B" w:rsidRPr="00F01092" w:rsidRDefault="00BF536B" w:rsidP="00BF536B">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F01092">
        <w:rPr>
          <w:rFonts w:ascii="Arial" w:hAnsi="Arial" w:cs="Arial"/>
          <w:sz w:val="20"/>
          <w:szCs w:val="20"/>
          <w:lang w:val="es-ES"/>
        </w:rPr>
        <w:t xml:space="preserve">En el curso del próximo bienio, se avanzará en la implantación de tecnologías para la gestión de contenidos institucionales, destinadas a mejorar la gestión de documentos, la colaboración, el intercambio y la recogida de información.  Se prevé que esos avances permitan mejorar la </w:t>
      </w:r>
      <w:r w:rsidR="00C97161">
        <w:rPr>
          <w:rFonts w:ascii="Arial" w:hAnsi="Arial" w:cs="Arial"/>
          <w:sz w:val="20"/>
          <w:szCs w:val="20"/>
          <w:lang w:val="es-ES"/>
        </w:rPr>
        <w:t>distribuc</w:t>
      </w:r>
      <w:r w:rsidRPr="00F01092">
        <w:rPr>
          <w:rFonts w:ascii="Arial" w:hAnsi="Arial" w:cs="Arial"/>
          <w:sz w:val="20"/>
          <w:szCs w:val="20"/>
          <w:lang w:val="es-ES"/>
        </w:rPr>
        <w:t>ión del conocimiento y la</w:t>
      </w:r>
      <w:r w:rsidR="00C97161">
        <w:rPr>
          <w:rFonts w:ascii="Arial" w:hAnsi="Arial" w:cs="Arial"/>
          <w:sz w:val="20"/>
          <w:szCs w:val="20"/>
          <w:lang w:val="es-ES"/>
        </w:rPr>
        <w:t xml:space="preserve"> gestión de la</w:t>
      </w:r>
      <w:r w:rsidRPr="00F01092">
        <w:rPr>
          <w:rFonts w:ascii="Arial" w:hAnsi="Arial" w:cs="Arial"/>
          <w:sz w:val="20"/>
          <w:szCs w:val="20"/>
          <w:lang w:val="es-ES"/>
        </w:rPr>
        <w:t xml:space="preserve"> información en toda la Organización.</w:t>
      </w:r>
    </w:p>
    <w:p w:rsidR="00BF536B" w:rsidRPr="00F01092" w:rsidRDefault="00BF536B" w:rsidP="00BF536B">
      <w:pPr>
        <w:autoSpaceDE w:val="0"/>
        <w:autoSpaceDN w:val="0"/>
        <w:adjustRightInd w:val="0"/>
        <w:rPr>
          <w:sz w:val="20"/>
        </w:rPr>
      </w:pPr>
    </w:p>
    <w:p w:rsidR="00BF536B" w:rsidRPr="00F01092" w:rsidRDefault="00BF536B" w:rsidP="00BF536B">
      <w:pPr>
        <w:autoSpaceDE w:val="0"/>
        <w:autoSpaceDN w:val="0"/>
        <w:adjustRightInd w:val="0"/>
        <w:rPr>
          <w:sz w:val="20"/>
        </w:rPr>
      </w:pPr>
    </w:p>
    <w:p w:rsidR="00BF536B" w:rsidRPr="00F01092" w:rsidRDefault="00BF536B" w:rsidP="00BF536B">
      <w:pPr>
        <w:keepNext/>
        <w:keepLines/>
        <w:autoSpaceDE w:val="0"/>
        <w:autoSpaceDN w:val="0"/>
        <w:adjustRightInd w:val="0"/>
      </w:pPr>
      <w:r w:rsidRPr="00F01092">
        <w:rPr>
          <w:lang w:val="es-ES_tradnl"/>
        </w:rPr>
        <w:lastRenderedPageBreak/>
        <w:t>PRINCIPALES RIESGOS Y ESTRATEGIAS DE MITIGACIÓN</w:t>
      </w:r>
    </w:p>
    <w:p w:rsidR="00BF536B" w:rsidRPr="00F01092" w:rsidRDefault="00BF536B" w:rsidP="00BF536B">
      <w:pPr>
        <w:keepNext/>
        <w:keepLines/>
        <w:rPr>
          <w:rFonts w:eastAsia="Times New Roman"/>
          <w:sz w:val="20"/>
          <w:lang w:eastAsia="en-US"/>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BF536B" w:rsidRPr="00F01092" w:rsidTr="00207B7E">
        <w:trPr>
          <w:trHeight w:val="577"/>
        </w:trPr>
        <w:tc>
          <w:tcPr>
            <w:tcW w:w="4111" w:type="dxa"/>
            <w:tcBorders>
              <w:top w:val="single" w:sz="4" w:space="0" w:color="auto"/>
              <w:bottom w:val="single" w:sz="4" w:space="0" w:color="auto"/>
            </w:tcBorders>
            <w:shd w:val="clear" w:color="auto" w:fill="C6D9F1"/>
            <w:vAlign w:val="center"/>
          </w:tcPr>
          <w:p w:rsidR="00BF536B" w:rsidRPr="00F01092" w:rsidRDefault="00BF536B" w:rsidP="00C97D8A">
            <w:pPr>
              <w:keepNext/>
              <w:keepLines/>
              <w:jc w:val="center"/>
              <w:rPr>
                <w:rFonts w:eastAsia="Times New Roman"/>
                <w:b/>
                <w:bCs/>
                <w:sz w:val="18"/>
                <w:szCs w:val="18"/>
                <w:lang w:eastAsia="en-US"/>
              </w:rPr>
            </w:pPr>
            <w:r w:rsidRPr="00F01092">
              <w:rPr>
                <w:rFonts w:eastAsia="Times New Roman"/>
                <w:b/>
                <w:bCs/>
                <w:sz w:val="18"/>
                <w:szCs w:val="18"/>
                <w:lang w:val="es-ES_tradnl" w:eastAsia="en-US"/>
              </w:rPr>
              <w:t>Riesgo</w:t>
            </w:r>
          </w:p>
        </w:tc>
        <w:tc>
          <w:tcPr>
            <w:tcW w:w="5103" w:type="dxa"/>
            <w:tcBorders>
              <w:top w:val="single" w:sz="4" w:space="0" w:color="auto"/>
              <w:bottom w:val="single" w:sz="4" w:space="0" w:color="auto"/>
            </w:tcBorders>
            <w:shd w:val="clear" w:color="auto" w:fill="C6D9F1"/>
            <w:vAlign w:val="center"/>
          </w:tcPr>
          <w:p w:rsidR="00BF536B" w:rsidRPr="00F01092" w:rsidRDefault="00BF536B" w:rsidP="00C97D8A">
            <w:pPr>
              <w:keepNext/>
              <w:keepLines/>
              <w:jc w:val="center"/>
              <w:rPr>
                <w:rFonts w:eastAsia="Times New Roman"/>
                <w:b/>
                <w:bCs/>
                <w:sz w:val="18"/>
                <w:szCs w:val="18"/>
                <w:lang w:eastAsia="en-US"/>
              </w:rPr>
            </w:pPr>
            <w:r w:rsidRPr="00F01092">
              <w:rPr>
                <w:rFonts w:eastAsia="Times New Roman"/>
                <w:b/>
                <w:bCs/>
                <w:sz w:val="18"/>
                <w:szCs w:val="18"/>
                <w:lang w:eastAsia="en-US"/>
              </w:rPr>
              <w:t>Mitigación</w:t>
            </w:r>
          </w:p>
        </w:tc>
      </w:tr>
      <w:tr w:rsidR="00BF536B" w:rsidRPr="00F01092" w:rsidTr="00C97D8A">
        <w:trPr>
          <w:trHeight w:val="1142"/>
        </w:trPr>
        <w:tc>
          <w:tcPr>
            <w:tcW w:w="4111" w:type="dxa"/>
            <w:shd w:val="clear" w:color="auto" w:fill="auto"/>
            <w:tcMar>
              <w:top w:w="113" w:type="dxa"/>
              <w:bottom w:w="113" w:type="dxa"/>
            </w:tcMar>
          </w:tcPr>
          <w:p w:rsidR="00BF536B" w:rsidRPr="00F01092" w:rsidRDefault="00BF536B" w:rsidP="00C97D8A">
            <w:pPr>
              <w:keepNext/>
              <w:keepLines/>
              <w:rPr>
                <w:rFonts w:eastAsia="Times New Roman"/>
                <w:sz w:val="16"/>
                <w:szCs w:val="16"/>
                <w:lang w:eastAsia="en-US"/>
              </w:rPr>
            </w:pPr>
            <w:r w:rsidRPr="00F01092">
              <w:rPr>
                <w:rFonts w:eastAsia="Times New Roman"/>
                <w:sz w:val="16"/>
                <w:szCs w:val="16"/>
                <w:lang w:val="es-ES_tradnl" w:eastAsia="en-US"/>
              </w:rPr>
              <w:t>Si el Sistema del PCT y los sistemas de información conexos experimentan un nivel inaceptable de interrupciones, no se podrían aceptar las solicitudes PCT presentadas y, en consecuencia, se producirían efectos negativos en la tramitación y publicación de dichas solicitudes.  La reputación se vería afectada negativamente.</w:t>
            </w:r>
          </w:p>
        </w:tc>
        <w:tc>
          <w:tcPr>
            <w:tcW w:w="5103" w:type="dxa"/>
            <w:shd w:val="clear" w:color="auto" w:fill="auto"/>
            <w:tcMar>
              <w:top w:w="113" w:type="dxa"/>
              <w:bottom w:w="113" w:type="dxa"/>
            </w:tcMar>
          </w:tcPr>
          <w:p w:rsidR="00BF536B" w:rsidRPr="00F01092" w:rsidRDefault="00BF536B" w:rsidP="00C97D8A">
            <w:pPr>
              <w:keepNext/>
              <w:keepLines/>
              <w:rPr>
                <w:rFonts w:eastAsia="Times New Roman"/>
                <w:sz w:val="16"/>
                <w:szCs w:val="16"/>
                <w:lang w:eastAsia="en-US"/>
              </w:rPr>
            </w:pPr>
            <w:r w:rsidRPr="00F01092">
              <w:rPr>
                <w:rFonts w:eastAsia="Times New Roman"/>
                <w:sz w:val="16"/>
                <w:szCs w:val="16"/>
                <w:lang w:eastAsia="en-US"/>
              </w:rPr>
              <w:t>Utilizar la infraestructura complementaria establecida durante el bienio 2014-2015, incorporando al mismo tiempo más capacidades complementarias y la posibilidad de perfeccionar el plan de continuidad de las actividades.</w:t>
            </w:r>
          </w:p>
          <w:p w:rsidR="00BF536B" w:rsidRPr="00F01092" w:rsidRDefault="00BF536B" w:rsidP="00C97D8A">
            <w:pPr>
              <w:keepNext/>
              <w:keepLines/>
              <w:rPr>
                <w:rFonts w:eastAsia="Times New Roman"/>
                <w:sz w:val="16"/>
                <w:szCs w:val="16"/>
                <w:lang w:eastAsia="en-US"/>
              </w:rPr>
            </w:pPr>
          </w:p>
        </w:tc>
      </w:tr>
    </w:tbl>
    <w:p w:rsidR="00BF536B" w:rsidRPr="00F01092" w:rsidRDefault="00BF536B" w:rsidP="00BF536B">
      <w:pPr>
        <w:rPr>
          <w:rFonts w:eastAsia="Times New Roman"/>
          <w:lang w:eastAsia="en-US"/>
        </w:rPr>
      </w:pPr>
    </w:p>
    <w:p w:rsidR="00BF536B" w:rsidRPr="00F01092" w:rsidRDefault="00BF536B" w:rsidP="00BF536B">
      <w:pPr>
        <w:rPr>
          <w:rFonts w:eastAsia="Times New Roman"/>
          <w:lang w:eastAsia="en-US"/>
        </w:rPr>
      </w:pPr>
      <w:r w:rsidRPr="00F01092">
        <w:rPr>
          <w:rFonts w:eastAsia="Times New Roman"/>
          <w:lang w:val="es-ES_tradnl" w:eastAsia="en-US"/>
        </w:rPr>
        <w:t>MARCO DE RESULTADOS</w:t>
      </w:r>
    </w:p>
    <w:p w:rsidR="00BF536B" w:rsidRPr="00F01092" w:rsidRDefault="00BF536B" w:rsidP="00BF536B">
      <w:pPr>
        <w:autoSpaceDE w:val="0"/>
        <w:autoSpaceDN w:val="0"/>
        <w:adjustRightInd w:val="0"/>
      </w:pPr>
    </w:p>
    <w:tbl>
      <w:tblPr>
        <w:tblW w:w="9229" w:type="dxa"/>
        <w:tblInd w:w="93" w:type="dxa"/>
        <w:tblLook w:val="04A0" w:firstRow="1" w:lastRow="0" w:firstColumn="1" w:lastColumn="0" w:noHBand="0" w:noVBand="1"/>
      </w:tblPr>
      <w:tblGrid>
        <w:gridCol w:w="1960"/>
        <w:gridCol w:w="2460"/>
        <w:gridCol w:w="2220"/>
        <w:gridCol w:w="2589"/>
      </w:tblGrid>
      <w:tr w:rsidR="00BF536B" w:rsidRPr="00F01092" w:rsidTr="00207B7E">
        <w:trPr>
          <w:trHeight w:val="540"/>
        </w:trPr>
        <w:tc>
          <w:tcPr>
            <w:tcW w:w="1960" w:type="dxa"/>
            <w:tcBorders>
              <w:top w:val="single" w:sz="4" w:space="0" w:color="auto"/>
              <w:left w:val="single" w:sz="4" w:space="0" w:color="auto"/>
              <w:bottom w:val="single" w:sz="4" w:space="0" w:color="auto"/>
              <w:right w:val="nil"/>
            </w:tcBorders>
            <w:shd w:val="clear" w:color="auto" w:fill="C6D9F1"/>
            <w:vAlign w:val="center"/>
            <w:hideMark/>
          </w:tcPr>
          <w:p w:rsidR="00BF536B" w:rsidRPr="00F01092" w:rsidRDefault="00BF536B" w:rsidP="00C97D8A">
            <w:pPr>
              <w:jc w:val="center"/>
              <w:rPr>
                <w:rFonts w:eastAsia="Times New Roman"/>
                <w:b/>
                <w:bCs/>
                <w:sz w:val="18"/>
                <w:szCs w:val="18"/>
                <w:lang w:eastAsia="en-US"/>
              </w:rPr>
            </w:pPr>
            <w:r w:rsidRPr="00F01092">
              <w:rPr>
                <w:rFonts w:eastAsia="Times New Roman"/>
                <w:b/>
                <w:bCs/>
                <w:sz w:val="18"/>
                <w:szCs w:val="18"/>
                <w:lang w:val="es-ES_tradnl" w:eastAsia="en-US"/>
              </w:rPr>
              <w:t>Resultados previstos</w:t>
            </w:r>
          </w:p>
        </w:tc>
        <w:tc>
          <w:tcPr>
            <w:tcW w:w="2460" w:type="dxa"/>
            <w:tcBorders>
              <w:top w:val="single" w:sz="4" w:space="0" w:color="auto"/>
              <w:left w:val="nil"/>
              <w:bottom w:val="single" w:sz="4" w:space="0" w:color="auto"/>
              <w:right w:val="nil"/>
            </w:tcBorders>
            <w:shd w:val="clear" w:color="auto" w:fill="C6D9F1"/>
            <w:vAlign w:val="center"/>
            <w:hideMark/>
          </w:tcPr>
          <w:p w:rsidR="00BF536B" w:rsidRPr="00F01092" w:rsidRDefault="00BF536B" w:rsidP="00C97D8A">
            <w:pPr>
              <w:jc w:val="center"/>
              <w:rPr>
                <w:rFonts w:eastAsia="Times New Roman"/>
                <w:b/>
                <w:bCs/>
                <w:sz w:val="18"/>
                <w:szCs w:val="18"/>
                <w:lang w:eastAsia="en-US"/>
              </w:rPr>
            </w:pPr>
            <w:r w:rsidRPr="00F01092">
              <w:rPr>
                <w:rFonts w:eastAsia="Times New Roman"/>
                <w:b/>
                <w:bCs/>
                <w:sz w:val="18"/>
                <w:szCs w:val="18"/>
                <w:lang w:val="es-ES_tradnl" w:eastAsia="en-US"/>
              </w:rPr>
              <w:t>Indicadores de rendimiento</w:t>
            </w:r>
          </w:p>
        </w:tc>
        <w:tc>
          <w:tcPr>
            <w:tcW w:w="2220" w:type="dxa"/>
            <w:tcBorders>
              <w:top w:val="single" w:sz="4" w:space="0" w:color="auto"/>
              <w:left w:val="nil"/>
              <w:bottom w:val="single" w:sz="4" w:space="0" w:color="auto"/>
              <w:right w:val="nil"/>
            </w:tcBorders>
            <w:shd w:val="clear" w:color="auto" w:fill="C6D9F1"/>
            <w:vAlign w:val="center"/>
            <w:hideMark/>
          </w:tcPr>
          <w:p w:rsidR="00BF536B" w:rsidRPr="00F01092" w:rsidRDefault="00BF536B" w:rsidP="00C97D8A">
            <w:pPr>
              <w:jc w:val="center"/>
              <w:rPr>
                <w:rFonts w:eastAsia="Times New Roman"/>
                <w:b/>
                <w:bCs/>
                <w:sz w:val="18"/>
                <w:szCs w:val="18"/>
                <w:lang w:eastAsia="en-US"/>
              </w:rPr>
            </w:pPr>
            <w:r w:rsidRPr="00F01092">
              <w:rPr>
                <w:rFonts w:eastAsia="Times New Roman"/>
                <w:b/>
                <w:bCs/>
                <w:sz w:val="18"/>
                <w:szCs w:val="18"/>
                <w:lang w:val="es-ES_tradnl" w:eastAsia="en-US"/>
              </w:rPr>
              <w:t>Referencia</w:t>
            </w:r>
          </w:p>
        </w:tc>
        <w:tc>
          <w:tcPr>
            <w:tcW w:w="2589" w:type="dxa"/>
            <w:tcBorders>
              <w:top w:val="single" w:sz="4" w:space="0" w:color="auto"/>
              <w:left w:val="nil"/>
              <w:bottom w:val="single" w:sz="4" w:space="0" w:color="auto"/>
              <w:right w:val="single" w:sz="4" w:space="0" w:color="auto"/>
            </w:tcBorders>
            <w:shd w:val="clear" w:color="auto" w:fill="C6D9F1"/>
            <w:vAlign w:val="center"/>
            <w:hideMark/>
          </w:tcPr>
          <w:p w:rsidR="00BF536B" w:rsidRPr="00F01092" w:rsidRDefault="00BF536B" w:rsidP="00C97D8A">
            <w:pPr>
              <w:jc w:val="center"/>
              <w:rPr>
                <w:rFonts w:eastAsia="Times New Roman"/>
                <w:b/>
                <w:bCs/>
                <w:sz w:val="18"/>
                <w:szCs w:val="18"/>
                <w:lang w:eastAsia="en-US"/>
              </w:rPr>
            </w:pPr>
            <w:r w:rsidRPr="00F01092">
              <w:rPr>
                <w:rFonts w:eastAsia="Times New Roman"/>
                <w:b/>
                <w:bCs/>
                <w:sz w:val="18"/>
                <w:szCs w:val="18"/>
                <w:lang w:val="es-ES_tradnl" w:eastAsia="en-US"/>
              </w:rPr>
              <w:t>Objetivos</w:t>
            </w:r>
          </w:p>
        </w:tc>
      </w:tr>
      <w:tr w:rsidR="00BF536B" w:rsidRPr="00F01092" w:rsidTr="00C97D8A">
        <w:trPr>
          <w:trHeight w:val="1055"/>
        </w:trPr>
        <w:tc>
          <w:tcPr>
            <w:tcW w:w="1960" w:type="dxa"/>
            <w:vMerge w:val="restart"/>
            <w:tcBorders>
              <w:top w:val="single" w:sz="4" w:space="0" w:color="auto"/>
              <w:left w:val="single" w:sz="4" w:space="0" w:color="auto"/>
              <w:bottom w:val="nil"/>
              <w:right w:val="nil"/>
            </w:tcBorders>
            <w:shd w:val="clear" w:color="000000" w:fill="FFFFFF"/>
            <w:hideMark/>
          </w:tcPr>
          <w:p w:rsidR="00BF536B" w:rsidRPr="00207B7E" w:rsidRDefault="00BF536B" w:rsidP="00C97D8A">
            <w:pPr>
              <w:rPr>
                <w:rFonts w:eastAsia="Times New Roman"/>
                <w:sz w:val="16"/>
                <w:szCs w:val="16"/>
                <w:lang w:val="es-ES_tradnl" w:eastAsia="en-US"/>
              </w:rPr>
            </w:pPr>
            <w:r w:rsidRPr="00F01092">
              <w:rPr>
                <w:rFonts w:eastAsia="Times New Roman"/>
                <w:sz w:val="16"/>
                <w:szCs w:val="16"/>
                <w:lang w:val="es-ES_tradnl" w:eastAsia="en-US"/>
              </w:rPr>
              <w:br/>
              <w:t xml:space="preserve">IX.1 </w:t>
            </w:r>
            <w:r w:rsidR="00532057">
              <w:rPr>
                <w:rFonts w:eastAsia="Times New Roman"/>
                <w:sz w:val="16"/>
                <w:szCs w:val="16"/>
                <w:lang w:val="es-ES_tradnl" w:eastAsia="en-US"/>
              </w:rPr>
              <w:t xml:space="preserve"> </w:t>
            </w:r>
            <w:r w:rsidR="00532057" w:rsidRPr="00207B7E">
              <w:rPr>
                <w:sz w:val="16"/>
                <w:szCs w:val="16"/>
                <w:lang w:val="es-ES_tradnl"/>
              </w:rPr>
              <w:t>Servicios de apoyo eficaces, eficientes, de calidad y orientados al cliente, tanto a los usuarios internos como a las partes interesadas externas</w:t>
            </w:r>
          </w:p>
          <w:p w:rsidR="00BB705E" w:rsidRPr="00207B7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Default="00BB705E" w:rsidP="00C97D8A">
            <w:pPr>
              <w:rPr>
                <w:rFonts w:eastAsia="Times New Roman"/>
                <w:sz w:val="16"/>
                <w:szCs w:val="16"/>
                <w:lang w:val="es-ES_tradnl" w:eastAsia="en-US"/>
              </w:rPr>
            </w:pPr>
          </w:p>
          <w:p w:rsidR="00BB705E" w:rsidRPr="00532057" w:rsidRDefault="00BB705E" w:rsidP="003D2EFE">
            <w:pPr>
              <w:rPr>
                <w:rFonts w:eastAsia="Times New Roman"/>
                <w:sz w:val="16"/>
                <w:szCs w:val="16"/>
                <w:lang w:val="es-ES_tradnl" w:eastAsia="en-US"/>
              </w:rPr>
            </w:pPr>
            <w:r w:rsidRPr="00532057">
              <w:rPr>
                <w:rFonts w:eastAsia="Times New Roman"/>
                <w:color w:val="000000"/>
                <w:sz w:val="16"/>
                <w:szCs w:val="16"/>
                <w:lang w:val="es-ES_tradnl" w:eastAsia="en-US"/>
              </w:rPr>
              <w:t>IX.4</w:t>
            </w:r>
            <w:r w:rsidR="00532057" w:rsidRPr="00532057">
              <w:rPr>
                <w:rFonts w:eastAsia="Times New Roman"/>
                <w:color w:val="000000"/>
                <w:sz w:val="16"/>
                <w:szCs w:val="16"/>
                <w:lang w:val="es-ES_tradnl" w:eastAsia="en-US"/>
              </w:rPr>
              <w:t xml:space="preserve"> </w:t>
            </w:r>
            <w:r w:rsidRPr="00532057">
              <w:rPr>
                <w:rFonts w:eastAsia="Times New Roman"/>
                <w:color w:val="000000"/>
                <w:sz w:val="16"/>
                <w:szCs w:val="16"/>
                <w:lang w:val="es-ES_tradnl" w:eastAsia="en-US"/>
              </w:rPr>
              <w:t xml:space="preserve"> </w:t>
            </w:r>
            <w:r w:rsidR="00532057" w:rsidRPr="00C97161">
              <w:rPr>
                <w:sz w:val="16"/>
                <w:szCs w:val="16"/>
                <w:lang w:val="es-ES_tradnl"/>
              </w:rPr>
              <w:t>Una Organización responsable con el medio ambiente y la sociedad en la que se garantiza la seguridad del personal de la OMPI, los delegados, los visitantes, la información y los activos físicos</w:t>
            </w:r>
            <w:r w:rsidR="009C6B48">
              <w:rPr>
                <w:sz w:val="16"/>
                <w:szCs w:val="16"/>
                <w:lang w:val="es-ES_tradnl"/>
              </w:rPr>
              <w:br/>
            </w:r>
          </w:p>
        </w:tc>
        <w:tc>
          <w:tcPr>
            <w:tcW w:w="2460" w:type="dxa"/>
            <w:tcBorders>
              <w:top w:val="single" w:sz="4" w:space="0" w:color="auto"/>
              <w:left w:val="nil"/>
              <w:bottom w:val="nil"/>
              <w:right w:val="nil"/>
            </w:tcBorders>
            <w:shd w:val="clear" w:color="000000" w:fill="FFFFFF"/>
            <w:hideMark/>
          </w:tcPr>
          <w:p w:rsidR="00BF536B" w:rsidRPr="00F01092" w:rsidRDefault="00BF536B" w:rsidP="00C97161">
            <w:pPr>
              <w:ind w:leftChars="34" w:left="75"/>
              <w:rPr>
                <w:rFonts w:eastAsia="Times New Roman"/>
                <w:sz w:val="16"/>
                <w:szCs w:val="16"/>
                <w:lang w:eastAsia="en-US"/>
              </w:rPr>
            </w:pPr>
            <w:r w:rsidRPr="00532057">
              <w:rPr>
                <w:rFonts w:eastAsia="Times New Roman"/>
                <w:sz w:val="16"/>
                <w:szCs w:val="16"/>
                <w:lang w:val="es-ES_tradnl" w:eastAsia="en-US"/>
              </w:rPr>
              <w:br/>
            </w:r>
            <w:r w:rsidRPr="00F01092">
              <w:rPr>
                <w:rFonts w:eastAsia="Times New Roman"/>
                <w:sz w:val="16"/>
                <w:szCs w:val="16"/>
                <w:lang w:val="es-ES_tradnl" w:eastAsia="en-US"/>
              </w:rPr>
              <w:t xml:space="preserve">Alojamiento y gestión </w:t>
            </w:r>
            <w:r w:rsidRPr="00207B7E">
              <w:rPr>
                <w:rFonts w:eastAsia="Times New Roman"/>
                <w:sz w:val="16"/>
                <w:szCs w:val="16"/>
                <w:lang w:eastAsia="en-US"/>
              </w:rPr>
              <w:t>costoeficaces</w:t>
            </w:r>
            <w:r w:rsidRPr="00F01092">
              <w:rPr>
                <w:rFonts w:eastAsia="Times New Roman"/>
                <w:sz w:val="16"/>
                <w:szCs w:val="16"/>
                <w:lang w:val="es-ES_tradnl" w:eastAsia="en-US"/>
              </w:rPr>
              <w:t xml:space="preserve"> de las plataformas de TIC en concordancia con las necesidades operativas.</w:t>
            </w:r>
          </w:p>
        </w:tc>
        <w:tc>
          <w:tcPr>
            <w:tcW w:w="2220" w:type="dxa"/>
            <w:tcBorders>
              <w:top w:val="single" w:sz="4" w:space="0" w:color="auto"/>
              <w:left w:val="nil"/>
              <w:bottom w:val="nil"/>
              <w:right w:val="nil"/>
            </w:tcBorders>
            <w:shd w:val="clear" w:color="000000" w:fill="FFFFFF"/>
            <w:hideMark/>
          </w:tcPr>
          <w:p w:rsidR="00BF536B" w:rsidRPr="009C6B48" w:rsidRDefault="00BF536B" w:rsidP="00C97161">
            <w:pPr>
              <w:ind w:left="51"/>
              <w:rPr>
                <w:rFonts w:eastAsia="Times New Roman"/>
                <w:sz w:val="16"/>
                <w:szCs w:val="16"/>
                <w:lang w:eastAsia="en-US"/>
              </w:rPr>
            </w:pPr>
            <w:r w:rsidRPr="00F01092">
              <w:rPr>
                <w:rFonts w:eastAsia="Times New Roman"/>
                <w:sz w:val="16"/>
                <w:szCs w:val="16"/>
                <w:lang w:val="es-ES_tradnl" w:eastAsia="en-US"/>
              </w:rPr>
              <w:br/>
            </w:r>
            <w:proofErr w:type="spellStart"/>
            <w:r w:rsidRPr="009C6B48">
              <w:rPr>
                <w:rFonts w:eastAsia="Times New Roman"/>
                <w:sz w:val="16"/>
                <w:szCs w:val="16"/>
                <w:lang w:eastAsia="en-US"/>
              </w:rPr>
              <w:t>n</w:t>
            </w:r>
            <w:r w:rsidR="00207B7E" w:rsidRPr="009C6B48">
              <w:rPr>
                <w:rFonts w:eastAsia="Times New Roman"/>
                <w:sz w:val="16"/>
                <w:szCs w:val="16"/>
                <w:lang w:eastAsia="en-US"/>
              </w:rPr>
              <w:t>.</w:t>
            </w:r>
            <w:r w:rsidRPr="009C6B48">
              <w:rPr>
                <w:rFonts w:eastAsia="Times New Roman"/>
                <w:sz w:val="16"/>
                <w:szCs w:val="16"/>
                <w:lang w:eastAsia="en-US"/>
              </w:rPr>
              <w:t>d</w:t>
            </w:r>
            <w:proofErr w:type="spellEnd"/>
            <w:r w:rsidR="00207B7E" w:rsidRPr="009C6B48">
              <w:rPr>
                <w:rFonts w:eastAsia="Times New Roman"/>
                <w:sz w:val="16"/>
                <w:szCs w:val="16"/>
                <w:lang w:eastAsia="en-US"/>
              </w:rPr>
              <w:t>.</w:t>
            </w:r>
            <w:r w:rsidRPr="009C6B48">
              <w:rPr>
                <w:rFonts w:eastAsia="Times New Roman"/>
                <w:sz w:val="16"/>
                <w:szCs w:val="16"/>
                <w:lang w:eastAsia="en-US"/>
              </w:rPr>
              <w:t xml:space="preserve"> </w:t>
            </w:r>
          </w:p>
        </w:tc>
        <w:tc>
          <w:tcPr>
            <w:tcW w:w="2589" w:type="dxa"/>
            <w:tcBorders>
              <w:top w:val="single" w:sz="4" w:space="0" w:color="auto"/>
              <w:left w:val="nil"/>
              <w:bottom w:val="nil"/>
              <w:right w:val="single" w:sz="4" w:space="0" w:color="auto"/>
            </w:tcBorders>
            <w:shd w:val="clear" w:color="000000" w:fill="FFFFFF"/>
            <w:hideMark/>
          </w:tcPr>
          <w:p w:rsidR="00BF536B" w:rsidRPr="00F01092" w:rsidRDefault="00BF536B" w:rsidP="00C97161">
            <w:pPr>
              <w:ind w:leftChars="33" w:left="73"/>
              <w:rPr>
                <w:rFonts w:eastAsia="Times New Roman"/>
                <w:sz w:val="16"/>
                <w:szCs w:val="16"/>
                <w:lang w:eastAsia="en-US"/>
              </w:rPr>
            </w:pPr>
            <w:r w:rsidRPr="00F01092">
              <w:rPr>
                <w:rFonts w:eastAsia="Times New Roman"/>
                <w:sz w:val="16"/>
                <w:szCs w:val="16"/>
                <w:lang w:eastAsia="en-US"/>
              </w:rPr>
              <w:br/>
              <w:t>Se elaboran y conciertan nuevos acuerdos de prestación de servicios con los usuarios más importantes de los servicios de la plataforma TIC</w:t>
            </w:r>
          </w:p>
          <w:p w:rsidR="00BF536B" w:rsidRPr="00F01092" w:rsidRDefault="00BF536B" w:rsidP="00C97D8A">
            <w:pPr>
              <w:ind w:left="213" w:firstLineChars="66" w:firstLine="106"/>
              <w:rPr>
                <w:rFonts w:eastAsia="Times New Roman"/>
                <w:sz w:val="16"/>
                <w:szCs w:val="16"/>
                <w:lang w:eastAsia="en-US"/>
              </w:rPr>
            </w:pPr>
          </w:p>
        </w:tc>
      </w:tr>
      <w:tr w:rsidR="00BF536B" w:rsidRPr="00F01092" w:rsidTr="00C97D8A">
        <w:trPr>
          <w:trHeight w:val="2159"/>
        </w:trPr>
        <w:tc>
          <w:tcPr>
            <w:tcW w:w="1960" w:type="dxa"/>
            <w:vMerge/>
            <w:tcBorders>
              <w:top w:val="nil"/>
              <w:left w:val="single" w:sz="4" w:space="0" w:color="auto"/>
              <w:bottom w:val="nil"/>
              <w:right w:val="nil"/>
            </w:tcBorders>
            <w:vAlign w:val="center"/>
            <w:hideMark/>
          </w:tcPr>
          <w:p w:rsidR="00BF536B" w:rsidRPr="00F01092" w:rsidRDefault="00BF536B" w:rsidP="00C97D8A">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BF536B" w:rsidRPr="00F01092" w:rsidRDefault="00BF536B" w:rsidP="00C97D8A">
            <w:pPr>
              <w:ind w:left="215"/>
              <w:rPr>
                <w:rFonts w:eastAsia="Times New Roman"/>
                <w:sz w:val="16"/>
                <w:szCs w:val="16"/>
                <w:lang w:eastAsia="en-US"/>
              </w:rPr>
            </w:pPr>
          </w:p>
        </w:tc>
        <w:tc>
          <w:tcPr>
            <w:tcW w:w="2220" w:type="dxa"/>
            <w:tcBorders>
              <w:top w:val="nil"/>
              <w:left w:val="nil"/>
              <w:bottom w:val="nil"/>
              <w:right w:val="nil"/>
            </w:tcBorders>
            <w:shd w:val="clear" w:color="000000" w:fill="FFFFFF"/>
            <w:hideMark/>
          </w:tcPr>
          <w:p w:rsidR="00BF536B" w:rsidRPr="00F01092" w:rsidRDefault="00BF536B" w:rsidP="009C6B48">
            <w:pPr>
              <w:ind w:left="51"/>
              <w:rPr>
                <w:rFonts w:eastAsia="Times New Roman"/>
                <w:sz w:val="16"/>
                <w:szCs w:val="16"/>
                <w:lang w:eastAsia="en-US"/>
              </w:rPr>
            </w:pPr>
            <w:r w:rsidRPr="00F01092">
              <w:rPr>
                <w:rFonts w:eastAsia="Times New Roman"/>
                <w:sz w:val="16"/>
                <w:szCs w:val="16"/>
                <w:lang w:eastAsia="en-US"/>
              </w:rPr>
              <w:t>Costo unitario de los servidores:  448 CHF por mes;  costo unitario por TB de almacenamiento:  299 CHF por mes;  costo unitario por copia de seguridad por TB de almacenamiento:  370 CHF por mes (fin-2014);  n</w:t>
            </w:r>
            <w:r w:rsidR="009C6B48">
              <w:rPr>
                <w:rFonts w:eastAsia="Times New Roman"/>
                <w:sz w:val="16"/>
                <w:szCs w:val="16"/>
                <w:lang w:eastAsia="en-US"/>
              </w:rPr>
              <w:t>º</w:t>
            </w:r>
            <w:r w:rsidRPr="00F01092">
              <w:rPr>
                <w:rFonts w:eastAsia="Times New Roman"/>
                <w:sz w:val="16"/>
                <w:szCs w:val="16"/>
                <w:lang w:eastAsia="en-US"/>
              </w:rPr>
              <w:t xml:space="preserve"> de incidentes de servicio de impacto alto o medio:  1,75 por mes</w:t>
            </w:r>
            <w:r w:rsidR="00C97161">
              <w:rPr>
                <w:rFonts w:eastAsia="Times New Roman"/>
                <w:sz w:val="16"/>
                <w:szCs w:val="16"/>
                <w:lang w:eastAsia="en-US"/>
              </w:rPr>
              <w:br/>
            </w:r>
          </w:p>
        </w:tc>
        <w:tc>
          <w:tcPr>
            <w:tcW w:w="2589" w:type="dxa"/>
            <w:tcBorders>
              <w:top w:val="nil"/>
              <w:left w:val="nil"/>
              <w:bottom w:val="nil"/>
              <w:right w:val="single" w:sz="4" w:space="0" w:color="auto"/>
            </w:tcBorders>
            <w:shd w:val="clear" w:color="000000" w:fill="FFFFFF"/>
            <w:hideMark/>
          </w:tcPr>
          <w:p w:rsidR="00BF536B" w:rsidRPr="00F01092" w:rsidRDefault="00BF536B" w:rsidP="00C97161">
            <w:pPr>
              <w:ind w:leftChars="33" w:left="73"/>
              <w:rPr>
                <w:rFonts w:eastAsia="Times New Roman"/>
                <w:sz w:val="16"/>
                <w:szCs w:val="16"/>
                <w:lang w:eastAsia="en-US"/>
              </w:rPr>
            </w:pPr>
            <w:r w:rsidRPr="00F01092">
              <w:rPr>
                <w:rFonts w:eastAsia="Times New Roman"/>
                <w:sz w:val="16"/>
                <w:szCs w:val="16"/>
                <w:lang w:eastAsia="en-US"/>
              </w:rPr>
              <w:t xml:space="preserve">Los costos unitarios descienden como mínimo en un 5% por año;  no aumentan los incidentes de servicio de impacto medio o alto </w:t>
            </w:r>
          </w:p>
        </w:tc>
      </w:tr>
      <w:tr w:rsidR="00BF536B" w:rsidRPr="00F01092" w:rsidTr="00C97D8A">
        <w:trPr>
          <w:trHeight w:val="998"/>
        </w:trPr>
        <w:tc>
          <w:tcPr>
            <w:tcW w:w="1960" w:type="dxa"/>
            <w:vMerge/>
            <w:tcBorders>
              <w:top w:val="nil"/>
              <w:left w:val="single" w:sz="4" w:space="0" w:color="auto"/>
              <w:bottom w:val="nil"/>
              <w:right w:val="nil"/>
            </w:tcBorders>
            <w:vAlign w:val="center"/>
            <w:hideMark/>
          </w:tcPr>
          <w:p w:rsidR="00BF536B" w:rsidRPr="00F01092" w:rsidRDefault="00BF536B" w:rsidP="00C97D8A">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BF536B" w:rsidRPr="00F01092" w:rsidRDefault="00BF536B" w:rsidP="00C97161">
            <w:pPr>
              <w:ind w:leftChars="34" w:left="75"/>
              <w:rPr>
                <w:rFonts w:eastAsia="Times New Roman"/>
                <w:sz w:val="16"/>
                <w:szCs w:val="16"/>
                <w:lang w:eastAsia="en-US"/>
              </w:rPr>
            </w:pPr>
            <w:r w:rsidRPr="00F01092">
              <w:rPr>
                <w:rFonts w:eastAsia="Times New Roman"/>
                <w:sz w:val="16"/>
                <w:szCs w:val="16"/>
                <w:lang w:eastAsia="en-US"/>
              </w:rPr>
              <w:t xml:space="preserve">Las actividades de desarrollo de aplicaciones se ajustan a </w:t>
            </w:r>
            <w:r w:rsidRPr="00C97161">
              <w:rPr>
                <w:rFonts w:eastAsia="Times New Roman"/>
                <w:sz w:val="16"/>
                <w:szCs w:val="16"/>
                <w:lang w:val="es-ES_tradnl" w:eastAsia="en-US"/>
              </w:rPr>
              <w:t>las</w:t>
            </w:r>
            <w:r w:rsidRPr="00F01092">
              <w:rPr>
                <w:rFonts w:eastAsia="Times New Roman"/>
                <w:sz w:val="16"/>
                <w:szCs w:val="16"/>
                <w:lang w:eastAsia="en-US"/>
              </w:rPr>
              <w:t xml:space="preserve"> normas relativas a los datos maestros y de referencia de la OMPI.</w:t>
            </w:r>
          </w:p>
          <w:p w:rsidR="00BF536B" w:rsidRPr="00F01092" w:rsidRDefault="00BF536B" w:rsidP="00C97D8A">
            <w:pPr>
              <w:ind w:left="215"/>
              <w:rPr>
                <w:rFonts w:eastAsia="Times New Roman"/>
                <w:sz w:val="16"/>
                <w:szCs w:val="16"/>
                <w:lang w:eastAsia="en-US"/>
              </w:rPr>
            </w:pPr>
          </w:p>
        </w:tc>
        <w:tc>
          <w:tcPr>
            <w:tcW w:w="2220" w:type="dxa"/>
            <w:tcBorders>
              <w:top w:val="nil"/>
              <w:left w:val="nil"/>
              <w:bottom w:val="nil"/>
              <w:right w:val="nil"/>
            </w:tcBorders>
            <w:shd w:val="clear" w:color="000000" w:fill="FFFFFF"/>
            <w:hideMark/>
          </w:tcPr>
          <w:p w:rsidR="00BF536B" w:rsidRPr="00F01092" w:rsidRDefault="009C6B48" w:rsidP="00C97161">
            <w:pPr>
              <w:ind w:left="51"/>
              <w:rPr>
                <w:rFonts w:eastAsia="Times New Roman"/>
                <w:sz w:val="16"/>
                <w:szCs w:val="16"/>
                <w:lang w:eastAsia="en-US"/>
              </w:rPr>
            </w:pPr>
            <w:proofErr w:type="spellStart"/>
            <w:r>
              <w:rPr>
                <w:rFonts w:eastAsia="Times New Roman"/>
                <w:sz w:val="16"/>
                <w:szCs w:val="16"/>
                <w:lang w:val="es-ES_tradnl" w:eastAsia="en-US"/>
              </w:rPr>
              <w:t>n.</w:t>
            </w:r>
            <w:r w:rsidR="00BF536B" w:rsidRPr="00F01092">
              <w:rPr>
                <w:rFonts w:eastAsia="Times New Roman"/>
                <w:sz w:val="16"/>
                <w:szCs w:val="16"/>
                <w:lang w:val="es-ES_tradnl" w:eastAsia="en-US"/>
              </w:rPr>
              <w:t>d</w:t>
            </w:r>
            <w:proofErr w:type="spellEnd"/>
            <w:r>
              <w:rPr>
                <w:rFonts w:eastAsia="Times New Roman"/>
                <w:sz w:val="16"/>
                <w:szCs w:val="16"/>
                <w:lang w:val="es-ES_tradnl" w:eastAsia="en-US"/>
              </w:rPr>
              <w:t>.</w:t>
            </w:r>
            <w:r w:rsidR="00BF536B" w:rsidRPr="00F01092">
              <w:rPr>
                <w:rFonts w:eastAsia="Times New Roman"/>
                <w:sz w:val="16"/>
                <w:szCs w:val="16"/>
                <w:lang w:eastAsia="en-US"/>
              </w:rPr>
              <w:t xml:space="preserve"> </w:t>
            </w:r>
          </w:p>
        </w:tc>
        <w:tc>
          <w:tcPr>
            <w:tcW w:w="2589" w:type="dxa"/>
            <w:tcBorders>
              <w:top w:val="nil"/>
              <w:left w:val="nil"/>
              <w:bottom w:val="nil"/>
              <w:right w:val="single" w:sz="4" w:space="0" w:color="auto"/>
            </w:tcBorders>
            <w:shd w:val="clear" w:color="000000" w:fill="FFFFFF"/>
            <w:hideMark/>
          </w:tcPr>
          <w:p w:rsidR="00BF536B" w:rsidRPr="00F01092" w:rsidRDefault="00BF536B" w:rsidP="00C97161">
            <w:pPr>
              <w:ind w:leftChars="33" w:left="73"/>
              <w:rPr>
                <w:rFonts w:eastAsia="Times New Roman"/>
                <w:sz w:val="16"/>
                <w:szCs w:val="16"/>
                <w:lang w:eastAsia="en-US"/>
              </w:rPr>
            </w:pPr>
            <w:r w:rsidRPr="00F01092">
              <w:rPr>
                <w:rFonts w:eastAsia="Times New Roman"/>
                <w:sz w:val="16"/>
                <w:szCs w:val="16"/>
                <w:lang w:eastAsia="en-US"/>
              </w:rPr>
              <w:t>Al menos un equipo de desarrollo de aplicaciones recurre a la estrategia y al depósito de datos maestros y de referencia de la OMPI</w:t>
            </w:r>
          </w:p>
        </w:tc>
      </w:tr>
      <w:tr w:rsidR="00BF536B" w:rsidRPr="00F01092" w:rsidTr="00C97D8A">
        <w:trPr>
          <w:trHeight w:val="732"/>
        </w:trPr>
        <w:tc>
          <w:tcPr>
            <w:tcW w:w="1960" w:type="dxa"/>
            <w:vMerge/>
            <w:tcBorders>
              <w:top w:val="nil"/>
              <w:left w:val="single" w:sz="4" w:space="0" w:color="auto"/>
              <w:bottom w:val="nil"/>
              <w:right w:val="nil"/>
            </w:tcBorders>
            <w:vAlign w:val="center"/>
            <w:hideMark/>
          </w:tcPr>
          <w:p w:rsidR="00BF536B" w:rsidRPr="00F01092" w:rsidRDefault="00BF536B" w:rsidP="00C97D8A">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BF536B" w:rsidRPr="00F01092" w:rsidRDefault="00BF536B" w:rsidP="00C97161">
            <w:pPr>
              <w:ind w:leftChars="34" w:left="75"/>
              <w:rPr>
                <w:rFonts w:eastAsia="Times New Roman"/>
                <w:sz w:val="16"/>
                <w:szCs w:val="16"/>
                <w:lang w:eastAsia="en-US"/>
              </w:rPr>
            </w:pPr>
            <w:r w:rsidRPr="00F01092">
              <w:rPr>
                <w:rFonts w:eastAsia="Times New Roman"/>
                <w:sz w:val="16"/>
                <w:szCs w:val="16"/>
                <w:lang w:eastAsia="en-US"/>
              </w:rPr>
              <w:t>Los proyectos de TIC se administran de conformidad con las Directrices para la gestión de proyectos de la OMPI</w:t>
            </w:r>
          </w:p>
        </w:tc>
        <w:tc>
          <w:tcPr>
            <w:tcW w:w="2220" w:type="dxa"/>
            <w:tcBorders>
              <w:top w:val="nil"/>
              <w:left w:val="nil"/>
              <w:bottom w:val="nil"/>
              <w:right w:val="nil"/>
            </w:tcBorders>
            <w:shd w:val="clear" w:color="000000" w:fill="FFFFFF"/>
            <w:hideMark/>
          </w:tcPr>
          <w:p w:rsidR="00BF536B" w:rsidRPr="00F01092" w:rsidRDefault="006F39F7" w:rsidP="009C6B48">
            <w:pPr>
              <w:ind w:left="51"/>
              <w:rPr>
                <w:rFonts w:eastAsia="Times New Roman"/>
                <w:sz w:val="16"/>
                <w:szCs w:val="16"/>
                <w:lang w:eastAsia="en-US"/>
              </w:rPr>
            </w:pPr>
            <w:proofErr w:type="spellStart"/>
            <w:r>
              <w:rPr>
                <w:rFonts w:eastAsia="Times New Roman"/>
                <w:sz w:val="16"/>
                <w:szCs w:val="16"/>
                <w:lang w:eastAsia="en-US"/>
              </w:rPr>
              <w:t>n.d</w:t>
            </w:r>
            <w:proofErr w:type="spellEnd"/>
            <w:r>
              <w:rPr>
                <w:rFonts w:eastAsia="Times New Roman"/>
                <w:sz w:val="16"/>
                <w:szCs w:val="16"/>
                <w:lang w:eastAsia="en-US"/>
              </w:rPr>
              <w:t>. (nuevo)</w:t>
            </w:r>
          </w:p>
        </w:tc>
        <w:tc>
          <w:tcPr>
            <w:tcW w:w="2589" w:type="dxa"/>
            <w:tcBorders>
              <w:top w:val="nil"/>
              <w:left w:val="nil"/>
              <w:bottom w:val="nil"/>
              <w:right w:val="single" w:sz="4" w:space="0" w:color="auto"/>
            </w:tcBorders>
            <w:shd w:val="clear" w:color="000000" w:fill="FFFFFF"/>
            <w:hideMark/>
          </w:tcPr>
          <w:p w:rsidR="00BF536B" w:rsidRPr="00F01092" w:rsidRDefault="00BF536B" w:rsidP="00C97161">
            <w:pPr>
              <w:ind w:leftChars="33" w:left="73"/>
              <w:rPr>
                <w:rFonts w:eastAsia="Times New Roman"/>
                <w:sz w:val="16"/>
                <w:szCs w:val="16"/>
                <w:lang w:eastAsia="en-US"/>
              </w:rPr>
            </w:pPr>
            <w:r w:rsidRPr="00F01092">
              <w:rPr>
                <w:rFonts w:eastAsia="Times New Roman"/>
                <w:sz w:val="16"/>
                <w:szCs w:val="16"/>
                <w:lang w:eastAsia="en-US"/>
              </w:rPr>
              <w:t>Más del 70% de los proyectos se administran de conformidad con las Directrices.</w:t>
            </w:r>
          </w:p>
        </w:tc>
      </w:tr>
      <w:tr w:rsidR="00BF536B" w:rsidRPr="00F01092" w:rsidTr="00C97D8A">
        <w:trPr>
          <w:trHeight w:val="716"/>
        </w:trPr>
        <w:tc>
          <w:tcPr>
            <w:tcW w:w="1960" w:type="dxa"/>
            <w:vMerge/>
            <w:tcBorders>
              <w:top w:val="nil"/>
              <w:left w:val="single" w:sz="4" w:space="0" w:color="auto"/>
              <w:bottom w:val="nil"/>
              <w:right w:val="nil"/>
            </w:tcBorders>
            <w:vAlign w:val="center"/>
            <w:hideMark/>
          </w:tcPr>
          <w:p w:rsidR="00BF536B" w:rsidRPr="00F01092" w:rsidRDefault="00BF536B" w:rsidP="00C97D8A">
            <w:pPr>
              <w:rPr>
                <w:rFonts w:eastAsia="Times New Roman"/>
                <w:sz w:val="16"/>
                <w:szCs w:val="16"/>
                <w:lang w:eastAsia="en-US"/>
              </w:rPr>
            </w:pPr>
          </w:p>
        </w:tc>
        <w:tc>
          <w:tcPr>
            <w:tcW w:w="2460" w:type="dxa"/>
            <w:tcBorders>
              <w:top w:val="nil"/>
              <w:left w:val="nil"/>
              <w:bottom w:val="nil"/>
              <w:right w:val="nil"/>
            </w:tcBorders>
            <w:shd w:val="clear" w:color="000000" w:fill="FFFFFF"/>
            <w:hideMark/>
          </w:tcPr>
          <w:p w:rsidR="00BF536B" w:rsidRPr="00F01092" w:rsidRDefault="00BF536B" w:rsidP="00C97D8A">
            <w:pPr>
              <w:ind w:left="215"/>
              <w:rPr>
                <w:rFonts w:eastAsia="Times New Roman"/>
                <w:sz w:val="16"/>
                <w:szCs w:val="16"/>
                <w:lang w:eastAsia="en-US"/>
              </w:rPr>
            </w:pPr>
          </w:p>
          <w:p w:rsidR="00BF536B" w:rsidRPr="00F01092" w:rsidRDefault="00BF536B" w:rsidP="00C97161">
            <w:pPr>
              <w:ind w:leftChars="34" w:left="75"/>
              <w:rPr>
                <w:rFonts w:eastAsia="Times New Roman"/>
                <w:sz w:val="16"/>
                <w:szCs w:val="16"/>
                <w:lang w:eastAsia="en-US"/>
              </w:rPr>
            </w:pPr>
            <w:r w:rsidRPr="00F01092">
              <w:rPr>
                <w:rFonts w:eastAsia="Times New Roman"/>
                <w:sz w:val="16"/>
                <w:szCs w:val="16"/>
                <w:lang w:eastAsia="en-US"/>
              </w:rPr>
              <w:t>Porcentaje de clientes satisfechos con los servicios prestados por el servicio de asistencia</w:t>
            </w:r>
          </w:p>
        </w:tc>
        <w:tc>
          <w:tcPr>
            <w:tcW w:w="2220" w:type="dxa"/>
            <w:tcBorders>
              <w:top w:val="nil"/>
              <w:left w:val="nil"/>
              <w:bottom w:val="nil"/>
              <w:right w:val="nil"/>
            </w:tcBorders>
            <w:shd w:val="clear" w:color="000000" w:fill="FFFFFF"/>
            <w:hideMark/>
          </w:tcPr>
          <w:p w:rsidR="00BF536B" w:rsidRPr="00F01092" w:rsidRDefault="00BF536B" w:rsidP="00C97D8A">
            <w:pPr>
              <w:ind w:left="307" w:firstLineChars="8" w:firstLine="13"/>
              <w:rPr>
                <w:rFonts w:eastAsia="Times New Roman"/>
                <w:sz w:val="16"/>
                <w:szCs w:val="16"/>
                <w:lang w:eastAsia="en-US"/>
              </w:rPr>
            </w:pPr>
          </w:p>
          <w:p w:rsidR="00BF536B" w:rsidRPr="00F01092" w:rsidRDefault="00BF536B" w:rsidP="00C97161">
            <w:pPr>
              <w:ind w:left="51"/>
              <w:rPr>
                <w:rFonts w:eastAsia="Times New Roman"/>
                <w:sz w:val="16"/>
                <w:szCs w:val="16"/>
                <w:lang w:eastAsia="en-US"/>
              </w:rPr>
            </w:pPr>
            <w:r w:rsidRPr="00F01092">
              <w:rPr>
                <w:rFonts w:eastAsia="Times New Roman"/>
                <w:sz w:val="16"/>
                <w:szCs w:val="16"/>
                <w:lang w:eastAsia="en-US"/>
              </w:rPr>
              <w:t xml:space="preserve">El 97% de los clientes están satisfechos o muy satisfechos </w:t>
            </w:r>
            <w:r w:rsidR="009C6B48">
              <w:rPr>
                <w:rFonts w:eastAsia="Times New Roman"/>
                <w:sz w:val="16"/>
                <w:szCs w:val="16"/>
                <w:lang w:eastAsia="en-US"/>
              </w:rPr>
              <w:t xml:space="preserve">con </w:t>
            </w:r>
            <w:r w:rsidRPr="00F01092">
              <w:rPr>
                <w:rFonts w:eastAsia="Times New Roman"/>
                <w:sz w:val="16"/>
                <w:szCs w:val="16"/>
                <w:lang w:eastAsia="en-US"/>
              </w:rPr>
              <w:t>el servicio de asistencia</w:t>
            </w:r>
          </w:p>
          <w:p w:rsidR="00BF536B" w:rsidRPr="00F01092" w:rsidRDefault="00BF536B" w:rsidP="00C97D8A">
            <w:pPr>
              <w:ind w:left="307" w:firstLineChars="8" w:firstLine="13"/>
              <w:rPr>
                <w:rFonts w:eastAsia="Times New Roman"/>
                <w:sz w:val="16"/>
                <w:szCs w:val="16"/>
                <w:lang w:eastAsia="en-US"/>
              </w:rPr>
            </w:pPr>
          </w:p>
        </w:tc>
        <w:tc>
          <w:tcPr>
            <w:tcW w:w="2589" w:type="dxa"/>
            <w:tcBorders>
              <w:top w:val="nil"/>
              <w:left w:val="nil"/>
              <w:bottom w:val="nil"/>
              <w:right w:val="single" w:sz="4" w:space="0" w:color="auto"/>
            </w:tcBorders>
            <w:shd w:val="clear" w:color="000000" w:fill="FFFFFF"/>
            <w:hideMark/>
          </w:tcPr>
          <w:p w:rsidR="00BF536B" w:rsidRPr="00F01092" w:rsidRDefault="00BF536B" w:rsidP="00C97D8A">
            <w:pPr>
              <w:ind w:left="213"/>
              <w:rPr>
                <w:rFonts w:eastAsia="Times New Roman"/>
                <w:sz w:val="16"/>
                <w:szCs w:val="16"/>
                <w:lang w:eastAsia="en-US"/>
              </w:rPr>
            </w:pPr>
          </w:p>
          <w:p w:rsidR="00BF536B" w:rsidRPr="00F01092" w:rsidRDefault="00BF536B" w:rsidP="00C97161">
            <w:pPr>
              <w:ind w:leftChars="33" w:left="73"/>
              <w:rPr>
                <w:rFonts w:eastAsia="Times New Roman"/>
                <w:sz w:val="16"/>
                <w:szCs w:val="16"/>
                <w:lang w:eastAsia="en-US"/>
              </w:rPr>
            </w:pPr>
            <w:r w:rsidRPr="00F01092">
              <w:rPr>
                <w:rFonts w:eastAsia="Times New Roman"/>
                <w:sz w:val="16"/>
                <w:szCs w:val="16"/>
                <w:lang w:eastAsia="en-US"/>
              </w:rPr>
              <w:t xml:space="preserve">Se mantiene el alto grado de satisfacción de los usuarios </w:t>
            </w:r>
          </w:p>
        </w:tc>
      </w:tr>
      <w:tr w:rsidR="00BF536B" w:rsidRPr="006A3CA4" w:rsidTr="00C97D8A">
        <w:trPr>
          <w:trHeight w:val="982"/>
        </w:trPr>
        <w:tc>
          <w:tcPr>
            <w:tcW w:w="1960" w:type="dxa"/>
            <w:vMerge/>
            <w:tcBorders>
              <w:top w:val="nil"/>
              <w:left w:val="single" w:sz="4" w:space="0" w:color="auto"/>
              <w:bottom w:val="single" w:sz="4" w:space="0" w:color="auto"/>
              <w:right w:val="nil"/>
            </w:tcBorders>
            <w:vAlign w:val="center"/>
            <w:hideMark/>
          </w:tcPr>
          <w:p w:rsidR="00BF536B" w:rsidRPr="00F01092" w:rsidRDefault="00BF536B" w:rsidP="00C97D8A">
            <w:pPr>
              <w:rPr>
                <w:rFonts w:eastAsia="Times New Roman"/>
                <w:sz w:val="16"/>
                <w:szCs w:val="16"/>
                <w:lang w:eastAsia="en-US"/>
              </w:rPr>
            </w:pPr>
          </w:p>
        </w:tc>
        <w:tc>
          <w:tcPr>
            <w:tcW w:w="2460" w:type="dxa"/>
            <w:tcBorders>
              <w:top w:val="nil"/>
              <w:left w:val="nil"/>
              <w:bottom w:val="single" w:sz="4" w:space="0" w:color="auto"/>
              <w:right w:val="nil"/>
            </w:tcBorders>
            <w:shd w:val="clear" w:color="000000" w:fill="FFFFFF"/>
            <w:hideMark/>
          </w:tcPr>
          <w:p w:rsidR="00BF536B" w:rsidRDefault="00BF536B" w:rsidP="00C97161">
            <w:pPr>
              <w:ind w:leftChars="34" w:left="75"/>
              <w:rPr>
                <w:rFonts w:eastAsia="Times New Roman"/>
                <w:sz w:val="16"/>
                <w:szCs w:val="16"/>
                <w:lang w:eastAsia="en-US"/>
              </w:rPr>
            </w:pPr>
            <w:r w:rsidRPr="00F01092">
              <w:rPr>
                <w:rFonts w:eastAsia="Times New Roman"/>
                <w:sz w:val="16"/>
                <w:szCs w:val="16"/>
                <w:lang w:eastAsia="en-US"/>
              </w:rPr>
              <w:t>Los proyectos de TIC de la OMPI se administran de conformidad con las Directrices para la gestión de proyectos y transición del servicio de la OMPI</w:t>
            </w:r>
          </w:p>
          <w:p w:rsidR="001B0506" w:rsidRDefault="001B0506" w:rsidP="00C97D8A">
            <w:pPr>
              <w:ind w:left="215"/>
              <w:rPr>
                <w:rFonts w:eastAsia="Times New Roman"/>
                <w:sz w:val="16"/>
                <w:szCs w:val="16"/>
                <w:lang w:eastAsia="en-US"/>
              </w:rPr>
            </w:pPr>
          </w:p>
          <w:p w:rsidR="001B0506" w:rsidRPr="009C6B48" w:rsidRDefault="009C6B48" w:rsidP="009C6B48">
            <w:pPr>
              <w:ind w:leftChars="34" w:left="75"/>
              <w:rPr>
                <w:rFonts w:eastAsia="Times New Roman"/>
                <w:sz w:val="16"/>
                <w:szCs w:val="16"/>
                <w:lang w:eastAsia="en-US"/>
              </w:rPr>
            </w:pPr>
            <w:r w:rsidRPr="009C6B48">
              <w:rPr>
                <w:rFonts w:eastAsia="Times New Roman"/>
                <w:color w:val="000000"/>
                <w:sz w:val="16"/>
                <w:szCs w:val="16"/>
                <w:lang w:eastAsia="en-US"/>
              </w:rPr>
              <w:t>Continuidad en el funcionamiento de los sistemas vitales de TIC</w:t>
            </w:r>
          </w:p>
        </w:tc>
        <w:tc>
          <w:tcPr>
            <w:tcW w:w="2220" w:type="dxa"/>
            <w:tcBorders>
              <w:top w:val="nil"/>
              <w:left w:val="nil"/>
              <w:bottom w:val="single" w:sz="4" w:space="0" w:color="auto"/>
              <w:right w:val="nil"/>
            </w:tcBorders>
            <w:shd w:val="clear" w:color="000000" w:fill="FFFFFF"/>
            <w:hideMark/>
          </w:tcPr>
          <w:p w:rsidR="00BF536B" w:rsidRDefault="00BF536B" w:rsidP="00C97161">
            <w:pPr>
              <w:ind w:left="51"/>
              <w:rPr>
                <w:rFonts w:eastAsia="Times New Roman"/>
                <w:sz w:val="16"/>
                <w:szCs w:val="16"/>
                <w:lang w:eastAsia="en-US"/>
              </w:rPr>
            </w:pPr>
            <w:r w:rsidRPr="00F01092">
              <w:rPr>
                <w:rFonts w:eastAsia="Times New Roman"/>
                <w:sz w:val="16"/>
                <w:szCs w:val="16"/>
                <w:lang w:eastAsia="en-US"/>
              </w:rPr>
              <w:t xml:space="preserve">No se han definido las Directrices para la transición </w:t>
            </w:r>
          </w:p>
          <w:p w:rsidR="00BB705E" w:rsidRDefault="00BB705E" w:rsidP="00C97D8A">
            <w:pPr>
              <w:ind w:left="307"/>
              <w:rPr>
                <w:rFonts w:eastAsia="Times New Roman"/>
                <w:sz w:val="16"/>
                <w:szCs w:val="16"/>
                <w:lang w:eastAsia="en-US"/>
              </w:rPr>
            </w:pPr>
          </w:p>
          <w:p w:rsidR="00BB705E" w:rsidRDefault="00BB705E" w:rsidP="00C97D8A">
            <w:pPr>
              <w:ind w:left="307"/>
              <w:rPr>
                <w:rFonts w:eastAsia="Times New Roman"/>
                <w:sz w:val="16"/>
                <w:szCs w:val="16"/>
                <w:lang w:eastAsia="en-US"/>
              </w:rPr>
            </w:pPr>
          </w:p>
          <w:p w:rsidR="00BB705E" w:rsidRDefault="00BB705E" w:rsidP="00C97D8A">
            <w:pPr>
              <w:ind w:left="307"/>
              <w:rPr>
                <w:rFonts w:eastAsia="Times New Roman"/>
                <w:sz w:val="16"/>
                <w:szCs w:val="16"/>
                <w:lang w:eastAsia="en-US"/>
              </w:rPr>
            </w:pPr>
          </w:p>
          <w:p w:rsidR="00BB705E" w:rsidRDefault="00BB705E" w:rsidP="00C97D8A">
            <w:pPr>
              <w:ind w:left="307"/>
              <w:rPr>
                <w:rFonts w:eastAsia="Times New Roman"/>
                <w:sz w:val="16"/>
                <w:szCs w:val="16"/>
                <w:lang w:eastAsia="en-US"/>
              </w:rPr>
            </w:pPr>
          </w:p>
          <w:p w:rsidR="00BB705E" w:rsidRPr="009C6B48" w:rsidRDefault="009C6B48" w:rsidP="009C6B48">
            <w:pPr>
              <w:ind w:left="51"/>
              <w:rPr>
                <w:rFonts w:eastAsia="Times New Roman"/>
                <w:sz w:val="16"/>
                <w:szCs w:val="16"/>
                <w:lang w:eastAsia="en-US"/>
              </w:rPr>
            </w:pPr>
            <w:r>
              <w:rPr>
                <w:rFonts w:eastAsia="Times New Roman"/>
                <w:color w:val="000000"/>
                <w:sz w:val="16"/>
                <w:szCs w:val="16"/>
                <w:lang w:eastAsia="en-US"/>
              </w:rPr>
              <w:t>Recuperación oportuna de l</w:t>
            </w:r>
            <w:r w:rsidRPr="009C6B48">
              <w:rPr>
                <w:rFonts w:eastAsia="Times New Roman"/>
                <w:color w:val="000000"/>
                <w:sz w:val="16"/>
                <w:szCs w:val="16"/>
                <w:lang w:eastAsia="en-US"/>
              </w:rPr>
              <w:t>os sistemas vitales</w:t>
            </w:r>
            <w:r w:rsidR="00BB705E" w:rsidRPr="009C6B48">
              <w:rPr>
                <w:rFonts w:eastAsia="Times New Roman"/>
                <w:color w:val="000000"/>
                <w:sz w:val="16"/>
                <w:szCs w:val="16"/>
                <w:lang w:eastAsia="en-US"/>
              </w:rPr>
              <w:t xml:space="preserve"> </w:t>
            </w:r>
            <w:r>
              <w:rPr>
                <w:rFonts w:eastAsia="Times New Roman"/>
                <w:color w:val="000000"/>
                <w:sz w:val="16"/>
                <w:szCs w:val="16"/>
                <w:lang w:eastAsia="en-US"/>
              </w:rPr>
              <w:t>s</w:t>
            </w:r>
            <w:r w:rsidR="00BB705E" w:rsidRPr="009C6B48">
              <w:rPr>
                <w:rFonts w:eastAsia="Times New Roman"/>
                <w:color w:val="000000"/>
                <w:sz w:val="16"/>
                <w:szCs w:val="16"/>
                <w:lang w:eastAsia="en-US"/>
              </w:rPr>
              <w:t>i</w:t>
            </w:r>
            <w:r>
              <w:rPr>
                <w:rFonts w:eastAsia="Times New Roman"/>
                <w:color w:val="000000"/>
                <w:sz w:val="16"/>
                <w:szCs w:val="16"/>
                <w:lang w:eastAsia="en-US"/>
              </w:rPr>
              <w:t>n pérdida de datos</w:t>
            </w:r>
            <w:r w:rsidR="00BB705E" w:rsidRPr="009C6B48">
              <w:rPr>
                <w:rFonts w:eastAsia="Times New Roman"/>
                <w:color w:val="000000"/>
                <w:sz w:val="16"/>
                <w:szCs w:val="16"/>
                <w:lang w:eastAsia="en-US"/>
              </w:rPr>
              <w:t xml:space="preserve"> </w:t>
            </w:r>
            <w:r>
              <w:rPr>
                <w:rFonts w:eastAsia="Times New Roman"/>
                <w:color w:val="000000"/>
                <w:sz w:val="16"/>
                <w:szCs w:val="16"/>
                <w:lang w:eastAsia="en-US"/>
              </w:rPr>
              <w:t>en caso de importante perturbación localizada</w:t>
            </w:r>
          </w:p>
        </w:tc>
        <w:tc>
          <w:tcPr>
            <w:tcW w:w="2589" w:type="dxa"/>
            <w:tcBorders>
              <w:top w:val="nil"/>
              <w:left w:val="nil"/>
              <w:bottom w:val="single" w:sz="4" w:space="0" w:color="auto"/>
              <w:right w:val="single" w:sz="4" w:space="0" w:color="auto"/>
            </w:tcBorders>
            <w:shd w:val="clear" w:color="000000" w:fill="FFFFFF"/>
            <w:hideMark/>
          </w:tcPr>
          <w:p w:rsidR="00BF536B" w:rsidRDefault="00BF536B" w:rsidP="00C97161">
            <w:pPr>
              <w:ind w:leftChars="33" w:left="73"/>
              <w:rPr>
                <w:rFonts w:eastAsia="Times New Roman"/>
                <w:sz w:val="16"/>
                <w:szCs w:val="16"/>
                <w:lang w:eastAsia="en-US"/>
              </w:rPr>
            </w:pPr>
            <w:r w:rsidRPr="00F01092">
              <w:rPr>
                <w:rFonts w:eastAsia="Times New Roman"/>
                <w:sz w:val="16"/>
                <w:szCs w:val="16"/>
                <w:lang w:eastAsia="en-US"/>
              </w:rPr>
              <w:t>El 70% de los nuevos proyectos ejecutados cumplen las Directrices para la gestión de proy</w:t>
            </w:r>
            <w:r w:rsidR="00BB705E">
              <w:rPr>
                <w:rFonts w:eastAsia="Times New Roman"/>
                <w:sz w:val="16"/>
                <w:szCs w:val="16"/>
                <w:lang w:eastAsia="en-US"/>
              </w:rPr>
              <w:t>ectos y transición del servicio</w:t>
            </w:r>
          </w:p>
          <w:p w:rsidR="00BB705E" w:rsidRDefault="00BB705E" w:rsidP="00C97D8A">
            <w:pPr>
              <w:ind w:left="213"/>
              <w:rPr>
                <w:rFonts w:eastAsia="Times New Roman"/>
                <w:sz w:val="16"/>
                <w:szCs w:val="16"/>
                <w:lang w:eastAsia="en-US"/>
              </w:rPr>
            </w:pPr>
          </w:p>
          <w:p w:rsidR="00BB705E" w:rsidRDefault="00BB705E" w:rsidP="00C97D8A">
            <w:pPr>
              <w:ind w:left="213"/>
              <w:rPr>
                <w:rFonts w:eastAsia="Times New Roman"/>
                <w:sz w:val="16"/>
                <w:szCs w:val="16"/>
                <w:lang w:eastAsia="en-US"/>
              </w:rPr>
            </w:pPr>
          </w:p>
          <w:p w:rsidR="00BB705E" w:rsidRPr="009C6B48" w:rsidRDefault="009C6B48" w:rsidP="009C6B48">
            <w:pPr>
              <w:ind w:left="51"/>
              <w:rPr>
                <w:rFonts w:eastAsia="Times New Roman"/>
                <w:sz w:val="16"/>
                <w:szCs w:val="16"/>
                <w:lang w:eastAsia="en-US"/>
              </w:rPr>
            </w:pPr>
            <w:r w:rsidRPr="009C6B48">
              <w:rPr>
                <w:rFonts w:eastAsia="Times New Roman"/>
                <w:color w:val="000000"/>
                <w:sz w:val="16"/>
                <w:szCs w:val="16"/>
                <w:lang w:eastAsia="en-US"/>
              </w:rPr>
              <w:t>Se avanza hacia una plataforma de TIC que permita que continúen</w:t>
            </w:r>
            <w:r>
              <w:rPr>
                <w:rFonts w:eastAsia="Times New Roman"/>
                <w:color w:val="000000"/>
                <w:sz w:val="16"/>
                <w:szCs w:val="16"/>
                <w:lang w:eastAsia="en-US"/>
              </w:rPr>
              <w:t xml:space="preserve"> funcionando los sistemas vitales en caso de una importante perturbación regional</w:t>
            </w:r>
          </w:p>
        </w:tc>
      </w:tr>
    </w:tbl>
    <w:p w:rsidR="007378C1" w:rsidRPr="00984EFC" w:rsidRDefault="007378C1" w:rsidP="007378C1">
      <w:pPr>
        <w:rPr>
          <w:lang w:val="es-ES_tradnl"/>
        </w:rPr>
      </w:pPr>
    </w:p>
    <w:p w:rsidR="007378C1" w:rsidRPr="007378C1" w:rsidRDefault="00446960" w:rsidP="007378C1">
      <w:pPr>
        <w:autoSpaceDE w:val="0"/>
        <w:autoSpaceDN w:val="0"/>
        <w:adjustRightInd w:val="0"/>
        <w:rPr>
          <w:highlight w:val="lightGray"/>
        </w:rPr>
      </w:pPr>
      <w:r>
        <w:lastRenderedPageBreak/>
        <w:t>RECURSOS PARA EL PROGRAMA</w:t>
      </w:r>
      <w:r w:rsidR="007378C1" w:rsidRPr="000E2CFF">
        <w:t xml:space="preserve"> 25</w:t>
      </w:r>
    </w:p>
    <w:p w:rsidR="007378C1" w:rsidRDefault="007378C1" w:rsidP="007378C1">
      <w:pPr>
        <w:autoSpaceDE w:val="0"/>
        <w:autoSpaceDN w:val="0"/>
        <w:adjustRightInd w:val="0"/>
        <w:rPr>
          <w:highlight w:val="lightGray"/>
        </w:rPr>
      </w:pPr>
    </w:p>
    <w:p w:rsidR="000E2CFF" w:rsidRPr="00F01092" w:rsidRDefault="000E2CFF" w:rsidP="000E2CFF">
      <w:pPr>
        <w:pStyle w:val="ListParagraph"/>
        <w:numPr>
          <w:ilvl w:val="0"/>
          <w:numId w:val="46"/>
        </w:numPr>
        <w:tabs>
          <w:tab w:val="left" w:pos="709"/>
        </w:tabs>
        <w:autoSpaceDE w:val="0"/>
        <w:autoSpaceDN w:val="0"/>
        <w:adjustRightInd w:val="0"/>
        <w:ind w:left="0" w:firstLine="0"/>
        <w:jc w:val="both"/>
        <w:rPr>
          <w:rFonts w:ascii="Arial" w:hAnsi="Arial" w:cs="Arial"/>
          <w:sz w:val="20"/>
          <w:szCs w:val="20"/>
          <w:lang w:val="es-ES"/>
        </w:rPr>
      </w:pPr>
      <w:r w:rsidRPr="000E2CFF">
        <w:rPr>
          <w:rFonts w:ascii="Arial" w:hAnsi="Arial" w:cs="Arial"/>
          <w:sz w:val="20"/>
          <w:szCs w:val="20"/>
          <w:lang w:val="es-ES"/>
        </w:rPr>
        <w:t xml:space="preserve">En 2016/17, </w:t>
      </w:r>
      <w:r w:rsidR="009C6B48">
        <w:rPr>
          <w:rFonts w:ascii="Arial" w:hAnsi="Arial" w:cs="Arial"/>
          <w:sz w:val="20"/>
          <w:szCs w:val="20"/>
          <w:lang w:val="es-ES"/>
        </w:rPr>
        <w:t xml:space="preserve">la dotación global </w:t>
      </w:r>
      <w:r w:rsidRPr="000E2CFF">
        <w:rPr>
          <w:rFonts w:ascii="Arial" w:hAnsi="Arial" w:cs="Arial"/>
          <w:sz w:val="20"/>
          <w:szCs w:val="20"/>
          <w:lang w:val="es-ES"/>
        </w:rPr>
        <w:t xml:space="preserve">de recursos para el programa </w:t>
      </w:r>
      <w:r w:rsidR="009C6B48">
        <w:rPr>
          <w:rFonts w:ascii="Arial" w:hAnsi="Arial" w:cs="Arial"/>
          <w:sz w:val="20"/>
          <w:szCs w:val="20"/>
          <w:lang w:val="es-ES"/>
        </w:rPr>
        <w:t>evidencia</w:t>
      </w:r>
      <w:r w:rsidRPr="000E2CFF">
        <w:rPr>
          <w:rFonts w:ascii="Arial" w:hAnsi="Arial" w:cs="Arial"/>
          <w:sz w:val="20"/>
          <w:szCs w:val="20"/>
          <w:lang w:val="es-ES"/>
        </w:rPr>
        <w:t xml:space="preserve"> un incremento neto de aproximadamente 5,7 millones de francos suizos con respecto al presupuesto de 2014/</w:t>
      </w:r>
      <w:r w:rsidR="00ED0A05">
        <w:rPr>
          <w:rFonts w:ascii="Arial" w:hAnsi="Arial" w:cs="Arial"/>
          <w:sz w:val="20"/>
          <w:szCs w:val="20"/>
          <w:lang w:val="es-ES"/>
        </w:rPr>
        <w:t>15 tras las</w:t>
      </w:r>
      <w:r w:rsidRPr="000E2CFF">
        <w:rPr>
          <w:rFonts w:ascii="Arial" w:hAnsi="Arial" w:cs="Arial"/>
          <w:sz w:val="20"/>
          <w:szCs w:val="20"/>
          <w:lang w:val="es-ES"/>
        </w:rPr>
        <w:t xml:space="preserve"> transferencias.  Ello se debe, por una parte, a una disminución en los recursos de personal como consecuencia de la transferencia, al programa 28 (Aseguramiento de la información, seguridad y vigilancia) de las actividades relativas al aseguramiento de la información, lo que se refleja en el resultado previsto IX.4 y, por otra, al incremento sustancial en los recursos </w:t>
      </w:r>
      <w:r w:rsidR="00DE0A62">
        <w:rPr>
          <w:rFonts w:ascii="Arial" w:hAnsi="Arial" w:cs="Arial"/>
          <w:sz w:val="20"/>
          <w:szCs w:val="20"/>
          <w:lang w:val="es-ES"/>
        </w:rPr>
        <w:t>no relativos a personal</w:t>
      </w:r>
      <w:r w:rsidRPr="000E2CFF">
        <w:rPr>
          <w:rFonts w:ascii="Arial" w:hAnsi="Arial" w:cs="Arial"/>
          <w:sz w:val="20"/>
          <w:szCs w:val="20"/>
          <w:lang w:val="es-ES"/>
        </w:rPr>
        <w:t xml:space="preserve">, debido a la mayor dependencia de la Organización de una infraestructura y unos servicios de TIC fiables y eficaces, lo que se refleja en el resultado previsto IX.1.  Los recursos en el marco del resultado previsto IX.4 reflejan la colaboración del programa con el programa 5 (Sistema del PCT) para </w:t>
      </w:r>
      <w:r w:rsidR="00387230">
        <w:rPr>
          <w:rFonts w:ascii="Arial" w:hAnsi="Arial" w:cs="Arial"/>
          <w:sz w:val="20"/>
          <w:szCs w:val="20"/>
          <w:lang w:val="es-ES"/>
        </w:rPr>
        <w:t>mejorar tanto</w:t>
      </w:r>
      <w:r w:rsidRPr="000E2CFF">
        <w:rPr>
          <w:rFonts w:ascii="Arial" w:hAnsi="Arial" w:cs="Arial"/>
          <w:sz w:val="20"/>
          <w:szCs w:val="20"/>
          <w:lang w:val="es-ES"/>
        </w:rPr>
        <w:t xml:space="preserve"> la capacidad de </w:t>
      </w:r>
      <w:r w:rsidR="009C12F8">
        <w:rPr>
          <w:rFonts w:ascii="Arial" w:hAnsi="Arial" w:cs="Arial"/>
          <w:sz w:val="20"/>
          <w:szCs w:val="20"/>
          <w:lang w:val="es-ES"/>
        </w:rPr>
        <w:t>reacción</w:t>
      </w:r>
      <w:r w:rsidR="00387230">
        <w:rPr>
          <w:rFonts w:ascii="Arial" w:hAnsi="Arial" w:cs="Arial"/>
          <w:sz w:val="20"/>
          <w:szCs w:val="20"/>
          <w:lang w:val="es-ES"/>
        </w:rPr>
        <w:t xml:space="preserve"> y recuperación</w:t>
      </w:r>
      <w:r w:rsidRPr="000E2CFF">
        <w:rPr>
          <w:rFonts w:ascii="Arial" w:hAnsi="Arial" w:cs="Arial"/>
          <w:sz w:val="20"/>
          <w:szCs w:val="20"/>
          <w:lang w:val="es-ES"/>
        </w:rPr>
        <w:t xml:space="preserve"> </w:t>
      </w:r>
      <w:r w:rsidR="00387230">
        <w:rPr>
          <w:rFonts w:ascii="Arial" w:hAnsi="Arial" w:cs="Arial"/>
          <w:sz w:val="20"/>
          <w:szCs w:val="20"/>
          <w:lang w:val="es-ES"/>
        </w:rPr>
        <w:t>como</w:t>
      </w:r>
      <w:r w:rsidRPr="000E2CFF">
        <w:rPr>
          <w:rFonts w:ascii="Arial" w:hAnsi="Arial" w:cs="Arial"/>
          <w:sz w:val="20"/>
          <w:szCs w:val="20"/>
          <w:lang w:val="es-ES"/>
        </w:rPr>
        <w:t xml:space="preserve"> los nivel</w:t>
      </w:r>
      <w:r w:rsidR="00387230">
        <w:rPr>
          <w:rFonts w:ascii="Arial" w:hAnsi="Arial" w:cs="Arial"/>
          <w:sz w:val="20"/>
          <w:szCs w:val="20"/>
          <w:lang w:val="es-ES"/>
        </w:rPr>
        <w:t>es de seguridad del PCT</w:t>
      </w:r>
      <w:r w:rsidRPr="000E2CFF">
        <w:rPr>
          <w:rFonts w:ascii="Arial" w:hAnsi="Arial" w:cs="Arial"/>
          <w:sz w:val="20"/>
          <w:szCs w:val="20"/>
          <w:lang w:val="es-ES"/>
        </w:rPr>
        <w:t>.</w:t>
      </w:r>
    </w:p>
    <w:p w:rsidR="000E2CFF" w:rsidRDefault="000E2CFF" w:rsidP="007378C1">
      <w:pPr>
        <w:autoSpaceDE w:val="0"/>
        <w:autoSpaceDN w:val="0"/>
        <w:adjustRightInd w:val="0"/>
        <w:rPr>
          <w:highlight w:val="lightGray"/>
        </w:rPr>
      </w:pPr>
    </w:p>
    <w:p w:rsidR="007378C1" w:rsidRPr="000E2CFF" w:rsidRDefault="007378C1" w:rsidP="007378C1">
      <w:pPr>
        <w:autoSpaceDE w:val="0"/>
        <w:autoSpaceDN w:val="0"/>
        <w:adjustRightInd w:val="0"/>
        <w:rPr>
          <w:sz w:val="20"/>
          <w:highlight w:val="lightGray"/>
        </w:rPr>
      </w:pPr>
    </w:p>
    <w:p w:rsidR="007378C1" w:rsidRPr="00446960" w:rsidRDefault="007378C1" w:rsidP="009C6B48">
      <w:pPr>
        <w:keepNext/>
        <w:keepLines/>
        <w:tabs>
          <w:tab w:val="left" w:pos="1427"/>
        </w:tabs>
        <w:jc w:val="center"/>
        <w:rPr>
          <w:sz w:val="20"/>
          <w:highlight w:val="lightGray"/>
          <w:lang w:eastAsia="en-US"/>
        </w:rPr>
      </w:pPr>
      <w:r w:rsidRPr="00446960">
        <w:rPr>
          <w:b/>
          <w:sz w:val="20"/>
          <w:szCs w:val="24"/>
        </w:rPr>
        <w:t>Program</w:t>
      </w:r>
      <w:r w:rsidR="00446960" w:rsidRPr="00446960">
        <w:rPr>
          <w:b/>
          <w:sz w:val="20"/>
          <w:szCs w:val="24"/>
        </w:rPr>
        <w:t>a</w:t>
      </w:r>
      <w:r w:rsidRPr="00446960">
        <w:rPr>
          <w:b/>
          <w:sz w:val="20"/>
          <w:szCs w:val="24"/>
        </w:rPr>
        <w:t xml:space="preserve"> 25</w:t>
      </w:r>
      <w:proofErr w:type="gramStart"/>
      <w:r w:rsidRPr="00446960">
        <w:rPr>
          <w:b/>
          <w:sz w:val="20"/>
          <w:szCs w:val="24"/>
        </w:rPr>
        <w:t xml:space="preserve">:  </w:t>
      </w:r>
      <w:r w:rsidR="00446960" w:rsidRPr="00073668">
        <w:rPr>
          <w:rFonts w:eastAsiaTheme="minorEastAsia"/>
          <w:b/>
          <w:sz w:val="20"/>
        </w:rPr>
        <w:t>Recursos</w:t>
      </w:r>
      <w:proofErr w:type="gramEnd"/>
      <w:r w:rsidR="00446960" w:rsidRPr="00073668">
        <w:rPr>
          <w:rFonts w:eastAsiaTheme="minorEastAsia"/>
          <w:b/>
          <w:sz w:val="20"/>
        </w:rPr>
        <w:t xml:space="preserve"> por resultado</w:t>
      </w:r>
    </w:p>
    <w:p w:rsidR="007378C1" w:rsidRPr="00446960" w:rsidRDefault="007378C1" w:rsidP="009C6B48">
      <w:pPr>
        <w:keepNext/>
        <w:keepLines/>
        <w:tabs>
          <w:tab w:val="left" w:pos="1427"/>
        </w:tabs>
        <w:spacing w:after="120"/>
        <w:jc w:val="center"/>
        <w:rPr>
          <w:i/>
          <w:sz w:val="20"/>
          <w:szCs w:val="24"/>
          <w:highlight w:val="lightGray"/>
        </w:rPr>
      </w:pPr>
      <w:r w:rsidRPr="00446960">
        <w:rPr>
          <w:i/>
          <w:sz w:val="20"/>
          <w:szCs w:val="24"/>
        </w:rPr>
        <w:t>(</w:t>
      </w:r>
      <w:proofErr w:type="gramStart"/>
      <w:r w:rsidR="00446960" w:rsidRPr="00446960">
        <w:rPr>
          <w:i/>
          <w:sz w:val="20"/>
          <w:szCs w:val="24"/>
        </w:rPr>
        <w:t>en</w:t>
      </w:r>
      <w:proofErr w:type="gramEnd"/>
      <w:r w:rsidR="00446960" w:rsidRPr="00446960">
        <w:rPr>
          <w:i/>
          <w:sz w:val="20"/>
          <w:szCs w:val="24"/>
        </w:rPr>
        <w:t xml:space="preserve"> miles de francos suizos</w:t>
      </w:r>
      <w:r w:rsidRPr="00446960">
        <w:rPr>
          <w:i/>
          <w:sz w:val="20"/>
          <w:szCs w:val="24"/>
        </w:rPr>
        <w:t>)</w:t>
      </w:r>
    </w:p>
    <w:p w:rsidR="007378C1" w:rsidRPr="009C6B48" w:rsidRDefault="007378C1" w:rsidP="009C6B48">
      <w:pPr>
        <w:keepNext/>
        <w:keepLines/>
        <w:autoSpaceDE w:val="0"/>
        <w:autoSpaceDN w:val="0"/>
        <w:adjustRightInd w:val="0"/>
        <w:jc w:val="center"/>
        <w:rPr>
          <w:sz w:val="20"/>
          <w:szCs w:val="24"/>
          <w:highlight w:val="lightGray"/>
        </w:rPr>
      </w:pPr>
    </w:p>
    <w:p w:rsidR="007378C1" w:rsidRPr="007378C1" w:rsidRDefault="009C6B48" w:rsidP="007378C1">
      <w:pPr>
        <w:autoSpaceDE w:val="0"/>
        <w:autoSpaceDN w:val="0"/>
        <w:adjustRightInd w:val="0"/>
        <w:jc w:val="center"/>
        <w:rPr>
          <w:b/>
          <w:sz w:val="20"/>
          <w:szCs w:val="24"/>
          <w:highlight w:val="lightGray"/>
        </w:rPr>
      </w:pPr>
      <w:r w:rsidRPr="009C6B48">
        <w:rPr>
          <w:noProof/>
          <w:lang w:val="en-US" w:eastAsia="en-US"/>
        </w:rPr>
        <w:drawing>
          <wp:inline distT="0" distB="0" distL="0" distR="0">
            <wp:extent cx="5677535" cy="2162810"/>
            <wp:effectExtent l="0" t="0" r="0" b="889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677535" cy="2162810"/>
                    </a:xfrm>
                    <a:prstGeom prst="rect">
                      <a:avLst/>
                    </a:prstGeom>
                    <a:noFill/>
                    <a:ln>
                      <a:noFill/>
                    </a:ln>
                  </pic:spPr>
                </pic:pic>
              </a:graphicData>
            </a:graphic>
          </wp:inline>
        </w:drawing>
      </w:r>
    </w:p>
    <w:p w:rsidR="007378C1" w:rsidRPr="00A339B4" w:rsidRDefault="007378C1" w:rsidP="007378C1">
      <w:pPr>
        <w:autoSpaceDE w:val="0"/>
        <w:autoSpaceDN w:val="0"/>
        <w:adjustRightInd w:val="0"/>
        <w:jc w:val="center"/>
        <w:rPr>
          <w:sz w:val="20"/>
          <w:szCs w:val="24"/>
          <w:highlight w:val="lightGray"/>
        </w:rPr>
      </w:pPr>
    </w:p>
    <w:p w:rsidR="009C6B48" w:rsidRDefault="009C6B48">
      <w:pPr>
        <w:rPr>
          <w:b/>
          <w:sz w:val="20"/>
          <w:szCs w:val="24"/>
        </w:rPr>
      </w:pPr>
      <w:r>
        <w:rPr>
          <w:b/>
          <w:sz w:val="20"/>
          <w:szCs w:val="24"/>
        </w:rPr>
        <w:br w:type="page"/>
      </w:r>
    </w:p>
    <w:p w:rsidR="007378C1" w:rsidRPr="00570FF2" w:rsidRDefault="007378C1" w:rsidP="007378C1">
      <w:pPr>
        <w:jc w:val="center"/>
        <w:rPr>
          <w:sz w:val="20"/>
          <w:lang w:eastAsia="en-US"/>
        </w:rPr>
      </w:pPr>
      <w:r w:rsidRPr="00570FF2">
        <w:rPr>
          <w:b/>
          <w:sz w:val="20"/>
          <w:szCs w:val="24"/>
        </w:rPr>
        <w:lastRenderedPageBreak/>
        <w:t>Program</w:t>
      </w:r>
      <w:r w:rsidR="00570FF2" w:rsidRPr="00570FF2">
        <w:rPr>
          <w:b/>
          <w:sz w:val="20"/>
          <w:szCs w:val="24"/>
        </w:rPr>
        <w:t>a</w:t>
      </w:r>
      <w:r w:rsidRPr="00570FF2">
        <w:rPr>
          <w:b/>
          <w:sz w:val="20"/>
          <w:szCs w:val="24"/>
        </w:rPr>
        <w:t xml:space="preserve"> 25</w:t>
      </w:r>
      <w:proofErr w:type="gramStart"/>
      <w:r w:rsidRPr="00570FF2">
        <w:rPr>
          <w:b/>
          <w:sz w:val="20"/>
          <w:szCs w:val="24"/>
        </w:rPr>
        <w:t xml:space="preserve">:  </w:t>
      </w:r>
      <w:r w:rsidR="00570FF2" w:rsidRPr="00570FF2">
        <w:rPr>
          <w:rFonts w:eastAsiaTheme="minorEastAsia"/>
          <w:b/>
          <w:sz w:val="20"/>
        </w:rPr>
        <w:t>Recursos</w:t>
      </w:r>
      <w:proofErr w:type="gramEnd"/>
      <w:r w:rsidR="00570FF2" w:rsidRPr="00570FF2">
        <w:rPr>
          <w:rFonts w:eastAsiaTheme="minorEastAsia"/>
          <w:b/>
          <w:sz w:val="20"/>
        </w:rPr>
        <w:t xml:space="preserve"> por objeto de gasto</w:t>
      </w:r>
    </w:p>
    <w:p w:rsidR="007378C1" w:rsidRPr="00570FF2" w:rsidRDefault="007378C1" w:rsidP="009C6B48">
      <w:pPr>
        <w:tabs>
          <w:tab w:val="left" w:pos="1427"/>
        </w:tabs>
        <w:spacing w:after="120"/>
        <w:jc w:val="center"/>
        <w:rPr>
          <w:i/>
          <w:sz w:val="20"/>
          <w:szCs w:val="24"/>
        </w:rPr>
      </w:pPr>
      <w:r w:rsidRPr="00570FF2">
        <w:rPr>
          <w:i/>
          <w:sz w:val="20"/>
          <w:szCs w:val="24"/>
        </w:rPr>
        <w:t>(</w:t>
      </w:r>
      <w:proofErr w:type="gramStart"/>
      <w:r w:rsidR="00570FF2" w:rsidRPr="00570FF2">
        <w:rPr>
          <w:i/>
          <w:sz w:val="20"/>
          <w:szCs w:val="24"/>
        </w:rPr>
        <w:t>en</w:t>
      </w:r>
      <w:proofErr w:type="gramEnd"/>
      <w:r w:rsidR="00570FF2" w:rsidRPr="00570FF2">
        <w:rPr>
          <w:i/>
          <w:sz w:val="20"/>
          <w:szCs w:val="24"/>
        </w:rPr>
        <w:t xml:space="preserve"> miles de francos suizos</w:t>
      </w:r>
      <w:r w:rsidRPr="00570FF2">
        <w:rPr>
          <w:i/>
          <w:sz w:val="20"/>
          <w:szCs w:val="24"/>
        </w:rPr>
        <w:t>)</w:t>
      </w:r>
    </w:p>
    <w:p w:rsidR="007378C1" w:rsidRDefault="00835617" w:rsidP="007378C1">
      <w:pPr>
        <w:autoSpaceDE w:val="0"/>
        <w:autoSpaceDN w:val="0"/>
        <w:adjustRightInd w:val="0"/>
        <w:jc w:val="center"/>
        <w:rPr>
          <w:sz w:val="20"/>
        </w:rPr>
      </w:pPr>
      <w:r>
        <w:rPr>
          <w:noProof/>
          <w:lang w:val="en-US" w:eastAsia="en-US"/>
        </w:rPr>
        <w:drawing>
          <wp:inline distT="0" distB="0" distL="0" distR="0" wp14:anchorId="1C738E82" wp14:editId="182EE141">
            <wp:extent cx="5940425" cy="6118130"/>
            <wp:effectExtent l="0" t="0" r="3175"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940425" cy="6118130"/>
                    </a:xfrm>
                    <a:prstGeom prst="rect">
                      <a:avLst/>
                    </a:prstGeom>
                    <a:noFill/>
                    <a:ln>
                      <a:noFill/>
                    </a:ln>
                  </pic:spPr>
                </pic:pic>
              </a:graphicData>
            </a:graphic>
          </wp:inline>
        </w:drawing>
      </w:r>
    </w:p>
    <w:p w:rsidR="007378C1" w:rsidRDefault="007378C1" w:rsidP="007378C1">
      <w:pPr>
        <w:autoSpaceDE w:val="0"/>
        <w:autoSpaceDN w:val="0"/>
        <w:adjustRightInd w:val="0"/>
        <w:rPr>
          <w:sz w:val="20"/>
        </w:rPr>
      </w:pPr>
    </w:p>
    <w:p w:rsidR="00BF536B" w:rsidRPr="00A339B4" w:rsidRDefault="00BF536B" w:rsidP="00BF536B">
      <w:pPr>
        <w:autoSpaceDE w:val="0"/>
        <w:autoSpaceDN w:val="0"/>
        <w:adjustRightInd w:val="0"/>
        <w:rPr>
          <w:sz w:val="20"/>
          <w:lang w:val="en-US"/>
        </w:rPr>
      </w:pPr>
    </w:p>
    <w:p w:rsidR="00440E91" w:rsidRDefault="00440E91">
      <w:pPr>
        <w:rPr>
          <w:szCs w:val="22"/>
          <w:lang w:val="en-US"/>
        </w:rPr>
      </w:pPr>
      <w:r>
        <w:rPr>
          <w:szCs w:val="22"/>
          <w:lang w:val="en-US"/>
        </w:rPr>
        <w:br w:type="page"/>
      </w:r>
    </w:p>
    <w:p w:rsidR="00440E91" w:rsidRPr="006105F6" w:rsidRDefault="00440E91" w:rsidP="00714E8E">
      <w:pPr>
        <w:pStyle w:val="StyleStyleHeading3ComplexItalicLatin12pt"/>
        <w:rPr>
          <w:lang w:val="es-ES"/>
        </w:rPr>
      </w:pPr>
      <w:bookmarkStart w:id="79" w:name="_Toc420681166"/>
      <w:r w:rsidRPr="006105F6">
        <w:rPr>
          <w:lang w:val="es-ES"/>
        </w:rPr>
        <w:lastRenderedPageBreak/>
        <w:t>PROGRAMA 26</w:t>
      </w:r>
      <w:r w:rsidRPr="006105F6">
        <w:rPr>
          <w:lang w:val="es-ES"/>
        </w:rPr>
        <w:tab/>
        <w:t>SUPERVISIÓN INTERNA</w:t>
      </w:r>
      <w:bookmarkEnd w:id="79"/>
    </w:p>
    <w:p w:rsidR="00440E91" w:rsidRPr="006105F6" w:rsidRDefault="00440E91" w:rsidP="002C7B29">
      <w:pPr>
        <w:jc w:val="both"/>
        <w:rPr>
          <w:b/>
          <w:bCs/>
          <w:szCs w:val="22"/>
        </w:rPr>
      </w:pPr>
    </w:p>
    <w:p w:rsidR="00440E91" w:rsidRPr="006105F6" w:rsidRDefault="00440E91" w:rsidP="002C7B29">
      <w:pPr>
        <w:jc w:val="both"/>
        <w:rPr>
          <w:b/>
          <w:bCs/>
          <w:szCs w:val="22"/>
        </w:rPr>
      </w:pPr>
    </w:p>
    <w:p w:rsidR="00440E91" w:rsidRPr="006105F6" w:rsidRDefault="00440E91" w:rsidP="002C7B29">
      <w:pPr>
        <w:jc w:val="both"/>
        <w:rPr>
          <w:bCs/>
          <w:szCs w:val="22"/>
        </w:rPr>
      </w:pPr>
      <w:r w:rsidRPr="006105F6">
        <w:rPr>
          <w:bCs/>
          <w:szCs w:val="22"/>
        </w:rPr>
        <w:t>CONTEXTO DE PLANIFICACIÓN</w:t>
      </w:r>
    </w:p>
    <w:p w:rsidR="00440E91" w:rsidRPr="006105F6" w:rsidRDefault="00440E91" w:rsidP="002C7B29">
      <w:pPr>
        <w:jc w:val="both"/>
        <w:rPr>
          <w:bCs/>
          <w:szCs w:val="22"/>
        </w:rPr>
      </w:pPr>
    </w:p>
    <w:p w:rsidR="00440E91" w:rsidRPr="006105F6" w:rsidRDefault="00440E91" w:rsidP="002C7B29">
      <w:pPr>
        <w:pStyle w:val="ListParagraph"/>
        <w:numPr>
          <w:ilvl w:val="0"/>
          <w:numId w:val="48"/>
        </w:numPr>
        <w:tabs>
          <w:tab w:val="left" w:pos="709"/>
        </w:tabs>
        <w:autoSpaceDE w:val="0"/>
        <w:autoSpaceDN w:val="0"/>
        <w:adjustRightInd w:val="0"/>
        <w:ind w:left="0" w:firstLine="0"/>
        <w:jc w:val="both"/>
        <w:rPr>
          <w:rFonts w:ascii="Arial" w:hAnsi="Arial" w:cs="Arial"/>
          <w:sz w:val="20"/>
          <w:lang w:val="es-ES"/>
        </w:rPr>
      </w:pPr>
      <w:r w:rsidRPr="006105F6">
        <w:rPr>
          <w:rFonts w:ascii="Arial" w:hAnsi="Arial" w:cs="Arial"/>
          <w:sz w:val="20"/>
          <w:lang w:val="es-ES"/>
        </w:rPr>
        <w:t>La División de Supervisión Interna (DSI) examina de forma independiente y objetiva las actividades, la ejecución de los programas y los sistemas operacionales de la OMPI.  La DSI examina lo antes mencionado teniendo en cuenta el riesgo o la relevancia que tienen para la Administración y los distintos sectores de la OMPI, con el fin de fomentar el ahorro, la eficiencia, la eficacia y la incidencia de la labor de la Secretaría.  La DSI evalúa, de forma independiente, los sistemas y procesos operacionales y de control de la OMPI con el fin de determinar las prácticas óptimas y las deficiencias, y formular recomendaciones para subsanarlas.  La DSI también investiga las alegaciones de fraude, abusos y conductas indebidas, y formula recomendaciones para impedir tales prácticas.  Desde el punto de vista administrativo, la DSI depende jerárquicamente del Director General y proporciona una garantía razonable y objetiva a los Estados miembros acerca de la efectividad, la eficiencia, la economía y la relevancia de las operaciones que lleva a cabo la OMPI así como de la ejecución de los programas y de la marcha de los sistemas operacionales.  También evalúa la salvaguarda de los activos, y determina si los fondos confiados a la Organización se han contabilizado correctamente y si las prácticas de gestión y los controles internos son adecuados y funcionan adecuadamente.  Las actividades de la DSI han sido diseñadas con el fin de añadir valor a la Organización, de conformidad con la Carta de la OMPI de Supervisión Interna.</w:t>
      </w:r>
    </w:p>
    <w:p w:rsidR="00AE2CFF" w:rsidRPr="006105F6" w:rsidRDefault="00AE2CFF" w:rsidP="00AE2CFF">
      <w:pPr>
        <w:pStyle w:val="ListParagraph"/>
        <w:tabs>
          <w:tab w:val="left" w:pos="709"/>
        </w:tabs>
        <w:autoSpaceDE w:val="0"/>
        <w:autoSpaceDN w:val="0"/>
        <w:adjustRightInd w:val="0"/>
        <w:spacing w:before="120" w:after="120"/>
        <w:ind w:left="0"/>
        <w:jc w:val="both"/>
        <w:rPr>
          <w:rFonts w:ascii="Arial" w:hAnsi="Arial" w:cs="Arial"/>
          <w:sz w:val="20"/>
          <w:lang w:val="es-ES"/>
        </w:rPr>
      </w:pPr>
    </w:p>
    <w:p w:rsidR="00AE2CFF" w:rsidRPr="006105F6" w:rsidRDefault="00AE2CFF" w:rsidP="00AE2CFF">
      <w:pPr>
        <w:pStyle w:val="ListParagraph"/>
        <w:tabs>
          <w:tab w:val="left" w:pos="709"/>
        </w:tabs>
        <w:autoSpaceDE w:val="0"/>
        <w:autoSpaceDN w:val="0"/>
        <w:adjustRightInd w:val="0"/>
        <w:ind w:left="0"/>
        <w:jc w:val="both"/>
        <w:rPr>
          <w:rFonts w:ascii="Arial" w:hAnsi="Arial" w:cs="Arial"/>
          <w:sz w:val="20"/>
          <w:lang w:val="es-ES"/>
        </w:rPr>
      </w:pPr>
    </w:p>
    <w:p w:rsidR="00440E91" w:rsidRPr="006105F6" w:rsidRDefault="00440E91" w:rsidP="00AE2CFF">
      <w:r w:rsidRPr="006105F6">
        <w:t>ESTRATEGIAS DE EJECUCIÓN</w:t>
      </w:r>
    </w:p>
    <w:p w:rsidR="00AE2CFF" w:rsidRPr="006105F6" w:rsidRDefault="00AE2CFF" w:rsidP="00AE2CFF"/>
    <w:p w:rsidR="00440E91" w:rsidRPr="006105F6" w:rsidRDefault="00440E91" w:rsidP="00AE2CFF">
      <w:pPr>
        <w:pStyle w:val="ListParagraph"/>
        <w:numPr>
          <w:ilvl w:val="0"/>
          <w:numId w:val="48"/>
        </w:numPr>
        <w:tabs>
          <w:tab w:val="left" w:pos="709"/>
        </w:tabs>
        <w:autoSpaceDE w:val="0"/>
        <w:autoSpaceDN w:val="0"/>
        <w:adjustRightInd w:val="0"/>
        <w:ind w:left="0" w:firstLine="0"/>
        <w:jc w:val="both"/>
        <w:rPr>
          <w:rFonts w:ascii="Arial" w:hAnsi="Arial" w:cs="Arial"/>
          <w:sz w:val="20"/>
          <w:szCs w:val="20"/>
          <w:lang w:val="es-ES"/>
        </w:rPr>
      </w:pPr>
      <w:r w:rsidRPr="006105F6">
        <w:rPr>
          <w:rFonts w:ascii="Arial" w:hAnsi="Arial" w:cs="Arial"/>
          <w:sz w:val="20"/>
          <w:szCs w:val="20"/>
          <w:lang w:val="es-ES"/>
        </w:rPr>
        <w:t>La DSI llevará a cabo evaluaciones objetivas de los procesos y sistemas de gestión con el fin de determinar la existencia de una administración responsable de los recursos monetarios y físicos de la Organización.  Evaluará asimismo la idoneidad y la efectividad de los controles internos, de la gestión de los riesgos, de los procesos de gobierno y proporcionará una garantía razonable acerca de la conformidad de las operaciones de la OMPI con la reglamentación aplicable. Se continuará fomentando el aprendizaje y la rendición de cuentas a escala institucional mediante procesos de supervisión transparentes y participativos.</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440E91" w:rsidP="00440E91">
      <w:pPr>
        <w:pStyle w:val="ListParagraph"/>
        <w:numPr>
          <w:ilvl w:val="0"/>
          <w:numId w:val="48"/>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t>La</w:t>
      </w:r>
      <w:r w:rsidRPr="006105F6">
        <w:rPr>
          <w:rFonts w:ascii="Arial" w:hAnsi="Arial" w:cs="Arial"/>
          <w:sz w:val="20"/>
          <w:lang w:val="es-ES"/>
        </w:rPr>
        <w:t xml:space="preserve"> DSI seguirá prestando apoyo a la Administración en la elaboración y aplicación de un marco eficaz y efectivo de ética e integridad en el que se hayan definido con claridad las obligaciones, funciones, responsabilidades y derechos de todo el personal de la OMPI</w:t>
      </w:r>
      <w:r w:rsidRPr="006105F6">
        <w:rPr>
          <w:rFonts w:ascii="Arial" w:hAnsi="Arial" w:cs="Arial"/>
          <w:sz w:val="20"/>
          <w:szCs w:val="20"/>
          <w:lang w:val="es-ES"/>
        </w:rPr>
        <w:t xml:space="preserve">.  A esos fines, se deberá presentar informes de investigación puntuales elaborados con arreglo a las normas y prácticas óptimas en materia de investigación del sistema de las NN.UU.  </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440E91" w:rsidP="00440E91">
      <w:pPr>
        <w:pStyle w:val="ListParagraph"/>
        <w:numPr>
          <w:ilvl w:val="0"/>
          <w:numId w:val="48"/>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lang w:val="es-ES"/>
        </w:rPr>
        <w:t>La DSI tendrá en cuenta los resultados y las recomendaciones de la evaluación externa de la calidad de sus tres funciones, a saber, la auditoría, la evaluación y la investigación, que fue realizada en 2014/2015 con objeto de mejorar los servicios que presta a la Organización.  Mediante esas tres disciplinas, la DSI podrá ofrecer servicios de alto nivel a la Organización y reforzar las sinergias entre ellas llevando a cabo actividades comunes de planificación, formación y seguimiento, entre otros medios</w:t>
      </w:r>
      <w:r w:rsidRPr="006105F6">
        <w:rPr>
          <w:rFonts w:ascii="Arial" w:hAnsi="Arial" w:cs="Arial"/>
          <w:sz w:val="20"/>
          <w:szCs w:val="20"/>
          <w:lang w:val="es-ES"/>
        </w:rPr>
        <w:t>.  Además, se seguirá elaborando y actualizando herramientas de supervisión adecuadas, tales como manuales, políticas y directrices que estén en consonancia con las normas profesionales reconocidas en el plano internacional y con las prácticas óptimas de las NN.UU. y de otras organizaciones internacionales.</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440E91" w:rsidP="00440E91">
      <w:pPr>
        <w:pStyle w:val="ListParagraph"/>
        <w:numPr>
          <w:ilvl w:val="0"/>
          <w:numId w:val="48"/>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lang w:val="es-ES"/>
        </w:rPr>
        <w:t xml:space="preserve">Se seguirá ofreciendo apoyo y asesoramiento profesional, según proceda, a todos los </w:t>
      </w:r>
      <w:r w:rsidRPr="006105F6">
        <w:rPr>
          <w:rFonts w:ascii="Arial" w:hAnsi="Arial" w:cs="Arial"/>
          <w:sz w:val="20"/>
          <w:szCs w:val="20"/>
          <w:lang w:val="es-ES"/>
        </w:rPr>
        <w:t xml:space="preserve"> directores de programa, en particular asesoramiento en tiempo real mediante la realización de auditorías continuas, evaluaciones y exámenes de ciclo corto.  La DSI seguirá manteniendo una línea telefónica directa para denunciar irregularidades y posibles casos de conductas indebidas en la OMPI, y realizará investigaciones proactivas destinadas a detectar casos no denunciados de fraude o abuso, y a proponer controles para atenuar las consecuencias de tales actuaciones.  </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A339B4" w:rsidP="00440E91">
      <w:pPr>
        <w:pStyle w:val="ListParagraph"/>
        <w:numPr>
          <w:ilvl w:val="0"/>
          <w:numId w:val="48"/>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t xml:space="preserve">Seguirá teniendo carácter prioritario </w:t>
      </w:r>
      <w:r>
        <w:rPr>
          <w:rFonts w:ascii="Arial" w:hAnsi="Arial" w:cs="Arial"/>
          <w:sz w:val="20"/>
          <w:szCs w:val="20"/>
          <w:lang w:val="es-ES"/>
        </w:rPr>
        <w:t>l</w:t>
      </w:r>
      <w:r w:rsidR="00440E91" w:rsidRPr="006105F6">
        <w:rPr>
          <w:rFonts w:ascii="Arial" w:hAnsi="Arial" w:cs="Arial"/>
          <w:sz w:val="20"/>
          <w:szCs w:val="20"/>
          <w:lang w:val="es-ES"/>
        </w:rPr>
        <w:t xml:space="preserve">a cooperación y coordinación con el Auditor Externo y demás proveedores de aseguramiento </w:t>
      </w:r>
      <w:r>
        <w:rPr>
          <w:rFonts w:ascii="Arial" w:hAnsi="Arial" w:cs="Arial"/>
          <w:sz w:val="20"/>
          <w:szCs w:val="20"/>
          <w:lang w:val="es-ES"/>
        </w:rPr>
        <w:t>de la supervisión</w:t>
      </w:r>
      <w:r w:rsidR="00440E91" w:rsidRPr="006105F6">
        <w:rPr>
          <w:rFonts w:ascii="Arial" w:hAnsi="Arial" w:cs="Arial"/>
          <w:sz w:val="20"/>
          <w:szCs w:val="20"/>
          <w:lang w:val="es-ES"/>
        </w:rPr>
        <w:t>.  Durante el bienio, se mantendrá la cooperación con los organismos de las NN.UU. encargados de la supervisión interna y con las asociaciones internacionales y profesionales con miras a asegurar que la supervisión interna en la OMPI contribuya a los últimos avances en la materia y se beneficie de ellos.</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440E91" w:rsidP="00440E91">
      <w:pPr>
        <w:pStyle w:val="ListParagraph"/>
        <w:numPr>
          <w:ilvl w:val="0"/>
          <w:numId w:val="48"/>
        </w:numPr>
        <w:tabs>
          <w:tab w:val="left" w:pos="709"/>
        </w:tabs>
        <w:autoSpaceDE w:val="0"/>
        <w:autoSpaceDN w:val="0"/>
        <w:adjustRightInd w:val="0"/>
        <w:spacing w:before="120" w:after="120"/>
        <w:ind w:left="0" w:firstLine="0"/>
        <w:jc w:val="both"/>
        <w:rPr>
          <w:rFonts w:ascii="Arial" w:hAnsi="Arial" w:cs="Arial"/>
          <w:sz w:val="20"/>
          <w:szCs w:val="20"/>
          <w:lang w:val="es-ES"/>
        </w:rPr>
      </w:pPr>
      <w:r w:rsidRPr="006105F6">
        <w:rPr>
          <w:rFonts w:ascii="Arial" w:hAnsi="Arial" w:cs="Arial"/>
          <w:sz w:val="20"/>
          <w:szCs w:val="20"/>
          <w:lang w:val="es-ES"/>
        </w:rPr>
        <w:lastRenderedPageBreak/>
        <w:t>El avance en la aplicación de las recomendaciones de supervisión será objeto de un seguimiento periódico y los resultados serán comunicados al Director General, a la Comisión Consultiva Independiente de Supervisión (CCIS) y a las Asambleas de la OMPI.</w:t>
      </w:r>
    </w:p>
    <w:p w:rsidR="00440E91" w:rsidRPr="006105F6" w:rsidRDefault="00440E91" w:rsidP="00440E91">
      <w:pPr>
        <w:pStyle w:val="ListParagraph"/>
        <w:tabs>
          <w:tab w:val="left" w:pos="709"/>
        </w:tabs>
        <w:autoSpaceDE w:val="0"/>
        <w:autoSpaceDN w:val="0"/>
        <w:adjustRightInd w:val="0"/>
        <w:spacing w:before="120" w:after="120"/>
        <w:ind w:left="0"/>
        <w:jc w:val="both"/>
        <w:rPr>
          <w:rFonts w:ascii="Arial" w:hAnsi="Arial" w:cs="Arial"/>
          <w:sz w:val="20"/>
          <w:szCs w:val="20"/>
          <w:lang w:val="es-ES"/>
        </w:rPr>
      </w:pPr>
    </w:p>
    <w:p w:rsidR="00440E91" w:rsidRPr="006105F6" w:rsidRDefault="00440E91" w:rsidP="00B90226">
      <w:pPr>
        <w:pStyle w:val="ListParagraph"/>
        <w:numPr>
          <w:ilvl w:val="0"/>
          <w:numId w:val="48"/>
        </w:numPr>
        <w:tabs>
          <w:tab w:val="left" w:pos="709"/>
        </w:tabs>
        <w:autoSpaceDE w:val="0"/>
        <w:autoSpaceDN w:val="0"/>
        <w:adjustRightInd w:val="0"/>
        <w:ind w:left="0" w:firstLine="0"/>
        <w:jc w:val="both"/>
        <w:rPr>
          <w:rFonts w:ascii="Arial" w:hAnsi="Arial" w:cs="Arial"/>
          <w:sz w:val="20"/>
          <w:szCs w:val="20"/>
          <w:lang w:val="es-ES"/>
        </w:rPr>
      </w:pPr>
      <w:r w:rsidRPr="006105F6">
        <w:rPr>
          <w:rFonts w:ascii="Arial" w:hAnsi="Arial" w:cs="Arial"/>
          <w:sz w:val="20"/>
          <w:szCs w:val="20"/>
          <w:lang w:val="es-ES"/>
        </w:rPr>
        <w:t>Con el fin de compartir experiencias y datos sobre las actividades de supervisión con  los sectores interesados clave, dentro y fuera de la OMPI, los principales resultados y conclusiones de la labor de supervisión se difundirán regularmente mediante la presentación de ponencias en sesiones de información y formación.</w:t>
      </w:r>
    </w:p>
    <w:p w:rsidR="00440E91" w:rsidRDefault="00440E91" w:rsidP="00B90226">
      <w:pPr>
        <w:jc w:val="both"/>
      </w:pPr>
    </w:p>
    <w:p w:rsidR="00B90226" w:rsidRPr="006105F6" w:rsidRDefault="00B90226" w:rsidP="00B90226">
      <w:pPr>
        <w:jc w:val="both"/>
      </w:pPr>
    </w:p>
    <w:p w:rsidR="00440E91" w:rsidRPr="006105F6" w:rsidRDefault="00440E91" w:rsidP="00B90226">
      <w:r w:rsidRPr="006105F6">
        <w:t>PRINCIPALES RIESGOS Y ESTRATEGIAS DE MITIGACIÓN</w:t>
      </w:r>
    </w:p>
    <w:p w:rsidR="00440E91" w:rsidRPr="006105F6" w:rsidRDefault="00440E91" w:rsidP="00440E91">
      <w:pPr>
        <w:spacing w:line="276" w:lineRule="auto"/>
        <w:rPr>
          <w:sz w:val="20"/>
        </w:rPr>
      </w:pPr>
    </w:p>
    <w:tbl>
      <w:tblPr>
        <w:tblW w:w="9214" w:type="dxa"/>
        <w:tblInd w:w="108" w:type="dxa"/>
        <w:tblCellMar>
          <w:left w:w="0" w:type="dxa"/>
          <w:right w:w="0" w:type="dxa"/>
        </w:tblCellMar>
        <w:tblLook w:val="04A0" w:firstRow="1" w:lastRow="0" w:firstColumn="1" w:lastColumn="0" w:noHBand="0" w:noVBand="1"/>
      </w:tblPr>
      <w:tblGrid>
        <w:gridCol w:w="4111"/>
        <w:gridCol w:w="5103"/>
      </w:tblGrid>
      <w:tr w:rsidR="00440E91" w:rsidRPr="006105F6" w:rsidTr="00A339B4">
        <w:trPr>
          <w:trHeight w:val="577"/>
        </w:trPr>
        <w:tc>
          <w:tcPr>
            <w:tcW w:w="4111" w:type="dxa"/>
            <w:tcBorders>
              <w:top w:val="single" w:sz="8" w:space="0" w:color="auto"/>
              <w:left w:val="single" w:sz="8" w:space="0" w:color="auto"/>
              <w:bottom w:val="single" w:sz="8" w:space="0" w:color="auto"/>
              <w:right w:val="nil"/>
            </w:tcBorders>
            <w:shd w:val="clear" w:color="auto" w:fill="C6D9F1"/>
            <w:tcMar>
              <w:top w:w="0" w:type="dxa"/>
              <w:left w:w="108" w:type="dxa"/>
              <w:bottom w:w="0" w:type="dxa"/>
              <w:right w:w="108" w:type="dxa"/>
            </w:tcMar>
            <w:vAlign w:val="center"/>
            <w:hideMark/>
          </w:tcPr>
          <w:p w:rsidR="00440E91" w:rsidRPr="006105F6" w:rsidRDefault="00440E91" w:rsidP="00C97D8A">
            <w:pPr>
              <w:spacing w:line="276" w:lineRule="auto"/>
              <w:jc w:val="center"/>
              <w:rPr>
                <w:rFonts w:eastAsia="Calibri"/>
                <w:b/>
                <w:bCs/>
                <w:sz w:val="18"/>
                <w:szCs w:val="18"/>
              </w:rPr>
            </w:pPr>
            <w:r w:rsidRPr="006105F6">
              <w:rPr>
                <w:rFonts w:eastAsia="Calibri"/>
                <w:b/>
                <w:bCs/>
                <w:sz w:val="18"/>
                <w:szCs w:val="18"/>
              </w:rPr>
              <w:t>Riesgo</w:t>
            </w:r>
          </w:p>
        </w:tc>
        <w:tc>
          <w:tcPr>
            <w:tcW w:w="5103" w:type="dxa"/>
            <w:tcBorders>
              <w:top w:val="single" w:sz="8" w:space="0" w:color="auto"/>
              <w:left w:val="nil"/>
              <w:bottom w:val="single" w:sz="8" w:space="0" w:color="auto"/>
              <w:right w:val="single" w:sz="8" w:space="0" w:color="auto"/>
            </w:tcBorders>
            <w:shd w:val="clear" w:color="auto" w:fill="C6D9F1"/>
            <w:tcMar>
              <w:top w:w="0" w:type="dxa"/>
              <w:left w:w="108" w:type="dxa"/>
              <w:bottom w:w="0" w:type="dxa"/>
              <w:right w:w="108" w:type="dxa"/>
            </w:tcMar>
            <w:vAlign w:val="center"/>
            <w:hideMark/>
          </w:tcPr>
          <w:p w:rsidR="00440E91" w:rsidRPr="006105F6" w:rsidRDefault="00440E91" w:rsidP="00C97D8A">
            <w:pPr>
              <w:spacing w:line="276" w:lineRule="auto"/>
              <w:jc w:val="center"/>
              <w:rPr>
                <w:rFonts w:eastAsia="Calibri"/>
                <w:b/>
                <w:bCs/>
                <w:sz w:val="18"/>
                <w:szCs w:val="18"/>
              </w:rPr>
            </w:pPr>
            <w:r w:rsidRPr="006105F6">
              <w:rPr>
                <w:b/>
                <w:bCs/>
                <w:sz w:val="18"/>
                <w:szCs w:val="18"/>
              </w:rPr>
              <w:t>Mitigación</w:t>
            </w:r>
          </w:p>
        </w:tc>
      </w:tr>
      <w:tr w:rsidR="00440E91" w:rsidRPr="006105F6" w:rsidTr="00C97D8A">
        <w:trPr>
          <w:trHeight w:val="857"/>
        </w:trPr>
        <w:tc>
          <w:tcPr>
            <w:tcW w:w="4111" w:type="dxa"/>
            <w:tcBorders>
              <w:top w:val="nil"/>
              <w:left w:val="single" w:sz="8" w:space="0" w:color="auto"/>
              <w:bottom w:val="single" w:sz="8" w:space="0" w:color="auto"/>
              <w:right w:val="nil"/>
            </w:tcBorders>
            <w:tcMar>
              <w:top w:w="113" w:type="dxa"/>
              <w:left w:w="108" w:type="dxa"/>
              <w:bottom w:w="113" w:type="dxa"/>
              <w:right w:w="108" w:type="dxa"/>
            </w:tcMar>
            <w:hideMark/>
          </w:tcPr>
          <w:p w:rsidR="00440E91" w:rsidRPr="006105F6" w:rsidRDefault="00440E91" w:rsidP="008F3F6F">
            <w:pPr>
              <w:rPr>
                <w:rFonts w:eastAsia="Calibri"/>
                <w:sz w:val="16"/>
                <w:szCs w:val="16"/>
              </w:rPr>
            </w:pPr>
            <w:r w:rsidRPr="006105F6">
              <w:rPr>
                <w:rFonts w:eastAsia="Calibri"/>
                <w:sz w:val="16"/>
                <w:szCs w:val="16"/>
              </w:rPr>
              <w:t>La actividad de supervisión interna no es independiente y el personal de la DSI no actúa con objetividad al cumplir con su labor.  Estarían en peligro la imparcialidad y la credibilidad de la labor ejecutada.  Se menoscabaría la confianza en la función de supervisión.</w:t>
            </w:r>
          </w:p>
        </w:tc>
        <w:tc>
          <w:tcPr>
            <w:tcW w:w="5103" w:type="dxa"/>
            <w:tcBorders>
              <w:top w:val="nil"/>
              <w:left w:val="nil"/>
              <w:bottom w:val="single" w:sz="8" w:space="0" w:color="auto"/>
              <w:right w:val="single" w:sz="8" w:space="0" w:color="auto"/>
            </w:tcBorders>
            <w:tcMar>
              <w:top w:w="113" w:type="dxa"/>
              <w:left w:w="108" w:type="dxa"/>
              <w:bottom w:w="113" w:type="dxa"/>
              <w:right w:w="108" w:type="dxa"/>
            </w:tcMar>
          </w:tcPr>
          <w:p w:rsidR="00440E91" w:rsidRPr="006105F6" w:rsidRDefault="00440E91" w:rsidP="00C97D8A">
            <w:pPr>
              <w:rPr>
                <w:rFonts w:eastAsia="Calibri"/>
                <w:sz w:val="16"/>
                <w:szCs w:val="16"/>
              </w:rPr>
            </w:pPr>
            <w:r w:rsidRPr="006105F6">
              <w:rPr>
                <w:sz w:val="16"/>
                <w:szCs w:val="16"/>
              </w:rPr>
              <w:t>Observar la Carta de Supervisión Interna revisada.  Informes periódicos a la Comisión Consultiva Independiente de Supervisión (CCIS).  Informes anuales a la Asamblea General sobre su independencia</w:t>
            </w:r>
          </w:p>
          <w:p w:rsidR="00440E91" w:rsidRPr="006105F6" w:rsidRDefault="00440E91" w:rsidP="00C97D8A">
            <w:pPr>
              <w:rPr>
                <w:sz w:val="16"/>
                <w:szCs w:val="16"/>
              </w:rPr>
            </w:pPr>
          </w:p>
          <w:p w:rsidR="00440E91" w:rsidRPr="006105F6" w:rsidRDefault="00440E91" w:rsidP="00C97D8A">
            <w:pPr>
              <w:rPr>
                <w:rFonts w:eastAsia="Calibri"/>
                <w:sz w:val="16"/>
                <w:szCs w:val="16"/>
              </w:rPr>
            </w:pPr>
            <w:r w:rsidRPr="006105F6">
              <w:rPr>
                <w:sz w:val="16"/>
                <w:szCs w:val="16"/>
              </w:rPr>
              <w:t>Evaluaciones externas sobre la independencia de las funciones de supervisión.</w:t>
            </w:r>
          </w:p>
        </w:tc>
      </w:tr>
    </w:tbl>
    <w:p w:rsidR="00440E91" w:rsidRPr="006105F6" w:rsidRDefault="00440E91" w:rsidP="00440E91">
      <w:pPr>
        <w:rPr>
          <w:rFonts w:eastAsia="Calibri"/>
          <w:sz w:val="20"/>
        </w:rPr>
      </w:pPr>
    </w:p>
    <w:p w:rsidR="00440E91" w:rsidRPr="006105F6" w:rsidRDefault="00440E91" w:rsidP="00440E91">
      <w:pPr>
        <w:rPr>
          <w:sz w:val="20"/>
        </w:rPr>
      </w:pPr>
    </w:p>
    <w:p w:rsidR="00440E91" w:rsidRPr="006105F6" w:rsidRDefault="00440E91" w:rsidP="00440E91">
      <w:pPr>
        <w:autoSpaceDE w:val="0"/>
        <w:autoSpaceDN w:val="0"/>
        <w:adjustRightInd w:val="0"/>
        <w:jc w:val="both"/>
        <w:rPr>
          <w:szCs w:val="22"/>
        </w:rPr>
      </w:pPr>
      <w:r w:rsidRPr="006105F6">
        <w:rPr>
          <w:szCs w:val="22"/>
        </w:rPr>
        <w:t>MARCO DE RESULTADOS</w:t>
      </w:r>
    </w:p>
    <w:p w:rsidR="00440E91" w:rsidRPr="006105F6" w:rsidRDefault="00440E91" w:rsidP="00440E91">
      <w:pPr>
        <w:autoSpaceDE w:val="0"/>
        <w:autoSpaceDN w:val="0"/>
        <w:adjustRightInd w:val="0"/>
        <w:jc w:val="both"/>
        <w:rPr>
          <w:szCs w:val="22"/>
        </w:rPr>
      </w:pPr>
    </w:p>
    <w:tbl>
      <w:tblPr>
        <w:tblW w:w="9229" w:type="dxa"/>
        <w:tblInd w:w="93" w:type="dxa"/>
        <w:tblLook w:val="04A0" w:firstRow="1" w:lastRow="0" w:firstColumn="1" w:lastColumn="0" w:noHBand="0" w:noVBand="1"/>
      </w:tblPr>
      <w:tblGrid>
        <w:gridCol w:w="2160"/>
        <w:gridCol w:w="2620"/>
        <w:gridCol w:w="2340"/>
        <w:gridCol w:w="2109"/>
      </w:tblGrid>
      <w:tr w:rsidR="00440E91" w:rsidRPr="006105F6" w:rsidTr="00A339B4">
        <w:trPr>
          <w:trHeight w:val="465"/>
          <w:tblHeader/>
        </w:trPr>
        <w:tc>
          <w:tcPr>
            <w:tcW w:w="2160" w:type="dxa"/>
            <w:tcBorders>
              <w:top w:val="single" w:sz="4" w:space="0" w:color="auto"/>
              <w:left w:val="single" w:sz="4" w:space="0" w:color="auto"/>
              <w:bottom w:val="single" w:sz="4" w:space="0" w:color="auto"/>
              <w:right w:val="nil"/>
            </w:tcBorders>
            <w:shd w:val="clear" w:color="auto" w:fill="C6D9F1"/>
            <w:vAlign w:val="center"/>
            <w:hideMark/>
          </w:tcPr>
          <w:p w:rsidR="00440E91" w:rsidRPr="006105F6" w:rsidRDefault="00440E91" w:rsidP="00C97D8A">
            <w:pPr>
              <w:jc w:val="center"/>
              <w:rPr>
                <w:b/>
                <w:bCs/>
                <w:sz w:val="18"/>
                <w:szCs w:val="18"/>
              </w:rPr>
            </w:pPr>
            <w:r w:rsidRPr="006105F6">
              <w:rPr>
                <w:b/>
                <w:bCs/>
                <w:sz w:val="18"/>
                <w:szCs w:val="18"/>
              </w:rPr>
              <w:t>Resultados previstos</w:t>
            </w:r>
          </w:p>
        </w:tc>
        <w:tc>
          <w:tcPr>
            <w:tcW w:w="2620" w:type="dxa"/>
            <w:tcBorders>
              <w:top w:val="single" w:sz="4" w:space="0" w:color="auto"/>
              <w:left w:val="nil"/>
              <w:bottom w:val="single" w:sz="4" w:space="0" w:color="auto"/>
              <w:right w:val="nil"/>
            </w:tcBorders>
            <w:shd w:val="clear" w:color="auto" w:fill="C6D9F1"/>
            <w:vAlign w:val="center"/>
            <w:hideMark/>
          </w:tcPr>
          <w:p w:rsidR="00440E91" w:rsidRPr="006105F6" w:rsidRDefault="00440E91" w:rsidP="00C97D8A">
            <w:pPr>
              <w:jc w:val="center"/>
              <w:rPr>
                <w:b/>
                <w:bCs/>
                <w:sz w:val="18"/>
                <w:szCs w:val="18"/>
              </w:rPr>
            </w:pPr>
            <w:r w:rsidRPr="006105F6">
              <w:rPr>
                <w:b/>
                <w:bCs/>
                <w:sz w:val="18"/>
                <w:szCs w:val="18"/>
              </w:rPr>
              <w:t>Indicadores de rendimiento</w:t>
            </w:r>
          </w:p>
        </w:tc>
        <w:tc>
          <w:tcPr>
            <w:tcW w:w="2340" w:type="dxa"/>
            <w:tcBorders>
              <w:top w:val="single" w:sz="4" w:space="0" w:color="auto"/>
              <w:left w:val="nil"/>
              <w:bottom w:val="single" w:sz="4" w:space="0" w:color="auto"/>
              <w:right w:val="nil"/>
            </w:tcBorders>
            <w:shd w:val="clear" w:color="auto" w:fill="C6D9F1"/>
            <w:vAlign w:val="center"/>
            <w:hideMark/>
          </w:tcPr>
          <w:p w:rsidR="00440E91" w:rsidRPr="006105F6" w:rsidRDefault="00440E91" w:rsidP="00C97D8A">
            <w:pPr>
              <w:jc w:val="center"/>
              <w:rPr>
                <w:b/>
                <w:bCs/>
                <w:sz w:val="18"/>
                <w:szCs w:val="18"/>
              </w:rPr>
            </w:pPr>
            <w:r w:rsidRPr="006105F6">
              <w:rPr>
                <w:b/>
                <w:bCs/>
                <w:sz w:val="18"/>
                <w:szCs w:val="18"/>
              </w:rPr>
              <w:t>Referencia</w:t>
            </w:r>
          </w:p>
        </w:tc>
        <w:tc>
          <w:tcPr>
            <w:tcW w:w="2109" w:type="dxa"/>
            <w:tcBorders>
              <w:top w:val="single" w:sz="4" w:space="0" w:color="auto"/>
              <w:left w:val="nil"/>
              <w:bottom w:val="single" w:sz="4" w:space="0" w:color="auto"/>
              <w:right w:val="single" w:sz="4" w:space="0" w:color="auto"/>
            </w:tcBorders>
            <w:shd w:val="clear" w:color="auto" w:fill="C6D9F1"/>
            <w:vAlign w:val="center"/>
            <w:hideMark/>
          </w:tcPr>
          <w:p w:rsidR="00440E91" w:rsidRPr="006105F6" w:rsidRDefault="00440E91" w:rsidP="00C97D8A">
            <w:pPr>
              <w:jc w:val="center"/>
              <w:rPr>
                <w:b/>
                <w:bCs/>
                <w:sz w:val="18"/>
                <w:szCs w:val="18"/>
              </w:rPr>
            </w:pPr>
            <w:r w:rsidRPr="006105F6">
              <w:rPr>
                <w:b/>
                <w:bCs/>
                <w:sz w:val="18"/>
                <w:szCs w:val="18"/>
              </w:rPr>
              <w:t>Objetivos</w:t>
            </w:r>
          </w:p>
        </w:tc>
      </w:tr>
      <w:tr w:rsidR="00440E91" w:rsidRPr="006105F6" w:rsidTr="00C97D8A">
        <w:trPr>
          <w:trHeight w:val="1083"/>
        </w:trPr>
        <w:tc>
          <w:tcPr>
            <w:tcW w:w="2160" w:type="dxa"/>
            <w:vMerge w:val="restart"/>
            <w:tcBorders>
              <w:top w:val="single" w:sz="4" w:space="0" w:color="auto"/>
              <w:left w:val="single" w:sz="4" w:space="0" w:color="auto"/>
              <w:bottom w:val="single" w:sz="4" w:space="0" w:color="000000"/>
              <w:right w:val="nil"/>
            </w:tcBorders>
            <w:shd w:val="clear" w:color="000000" w:fill="FFFFFF"/>
            <w:hideMark/>
          </w:tcPr>
          <w:p w:rsidR="00440E91" w:rsidRPr="006105F6" w:rsidRDefault="00440E91" w:rsidP="00532057">
            <w:pPr>
              <w:rPr>
                <w:sz w:val="16"/>
                <w:szCs w:val="16"/>
              </w:rPr>
            </w:pPr>
            <w:r w:rsidRPr="006105F6">
              <w:rPr>
                <w:sz w:val="16"/>
                <w:szCs w:val="16"/>
              </w:rPr>
              <w:br/>
              <w:t>IX.8</w:t>
            </w:r>
            <w:r w:rsidR="00532057">
              <w:rPr>
                <w:sz w:val="16"/>
                <w:szCs w:val="16"/>
              </w:rPr>
              <w:t xml:space="preserve">  </w:t>
            </w:r>
            <w:r w:rsidR="00532057" w:rsidRPr="00A339B4">
              <w:rPr>
                <w:sz w:val="16"/>
                <w:szCs w:val="16"/>
                <w:lang w:val="es-ES_tradnl"/>
              </w:rPr>
              <w:t>Mejor rendición de cuentas, aprendizaje institucional, uso óptimo de los recursos, administración, control interno y buen gobierno gracias a la asistencia que proporciona una supervisión eficaz e independiente</w:t>
            </w:r>
          </w:p>
        </w:tc>
        <w:tc>
          <w:tcPr>
            <w:tcW w:w="2620" w:type="dxa"/>
            <w:tcBorders>
              <w:top w:val="single" w:sz="4" w:space="0" w:color="auto"/>
              <w:left w:val="nil"/>
              <w:bottom w:val="nil"/>
              <w:right w:val="nil"/>
            </w:tcBorders>
            <w:shd w:val="clear" w:color="000000" w:fill="FFFFFF"/>
            <w:hideMark/>
          </w:tcPr>
          <w:p w:rsidR="00440E91" w:rsidRPr="006105F6" w:rsidRDefault="00440E91" w:rsidP="004C5044">
            <w:pPr>
              <w:ind w:left="299" w:firstLineChars="13" w:firstLine="21"/>
              <w:rPr>
                <w:sz w:val="16"/>
                <w:szCs w:val="16"/>
              </w:rPr>
            </w:pPr>
            <w:r w:rsidRPr="006105F6">
              <w:rPr>
                <w:sz w:val="16"/>
                <w:szCs w:val="16"/>
              </w:rPr>
              <w:br/>
              <w:t xml:space="preserve">INDEPENDENCIA - </w:t>
            </w:r>
            <w:r w:rsidR="00F61220">
              <w:rPr>
                <w:sz w:val="16"/>
                <w:szCs w:val="16"/>
              </w:rPr>
              <w:t>No</w:t>
            </w:r>
            <w:r w:rsidRPr="006105F6">
              <w:rPr>
                <w:sz w:val="16"/>
                <w:szCs w:val="16"/>
              </w:rPr>
              <w:t xml:space="preserve"> interferencia y grado de independencia percibido por las principales partes interesadas.</w:t>
            </w:r>
            <w:r w:rsidRPr="006105F6">
              <w:rPr>
                <w:sz w:val="16"/>
                <w:szCs w:val="16"/>
              </w:rPr>
              <w:br/>
            </w:r>
          </w:p>
        </w:tc>
        <w:tc>
          <w:tcPr>
            <w:tcW w:w="2340" w:type="dxa"/>
            <w:tcBorders>
              <w:top w:val="single" w:sz="4" w:space="0" w:color="auto"/>
              <w:left w:val="nil"/>
              <w:bottom w:val="nil"/>
              <w:right w:val="nil"/>
            </w:tcBorders>
            <w:shd w:val="clear" w:color="000000" w:fill="FFFFFF"/>
            <w:hideMark/>
          </w:tcPr>
          <w:p w:rsidR="00440E91" w:rsidRPr="006105F6" w:rsidRDefault="00440E91" w:rsidP="00C97D8A">
            <w:pPr>
              <w:spacing w:after="240"/>
              <w:ind w:left="230" w:firstLineChars="56" w:firstLine="90"/>
              <w:rPr>
                <w:sz w:val="16"/>
                <w:szCs w:val="16"/>
              </w:rPr>
            </w:pPr>
            <w:r w:rsidRPr="006105F6">
              <w:rPr>
                <w:sz w:val="16"/>
                <w:szCs w:val="16"/>
              </w:rPr>
              <w:br/>
              <w:t>No hay interferencias en la labor de la DSI.</w:t>
            </w:r>
          </w:p>
        </w:tc>
        <w:tc>
          <w:tcPr>
            <w:tcW w:w="2109" w:type="dxa"/>
            <w:tcBorders>
              <w:top w:val="single" w:sz="4" w:space="0" w:color="auto"/>
              <w:left w:val="nil"/>
              <w:bottom w:val="nil"/>
              <w:right w:val="single" w:sz="4" w:space="0" w:color="auto"/>
            </w:tcBorders>
            <w:shd w:val="clear" w:color="000000" w:fill="FFFFFF"/>
            <w:hideMark/>
          </w:tcPr>
          <w:p w:rsidR="00440E91" w:rsidRPr="006105F6" w:rsidRDefault="00440E91" w:rsidP="00C97D8A">
            <w:pPr>
              <w:spacing w:after="240"/>
              <w:ind w:left="300" w:firstLineChars="12" w:firstLine="19"/>
              <w:rPr>
                <w:sz w:val="16"/>
                <w:szCs w:val="16"/>
              </w:rPr>
            </w:pPr>
            <w:r w:rsidRPr="006105F6">
              <w:rPr>
                <w:sz w:val="16"/>
                <w:szCs w:val="16"/>
              </w:rPr>
              <w:br/>
              <w:t>No hay interferencias en la labor de la DSI.</w:t>
            </w:r>
          </w:p>
        </w:tc>
      </w:tr>
      <w:tr w:rsidR="00440E91" w:rsidRPr="006105F6" w:rsidTr="00440E91">
        <w:trPr>
          <w:trHeight w:val="3543"/>
        </w:trPr>
        <w:tc>
          <w:tcPr>
            <w:tcW w:w="2160" w:type="dxa"/>
            <w:vMerge/>
            <w:tcBorders>
              <w:top w:val="nil"/>
              <w:left w:val="single" w:sz="4" w:space="0" w:color="auto"/>
              <w:bottom w:val="single" w:sz="4" w:space="0" w:color="auto"/>
              <w:right w:val="nil"/>
            </w:tcBorders>
            <w:vAlign w:val="center"/>
            <w:hideMark/>
          </w:tcPr>
          <w:p w:rsidR="00440E91" w:rsidRPr="006105F6" w:rsidRDefault="00440E91" w:rsidP="00C97D8A">
            <w:pPr>
              <w:rPr>
                <w:sz w:val="16"/>
                <w:szCs w:val="16"/>
              </w:rPr>
            </w:pPr>
          </w:p>
        </w:tc>
        <w:tc>
          <w:tcPr>
            <w:tcW w:w="2620" w:type="dxa"/>
            <w:tcBorders>
              <w:top w:val="nil"/>
              <w:left w:val="nil"/>
              <w:right w:val="nil"/>
            </w:tcBorders>
            <w:shd w:val="clear" w:color="000000" w:fill="FFFFFF"/>
            <w:hideMark/>
          </w:tcPr>
          <w:p w:rsidR="00440E91" w:rsidRPr="006105F6" w:rsidRDefault="00440E91" w:rsidP="00C97D8A">
            <w:pPr>
              <w:ind w:left="299"/>
              <w:rPr>
                <w:sz w:val="16"/>
                <w:szCs w:val="16"/>
              </w:rPr>
            </w:pPr>
            <w:r w:rsidRPr="006105F6">
              <w:rPr>
                <w:sz w:val="16"/>
                <w:szCs w:val="16"/>
              </w:rPr>
              <w:t>EFECTIVIDAD</w:t>
            </w:r>
            <w:r w:rsidR="00504BC8">
              <w:rPr>
                <w:sz w:val="16"/>
                <w:szCs w:val="16"/>
              </w:rPr>
              <w:t xml:space="preserve"> </w:t>
            </w:r>
            <w:r w:rsidRPr="006105F6">
              <w:rPr>
                <w:sz w:val="16"/>
                <w:szCs w:val="16"/>
              </w:rPr>
              <w:t xml:space="preserve">- el porcentaje de la labor que abarca ámbitos de importancia y de alto riesgo de conformidad con la estrategia de la Organización </w:t>
            </w:r>
            <w:r w:rsidRPr="006105F6">
              <w:rPr>
                <w:sz w:val="16"/>
                <w:szCs w:val="16"/>
              </w:rPr>
              <w:br/>
            </w:r>
          </w:p>
          <w:p w:rsidR="00440E91" w:rsidRPr="006105F6" w:rsidRDefault="00440E91" w:rsidP="00C97D8A">
            <w:pPr>
              <w:ind w:left="299"/>
              <w:rPr>
                <w:sz w:val="16"/>
                <w:szCs w:val="16"/>
              </w:rPr>
            </w:pPr>
          </w:p>
          <w:p w:rsidR="00440E91" w:rsidRPr="006105F6" w:rsidRDefault="00440E91" w:rsidP="00C97D8A">
            <w:pPr>
              <w:ind w:left="299"/>
              <w:rPr>
                <w:sz w:val="16"/>
                <w:szCs w:val="16"/>
              </w:rPr>
            </w:pPr>
            <w:r w:rsidRPr="006105F6">
              <w:rPr>
                <w:sz w:val="16"/>
                <w:szCs w:val="16"/>
              </w:rPr>
              <w:t>EFICACIA – los informes de la DSI se elaboran oportunamente y se ajustan a las recomendaciones SMART (específicas, mensurables, realizables, pertinentes y sujetas a plazo)</w:t>
            </w:r>
          </w:p>
        </w:tc>
        <w:tc>
          <w:tcPr>
            <w:tcW w:w="2340" w:type="dxa"/>
            <w:tcBorders>
              <w:top w:val="nil"/>
              <w:left w:val="nil"/>
              <w:right w:val="nil"/>
            </w:tcBorders>
            <w:shd w:val="clear" w:color="000000" w:fill="FFFFFF"/>
            <w:hideMark/>
          </w:tcPr>
          <w:p w:rsidR="00440E91" w:rsidRPr="006105F6" w:rsidRDefault="00440E91" w:rsidP="00C97D8A">
            <w:pPr>
              <w:ind w:left="230"/>
              <w:rPr>
                <w:sz w:val="16"/>
                <w:szCs w:val="16"/>
              </w:rPr>
            </w:pPr>
            <w:r w:rsidRPr="006105F6">
              <w:rPr>
                <w:sz w:val="16"/>
                <w:szCs w:val="16"/>
              </w:rPr>
              <w:t xml:space="preserve">El 100% de los ámbitos de gran importancia/alto riesgo </w:t>
            </w:r>
          </w:p>
          <w:p w:rsidR="00440E91" w:rsidRPr="006105F6" w:rsidRDefault="00440E91" w:rsidP="00C97D8A">
            <w:pPr>
              <w:ind w:left="230"/>
              <w:rPr>
                <w:sz w:val="16"/>
                <w:szCs w:val="16"/>
              </w:rPr>
            </w:pPr>
          </w:p>
          <w:p w:rsidR="00440E91" w:rsidRPr="006105F6" w:rsidRDefault="00440E91" w:rsidP="00C97D8A">
            <w:pPr>
              <w:ind w:left="230"/>
              <w:rPr>
                <w:sz w:val="16"/>
                <w:szCs w:val="16"/>
              </w:rPr>
            </w:pPr>
          </w:p>
          <w:p w:rsidR="00440E91" w:rsidRPr="006105F6" w:rsidRDefault="00440E91" w:rsidP="00C97D8A">
            <w:pPr>
              <w:ind w:left="230"/>
              <w:rPr>
                <w:sz w:val="16"/>
                <w:szCs w:val="16"/>
              </w:rPr>
            </w:pPr>
            <w:r w:rsidRPr="006105F6">
              <w:rPr>
                <w:sz w:val="16"/>
                <w:szCs w:val="16"/>
              </w:rPr>
              <w:br/>
            </w:r>
          </w:p>
          <w:p w:rsidR="00440E91" w:rsidRPr="006105F6" w:rsidRDefault="00440E91" w:rsidP="00C97D8A">
            <w:pPr>
              <w:ind w:left="230"/>
              <w:rPr>
                <w:sz w:val="16"/>
                <w:szCs w:val="16"/>
              </w:rPr>
            </w:pPr>
          </w:p>
          <w:p w:rsidR="00440E91" w:rsidRPr="006105F6" w:rsidRDefault="00440E91" w:rsidP="00C97D8A">
            <w:pPr>
              <w:ind w:left="230"/>
              <w:rPr>
                <w:sz w:val="16"/>
                <w:szCs w:val="16"/>
              </w:rPr>
            </w:pPr>
            <w:r w:rsidRPr="006105F6">
              <w:rPr>
                <w:sz w:val="16"/>
                <w:szCs w:val="16"/>
              </w:rPr>
              <w:t>El 75% de los informes de auditoría y evaluación se elaboran en menos de 4 meses;</w:t>
            </w:r>
            <w:r w:rsidRPr="006105F6">
              <w:rPr>
                <w:sz w:val="16"/>
                <w:szCs w:val="16"/>
              </w:rPr>
              <w:br/>
              <w:t>todos los informes de las actividades de investigación se elaboran de conformidad con la Política de Investigación;</w:t>
            </w:r>
            <w:r w:rsidRPr="006105F6">
              <w:rPr>
                <w:sz w:val="16"/>
                <w:szCs w:val="16"/>
              </w:rPr>
              <w:br/>
              <w:t>el 75 % de las recomendaciones sigue el modelo SMART</w:t>
            </w:r>
          </w:p>
        </w:tc>
        <w:tc>
          <w:tcPr>
            <w:tcW w:w="2109" w:type="dxa"/>
            <w:tcBorders>
              <w:top w:val="nil"/>
              <w:left w:val="nil"/>
              <w:right w:val="single" w:sz="4" w:space="0" w:color="auto"/>
            </w:tcBorders>
            <w:shd w:val="clear" w:color="000000" w:fill="FFFFFF"/>
            <w:hideMark/>
          </w:tcPr>
          <w:p w:rsidR="00440E91" w:rsidRPr="006105F6" w:rsidRDefault="00440E91" w:rsidP="00C97D8A">
            <w:pPr>
              <w:ind w:left="300"/>
              <w:rPr>
                <w:sz w:val="16"/>
                <w:szCs w:val="16"/>
              </w:rPr>
            </w:pPr>
            <w:r w:rsidRPr="006105F6">
              <w:rPr>
                <w:sz w:val="16"/>
                <w:szCs w:val="16"/>
              </w:rPr>
              <w:t>El 100% de la labor en ámbitos de gran importancia/alto riesgo, de conformidad con las metas estratégicas de la OMPI</w:t>
            </w:r>
          </w:p>
          <w:p w:rsidR="00440E91" w:rsidRPr="006105F6" w:rsidRDefault="00440E91" w:rsidP="00C97D8A">
            <w:pPr>
              <w:ind w:left="300"/>
              <w:rPr>
                <w:sz w:val="16"/>
                <w:szCs w:val="16"/>
              </w:rPr>
            </w:pPr>
            <w:r w:rsidRPr="006105F6">
              <w:rPr>
                <w:sz w:val="16"/>
                <w:szCs w:val="16"/>
              </w:rPr>
              <w:br/>
              <w:t>El 85 % de los informes de auditoría y evaluación se elaboran en menos de 4 meses;</w:t>
            </w:r>
            <w:r w:rsidRPr="006105F6">
              <w:rPr>
                <w:sz w:val="16"/>
                <w:szCs w:val="16"/>
              </w:rPr>
              <w:br/>
              <w:t>todos los informes de investigación cumplen los plazos de la Política de Investigación;</w:t>
            </w:r>
            <w:r w:rsidRPr="006105F6">
              <w:rPr>
                <w:sz w:val="16"/>
                <w:szCs w:val="16"/>
              </w:rPr>
              <w:br/>
              <w:t>el 100% de las recomendaciones sigue el modelo  SMART</w:t>
            </w:r>
          </w:p>
          <w:p w:rsidR="00440E91" w:rsidRPr="006105F6" w:rsidRDefault="00440E91" w:rsidP="00C97D8A">
            <w:pPr>
              <w:ind w:left="300"/>
              <w:rPr>
                <w:sz w:val="16"/>
                <w:szCs w:val="16"/>
              </w:rPr>
            </w:pPr>
          </w:p>
        </w:tc>
      </w:tr>
      <w:tr w:rsidR="00440E91" w:rsidRPr="006105F6" w:rsidTr="00C1052E">
        <w:trPr>
          <w:trHeight w:val="1213"/>
        </w:trPr>
        <w:tc>
          <w:tcPr>
            <w:tcW w:w="2160" w:type="dxa"/>
            <w:vMerge/>
            <w:tcBorders>
              <w:top w:val="single" w:sz="4" w:space="0" w:color="auto"/>
              <w:left w:val="single" w:sz="4" w:space="0" w:color="auto"/>
              <w:bottom w:val="single" w:sz="4" w:space="0" w:color="auto"/>
              <w:right w:val="nil"/>
            </w:tcBorders>
            <w:vAlign w:val="center"/>
            <w:hideMark/>
          </w:tcPr>
          <w:p w:rsidR="00440E91" w:rsidRPr="006105F6" w:rsidRDefault="00440E91" w:rsidP="00C97D8A">
            <w:pPr>
              <w:rPr>
                <w:sz w:val="16"/>
                <w:szCs w:val="16"/>
              </w:rPr>
            </w:pPr>
          </w:p>
        </w:tc>
        <w:tc>
          <w:tcPr>
            <w:tcW w:w="2620" w:type="dxa"/>
            <w:tcBorders>
              <w:left w:val="nil"/>
              <w:bottom w:val="single" w:sz="4" w:space="0" w:color="auto"/>
              <w:right w:val="nil"/>
            </w:tcBorders>
            <w:shd w:val="clear" w:color="000000" w:fill="FFFFFF"/>
            <w:hideMark/>
          </w:tcPr>
          <w:p w:rsidR="00440E91" w:rsidRPr="006105F6" w:rsidRDefault="00440E91" w:rsidP="00C97D8A">
            <w:pPr>
              <w:ind w:left="299"/>
              <w:rPr>
                <w:sz w:val="16"/>
                <w:szCs w:val="16"/>
              </w:rPr>
            </w:pPr>
            <w:r w:rsidRPr="006105F6">
              <w:rPr>
                <w:sz w:val="16"/>
                <w:szCs w:val="16"/>
              </w:rPr>
              <w:t>PERTINENCIA, VALOR AÑADIDO Y ADMINISTRACIÓN -  Ahorros o mejoras tangibles en los procedimientos y sistemas operacionales.</w:t>
            </w:r>
            <w:r w:rsidR="00A339B4">
              <w:rPr>
                <w:sz w:val="16"/>
                <w:szCs w:val="16"/>
              </w:rPr>
              <w:br/>
            </w:r>
          </w:p>
        </w:tc>
        <w:tc>
          <w:tcPr>
            <w:tcW w:w="2340" w:type="dxa"/>
            <w:tcBorders>
              <w:left w:val="nil"/>
              <w:bottom w:val="single" w:sz="4" w:space="0" w:color="auto"/>
              <w:right w:val="nil"/>
            </w:tcBorders>
            <w:shd w:val="clear" w:color="000000" w:fill="FFFFFF"/>
            <w:hideMark/>
          </w:tcPr>
          <w:p w:rsidR="00440E91" w:rsidRPr="006105F6" w:rsidRDefault="00440E91" w:rsidP="00C97D8A">
            <w:pPr>
              <w:ind w:left="230"/>
              <w:rPr>
                <w:sz w:val="16"/>
                <w:szCs w:val="16"/>
              </w:rPr>
            </w:pPr>
            <w:proofErr w:type="spellStart"/>
            <w:r w:rsidRPr="006105F6">
              <w:rPr>
                <w:sz w:val="16"/>
                <w:szCs w:val="16"/>
              </w:rPr>
              <w:t>n</w:t>
            </w:r>
            <w:r w:rsidR="00A339B4">
              <w:rPr>
                <w:sz w:val="16"/>
                <w:szCs w:val="16"/>
              </w:rPr>
              <w:t>.</w:t>
            </w:r>
            <w:r w:rsidRPr="006105F6">
              <w:rPr>
                <w:sz w:val="16"/>
                <w:szCs w:val="16"/>
              </w:rPr>
              <w:t>d</w:t>
            </w:r>
            <w:proofErr w:type="spellEnd"/>
            <w:r w:rsidR="00A339B4">
              <w:rPr>
                <w:sz w:val="16"/>
                <w:szCs w:val="16"/>
              </w:rPr>
              <w:t>.</w:t>
            </w:r>
            <w:r w:rsidRPr="006105F6">
              <w:rPr>
                <w:sz w:val="16"/>
                <w:szCs w:val="16"/>
              </w:rPr>
              <w:t xml:space="preserve"> (se proporcionarán a finales de 2015)</w:t>
            </w:r>
          </w:p>
        </w:tc>
        <w:tc>
          <w:tcPr>
            <w:tcW w:w="2109" w:type="dxa"/>
            <w:tcBorders>
              <w:left w:val="nil"/>
              <w:bottom w:val="single" w:sz="4" w:space="0" w:color="auto"/>
              <w:right w:val="single" w:sz="4" w:space="0" w:color="auto"/>
            </w:tcBorders>
            <w:shd w:val="clear" w:color="000000" w:fill="FFFFFF"/>
            <w:hideMark/>
          </w:tcPr>
          <w:p w:rsidR="00440E91" w:rsidRPr="006105F6" w:rsidRDefault="00440E91" w:rsidP="00C97D8A">
            <w:pPr>
              <w:ind w:left="300"/>
              <w:rPr>
                <w:sz w:val="16"/>
                <w:szCs w:val="16"/>
              </w:rPr>
            </w:pPr>
            <w:r w:rsidRPr="006105F6">
              <w:rPr>
                <w:sz w:val="16"/>
                <w:szCs w:val="16"/>
              </w:rPr>
              <w:t>El 50% de las recomendaciones dan lugar a mejoras de la eficacia</w:t>
            </w:r>
          </w:p>
        </w:tc>
      </w:tr>
      <w:tr w:rsidR="00440E91" w:rsidRPr="006105F6" w:rsidTr="00C1052E">
        <w:trPr>
          <w:trHeight w:val="1275"/>
        </w:trPr>
        <w:tc>
          <w:tcPr>
            <w:tcW w:w="2160" w:type="dxa"/>
            <w:vMerge/>
            <w:tcBorders>
              <w:top w:val="single" w:sz="4" w:space="0" w:color="auto"/>
              <w:left w:val="single" w:sz="4" w:space="0" w:color="auto"/>
              <w:bottom w:val="single" w:sz="4" w:space="0" w:color="000000"/>
              <w:right w:val="nil"/>
            </w:tcBorders>
            <w:vAlign w:val="center"/>
            <w:hideMark/>
          </w:tcPr>
          <w:p w:rsidR="00440E91" w:rsidRPr="006105F6" w:rsidRDefault="00440E91" w:rsidP="00C97D8A">
            <w:pPr>
              <w:rPr>
                <w:sz w:val="16"/>
                <w:szCs w:val="16"/>
              </w:rPr>
            </w:pPr>
          </w:p>
        </w:tc>
        <w:tc>
          <w:tcPr>
            <w:tcW w:w="2620" w:type="dxa"/>
            <w:tcBorders>
              <w:top w:val="single" w:sz="4" w:space="0" w:color="auto"/>
              <w:left w:val="nil"/>
              <w:bottom w:val="single" w:sz="4" w:space="0" w:color="auto"/>
              <w:right w:val="nil"/>
            </w:tcBorders>
            <w:shd w:val="clear" w:color="000000" w:fill="FFFFFF"/>
            <w:hideMark/>
          </w:tcPr>
          <w:p w:rsidR="00440E91" w:rsidRPr="006105F6" w:rsidRDefault="006B46F5" w:rsidP="00C97D8A">
            <w:pPr>
              <w:ind w:left="299"/>
              <w:rPr>
                <w:sz w:val="16"/>
                <w:szCs w:val="16"/>
              </w:rPr>
            </w:pPr>
            <w:r>
              <w:rPr>
                <w:sz w:val="16"/>
                <w:szCs w:val="16"/>
              </w:rPr>
              <w:br/>
            </w:r>
            <w:r w:rsidR="00440E91" w:rsidRPr="006105F6">
              <w:rPr>
                <w:sz w:val="16"/>
                <w:szCs w:val="16"/>
              </w:rPr>
              <w:t>APRENDIZAJE INSTITUCIONAL -   Adopción de las enseñanzas y recomendaciones extraídas de los procesos de supervisión.</w:t>
            </w:r>
            <w:r>
              <w:rPr>
                <w:sz w:val="16"/>
                <w:szCs w:val="16"/>
              </w:rPr>
              <w:br/>
            </w:r>
          </w:p>
        </w:tc>
        <w:tc>
          <w:tcPr>
            <w:tcW w:w="2340" w:type="dxa"/>
            <w:tcBorders>
              <w:top w:val="single" w:sz="4" w:space="0" w:color="auto"/>
              <w:left w:val="nil"/>
              <w:bottom w:val="single" w:sz="4" w:space="0" w:color="auto"/>
              <w:right w:val="nil"/>
            </w:tcBorders>
            <w:shd w:val="clear" w:color="000000" w:fill="FFFFFF"/>
            <w:hideMark/>
          </w:tcPr>
          <w:p w:rsidR="00440E91" w:rsidRPr="006105F6" w:rsidRDefault="006B46F5" w:rsidP="00C97D8A">
            <w:pPr>
              <w:ind w:left="230"/>
              <w:rPr>
                <w:sz w:val="16"/>
                <w:szCs w:val="16"/>
              </w:rPr>
            </w:pPr>
            <w:r>
              <w:rPr>
                <w:sz w:val="16"/>
                <w:szCs w:val="16"/>
              </w:rPr>
              <w:br/>
            </w:r>
            <w:r w:rsidR="00440E91" w:rsidRPr="006105F6">
              <w:rPr>
                <w:sz w:val="16"/>
                <w:szCs w:val="16"/>
              </w:rPr>
              <w:t>90% de las recomendaciones aceptadas y 90% de las recomendaciones aplicadas en un plazo de dos años.</w:t>
            </w:r>
          </w:p>
        </w:tc>
        <w:tc>
          <w:tcPr>
            <w:tcW w:w="2109" w:type="dxa"/>
            <w:tcBorders>
              <w:top w:val="single" w:sz="4" w:space="0" w:color="auto"/>
              <w:left w:val="nil"/>
              <w:bottom w:val="single" w:sz="4" w:space="0" w:color="auto"/>
              <w:right w:val="single" w:sz="4" w:space="0" w:color="auto"/>
            </w:tcBorders>
            <w:shd w:val="clear" w:color="000000" w:fill="FFFFFF"/>
            <w:hideMark/>
          </w:tcPr>
          <w:p w:rsidR="00440E91" w:rsidRPr="006105F6" w:rsidRDefault="006B46F5" w:rsidP="00C97D8A">
            <w:pPr>
              <w:ind w:left="300"/>
              <w:rPr>
                <w:sz w:val="16"/>
                <w:szCs w:val="16"/>
              </w:rPr>
            </w:pPr>
            <w:r>
              <w:rPr>
                <w:sz w:val="16"/>
                <w:szCs w:val="16"/>
              </w:rPr>
              <w:br/>
            </w:r>
            <w:r w:rsidR="00440E91" w:rsidRPr="006105F6">
              <w:rPr>
                <w:sz w:val="16"/>
                <w:szCs w:val="16"/>
              </w:rPr>
              <w:t>90% de las recomendaciones aceptadas y 90% de las recomendaciones aplicadas en un plazo de dos años.</w:t>
            </w:r>
          </w:p>
        </w:tc>
      </w:tr>
    </w:tbl>
    <w:p w:rsidR="00440E91" w:rsidRPr="006105F6" w:rsidRDefault="00440E91" w:rsidP="004B6D01">
      <w:pPr>
        <w:autoSpaceDE w:val="0"/>
        <w:autoSpaceDN w:val="0"/>
        <w:adjustRightInd w:val="0"/>
        <w:jc w:val="both"/>
        <w:rPr>
          <w:szCs w:val="22"/>
        </w:rPr>
      </w:pPr>
    </w:p>
    <w:p w:rsidR="00D26095" w:rsidRPr="006105F6" w:rsidRDefault="00D26095" w:rsidP="004B6D01">
      <w:pPr>
        <w:shd w:val="clear" w:color="auto" w:fill="FFFFFF"/>
        <w:tabs>
          <w:tab w:val="left" w:pos="709"/>
        </w:tabs>
        <w:suppressAutoHyphens/>
        <w:jc w:val="both"/>
        <w:rPr>
          <w:szCs w:val="22"/>
        </w:rPr>
      </w:pPr>
    </w:p>
    <w:p w:rsidR="00440E91" w:rsidRDefault="004B6D01" w:rsidP="004B6D01">
      <w:pPr>
        <w:autoSpaceDE w:val="0"/>
        <w:autoSpaceDN w:val="0"/>
        <w:adjustRightInd w:val="0"/>
        <w:jc w:val="both"/>
      </w:pPr>
      <w:r>
        <w:t>RECURSOS PARA EL PROGRAMA</w:t>
      </w:r>
      <w:r w:rsidR="00440E91" w:rsidRPr="004B6D01">
        <w:t xml:space="preserve"> 26</w:t>
      </w:r>
    </w:p>
    <w:p w:rsidR="004B6D01" w:rsidRPr="004B6D01" w:rsidRDefault="004B6D01" w:rsidP="004B6D01">
      <w:pPr>
        <w:autoSpaceDE w:val="0"/>
        <w:autoSpaceDN w:val="0"/>
        <w:adjustRightInd w:val="0"/>
        <w:jc w:val="both"/>
      </w:pPr>
    </w:p>
    <w:p w:rsidR="00440E91" w:rsidRPr="004B6D01" w:rsidRDefault="004B6D01" w:rsidP="004B6D01">
      <w:pPr>
        <w:pStyle w:val="ListParagraph"/>
        <w:numPr>
          <w:ilvl w:val="0"/>
          <w:numId w:val="48"/>
        </w:numPr>
        <w:tabs>
          <w:tab w:val="left" w:pos="709"/>
        </w:tabs>
        <w:autoSpaceDE w:val="0"/>
        <w:autoSpaceDN w:val="0"/>
        <w:adjustRightInd w:val="0"/>
        <w:ind w:left="0" w:firstLine="0"/>
        <w:jc w:val="both"/>
        <w:rPr>
          <w:rFonts w:ascii="Arial" w:hAnsi="Arial" w:cs="Arial"/>
          <w:sz w:val="20"/>
          <w:lang w:val="es-ES"/>
        </w:rPr>
      </w:pPr>
      <w:r w:rsidRPr="004B6D01">
        <w:rPr>
          <w:rFonts w:ascii="Arial" w:hAnsi="Arial" w:cs="Arial"/>
          <w:sz w:val="20"/>
          <w:szCs w:val="20"/>
          <w:lang w:val="es-ES"/>
        </w:rPr>
        <w:t>En el bienio 2016/17, la dotación global de recursos para el programa 26 muestra un ligero aumento con respecto al presupuesto de 2014/</w:t>
      </w:r>
      <w:r w:rsidR="00ED0A05">
        <w:rPr>
          <w:rFonts w:ascii="Arial" w:hAnsi="Arial" w:cs="Arial"/>
          <w:sz w:val="20"/>
          <w:szCs w:val="20"/>
          <w:lang w:val="es-ES"/>
        </w:rPr>
        <w:t>15 tras las</w:t>
      </w:r>
      <w:r w:rsidRPr="004B6D01">
        <w:rPr>
          <w:rFonts w:ascii="Arial" w:hAnsi="Arial" w:cs="Arial"/>
          <w:sz w:val="20"/>
          <w:szCs w:val="20"/>
          <w:lang w:val="es-ES"/>
        </w:rPr>
        <w:t xml:space="preserve"> transferencias.  Lo cual se debe al cambio introducido en la metodología aplicada al cálculo de los costos de recursos de personal a partir del cálculo de los costos reales.</w:t>
      </w:r>
    </w:p>
    <w:p w:rsidR="00440E91" w:rsidRDefault="00440E91" w:rsidP="00440E91">
      <w:pPr>
        <w:autoSpaceDE w:val="0"/>
        <w:autoSpaceDN w:val="0"/>
        <w:adjustRightInd w:val="0"/>
        <w:jc w:val="both"/>
        <w:rPr>
          <w:sz w:val="20"/>
          <w:highlight w:val="lightGray"/>
        </w:rPr>
      </w:pPr>
    </w:p>
    <w:p w:rsidR="006B46F5" w:rsidRPr="004B6D01" w:rsidRDefault="006B46F5" w:rsidP="00440E91">
      <w:pPr>
        <w:autoSpaceDE w:val="0"/>
        <w:autoSpaceDN w:val="0"/>
        <w:adjustRightInd w:val="0"/>
        <w:jc w:val="both"/>
        <w:rPr>
          <w:sz w:val="20"/>
          <w:highlight w:val="lightGray"/>
        </w:rPr>
      </w:pPr>
    </w:p>
    <w:p w:rsidR="00440E91" w:rsidRPr="004B6D01" w:rsidRDefault="00440E91" w:rsidP="00440E91">
      <w:pPr>
        <w:tabs>
          <w:tab w:val="left" w:pos="1427"/>
        </w:tabs>
        <w:jc w:val="center"/>
        <w:rPr>
          <w:sz w:val="20"/>
        </w:rPr>
      </w:pPr>
      <w:r w:rsidRPr="004B6D01">
        <w:rPr>
          <w:b/>
          <w:sz w:val="20"/>
          <w:szCs w:val="24"/>
        </w:rPr>
        <w:t>Program</w:t>
      </w:r>
      <w:r w:rsidR="004B6D01" w:rsidRPr="004B6D01">
        <w:rPr>
          <w:b/>
          <w:sz w:val="20"/>
          <w:szCs w:val="24"/>
        </w:rPr>
        <w:t>a</w:t>
      </w:r>
      <w:r w:rsidRPr="004B6D01">
        <w:rPr>
          <w:b/>
          <w:sz w:val="20"/>
          <w:szCs w:val="24"/>
        </w:rPr>
        <w:t xml:space="preserve"> 26</w:t>
      </w:r>
      <w:proofErr w:type="gramStart"/>
      <w:r w:rsidRPr="004B6D01">
        <w:rPr>
          <w:b/>
          <w:sz w:val="20"/>
          <w:szCs w:val="24"/>
        </w:rPr>
        <w:t xml:space="preserve">:  </w:t>
      </w:r>
      <w:r w:rsidR="004B6D01" w:rsidRPr="004B6D01">
        <w:rPr>
          <w:b/>
          <w:sz w:val="20"/>
          <w:szCs w:val="24"/>
        </w:rPr>
        <w:t>Recursos</w:t>
      </w:r>
      <w:proofErr w:type="gramEnd"/>
      <w:r w:rsidR="004B6D01" w:rsidRPr="004B6D01">
        <w:rPr>
          <w:b/>
          <w:sz w:val="20"/>
          <w:szCs w:val="24"/>
        </w:rPr>
        <w:t xml:space="preserve"> por resultado</w:t>
      </w:r>
    </w:p>
    <w:p w:rsidR="00440E91" w:rsidRPr="004B6D01" w:rsidRDefault="00440E91" w:rsidP="00440E91">
      <w:pPr>
        <w:tabs>
          <w:tab w:val="left" w:pos="1427"/>
        </w:tabs>
        <w:jc w:val="center"/>
        <w:rPr>
          <w:i/>
          <w:sz w:val="20"/>
          <w:szCs w:val="24"/>
        </w:rPr>
      </w:pPr>
      <w:r w:rsidRPr="004B6D01">
        <w:rPr>
          <w:i/>
          <w:sz w:val="20"/>
          <w:szCs w:val="24"/>
        </w:rPr>
        <w:t>(</w:t>
      </w:r>
      <w:proofErr w:type="gramStart"/>
      <w:r w:rsidR="004B6D01" w:rsidRPr="004B6D01">
        <w:rPr>
          <w:i/>
          <w:sz w:val="20"/>
          <w:szCs w:val="24"/>
        </w:rPr>
        <w:t>en</w:t>
      </w:r>
      <w:proofErr w:type="gramEnd"/>
      <w:r w:rsidR="004B6D01" w:rsidRPr="004B6D01">
        <w:rPr>
          <w:i/>
          <w:sz w:val="20"/>
          <w:szCs w:val="24"/>
        </w:rPr>
        <w:t xml:space="preserve"> miles de francos suizos</w:t>
      </w:r>
      <w:r w:rsidRPr="004B6D01">
        <w:rPr>
          <w:i/>
          <w:sz w:val="20"/>
          <w:szCs w:val="24"/>
        </w:rPr>
        <w:t>)</w:t>
      </w:r>
    </w:p>
    <w:p w:rsidR="00440E91" w:rsidRPr="004B6D01" w:rsidRDefault="00440E91" w:rsidP="00440E91">
      <w:pPr>
        <w:tabs>
          <w:tab w:val="left" w:pos="1427"/>
        </w:tabs>
        <w:jc w:val="center"/>
        <w:rPr>
          <w:i/>
          <w:sz w:val="20"/>
          <w:szCs w:val="24"/>
          <w:highlight w:val="lightGray"/>
        </w:rPr>
      </w:pPr>
    </w:p>
    <w:p w:rsidR="00440E91" w:rsidRPr="00440E91" w:rsidRDefault="00A339B4" w:rsidP="00440E91">
      <w:pPr>
        <w:tabs>
          <w:tab w:val="left" w:pos="1427"/>
        </w:tabs>
        <w:jc w:val="center"/>
        <w:rPr>
          <w:i/>
          <w:sz w:val="20"/>
          <w:szCs w:val="24"/>
          <w:highlight w:val="lightGray"/>
        </w:rPr>
      </w:pPr>
      <w:r w:rsidRPr="00A339B4">
        <w:rPr>
          <w:noProof/>
          <w:lang w:val="en-US" w:eastAsia="en-US"/>
        </w:rPr>
        <w:drawing>
          <wp:inline distT="0" distB="0" distL="0" distR="0">
            <wp:extent cx="5677535" cy="135953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677535" cy="1359535"/>
                    </a:xfrm>
                    <a:prstGeom prst="rect">
                      <a:avLst/>
                    </a:prstGeom>
                    <a:noFill/>
                    <a:ln>
                      <a:noFill/>
                    </a:ln>
                  </pic:spPr>
                </pic:pic>
              </a:graphicData>
            </a:graphic>
          </wp:inline>
        </w:drawing>
      </w:r>
    </w:p>
    <w:p w:rsidR="00440E91" w:rsidRDefault="00440E91" w:rsidP="00440E91">
      <w:pPr>
        <w:tabs>
          <w:tab w:val="left" w:pos="1427"/>
        </w:tabs>
        <w:rPr>
          <w:i/>
          <w:sz w:val="20"/>
          <w:szCs w:val="24"/>
          <w:highlight w:val="lightGray"/>
        </w:rPr>
      </w:pPr>
    </w:p>
    <w:p w:rsidR="00440E91" w:rsidRPr="00440E91" w:rsidRDefault="00440E91" w:rsidP="00440E91">
      <w:pPr>
        <w:tabs>
          <w:tab w:val="left" w:pos="1427"/>
        </w:tabs>
        <w:rPr>
          <w:i/>
          <w:sz w:val="20"/>
          <w:szCs w:val="24"/>
          <w:highlight w:val="lightGray"/>
        </w:rPr>
      </w:pPr>
    </w:p>
    <w:p w:rsidR="00440E91" w:rsidRPr="00D30DC7" w:rsidRDefault="00440E91" w:rsidP="00440E91">
      <w:pPr>
        <w:keepNext/>
        <w:keepLines/>
        <w:tabs>
          <w:tab w:val="left" w:pos="1427"/>
        </w:tabs>
        <w:jc w:val="center"/>
        <w:rPr>
          <w:sz w:val="20"/>
        </w:rPr>
      </w:pPr>
      <w:r w:rsidRPr="00D30DC7">
        <w:rPr>
          <w:b/>
          <w:sz w:val="20"/>
          <w:szCs w:val="24"/>
        </w:rPr>
        <w:lastRenderedPageBreak/>
        <w:t>Program</w:t>
      </w:r>
      <w:r w:rsidR="00D30DC7" w:rsidRPr="00D30DC7">
        <w:rPr>
          <w:b/>
          <w:sz w:val="20"/>
          <w:szCs w:val="24"/>
        </w:rPr>
        <w:t>a</w:t>
      </w:r>
      <w:r w:rsidRPr="00D30DC7">
        <w:rPr>
          <w:b/>
          <w:sz w:val="20"/>
          <w:szCs w:val="24"/>
        </w:rPr>
        <w:t xml:space="preserve"> 26</w:t>
      </w:r>
      <w:proofErr w:type="gramStart"/>
      <w:r w:rsidRPr="00D30DC7">
        <w:rPr>
          <w:b/>
          <w:sz w:val="20"/>
          <w:szCs w:val="24"/>
        </w:rPr>
        <w:t xml:space="preserve">:  </w:t>
      </w:r>
      <w:r w:rsidR="00D30DC7" w:rsidRPr="00D30DC7">
        <w:rPr>
          <w:b/>
          <w:sz w:val="20"/>
          <w:szCs w:val="24"/>
        </w:rPr>
        <w:t>Recursos</w:t>
      </w:r>
      <w:proofErr w:type="gramEnd"/>
      <w:r w:rsidR="00D30DC7" w:rsidRPr="00D30DC7">
        <w:rPr>
          <w:b/>
          <w:sz w:val="20"/>
          <w:szCs w:val="24"/>
        </w:rPr>
        <w:t xml:space="preserve"> por objeto de gasto</w:t>
      </w:r>
    </w:p>
    <w:p w:rsidR="00440E91" w:rsidRPr="00D30DC7" w:rsidRDefault="00440E91" w:rsidP="00440E91">
      <w:pPr>
        <w:keepNext/>
        <w:keepLines/>
        <w:tabs>
          <w:tab w:val="left" w:pos="1427"/>
        </w:tabs>
        <w:jc w:val="center"/>
        <w:rPr>
          <w:i/>
          <w:sz w:val="20"/>
          <w:szCs w:val="24"/>
        </w:rPr>
      </w:pPr>
      <w:r w:rsidRPr="00D30DC7">
        <w:rPr>
          <w:i/>
          <w:sz w:val="20"/>
          <w:szCs w:val="24"/>
        </w:rPr>
        <w:t>(</w:t>
      </w:r>
      <w:proofErr w:type="gramStart"/>
      <w:r w:rsidR="00D30DC7" w:rsidRPr="00D30DC7">
        <w:rPr>
          <w:i/>
          <w:sz w:val="20"/>
          <w:szCs w:val="24"/>
        </w:rPr>
        <w:t>en</w:t>
      </w:r>
      <w:proofErr w:type="gramEnd"/>
      <w:r w:rsidR="00D30DC7" w:rsidRPr="00D30DC7">
        <w:rPr>
          <w:i/>
          <w:sz w:val="20"/>
          <w:szCs w:val="24"/>
        </w:rPr>
        <w:t xml:space="preserve"> miles de francos suizos</w:t>
      </w:r>
      <w:r w:rsidRPr="00D30DC7">
        <w:rPr>
          <w:i/>
          <w:sz w:val="20"/>
          <w:szCs w:val="24"/>
        </w:rPr>
        <w:t>)</w:t>
      </w:r>
    </w:p>
    <w:p w:rsidR="00440E91" w:rsidRPr="00D30DC7" w:rsidRDefault="00440E91" w:rsidP="00440E91">
      <w:pPr>
        <w:keepNext/>
        <w:keepLines/>
        <w:tabs>
          <w:tab w:val="left" w:pos="1427"/>
        </w:tabs>
        <w:jc w:val="center"/>
        <w:rPr>
          <w:i/>
          <w:sz w:val="20"/>
          <w:szCs w:val="24"/>
          <w:highlight w:val="lightGray"/>
        </w:rPr>
      </w:pPr>
    </w:p>
    <w:p w:rsidR="00440E91" w:rsidRDefault="00835617" w:rsidP="00440E91">
      <w:pPr>
        <w:keepNext/>
        <w:keepLines/>
        <w:tabs>
          <w:tab w:val="left" w:pos="1427"/>
        </w:tabs>
        <w:jc w:val="center"/>
      </w:pPr>
      <w:r>
        <w:rPr>
          <w:noProof/>
          <w:lang w:val="en-US" w:eastAsia="en-US"/>
        </w:rPr>
        <w:drawing>
          <wp:inline distT="0" distB="0" distL="0" distR="0" wp14:anchorId="51B3105E" wp14:editId="5D87D93D">
            <wp:extent cx="5940425" cy="6089570"/>
            <wp:effectExtent l="0" t="0" r="3175" b="6985"/>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940425" cy="6089570"/>
                    </a:xfrm>
                    <a:prstGeom prst="rect">
                      <a:avLst/>
                    </a:prstGeom>
                    <a:noFill/>
                    <a:ln>
                      <a:noFill/>
                    </a:ln>
                  </pic:spPr>
                </pic:pic>
              </a:graphicData>
            </a:graphic>
          </wp:inline>
        </w:drawing>
      </w:r>
    </w:p>
    <w:p w:rsidR="00440E91" w:rsidRDefault="00440E91" w:rsidP="00336FF1">
      <w:pPr>
        <w:shd w:val="clear" w:color="auto" w:fill="FFFFFF"/>
        <w:tabs>
          <w:tab w:val="left" w:pos="709"/>
        </w:tabs>
        <w:suppressAutoHyphens/>
        <w:jc w:val="both"/>
        <w:rPr>
          <w:szCs w:val="22"/>
        </w:rPr>
      </w:pPr>
    </w:p>
    <w:p w:rsidR="00440E91" w:rsidRDefault="00440E91" w:rsidP="00336FF1">
      <w:pPr>
        <w:shd w:val="clear" w:color="auto" w:fill="FFFFFF"/>
        <w:tabs>
          <w:tab w:val="left" w:pos="709"/>
        </w:tabs>
        <w:suppressAutoHyphens/>
        <w:jc w:val="both"/>
        <w:rPr>
          <w:szCs w:val="22"/>
        </w:rPr>
      </w:pPr>
    </w:p>
    <w:p w:rsidR="00440E91" w:rsidRDefault="00440E91">
      <w:pPr>
        <w:rPr>
          <w:szCs w:val="22"/>
        </w:rPr>
      </w:pPr>
      <w:r>
        <w:rPr>
          <w:szCs w:val="22"/>
        </w:rPr>
        <w:br w:type="page"/>
      </w:r>
    </w:p>
    <w:p w:rsidR="00BB3049" w:rsidRPr="00F4741E" w:rsidRDefault="00BB3049" w:rsidP="00C1052E">
      <w:pPr>
        <w:pStyle w:val="StyleStyleHeading3ComplexItalicLatin12pt"/>
        <w:rPr>
          <w:lang w:val="es-ES"/>
        </w:rPr>
      </w:pPr>
      <w:bookmarkStart w:id="80" w:name="_Toc420681167"/>
      <w:r w:rsidRPr="00F4741E">
        <w:rPr>
          <w:lang w:val="es-ES"/>
        </w:rPr>
        <w:lastRenderedPageBreak/>
        <w:t>PROGRAMA 27</w:t>
      </w:r>
      <w:r w:rsidRPr="00F4741E">
        <w:rPr>
          <w:lang w:val="es-ES"/>
        </w:rPr>
        <w:tab/>
        <w:t>SERVICIOS DE CONFERENCIAS Y LINGÜÍSTICOS</w:t>
      </w:r>
      <w:bookmarkEnd w:id="80"/>
    </w:p>
    <w:p w:rsidR="00BB3049" w:rsidRPr="00BB3049" w:rsidRDefault="00BB3049" w:rsidP="00BB3049">
      <w:pPr>
        <w:rPr>
          <w:szCs w:val="22"/>
        </w:rPr>
      </w:pPr>
    </w:p>
    <w:p w:rsidR="00BB3049" w:rsidRPr="00BB3049" w:rsidRDefault="00BB3049" w:rsidP="00BB3049">
      <w:pPr>
        <w:rPr>
          <w:szCs w:val="22"/>
        </w:rPr>
      </w:pPr>
    </w:p>
    <w:p w:rsidR="00BB3049" w:rsidRPr="00BB3049" w:rsidRDefault="00BB3049" w:rsidP="00BB3049">
      <w:pPr>
        <w:rPr>
          <w:bCs/>
          <w:szCs w:val="22"/>
        </w:rPr>
      </w:pPr>
      <w:r w:rsidRPr="00BB3049">
        <w:rPr>
          <w:bCs/>
          <w:szCs w:val="22"/>
        </w:rPr>
        <w:t>CONTEXTO DE PLANIFICACIÓN</w:t>
      </w:r>
    </w:p>
    <w:p w:rsidR="00BB3049" w:rsidRPr="00A339B4" w:rsidRDefault="00BB3049" w:rsidP="00BB3049">
      <w:pPr>
        <w:jc w:val="both"/>
        <w:rPr>
          <w:sz w:val="20"/>
        </w:rPr>
      </w:pPr>
    </w:p>
    <w:p w:rsidR="00BB3049" w:rsidRPr="00BB3049"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bidi="he-IL"/>
        </w:rPr>
      </w:pPr>
      <w:r w:rsidRPr="00BB3049">
        <w:rPr>
          <w:rFonts w:ascii="Arial" w:hAnsi="Arial" w:cs="Arial"/>
          <w:sz w:val="20"/>
          <w:lang w:val="es-ES_tradnl" w:bidi="he-IL"/>
        </w:rPr>
        <w:t xml:space="preserve">El programa facilita las actividades de la Organización mediante la prestación de servicios eficientes y eficaces de conferencia, traducción, interpretación, gestión de expedientes y archivos, imprenta y despacho del correo.  Asimismo, se encarga de la formulación, presentación, adopción y aplicación de cuestiones conexas de política, así como de la gestión de proyectos de T.I. destinados a racionalizar y mejorar el funcionamiento de esas áreas. </w:t>
      </w:r>
    </w:p>
    <w:p w:rsidR="00BB3049" w:rsidRPr="00BB3049" w:rsidRDefault="00BB3049" w:rsidP="00BB3049">
      <w:pPr>
        <w:autoSpaceDE w:val="0"/>
        <w:autoSpaceDN w:val="0"/>
        <w:adjustRightInd w:val="0"/>
        <w:jc w:val="both"/>
        <w:rPr>
          <w:sz w:val="20"/>
          <w:lang w:bidi="he-IL"/>
        </w:rPr>
      </w:pPr>
    </w:p>
    <w:p w:rsidR="00BB3049" w:rsidRPr="00A339B4"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rPr>
      </w:pPr>
      <w:r w:rsidRPr="00A339B4">
        <w:rPr>
          <w:rFonts w:ascii="Arial" w:hAnsi="Arial" w:cs="Arial"/>
          <w:sz w:val="20"/>
          <w:lang w:val="es-ES_tradnl"/>
        </w:rPr>
        <w:t xml:space="preserve">Tras la adopción de la Política Lingüística por parte de los Estados miembros en 2011, y hacer extensiva la cobertura lingüística en seis idiomas a toda la documentación de los comités y órganos principales de la OMPI en el bienio de 2012/2013, en el bienio de 2014/15 se aplicó la misma cobertura a algunos grupos de trabajo.  En el bienio de 2016/17 se espera dar cobertura a los grupos de trabajo restantes.  En este contexto, la Secretaría sigue afrontando el doble reto de gestionar el volumen de trabajo </w:t>
      </w:r>
      <w:r w:rsidR="00A339B4">
        <w:rPr>
          <w:rFonts w:ascii="Arial" w:hAnsi="Arial" w:cs="Arial"/>
          <w:sz w:val="20"/>
          <w:lang w:val="es-ES_tradnl"/>
        </w:rPr>
        <w:t xml:space="preserve">de traducción </w:t>
      </w:r>
      <w:r w:rsidRPr="00A339B4">
        <w:rPr>
          <w:rFonts w:ascii="Arial" w:hAnsi="Arial" w:cs="Arial"/>
          <w:sz w:val="20"/>
          <w:lang w:val="es-ES_tradnl"/>
        </w:rPr>
        <w:t>sin dejar de mantener la calidad, con los recursos disponibles.  Para superar estos retos, se ha reforzado la red de traductores externos por cuenta propia y de agencias</w:t>
      </w:r>
      <w:r w:rsidR="00342AAA">
        <w:rPr>
          <w:rFonts w:ascii="Arial" w:hAnsi="Arial" w:cs="Arial"/>
          <w:sz w:val="20"/>
          <w:lang w:val="es-ES_tradnl"/>
        </w:rPr>
        <w:t xml:space="preserve"> de traducción para garantizar una </w:t>
      </w:r>
      <w:r w:rsidR="00624F1C">
        <w:rPr>
          <w:rFonts w:ascii="Arial" w:hAnsi="Arial" w:cs="Arial"/>
          <w:sz w:val="20"/>
          <w:lang w:val="es-ES_tradnl"/>
        </w:rPr>
        <w:t>distribu</w:t>
      </w:r>
      <w:r w:rsidR="00342AAA">
        <w:rPr>
          <w:rFonts w:ascii="Arial" w:hAnsi="Arial" w:cs="Arial"/>
          <w:sz w:val="20"/>
          <w:lang w:val="es-ES_tradnl"/>
        </w:rPr>
        <w:t>ción idónea</w:t>
      </w:r>
      <w:r w:rsidR="00624F1C">
        <w:rPr>
          <w:rFonts w:ascii="Arial" w:hAnsi="Arial" w:cs="Arial"/>
          <w:sz w:val="20"/>
          <w:lang w:val="es-ES_tradnl"/>
        </w:rPr>
        <w:t xml:space="preserve"> del trabajo</w:t>
      </w:r>
      <w:r w:rsidR="00342AAA">
        <w:rPr>
          <w:rFonts w:ascii="Arial" w:hAnsi="Arial" w:cs="Arial"/>
          <w:sz w:val="20"/>
          <w:lang w:val="es-ES_tradnl"/>
        </w:rPr>
        <w:t xml:space="preserve"> </w:t>
      </w:r>
      <w:r w:rsidR="00624F1C">
        <w:rPr>
          <w:rFonts w:ascii="Arial" w:hAnsi="Arial" w:cs="Arial"/>
          <w:sz w:val="20"/>
          <w:lang w:val="es-ES_tradnl"/>
        </w:rPr>
        <w:t>entre</w:t>
      </w:r>
      <w:r w:rsidR="00342AAA">
        <w:rPr>
          <w:rFonts w:ascii="Arial" w:hAnsi="Arial" w:cs="Arial"/>
          <w:sz w:val="20"/>
          <w:lang w:val="es-ES_tradnl"/>
        </w:rPr>
        <w:t xml:space="preserve"> proveedores </w:t>
      </w:r>
      <w:r w:rsidRPr="00A339B4">
        <w:rPr>
          <w:rFonts w:ascii="Arial" w:hAnsi="Arial" w:cs="Arial"/>
          <w:sz w:val="20"/>
          <w:lang w:val="es-ES_tradnl"/>
        </w:rPr>
        <w:t>de traducción</w:t>
      </w:r>
      <w:r w:rsidR="00342AAA">
        <w:rPr>
          <w:rFonts w:ascii="Arial" w:hAnsi="Arial" w:cs="Arial"/>
          <w:sz w:val="20"/>
          <w:lang w:val="es-ES_tradnl"/>
        </w:rPr>
        <w:t xml:space="preserve"> </w:t>
      </w:r>
      <w:r w:rsidR="00624F1C">
        <w:rPr>
          <w:rFonts w:ascii="Arial" w:hAnsi="Arial" w:cs="Arial"/>
          <w:sz w:val="20"/>
          <w:lang w:val="es-ES_tradnl"/>
        </w:rPr>
        <w:t>y velar por que desde el comienzo los proveedores ofrezcan calidad</w:t>
      </w:r>
      <w:r w:rsidRPr="00A339B4">
        <w:rPr>
          <w:rFonts w:ascii="Arial" w:hAnsi="Arial" w:cs="Arial"/>
          <w:sz w:val="20"/>
          <w:lang w:val="es-ES_tradnl"/>
        </w:rPr>
        <w:t xml:space="preserve">.  Se han instalado nuevas herramientas de gestión </w:t>
      </w:r>
      <w:r w:rsidR="00A339B4">
        <w:rPr>
          <w:rFonts w:ascii="Arial" w:hAnsi="Arial" w:cs="Arial"/>
          <w:sz w:val="20"/>
          <w:lang w:val="es-ES_tradnl"/>
        </w:rPr>
        <w:t xml:space="preserve">e informáticas </w:t>
      </w:r>
      <w:r w:rsidRPr="00A339B4">
        <w:rPr>
          <w:rFonts w:ascii="Arial" w:hAnsi="Arial" w:cs="Arial"/>
          <w:sz w:val="20"/>
          <w:lang w:val="es-ES_tradnl"/>
        </w:rPr>
        <w:t>para mejorar el entorno de la traducción, crear bases de datos terminológicas y asegurar el control de la calidad.</w:t>
      </w:r>
    </w:p>
    <w:p w:rsidR="00BB3049" w:rsidRPr="00BB3049" w:rsidRDefault="00BB3049" w:rsidP="00BB3049">
      <w:pPr>
        <w:jc w:val="both"/>
        <w:rPr>
          <w:sz w:val="20"/>
        </w:rPr>
      </w:pPr>
    </w:p>
    <w:p w:rsidR="00BB3049" w:rsidRPr="00624F1C"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 xml:space="preserve">La introducción de nuevas tecnologías para los servicios de conferencias e interpretación ha contribuido a modernizar su funcionamiento y a que se siga facilitando la participación de las delegaciones de los Estados miembros en las reuniones.  Estos servicios siguen afrontando los retos que plantean </w:t>
      </w:r>
      <w:r w:rsidR="00624F1C">
        <w:rPr>
          <w:rFonts w:ascii="Arial" w:hAnsi="Arial" w:cs="Arial"/>
          <w:sz w:val="20"/>
          <w:lang w:val="es-ES_tradnl"/>
        </w:rPr>
        <w:t xml:space="preserve">constantemente </w:t>
      </w:r>
      <w:r w:rsidRPr="00624F1C">
        <w:rPr>
          <w:rFonts w:ascii="Arial" w:hAnsi="Arial" w:cs="Arial"/>
          <w:sz w:val="20"/>
          <w:lang w:val="es-ES_tradnl"/>
        </w:rPr>
        <w:t>el aumento del número de reuniones que organiza la OMPI</w:t>
      </w:r>
      <w:r w:rsidR="00624F1C">
        <w:rPr>
          <w:rFonts w:ascii="Arial" w:hAnsi="Arial" w:cs="Arial"/>
          <w:sz w:val="20"/>
          <w:lang w:val="es-ES_tradnl"/>
        </w:rPr>
        <w:t>, así como la duración de las mismas</w:t>
      </w:r>
      <w:r w:rsidRPr="00624F1C">
        <w:rPr>
          <w:rFonts w:ascii="Arial" w:hAnsi="Arial" w:cs="Arial"/>
          <w:sz w:val="20"/>
          <w:lang w:val="es-ES_tradnl"/>
        </w:rPr>
        <w:t xml:space="preserve">, lo que afecta </w:t>
      </w:r>
      <w:r w:rsidR="00624F1C">
        <w:rPr>
          <w:rFonts w:ascii="Arial" w:hAnsi="Arial" w:cs="Arial"/>
          <w:sz w:val="20"/>
          <w:lang w:val="es-ES_tradnl"/>
        </w:rPr>
        <w:t>también</w:t>
      </w:r>
      <w:r w:rsidRPr="00624F1C">
        <w:rPr>
          <w:rFonts w:ascii="Arial" w:hAnsi="Arial" w:cs="Arial"/>
          <w:sz w:val="20"/>
          <w:lang w:val="es-ES_tradnl"/>
        </w:rPr>
        <w:t xml:space="preserve"> a los usuarios externos de la nueva sala de conferencias.</w:t>
      </w:r>
    </w:p>
    <w:p w:rsidR="00BB3049" w:rsidRPr="00BB3049" w:rsidRDefault="00BB3049" w:rsidP="00BB3049">
      <w:pPr>
        <w:jc w:val="both"/>
        <w:rPr>
          <w:sz w:val="20"/>
        </w:rPr>
      </w:pPr>
    </w:p>
    <w:p w:rsidR="00BB3049" w:rsidRPr="00BB3049"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rPr>
      </w:pPr>
      <w:r w:rsidRPr="00BB3049">
        <w:rPr>
          <w:rFonts w:ascii="Arial" w:hAnsi="Arial" w:cs="Arial"/>
          <w:sz w:val="20"/>
          <w:lang w:val="es-ES_tradnl"/>
        </w:rPr>
        <w:t xml:space="preserve">El programa gestiona servicios de imprenta, eficientes y puntuales, con el fin de proporcionar a los Estados miembros y otras partes interesadas los documentos y las publicaciones necesarias para facilitar la labor de los comités y demás órganos, así como de difundir información acerca de la P.I.  El servicio de gestión de expedientes y correo ofrece a todas las unidades de la Organización servicios eficaces en relación con los costos. </w:t>
      </w:r>
    </w:p>
    <w:p w:rsidR="00BB3049" w:rsidRPr="00BB3049" w:rsidRDefault="00BB3049" w:rsidP="00BB3049">
      <w:pPr>
        <w:jc w:val="both"/>
        <w:rPr>
          <w:szCs w:val="22"/>
        </w:rPr>
      </w:pPr>
    </w:p>
    <w:p w:rsidR="00BB3049" w:rsidRPr="00BB3049" w:rsidRDefault="00BB3049" w:rsidP="00BB3049">
      <w:pPr>
        <w:jc w:val="both"/>
        <w:rPr>
          <w:szCs w:val="22"/>
        </w:rPr>
      </w:pPr>
    </w:p>
    <w:p w:rsidR="00BB3049" w:rsidRPr="00BB3049" w:rsidRDefault="00BB3049" w:rsidP="00BB3049">
      <w:pPr>
        <w:jc w:val="both"/>
        <w:rPr>
          <w:bCs/>
          <w:szCs w:val="22"/>
        </w:rPr>
      </w:pPr>
      <w:r w:rsidRPr="00BB3049">
        <w:rPr>
          <w:bCs/>
          <w:szCs w:val="22"/>
        </w:rPr>
        <w:t>ESTRATEGIAS DE EJECUCIÓN</w:t>
      </w:r>
    </w:p>
    <w:p w:rsidR="00BB3049" w:rsidRPr="00BB3049" w:rsidRDefault="00BB3049" w:rsidP="00BB3049">
      <w:pPr>
        <w:jc w:val="both"/>
        <w:rPr>
          <w:szCs w:val="22"/>
        </w:rPr>
      </w:pPr>
    </w:p>
    <w:p w:rsidR="00BB3049" w:rsidRPr="00624F1C"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Para afrontar los retos que plantea el volumen de trabajo al servicio lingüístico, se mantendrá el actual nivel de subcontrataciones y, al mismo tiempo, se tomarán medidas para contener el volumen de trabajo.  La atención se centrará en alcanzar un equilibrio entre la necesidad de responder a las demandas previstas de los Estados miembros y la optimización del uso de los recursos disponibles.  La Secretaría seguirá impulsando la rigurosa aplicación de medidas de racionalización y de control</w:t>
      </w:r>
      <w:r w:rsidR="00624F1C">
        <w:rPr>
          <w:rFonts w:ascii="Arial" w:hAnsi="Arial" w:cs="Arial"/>
          <w:sz w:val="20"/>
          <w:lang w:val="es-ES_tradnl"/>
        </w:rPr>
        <w:t xml:space="preserve"> con el fin de reducir el número de páginas por documento y la cantidad global de documentos</w:t>
      </w:r>
      <w:r w:rsidRPr="00624F1C">
        <w:rPr>
          <w:rFonts w:ascii="Arial" w:hAnsi="Arial" w:cs="Arial"/>
          <w:sz w:val="20"/>
          <w:lang w:val="es-ES_tradnl"/>
        </w:rPr>
        <w:t xml:space="preserve">.  Al tiempo que se mantiene al principal grupo de revisores expertos y de traductores internos, el aumento de volumen de trabajo se afrontará principalmente mediante la subcontratación de traductores por cuenta propia y de agencias de traducción.  Se fortalecerán las prácticas de control de calidad y se mantendrá el concepto de “calidad en el origen” para contratar a traductores competentes. </w:t>
      </w:r>
    </w:p>
    <w:p w:rsidR="00BB3049" w:rsidRPr="00BB3049" w:rsidRDefault="00BB3049" w:rsidP="00BB3049">
      <w:pPr>
        <w:jc w:val="both"/>
        <w:rPr>
          <w:sz w:val="20"/>
        </w:rPr>
      </w:pPr>
    </w:p>
    <w:p w:rsidR="00BB3049" w:rsidRPr="00624F1C"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sz w:val="20"/>
          <w:lang w:val="es-ES_tradnl"/>
        </w:rPr>
      </w:pPr>
      <w:r w:rsidRPr="00624F1C">
        <w:rPr>
          <w:rFonts w:ascii="Arial" w:hAnsi="Arial" w:cs="Arial"/>
          <w:sz w:val="20"/>
          <w:lang w:val="es-ES_tradnl"/>
        </w:rPr>
        <w:t xml:space="preserve">Con la puesta en funcionamiento de las nuevas herramientas </w:t>
      </w:r>
      <w:r w:rsidR="00624F1C">
        <w:rPr>
          <w:rFonts w:ascii="Arial" w:hAnsi="Arial" w:cs="Arial"/>
          <w:sz w:val="20"/>
          <w:lang w:val="es-ES_tradnl"/>
        </w:rPr>
        <w:t>informáticas de traducción y d</w:t>
      </w:r>
      <w:r w:rsidRPr="00624F1C">
        <w:rPr>
          <w:rFonts w:ascii="Arial" w:hAnsi="Arial" w:cs="Arial"/>
          <w:sz w:val="20"/>
          <w:lang w:val="es-ES_tradnl"/>
        </w:rPr>
        <w:t>e gestión de la traducción, la base de datos terminológica de P.I., que se ha creado en los seis idiomas oficiales de las Naciones Unidas, se pondrá a disposición de usuarios externos.  Esta base de datos se utilizará como herramienta para asegurar la coherencia y la calidad en las tareas de traducción, herramienta que constituye además un activo para la Organización, en su empeño por convertirse en fuente de referencia mundial de información y análisis de P.I.</w:t>
      </w:r>
    </w:p>
    <w:p w:rsidR="00BB3049" w:rsidRPr="00624F1C" w:rsidRDefault="00BB3049" w:rsidP="00BB3049">
      <w:pPr>
        <w:tabs>
          <w:tab w:val="left" w:pos="1889"/>
        </w:tabs>
        <w:jc w:val="both"/>
        <w:rPr>
          <w:sz w:val="20"/>
        </w:rPr>
      </w:pPr>
      <w:r w:rsidRPr="00624F1C">
        <w:rPr>
          <w:sz w:val="20"/>
        </w:rPr>
        <w:tab/>
      </w:r>
    </w:p>
    <w:p w:rsidR="00BB3049" w:rsidRPr="00624F1C" w:rsidRDefault="00BB3049" w:rsidP="00BB3049">
      <w:pPr>
        <w:pStyle w:val="ListParagraph"/>
        <w:numPr>
          <w:ilvl w:val="0"/>
          <w:numId w:val="49"/>
        </w:numPr>
        <w:tabs>
          <w:tab w:val="left" w:pos="709"/>
        </w:tabs>
        <w:autoSpaceDE w:val="0"/>
        <w:autoSpaceDN w:val="0"/>
        <w:adjustRightInd w:val="0"/>
        <w:ind w:left="0" w:firstLine="0"/>
        <w:jc w:val="both"/>
        <w:rPr>
          <w:rFonts w:ascii="Arial" w:hAnsi="Arial" w:cs="Arial"/>
          <w:bCs/>
          <w:sz w:val="20"/>
          <w:lang w:val="es-ES_tradnl"/>
        </w:rPr>
      </w:pPr>
      <w:r w:rsidRPr="00624F1C">
        <w:rPr>
          <w:rFonts w:ascii="Arial" w:hAnsi="Arial" w:cs="Arial"/>
          <w:sz w:val="20"/>
          <w:lang w:val="es-ES_tradnl"/>
        </w:rPr>
        <w:t xml:space="preserve">La política de gestión de los expedientes y archivos se aplicará mediante el desarrollo de procedimientos simplificados para todos los sectores.  Los servicios de conferencias procurarán sacar el máximo provecho de los recursos disponibles;  contratar a personal temporero de agencias, cuando sea necesario, y fomentar la aplicación de las herramientas y sistemas en el ámbito de las tecnologías de la información.  Estas medidas contribuirán además a gestionar los incrementos inesperados del nivel de demanda de uso de la nueva sala de conferencias.  Se mejorará el sistema de inscripción por Internet y </w:t>
      </w:r>
      <w:r w:rsidRPr="00624F1C">
        <w:rPr>
          <w:rFonts w:ascii="Arial" w:hAnsi="Arial" w:cs="Arial"/>
          <w:sz w:val="20"/>
          <w:lang w:val="es-ES_tradnl"/>
        </w:rPr>
        <w:lastRenderedPageBreak/>
        <w:t xml:space="preserve">se invertirán esfuerzos para agilizar la distribución electrónica de documentos.  Al tiempo que se mantendrá la eficiencia en las </w:t>
      </w:r>
      <w:r w:rsidR="00624F1C">
        <w:rPr>
          <w:rFonts w:ascii="Arial" w:hAnsi="Arial" w:cs="Arial"/>
          <w:sz w:val="20"/>
          <w:lang w:val="es-ES_tradnl"/>
        </w:rPr>
        <w:t>operaciones de la imprenta</w:t>
      </w:r>
      <w:r w:rsidRPr="00624F1C">
        <w:rPr>
          <w:rFonts w:ascii="Arial" w:hAnsi="Arial" w:cs="Arial"/>
          <w:sz w:val="20"/>
          <w:lang w:val="es-ES_tradnl"/>
        </w:rPr>
        <w:t>, el servicio tratará de reducir el consumo de papel mediante la introducción de sistemas de impresión por encargo.</w:t>
      </w:r>
      <w:r w:rsidR="00624F1C">
        <w:rPr>
          <w:rFonts w:ascii="Arial" w:hAnsi="Arial" w:cs="Arial"/>
          <w:sz w:val="20"/>
          <w:lang w:val="es-ES_tradnl"/>
        </w:rPr>
        <w:t xml:space="preserve">  Tambi</w:t>
      </w:r>
      <w:r w:rsidR="000C09D2">
        <w:rPr>
          <w:rFonts w:ascii="Arial" w:hAnsi="Arial" w:cs="Arial"/>
          <w:sz w:val="20"/>
          <w:lang w:val="es-ES_tradnl"/>
        </w:rPr>
        <w:t>én se contempl</w:t>
      </w:r>
      <w:r w:rsidR="00624F1C">
        <w:rPr>
          <w:rFonts w:ascii="Arial" w:hAnsi="Arial" w:cs="Arial"/>
          <w:sz w:val="20"/>
          <w:lang w:val="es-ES_tradnl"/>
        </w:rPr>
        <w:t>arán otras</w:t>
      </w:r>
      <w:r w:rsidR="000C09D2">
        <w:rPr>
          <w:rFonts w:ascii="Arial" w:hAnsi="Arial" w:cs="Arial"/>
          <w:sz w:val="20"/>
          <w:lang w:val="es-ES_tradnl"/>
        </w:rPr>
        <w:t xml:space="preserve"> oportunidades para generar eficacia en relación con los costos en el ámbito del Grupo de Colaboración Internacional de Ginebra.</w:t>
      </w:r>
      <w:r w:rsidR="00624F1C">
        <w:rPr>
          <w:rFonts w:ascii="Arial" w:hAnsi="Arial" w:cs="Arial"/>
          <w:sz w:val="20"/>
          <w:lang w:val="es-ES_tradnl"/>
        </w:rPr>
        <w:t xml:space="preserve"> </w:t>
      </w:r>
      <w:r w:rsidRPr="00624F1C">
        <w:rPr>
          <w:rFonts w:ascii="Arial" w:hAnsi="Arial" w:cs="Arial"/>
          <w:sz w:val="20"/>
          <w:lang w:val="es-ES_tradnl"/>
        </w:rPr>
        <w:t xml:space="preserve">  Los servicios de correspondencia seguirán siendo rápidos y </w:t>
      </w:r>
      <w:proofErr w:type="spellStart"/>
      <w:r w:rsidRPr="00624F1C">
        <w:rPr>
          <w:rFonts w:ascii="Arial" w:hAnsi="Arial" w:cs="Arial"/>
          <w:sz w:val="20"/>
          <w:lang w:val="es-ES_tradnl"/>
        </w:rPr>
        <w:t>costoeficientes</w:t>
      </w:r>
      <w:proofErr w:type="spellEnd"/>
      <w:r w:rsidRPr="00624F1C">
        <w:rPr>
          <w:rFonts w:ascii="Arial" w:hAnsi="Arial" w:cs="Arial"/>
          <w:sz w:val="20"/>
          <w:lang w:val="es-ES_tradnl"/>
        </w:rPr>
        <w:t>, en el empeño constante de ob</w:t>
      </w:r>
      <w:r w:rsidR="000C09D2">
        <w:rPr>
          <w:rFonts w:ascii="Arial" w:hAnsi="Arial" w:cs="Arial"/>
          <w:sz w:val="20"/>
          <w:lang w:val="es-ES_tradnl"/>
        </w:rPr>
        <w:t>tener tarifas competitivas de los despachantes de correo</w:t>
      </w:r>
      <w:r w:rsidRPr="00624F1C">
        <w:rPr>
          <w:rFonts w:ascii="Arial" w:hAnsi="Arial" w:cs="Arial"/>
          <w:sz w:val="20"/>
          <w:lang w:val="es-ES_tradnl"/>
        </w:rPr>
        <w:t xml:space="preserve"> más importantes.</w:t>
      </w:r>
    </w:p>
    <w:p w:rsidR="00BB3049" w:rsidRPr="00BB3049" w:rsidRDefault="00BB3049" w:rsidP="00BB3049">
      <w:pPr>
        <w:rPr>
          <w:szCs w:val="22"/>
        </w:rPr>
      </w:pPr>
    </w:p>
    <w:p w:rsidR="00BB3049" w:rsidRPr="00BB3049" w:rsidRDefault="00BB3049" w:rsidP="00BB3049">
      <w:pPr>
        <w:rPr>
          <w:szCs w:val="22"/>
        </w:rPr>
      </w:pPr>
      <w:r w:rsidRPr="00BB3049">
        <w:rPr>
          <w:szCs w:val="22"/>
        </w:rPr>
        <w:t>PRINCIPALES RIESGOS Y ESTRATEGIAS DE MITIGACIÓN</w:t>
      </w:r>
    </w:p>
    <w:p w:rsidR="00BB3049" w:rsidRPr="00BB3049" w:rsidRDefault="00BB3049" w:rsidP="00BB3049">
      <w:pPr>
        <w:rPr>
          <w:sz w:val="20"/>
        </w:rPr>
      </w:pPr>
    </w:p>
    <w:tbl>
      <w:tblPr>
        <w:tblW w:w="9214"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11"/>
        <w:gridCol w:w="5103"/>
      </w:tblGrid>
      <w:tr w:rsidR="00BB3049" w:rsidRPr="00BB3049" w:rsidTr="000C09D2">
        <w:trPr>
          <w:trHeight w:val="577"/>
        </w:trPr>
        <w:tc>
          <w:tcPr>
            <w:tcW w:w="4111" w:type="dxa"/>
            <w:tcBorders>
              <w:top w:val="single" w:sz="4" w:space="0" w:color="auto"/>
              <w:bottom w:val="single" w:sz="4" w:space="0" w:color="auto"/>
            </w:tcBorders>
            <w:shd w:val="clear" w:color="auto" w:fill="C6D9F1"/>
            <w:vAlign w:val="center"/>
          </w:tcPr>
          <w:p w:rsidR="00BB3049" w:rsidRPr="00BB3049" w:rsidRDefault="00BB3049" w:rsidP="00C97D8A">
            <w:pPr>
              <w:jc w:val="center"/>
              <w:rPr>
                <w:b/>
                <w:bCs/>
                <w:sz w:val="18"/>
                <w:szCs w:val="18"/>
              </w:rPr>
            </w:pPr>
            <w:r w:rsidRPr="00BB3049">
              <w:rPr>
                <w:b/>
                <w:bCs/>
                <w:sz w:val="18"/>
                <w:szCs w:val="18"/>
              </w:rPr>
              <w:t>Riesgo</w:t>
            </w:r>
          </w:p>
        </w:tc>
        <w:tc>
          <w:tcPr>
            <w:tcW w:w="5103" w:type="dxa"/>
            <w:tcBorders>
              <w:top w:val="single" w:sz="4" w:space="0" w:color="auto"/>
              <w:bottom w:val="single" w:sz="4" w:space="0" w:color="auto"/>
            </w:tcBorders>
            <w:shd w:val="clear" w:color="auto" w:fill="C6D9F1"/>
            <w:vAlign w:val="center"/>
          </w:tcPr>
          <w:p w:rsidR="00BB3049" w:rsidRPr="00BB3049" w:rsidRDefault="00BB3049" w:rsidP="00C97D8A">
            <w:pPr>
              <w:jc w:val="center"/>
              <w:rPr>
                <w:b/>
                <w:bCs/>
                <w:sz w:val="18"/>
                <w:szCs w:val="18"/>
              </w:rPr>
            </w:pPr>
            <w:r w:rsidRPr="00BB3049">
              <w:rPr>
                <w:b/>
                <w:bCs/>
                <w:sz w:val="18"/>
                <w:szCs w:val="18"/>
              </w:rPr>
              <w:t>Mitigación</w:t>
            </w:r>
          </w:p>
        </w:tc>
      </w:tr>
      <w:tr w:rsidR="00BB3049" w:rsidRPr="00BB3049" w:rsidTr="00C97D8A">
        <w:trPr>
          <w:trHeight w:val="928"/>
        </w:trPr>
        <w:tc>
          <w:tcPr>
            <w:tcW w:w="4111" w:type="dxa"/>
            <w:tcBorders>
              <w:top w:val="single" w:sz="4" w:space="0" w:color="auto"/>
            </w:tcBorders>
            <w:shd w:val="clear" w:color="auto" w:fill="auto"/>
            <w:tcMar>
              <w:top w:w="113" w:type="dxa"/>
              <w:bottom w:w="113" w:type="dxa"/>
            </w:tcMar>
          </w:tcPr>
          <w:p w:rsidR="00BB3049" w:rsidRPr="00BB3049" w:rsidRDefault="00BB3049" w:rsidP="00C97D8A">
            <w:pPr>
              <w:rPr>
                <w:sz w:val="16"/>
                <w:szCs w:val="16"/>
              </w:rPr>
            </w:pPr>
            <w:r w:rsidRPr="00BB3049">
              <w:rPr>
                <w:sz w:val="16"/>
                <w:szCs w:val="16"/>
              </w:rPr>
              <w:t>Aplicación deficiente de la Política Lingüística debido al creciente número de peticiones de traducción y a que no se respetan los límites prescritos, al volumen de traducción que aumenta significativamente, todo lo cual da lugar a desequilibrios presupuestarios.</w:t>
            </w:r>
          </w:p>
        </w:tc>
        <w:tc>
          <w:tcPr>
            <w:tcW w:w="5103" w:type="dxa"/>
            <w:tcBorders>
              <w:top w:val="single" w:sz="4" w:space="0" w:color="auto"/>
            </w:tcBorders>
            <w:shd w:val="clear" w:color="auto" w:fill="auto"/>
            <w:tcMar>
              <w:top w:w="113" w:type="dxa"/>
              <w:bottom w:w="113" w:type="dxa"/>
            </w:tcMar>
          </w:tcPr>
          <w:p w:rsidR="00BB3049" w:rsidRPr="00BB3049" w:rsidRDefault="00BB3049" w:rsidP="00C97D8A">
            <w:pPr>
              <w:rPr>
                <w:sz w:val="16"/>
                <w:szCs w:val="16"/>
              </w:rPr>
            </w:pPr>
            <w:r w:rsidRPr="00BB3049">
              <w:rPr>
                <w:sz w:val="16"/>
                <w:szCs w:val="16"/>
              </w:rPr>
              <w:t xml:space="preserve">Supervisar el número y el tamaño de los documentos.  Aplicar estrictamente medidas de racionalización y de control.  Alentar a los sectores interesados a evitar textos repetitivos en los documentos.  Seguir adoptando opciones de dotación de recursos costoeficaces. </w:t>
            </w:r>
          </w:p>
        </w:tc>
      </w:tr>
    </w:tbl>
    <w:p w:rsidR="00BB3049" w:rsidRPr="00BB3049" w:rsidRDefault="00BB3049" w:rsidP="00BB3049">
      <w:pPr>
        <w:rPr>
          <w:sz w:val="20"/>
        </w:rPr>
      </w:pPr>
    </w:p>
    <w:p w:rsidR="00BB3049" w:rsidRPr="00BB3049" w:rsidRDefault="00BB3049" w:rsidP="00BB3049">
      <w:pPr>
        <w:rPr>
          <w:i/>
          <w:iCs/>
          <w:sz w:val="20"/>
        </w:rPr>
      </w:pPr>
    </w:p>
    <w:p w:rsidR="00BB3049" w:rsidRPr="00BB3049" w:rsidRDefault="00BB3049" w:rsidP="00BB3049">
      <w:pPr>
        <w:rPr>
          <w:szCs w:val="22"/>
        </w:rPr>
      </w:pPr>
      <w:r w:rsidRPr="00BB3049">
        <w:rPr>
          <w:szCs w:val="22"/>
        </w:rPr>
        <w:t>MARCO DE RESULTADOS</w:t>
      </w:r>
    </w:p>
    <w:p w:rsidR="00BB3049" w:rsidRPr="00BB3049" w:rsidRDefault="00BB3049" w:rsidP="00BB3049">
      <w:pPr>
        <w:rPr>
          <w:szCs w:val="22"/>
        </w:rPr>
      </w:pPr>
    </w:p>
    <w:tbl>
      <w:tblPr>
        <w:tblW w:w="9371" w:type="dxa"/>
        <w:tblInd w:w="93" w:type="dxa"/>
        <w:tblLook w:val="04A0" w:firstRow="1" w:lastRow="0" w:firstColumn="1" w:lastColumn="0" w:noHBand="0" w:noVBand="1"/>
      </w:tblPr>
      <w:tblGrid>
        <w:gridCol w:w="2140"/>
        <w:gridCol w:w="2560"/>
        <w:gridCol w:w="2120"/>
        <w:gridCol w:w="2551"/>
      </w:tblGrid>
      <w:tr w:rsidR="00BB3049" w:rsidRPr="00BB3049" w:rsidTr="000C09D2">
        <w:trPr>
          <w:trHeight w:val="545"/>
        </w:trPr>
        <w:tc>
          <w:tcPr>
            <w:tcW w:w="2140" w:type="dxa"/>
            <w:tcBorders>
              <w:top w:val="single" w:sz="4" w:space="0" w:color="auto"/>
              <w:left w:val="single" w:sz="4" w:space="0" w:color="auto"/>
              <w:bottom w:val="single" w:sz="4" w:space="0" w:color="auto"/>
              <w:right w:val="nil"/>
            </w:tcBorders>
            <w:shd w:val="clear" w:color="auto" w:fill="C6D9F1"/>
            <w:vAlign w:val="center"/>
            <w:hideMark/>
          </w:tcPr>
          <w:p w:rsidR="00BB3049" w:rsidRPr="00BB3049" w:rsidRDefault="00BB3049" w:rsidP="00C97D8A">
            <w:pPr>
              <w:jc w:val="center"/>
              <w:rPr>
                <w:b/>
                <w:bCs/>
                <w:sz w:val="18"/>
                <w:szCs w:val="18"/>
              </w:rPr>
            </w:pPr>
            <w:r w:rsidRPr="00BB3049">
              <w:rPr>
                <w:b/>
                <w:bCs/>
                <w:sz w:val="18"/>
                <w:szCs w:val="18"/>
              </w:rPr>
              <w:t xml:space="preserve">Resultados previstos </w:t>
            </w:r>
          </w:p>
        </w:tc>
        <w:tc>
          <w:tcPr>
            <w:tcW w:w="2560" w:type="dxa"/>
            <w:tcBorders>
              <w:top w:val="single" w:sz="4" w:space="0" w:color="auto"/>
              <w:left w:val="nil"/>
              <w:bottom w:val="single" w:sz="4" w:space="0" w:color="auto"/>
              <w:right w:val="nil"/>
            </w:tcBorders>
            <w:shd w:val="clear" w:color="auto" w:fill="C6D9F1"/>
            <w:vAlign w:val="center"/>
            <w:hideMark/>
          </w:tcPr>
          <w:p w:rsidR="00BB3049" w:rsidRPr="00BB3049" w:rsidRDefault="00BB3049" w:rsidP="00C97D8A">
            <w:pPr>
              <w:jc w:val="center"/>
              <w:rPr>
                <w:b/>
                <w:bCs/>
                <w:sz w:val="18"/>
                <w:szCs w:val="18"/>
              </w:rPr>
            </w:pPr>
            <w:r w:rsidRPr="00BB3049">
              <w:rPr>
                <w:b/>
                <w:bCs/>
                <w:sz w:val="18"/>
                <w:szCs w:val="18"/>
              </w:rPr>
              <w:t>Indicadores de rendimiento</w:t>
            </w:r>
          </w:p>
        </w:tc>
        <w:tc>
          <w:tcPr>
            <w:tcW w:w="2120" w:type="dxa"/>
            <w:tcBorders>
              <w:top w:val="single" w:sz="4" w:space="0" w:color="auto"/>
              <w:left w:val="nil"/>
              <w:bottom w:val="single" w:sz="4" w:space="0" w:color="auto"/>
              <w:right w:val="nil"/>
            </w:tcBorders>
            <w:shd w:val="clear" w:color="auto" w:fill="C6D9F1"/>
            <w:vAlign w:val="center"/>
            <w:hideMark/>
          </w:tcPr>
          <w:p w:rsidR="00BB3049" w:rsidRPr="00BB3049" w:rsidRDefault="00BB3049" w:rsidP="00C97D8A">
            <w:pPr>
              <w:jc w:val="center"/>
              <w:rPr>
                <w:b/>
                <w:bCs/>
                <w:sz w:val="18"/>
                <w:szCs w:val="18"/>
              </w:rPr>
            </w:pPr>
            <w:r w:rsidRPr="00BB3049">
              <w:rPr>
                <w:b/>
                <w:bCs/>
                <w:sz w:val="18"/>
                <w:szCs w:val="18"/>
              </w:rPr>
              <w:t>Referencia</w:t>
            </w:r>
          </w:p>
        </w:tc>
        <w:tc>
          <w:tcPr>
            <w:tcW w:w="2551" w:type="dxa"/>
            <w:tcBorders>
              <w:top w:val="single" w:sz="4" w:space="0" w:color="auto"/>
              <w:left w:val="nil"/>
              <w:bottom w:val="single" w:sz="4" w:space="0" w:color="auto"/>
              <w:right w:val="single" w:sz="4" w:space="0" w:color="auto"/>
            </w:tcBorders>
            <w:shd w:val="clear" w:color="auto" w:fill="C6D9F1"/>
            <w:vAlign w:val="center"/>
            <w:hideMark/>
          </w:tcPr>
          <w:p w:rsidR="00BB3049" w:rsidRPr="00BB3049" w:rsidRDefault="00BB3049" w:rsidP="00C97D8A">
            <w:pPr>
              <w:jc w:val="center"/>
              <w:rPr>
                <w:b/>
                <w:bCs/>
                <w:sz w:val="18"/>
                <w:szCs w:val="18"/>
              </w:rPr>
            </w:pPr>
            <w:r w:rsidRPr="00BB3049">
              <w:rPr>
                <w:b/>
                <w:bCs/>
                <w:sz w:val="18"/>
                <w:szCs w:val="18"/>
              </w:rPr>
              <w:t>Objetivos</w:t>
            </w:r>
          </w:p>
        </w:tc>
      </w:tr>
      <w:tr w:rsidR="00BB3049" w:rsidRPr="00BB3049" w:rsidTr="000C09D2">
        <w:trPr>
          <w:trHeight w:val="1106"/>
        </w:trPr>
        <w:tc>
          <w:tcPr>
            <w:tcW w:w="2140" w:type="dxa"/>
            <w:vMerge w:val="restart"/>
            <w:tcBorders>
              <w:top w:val="nil"/>
              <w:left w:val="single" w:sz="4" w:space="0" w:color="auto"/>
              <w:bottom w:val="single" w:sz="4" w:space="0" w:color="000000"/>
              <w:right w:val="nil"/>
            </w:tcBorders>
            <w:shd w:val="clear" w:color="000000" w:fill="FFFFFF"/>
            <w:hideMark/>
          </w:tcPr>
          <w:p w:rsidR="00BB3049" w:rsidRPr="00BB3049" w:rsidRDefault="00BB3049" w:rsidP="00532057">
            <w:pPr>
              <w:rPr>
                <w:sz w:val="16"/>
                <w:szCs w:val="16"/>
              </w:rPr>
            </w:pPr>
            <w:r w:rsidRPr="00BB3049">
              <w:rPr>
                <w:sz w:val="16"/>
                <w:szCs w:val="16"/>
              </w:rPr>
              <w:br/>
              <w:t>IX.1</w:t>
            </w:r>
            <w:r w:rsidR="00532057">
              <w:rPr>
                <w:sz w:val="16"/>
                <w:szCs w:val="16"/>
              </w:rPr>
              <w:t xml:space="preserve">  </w:t>
            </w:r>
            <w:r w:rsidR="00532057" w:rsidRPr="000C09D2">
              <w:rPr>
                <w:sz w:val="16"/>
                <w:szCs w:val="16"/>
                <w:lang w:val="es-ES_tradnl"/>
              </w:rPr>
              <w:t>Servicios de apoyo eficaces, eficientes, de calidad y orientados al cliente, tanto a los usuarios internos como a las partes interesadas externas</w:t>
            </w:r>
          </w:p>
        </w:tc>
        <w:tc>
          <w:tcPr>
            <w:tcW w:w="2560" w:type="dxa"/>
            <w:tcBorders>
              <w:top w:val="nil"/>
              <w:left w:val="nil"/>
              <w:bottom w:val="nil"/>
              <w:right w:val="nil"/>
            </w:tcBorders>
            <w:shd w:val="clear" w:color="000000" w:fill="FFFFFF"/>
            <w:hideMark/>
          </w:tcPr>
          <w:p w:rsidR="00BB3049" w:rsidRPr="00BB3049" w:rsidRDefault="00BB3049" w:rsidP="000C09D2">
            <w:pPr>
              <w:ind w:left="35" w:firstLine="1"/>
              <w:rPr>
                <w:sz w:val="16"/>
                <w:szCs w:val="16"/>
              </w:rPr>
            </w:pPr>
            <w:r w:rsidRPr="00BB3049">
              <w:rPr>
                <w:sz w:val="16"/>
                <w:szCs w:val="16"/>
              </w:rPr>
              <w:br/>
              <w:t>Porcentaje de usuarios internos y externos satisfechos con los Servicios de Conferencias de la OMPI.</w:t>
            </w:r>
            <w:r w:rsidRPr="00BB3049">
              <w:rPr>
                <w:sz w:val="16"/>
                <w:szCs w:val="16"/>
              </w:rPr>
              <w:br/>
            </w:r>
          </w:p>
        </w:tc>
        <w:tc>
          <w:tcPr>
            <w:tcW w:w="2120" w:type="dxa"/>
            <w:tcBorders>
              <w:top w:val="nil"/>
              <w:left w:val="nil"/>
              <w:bottom w:val="nil"/>
              <w:right w:val="nil"/>
            </w:tcBorders>
            <w:shd w:val="clear" w:color="000000" w:fill="FFFFFF"/>
            <w:hideMark/>
          </w:tcPr>
          <w:p w:rsidR="00BB3049" w:rsidRPr="00BB3049" w:rsidRDefault="00BB3049" w:rsidP="000C09D2">
            <w:pPr>
              <w:ind w:left="27" w:firstLineChars="6" w:firstLine="10"/>
              <w:rPr>
                <w:sz w:val="16"/>
                <w:szCs w:val="16"/>
              </w:rPr>
            </w:pPr>
            <w:r w:rsidRPr="00BB3049">
              <w:rPr>
                <w:sz w:val="16"/>
                <w:szCs w:val="16"/>
              </w:rPr>
              <w:br/>
              <w:t>97% de los participantes satisfechos con los servicios (a fines de 2014).</w:t>
            </w:r>
          </w:p>
        </w:tc>
        <w:tc>
          <w:tcPr>
            <w:tcW w:w="2551" w:type="dxa"/>
            <w:tcBorders>
              <w:top w:val="nil"/>
              <w:left w:val="nil"/>
              <w:bottom w:val="nil"/>
              <w:right w:val="single" w:sz="4" w:space="0" w:color="auto"/>
            </w:tcBorders>
            <w:shd w:val="clear" w:color="000000" w:fill="FFFFFF"/>
            <w:hideMark/>
          </w:tcPr>
          <w:p w:rsidR="00BB3049" w:rsidRPr="00BB3049" w:rsidRDefault="00BB3049" w:rsidP="000C09D2">
            <w:pPr>
              <w:ind w:leftChars="15" w:left="33"/>
              <w:rPr>
                <w:sz w:val="16"/>
                <w:szCs w:val="16"/>
              </w:rPr>
            </w:pPr>
            <w:r w:rsidRPr="00BB3049">
              <w:rPr>
                <w:sz w:val="16"/>
                <w:szCs w:val="16"/>
              </w:rPr>
              <w:br/>
              <w:t>Mantener la tarifa al final de 2014.</w:t>
            </w:r>
          </w:p>
        </w:tc>
      </w:tr>
      <w:tr w:rsidR="00BB3049" w:rsidRPr="00BB3049" w:rsidTr="000C09D2">
        <w:trPr>
          <w:trHeight w:val="1547"/>
        </w:trPr>
        <w:tc>
          <w:tcPr>
            <w:tcW w:w="2140" w:type="dxa"/>
            <w:vMerge/>
            <w:tcBorders>
              <w:top w:val="nil"/>
              <w:left w:val="single" w:sz="4" w:space="0" w:color="auto"/>
              <w:bottom w:val="single" w:sz="4" w:space="0" w:color="000000"/>
              <w:right w:val="nil"/>
            </w:tcBorders>
            <w:vAlign w:val="center"/>
            <w:hideMark/>
          </w:tcPr>
          <w:p w:rsidR="00BB3049" w:rsidRPr="00BB3049" w:rsidRDefault="00BB3049" w:rsidP="00C97D8A">
            <w:pPr>
              <w:rPr>
                <w:sz w:val="16"/>
                <w:szCs w:val="16"/>
              </w:rPr>
            </w:pPr>
          </w:p>
        </w:tc>
        <w:tc>
          <w:tcPr>
            <w:tcW w:w="2560" w:type="dxa"/>
            <w:tcBorders>
              <w:top w:val="nil"/>
              <w:left w:val="nil"/>
              <w:bottom w:val="nil"/>
              <w:right w:val="nil"/>
            </w:tcBorders>
            <w:shd w:val="clear" w:color="000000" w:fill="FFFFFF"/>
            <w:hideMark/>
          </w:tcPr>
          <w:p w:rsidR="00BB3049" w:rsidRPr="00BB3049" w:rsidRDefault="00BB3049" w:rsidP="000C09D2">
            <w:pPr>
              <w:ind w:left="35" w:firstLine="1"/>
              <w:rPr>
                <w:sz w:val="16"/>
                <w:szCs w:val="16"/>
              </w:rPr>
            </w:pPr>
            <w:r w:rsidRPr="00BB3049">
              <w:rPr>
                <w:sz w:val="16"/>
                <w:szCs w:val="16"/>
              </w:rPr>
              <w:t>Aplicación eficaz de la Política Lingüística de la OMPI.</w:t>
            </w:r>
          </w:p>
        </w:tc>
        <w:tc>
          <w:tcPr>
            <w:tcW w:w="2120" w:type="dxa"/>
            <w:tcBorders>
              <w:top w:val="nil"/>
              <w:left w:val="nil"/>
              <w:bottom w:val="nil"/>
              <w:right w:val="nil"/>
            </w:tcBorders>
            <w:shd w:val="clear" w:color="000000" w:fill="FFFFFF"/>
            <w:hideMark/>
          </w:tcPr>
          <w:p w:rsidR="00BB3049" w:rsidRPr="00BB3049" w:rsidRDefault="00BB3049" w:rsidP="000C09D2">
            <w:pPr>
              <w:ind w:left="27" w:firstLineChars="6" w:firstLine="10"/>
              <w:rPr>
                <w:sz w:val="16"/>
                <w:szCs w:val="16"/>
              </w:rPr>
            </w:pPr>
            <w:r w:rsidRPr="00BB3049">
              <w:rPr>
                <w:sz w:val="16"/>
                <w:szCs w:val="16"/>
              </w:rPr>
              <w:t>Cobertura de idiomas ampliada a los documentos de todos los comités/órganos principales y a algunos grupos de trabajo.</w:t>
            </w:r>
          </w:p>
        </w:tc>
        <w:tc>
          <w:tcPr>
            <w:tcW w:w="2551" w:type="dxa"/>
            <w:tcBorders>
              <w:top w:val="nil"/>
              <w:left w:val="nil"/>
              <w:bottom w:val="nil"/>
              <w:right w:val="single" w:sz="4" w:space="0" w:color="auto"/>
            </w:tcBorders>
            <w:shd w:val="clear" w:color="000000" w:fill="FFFFFF"/>
            <w:hideMark/>
          </w:tcPr>
          <w:p w:rsidR="00BB3049" w:rsidRPr="00BB3049" w:rsidRDefault="00BB3049" w:rsidP="000C09D2">
            <w:pPr>
              <w:ind w:leftChars="15" w:left="33"/>
              <w:rPr>
                <w:sz w:val="16"/>
                <w:szCs w:val="16"/>
              </w:rPr>
            </w:pPr>
            <w:r w:rsidRPr="00BB3049">
              <w:rPr>
                <w:sz w:val="16"/>
                <w:szCs w:val="16"/>
              </w:rPr>
              <w:t>Cobertura de idiomas ampliada a los documentos de todos los comités/órganos principales/grupos de trabajo manteniendo la longitud de los documentos conforme a las disposiciones de la Política Lingüística.</w:t>
            </w:r>
          </w:p>
        </w:tc>
      </w:tr>
      <w:tr w:rsidR="00BB3049" w:rsidRPr="00BB3049" w:rsidTr="000C09D2">
        <w:trPr>
          <w:trHeight w:val="549"/>
        </w:trPr>
        <w:tc>
          <w:tcPr>
            <w:tcW w:w="2140" w:type="dxa"/>
            <w:vMerge/>
            <w:tcBorders>
              <w:top w:val="nil"/>
              <w:left w:val="single" w:sz="4" w:space="0" w:color="auto"/>
              <w:bottom w:val="single" w:sz="4" w:space="0" w:color="000000"/>
              <w:right w:val="nil"/>
            </w:tcBorders>
            <w:vAlign w:val="center"/>
            <w:hideMark/>
          </w:tcPr>
          <w:p w:rsidR="00BB3049" w:rsidRPr="00BB3049" w:rsidRDefault="00BB3049" w:rsidP="00C97D8A">
            <w:pPr>
              <w:rPr>
                <w:sz w:val="16"/>
                <w:szCs w:val="16"/>
              </w:rPr>
            </w:pPr>
          </w:p>
        </w:tc>
        <w:tc>
          <w:tcPr>
            <w:tcW w:w="2560" w:type="dxa"/>
            <w:tcBorders>
              <w:top w:val="nil"/>
              <w:left w:val="nil"/>
              <w:bottom w:val="nil"/>
              <w:right w:val="nil"/>
            </w:tcBorders>
            <w:shd w:val="clear" w:color="000000" w:fill="FFFFFF"/>
            <w:hideMark/>
          </w:tcPr>
          <w:p w:rsidR="00BB3049" w:rsidRPr="00BB3049" w:rsidRDefault="00BB3049" w:rsidP="000C09D2">
            <w:pPr>
              <w:ind w:left="35" w:firstLine="1"/>
              <w:rPr>
                <w:sz w:val="16"/>
                <w:szCs w:val="16"/>
              </w:rPr>
            </w:pPr>
            <w:r w:rsidRPr="00BB3049">
              <w:rPr>
                <w:sz w:val="16"/>
                <w:szCs w:val="16"/>
              </w:rPr>
              <w:t>Disminución de los costos de impresión (por página).</w:t>
            </w:r>
          </w:p>
        </w:tc>
        <w:tc>
          <w:tcPr>
            <w:tcW w:w="2120" w:type="dxa"/>
            <w:tcBorders>
              <w:top w:val="nil"/>
              <w:left w:val="nil"/>
              <w:bottom w:val="nil"/>
              <w:right w:val="nil"/>
            </w:tcBorders>
            <w:shd w:val="clear" w:color="000000" w:fill="FFFFFF"/>
            <w:hideMark/>
          </w:tcPr>
          <w:p w:rsidR="00BB3049" w:rsidRPr="00BB3049" w:rsidRDefault="00BB3049" w:rsidP="000C09D2">
            <w:pPr>
              <w:ind w:left="27" w:firstLineChars="6" w:firstLine="10"/>
              <w:rPr>
                <w:sz w:val="16"/>
                <w:szCs w:val="16"/>
              </w:rPr>
            </w:pPr>
            <w:r w:rsidRPr="00BB3049">
              <w:rPr>
                <w:sz w:val="16"/>
                <w:szCs w:val="16"/>
              </w:rPr>
              <w:t>0,14 CHF por página.</w:t>
            </w:r>
          </w:p>
        </w:tc>
        <w:tc>
          <w:tcPr>
            <w:tcW w:w="2551" w:type="dxa"/>
            <w:tcBorders>
              <w:top w:val="nil"/>
              <w:left w:val="nil"/>
              <w:bottom w:val="nil"/>
              <w:right w:val="single" w:sz="4" w:space="0" w:color="auto"/>
            </w:tcBorders>
            <w:shd w:val="clear" w:color="000000" w:fill="FFFFFF"/>
            <w:hideMark/>
          </w:tcPr>
          <w:p w:rsidR="00BB3049" w:rsidRPr="00BB3049" w:rsidRDefault="00BB3049" w:rsidP="000C09D2">
            <w:pPr>
              <w:ind w:leftChars="15" w:left="33"/>
              <w:rPr>
                <w:sz w:val="16"/>
                <w:szCs w:val="16"/>
              </w:rPr>
            </w:pPr>
            <w:r w:rsidRPr="00BB3049">
              <w:rPr>
                <w:sz w:val="16"/>
                <w:szCs w:val="16"/>
              </w:rPr>
              <w:t>Mantener la tarifa.</w:t>
            </w:r>
          </w:p>
        </w:tc>
      </w:tr>
      <w:tr w:rsidR="00BB3049" w:rsidRPr="00BB3049" w:rsidTr="000C09D2">
        <w:trPr>
          <w:trHeight w:val="865"/>
        </w:trPr>
        <w:tc>
          <w:tcPr>
            <w:tcW w:w="2140" w:type="dxa"/>
            <w:vMerge/>
            <w:tcBorders>
              <w:top w:val="nil"/>
              <w:left w:val="single" w:sz="4" w:space="0" w:color="auto"/>
              <w:bottom w:val="single" w:sz="4" w:space="0" w:color="000000"/>
              <w:right w:val="nil"/>
            </w:tcBorders>
            <w:vAlign w:val="center"/>
            <w:hideMark/>
          </w:tcPr>
          <w:p w:rsidR="00BB3049" w:rsidRPr="00BB3049" w:rsidRDefault="00BB3049" w:rsidP="00C97D8A">
            <w:pPr>
              <w:rPr>
                <w:sz w:val="16"/>
                <w:szCs w:val="16"/>
              </w:rPr>
            </w:pPr>
          </w:p>
        </w:tc>
        <w:tc>
          <w:tcPr>
            <w:tcW w:w="2560" w:type="dxa"/>
            <w:tcBorders>
              <w:top w:val="nil"/>
              <w:left w:val="nil"/>
              <w:bottom w:val="nil"/>
              <w:right w:val="nil"/>
            </w:tcBorders>
            <w:shd w:val="clear" w:color="000000" w:fill="FFFFFF"/>
            <w:hideMark/>
          </w:tcPr>
          <w:p w:rsidR="00BB3049" w:rsidRPr="00BB3049" w:rsidRDefault="00BB3049" w:rsidP="000C09D2">
            <w:pPr>
              <w:ind w:left="35" w:firstLine="1"/>
              <w:rPr>
                <w:sz w:val="16"/>
                <w:szCs w:val="16"/>
              </w:rPr>
            </w:pPr>
            <w:r w:rsidRPr="00BB3049">
              <w:rPr>
                <w:sz w:val="16"/>
                <w:szCs w:val="16"/>
              </w:rPr>
              <w:t>Publicación a tiempo de los documentos para los comités y grupos de  trabajo.</w:t>
            </w:r>
          </w:p>
        </w:tc>
        <w:tc>
          <w:tcPr>
            <w:tcW w:w="2120" w:type="dxa"/>
            <w:tcBorders>
              <w:top w:val="nil"/>
              <w:left w:val="nil"/>
              <w:bottom w:val="nil"/>
              <w:right w:val="nil"/>
            </w:tcBorders>
            <w:shd w:val="clear" w:color="000000" w:fill="FFFFFF"/>
            <w:hideMark/>
          </w:tcPr>
          <w:p w:rsidR="00BB3049" w:rsidRPr="00BB3049" w:rsidRDefault="00BB3049" w:rsidP="000C09D2">
            <w:pPr>
              <w:ind w:left="27" w:firstLineChars="6" w:firstLine="10"/>
              <w:rPr>
                <w:sz w:val="16"/>
                <w:szCs w:val="16"/>
              </w:rPr>
            </w:pPr>
            <w:r w:rsidRPr="00BB3049">
              <w:rPr>
                <w:sz w:val="16"/>
                <w:szCs w:val="16"/>
              </w:rPr>
              <w:t>21% de los documentos publicados en todos los idiomas dos meses antes del evento.</w:t>
            </w:r>
          </w:p>
        </w:tc>
        <w:tc>
          <w:tcPr>
            <w:tcW w:w="2551" w:type="dxa"/>
            <w:tcBorders>
              <w:top w:val="nil"/>
              <w:left w:val="nil"/>
              <w:bottom w:val="nil"/>
              <w:right w:val="single" w:sz="4" w:space="0" w:color="auto"/>
            </w:tcBorders>
            <w:shd w:val="clear" w:color="000000" w:fill="FFFFFF"/>
            <w:hideMark/>
          </w:tcPr>
          <w:p w:rsidR="00BB3049" w:rsidRPr="00BB3049" w:rsidRDefault="00BB3049" w:rsidP="000C09D2">
            <w:pPr>
              <w:ind w:leftChars="15" w:left="33"/>
              <w:rPr>
                <w:sz w:val="16"/>
                <w:szCs w:val="16"/>
              </w:rPr>
            </w:pPr>
            <w:r w:rsidRPr="00BB3049">
              <w:rPr>
                <w:sz w:val="16"/>
                <w:szCs w:val="16"/>
              </w:rPr>
              <w:t>65% de los documentos publicados en todos los idiomas dos meses antes del evento.</w:t>
            </w:r>
          </w:p>
        </w:tc>
      </w:tr>
      <w:tr w:rsidR="00BB3049" w:rsidRPr="00BB3049" w:rsidTr="000C09D2">
        <w:trPr>
          <w:trHeight w:val="430"/>
        </w:trPr>
        <w:tc>
          <w:tcPr>
            <w:tcW w:w="2140" w:type="dxa"/>
            <w:vMerge/>
            <w:tcBorders>
              <w:top w:val="nil"/>
              <w:left w:val="single" w:sz="4" w:space="0" w:color="auto"/>
              <w:bottom w:val="single" w:sz="4" w:space="0" w:color="000000"/>
              <w:right w:val="nil"/>
            </w:tcBorders>
            <w:vAlign w:val="center"/>
            <w:hideMark/>
          </w:tcPr>
          <w:p w:rsidR="00BB3049" w:rsidRPr="00BB3049" w:rsidRDefault="00BB3049" w:rsidP="00C97D8A">
            <w:pPr>
              <w:rPr>
                <w:sz w:val="16"/>
                <w:szCs w:val="16"/>
              </w:rPr>
            </w:pPr>
          </w:p>
        </w:tc>
        <w:tc>
          <w:tcPr>
            <w:tcW w:w="2560" w:type="dxa"/>
            <w:tcBorders>
              <w:top w:val="nil"/>
              <w:left w:val="nil"/>
              <w:bottom w:val="single" w:sz="4" w:space="0" w:color="auto"/>
              <w:right w:val="nil"/>
            </w:tcBorders>
            <w:shd w:val="clear" w:color="000000" w:fill="FFFFFF"/>
            <w:hideMark/>
          </w:tcPr>
          <w:p w:rsidR="00BB3049" w:rsidRPr="00BB3049" w:rsidRDefault="00BB3049" w:rsidP="000C09D2">
            <w:pPr>
              <w:ind w:left="35" w:firstLine="1"/>
              <w:rPr>
                <w:sz w:val="16"/>
                <w:szCs w:val="16"/>
              </w:rPr>
            </w:pPr>
            <w:r w:rsidRPr="00BB3049">
              <w:rPr>
                <w:sz w:val="16"/>
                <w:szCs w:val="16"/>
              </w:rPr>
              <w:t>Costo por palabra traducida.</w:t>
            </w:r>
          </w:p>
        </w:tc>
        <w:tc>
          <w:tcPr>
            <w:tcW w:w="2120" w:type="dxa"/>
            <w:tcBorders>
              <w:top w:val="nil"/>
              <w:left w:val="nil"/>
              <w:bottom w:val="single" w:sz="4" w:space="0" w:color="auto"/>
              <w:right w:val="nil"/>
            </w:tcBorders>
            <w:shd w:val="clear" w:color="000000" w:fill="FFFFFF"/>
            <w:hideMark/>
          </w:tcPr>
          <w:p w:rsidR="00BB3049" w:rsidRPr="00BB3049" w:rsidRDefault="00BB3049" w:rsidP="000C09D2">
            <w:pPr>
              <w:ind w:left="27" w:firstLineChars="6" w:firstLine="10"/>
              <w:rPr>
                <w:sz w:val="16"/>
                <w:szCs w:val="16"/>
              </w:rPr>
            </w:pPr>
            <w:r w:rsidRPr="00BB3049">
              <w:rPr>
                <w:sz w:val="16"/>
                <w:szCs w:val="16"/>
              </w:rPr>
              <w:t>0,59 CHF por palabra.</w:t>
            </w:r>
          </w:p>
        </w:tc>
        <w:tc>
          <w:tcPr>
            <w:tcW w:w="2551" w:type="dxa"/>
            <w:tcBorders>
              <w:top w:val="nil"/>
              <w:left w:val="nil"/>
              <w:bottom w:val="single" w:sz="4" w:space="0" w:color="auto"/>
              <w:right w:val="single" w:sz="4" w:space="0" w:color="auto"/>
            </w:tcBorders>
            <w:shd w:val="clear" w:color="000000" w:fill="FFFFFF"/>
            <w:hideMark/>
          </w:tcPr>
          <w:p w:rsidR="00BB3049" w:rsidRPr="00BB3049" w:rsidRDefault="00BB3049" w:rsidP="000C09D2">
            <w:pPr>
              <w:ind w:leftChars="15" w:left="33"/>
              <w:rPr>
                <w:sz w:val="16"/>
                <w:szCs w:val="16"/>
              </w:rPr>
            </w:pPr>
            <w:r w:rsidRPr="00BB3049">
              <w:rPr>
                <w:sz w:val="16"/>
                <w:szCs w:val="16"/>
              </w:rPr>
              <w:t>Mantener el costo.</w:t>
            </w:r>
          </w:p>
        </w:tc>
      </w:tr>
    </w:tbl>
    <w:p w:rsidR="00BB3049" w:rsidRPr="00BB3049" w:rsidRDefault="00BB3049" w:rsidP="00BB3049">
      <w:pPr>
        <w:rPr>
          <w:szCs w:val="22"/>
        </w:rPr>
      </w:pPr>
    </w:p>
    <w:p w:rsidR="00BB3049" w:rsidRPr="00BB3049" w:rsidRDefault="00BB3049" w:rsidP="00BB3049">
      <w:pPr>
        <w:rPr>
          <w:szCs w:val="22"/>
        </w:rPr>
      </w:pPr>
    </w:p>
    <w:p w:rsidR="00BB3049" w:rsidRPr="006B63C7" w:rsidRDefault="006B63C7" w:rsidP="00BB3049">
      <w:r w:rsidRPr="006B63C7">
        <w:t>RECURSOS PARA EL PROGRAMA</w:t>
      </w:r>
      <w:r w:rsidR="00BB3049" w:rsidRPr="006B63C7">
        <w:t xml:space="preserve"> 27</w:t>
      </w:r>
    </w:p>
    <w:p w:rsidR="00BB3049" w:rsidRPr="006B63C7" w:rsidRDefault="00BB3049" w:rsidP="006B63C7">
      <w:pPr>
        <w:pStyle w:val="ListParagraph"/>
        <w:tabs>
          <w:tab w:val="left" w:pos="709"/>
        </w:tabs>
        <w:autoSpaceDE w:val="0"/>
        <w:autoSpaceDN w:val="0"/>
        <w:adjustRightInd w:val="0"/>
        <w:ind w:left="0"/>
        <w:jc w:val="both"/>
        <w:rPr>
          <w:rFonts w:ascii="Arial" w:hAnsi="Arial" w:cs="Arial"/>
          <w:color w:val="000000"/>
          <w:sz w:val="20"/>
          <w:szCs w:val="20"/>
        </w:rPr>
      </w:pPr>
    </w:p>
    <w:p w:rsidR="00BB3049" w:rsidRPr="006B63C7" w:rsidRDefault="006B63C7" w:rsidP="006B63C7">
      <w:pPr>
        <w:pStyle w:val="ListParagraph"/>
        <w:numPr>
          <w:ilvl w:val="0"/>
          <w:numId w:val="49"/>
        </w:numPr>
        <w:tabs>
          <w:tab w:val="left" w:pos="709"/>
        </w:tabs>
        <w:autoSpaceDE w:val="0"/>
        <w:autoSpaceDN w:val="0"/>
        <w:adjustRightInd w:val="0"/>
        <w:ind w:left="0" w:firstLine="0"/>
        <w:jc w:val="both"/>
        <w:rPr>
          <w:rFonts w:ascii="Arial" w:hAnsi="Arial" w:cs="Arial"/>
          <w:color w:val="000000"/>
          <w:sz w:val="20"/>
          <w:szCs w:val="20"/>
          <w:lang w:val="es-ES"/>
        </w:rPr>
      </w:pPr>
      <w:r w:rsidRPr="006B63C7">
        <w:rPr>
          <w:rFonts w:ascii="Arial" w:hAnsi="Arial" w:cs="Arial"/>
          <w:sz w:val="20"/>
          <w:szCs w:val="20"/>
          <w:lang w:val="es-ES"/>
        </w:rPr>
        <w:t>La reducción en el marco del resultado previsto IX.1 se debe principalmente a la disminución en los recursos destinados a traducción de 0,5 millones de francos suizos como consecuencia de una contención de los costos de traducción conforme a las pautas de gasto en 2014/15.  En el presupuesto de 2016/17 se ha establecido un ahorro de 0,55 millones de francos suizos correspondientes a</w:t>
      </w:r>
      <w:r>
        <w:rPr>
          <w:rFonts w:ascii="Arial" w:hAnsi="Arial" w:cs="Arial"/>
          <w:sz w:val="20"/>
          <w:szCs w:val="20"/>
          <w:lang w:val="es-ES"/>
        </w:rPr>
        <w:t xml:space="preserve"> servicios de impresión.</w:t>
      </w:r>
    </w:p>
    <w:p w:rsidR="00BB3049" w:rsidRPr="006B63C7" w:rsidRDefault="00BB3049" w:rsidP="00BB3049">
      <w:pPr>
        <w:rPr>
          <w:highlight w:val="lightGray"/>
        </w:rPr>
      </w:pPr>
    </w:p>
    <w:p w:rsidR="00BB3049" w:rsidRPr="006B63C7" w:rsidRDefault="00BB3049" w:rsidP="00BB3049">
      <w:pPr>
        <w:rPr>
          <w:b/>
          <w:sz w:val="20"/>
          <w:szCs w:val="24"/>
          <w:highlight w:val="lightGray"/>
        </w:rPr>
      </w:pPr>
      <w:r w:rsidRPr="006B63C7">
        <w:rPr>
          <w:b/>
          <w:sz w:val="20"/>
          <w:szCs w:val="24"/>
          <w:highlight w:val="lightGray"/>
        </w:rPr>
        <w:br w:type="page"/>
      </w:r>
    </w:p>
    <w:p w:rsidR="00BB3049" w:rsidRPr="00B6701D" w:rsidRDefault="00BB3049" w:rsidP="00BB3049">
      <w:pPr>
        <w:tabs>
          <w:tab w:val="left" w:pos="1427"/>
        </w:tabs>
        <w:jc w:val="center"/>
        <w:rPr>
          <w:sz w:val="20"/>
        </w:rPr>
      </w:pPr>
      <w:r w:rsidRPr="00B6701D">
        <w:rPr>
          <w:b/>
          <w:sz w:val="20"/>
          <w:szCs w:val="24"/>
        </w:rPr>
        <w:lastRenderedPageBreak/>
        <w:t>Program</w:t>
      </w:r>
      <w:r w:rsidR="00B6701D" w:rsidRPr="00B6701D">
        <w:rPr>
          <w:b/>
          <w:sz w:val="20"/>
          <w:szCs w:val="24"/>
        </w:rPr>
        <w:t>a</w:t>
      </w:r>
      <w:r w:rsidRPr="00B6701D">
        <w:rPr>
          <w:b/>
          <w:sz w:val="20"/>
          <w:szCs w:val="24"/>
        </w:rPr>
        <w:t xml:space="preserve"> 27</w:t>
      </w:r>
      <w:proofErr w:type="gramStart"/>
      <w:r w:rsidRPr="00B6701D">
        <w:rPr>
          <w:b/>
          <w:sz w:val="20"/>
          <w:szCs w:val="24"/>
        </w:rPr>
        <w:t xml:space="preserve">:  </w:t>
      </w:r>
      <w:r w:rsidR="00B6701D" w:rsidRPr="00B6701D">
        <w:rPr>
          <w:b/>
          <w:sz w:val="20"/>
          <w:szCs w:val="24"/>
        </w:rPr>
        <w:t>Recursos</w:t>
      </w:r>
      <w:proofErr w:type="gramEnd"/>
      <w:r w:rsidR="00B6701D" w:rsidRPr="00B6701D">
        <w:rPr>
          <w:b/>
          <w:sz w:val="20"/>
          <w:szCs w:val="24"/>
        </w:rPr>
        <w:t xml:space="preserve"> por resultado</w:t>
      </w:r>
    </w:p>
    <w:p w:rsidR="00BB3049" w:rsidRPr="00B6701D" w:rsidRDefault="00BB3049" w:rsidP="000C09D2">
      <w:pPr>
        <w:tabs>
          <w:tab w:val="left" w:pos="1427"/>
        </w:tabs>
        <w:spacing w:after="120"/>
        <w:jc w:val="center"/>
        <w:rPr>
          <w:i/>
          <w:sz w:val="20"/>
          <w:szCs w:val="24"/>
        </w:rPr>
      </w:pPr>
      <w:r w:rsidRPr="00B6701D">
        <w:rPr>
          <w:i/>
          <w:sz w:val="20"/>
          <w:szCs w:val="24"/>
        </w:rPr>
        <w:t>(</w:t>
      </w:r>
      <w:proofErr w:type="gramStart"/>
      <w:r w:rsidR="00B6701D" w:rsidRPr="00B6701D">
        <w:rPr>
          <w:i/>
          <w:sz w:val="20"/>
          <w:szCs w:val="24"/>
        </w:rPr>
        <w:t>en</w:t>
      </w:r>
      <w:proofErr w:type="gramEnd"/>
      <w:r w:rsidR="00B6701D" w:rsidRPr="00B6701D">
        <w:rPr>
          <w:i/>
          <w:sz w:val="20"/>
          <w:szCs w:val="24"/>
        </w:rPr>
        <w:t xml:space="preserve"> miles de francos suizos</w:t>
      </w:r>
      <w:r w:rsidRPr="00B6701D">
        <w:rPr>
          <w:i/>
          <w:sz w:val="20"/>
          <w:szCs w:val="24"/>
        </w:rPr>
        <w:t>)</w:t>
      </w:r>
    </w:p>
    <w:p w:rsidR="00BB3049" w:rsidRPr="00BB3049" w:rsidRDefault="00BB3049" w:rsidP="00BB3049">
      <w:pPr>
        <w:tabs>
          <w:tab w:val="left" w:pos="1427"/>
        </w:tabs>
        <w:jc w:val="center"/>
        <w:rPr>
          <w:i/>
          <w:sz w:val="20"/>
          <w:szCs w:val="24"/>
          <w:highlight w:val="lightGray"/>
        </w:rPr>
      </w:pPr>
    </w:p>
    <w:p w:rsidR="00BB3049" w:rsidRPr="00BB3049" w:rsidRDefault="000C09D2" w:rsidP="00BB3049">
      <w:pPr>
        <w:tabs>
          <w:tab w:val="left" w:pos="1427"/>
        </w:tabs>
        <w:jc w:val="center"/>
        <w:rPr>
          <w:i/>
          <w:sz w:val="20"/>
          <w:szCs w:val="24"/>
          <w:highlight w:val="lightGray"/>
        </w:rPr>
      </w:pPr>
      <w:r w:rsidRPr="000C09D2">
        <w:rPr>
          <w:noProof/>
          <w:lang w:val="en-US" w:eastAsia="en-US"/>
        </w:rPr>
        <w:drawing>
          <wp:inline distT="0" distB="0" distL="0" distR="0">
            <wp:extent cx="5756910" cy="1534795"/>
            <wp:effectExtent l="0" t="0" r="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756910" cy="1534795"/>
                    </a:xfrm>
                    <a:prstGeom prst="rect">
                      <a:avLst/>
                    </a:prstGeom>
                    <a:noFill/>
                    <a:ln>
                      <a:noFill/>
                    </a:ln>
                  </pic:spPr>
                </pic:pic>
              </a:graphicData>
            </a:graphic>
          </wp:inline>
        </w:drawing>
      </w:r>
    </w:p>
    <w:p w:rsidR="00BB3049" w:rsidRPr="00BB3049" w:rsidRDefault="00BB3049" w:rsidP="00BB3049">
      <w:pPr>
        <w:tabs>
          <w:tab w:val="left" w:pos="1427"/>
        </w:tabs>
        <w:rPr>
          <w:i/>
          <w:sz w:val="20"/>
          <w:szCs w:val="24"/>
          <w:highlight w:val="lightGray"/>
        </w:rPr>
      </w:pPr>
    </w:p>
    <w:p w:rsidR="00BB3049" w:rsidRPr="00BB3049" w:rsidRDefault="00BB3049" w:rsidP="00BB3049">
      <w:pPr>
        <w:keepNext/>
        <w:keepLines/>
        <w:tabs>
          <w:tab w:val="left" w:pos="1427"/>
        </w:tabs>
        <w:jc w:val="center"/>
        <w:rPr>
          <w:b/>
          <w:sz w:val="20"/>
          <w:szCs w:val="24"/>
          <w:highlight w:val="lightGray"/>
        </w:rPr>
      </w:pPr>
    </w:p>
    <w:p w:rsidR="00BB3049" w:rsidRPr="00D30DC7" w:rsidRDefault="00BB3049" w:rsidP="00BB3049">
      <w:pPr>
        <w:keepNext/>
        <w:keepLines/>
        <w:tabs>
          <w:tab w:val="left" w:pos="1427"/>
        </w:tabs>
        <w:jc w:val="center"/>
        <w:rPr>
          <w:sz w:val="20"/>
        </w:rPr>
      </w:pPr>
      <w:r w:rsidRPr="00D30DC7">
        <w:rPr>
          <w:b/>
          <w:sz w:val="20"/>
          <w:szCs w:val="24"/>
        </w:rPr>
        <w:t>Program</w:t>
      </w:r>
      <w:r w:rsidR="00D30DC7" w:rsidRPr="00D30DC7">
        <w:rPr>
          <w:b/>
          <w:sz w:val="20"/>
          <w:szCs w:val="24"/>
        </w:rPr>
        <w:t>a</w:t>
      </w:r>
      <w:r w:rsidRPr="00D30DC7">
        <w:rPr>
          <w:b/>
          <w:sz w:val="20"/>
          <w:szCs w:val="24"/>
        </w:rPr>
        <w:t xml:space="preserve"> 27</w:t>
      </w:r>
      <w:proofErr w:type="gramStart"/>
      <w:r w:rsidRPr="00D30DC7">
        <w:rPr>
          <w:b/>
          <w:sz w:val="20"/>
          <w:szCs w:val="24"/>
        </w:rPr>
        <w:t xml:space="preserve">:  </w:t>
      </w:r>
      <w:r w:rsidR="00D30DC7" w:rsidRPr="00D30DC7">
        <w:rPr>
          <w:b/>
          <w:sz w:val="20"/>
          <w:szCs w:val="24"/>
        </w:rPr>
        <w:t>Recursos</w:t>
      </w:r>
      <w:proofErr w:type="gramEnd"/>
      <w:r w:rsidR="00D30DC7" w:rsidRPr="00D30DC7">
        <w:rPr>
          <w:b/>
          <w:sz w:val="20"/>
          <w:szCs w:val="24"/>
        </w:rPr>
        <w:t xml:space="preserve"> por objeto de gasto</w:t>
      </w:r>
    </w:p>
    <w:p w:rsidR="00BB3049" w:rsidRPr="00D30DC7" w:rsidRDefault="00BB3049" w:rsidP="000C09D2">
      <w:pPr>
        <w:keepNext/>
        <w:keepLines/>
        <w:tabs>
          <w:tab w:val="left" w:pos="1427"/>
        </w:tabs>
        <w:spacing w:after="120"/>
        <w:jc w:val="center"/>
        <w:rPr>
          <w:i/>
          <w:sz w:val="20"/>
          <w:szCs w:val="24"/>
        </w:rPr>
      </w:pPr>
      <w:r w:rsidRPr="00D30DC7">
        <w:rPr>
          <w:i/>
          <w:sz w:val="20"/>
          <w:szCs w:val="24"/>
        </w:rPr>
        <w:t>(</w:t>
      </w:r>
      <w:proofErr w:type="gramStart"/>
      <w:r w:rsidR="00D30DC7" w:rsidRPr="00D30DC7">
        <w:rPr>
          <w:i/>
          <w:sz w:val="20"/>
          <w:szCs w:val="24"/>
        </w:rPr>
        <w:t>en</w:t>
      </w:r>
      <w:proofErr w:type="gramEnd"/>
      <w:r w:rsidR="00D30DC7" w:rsidRPr="00D30DC7">
        <w:rPr>
          <w:i/>
          <w:sz w:val="20"/>
          <w:szCs w:val="24"/>
        </w:rPr>
        <w:t xml:space="preserve"> miles de francos suizos</w:t>
      </w:r>
      <w:r w:rsidRPr="00D30DC7">
        <w:rPr>
          <w:i/>
          <w:sz w:val="20"/>
          <w:szCs w:val="24"/>
        </w:rPr>
        <w:t>)</w:t>
      </w:r>
    </w:p>
    <w:p w:rsidR="00BB3049" w:rsidRPr="00BB3049" w:rsidRDefault="00BB3049" w:rsidP="00BB3049">
      <w:pPr>
        <w:keepNext/>
        <w:keepLines/>
        <w:tabs>
          <w:tab w:val="left" w:pos="1427"/>
        </w:tabs>
        <w:jc w:val="center"/>
        <w:rPr>
          <w:i/>
          <w:sz w:val="20"/>
          <w:szCs w:val="24"/>
          <w:highlight w:val="lightGray"/>
        </w:rPr>
      </w:pPr>
    </w:p>
    <w:p w:rsidR="00BB3049" w:rsidRPr="00BB3049" w:rsidRDefault="00835617" w:rsidP="00FC3704">
      <w:pPr>
        <w:keepNext/>
        <w:keepLines/>
        <w:tabs>
          <w:tab w:val="left" w:pos="1427"/>
        </w:tabs>
        <w:jc w:val="center"/>
        <w:rPr>
          <w:szCs w:val="22"/>
        </w:rPr>
      </w:pPr>
      <w:r>
        <w:rPr>
          <w:noProof/>
          <w:lang w:val="en-US" w:eastAsia="en-US"/>
        </w:rPr>
        <w:drawing>
          <wp:inline distT="0" distB="0" distL="0" distR="0" wp14:anchorId="4A17F031" wp14:editId="13665667">
            <wp:extent cx="5863323" cy="6029325"/>
            <wp:effectExtent l="0" t="0" r="4445" b="0"/>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866286" cy="6032371"/>
                    </a:xfrm>
                    <a:prstGeom prst="rect">
                      <a:avLst/>
                    </a:prstGeom>
                    <a:noFill/>
                    <a:ln>
                      <a:noFill/>
                    </a:ln>
                  </pic:spPr>
                </pic:pic>
              </a:graphicData>
            </a:graphic>
          </wp:inline>
        </w:drawing>
      </w:r>
    </w:p>
    <w:p w:rsidR="00BB3049" w:rsidRDefault="00BB3049">
      <w:pPr>
        <w:rPr>
          <w:szCs w:val="22"/>
        </w:rPr>
      </w:pPr>
      <w:r>
        <w:rPr>
          <w:szCs w:val="22"/>
        </w:rPr>
        <w:br w:type="page"/>
      </w:r>
    </w:p>
    <w:p w:rsidR="00BB3049" w:rsidRPr="00C1052E" w:rsidRDefault="00C1052E" w:rsidP="00C1052E">
      <w:pPr>
        <w:pStyle w:val="StyleStyleHeading3ComplexItalicLatin12pt"/>
        <w:rPr>
          <w:lang w:val="es-ES"/>
        </w:rPr>
      </w:pPr>
      <w:bookmarkStart w:id="81" w:name="_Toc418586789"/>
      <w:bookmarkStart w:id="82" w:name="_Toc420681168"/>
      <w:r w:rsidRPr="00C1052E">
        <w:rPr>
          <w:caps w:val="0"/>
          <w:lang w:val="es-ES"/>
        </w:rPr>
        <w:lastRenderedPageBreak/>
        <w:t>PROGRAMA 28</w:t>
      </w:r>
      <w:r w:rsidRPr="00C1052E">
        <w:rPr>
          <w:caps w:val="0"/>
          <w:lang w:val="es-ES"/>
        </w:rPr>
        <w:tab/>
        <w:t xml:space="preserve">ASEGURAMIENTO DE LA INFORMACIÓN, </w:t>
      </w:r>
      <w:bookmarkEnd w:id="81"/>
      <w:r w:rsidRPr="00C1052E">
        <w:rPr>
          <w:caps w:val="0"/>
          <w:lang w:val="es-ES"/>
        </w:rPr>
        <w:t>SEGURIDAD Y VIGILANCIA</w:t>
      </w:r>
      <w:bookmarkEnd w:id="82"/>
    </w:p>
    <w:p w:rsidR="00BB3049" w:rsidRPr="00CC6334" w:rsidRDefault="00BB3049" w:rsidP="00BB3049">
      <w:pPr>
        <w:jc w:val="both"/>
        <w:rPr>
          <w:bCs/>
          <w:szCs w:val="22"/>
        </w:rPr>
      </w:pPr>
    </w:p>
    <w:p w:rsidR="00BB3049" w:rsidRPr="00CC6334" w:rsidRDefault="00BB3049" w:rsidP="00BB3049">
      <w:pPr>
        <w:jc w:val="both"/>
        <w:rPr>
          <w:bCs/>
          <w:szCs w:val="22"/>
        </w:rPr>
      </w:pPr>
    </w:p>
    <w:p w:rsidR="00BB3049" w:rsidRPr="00CC6334" w:rsidRDefault="00BB3049" w:rsidP="00BB3049">
      <w:r w:rsidRPr="00CC6334">
        <w:t>CONTEXTO DE PLANIFICACIÓN</w:t>
      </w:r>
    </w:p>
    <w:p w:rsidR="00BB3049" w:rsidRPr="00CC6334" w:rsidRDefault="00BB3049" w:rsidP="00BB3049">
      <w:pPr>
        <w:jc w:val="both"/>
        <w:rPr>
          <w:szCs w:val="22"/>
        </w:rPr>
      </w:pPr>
    </w:p>
    <w:p w:rsidR="00BB3049" w:rsidRPr="00CC6334" w:rsidRDefault="00BB3049" w:rsidP="00BB3049">
      <w:pPr>
        <w:pStyle w:val="ListParagraph"/>
        <w:numPr>
          <w:ilvl w:val="0"/>
          <w:numId w:val="50"/>
        </w:numPr>
        <w:tabs>
          <w:tab w:val="left" w:pos="709"/>
        </w:tabs>
        <w:ind w:left="0" w:firstLine="0"/>
        <w:jc w:val="both"/>
        <w:rPr>
          <w:rFonts w:ascii="Arial" w:hAnsi="Arial" w:cs="Arial"/>
          <w:sz w:val="20"/>
          <w:lang w:val="es-ES"/>
        </w:rPr>
      </w:pPr>
      <w:r w:rsidRPr="00CC6334">
        <w:rPr>
          <w:rFonts w:ascii="Arial" w:hAnsi="Arial" w:cs="Arial"/>
          <w:sz w:val="20"/>
          <w:lang w:val="es-ES"/>
        </w:rPr>
        <w:t>Ante la OMPI se presenta una creciente amenaza por parte de adversarios que tienen diversas motivaciones para sustraer información confidencial de P.I. y usurpar la identidad de las personas, además de perturbar las actividades de la OMPI y obtener informaciones de mercado, de política y de competencia.  Esto constituye una amenaza al prestigio y a la importancia de la OMPI en cuanto que proveedor de servicios de confianza para sus Estados miembros y clientes.</w:t>
      </w:r>
    </w:p>
    <w:p w:rsidR="00BB3049" w:rsidRPr="00CC6334" w:rsidRDefault="00BB3049" w:rsidP="00BB3049">
      <w:pPr>
        <w:tabs>
          <w:tab w:val="left" w:pos="709"/>
        </w:tabs>
        <w:jc w:val="both"/>
        <w:rPr>
          <w:sz w:val="20"/>
        </w:rPr>
      </w:pPr>
    </w:p>
    <w:p w:rsidR="00BB3049" w:rsidRPr="00CC6334" w:rsidRDefault="00BB3049" w:rsidP="00BB3049">
      <w:pPr>
        <w:pStyle w:val="ListParagraph"/>
        <w:numPr>
          <w:ilvl w:val="0"/>
          <w:numId w:val="50"/>
        </w:numPr>
        <w:tabs>
          <w:tab w:val="left" w:pos="709"/>
        </w:tabs>
        <w:ind w:left="0" w:firstLine="0"/>
        <w:jc w:val="both"/>
        <w:rPr>
          <w:rFonts w:ascii="Arial" w:hAnsi="Arial" w:cs="Arial"/>
          <w:sz w:val="20"/>
          <w:lang w:val="es-ES"/>
        </w:rPr>
      </w:pPr>
      <w:r w:rsidRPr="00CC6334">
        <w:rPr>
          <w:rFonts w:ascii="Arial" w:hAnsi="Arial" w:cs="Arial"/>
          <w:sz w:val="20"/>
          <w:lang w:val="es-ES"/>
        </w:rPr>
        <w:t>La capacidad de la OMPI para hacer frente a estas amenazas en constante cambio, proteger su propia P.I. y la de sus clientes y gestionar de manera coherente los riesgos relativos a la información, en el marco del apetito de riesgo de la Organización, depende en gran medida de su capacidad para impulsar y ejecutar una estrategia ágil y sólida de gobernanza de la seguridad de la información, de gestión de riesgos y de observancia ininterrumpida.</w:t>
      </w:r>
    </w:p>
    <w:p w:rsidR="00BB3049" w:rsidRPr="00CC6334" w:rsidRDefault="00BB3049" w:rsidP="00BB3049">
      <w:pPr>
        <w:pStyle w:val="ListParagraph"/>
        <w:ind w:left="0"/>
        <w:jc w:val="both"/>
        <w:rPr>
          <w:rFonts w:ascii="Arial" w:hAnsi="Arial" w:cs="Arial"/>
          <w:sz w:val="20"/>
          <w:szCs w:val="20"/>
          <w:lang w:val="es-ES"/>
        </w:rPr>
      </w:pPr>
    </w:p>
    <w:p w:rsidR="00BB3049" w:rsidRPr="000160D1" w:rsidRDefault="00BB3049" w:rsidP="00BB3049">
      <w:pPr>
        <w:pStyle w:val="ListParagraph"/>
        <w:numPr>
          <w:ilvl w:val="0"/>
          <w:numId w:val="50"/>
        </w:numPr>
        <w:tabs>
          <w:tab w:val="left" w:pos="709"/>
        </w:tabs>
        <w:ind w:left="0" w:firstLine="0"/>
        <w:jc w:val="both"/>
        <w:rPr>
          <w:rFonts w:ascii="Arial" w:hAnsi="Arial" w:cs="Arial"/>
          <w:sz w:val="20"/>
          <w:lang w:val="es-ES"/>
        </w:rPr>
      </w:pPr>
      <w:r w:rsidRPr="000160D1">
        <w:rPr>
          <w:rFonts w:ascii="Arial" w:hAnsi="Arial" w:cs="Arial"/>
          <w:sz w:val="20"/>
          <w:lang w:val="es-ES"/>
        </w:rPr>
        <w:t>En lo que respecta a la seguridad física y la vigilancia, la OMPI sigue siendo objeto de amenazas procedentes de cualquier parte del mundo, reales o supuestas, dirigidas contra el Sistema de las NN.UU.  Por ello, en el marco de este programa se seguirá velando por la seguridad y la vigilancia del personal</w:t>
      </w:r>
      <w:r w:rsidR="000160D1">
        <w:rPr>
          <w:rFonts w:ascii="Arial" w:hAnsi="Arial" w:cs="Arial"/>
          <w:sz w:val="20"/>
          <w:lang w:val="es-ES"/>
        </w:rPr>
        <w:t xml:space="preserve">, los delegados, los visitantes y los activos </w:t>
      </w:r>
      <w:r w:rsidRPr="000160D1">
        <w:rPr>
          <w:rFonts w:ascii="Arial" w:hAnsi="Arial" w:cs="Arial"/>
          <w:sz w:val="20"/>
          <w:lang w:val="es-ES"/>
        </w:rPr>
        <w:t>de la OMPI</w:t>
      </w:r>
      <w:r w:rsidR="000160D1">
        <w:rPr>
          <w:rFonts w:ascii="Arial" w:hAnsi="Arial" w:cs="Arial"/>
          <w:sz w:val="20"/>
          <w:lang w:val="es-ES"/>
        </w:rPr>
        <w:t>, tanto en la sede como en las oficinas en el exterior</w:t>
      </w:r>
      <w:r w:rsidRPr="000160D1">
        <w:rPr>
          <w:rFonts w:ascii="Arial" w:hAnsi="Arial" w:cs="Arial"/>
          <w:sz w:val="20"/>
          <w:lang w:val="es-ES"/>
        </w:rPr>
        <w:t>.  Una vez finalizado</w:t>
      </w:r>
      <w:r w:rsidR="000160D1">
        <w:rPr>
          <w:rFonts w:ascii="Arial" w:hAnsi="Arial" w:cs="Arial"/>
          <w:sz w:val="20"/>
          <w:lang w:val="es-ES"/>
        </w:rPr>
        <w:t>, en 2015,</w:t>
      </w:r>
      <w:r w:rsidRPr="000160D1">
        <w:rPr>
          <w:rFonts w:ascii="Arial" w:hAnsi="Arial" w:cs="Arial"/>
          <w:sz w:val="20"/>
          <w:lang w:val="es-ES"/>
        </w:rPr>
        <w:t xml:space="preserve"> el proyecto</w:t>
      </w:r>
      <w:r w:rsidR="000160D1">
        <w:rPr>
          <w:rFonts w:ascii="Arial" w:hAnsi="Arial" w:cs="Arial"/>
          <w:sz w:val="20"/>
          <w:lang w:val="es-ES"/>
        </w:rPr>
        <w:t xml:space="preserve"> de adaptación del perímetro</w:t>
      </w:r>
      <w:r w:rsidRPr="000160D1">
        <w:rPr>
          <w:rFonts w:ascii="Arial" w:hAnsi="Arial" w:cs="Arial"/>
          <w:sz w:val="20"/>
          <w:lang w:val="es-ES"/>
        </w:rPr>
        <w:t xml:space="preserve"> a las normas mínimas operativas de seguridad para las sedes de las NN.UU., en cuyo marco se </w:t>
      </w:r>
      <w:r w:rsidR="000160D1">
        <w:rPr>
          <w:rFonts w:ascii="Arial" w:hAnsi="Arial" w:cs="Arial"/>
          <w:sz w:val="20"/>
          <w:lang w:val="es-ES"/>
        </w:rPr>
        <w:t xml:space="preserve">han </w:t>
      </w:r>
      <w:r w:rsidRPr="000160D1">
        <w:rPr>
          <w:rFonts w:ascii="Arial" w:hAnsi="Arial" w:cs="Arial"/>
          <w:sz w:val="20"/>
          <w:lang w:val="es-ES"/>
        </w:rPr>
        <w:t>actualiza</w:t>
      </w:r>
      <w:r w:rsidR="000160D1">
        <w:rPr>
          <w:rFonts w:ascii="Arial" w:hAnsi="Arial" w:cs="Arial"/>
          <w:sz w:val="20"/>
          <w:lang w:val="es-ES"/>
        </w:rPr>
        <w:t>do</w:t>
      </w:r>
      <w:r w:rsidRPr="000160D1">
        <w:rPr>
          <w:rFonts w:ascii="Arial" w:hAnsi="Arial" w:cs="Arial"/>
          <w:sz w:val="20"/>
          <w:lang w:val="es-ES"/>
        </w:rPr>
        <w:t xml:space="preserve"> las medidas de seguridad y vigilancia para satisfacer las normas mínimas del Departamento de Seguridad de las Naciones Unidas, la OMPI tendrá que seguir ejecutando y manteniendo las normas de seguridad</w:t>
      </w:r>
      <w:r w:rsidR="000160D1">
        <w:rPr>
          <w:rFonts w:ascii="Arial" w:hAnsi="Arial" w:cs="Arial"/>
          <w:sz w:val="20"/>
          <w:lang w:val="es-ES"/>
        </w:rPr>
        <w:t xml:space="preserve"> de reciente ejecución</w:t>
      </w:r>
      <w:r w:rsidRPr="000160D1">
        <w:rPr>
          <w:rFonts w:ascii="Arial" w:hAnsi="Arial" w:cs="Arial"/>
          <w:sz w:val="20"/>
          <w:lang w:val="es-ES"/>
        </w:rPr>
        <w:t xml:space="preserve">.  Los servicios de seguridad y vigilancia de la OMPI </w:t>
      </w:r>
      <w:r w:rsidR="000160D1">
        <w:rPr>
          <w:rFonts w:ascii="Arial" w:hAnsi="Arial" w:cs="Arial"/>
          <w:sz w:val="20"/>
          <w:lang w:val="es-ES"/>
        </w:rPr>
        <w:t xml:space="preserve">continuarán </w:t>
      </w:r>
      <w:r w:rsidRPr="000160D1">
        <w:rPr>
          <w:rFonts w:ascii="Arial" w:hAnsi="Arial" w:cs="Arial"/>
          <w:sz w:val="20"/>
          <w:lang w:val="es-ES"/>
        </w:rPr>
        <w:t>velan</w:t>
      </w:r>
      <w:r w:rsidR="000160D1">
        <w:rPr>
          <w:rFonts w:ascii="Arial" w:hAnsi="Arial" w:cs="Arial"/>
          <w:sz w:val="20"/>
          <w:lang w:val="es-ES"/>
        </w:rPr>
        <w:t>do</w:t>
      </w:r>
      <w:r w:rsidRPr="000160D1">
        <w:rPr>
          <w:rFonts w:ascii="Arial" w:hAnsi="Arial" w:cs="Arial"/>
          <w:sz w:val="20"/>
          <w:lang w:val="es-ES"/>
        </w:rPr>
        <w:t xml:space="preserve"> por el estricto cumplimiento de las normas y directrices del sistema de gestión de la seguridad de las NN.UU.</w:t>
      </w:r>
    </w:p>
    <w:p w:rsidR="00BB3049" w:rsidRPr="00CC6334" w:rsidRDefault="00BB3049" w:rsidP="00BB3049">
      <w:pPr>
        <w:pStyle w:val="ListParagraph"/>
        <w:ind w:left="0"/>
        <w:jc w:val="both"/>
        <w:rPr>
          <w:rFonts w:ascii="Arial" w:hAnsi="Arial" w:cs="Arial"/>
          <w:sz w:val="20"/>
          <w:szCs w:val="20"/>
          <w:lang w:val="es-ES"/>
        </w:rPr>
      </w:pPr>
    </w:p>
    <w:p w:rsidR="00BB3049" w:rsidRPr="00CC6334" w:rsidRDefault="00BB3049" w:rsidP="00BB3049">
      <w:pPr>
        <w:pStyle w:val="ListParagraph"/>
        <w:ind w:left="0"/>
        <w:jc w:val="both"/>
        <w:rPr>
          <w:rFonts w:ascii="Arial" w:hAnsi="Arial" w:cs="Arial"/>
          <w:sz w:val="20"/>
          <w:szCs w:val="20"/>
          <w:lang w:val="es-ES"/>
        </w:rPr>
      </w:pPr>
    </w:p>
    <w:p w:rsidR="00BB3049" w:rsidRPr="00CC6334" w:rsidRDefault="00BB3049" w:rsidP="00BB3049">
      <w:r w:rsidRPr="00CC6334">
        <w:t>ESTRATEGIAS DE EJECUCIÓN</w:t>
      </w:r>
    </w:p>
    <w:p w:rsidR="00BB3049" w:rsidRPr="00CC6334" w:rsidRDefault="00BB3049" w:rsidP="00BB3049">
      <w:pPr>
        <w:jc w:val="both"/>
        <w:rPr>
          <w:sz w:val="20"/>
        </w:rPr>
      </w:pPr>
    </w:p>
    <w:p w:rsidR="00BB3049" w:rsidRPr="000160D1" w:rsidRDefault="00BB3049" w:rsidP="00BB3049">
      <w:pPr>
        <w:pStyle w:val="ListParagraph"/>
        <w:numPr>
          <w:ilvl w:val="0"/>
          <w:numId w:val="50"/>
        </w:numPr>
        <w:tabs>
          <w:tab w:val="left" w:pos="709"/>
        </w:tabs>
        <w:ind w:left="0" w:firstLine="0"/>
        <w:jc w:val="both"/>
        <w:rPr>
          <w:rFonts w:ascii="Arial" w:hAnsi="Arial" w:cs="Arial"/>
          <w:sz w:val="20"/>
          <w:lang w:val="es-ES"/>
        </w:rPr>
      </w:pPr>
      <w:r w:rsidRPr="000160D1">
        <w:rPr>
          <w:rFonts w:ascii="Arial" w:hAnsi="Arial" w:cs="Arial"/>
          <w:sz w:val="20"/>
          <w:lang w:val="es-ES"/>
        </w:rPr>
        <w:t xml:space="preserve">Este programa integra ahora el aseguramiento de la información, la seguridad física y la vigilancia, lo que permite a la OMPI disponer de una visión global de la seguridad </w:t>
      </w:r>
      <w:r w:rsidR="000160D1">
        <w:rPr>
          <w:rFonts w:ascii="Arial" w:hAnsi="Arial" w:cs="Arial"/>
          <w:sz w:val="20"/>
          <w:lang w:val="es-ES"/>
        </w:rPr>
        <w:t xml:space="preserve">y vigilancia </w:t>
      </w:r>
      <w:r w:rsidRPr="000160D1">
        <w:rPr>
          <w:rFonts w:ascii="Arial" w:hAnsi="Arial" w:cs="Arial"/>
          <w:sz w:val="20"/>
          <w:lang w:val="es-ES"/>
        </w:rPr>
        <w:t xml:space="preserve">y gestionar los riesgos operacionales de manera global.  Permite además la convergencia en diversos ámbitos, por ejemplo, intercambiar información sobre amenazas físicas y en Internet, dar una respuesta coordinada en caso de incidentes y garantizar la </w:t>
      </w:r>
      <w:r w:rsidR="009C12F8" w:rsidRPr="000160D1">
        <w:rPr>
          <w:rFonts w:ascii="Arial" w:hAnsi="Arial" w:cs="Arial"/>
          <w:sz w:val="20"/>
          <w:lang w:val="es-ES"/>
        </w:rPr>
        <w:t>capacidad de reacción</w:t>
      </w:r>
      <w:r w:rsidRPr="000160D1">
        <w:rPr>
          <w:rFonts w:ascii="Arial" w:hAnsi="Arial" w:cs="Arial"/>
          <w:sz w:val="20"/>
          <w:lang w:val="es-ES"/>
        </w:rPr>
        <w:t xml:space="preserve"> de los sistemas de seguridad física y vigilancia.</w:t>
      </w:r>
    </w:p>
    <w:p w:rsidR="00BB3049" w:rsidRPr="00BB3049" w:rsidRDefault="00BB3049" w:rsidP="00BB3049">
      <w:pPr>
        <w:jc w:val="both"/>
        <w:rPr>
          <w:sz w:val="20"/>
          <w:highlight w:val="lightGray"/>
        </w:rPr>
      </w:pPr>
    </w:p>
    <w:p w:rsidR="00BB3049" w:rsidRPr="000160D1" w:rsidRDefault="00BB3049" w:rsidP="00BB3049">
      <w:pPr>
        <w:pStyle w:val="ListParagraph"/>
        <w:numPr>
          <w:ilvl w:val="0"/>
          <w:numId w:val="50"/>
        </w:numPr>
        <w:tabs>
          <w:tab w:val="left" w:pos="709"/>
        </w:tabs>
        <w:ind w:left="0" w:firstLine="0"/>
        <w:jc w:val="both"/>
        <w:rPr>
          <w:rFonts w:ascii="Arial" w:hAnsi="Arial" w:cs="Arial"/>
          <w:sz w:val="20"/>
          <w:szCs w:val="20"/>
          <w:lang w:val="es-ES"/>
        </w:rPr>
      </w:pPr>
      <w:r w:rsidRPr="000160D1">
        <w:rPr>
          <w:rFonts w:ascii="Arial" w:hAnsi="Arial" w:cs="Arial"/>
          <w:sz w:val="20"/>
          <w:lang w:val="es-ES"/>
        </w:rPr>
        <w:t>Es i</w:t>
      </w:r>
      <w:r w:rsidR="000160D1">
        <w:rPr>
          <w:rFonts w:ascii="Arial" w:hAnsi="Arial" w:cs="Arial"/>
          <w:sz w:val="20"/>
          <w:lang w:val="es-ES"/>
        </w:rPr>
        <w:t>mperativo</w:t>
      </w:r>
      <w:r w:rsidRPr="000160D1">
        <w:rPr>
          <w:rFonts w:ascii="Arial" w:hAnsi="Arial" w:cs="Arial"/>
          <w:sz w:val="20"/>
          <w:lang w:val="es-ES"/>
        </w:rPr>
        <w:t xml:space="preserve"> que la OMPI no solo refuerce sus capacidades de aseguramiento de la información, sino que aspire también a aplicar una estrategia efectiva, fiable y sostenible a ese respecto que permita a la Organización mantener su liderazgo en la prestación de soluciones de P.I. seguras y de calidad a sus </w:t>
      </w:r>
      <w:r w:rsidR="000160D1">
        <w:rPr>
          <w:rFonts w:ascii="Arial" w:hAnsi="Arial" w:cs="Arial"/>
          <w:sz w:val="20"/>
          <w:lang w:val="es-ES"/>
        </w:rPr>
        <w:t xml:space="preserve">Estados miembros y </w:t>
      </w:r>
      <w:r w:rsidRPr="000160D1">
        <w:rPr>
          <w:rFonts w:ascii="Arial" w:hAnsi="Arial" w:cs="Arial"/>
          <w:sz w:val="20"/>
          <w:lang w:val="es-ES"/>
        </w:rPr>
        <w:t>clientes, con un grado de confianza muy elevado.</w:t>
      </w:r>
    </w:p>
    <w:p w:rsidR="00BB3049" w:rsidRPr="00CC6334" w:rsidRDefault="00BB3049" w:rsidP="00BB3049">
      <w:pPr>
        <w:pStyle w:val="ListParagraph"/>
        <w:ind w:left="0"/>
        <w:jc w:val="both"/>
        <w:rPr>
          <w:rFonts w:ascii="Arial" w:hAnsi="Arial" w:cs="Arial"/>
          <w:sz w:val="20"/>
          <w:szCs w:val="20"/>
          <w:lang w:val="es-ES"/>
        </w:rPr>
      </w:pPr>
    </w:p>
    <w:p w:rsidR="00BB3049" w:rsidRPr="00CC6334" w:rsidRDefault="00BB3049" w:rsidP="00BB3049">
      <w:pPr>
        <w:pStyle w:val="ListParagraph"/>
        <w:numPr>
          <w:ilvl w:val="0"/>
          <w:numId w:val="50"/>
        </w:numPr>
        <w:tabs>
          <w:tab w:val="left" w:pos="709"/>
        </w:tabs>
        <w:ind w:left="0" w:firstLine="0"/>
        <w:jc w:val="both"/>
        <w:rPr>
          <w:rFonts w:ascii="Arial" w:hAnsi="Arial" w:cs="Arial"/>
          <w:sz w:val="20"/>
          <w:lang w:val="es-ES"/>
        </w:rPr>
      </w:pPr>
      <w:r w:rsidRPr="00CC6334">
        <w:rPr>
          <w:rFonts w:ascii="Arial" w:hAnsi="Arial" w:cs="Arial"/>
          <w:sz w:val="20"/>
          <w:lang w:val="es-ES"/>
        </w:rPr>
        <w:t>Con este fin, en 2016/17 empezarán a aplicarse las siguientes estrategias de aseguramiento de la información:</w:t>
      </w:r>
    </w:p>
    <w:p w:rsidR="00BB3049" w:rsidRPr="00CC6334" w:rsidRDefault="00BB3049" w:rsidP="00BB3049">
      <w:pPr>
        <w:tabs>
          <w:tab w:val="left" w:pos="1134"/>
        </w:tabs>
        <w:ind w:left="567"/>
        <w:jc w:val="both"/>
        <w:rPr>
          <w:sz w:val="20"/>
        </w:rPr>
      </w:pPr>
    </w:p>
    <w:p w:rsidR="00BB3049" w:rsidRPr="00CC6334" w:rsidRDefault="00BB3049" w:rsidP="00BB3049">
      <w:pPr>
        <w:numPr>
          <w:ilvl w:val="1"/>
          <w:numId w:val="42"/>
        </w:numPr>
        <w:tabs>
          <w:tab w:val="clear" w:pos="1250"/>
          <w:tab w:val="left" w:pos="1134"/>
        </w:tabs>
        <w:ind w:left="567"/>
        <w:jc w:val="both"/>
        <w:rPr>
          <w:sz w:val="20"/>
        </w:rPr>
      </w:pPr>
      <w:r w:rsidRPr="00CC6334">
        <w:rPr>
          <w:i/>
          <w:sz w:val="20"/>
        </w:rPr>
        <w:t>Desarrollar una cultura orientada a la seguridad</w:t>
      </w:r>
      <w:proofErr w:type="gramStart"/>
      <w:r w:rsidRPr="00CC6334">
        <w:rPr>
          <w:i/>
          <w:sz w:val="20"/>
        </w:rPr>
        <w:t>:  S</w:t>
      </w:r>
      <w:r w:rsidRPr="00CC6334">
        <w:rPr>
          <w:sz w:val="20"/>
        </w:rPr>
        <w:t>e</w:t>
      </w:r>
      <w:proofErr w:type="gramEnd"/>
      <w:r w:rsidRPr="00CC6334">
        <w:rPr>
          <w:sz w:val="20"/>
        </w:rPr>
        <w:t xml:space="preserve"> fortalecerá la gobernanza actual del aseguramiento de la información para garantizar una mayor responsabilidad.  Se mejorará la sensibilización y la formación en materia de seguridad y se analizarán parámetros útiles para la evaluación del aseguramiento de la información, que se utilizarán para fundamentar las decisiones sobre la gestión de riesgos de seguridad y para demostrar el rendimiento de la inversión en aseguramiento de la información.</w:t>
      </w:r>
    </w:p>
    <w:p w:rsidR="00BB3049" w:rsidRPr="00CC6334" w:rsidRDefault="00BB3049" w:rsidP="00BB3049">
      <w:pPr>
        <w:tabs>
          <w:tab w:val="num" w:pos="360"/>
          <w:tab w:val="left" w:pos="1134"/>
        </w:tabs>
        <w:ind w:left="567"/>
        <w:jc w:val="both"/>
        <w:rPr>
          <w:sz w:val="20"/>
        </w:rPr>
      </w:pPr>
    </w:p>
    <w:p w:rsidR="00BB3049" w:rsidRPr="00CC6334" w:rsidRDefault="00BB3049" w:rsidP="00BB3049">
      <w:pPr>
        <w:numPr>
          <w:ilvl w:val="1"/>
          <w:numId w:val="42"/>
        </w:numPr>
        <w:tabs>
          <w:tab w:val="clear" w:pos="1250"/>
          <w:tab w:val="num" w:pos="360"/>
          <w:tab w:val="left" w:pos="1134"/>
          <w:tab w:val="num" w:pos="1170"/>
        </w:tabs>
        <w:ind w:left="567"/>
        <w:jc w:val="both"/>
        <w:rPr>
          <w:sz w:val="20"/>
        </w:rPr>
      </w:pPr>
      <w:r w:rsidRPr="00CC6334">
        <w:rPr>
          <w:i/>
          <w:sz w:val="20"/>
        </w:rPr>
        <w:t>Adoptar un enfoque de gestión de riesgos de carácter institucional</w:t>
      </w:r>
      <w:proofErr w:type="gramStart"/>
      <w:r w:rsidRPr="00CC6334">
        <w:rPr>
          <w:i/>
          <w:sz w:val="20"/>
        </w:rPr>
        <w:t xml:space="preserve">:  </w:t>
      </w:r>
      <w:r w:rsidRPr="00CC6334">
        <w:rPr>
          <w:sz w:val="20"/>
        </w:rPr>
        <w:t>Se</w:t>
      </w:r>
      <w:proofErr w:type="gramEnd"/>
      <w:r w:rsidRPr="00CC6334">
        <w:rPr>
          <w:sz w:val="20"/>
        </w:rPr>
        <w:t xml:space="preserve"> impulsará la adopción de una visión institucional de los riesgos de la información mediante la integración y la convergencia de distintos procesos de gestión de riesgos de la información en distintos ámbitos de actividad, y los elementos de tales riesgos se incorporarán en el sistema de gestión del riesgo institucional.</w:t>
      </w:r>
    </w:p>
    <w:p w:rsidR="00BB3049" w:rsidRPr="00CC6334" w:rsidRDefault="00BB3049" w:rsidP="00BB3049">
      <w:pPr>
        <w:tabs>
          <w:tab w:val="num" w:pos="738"/>
          <w:tab w:val="left" w:pos="1134"/>
        </w:tabs>
        <w:ind w:left="567"/>
        <w:jc w:val="both"/>
        <w:rPr>
          <w:sz w:val="20"/>
        </w:rPr>
      </w:pPr>
    </w:p>
    <w:p w:rsidR="00BB3049" w:rsidRPr="000160D1" w:rsidRDefault="00BB3049" w:rsidP="00BB3049">
      <w:pPr>
        <w:numPr>
          <w:ilvl w:val="1"/>
          <w:numId w:val="42"/>
        </w:numPr>
        <w:tabs>
          <w:tab w:val="clear" w:pos="1250"/>
          <w:tab w:val="num" w:pos="360"/>
          <w:tab w:val="num" w:pos="738"/>
          <w:tab w:val="left" w:pos="1134"/>
        </w:tabs>
        <w:ind w:left="567"/>
        <w:jc w:val="both"/>
        <w:rPr>
          <w:sz w:val="20"/>
        </w:rPr>
      </w:pPr>
      <w:r w:rsidRPr="000160D1">
        <w:rPr>
          <w:i/>
          <w:sz w:val="20"/>
        </w:rPr>
        <w:t xml:space="preserve">Limitar la exposición al riesgo y garantizar la observancia continuada:  </w:t>
      </w:r>
      <w:r w:rsidRPr="000160D1">
        <w:rPr>
          <w:sz w:val="20"/>
        </w:rPr>
        <w:t xml:space="preserve">El fomento continuo de la capacidad para detectar por anticipado amenazas contra los activos de información de la OMPI, así como sus vulnerabilidades, permitirá implementar las medidas de subsanación </w:t>
      </w:r>
      <w:r w:rsidRPr="000160D1">
        <w:rPr>
          <w:sz w:val="20"/>
        </w:rPr>
        <w:lastRenderedPageBreak/>
        <w:t>prioritarias para proteger los ámbitos de actividad de la OMPI que presentan mayores riesgos.  Se aplicará un programa de observancia continua para asegurar el cumplimiento de las políticas</w:t>
      </w:r>
      <w:r w:rsidR="000160D1">
        <w:rPr>
          <w:sz w:val="20"/>
        </w:rPr>
        <w:t>,</w:t>
      </w:r>
      <w:r w:rsidRPr="000160D1">
        <w:rPr>
          <w:sz w:val="20"/>
        </w:rPr>
        <w:t xml:space="preserve"> los mandatos </w:t>
      </w:r>
      <w:r w:rsidR="000160D1">
        <w:rPr>
          <w:sz w:val="20"/>
        </w:rPr>
        <w:t xml:space="preserve">y normas técnicas </w:t>
      </w:r>
      <w:r w:rsidRPr="000160D1">
        <w:rPr>
          <w:sz w:val="20"/>
        </w:rPr>
        <w:t>en materia de aseguramiento de la información</w:t>
      </w:r>
      <w:r w:rsidR="000160D1">
        <w:rPr>
          <w:sz w:val="20"/>
        </w:rPr>
        <w:t xml:space="preserve"> (</w:t>
      </w:r>
      <w:r w:rsidRPr="000160D1">
        <w:rPr>
          <w:sz w:val="20"/>
        </w:rPr>
        <w:t>como la norma ISO 27001</w:t>
      </w:r>
      <w:r w:rsidR="000160D1">
        <w:rPr>
          <w:sz w:val="20"/>
        </w:rPr>
        <w:t>)</w:t>
      </w:r>
      <w:r w:rsidRPr="000160D1">
        <w:rPr>
          <w:sz w:val="20"/>
        </w:rPr>
        <w:t>, lo que ofrecerá mayores garantías en lo que respecta a la eficacia de los controles internos en la protección de los activos de información de la OMPI.</w:t>
      </w:r>
    </w:p>
    <w:p w:rsidR="00BB3049" w:rsidRPr="000160D1" w:rsidRDefault="00BB3049" w:rsidP="00BB3049">
      <w:pPr>
        <w:tabs>
          <w:tab w:val="num" w:pos="738"/>
          <w:tab w:val="left" w:pos="1134"/>
        </w:tabs>
        <w:ind w:left="567"/>
        <w:jc w:val="both"/>
        <w:rPr>
          <w:sz w:val="20"/>
        </w:rPr>
      </w:pPr>
    </w:p>
    <w:p w:rsidR="00BB3049" w:rsidRPr="000160D1" w:rsidRDefault="00BB3049" w:rsidP="00BB3049">
      <w:pPr>
        <w:numPr>
          <w:ilvl w:val="1"/>
          <w:numId w:val="42"/>
        </w:numPr>
        <w:tabs>
          <w:tab w:val="clear" w:pos="1250"/>
          <w:tab w:val="num" w:pos="360"/>
          <w:tab w:val="num" w:pos="738"/>
          <w:tab w:val="left" w:pos="1134"/>
        </w:tabs>
        <w:ind w:left="567"/>
        <w:jc w:val="both"/>
        <w:rPr>
          <w:i/>
          <w:iCs/>
          <w:sz w:val="20"/>
        </w:rPr>
      </w:pPr>
      <w:r w:rsidRPr="000160D1">
        <w:rPr>
          <w:i/>
          <w:iCs/>
          <w:sz w:val="20"/>
        </w:rPr>
        <w:t>Proteger los activos de la OMPI de información confidencial</w:t>
      </w:r>
      <w:proofErr w:type="gramStart"/>
      <w:r w:rsidRPr="000160D1">
        <w:rPr>
          <w:i/>
          <w:iCs/>
          <w:sz w:val="20"/>
        </w:rPr>
        <w:t xml:space="preserve">:  </w:t>
      </w:r>
      <w:r w:rsidRPr="000160D1">
        <w:rPr>
          <w:iCs/>
          <w:sz w:val="20"/>
        </w:rPr>
        <w:t>se</w:t>
      </w:r>
      <w:proofErr w:type="gramEnd"/>
      <w:r w:rsidRPr="000160D1">
        <w:rPr>
          <w:iCs/>
          <w:sz w:val="20"/>
        </w:rPr>
        <w:t xml:space="preserve"> aplicará una política de clasificación y gestión de la información para garantizar una </w:t>
      </w:r>
      <w:r w:rsidR="000160D1">
        <w:rPr>
          <w:iCs/>
          <w:sz w:val="20"/>
        </w:rPr>
        <w:t>protección, costoeficaz</w:t>
      </w:r>
      <w:r w:rsidRPr="000160D1">
        <w:rPr>
          <w:iCs/>
          <w:sz w:val="20"/>
        </w:rPr>
        <w:t xml:space="preserve"> y basada en los riesgos, de los activos de información confidencial de la OMPI.  A partir de esta política, se aplicarán mecanismos de protección (control de procesos y de sistemas técnicos), </w:t>
      </w:r>
      <w:r w:rsidR="000160D1">
        <w:rPr>
          <w:iCs/>
          <w:sz w:val="20"/>
        </w:rPr>
        <w:t>para fomentar el poder de recuperación</w:t>
      </w:r>
      <w:r w:rsidR="009C12F8" w:rsidRPr="000160D1">
        <w:rPr>
          <w:iCs/>
          <w:sz w:val="20"/>
        </w:rPr>
        <w:t xml:space="preserve"> </w:t>
      </w:r>
      <w:r w:rsidRPr="000160D1">
        <w:rPr>
          <w:iCs/>
          <w:sz w:val="20"/>
        </w:rPr>
        <w:t>de los sistemas del PCT y otros importantes sistemas operacionales.</w:t>
      </w:r>
    </w:p>
    <w:p w:rsidR="00BB3049" w:rsidRPr="00CC6334" w:rsidRDefault="00BB3049" w:rsidP="00BB3049">
      <w:pPr>
        <w:tabs>
          <w:tab w:val="num" w:pos="738"/>
          <w:tab w:val="left" w:pos="1134"/>
        </w:tabs>
        <w:ind w:left="567"/>
        <w:jc w:val="both"/>
        <w:rPr>
          <w:i/>
          <w:iCs/>
          <w:sz w:val="20"/>
        </w:rPr>
      </w:pPr>
    </w:p>
    <w:p w:rsidR="00BB3049" w:rsidRPr="00CC6334" w:rsidRDefault="00BB3049" w:rsidP="00BB3049">
      <w:pPr>
        <w:numPr>
          <w:ilvl w:val="1"/>
          <w:numId w:val="42"/>
        </w:numPr>
        <w:tabs>
          <w:tab w:val="clear" w:pos="1250"/>
          <w:tab w:val="num" w:pos="360"/>
          <w:tab w:val="left" w:pos="1134"/>
          <w:tab w:val="num" w:pos="1170"/>
        </w:tabs>
        <w:ind w:left="567"/>
        <w:jc w:val="both"/>
        <w:rPr>
          <w:i/>
          <w:iCs/>
          <w:sz w:val="20"/>
        </w:rPr>
      </w:pPr>
      <w:r w:rsidRPr="00CC6334">
        <w:rPr>
          <w:i/>
          <w:iCs/>
          <w:sz w:val="20"/>
        </w:rPr>
        <w:t>Fomentar el conocimiento del entorno y la capacidad de respuesta</w:t>
      </w:r>
      <w:proofErr w:type="gramStart"/>
      <w:r w:rsidRPr="00CC6334">
        <w:rPr>
          <w:i/>
          <w:iCs/>
          <w:sz w:val="20"/>
        </w:rPr>
        <w:t xml:space="preserve">:  </w:t>
      </w:r>
      <w:r w:rsidRPr="00CC6334">
        <w:rPr>
          <w:iCs/>
          <w:sz w:val="20"/>
        </w:rPr>
        <w:t>Se</w:t>
      </w:r>
      <w:proofErr w:type="gramEnd"/>
      <w:r w:rsidRPr="00CC6334">
        <w:rPr>
          <w:iCs/>
          <w:sz w:val="20"/>
        </w:rPr>
        <w:t xml:space="preserve"> </w:t>
      </w:r>
      <w:r w:rsidR="0066536D">
        <w:rPr>
          <w:iCs/>
          <w:sz w:val="20"/>
        </w:rPr>
        <w:t xml:space="preserve">introducirán mejoras en la labor </w:t>
      </w:r>
      <w:r w:rsidRPr="00CC6334">
        <w:rPr>
          <w:iCs/>
          <w:sz w:val="20"/>
        </w:rPr>
        <w:t xml:space="preserve">de la OMPI </w:t>
      </w:r>
      <w:r w:rsidR="0066536D">
        <w:rPr>
          <w:iCs/>
          <w:sz w:val="20"/>
        </w:rPr>
        <w:t>de</w:t>
      </w:r>
      <w:r w:rsidRPr="00CC6334">
        <w:rPr>
          <w:iCs/>
          <w:sz w:val="20"/>
        </w:rPr>
        <w:t xml:space="preserve"> seguridad en Internet y se </w:t>
      </w:r>
      <w:r w:rsidR="0066536D">
        <w:rPr>
          <w:iCs/>
          <w:sz w:val="20"/>
        </w:rPr>
        <w:t>expandirá</w:t>
      </w:r>
      <w:r w:rsidRPr="00CC6334">
        <w:rPr>
          <w:iCs/>
          <w:sz w:val="20"/>
        </w:rPr>
        <w:t xml:space="preserve"> el conocimiento de información sobre amenazas internas y externas, tanto cibernéticas como físicas,</w:t>
      </w:r>
      <w:r w:rsidR="00C12506">
        <w:rPr>
          <w:iCs/>
          <w:sz w:val="20"/>
        </w:rPr>
        <w:t xml:space="preserve"> respecto de las cuales se deban tomar medidas</w:t>
      </w:r>
      <w:r w:rsidR="0066536D">
        <w:rPr>
          <w:iCs/>
          <w:sz w:val="20"/>
        </w:rPr>
        <w:t xml:space="preserve"> </w:t>
      </w:r>
      <w:r w:rsidRPr="00CC6334">
        <w:rPr>
          <w:iCs/>
          <w:sz w:val="20"/>
        </w:rPr>
        <w:t xml:space="preserve">a fin de determinar previsoramente los indicadores de </w:t>
      </w:r>
      <w:r w:rsidR="0066536D">
        <w:rPr>
          <w:iCs/>
          <w:sz w:val="20"/>
        </w:rPr>
        <w:t xml:space="preserve">potenciales </w:t>
      </w:r>
      <w:r w:rsidRPr="00CC6334">
        <w:rPr>
          <w:iCs/>
          <w:sz w:val="20"/>
        </w:rPr>
        <w:t>violaciones de la seguridad.  También se introducirán importantes mejoras en la capacidad de respuesta de la OMPI a los incidentes que afecten a la seguridad de la información a fin de asegurar que se contengan con rapidez y que apenas perturben las operaciones.</w:t>
      </w:r>
    </w:p>
    <w:p w:rsidR="00BB3049" w:rsidRPr="00CC6334" w:rsidRDefault="00BB3049" w:rsidP="00BB3049">
      <w:pPr>
        <w:tabs>
          <w:tab w:val="left" w:pos="1134"/>
        </w:tabs>
        <w:ind w:left="567"/>
        <w:jc w:val="both"/>
        <w:rPr>
          <w:i/>
          <w:iCs/>
          <w:sz w:val="20"/>
        </w:rPr>
      </w:pPr>
    </w:p>
    <w:p w:rsidR="00BB3049" w:rsidRPr="00CC6334" w:rsidRDefault="00BB3049" w:rsidP="00BB3049">
      <w:pPr>
        <w:pStyle w:val="ListParagraph"/>
        <w:numPr>
          <w:ilvl w:val="0"/>
          <w:numId w:val="50"/>
        </w:numPr>
        <w:tabs>
          <w:tab w:val="left" w:pos="709"/>
        </w:tabs>
        <w:ind w:left="0" w:firstLine="0"/>
        <w:jc w:val="both"/>
        <w:rPr>
          <w:rFonts w:ascii="Arial" w:hAnsi="Arial" w:cs="Arial"/>
          <w:sz w:val="20"/>
          <w:szCs w:val="20"/>
          <w:lang w:val="es-ES"/>
        </w:rPr>
      </w:pPr>
      <w:r w:rsidRPr="00CC6334">
        <w:rPr>
          <w:rFonts w:ascii="Arial" w:hAnsi="Arial" w:cs="Arial"/>
          <w:sz w:val="20"/>
          <w:szCs w:val="20"/>
          <w:lang w:val="es-ES"/>
        </w:rPr>
        <w:t>Se seguirán introduciendo mejoras en la seguridad y la vigilancia mediante una gestión dinámica de los riesgos y la continua supervisión de las amenazas en este ámbito.  También se acometerán mejoras en las políticas y los procedimientos de seguridad y vigilancia y en las actividades de sensibilización y de formación de guardas de seguridad, y se fortalecerá la supervisión del desempeño de los proveedores.  Por otra parte, la seguridad y vigilancia se integrarán plenamente en los procesos de gestión de crisis y en la gestión de la continuidad de las operaciones.</w:t>
      </w:r>
    </w:p>
    <w:p w:rsidR="00BB3049" w:rsidRPr="00CC6334" w:rsidRDefault="00BB3049" w:rsidP="00BB3049">
      <w:pPr>
        <w:pStyle w:val="ListParagraph"/>
        <w:ind w:left="0"/>
        <w:jc w:val="both"/>
        <w:rPr>
          <w:rFonts w:ascii="Arial" w:hAnsi="Arial" w:cs="Arial"/>
          <w:sz w:val="20"/>
          <w:szCs w:val="20"/>
          <w:lang w:val="es-ES"/>
        </w:rPr>
      </w:pPr>
    </w:p>
    <w:p w:rsidR="00BB3049" w:rsidRPr="00CC6334" w:rsidRDefault="00BB3049" w:rsidP="00BB3049">
      <w:pPr>
        <w:pStyle w:val="ListParagraph"/>
        <w:numPr>
          <w:ilvl w:val="0"/>
          <w:numId w:val="50"/>
        </w:numPr>
        <w:tabs>
          <w:tab w:val="left" w:pos="709"/>
        </w:tabs>
        <w:ind w:left="0" w:firstLine="0"/>
        <w:jc w:val="both"/>
        <w:rPr>
          <w:rFonts w:ascii="Arial" w:hAnsi="Arial" w:cs="Arial"/>
          <w:sz w:val="20"/>
          <w:lang w:val="es-ES"/>
        </w:rPr>
      </w:pPr>
      <w:r w:rsidRPr="00CC6334">
        <w:rPr>
          <w:rFonts w:ascii="Arial" w:hAnsi="Arial" w:cs="Arial"/>
          <w:sz w:val="20"/>
          <w:lang w:val="es-ES"/>
        </w:rPr>
        <w:t>Se seguirá prestando atención a la sensibilización entre el personal de la OMPI acerca de las medidas de seguridad física y vigilancia.  Con la introducción de nuevos sistemas de seguridad física y vigilancia, se logrará una mayor integración entre estos sistemas y se retirarán gradualmente los sistemas que se vayan quedando obsoletos.</w:t>
      </w:r>
    </w:p>
    <w:p w:rsidR="00BB3049" w:rsidRPr="00CC6334" w:rsidRDefault="00BB3049" w:rsidP="00BB3049">
      <w:pPr>
        <w:pStyle w:val="ListParagraph"/>
        <w:autoSpaceDE w:val="0"/>
        <w:autoSpaceDN w:val="0"/>
        <w:adjustRightInd w:val="0"/>
        <w:ind w:left="0"/>
        <w:jc w:val="both"/>
        <w:rPr>
          <w:rFonts w:ascii="Arial" w:hAnsi="Arial" w:cs="Arial"/>
          <w:sz w:val="20"/>
          <w:lang w:val="es-ES"/>
        </w:rPr>
      </w:pPr>
    </w:p>
    <w:p w:rsidR="00BB3049" w:rsidRPr="00CC6334" w:rsidRDefault="00BB3049" w:rsidP="00BB3049">
      <w:pPr>
        <w:pStyle w:val="ListParagraph"/>
        <w:autoSpaceDE w:val="0"/>
        <w:autoSpaceDN w:val="0"/>
        <w:adjustRightInd w:val="0"/>
        <w:ind w:left="0"/>
        <w:jc w:val="both"/>
        <w:rPr>
          <w:rFonts w:ascii="Arial" w:hAnsi="Arial" w:cs="Arial"/>
          <w:sz w:val="20"/>
          <w:lang w:val="es-ES"/>
        </w:rPr>
      </w:pPr>
    </w:p>
    <w:p w:rsidR="00BB3049" w:rsidRPr="00CC6334" w:rsidRDefault="00BB3049" w:rsidP="00BB3049">
      <w:r w:rsidRPr="00CC6334">
        <w:t>PRINCIPALES RIESGOS Y ESTRATEGIAS DE MITIGACIÓN</w:t>
      </w:r>
    </w:p>
    <w:p w:rsidR="00BB3049" w:rsidRPr="00CC6334" w:rsidRDefault="00BB3049" w:rsidP="00BB3049">
      <w:pPr>
        <w:rPr>
          <w:sz w:val="20"/>
        </w:rPr>
      </w:pPr>
    </w:p>
    <w:tbl>
      <w:tblPr>
        <w:tblW w:w="9214" w:type="dxa"/>
        <w:tblInd w:w="108" w:type="dxa"/>
        <w:tblCellMar>
          <w:left w:w="0" w:type="dxa"/>
          <w:right w:w="0" w:type="dxa"/>
        </w:tblCellMar>
        <w:tblLook w:val="04A0" w:firstRow="1" w:lastRow="0" w:firstColumn="1" w:lastColumn="0" w:noHBand="0" w:noVBand="1"/>
      </w:tblPr>
      <w:tblGrid>
        <w:gridCol w:w="4111"/>
        <w:gridCol w:w="5103"/>
      </w:tblGrid>
      <w:tr w:rsidR="00BB3049" w:rsidRPr="00CC6334" w:rsidTr="00C97D8A">
        <w:trPr>
          <w:trHeight w:val="577"/>
        </w:trPr>
        <w:tc>
          <w:tcPr>
            <w:tcW w:w="4111" w:type="dxa"/>
            <w:tcBorders>
              <w:top w:val="single" w:sz="8" w:space="0" w:color="auto"/>
              <w:left w:val="single" w:sz="8" w:space="0" w:color="auto"/>
              <w:bottom w:val="single" w:sz="8" w:space="0" w:color="auto"/>
              <w:right w:val="nil"/>
            </w:tcBorders>
            <w:shd w:val="clear" w:color="auto" w:fill="C6D9F1" w:themeFill="text2" w:themeFillTint="33"/>
            <w:tcMar>
              <w:top w:w="0" w:type="dxa"/>
              <w:left w:w="108" w:type="dxa"/>
              <w:bottom w:w="0" w:type="dxa"/>
              <w:right w:w="108" w:type="dxa"/>
            </w:tcMar>
            <w:vAlign w:val="center"/>
            <w:hideMark/>
          </w:tcPr>
          <w:p w:rsidR="00BB3049" w:rsidRPr="00CC6334" w:rsidRDefault="00BB3049" w:rsidP="00C97D8A">
            <w:pPr>
              <w:jc w:val="center"/>
              <w:rPr>
                <w:rFonts w:eastAsiaTheme="minorHAnsi"/>
                <w:b/>
                <w:bCs/>
                <w:sz w:val="18"/>
                <w:szCs w:val="18"/>
              </w:rPr>
            </w:pPr>
            <w:r w:rsidRPr="00CC6334">
              <w:rPr>
                <w:rFonts w:eastAsiaTheme="minorHAnsi"/>
                <w:b/>
                <w:bCs/>
                <w:sz w:val="18"/>
                <w:szCs w:val="18"/>
              </w:rPr>
              <w:t>Riesgo</w:t>
            </w:r>
          </w:p>
        </w:tc>
        <w:tc>
          <w:tcPr>
            <w:tcW w:w="5103" w:type="dxa"/>
            <w:tcBorders>
              <w:top w:val="single" w:sz="8" w:space="0" w:color="auto"/>
              <w:left w:val="nil"/>
              <w:bottom w:val="single" w:sz="8" w:space="0" w:color="auto"/>
              <w:right w:val="single" w:sz="8" w:space="0" w:color="auto"/>
            </w:tcBorders>
            <w:shd w:val="clear" w:color="auto" w:fill="C6D9F1" w:themeFill="text2" w:themeFillTint="33"/>
            <w:tcMar>
              <w:top w:w="0" w:type="dxa"/>
              <w:left w:w="108" w:type="dxa"/>
              <w:bottom w:w="0" w:type="dxa"/>
              <w:right w:w="108" w:type="dxa"/>
            </w:tcMar>
            <w:vAlign w:val="center"/>
            <w:hideMark/>
          </w:tcPr>
          <w:p w:rsidR="00BB3049" w:rsidRPr="00CC6334" w:rsidRDefault="00BB3049" w:rsidP="00C97D8A">
            <w:pPr>
              <w:jc w:val="center"/>
              <w:rPr>
                <w:rFonts w:eastAsiaTheme="minorHAnsi"/>
                <w:b/>
                <w:bCs/>
                <w:sz w:val="18"/>
                <w:szCs w:val="18"/>
              </w:rPr>
            </w:pPr>
            <w:r w:rsidRPr="00CC6334">
              <w:rPr>
                <w:b/>
                <w:bCs/>
                <w:sz w:val="18"/>
                <w:szCs w:val="18"/>
              </w:rPr>
              <w:t>Mitigación</w:t>
            </w:r>
          </w:p>
        </w:tc>
      </w:tr>
      <w:tr w:rsidR="00BB3049" w:rsidRPr="00CC6334" w:rsidTr="005131C2">
        <w:trPr>
          <w:trHeight w:val="925"/>
        </w:trPr>
        <w:tc>
          <w:tcPr>
            <w:tcW w:w="4111" w:type="dxa"/>
            <w:tcBorders>
              <w:top w:val="nil"/>
              <w:left w:val="single" w:sz="8" w:space="0" w:color="auto"/>
              <w:right w:val="nil"/>
            </w:tcBorders>
            <w:tcMar>
              <w:top w:w="113" w:type="dxa"/>
              <w:left w:w="108" w:type="dxa"/>
              <w:bottom w:w="113" w:type="dxa"/>
              <w:right w:w="108" w:type="dxa"/>
            </w:tcMar>
            <w:hideMark/>
          </w:tcPr>
          <w:p w:rsidR="00BB3049" w:rsidRPr="00CC6334" w:rsidRDefault="00BB3049" w:rsidP="00C97D8A">
            <w:pPr>
              <w:rPr>
                <w:sz w:val="16"/>
                <w:szCs w:val="16"/>
              </w:rPr>
            </w:pPr>
            <w:r w:rsidRPr="00CC6334">
              <w:rPr>
                <w:sz w:val="16"/>
                <w:szCs w:val="16"/>
              </w:rPr>
              <w:t>Al igual que otras organizaciones, la OMPI está expuesta al riesgo de ataques en Internet y al de la violación voluntaria o accidental de los datos almacenados y, en consecuencia, a la divulgación no autorizada o a la utilización indebida de información confidencial, o a la perturbación de las actividades de la Organización.  Este hecho puede afectar negativamente al prestigio de la OMPI en cuanto que asesor de confianza y proveedor de servicios a sus clientes y Estados miembros.</w:t>
            </w:r>
          </w:p>
        </w:tc>
        <w:tc>
          <w:tcPr>
            <w:tcW w:w="5103" w:type="dxa"/>
            <w:tcBorders>
              <w:top w:val="nil"/>
              <w:left w:val="nil"/>
              <w:right w:val="single" w:sz="8" w:space="0" w:color="auto"/>
            </w:tcBorders>
            <w:tcMar>
              <w:top w:w="113" w:type="dxa"/>
              <w:left w:w="108" w:type="dxa"/>
              <w:bottom w:w="113" w:type="dxa"/>
              <w:right w:w="108" w:type="dxa"/>
            </w:tcMar>
            <w:hideMark/>
          </w:tcPr>
          <w:p w:rsidR="00BB3049" w:rsidRPr="00CC6334" w:rsidRDefault="00BB3049" w:rsidP="0066536D">
            <w:pPr>
              <w:rPr>
                <w:rFonts w:eastAsiaTheme="minorHAnsi"/>
                <w:sz w:val="16"/>
                <w:szCs w:val="16"/>
              </w:rPr>
            </w:pPr>
            <w:r w:rsidRPr="00CC6334">
              <w:rPr>
                <w:sz w:val="16"/>
                <w:szCs w:val="16"/>
              </w:rPr>
              <w:t xml:space="preserve">La aplicación gradual de una estrategia de aseguramiento de la información adaptada a cada caso permitirá a la OMPI seguir </w:t>
            </w:r>
            <w:r w:rsidR="0066536D">
              <w:rPr>
                <w:sz w:val="16"/>
                <w:szCs w:val="16"/>
              </w:rPr>
              <w:t>reforzando</w:t>
            </w:r>
            <w:r w:rsidRPr="00CC6334">
              <w:rPr>
                <w:sz w:val="16"/>
                <w:szCs w:val="16"/>
              </w:rPr>
              <w:t xml:space="preserve"> </w:t>
            </w:r>
            <w:r w:rsidR="0066536D">
              <w:rPr>
                <w:sz w:val="16"/>
                <w:szCs w:val="16"/>
              </w:rPr>
              <w:t>tanto sus</w:t>
            </w:r>
            <w:r w:rsidRPr="00CC6334">
              <w:rPr>
                <w:sz w:val="16"/>
                <w:szCs w:val="16"/>
              </w:rPr>
              <w:t xml:space="preserve"> dispositivos de seguridad de la información </w:t>
            </w:r>
            <w:r w:rsidR="0066536D">
              <w:rPr>
                <w:sz w:val="16"/>
                <w:szCs w:val="16"/>
              </w:rPr>
              <w:t>como</w:t>
            </w:r>
            <w:r w:rsidRPr="00CC6334">
              <w:rPr>
                <w:sz w:val="16"/>
                <w:szCs w:val="16"/>
              </w:rPr>
              <w:t xml:space="preserve"> la </w:t>
            </w:r>
            <w:r w:rsidR="009C12F8">
              <w:rPr>
                <w:sz w:val="16"/>
                <w:szCs w:val="16"/>
              </w:rPr>
              <w:t xml:space="preserve">capacidad </w:t>
            </w:r>
            <w:r w:rsidR="0066536D">
              <w:rPr>
                <w:sz w:val="16"/>
                <w:szCs w:val="16"/>
              </w:rPr>
              <w:t xml:space="preserve">institucional </w:t>
            </w:r>
            <w:r w:rsidR="009C12F8">
              <w:rPr>
                <w:sz w:val="16"/>
                <w:szCs w:val="16"/>
              </w:rPr>
              <w:t>de reacción</w:t>
            </w:r>
            <w:r w:rsidRPr="00CC6334">
              <w:rPr>
                <w:sz w:val="16"/>
                <w:szCs w:val="16"/>
              </w:rPr>
              <w:t xml:space="preserve"> </w:t>
            </w:r>
            <w:r w:rsidR="0066536D">
              <w:rPr>
                <w:sz w:val="16"/>
                <w:szCs w:val="16"/>
              </w:rPr>
              <w:t>y recuperación</w:t>
            </w:r>
            <w:r w:rsidRPr="00CC6334">
              <w:rPr>
                <w:sz w:val="16"/>
                <w:szCs w:val="16"/>
              </w:rPr>
              <w:t xml:space="preserve"> en los ámbitos de la gobernanza de la seguridad de la información, las personas, los procesos y la tecnología.</w:t>
            </w:r>
          </w:p>
        </w:tc>
      </w:tr>
      <w:tr w:rsidR="00BB3049" w:rsidRPr="00CC6334" w:rsidTr="005131C2">
        <w:trPr>
          <w:trHeight w:val="925"/>
        </w:trPr>
        <w:tc>
          <w:tcPr>
            <w:tcW w:w="4111" w:type="dxa"/>
            <w:tcBorders>
              <w:top w:val="nil"/>
              <w:left w:val="single" w:sz="8" w:space="0" w:color="auto"/>
              <w:right w:val="nil"/>
            </w:tcBorders>
            <w:tcMar>
              <w:top w:w="113" w:type="dxa"/>
              <w:left w:w="108" w:type="dxa"/>
              <w:bottom w:w="113" w:type="dxa"/>
              <w:right w:w="108" w:type="dxa"/>
            </w:tcMar>
            <w:hideMark/>
          </w:tcPr>
          <w:p w:rsidR="00BB3049" w:rsidRPr="00CC6334" w:rsidRDefault="00BB3049" w:rsidP="00C97D8A">
            <w:pPr>
              <w:rPr>
                <w:rFonts w:eastAsiaTheme="minorHAnsi"/>
                <w:bCs/>
                <w:sz w:val="16"/>
                <w:szCs w:val="16"/>
              </w:rPr>
            </w:pPr>
            <w:r w:rsidRPr="00CC6334">
              <w:rPr>
                <w:bCs/>
                <w:sz w:val="16"/>
                <w:szCs w:val="16"/>
              </w:rPr>
              <w:t xml:space="preserve">Riesgos asociados con desastres naturales o causados por el ser humano que afecten al personal de la OMPI, a sus visitantes y a su infraestructura (fuego, explosión, inundaciones, derrumbamientos y fallos técnicos de los sistemas).  Los fallos en la prevención, supervisión y respuesta a estos incidentes pueden causar daños personales, la muerte o afectar gravemente al funcionamiento de la OMPI. </w:t>
            </w:r>
          </w:p>
        </w:tc>
        <w:tc>
          <w:tcPr>
            <w:tcW w:w="5103" w:type="dxa"/>
            <w:tcBorders>
              <w:top w:val="nil"/>
              <w:left w:val="nil"/>
              <w:right w:val="single" w:sz="8" w:space="0" w:color="auto"/>
            </w:tcBorders>
            <w:tcMar>
              <w:top w:w="113" w:type="dxa"/>
              <w:left w:w="108" w:type="dxa"/>
              <w:bottom w:w="113" w:type="dxa"/>
              <w:right w:w="108" w:type="dxa"/>
            </w:tcMar>
            <w:hideMark/>
          </w:tcPr>
          <w:p w:rsidR="00BB3049" w:rsidRPr="00CC6334" w:rsidRDefault="00BB3049" w:rsidP="00C97D8A">
            <w:pPr>
              <w:rPr>
                <w:rFonts w:eastAsiaTheme="minorHAnsi"/>
                <w:sz w:val="16"/>
                <w:szCs w:val="16"/>
              </w:rPr>
            </w:pPr>
            <w:r w:rsidRPr="00CC6334">
              <w:rPr>
                <w:sz w:val="16"/>
                <w:szCs w:val="16"/>
              </w:rPr>
              <w:t>Planes de emergencia/evacuación y mecanismos de respuesta efectivos para todos los edificios de la sede de la OMPI actualmente en ejecución, incluidas las capacidades de respuesta y coordinación en situaciones de emergencia.  Establecimiento, en 2013, del programa preventivo de inspección de los servicios de seguridad y vigilancia para supervisar y subsanar las deficiencias detectadas y bajo control.</w:t>
            </w:r>
          </w:p>
        </w:tc>
      </w:tr>
      <w:tr w:rsidR="00BB3049" w:rsidRPr="00CC6334" w:rsidTr="005131C2">
        <w:trPr>
          <w:trHeight w:val="1027"/>
        </w:trPr>
        <w:tc>
          <w:tcPr>
            <w:tcW w:w="4111" w:type="dxa"/>
            <w:tcBorders>
              <w:left w:val="single" w:sz="8" w:space="0" w:color="auto"/>
              <w:bottom w:val="single" w:sz="8" w:space="0" w:color="auto"/>
              <w:right w:val="nil"/>
            </w:tcBorders>
            <w:tcMar>
              <w:top w:w="113" w:type="dxa"/>
              <w:left w:w="108" w:type="dxa"/>
              <w:bottom w:w="113" w:type="dxa"/>
              <w:right w:w="108" w:type="dxa"/>
            </w:tcMar>
            <w:hideMark/>
          </w:tcPr>
          <w:p w:rsidR="00BB3049" w:rsidRPr="00CC6334" w:rsidRDefault="00BB3049" w:rsidP="00C97D8A">
            <w:pPr>
              <w:rPr>
                <w:rFonts w:eastAsiaTheme="minorHAnsi"/>
                <w:bCs/>
                <w:sz w:val="16"/>
                <w:szCs w:val="16"/>
              </w:rPr>
            </w:pPr>
            <w:r w:rsidRPr="00CC6334">
              <w:rPr>
                <w:bCs/>
                <w:sz w:val="16"/>
                <w:szCs w:val="16"/>
              </w:rPr>
              <w:t>Actos criminales de carácter interno y externo que afecten a la Organización (robos, sabotajes, actos de terrorismo);  acciones malintencionadas que perturben el funcionamiento de la Organización o actos que perturben la labor de la Organización (manifestaciones/disturbios civiles/ grupos anti-globalización o anarquistas).</w:t>
            </w:r>
          </w:p>
        </w:tc>
        <w:tc>
          <w:tcPr>
            <w:tcW w:w="5103" w:type="dxa"/>
            <w:tcBorders>
              <w:left w:val="nil"/>
              <w:bottom w:val="single" w:sz="8" w:space="0" w:color="auto"/>
              <w:right w:val="single" w:sz="8" w:space="0" w:color="auto"/>
            </w:tcBorders>
            <w:tcMar>
              <w:top w:w="113" w:type="dxa"/>
              <w:left w:w="108" w:type="dxa"/>
              <w:bottom w:w="113" w:type="dxa"/>
              <w:right w:w="108" w:type="dxa"/>
            </w:tcMar>
            <w:hideMark/>
          </w:tcPr>
          <w:p w:rsidR="00BB3049" w:rsidRPr="00CC6334" w:rsidRDefault="00BB3049" w:rsidP="00C97D8A">
            <w:pPr>
              <w:rPr>
                <w:rFonts w:eastAsiaTheme="minorHAnsi"/>
                <w:bCs/>
                <w:sz w:val="16"/>
                <w:szCs w:val="16"/>
              </w:rPr>
            </w:pPr>
            <w:r w:rsidRPr="00CC6334">
              <w:rPr>
                <w:bCs/>
                <w:sz w:val="16"/>
                <w:szCs w:val="16"/>
              </w:rPr>
              <w:t xml:space="preserve">Marco global de seguridad y vigilancia actualmente en vigor, protocolos de gestión de riesgos y círculos concéntricos de control de la seguridad física que incluyen medidas contra las intrusiones, cámaras CCTV y un moderno sistema de acceso a los edificios. </w:t>
            </w:r>
          </w:p>
        </w:tc>
      </w:tr>
    </w:tbl>
    <w:p w:rsidR="00BB3049" w:rsidRPr="00CC6334" w:rsidRDefault="00BB3049" w:rsidP="00BB3049">
      <w:pPr>
        <w:autoSpaceDE w:val="0"/>
        <w:autoSpaceDN w:val="0"/>
        <w:adjustRightInd w:val="0"/>
        <w:jc w:val="both"/>
        <w:rPr>
          <w:sz w:val="20"/>
        </w:rPr>
      </w:pPr>
    </w:p>
    <w:p w:rsidR="00BB3049" w:rsidRPr="00CC6334" w:rsidRDefault="00BB3049" w:rsidP="00BB3049">
      <w:pPr>
        <w:autoSpaceDE w:val="0"/>
        <w:autoSpaceDN w:val="0"/>
        <w:adjustRightInd w:val="0"/>
        <w:jc w:val="both"/>
        <w:rPr>
          <w:sz w:val="20"/>
        </w:rPr>
      </w:pPr>
    </w:p>
    <w:p w:rsidR="00BB3049" w:rsidRPr="00CC6334" w:rsidRDefault="00BB3049" w:rsidP="00BB3049">
      <w:pPr>
        <w:autoSpaceDE w:val="0"/>
        <w:autoSpaceDN w:val="0"/>
        <w:adjustRightInd w:val="0"/>
        <w:jc w:val="both"/>
      </w:pPr>
      <w:r w:rsidRPr="00CC6334">
        <w:lastRenderedPageBreak/>
        <w:t>MARCO DE RESULTADOS</w:t>
      </w:r>
    </w:p>
    <w:p w:rsidR="00BB3049" w:rsidRPr="00CC6334" w:rsidRDefault="00BB3049" w:rsidP="00BB3049">
      <w:pPr>
        <w:autoSpaceDE w:val="0"/>
        <w:autoSpaceDN w:val="0"/>
        <w:adjustRightInd w:val="0"/>
        <w:jc w:val="both"/>
      </w:pPr>
    </w:p>
    <w:tbl>
      <w:tblPr>
        <w:tblW w:w="9120" w:type="dxa"/>
        <w:tblInd w:w="93" w:type="dxa"/>
        <w:tblLook w:val="04A0" w:firstRow="1" w:lastRow="0" w:firstColumn="1" w:lastColumn="0" w:noHBand="0" w:noVBand="1"/>
      </w:tblPr>
      <w:tblGrid>
        <w:gridCol w:w="2060"/>
        <w:gridCol w:w="2520"/>
        <w:gridCol w:w="2280"/>
        <w:gridCol w:w="2260"/>
      </w:tblGrid>
      <w:tr w:rsidR="00BB3049" w:rsidRPr="00CC6334" w:rsidTr="009B5944">
        <w:trPr>
          <w:trHeight w:val="555"/>
          <w:tblHeader/>
        </w:trPr>
        <w:tc>
          <w:tcPr>
            <w:tcW w:w="2060" w:type="dxa"/>
            <w:tcBorders>
              <w:top w:val="single" w:sz="4" w:space="0" w:color="auto"/>
              <w:left w:val="single" w:sz="4" w:space="0" w:color="auto"/>
              <w:bottom w:val="single" w:sz="4" w:space="0" w:color="auto"/>
              <w:right w:val="nil"/>
            </w:tcBorders>
            <w:shd w:val="clear" w:color="000000" w:fill="C6D9F1" w:themeFill="text2" w:themeFillTint="33"/>
            <w:vAlign w:val="center"/>
            <w:hideMark/>
          </w:tcPr>
          <w:p w:rsidR="00BB3049" w:rsidRPr="00CC6334" w:rsidRDefault="00BB3049" w:rsidP="00C97D8A">
            <w:pPr>
              <w:jc w:val="center"/>
              <w:rPr>
                <w:b/>
                <w:bCs/>
                <w:sz w:val="18"/>
                <w:szCs w:val="18"/>
              </w:rPr>
            </w:pPr>
            <w:r w:rsidRPr="00CC6334">
              <w:rPr>
                <w:b/>
                <w:bCs/>
                <w:sz w:val="18"/>
                <w:szCs w:val="18"/>
              </w:rPr>
              <w:t>Resultados previstos</w:t>
            </w:r>
          </w:p>
        </w:tc>
        <w:tc>
          <w:tcPr>
            <w:tcW w:w="2520" w:type="dxa"/>
            <w:tcBorders>
              <w:top w:val="single" w:sz="4" w:space="0" w:color="auto"/>
              <w:left w:val="nil"/>
              <w:bottom w:val="single" w:sz="4" w:space="0" w:color="auto"/>
              <w:right w:val="nil"/>
            </w:tcBorders>
            <w:shd w:val="clear" w:color="000000" w:fill="C6D9F1" w:themeFill="text2" w:themeFillTint="33"/>
            <w:vAlign w:val="center"/>
            <w:hideMark/>
          </w:tcPr>
          <w:p w:rsidR="00BB3049" w:rsidRPr="00CC6334" w:rsidRDefault="00BB3049" w:rsidP="00C97D8A">
            <w:pPr>
              <w:jc w:val="center"/>
              <w:rPr>
                <w:b/>
                <w:bCs/>
                <w:sz w:val="18"/>
                <w:szCs w:val="18"/>
              </w:rPr>
            </w:pPr>
            <w:r w:rsidRPr="00CC6334">
              <w:rPr>
                <w:b/>
                <w:bCs/>
                <w:sz w:val="18"/>
                <w:szCs w:val="18"/>
              </w:rPr>
              <w:t>Indicadores de rendimiento</w:t>
            </w:r>
          </w:p>
        </w:tc>
        <w:tc>
          <w:tcPr>
            <w:tcW w:w="2280" w:type="dxa"/>
            <w:tcBorders>
              <w:top w:val="single" w:sz="4" w:space="0" w:color="auto"/>
              <w:left w:val="nil"/>
              <w:bottom w:val="single" w:sz="4" w:space="0" w:color="auto"/>
              <w:right w:val="nil"/>
            </w:tcBorders>
            <w:shd w:val="clear" w:color="000000" w:fill="C6D9F1" w:themeFill="text2" w:themeFillTint="33"/>
            <w:vAlign w:val="center"/>
            <w:hideMark/>
          </w:tcPr>
          <w:p w:rsidR="00BB3049" w:rsidRPr="00CC6334" w:rsidRDefault="00BB3049" w:rsidP="00C97D8A">
            <w:pPr>
              <w:jc w:val="center"/>
              <w:rPr>
                <w:b/>
                <w:bCs/>
                <w:sz w:val="18"/>
                <w:szCs w:val="18"/>
              </w:rPr>
            </w:pPr>
            <w:r w:rsidRPr="00CC6334">
              <w:rPr>
                <w:b/>
                <w:bCs/>
                <w:sz w:val="18"/>
                <w:szCs w:val="18"/>
              </w:rPr>
              <w:t>Referencia</w:t>
            </w:r>
          </w:p>
        </w:tc>
        <w:tc>
          <w:tcPr>
            <w:tcW w:w="2260" w:type="dxa"/>
            <w:tcBorders>
              <w:top w:val="single" w:sz="4" w:space="0" w:color="auto"/>
              <w:left w:val="nil"/>
              <w:bottom w:val="single" w:sz="4" w:space="0" w:color="auto"/>
              <w:right w:val="single" w:sz="4" w:space="0" w:color="auto"/>
            </w:tcBorders>
            <w:shd w:val="clear" w:color="000000" w:fill="C6D9F1" w:themeFill="text2" w:themeFillTint="33"/>
            <w:vAlign w:val="center"/>
            <w:hideMark/>
          </w:tcPr>
          <w:p w:rsidR="00BB3049" w:rsidRPr="00CC6334" w:rsidRDefault="00BB3049" w:rsidP="00C97D8A">
            <w:pPr>
              <w:jc w:val="center"/>
              <w:rPr>
                <w:b/>
                <w:bCs/>
                <w:sz w:val="18"/>
                <w:szCs w:val="18"/>
              </w:rPr>
            </w:pPr>
            <w:r w:rsidRPr="00CC6334">
              <w:rPr>
                <w:b/>
                <w:bCs/>
                <w:sz w:val="18"/>
                <w:szCs w:val="18"/>
              </w:rPr>
              <w:t>Objetivos</w:t>
            </w:r>
          </w:p>
        </w:tc>
      </w:tr>
      <w:tr w:rsidR="00BB3049" w:rsidRPr="00CC6334" w:rsidTr="001C0654">
        <w:trPr>
          <w:trHeight w:val="1795"/>
        </w:trPr>
        <w:tc>
          <w:tcPr>
            <w:tcW w:w="2060" w:type="dxa"/>
            <w:tcBorders>
              <w:top w:val="single" w:sz="4" w:space="0" w:color="auto"/>
              <w:left w:val="single" w:sz="4" w:space="0" w:color="auto"/>
              <w:right w:val="nil"/>
            </w:tcBorders>
            <w:shd w:val="clear" w:color="000000" w:fill="FFFFFF"/>
            <w:hideMark/>
          </w:tcPr>
          <w:p w:rsidR="00BB3049" w:rsidRPr="000160D1" w:rsidRDefault="00BB3049" w:rsidP="00C97D8A">
            <w:pPr>
              <w:rPr>
                <w:sz w:val="16"/>
                <w:szCs w:val="16"/>
              </w:rPr>
            </w:pPr>
          </w:p>
          <w:p w:rsidR="00BB3049" w:rsidRPr="000160D1" w:rsidRDefault="00BB3049" w:rsidP="00C97D8A">
            <w:pPr>
              <w:rPr>
                <w:sz w:val="16"/>
                <w:szCs w:val="16"/>
              </w:rPr>
            </w:pPr>
            <w:r w:rsidRPr="000160D1">
              <w:rPr>
                <w:sz w:val="16"/>
                <w:szCs w:val="16"/>
              </w:rPr>
              <w:t xml:space="preserve">IX.1 </w:t>
            </w:r>
            <w:r w:rsidR="006B46F5" w:rsidRPr="000160D1">
              <w:rPr>
                <w:sz w:val="16"/>
                <w:szCs w:val="16"/>
              </w:rPr>
              <w:t xml:space="preserve"> </w:t>
            </w:r>
            <w:r w:rsidR="00532057" w:rsidRPr="000160D1">
              <w:rPr>
                <w:sz w:val="16"/>
                <w:szCs w:val="16"/>
                <w:lang w:val="es-ES_tradnl"/>
              </w:rPr>
              <w:t>Servicios de apoyo eficaces, eficientes, de calidad y orientados al cliente, tanto a los usuarios internos como a las partes interesadas externas</w:t>
            </w:r>
          </w:p>
        </w:tc>
        <w:tc>
          <w:tcPr>
            <w:tcW w:w="2520" w:type="dxa"/>
            <w:tcBorders>
              <w:top w:val="single" w:sz="4" w:space="0" w:color="auto"/>
              <w:left w:val="nil"/>
              <w:right w:val="nil"/>
            </w:tcBorders>
            <w:shd w:val="clear" w:color="000000" w:fill="FFFFFF"/>
            <w:hideMark/>
          </w:tcPr>
          <w:p w:rsidR="00BB3049" w:rsidRPr="00CC6334" w:rsidRDefault="00BB3049" w:rsidP="00C97D8A">
            <w:pPr>
              <w:rPr>
                <w:sz w:val="16"/>
                <w:szCs w:val="16"/>
              </w:rPr>
            </w:pPr>
          </w:p>
          <w:p w:rsidR="00BB3049" w:rsidRPr="00CC6334" w:rsidRDefault="00BB3049" w:rsidP="00C97D8A">
            <w:pPr>
              <w:rPr>
                <w:sz w:val="16"/>
                <w:szCs w:val="16"/>
              </w:rPr>
            </w:pPr>
            <w:r w:rsidRPr="00CC6334">
              <w:rPr>
                <w:sz w:val="16"/>
                <w:szCs w:val="16"/>
              </w:rPr>
              <w:t>Definición y fortalecimiento de la gobernanza en materia de aseguramiento de la información.</w:t>
            </w:r>
            <w:r w:rsidRPr="00CC6334">
              <w:rPr>
                <w:sz w:val="16"/>
                <w:szCs w:val="16"/>
              </w:rPr>
              <w:br/>
            </w:r>
            <w:r w:rsidRPr="00CC6334">
              <w:rPr>
                <w:sz w:val="16"/>
                <w:szCs w:val="16"/>
              </w:rPr>
              <w:br/>
            </w:r>
          </w:p>
          <w:p w:rsidR="00BB3049" w:rsidRPr="00CC6334" w:rsidRDefault="00BB3049" w:rsidP="00C97D8A">
            <w:pPr>
              <w:rPr>
                <w:sz w:val="16"/>
                <w:szCs w:val="16"/>
              </w:rPr>
            </w:pPr>
          </w:p>
          <w:p w:rsidR="00BB3049" w:rsidRPr="00CC6334" w:rsidRDefault="00BB3049" w:rsidP="002E0669">
            <w:pPr>
              <w:rPr>
                <w:sz w:val="16"/>
                <w:szCs w:val="16"/>
              </w:rPr>
            </w:pPr>
            <w:r w:rsidRPr="00CC6334">
              <w:rPr>
                <w:sz w:val="16"/>
                <w:szCs w:val="16"/>
              </w:rPr>
              <w:t>N</w:t>
            </w:r>
            <w:r w:rsidR="002E0669">
              <w:rPr>
                <w:sz w:val="16"/>
                <w:szCs w:val="16"/>
              </w:rPr>
              <w:t>º</w:t>
            </w:r>
            <w:r w:rsidRPr="00CC6334">
              <w:rPr>
                <w:sz w:val="16"/>
                <w:szCs w:val="16"/>
              </w:rPr>
              <w:t xml:space="preserve"> de miembros del personal consciente de sus responsabilidades con respecto a la seguridad de la información, las políticas de seguridad y las prácticas más extendidas.</w:t>
            </w:r>
          </w:p>
        </w:tc>
        <w:tc>
          <w:tcPr>
            <w:tcW w:w="2280" w:type="dxa"/>
            <w:tcBorders>
              <w:top w:val="single" w:sz="4" w:space="0" w:color="auto"/>
              <w:left w:val="nil"/>
              <w:right w:val="nil"/>
            </w:tcBorders>
            <w:shd w:val="clear" w:color="000000" w:fill="FFFFFF"/>
            <w:hideMark/>
          </w:tcPr>
          <w:p w:rsidR="00BB3049" w:rsidRPr="00CC6334" w:rsidRDefault="00BB3049" w:rsidP="00C97D8A">
            <w:pPr>
              <w:ind w:firstLineChars="19" w:firstLine="30"/>
              <w:rPr>
                <w:sz w:val="16"/>
                <w:szCs w:val="16"/>
              </w:rPr>
            </w:pPr>
          </w:p>
          <w:p w:rsidR="00BB3049" w:rsidRPr="00CC6334" w:rsidRDefault="00BB3049" w:rsidP="00C97D8A">
            <w:pPr>
              <w:rPr>
                <w:sz w:val="16"/>
                <w:szCs w:val="16"/>
              </w:rPr>
            </w:pPr>
            <w:r w:rsidRPr="00CC6334">
              <w:rPr>
                <w:sz w:val="16"/>
                <w:szCs w:val="16"/>
              </w:rPr>
              <w:t>Gobernanza limitada del aseguramiento de la información.  Capacidad limitada para ejecutar una estrategia de aseguramiento de la información.</w:t>
            </w:r>
          </w:p>
          <w:p w:rsidR="00BB3049" w:rsidRPr="00CC6334" w:rsidRDefault="00BB3049" w:rsidP="00C97D8A">
            <w:pPr>
              <w:ind w:firstLineChars="19" w:firstLine="30"/>
              <w:rPr>
                <w:sz w:val="16"/>
                <w:szCs w:val="16"/>
              </w:rPr>
            </w:pPr>
            <w:r w:rsidRPr="00CC6334">
              <w:rPr>
                <w:sz w:val="16"/>
                <w:szCs w:val="16"/>
              </w:rPr>
              <w:br/>
              <w:t>El 20% de los miembros del personal ha sido víctima de campañas de usurpación de la identidad.</w:t>
            </w:r>
            <w:r w:rsidRPr="00CC6334">
              <w:rPr>
                <w:sz w:val="16"/>
                <w:szCs w:val="16"/>
              </w:rPr>
              <w:br/>
            </w:r>
          </w:p>
        </w:tc>
        <w:tc>
          <w:tcPr>
            <w:tcW w:w="2260" w:type="dxa"/>
            <w:tcBorders>
              <w:top w:val="single" w:sz="4" w:space="0" w:color="auto"/>
              <w:left w:val="nil"/>
              <w:right w:val="single" w:sz="4" w:space="0" w:color="auto"/>
            </w:tcBorders>
            <w:shd w:val="clear" w:color="000000" w:fill="FFFFFF"/>
            <w:hideMark/>
          </w:tcPr>
          <w:p w:rsidR="00BB3049" w:rsidRPr="00CC6334" w:rsidRDefault="00BB3049" w:rsidP="00C97D8A">
            <w:pPr>
              <w:ind w:firstLineChars="26" w:firstLine="42"/>
              <w:rPr>
                <w:sz w:val="16"/>
                <w:szCs w:val="16"/>
              </w:rPr>
            </w:pPr>
          </w:p>
          <w:p w:rsidR="00BB3049" w:rsidRPr="00CC6334" w:rsidRDefault="00BB3049" w:rsidP="00C97D8A">
            <w:pPr>
              <w:rPr>
                <w:sz w:val="16"/>
                <w:szCs w:val="16"/>
              </w:rPr>
            </w:pPr>
            <w:r w:rsidRPr="00CC6334">
              <w:rPr>
                <w:sz w:val="16"/>
                <w:szCs w:val="16"/>
              </w:rPr>
              <w:t>Se aprueba la promulgación del marco de gobernanza del aseguramiento de la información.</w:t>
            </w:r>
            <w:r w:rsidRPr="00CC6334">
              <w:rPr>
                <w:sz w:val="16"/>
                <w:szCs w:val="16"/>
              </w:rPr>
              <w:br/>
            </w:r>
            <w:r w:rsidRPr="00CC6334">
              <w:rPr>
                <w:sz w:val="16"/>
                <w:szCs w:val="16"/>
              </w:rPr>
              <w:br/>
            </w:r>
            <w:r w:rsidRPr="00CC6334">
              <w:rPr>
                <w:sz w:val="16"/>
                <w:szCs w:val="16"/>
              </w:rPr>
              <w:br/>
            </w:r>
          </w:p>
          <w:p w:rsidR="00BB3049" w:rsidRPr="00CC6334" w:rsidRDefault="00BB3049" w:rsidP="00C97D8A">
            <w:pPr>
              <w:rPr>
                <w:sz w:val="16"/>
                <w:szCs w:val="16"/>
              </w:rPr>
            </w:pPr>
            <w:r w:rsidRPr="00CC6334">
              <w:rPr>
                <w:sz w:val="16"/>
                <w:szCs w:val="16"/>
              </w:rPr>
              <w:t>Menos de un 5% de los miembros del personal ha sido víctima de campañas de usurpación de la identidad.</w:t>
            </w:r>
          </w:p>
        </w:tc>
      </w:tr>
      <w:tr w:rsidR="00BB3049" w:rsidRPr="00CC6334" w:rsidTr="009B5944">
        <w:trPr>
          <w:trHeight w:val="1558"/>
        </w:trPr>
        <w:tc>
          <w:tcPr>
            <w:tcW w:w="2060" w:type="dxa"/>
            <w:vMerge w:val="restart"/>
            <w:tcBorders>
              <w:left w:val="single" w:sz="4" w:space="0" w:color="auto"/>
              <w:bottom w:val="single" w:sz="4" w:space="0" w:color="000000"/>
              <w:right w:val="nil"/>
            </w:tcBorders>
            <w:shd w:val="clear" w:color="000000" w:fill="FFFFFF"/>
            <w:hideMark/>
          </w:tcPr>
          <w:p w:rsidR="00BB3049" w:rsidRPr="000160D1" w:rsidRDefault="00BB3049" w:rsidP="00C97D8A">
            <w:pPr>
              <w:rPr>
                <w:sz w:val="16"/>
                <w:szCs w:val="16"/>
              </w:rPr>
            </w:pPr>
          </w:p>
          <w:p w:rsidR="00BB3049" w:rsidRPr="000160D1" w:rsidRDefault="009B5944" w:rsidP="00C97D8A">
            <w:pPr>
              <w:rPr>
                <w:sz w:val="16"/>
                <w:szCs w:val="16"/>
              </w:rPr>
            </w:pPr>
            <w:r w:rsidRPr="000160D1">
              <w:rPr>
                <w:sz w:val="16"/>
                <w:szCs w:val="16"/>
              </w:rPr>
              <w:t>IX.4</w:t>
            </w:r>
            <w:r w:rsidR="006B46F5" w:rsidRPr="000160D1">
              <w:rPr>
                <w:sz w:val="16"/>
                <w:szCs w:val="16"/>
              </w:rPr>
              <w:t xml:space="preserve"> </w:t>
            </w:r>
            <w:r w:rsidRPr="000160D1">
              <w:rPr>
                <w:sz w:val="16"/>
                <w:szCs w:val="16"/>
              </w:rPr>
              <w:t xml:space="preserve"> </w:t>
            </w:r>
            <w:r w:rsidR="00532057" w:rsidRPr="000160D1">
              <w:rPr>
                <w:sz w:val="16"/>
                <w:szCs w:val="16"/>
                <w:lang w:val="es-ES_tradnl"/>
              </w:rPr>
              <w:t>Una Organización responsable con el medio ambiente y la sociedad en la que se garantiza la seguridad del personal de la OMPI, los delegados, los visitantes, la información y los activos físicos</w:t>
            </w:r>
          </w:p>
        </w:tc>
        <w:tc>
          <w:tcPr>
            <w:tcW w:w="2520" w:type="dxa"/>
            <w:tcBorders>
              <w:left w:val="nil"/>
              <w:bottom w:val="nil"/>
              <w:right w:val="nil"/>
            </w:tcBorders>
            <w:shd w:val="clear" w:color="000000" w:fill="FFFFFF"/>
            <w:hideMark/>
          </w:tcPr>
          <w:p w:rsidR="00BB3049" w:rsidRPr="00CC6334" w:rsidRDefault="00BB3049" w:rsidP="00C97D8A">
            <w:pPr>
              <w:rPr>
                <w:sz w:val="16"/>
                <w:szCs w:val="16"/>
              </w:rPr>
            </w:pPr>
          </w:p>
          <w:p w:rsidR="00BB3049" w:rsidRPr="00CC6334" w:rsidRDefault="00BB3049" w:rsidP="00C97D8A">
            <w:pPr>
              <w:rPr>
                <w:sz w:val="16"/>
                <w:szCs w:val="16"/>
              </w:rPr>
            </w:pPr>
            <w:r w:rsidRPr="00CC6334">
              <w:rPr>
                <w:sz w:val="16"/>
                <w:szCs w:val="16"/>
              </w:rPr>
              <w:t xml:space="preserve">Porcentaje de riesgos de la información, incluidos los riesgos con respecto a terceros, presentado y gestionado de manera coherente en el marco de la tolerancia de la OMPI a los riesgos. </w:t>
            </w:r>
          </w:p>
        </w:tc>
        <w:tc>
          <w:tcPr>
            <w:tcW w:w="2280" w:type="dxa"/>
            <w:tcBorders>
              <w:left w:val="nil"/>
              <w:bottom w:val="nil"/>
              <w:right w:val="nil"/>
            </w:tcBorders>
            <w:shd w:val="clear" w:color="000000" w:fill="FFFFFF"/>
            <w:hideMark/>
          </w:tcPr>
          <w:p w:rsidR="00BB3049" w:rsidRPr="00CC6334" w:rsidRDefault="00BB3049" w:rsidP="00C97D8A">
            <w:pPr>
              <w:rPr>
                <w:sz w:val="16"/>
                <w:szCs w:val="16"/>
              </w:rPr>
            </w:pPr>
          </w:p>
          <w:p w:rsidR="00BB3049" w:rsidRPr="00CC6334" w:rsidRDefault="00BB3049" w:rsidP="00C97D8A">
            <w:pPr>
              <w:rPr>
                <w:sz w:val="16"/>
                <w:szCs w:val="16"/>
              </w:rPr>
            </w:pPr>
            <w:r w:rsidRPr="00CC6334">
              <w:rPr>
                <w:sz w:val="16"/>
                <w:szCs w:val="16"/>
              </w:rPr>
              <w:t xml:space="preserve">Presentación de los riesgos de la información con criterio </w:t>
            </w:r>
            <w:r w:rsidRPr="00CC6334">
              <w:rPr>
                <w:i/>
                <w:sz w:val="16"/>
                <w:szCs w:val="16"/>
              </w:rPr>
              <w:t xml:space="preserve">ad hoc.  </w:t>
            </w:r>
            <w:r w:rsidRPr="00CC6334">
              <w:rPr>
                <w:sz w:val="16"/>
                <w:szCs w:val="16"/>
              </w:rPr>
              <w:t>Riesgos de la información con respecto a terceros no identificados ni gestionados de manera coherente.</w:t>
            </w:r>
          </w:p>
          <w:p w:rsidR="00BB3049" w:rsidRPr="00CC6334" w:rsidRDefault="00BB3049" w:rsidP="00C97D8A">
            <w:pPr>
              <w:rPr>
                <w:sz w:val="16"/>
                <w:szCs w:val="16"/>
              </w:rPr>
            </w:pPr>
          </w:p>
        </w:tc>
        <w:tc>
          <w:tcPr>
            <w:tcW w:w="2260" w:type="dxa"/>
            <w:tcBorders>
              <w:left w:val="nil"/>
              <w:bottom w:val="nil"/>
              <w:right w:val="single" w:sz="4" w:space="0" w:color="auto"/>
            </w:tcBorders>
            <w:shd w:val="clear" w:color="000000" w:fill="FFFFFF"/>
            <w:hideMark/>
          </w:tcPr>
          <w:p w:rsidR="00BB3049" w:rsidRPr="00CC6334" w:rsidRDefault="00BB3049" w:rsidP="00C97D8A">
            <w:pPr>
              <w:rPr>
                <w:sz w:val="16"/>
                <w:szCs w:val="16"/>
              </w:rPr>
            </w:pPr>
          </w:p>
          <w:p w:rsidR="00BB3049" w:rsidRPr="00CC6334" w:rsidRDefault="00BB3049" w:rsidP="00C97D8A">
            <w:pPr>
              <w:rPr>
                <w:sz w:val="16"/>
                <w:szCs w:val="16"/>
              </w:rPr>
            </w:pPr>
            <w:r w:rsidRPr="00CC6334">
              <w:rPr>
                <w:sz w:val="16"/>
                <w:szCs w:val="16"/>
              </w:rPr>
              <w:t>Presentación trimestral de informes de riesgos</w:t>
            </w:r>
            <w:r w:rsidR="002E0669">
              <w:rPr>
                <w:sz w:val="16"/>
                <w:szCs w:val="16"/>
              </w:rPr>
              <w:t xml:space="preserve"> a la información </w:t>
            </w:r>
            <w:r w:rsidRPr="00CC6334">
              <w:rPr>
                <w:sz w:val="16"/>
                <w:szCs w:val="16"/>
              </w:rPr>
              <w:t>institucional a</w:t>
            </w:r>
            <w:r w:rsidR="002E0669">
              <w:rPr>
                <w:sz w:val="16"/>
                <w:szCs w:val="16"/>
              </w:rPr>
              <w:t>nte</w:t>
            </w:r>
            <w:r w:rsidRPr="00CC6334">
              <w:rPr>
                <w:sz w:val="16"/>
                <w:szCs w:val="16"/>
              </w:rPr>
              <w:t xml:space="preserve"> los órganos de gobernanza interna del aseguramiento de la información.</w:t>
            </w:r>
          </w:p>
          <w:p w:rsidR="00BB3049" w:rsidRPr="00CC6334" w:rsidRDefault="00BB3049" w:rsidP="00C97D8A">
            <w:pPr>
              <w:rPr>
                <w:sz w:val="16"/>
                <w:szCs w:val="16"/>
              </w:rPr>
            </w:pPr>
          </w:p>
          <w:p w:rsidR="00BB3049" w:rsidRPr="00CC6334" w:rsidRDefault="00BB3049" w:rsidP="00C97D8A">
            <w:pPr>
              <w:rPr>
                <w:sz w:val="16"/>
                <w:szCs w:val="16"/>
              </w:rPr>
            </w:pPr>
            <w:r w:rsidRPr="00CC6334">
              <w:rPr>
                <w:sz w:val="16"/>
                <w:szCs w:val="16"/>
              </w:rPr>
              <w:t>Gestión activa de los riesgos de la información con respecto a terceros (&lt;10% alto).</w:t>
            </w:r>
          </w:p>
          <w:p w:rsidR="00BB3049" w:rsidRPr="00CC6334" w:rsidRDefault="00BB3049" w:rsidP="00C97D8A">
            <w:pPr>
              <w:rPr>
                <w:sz w:val="16"/>
                <w:szCs w:val="16"/>
              </w:rPr>
            </w:pPr>
          </w:p>
        </w:tc>
      </w:tr>
      <w:tr w:rsidR="00BB3049" w:rsidRPr="00CC6334" w:rsidTr="00C97D8A">
        <w:trPr>
          <w:trHeight w:val="1815"/>
        </w:trPr>
        <w:tc>
          <w:tcPr>
            <w:tcW w:w="2060" w:type="dxa"/>
            <w:vMerge/>
            <w:tcBorders>
              <w:top w:val="nil"/>
              <w:left w:val="single" w:sz="4" w:space="0" w:color="auto"/>
              <w:bottom w:val="single" w:sz="4" w:space="0" w:color="000000"/>
              <w:right w:val="nil"/>
            </w:tcBorders>
            <w:vAlign w:val="center"/>
            <w:hideMark/>
          </w:tcPr>
          <w:p w:rsidR="00BB3049" w:rsidRPr="00CC6334" w:rsidRDefault="00BB3049" w:rsidP="00C97D8A">
            <w:pPr>
              <w:rPr>
                <w:sz w:val="16"/>
                <w:szCs w:val="16"/>
              </w:rPr>
            </w:pPr>
          </w:p>
        </w:tc>
        <w:tc>
          <w:tcPr>
            <w:tcW w:w="2520" w:type="dxa"/>
            <w:tcBorders>
              <w:top w:val="nil"/>
              <w:left w:val="nil"/>
              <w:bottom w:val="nil"/>
              <w:right w:val="nil"/>
            </w:tcBorders>
            <w:shd w:val="clear" w:color="000000" w:fill="FFFFFF"/>
            <w:hideMark/>
          </w:tcPr>
          <w:p w:rsidR="00BB3049" w:rsidRPr="00CC6334" w:rsidRDefault="00BB3049" w:rsidP="00C97D8A">
            <w:pPr>
              <w:rPr>
                <w:sz w:val="16"/>
                <w:szCs w:val="16"/>
              </w:rPr>
            </w:pPr>
            <w:r w:rsidRPr="00CC6334">
              <w:rPr>
                <w:sz w:val="16"/>
                <w:szCs w:val="16"/>
              </w:rPr>
              <w:t>Identificación dinámica y subsanación puntual de las vulnerabilidades en el marco de los niveles de servicio acordados.</w:t>
            </w:r>
            <w:r w:rsidRPr="00CC6334">
              <w:rPr>
                <w:sz w:val="16"/>
                <w:szCs w:val="16"/>
              </w:rPr>
              <w:br/>
            </w:r>
          </w:p>
          <w:p w:rsidR="00BB3049" w:rsidRPr="00CC6334" w:rsidRDefault="00BB3049" w:rsidP="00C97D8A">
            <w:pPr>
              <w:rPr>
                <w:sz w:val="16"/>
                <w:szCs w:val="16"/>
              </w:rPr>
            </w:pPr>
            <w:r w:rsidRPr="00CC6334">
              <w:rPr>
                <w:sz w:val="16"/>
                <w:szCs w:val="16"/>
              </w:rPr>
              <w:t>Incremento de la observancia de las políticas y las normas de aseguramiento de la información.</w:t>
            </w:r>
          </w:p>
          <w:p w:rsidR="00BB3049" w:rsidRPr="00CC6334" w:rsidRDefault="00BB3049" w:rsidP="00C97D8A">
            <w:pPr>
              <w:rPr>
                <w:sz w:val="16"/>
                <w:szCs w:val="16"/>
              </w:rPr>
            </w:pPr>
          </w:p>
          <w:p w:rsidR="00BB3049" w:rsidRPr="00CC6334" w:rsidRDefault="00BB3049" w:rsidP="00C97D8A">
            <w:pPr>
              <w:rPr>
                <w:sz w:val="16"/>
                <w:szCs w:val="16"/>
              </w:rPr>
            </w:pPr>
          </w:p>
        </w:tc>
        <w:tc>
          <w:tcPr>
            <w:tcW w:w="2280" w:type="dxa"/>
            <w:tcBorders>
              <w:top w:val="nil"/>
              <w:left w:val="nil"/>
              <w:bottom w:val="nil"/>
              <w:right w:val="nil"/>
            </w:tcBorders>
            <w:shd w:val="clear" w:color="000000" w:fill="FFFFFF"/>
            <w:hideMark/>
          </w:tcPr>
          <w:p w:rsidR="00BB3049" w:rsidRPr="00CC6334" w:rsidRDefault="00BB3049" w:rsidP="001C0654">
            <w:pPr>
              <w:rPr>
                <w:sz w:val="16"/>
                <w:szCs w:val="16"/>
              </w:rPr>
            </w:pPr>
            <w:r w:rsidRPr="00CC6334">
              <w:rPr>
                <w:sz w:val="16"/>
                <w:szCs w:val="16"/>
              </w:rPr>
              <w:t>Identificación y subsanación en forma limitada de las vulnerabilidades relativas a la seguridad de la información.</w:t>
            </w:r>
            <w:r w:rsidRPr="00CC6334">
              <w:rPr>
                <w:sz w:val="16"/>
                <w:szCs w:val="16"/>
              </w:rPr>
              <w:br/>
              <w:t xml:space="preserve"> </w:t>
            </w:r>
            <w:r w:rsidRPr="00CC6334">
              <w:rPr>
                <w:sz w:val="16"/>
                <w:szCs w:val="16"/>
              </w:rPr>
              <w:br/>
              <w:t xml:space="preserve">El cumplimiento y obtención del certificado de las normas ISO 27001 se limita a los procedimientos del PCT. </w:t>
            </w:r>
          </w:p>
        </w:tc>
        <w:tc>
          <w:tcPr>
            <w:tcW w:w="2260" w:type="dxa"/>
            <w:tcBorders>
              <w:top w:val="nil"/>
              <w:left w:val="nil"/>
              <w:bottom w:val="nil"/>
              <w:right w:val="single" w:sz="4" w:space="0" w:color="auto"/>
            </w:tcBorders>
            <w:shd w:val="clear" w:color="000000" w:fill="FFFFFF"/>
            <w:hideMark/>
          </w:tcPr>
          <w:p w:rsidR="00BB3049" w:rsidRPr="00CC6334" w:rsidRDefault="00BB3049" w:rsidP="00C97D8A">
            <w:pPr>
              <w:rPr>
                <w:sz w:val="16"/>
                <w:szCs w:val="16"/>
              </w:rPr>
            </w:pPr>
            <w:r w:rsidRPr="00CC6334">
              <w:rPr>
                <w:sz w:val="16"/>
                <w:szCs w:val="16"/>
              </w:rPr>
              <w:t>Identificación y subsanación de vulnerabilidades en un 90% de los activos de información confidencial.</w:t>
            </w:r>
          </w:p>
          <w:p w:rsidR="00BB3049" w:rsidRPr="00CC6334" w:rsidRDefault="00BB3049" w:rsidP="00C97D8A">
            <w:pPr>
              <w:rPr>
                <w:sz w:val="16"/>
                <w:szCs w:val="16"/>
              </w:rPr>
            </w:pPr>
            <w:r w:rsidRPr="00CC6334">
              <w:rPr>
                <w:sz w:val="16"/>
                <w:szCs w:val="16"/>
              </w:rPr>
              <w:br/>
            </w:r>
          </w:p>
          <w:p w:rsidR="00BB3049" w:rsidRPr="00CC6334" w:rsidRDefault="00BB3049" w:rsidP="00C97D8A">
            <w:pPr>
              <w:rPr>
                <w:sz w:val="16"/>
                <w:szCs w:val="16"/>
              </w:rPr>
            </w:pPr>
            <w:r w:rsidRPr="00CC6334">
              <w:rPr>
                <w:sz w:val="16"/>
                <w:szCs w:val="16"/>
              </w:rPr>
              <w:t xml:space="preserve">El cumplimiento y la obtención del certificado de las normas ISO 27001 se hacen extensivos a los procedimientos del Sistema de Madrid, </w:t>
            </w:r>
            <w:r w:rsidR="003B0DF0">
              <w:rPr>
                <w:sz w:val="16"/>
                <w:szCs w:val="16"/>
              </w:rPr>
              <w:t>La Haya</w:t>
            </w:r>
            <w:r w:rsidRPr="00CC6334">
              <w:rPr>
                <w:sz w:val="16"/>
                <w:szCs w:val="16"/>
              </w:rPr>
              <w:t xml:space="preserve"> y los RR.HH.</w:t>
            </w:r>
          </w:p>
          <w:p w:rsidR="00BB3049" w:rsidRPr="00CC6334" w:rsidRDefault="00BB3049" w:rsidP="00C97D8A">
            <w:pPr>
              <w:rPr>
                <w:sz w:val="16"/>
                <w:szCs w:val="16"/>
              </w:rPr>
            </w:pPr>
          </w:p>
        </w:tc>
      </w:tr>
      <w:tr w:rsidR="00BB3049" w:rsidRPr="00CC6334" w:rsidTr="00BB3049">
        <w:trPr>
          <w:trHeight w:val="1841"/>
        </w:trPr>
        <w:tc>
          <w:tcPr>
            <w:tcW w:w="2060" w:type="dxa"/>
            <w:vMerge/>
            <w:tcBorders>
              <w:top w:val="nil"/>
              <w:left w:val="single" w:sz="4" w:space="0" w:color="auto"/>
              <w:bottom w:val="single" w:sz="4" w:space="0" w:color="auto"/>
              <w:right w:val="nil"/>
            </w:tcBorders>
            <w:vAlign w:val="center"/>
            <w:hideMark/>
          </w:tcPr>
          <w:p w:rsidR="00BB3049" w:rsidRPr="00CC6334" w:rsidRDefault="00BB3049" w:rsidP="00C97D8A">
            <w:pPr>
              <w:rPr>
                <w:sz w:val="16"/>
                <w:szCs w:val="16"/>
              </w:rPr>
            </w:pPr>
          </w:p>
        </w:tc>
        <w:tc>
          <w:tcPr>
            <w:tcW w:w="2520" w:type="dxa"/>
            <w:tcBorders>
              <w:top w:val="nil"/>
              <w:left w:val="nil"/>
              <w:right w:val="nil"/>
            </w:tcBorders>
            <w:shd w:val="clear" w:color="000000" w:fill="FFFFFF"/>
            <w:hideMark/>
          </w:tcPr>
          <w:p w:rsidR="00BB3049" w:rsidRPr="00CC6334" w:rsidRDefault="00BB3049" w:rsidP="00C97D8A">
            <w:pPr>
              <w:rPr>
                <w:sz w:val="16"/>
                <w:szCs w:val="16"/>
              </w:rPr>
            </w:pPr>
            <w:r w:rsidRPr="00CC6334">
              <w:rPr>
                <w:sz w:val="16"/>
                <w:szCs w:val="16"/>
              </w:rPr>
              <w:t>Amplia adopción de la política de clasificación y gestión de la información para asegurar la confidencialidad de la información.</w:t>
            </w:r>
            <w:r w:rsidRPr="00CC6334">
              <w:rPr>
                <w:sz w:val="16"/>
                <w:szCs w:val="16"/>
              </w:rPr>
              <w:br/>
              <w:t xml:space="preserve"> </w:t>
            </w:r>
            <w:r w:rsidRPr="00CC6334">
              <w:rPr>
                <w:sz w:val="16"/>
                <w:szCs w:val="16"/>
              </w:rPr>
              <w:br/>
              <w:t>Se reduce la necesidad de duplicación de las capacidades técnicas de seguridad de la información mediante la aplicación de modelos reutilizables de arquitectura de la seguridad.</w:t>
            </w:r>
            <w:r w:rsidR="002E0669">
              <w:rPr>
                <w:sz w:val="16"/>
                <w:szCs w:val="16"/>
              </w:rPr>
              <w:br/>
            </w:r>
          </w:p>
        </w:tc>
        <w:tc>
          <w:tcPr>
            <w:tcW w:w="2280" w:type="dxa"/>
            <w:tcBorders>
              <w:top w:val="nil"/>
              <w:left w:val="nil"/>
              <w:right w:val="nil"/>
            </w:tcBorders>
            <w:shd w:val="clear" w:color="000000" w:fill="FFFFFF"/>
            <w:hideMark/>
          </w:tcPr>
          <w:p w:rsidR="00BB3049" w:rsidRPr="00CC6334" w:rsidRDefault="00BB3049" w:rsidP="00C97D8A">
            <w:pPr>
              <w:rPr>
                <w:sz w:val="16"/>
                <w:szCs w:val="16"/>
              </w:rPr>
            </w:pPr>
            <w:r w:rsidRPr="00CC6334">
              <w:rPr>
                <w:sz w:val="16"/>
                <w:szCs w:val="16"/>
              </w:rPr>
              <w:t>Adopción limitada de la política de gestión y clasificación de la información.</w:t>
            </w:r>
            <w:r w:rsidRPr="00CC6334">
              <w:rPr>
                <w:sz w:val="16"/>
                <w:szCs w:val="16"/>
              </w:rPr>
              <w:br/>
            </w:r>
            <w:r w:rsidRPr="00CC6334">
              <w:rPr>
                <w:sz w:val="16"/>
                <w:szCs w:val="16"/>
              </w:rPr>
              <w:br/>
            </w:r>
            <w:r w:rsidRPr="00CC6334">
              <w:rPr>
                <w:sz w:val="16"/>
                <w:szCs w:val="16"/>
              </w:rPr>
              <w:br/>
              <w:t>Aplicación desigual y limitada de las capacidades de seguridad, lo que reduce la flexibilidad y las posibilidades de reutilizar las capacidades.</w:t>
            </w:r>
          </w:p>
        </w:tc>
        <w:tc>
          <w:tcPr>
            <w:tcW w:w="2260" w:type="dxa"/>
            <w:tcBorders>
              <w:top w:val="nil"/>
              <w:left w:val="nil"/>
              <w:right w:val="single" w:sz="4" w:space="0" w:color="auto"/>
            </w:tcBorders>
            <w:shd w:val="clear" w:color="000000" w:fill="FFFFFF"/>
            <w:hideMark/>
          </w:tcPr>
          <w:p w:rsidR="00BB3049" w:rsidRPr="00CC6334" w:rsidRDefault="00BB3049" w:rsidP="00C97D8A">
            <w:pPr>
              <w:rPr>
                <w:sz w:val="16"/>
                <w:szCs w:val="16"/>
              </w:rPr>
            </w:pPr>
            <w:r w:rsidRPr="00CC6334">
              <w:rPr>
                <w:sz w:val="16"/>
                <w:szCs w:val="16"/>
              </w:rPr>
              <w:t>Aumenta en un 40% el nivel de adopción de la política de gestión y clasificación de la información.</w:t>
            </w:r>
            <w:r w:rsidRPr="00CC6334">
              <w:rPr>
                <w:sz w:val="16"/>
                <w:szCs w:val="16"/>
              </w:rPr>
              <w:br/>
            </w:r>
            <w:r w:rsidRPr="00CC6334">
              <w:rPr>
                <w:sz w:val="16"/>
                <w:szCs w:val="16"/>
              </w:rPr>
              <w:br/>
              <w:t>Se implanta una nueva arquitectura de referencia de la seguridad para aumentar en un 30% la flexibilidad y la reutilización de las capacidades de seguridad.</w:t>
            </w:r>
          </w:p>
        </w:tc>
      </w:tr>
      <w:tr w:rsidR="00BB3049" w:rsidRPr="00CC6334" w:rsidTr="00F93C0E">
        <w:trPr>
          <w:trHeight w:val="1272"/>
        </w:trPr>
        <w:tc>
          <w:tcPr>
            <w:tcW w:w="2060" w:type="dxa"/>
            <w:vMerge/>
            <w:tcBorders>
              <w:top w:val="single" w:sz="4" w:space="0" w:color="auto"/>
              <w:left w:val="single" w:sz="4" w:space="0" w:color="auto"/>
              <w:bottom w:val="single" w:sz="4" w:space="0" w:color="000000"/>
              <w:right w:val="nil"/>
            </w:tcBorders>
            <w:vAlign w:val="center"/>
            <w:hideMark/>
          </w:tcPr>
          <w:p w:rsidR="00BB3049" w:rsidRPr="00CC6334" w:rsidRDefault="00BB3049" w:rsidP="00C97D8A">
            <w:pPr>
              <w:rPr>
                <w:sz w:val="16"/>
                <w:szCs w:val="16"/>
              </w:rPr>
            </w:pPr>
          </w:p>
        </w:tc>
        <w:tc>
          <w:tcPr>
            <w:tcW w:w="2520" w:type="dxa"/>
            <w:tcBorders>
              <w:left w:val="nil"/>
              <w:right w:val="nil"/>
            </w:tcBorders>
            <w:shd w:val="clear" w:color="000000" w:fill="FFFFFF"/>
            <w:hideMark/>
          </w:tcPr>
          <w:p w:rsidR="00BB3049" w:rsidRPr="00CC6334" w:rsidRDefault="00BB3049" w:rsidP="00C97D8A">
            <w:pPr>
              <w:rPr>
                <w:sz w:val="16"/>
                <w:szCs w:val="16"/>
              </w:rPr>
            </w:pPr>
            <w:r w:rsidRPr="00CC6334">
              <w:rPr>
                <w:sz w:val="16"/>
                <w:szCs w:val="16"/>
              </w:rPr>
              <w:t>Mayor capacidad para detectar amenazas contra la seguridad de la información y dar respuesta a las mismas con mucha mayor rapidez, garantizando la mínima perturbación de las operaciones.</w:t>
            </w:r>
            <w:r w:rsidR="002E0669">
              <w:rPr>
                <w:sz w:val="16"/>
                <w:szCs w:val="16"/>
              </w:rPr>
              <w:br/>
            </w:r>
          </w:p>
        </w:tc>
        <w:tc>
          <w:tcPr>
            <w:tcW w:w="2280" w:type="dxa"/>
            <w:tcBorders>
              <w:left w:val="nil"/>
              <w:right w:val="nil"/>
            </w:tcBorders>
            <w:shd w:val="clear" w:color="000000" w:fill="FFFFFF"/>
            <w:hideMark/>
          </w:tcPr>
          <w:p w:rsidR="00BB3049" w:rsidRPr="00CC6334" w:rsidRDefault="00BB3049" w:rsidP="00C97D8A">
            <w:pPr>
              <w:rPr>
                <w:sz w:val="16"/>
                <w:szCs w:val="16"/>
              </w:rPr>
            </w:pPr>
            <w:r w:rsidRPr="00CC6334">
              <w:rPr>
                <w:sz w:val="16"/>
                <w:szCs w:val="16"/>
              </w:rPr>
              <w:t>Existencia de operaciones básicas de seguridad, estudios de amenazas en Internet y capacidad de respuesta a los incidentes.</w:t>
            </w:r>
          </w:p>
        </w:tc>
        <w:tc>
          <w:tcPr>
            <w:tcW w:w="2260" w:type="dxa"/>
            <w:tcBorders>
              <w:left w:val="nil"/>
              <w:right w:val="single" w:sz="4" w:space="0" w:color="auto"/>
            </w:tcBorders>
            <w:shd w:val="clear" w:color="000000" w:fill="FFFFFF"/>
            <w:hideMark/>
          </w:tcPr>
          <w:p w:rsidR="00BB3049" w:rsidRPr="00CC6334" w:rsidRDefault="00BB3049" w:rsidP="00F93C0E">
            <w:pPr>
              <w:rPr>
                <w:sz w:val="16"/>
                <w:szCs w:val="16"/>
              </w:rPr>
            </w:pPr>
            <w:r w:rsidRPr="00CC6334">
              <w:rPr>
                <w:sz w:val="16"/>
                <w:szCs w:val="16"/>
              </w:rPr>
              <w:t>Creación de un centro de seguridad en Internet mediante el cual se incremente en un 30% la capacidad de supervisar, detectar y dar respuesta a los incidentes de seguridad de la información.</w:t>
            </w:r>
          </w:p>
        </w:tc>
      </w:tr>
      <w:tr w:rsidR="00BB3049" w:rsidRPr="00CC6334" w:rsidTr="00F93C0E">
        <w:trPr>
          <w:trHeight w:val="895"/>
        </w:trPr>
        <w:tc>
          <w:tcPr>
            <w:tcW w:w="2060" w:type="dxa"/>
            <w:vMerge/>
            <w:tcBorders>
              <w:top w:val="nil"/>
              <w:left w:val="single" w:sz="4" w:space="0" w:color="auto"/>
              <w:bottom w:val="single" w:sz="4" w:space="0" w:color="auto"/>
              <w:right w:val="nil"/>
            </w:tcBorders>
            <w:vAlign w:val="center"/>
            <w:hideMark/>
          </w:tcPr>
          <w:p w:rsidR="00BB3049" w:rsidRPr="00CC6334" w:rsidRDefault="00BB3049" w:rsidP="00C97D8A">
            <w:pPr>
              <w:rPr>
                <w:sz w:val="16"/>
                <w:szCs w:val="16"/>
              </w:rPr>
            </w:pPr>
          </w:p>
        </w:tc>
        <w:tc>
          <w:tcPr>
            <w:tcW w:w="2520" w:type="dxa"/>
            <w:tcBorders>
              <w:top w:val="nil"/>
              <w:left w:val="nil"/>
              <w:bottom w:val="single" w:sz="4" w:space="0" w:color="auto"/>
              <w:right w:val="nil"/>
            </w:tcBorders>
            <w:shd w:val="clear" w:color="000000" w:fill="FFFFFF"/>
            <w:hideMark/>
          </w:tcPr>
          <w:p w:rsidR="00BB3049" w:rsidRPr="002D0E6B" w:rsidRDefault="002D0E6B" w:rsidP="00C97D8A">
            <w:pPr>
              <w:rPr>
                <w:sz w:val="16"/>
                <w:szCs w:val="16"/>
              </w:rPr>
            </w:pPr>
            <w:r w:rsidRPr="002D0E6B">
              <w:rPr>
                <w:sz w:val="16"/>
                <w:szCs w:val="16"/>
              </w:rPr>
              <w:t>Porcentaje de miembros del personal de la OMPI, delegados y visitantes que comunican lesiones o incidentes relacionados con el trabajo</w:t>
            </w:r>
          </w:p>
        </w:tc>
        <w:tc>
          <w:tcPr>
            <w:tcW w:w="2280" w:type="dxa"/>
            <w:tcBorders>
              <w:top w:val="nil"/>
              <w:left w:val="nil"/>
              <w:bottom w:val="single" w:sz="4" w:space="0" w:color="auto"/>
              <w:right w:val="nil"/>
            </w:tcBorders>
            <w:shd w:val="clear" w:color="000000" w:fill="FFFFFF"/>
            <w:hideMark/>
          </w:tcPr>
          <w:p w:rsidR="00BB3049" w:rsidRPr="00CC6334" w:rsidRDefault="00BB3049" w:rsidP="001C0654">
            <w:pPr>
              <w:rPr>
                <w:sz w:val="16"/>
                <w:szCs w:val="16"/>
              </w:rPr>
            </w:pPr>
            <w:r w:rsidRPr="00CC6334">
              <w:rPr>
                <w:sz w:val="16"/>
                <w:szCs w:val="16"/>
              </w:rPr>
              <w:t>El 2% o un porcentaje menor del total de sectores interesados/clientes notifica lesiones o incidentes relacionados con el entorno laboral.</w:t>
            </w:r>
          </w:p>
        </w:tc>
        <w:tc>
          <w:tcPr>
            <w:tcW w:w="2260" w:type="dxa"/>
            <w:tcBorders>
              <w:top w:val="nil"/>
              <w:left w:val="nil"/>
              <w:bottom w:val="single" w:sz="4" w:space="0" w:color="auto"/>
              <w:right w:val="single" w:sz="4" w:space="0" w:color="auto"/>
            </w:tcBorders>
            <w:shd w:val="clear" w:color="000000" w:fill="FFFFFF"/>
            <w:hideMark/>
          </w:tcPr>
          <w:p w:rsidR="00BB3049" w:rsidRPr="00CC6334" w:rsidRDefault="00BB3049" w:rsidP="00C97D8A">
            <w:pPr>
              <w:rPr>
                <w:sz w:val="16"/>
                <w:szCs w:val="16"/>
              </w:rPr>
            </w:pPr>
            <w:r w:rsidRPr="00CC6334">
              <w:rPr>
                <w:sz w:val="16"/>
                <w:szCs w:val="16"/>
              </w:rPr>
              <w:t>2% o menos.</w:t>
            </w:r>
          </w:p>
        </w:tc>
      </w:tr>
      <w:tr w:rsidR="00BB3049" w:rsidRPr="00CC6334" w:rsidTr="00F93C0E">
        <w:trPr>
          <w:trHeight w:val="1327"/>
        </w:trPr>
        <w:tc>
          <w:tcPr>
            <w:tcW w:w="2060" w:type="dxa"/>
            <w:vMerge/>
            <w:tcBorders>
              <w:top w:val="single" w:sz="4" w:space="0" w:color="auto"/>
              <w:left w:val="single" w:sz="4" w:space="0" w:color="auto"/>
              <w:bottom w:val="single" w:sz="4" w:space="0" w:color="000000"/>
              <w:right w:val="nil"/>
            </w:tcBorders>
            <w:vAlign w:val="center"/>
            <w:hideMark/>
          </w:tcPr>
          <w:p w:rsidR="00BB3049" w:rsidRPr="00CC6334" w:rsidRDefault="00BB3049" w:rsidP="00C97D8A">
            <w:pPr>
              <w:rPr>
                <w:sz w:val="16"/>
                <w:szCs w:val="16"/>
              </w:rPr>
            </w:pPr>
          </w:p>
        </w:tc>
        <w:tc>
          <w:tcPr>
            <w:tcW w:w="2520" w:type="dxa"/>
            <w:tcBorders>
              <w:top w:val="single" w:sz="4" w:space="0" w:color="auto"/>
              <w:left w:val="nil"/>
              <w:bottom w:val="single" w:sz="4" w:space="0" w:color="auto"/>
              <w:right w:val="nil"/>
            </w:tcBorders>
            <w:shd w:val="clear" w:color="000000" w:fill="FFFFFF"/>
            <w:hideMark/>
          </w:tcPr>
          <w:p w:rsidR="00BB3049" w:rsidRPr="00CC6334" w:rsidRDefault="00783702" w:rsidP="00C97D8A">
            <w:pPr>
              <w:rPr>
                <w:sz w:val="16"/>
                <w:szCs w:val="16"/>
              </w:rPr>
            </w:pPr>
            <w:r>
              <w:rPr>
                <w:sz w:val="16"/>
                <w:szCs w:val="16"/>
              </w:rPr>
              <w:br/>
            </w:r>
            <w:r w:rsidR="00BB3049" w:rsidRPr="00CC6334">
              <w:rPr>
                <w:sz w:val="16"/>
                <w:szCs w:val="16"/>
              </w:rPr>
              <w:t>Porcentaje de peticiones de asistencia relativa a la seguridad atendidas puntualmente en las conferencias o actividades organizadas en Ginebra o en otros lugares.</w:t>
            </w:r>
          </w:p>
        </w:tc>
        <w:tc>
          <w:tcPr>
            <w:tcW w:w="2280" w:type="dxa"/>
            <w:tcBorders>
              <w:top w:val="single" w:sz="4" w:space="0" w:color="auto"/>
              <w:left w:val="nil"/>
              <w:bottom w:val="single" w:sz="4" w:space="0" w:color="auto"/>
              <w:right w:val="nil"/>
            </w:tcBorders>
            <w:shd w:val="clear" w:color="000000" w:fill="FFFFFF"/>
            <w:hideMark/>
          </w:tcPr>
          <w:p w:rsidR="00BB3049" w:rsidRDefault="00783702" w:rsidP="00C97D8A">
            <w:pPr>
              <w:rPr>
                <w:sz w:val="16"/>
                <w:szCs w:val="16"/>
              </w:rPr>
            </w:pPr>
            <w:r>
              <w:rPr>
                <w:sz w:val="16"/>
                <w:szCs w:val="16"/>
              </w:rPr>
              <w:br/>
            </w:r>
            <w:r w:rsidR="00BB3049" w:rsidRPr="00CC6334">
              <w:rPr>
                <w:sz w:val="16"/>
                <w:szCs w:val="16"/>
              </w:rPr>
              <w:t>Se atiende puntualmente el 90% o más del total de las peticiones de asistencia de seguridad y vigilancia de los sectores interesados/clientes en las conferencias o actos celebrados dentro o fuera de Ginebra.</w:t>
            </w:r>
          </w:p>
          <w:p w:rsidR="00783702" w:rsidRPr="00CC6334" w:rsidRDefault="00783702" w:rsidP="00C97D8A">
            <w:pPr>
              <w:rPr>
                <w:sz w:val="16"/>
                <w:szCs w:val="16"/>
              </w:rPr>
            </w:pPr>
          </w:p>
        </w:tc>
        <w:tc>
          <w:tcPr>
            <w:tcW w:w="2260" w:type="dxa"/>
            <w:tcBorders>
              <w:top w:val="single" w:sz="4" w:space="0" w:color="auto"/>
              <w:left w:val="nil"/>
              <w:bottom w:val="single" w:sz="4" w:space="0" w:color="auto"/>
              <w:right w:val="single" w:sz="4" w:space="0" w:color="auto"/>
            </w:tcBorders>
            <w:shd w:val="clear" w:color="000000" w:fill="FFFFFF"/>
            <w:hideMark/>
          </w:tcPr>
          <w:p w:rsidR="00BB3049" w:rsidRPr="00CC6334" w:rsidRDefault="002E0669" w:rsidP="00C97D8A">
            <w:pPr>
              <w:rPr>
                <w:sz w:val="16"/>
                <w:szCs w:val="16"/>
              </w:rPr>
            </w:pPr>
            <w:r>
              <w:rPr>
                <w:sz w:val="16"/>
                <w:szCs w:val="16"/>
              </w:rPr>
              <w:br/>
            </w:r>
            <w:r w:rsidR="00BB3049" w:rsidRPr="00CC6334">
              <w:rPr>
                <w:sz w:val="16"/>
                <w:szCs w:val="16"/>
              </w:rPr>
              <w:t>90% o más.</w:t>
            </w:r>
          </w:p>
        </w:tc>
      </w:tr>
    </w:tbl>
    <w:p w:rsidR="00440E91" w:rsidRDefault="00440E91" w:rsidP="00336FF1">
      <w:pPr>
        <w:shd w:val="clear" w:color="auto" w:fill="FFFFFF"/>
        <w:tabs>
          <w:tab w:val="left" w:pos="709"/>
        </w:tabs>
        <w:suppressAutoHyphens/>
        <w:jc w:val="both"/>
        <w:rPr>
          <w:szCs w:val="22"/>
        </w:rPr>
      </w:pPr>
    </w:p>
    <w:p w:rsidR="00BB3049" w:rsidRDefault="00BB3049" w:rsidP="00336FF1">
      <w:pPr>
        <w:shd w:val="clear" w:color="auto" w:fill="FFFFFF"/>
        <w:tabs>
          <w:tab w:val="left" w:pos="709"/>
        </w:tabs>
        <w:suppressAutoHyphens/>
        <w:jc w:val="both"/>
        <w:rPr>
          <w:szCs w:val="22"/>
        </w:rPr>
      </w:pPr>
    </w:p>
    <w:p w:rsidR="00BB3049" w:rsidRPr="003F46BE" w:rsidRDefault="003F46BE" w:rsidP="00BB3049">
      <w:pPr>
        <w:rPr>
          <w:sz w:val="20"/>
        </w:rPr>
      </w:pPr>
      <w:r>
        <w:t>RECURSOS PARA EL PROGRAMA</w:t>
      </w:r>
      <w:r w:rsidR="00BB3049" w:rsidRPr="003F46BE">
        <w:t xml:space="preserve"> 28</w:t>
      </w:r>
    </w:p>
    <w:p w:rsidR="00BB3049" w:rsidRPr="00783702" w:rsidRDefault="00BB3049" w:rsidP="00BB3049">
      <w:pPr>
        <w:pStyle w:val="Default"/>
        <w:rPr>
          <w:sz w:val="20"/>
          <w:szCs w:val="28"/>
          <w:lang w:val="es-ES"/>
        </w:rPr>
      </w:pPr>
    </w:p>
    <w:p w:rsidR="003F46BE" w:rsidRPr="003F46BE" w:rsidRDefault="003F46BE" w:rsidP="003F46BE">
      <w:pPr>
        <w:pStyle w:val="ListParagraph"/>
        <w:numPr>
          <w:ilvl w:val="0"/>
          <w:numId w:val="50"/>
        </w:numPr>
        <w:tabs>
          <w:tab w:val="left" w:pos="709"/>
        </w:tabs>
        <w:ind w:left="0" w:firstLine="0"/>
        <w:jc w:val="both"/>
        <w:rPr>
          <w:rFonts w:ascii="Arial" w:hAnsi="Arial" w:cs="Arial"/>
          <w:sz w:val="20"/>
          <w:lang w:val="es-ES"/>
        </w:rPr>
      </w:pPr>
      <w:r w:rsidRPr="003F46BE">
        <w:rPr>
          <w:rFonts w:ascii="Arial" w:hAnsi="Arial" w:cs="Arial"/>
          <w:sz w:val="20"/>
          <w:szCs w:val="20"/>
          <w:lang w:val="es-ES"/>
        </w:rPr>
        <w:t>En el marco del programa puede observarse un incremento global de 6,9 millones de francos suizos con respecto al presupuesto de 2014/</w:t>
      </w:r>
      <w:r w:rsidR="00ED0A05">
        <w:rPr>
          <w:rFonts w:ascii="Arial" w:hAnsi="Arial" w:cs="Arial"/>
          <w:sz w:val="20"/>
          <w:szCs w:val="20"/>
          <w:lang w:val="es-ES"/>
        </w:rPr>
        <w:t>15 tras las</w:t>
      </w:r>
      <w:r w:rsidRPr="003F46BE">
        <w:rPr>
          <w:rFonts w:ascii="Arial" w:hAnsi="Arial" w:cs="Arial"/>
          <w:sz w:val="20"/>
          <w:szCs w:val="20"/>
          <w:lang w:val="es-ES"/>
        </w:rPr>
        <w:t xml:space="preserve"> transferencias.  El aumento se debe principalmente al traspaso del aseguramiento de la información desde el programa 25 (tecnologías de la información y la comunicación) a</w:t>
      </w:r>
      <w:r w:rsidR="006F39F7">
        <w:rPr>
          <w:rFonts w:ascii="Arial" w:hAnsi="Arial" w:cs="Arial"/>
          <w:sz w:val="20"/>
          <w:szCs w:val="20"/>
          <w:lang w:val="es-ES"/>
        </w:rPr>
        <w:t xml:space="preserve"> este</w:t>
      </w:r>
      <w:r w:rsidRPr="003F46BE">
        <w:rPr>
          <w:rFonts w:ascii="Arial" w:hAnsi="Arial" w:cs="Arial"/>
          <w:sz w:val="20"/>
          <w:szCs w:val="20"/>
          <w:lang w:val="es-ES"/>
        </w:rPr>
        <w:t xml:space="preserve"> programa.  Esto se refleja fundamentalmente en el marco de los recursos de personal y en el del resultado previsto IX.4.</w:t>
      </w:r>
    </w:p>
    <w:p w:rsidR="003F46BE" w:rsidRPr="003F46BE" w:rsidRDefault="003F46BE" w:rsidP="003F46BE">
      <w:pPr>
        <w:pStyle w:val="ListParagraph"/>
        <w:tabs>
          <w:tab w:val="left" w:pos="709"/>
        </w:tabs>
        <w:ind w:left="0"/>
        <w:jc w:val="both"/>
        <w:rPr>
          <w:rFonts w:ascii="Arial" w:hAnsi="Arial" w:cs="Arial"/>
          <w:sz w:val="20"/>
          <w:lang w:val="es-ES"/>
        </w:rPr>
      </w:pPr>
    </w:p>
    <w:p w:rsidR="003F46BE" w:rsidRPr="00CC6334" w:rsidRDefault="003F46BE" w:rsidP="003F46BE">
      <w:pPr>
        <w:pStyle w:val="ListParagraph"/>
        <w:numPr>
          <w:ilvl w:val="0"/>
          <w:numId w:val="50"/>
        </w:numPr>
        <w:tabs>
          <w:tab w:val="left" w:pos="709"/>
        </w:tabs>
        <w:ind w:left="0" w:firstLine="0"/>
        <w:jc w:val="both"/>
        <w:rPr>
          <w:rFonts w:ascii="Arial" w:hAnsi="Arial" w:cs="Arial"/>
          <w:sz w:val="20"/>
          <w:lang w:val="es-ES"/>
        </w:rPr>
      </w:pPr>
      <w:r w:rsidRPr="003F46BE">
        <w:rPr>
          <w:rFonts w:ascii="Arial" w:hAnsi="Arial" w:cs="Arial"/>
          <w:sz w:val="20"/>
          <w:szCs w:val="20"/>
          <w:lang w:val="es-ES"/>
        </w:rPr>
        <w:t xml:space="preserve">En 2016/17, el aumento en los recursos </w:t>
      </w:r>
      <w:r w:rsidR="00DE0A62">
        <w:rPr>
          <w:rFonts w:ascii="Arial" w:hAnsi="Arial" w:cs="Arial"/>
          <w:sz w:val="20"/>
          <w:szCs w:val="20"/>
          <w:lang w:val="es-ES"/>
        </w:rPr>
        <w:t>no relativos a personal</w:t>
      </w:r>
      <w:r w:rsidRPr="003F46BE">
        <w:rPr>
          <w:rFonts w:ascii="Arial" w:hAnsi="Arial" w:cs="Arial"/>
          <w:sz w:val="20"/>
          <w:szCs w:val="20"/>
          <w:lang w:val="es-ES"/>
        </w:rPr>
        <w:t xml:space="preserve"> refleja una asignación adicional de aproximadamente 4 millones de francos suizos destinados a la aplicación de estrategias de aseguramiento de la información.  El mayor hincapié en potenciar las responsabilidades en materia de aseguramiento de la información se refleja mediante la contribución del programa al resultado previsto IX.1</w:t>
      </w:r>
      <w:r>
        <w:rPr>
          <w:rFonts w:ascii="Arial" w:hAnsi="Arial" w:cs="Arial"/>
          <w:sz w:val="20"/>
          <w:szCs w:val="20"/>
          <w:lang w:val="es-ES"/>
        </w:rPr>
        <w:t>.</w:t>
      </w:r>
    </w:p>
    <w:p w:rsidR="003F46BE" w:rsidRPr="003F46BE" w:rsidRDefault="003F46BE" w:rsidP="00BB3049">
      <w:pPr>
        <w:pStyle w:val="Default"/>
        <w:rPr>
          <w:sz w:val="20"/>
          <w:szCs w:val="28"/>
          <w:lang w:val="es-ES"/>
        </w:rPr>
      </w:pPr>
    </w:p>
    <w:p w:rsidR="00BB3049" w:rsidRPr="00E61A24" w:rsidRDefault="00BB3049" w:rsidP="00BB3049">
      <w:pPr>
        <w:pStyle w:val="ListParagraph"/>
        <w:rPr>
          <w:rFonts w:ascii="Arial" w:hAnsi="Arial" w:cs="Arial"/>
          <w:sz w:val="20"/>
          <w:highlight w:val="lightGray"/>
          <w:lang w:val="es-ES"/>
        </w:rPr>
      </w:pPr>
    </w:p>
    <w:p w:rsidR="00BB3049" w:rsidRPr="003F46BE" w:rsidRDefault="00BB3049" w:rsidP="00BB3049">
      <w:pPr>
        <w:tabs>
          <w:tab w:val="left" w:pos="1427"/>
        </w:tabs>
        <w:jc w:val="center"/>
        <w:rPr>
          <w:sz w:val="20"/>
        </w:rPr>
      </w:pPr>
      <w:r w:rsidRPr="003F46BE">
        <w:rPr>
          <w:b/>
          <w:sz w:val="20"/>
          <w:szCs w:val="24"/>
        </w:rPr>
        <w:t>Program</w:t>
      </w:r>
      <w:r w:rsidR="003F46BE" w:rsidRPr="003F46BE">
        <w:rPr>
          <w:b/>
          <w:sz w:val="20"/>
          <w:szCs w:val="24"/>
        </w:rPr>
        <w:t>a</w:t>
      </w:r>
      <w:r w:rsidRPr="003F46BE">
        <w:rPr>
          <w:b/>
          <w:sz w:val="20"/>
          <w:szCs w:val="24"/>
        </w:rPr>
        <w:t xml:space="preserve"> 28</w:t>
      </w:r>
      <w:proofErr w:type="gramStart"/>
      <w:r w:rsidRPr="003F46BE">
        <w:rPr>
          <w:b/>
          <w:sz w:val="20"/>
          <w:szCs w:val="24"/>
        </w:rPr>
        <w:t xml:space="preserve">:  </w:t>
      </w:r>
      <w:r w:rsidR="003F46BE" w:rsidRPr="003F46BE">
        <w:rPr>
          <w:b/>
          <w:sz w:val="20"/>
          <w:szCs w:val="24"/>
        </w:rPr>
        <w:t>Recursos</w:t>
      </w:r>
      <w:proofErr w:type="gramEnd"/>
      <w:r w:rsidR="003F46BE" w:rsidRPr="003F46BE">
        <w:rPr>
          <w:b/>
          <w:sz w:val="20"/>
          <w:szCs w:val="24"/>
        </w:rPr>
        <w:t xml:space="preserve"> por resultado</w:t>
      </w:r>
    </w:p>
    <w:p w:rsidR="00BB3049" w:rsidRPr="003F46BE" w:rsidRDefault="00BB3049" w:rsidP="00BB3049">
      <w:pPr>
        <w:tabs>
          <w:tab w:val="left" w:pos="1427"/>
        </w:tabs>
        <w:jc w:val="center"/>
        <w:rPr>
          <w:i/>
          <w:sz w:val="20"/>
          <w:szCs w:val="24"/>
        </w:rPr>
      </w:pPr>
      <w:r w:rsidRPr="003F46BE">
        <w:rPr>
          <w:i/>
          <w:sz w:val="20"/>
          <w:szCs w:val="24"/>
        </w:rPr>
        <w:t>(</w:t>
      </w:r>
      <w:proofErr w:type="gramStart"/>
      <w:r w:rsidR="003F46BE" w:rsidRPr="003F46BE">
        <w:rPr>
          <w:i/>
          <w:sz w:val="20"/>
          <w:szCs w:val="24"/>
        </w:rPr>
        <w:t>en</w:t>
      </w:r>
      <w:proofErr w:type="gramEnd"/>
      <w:r w:rsidR="003F46BE" w:rsidRPr="003F46BE">
        <w:rPr>
          <w:i/>
          <w:sz w:val="20"/>
          <w:szCs w:val="24"/>
        </w:rPr>
        <w:t xml:space="preserve"> miles de francos suizos</w:t>
      </w:r>
      <w:r w:rsidRPr="003F46BE">
        <w:rPr>
          <w:i/>
          <w:sz w:val="20"/>
          <w:szCs w:val="24"/>
        </w:rPr>
        <w:t>)</w:t>
      </w:r>
    </w:p>
    <w:p w:rsidR="00BB3049" w:rsidRPr="003F46BE" w:rsidRDefault="00BB3049" w:rsidP="00BB3049">
      <w:pPr>
        <w:tabs>
          <w:tab w:val="left" w:pos="1427"/>
        </w:tabs>
        <w:jc w:val="center"/>
        <w:rPr>
          <w:i/>
          <w:sz w:val="20"/>
          <w:szCs w:val="24"/>
          <w:highlight w:val="lightGray"/>
        </w:rPr>
      </w:pPr>
    </w:p>
    <w:p w:rsidR="00BB3049" w:rsidRPr="00BB3049" w:rsidRDefault="002E0669" w:rsidP="00BB3049">
      <w:pPr>
        <w:tabs>
          <w:tab w:val="left" w:pos="1427"/>
        </w:tabs>
        <w:jc w:val="center"/>
        <w:rPr>
          <w:i/>
          <w:sz w:val="20"/>
          <w:szCs w:val="24"/>
          <w:highlight w:val="lightGray"/>
        </w:rPr>
      </w:pPr>
      <w:r w:rsidRPr="002E0669">
        <w:rPr>
          <w:noProof/>
          <w:lang w:val="en-US" w:eastAsia="en-US"/>
        </w:rPr>
        <w:drawing>
          <wp:inline distT="0" distB="0" distL="0" distR="0">
            <wp:extent cx="5677535" cy="1844675"/>
            <wp:effectExtent l="0" t="0" r="0" b="31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677535" cy="1844675"/>
                    </a:xfrm>
                    <a:prstGeom prst="rect">
                      <a:avLst/>
                    </a:prstGeom>
                    <a:noFill/>
                    <a:ln>
                      <a:noFill/>
                    </a:ln>
                  </pic:spPr>
                </pic:pic>
              </a:graphicData>
            </a:graphic>
          </wp:inline>
        </w:drawing>
      </w:r>
    </w:p>
    <w:p w:rsidR="00BB3049" w:rsidRPr="00BB3049" w:rsidRDefault="00BB3049" w:rsidP="00BB3049">
      <w:pPr>
        <w:tabs>
          <w:tab w:val="left" w:pos="1427"/>
        </w:tabs>
        <w:jc w:val="center"/>
        <w:rPr>
          <w:i/>
          <w:sz w:val="20"/>
          <w:szCs w:val="24"/>
          <w:highlight w:val="lightGray"/>
        </w:rPr>
      </w:pPr>
    </w:p>
    <w:p w:rsidR="00BB3049" w:rsidRPr="00BB3049" w:rsidRDefault="00BB3049" w:rsidP="00BB3049">
      <w:pPr>
        <w:tabs>
          <w:tab w:val="left" w:pos="1427"/>
        </w:tabs>
        <w:jc w:val="center"/>
        <w:rPr>
          <w:i/>
          <w:sz w:val="20"/>
          <w:szCs w:val="24"/>
          <w:highlight w:val="lightGray"/>
        </w:rPr>
      </w:pPr>
    </w:p>
    <w:p w:rsidR="00BB3049" w:rsidRPr="00071638" w:rsidRDefault="00BB3049" w:rsidP="00BB3049">
      <w:pPr>
        <w:keepNext/>
        <w:keepLines/>
        <w:tabs>
          <w:tab w:val="left" w:pos="1427"/>
        </w:tabs>
        <w:jc w:val="center"/>
        <w:rPr>
          <w:sz w:val="20"/>
        </w:rPr>
      </w:pPr>
      <w:r w:rsidRPr="00071638">
        <w:rPr>
          <w:b/>
          <w:sz w:val="20"/>
          <w:szCs w:val="24"/>
        </w:rPr>
        <w:lastRenderedPageBreak/>
        <w:t>Program</w:t>
      </w:r>
      <w:r w:rsidR="00071638" w:rsidRPr="00071638">
        <w:rPr>
          <w:b/>
          <w:sz w:val="20"/>
          <w:szCs w:val="24"/>
        </w:rPr>
        <w:t>a</w:t>
      </w:r>
      <w:r w:rsidRPr="00071638">
        <w:rPr>
          <w:b/>
          <w:sz w:val="20"/>
          <w:szCs w:val="24"/>
        </w:rPr>
        <w:t xml:space="preserve"> 28</w:t>
      </w:r>
      <w:proofErr w:type="gramStart"/>
      <w:r w:rsidRPr="00071638">
        <w:rPr>
          <w:b/>
          <w:sz w:val="20"/>
          <w:szCs w:val="24"/>
        </w:rPr>
        <w:t xml:space="preserve">:  </w:t>
      </w:r>
      <w:r w:rsidR="00071638" w:rsidRPr="00071638">
        <w:rPr>
          <w:b/>
          <w:sz w:val="20"/>
          <w:szCs w:val="24"/>
        </w:rPr>
        <w:t>Recursos</w:t>
      </w:r>
      <w:proofErr w:type="gramEnd"/>
      <w:r w:rsidR="00071638" w:rsidRPr="00071638">
        <w:rPr>
          <w:b/>
          <w:sz w:val="20"/>
          <w:szCs w:val="24"/>
        </w:rPr>
        <w:t xml:space="preserve"> por objeto de gasto</w:t>
      </w:r>
    </w:p>
    <w:p w:rsidR="00BB3049" w:rsidRPr="00071638" w:rsidRDefault="00BB3049" w:rsidP="00BB3049">
      <w:pPr>
        <w:keepNext/>
        <w:keepLines/>
        <w:tabs>
          <w:tab w:val="left" w:pos="1427"/>
        </w:tabs>
        <w:jc w:val="center"/>
        <w:rPr>
          <w:i/>
          <w:sz w:val="20"/>
          <w:szCs w:val="24"/>
        </w:rPr>
      </w:pPr>
      <w:r w:rsidRPr="00071638">
        <w:rPr>
          <w:i/>
          <w:sz w:val="20"/>
          <w:szCs w:val="24"/>
        </w:rPr>
        <w:t>(</w:t>
      </w:r>
      <w:proofErr w:type="gramStart"/>
      <w:r w:rsidR="00071638" w:rsidRPr="00071638">
        <w:rPr>
          <w:i/>
          <w:sz w:val="20"/>
          <w:szCs w:val="24"/>
        </w:rPr>
        <w:t>en</w:t>
      </w:r>
      <w:proofErr w:type="gramEnd"/>
      <w:r w:rsidR="00071638" w:rsidRPr="00071638">
        <w:rPr>
          <w:i/>
          <w:sz w:val="20"/>
          <w:szCs w:val="24"/>
        </w:rPr>
        <w:t xml:space="preserve"> miles de francos suizos</w:t>
      </w:r>
      <w:r w:rsidRPr="00071638">
        <w:rPr>
          <w:i/>
          <w:sz w:val="20"/>
          <w:szCs w:val="24"/>
        </w:rPr>
        <w:t>)</w:t>
      </w:r>
    </w:p>
    <w:p w:rsidR="00BB3049" w:rsidRPr="00071638" w:rsidRDefault="00BB3049" w:rsidP="00BB3049">
      <w:pPr>
        <w:keepNext/>
        <w:keepLines/>
        <w:tabs>
          <w:tab w:val="left" w:pos="1427"/>
        </w:tabs>
        <w:jc w:val="center"/>
        <w:rPr>
          <w:i/>
          <w:sz w:val="20"/>
          <w:szCs w:val="24"/>
          <w:highlight w:val="lightGray"/>
        </w:rPr>
      </w:pPr>
    </w:p>
    <w:p w:rsidR="00BB3049" w:rsidRPr="002F58D0" w:rsidRDefault="00835617" w:rsidP="00BB3049">
      <w:pPr>
        <w:keepNext/>
        <w:keepLines/>
        <w:tabs>
          <w:tab w:val="left" w:pos="1427"/>
        </w:tabs>
        <w:jc w:val="center"/>
        <w:rPr>
          <w:i/>
          <w:sz w:val="20"/>
          <w:szCs w:val="24"/>
        </w:rPr>
      </w:pPr>
      <w:r>
        <w:rPr>
          <w:noProof/>
          <w:lang w:val="en-US" w:eastAsia="en-US"/>
        </w:rPr>
        <w:drawing>
          <wp:inline distT="0" distB="0" distL="0" distR="0" wp14:anchorId="3D74A33F" wp14:editId="3EA77C7B">
            <wp:extent cx="5940425" cy="6080050"/>
            <wp:effectExtent l="0" t="0" r="3175"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940425" cy="6080050"/>
                    </a:xfrm>
                    <a:prstGeom prst="rect">
                      <a:avLst/>
                    </a:prstGeom>
                    <a:noFill/>
                    <a:ln>
                      <a:noFill/>
                    </a:ln>
                  </pic:spPr>
                </pic:pic>
              </a:graphicData>
            </a:graphic>
          </wp:inline>
        </w:drawing>
      </w:r>
    </w:p>
    <w:p w:rsidR="00BB3049" w:rsidRPr="002F58D0" w:rsidRDefault="00BB3049" w:rsidP="00BB3049">
      <w:pPr>
        <w:tabs>
          <w:tab w:val="left" w:pos="709"/>
        </w:tabs>
        <w:jc w:val="both"/>
        <w:rPr>
          <w:sz w:val="20"/>
        </w:rPr>
      </w:pPr>
    </w:p>
    <w:p w:rsidR="00BB3049" w:rsidRDefault="00BB3049" w:rsidP="00BB3049">
      <w:pPr>
        <w:autoSpaceDE w:val="0"/>
        <w:autoSpaceDN w:val="0"/>
        <w:adjustRightInd w:val="0"/>
        <w:rPr>
          <w:sz w:val="20"/>
        </w:rPr>
      </w:pPr>
    </w:p>
    <w:p w:rsidR="00434A47" w:rsidRDefault="00434A47" w:rsidP="00336FF1">
      <w:pPr>
        <w:shd w:val="clear" w:color="auto" w:fill="FFFFFF"/>
        <w:tabs>
          <w:tab w:val="left" w:pos="709"/>
        </w:tabs>
        <w:suppressAutoHyphens/>
        <w:jc w:val="both"/>
        <w:rPr>
          <w:szCs w:val="22"/>
        </w:rPr>
        <w:sectPr w:rsidR="00434A47" w:rsidSect="00272D37">
          <w:pgSz w:w="11907" w:h="16840" w:code="9"/>
          <w:pgMar w:top="567" w:right="1134" w:bottom="1134" w:left="1418" w:header="510" w:footer="1021" w:gutter="0"/>
          <w:cols w:space="720"/>
          <w:titlePg/>
          <w:docGrid w:linePitch="299"/>
        </w:sectPr>
      </w:pPr>
    </w:p>
    <w:p w:rsidR="00434A47" w:rsidRPr="006F39F7" w:rsidRDefault="00434A47" w:rsidP="00434A47">
      <w:pPr>
        <w:pStyle w:val="Heading1"/>
        <w:keepNext w:val="0"/>
        <w:tabs>
          <w:tab w:val="num" w:pos="709"/>
        </w:tabs>
        <w:ind w:left="1134" w:hanging="1134"/>
        <w:rPr>
          <w:szCs w:val="22"/>
        </w:rPr>
      </w:pPr>
      <w:bookmarkStart w:id="83" w:name="_Toc356567785"/>
      <w:bookmarkStart w:id="84" w:name="_Toc367350611"/>
      <w:bookmarkStart w:id="85" w:name="_Toc419283279"/>
      <w:bookmarkStart w:id="86" w:name="_Toc420681169"/>
      <w:bookmarkStart w:id="87" w:name="_Toc293334839"/>
      <w:bookmarkStart w:id="88" w:name="_Toc298920421"/>
      <w:r w:rsidRPr="006F39F7">
        <w:rPr>
          <w:szCs w:val="22"/>
        </w:rPr>
        <w:lastRenderedPageBreak/>
        <w:t>III.</w:t>
      </w:r>
      <w:r w:rsidRPr="006F39F7">
        <w:rPr>
          <w:szCs w:val="22"/>
        </w:rPr>
        <w:tab/>
        <w:t>ANEXOS</w:t>
      </w:r>
      <w:bookmarkEnd w:id="83"/>
      <w:bookmarkEnd w:id="84"/>
      <w:bookmarkEnd w:id="85"/>
      <w:bookmarkEnd w:id="86"/>
    </w:p>
    <w:p w:rsidR="00434A47" w:rsidRPr="006F39F7" w:rsidRDefault="00434A47" w:rsidP="00434A47">
      <w:pPr>
        <w:rPr>
          <w:szCs w:val="22"/>
          <w:lang w:eastAsia="en-US"/>
        </w:rPr>
      </w:pPr>
    </w:p>
    <w:bookmarkEnd w:id="87"/>
    <w:bookmarkEnd w:id="88"/>
    <w:p w:rsidR="00434A47" w:rsidRPr="006F39F7" w:rsidRDefault="00434A47" w:rsidP="00434A47">
      <w:pPr>
        <w:rPr>
          <w:caps/>
          <w:szCs w:val="22"/>
        </w:rPr>
      </w:pPr>
    </w:p>
    <w:p w:rsidR="00BB3049" w:rsidRPr="00C155C9" w:rsidRDefault="00C97D8A" w:rsidP="006F39F7">
      <w:pPr>
        <w:pStyle w:val="StyleHeading3ComplexItalic"/>
        <w:keepNext w:val="0"/>
        <w:tabs>
          <w:tab w:val="clear" w:pos="1985"/>
          <w:tab w:val="left" w:pos="-1276"/>
        </w:tabs>
        <w:ind w:left="1560" w:hanging="1560"/>
        <w:rPr>
          <w:caps w:val="0"/>
          <w:lang w:val="es-ES"/>
        </w:rPr>
      </w:pPr>
      <w:bookmarkStart w:id="89" w:name="_Toc419283280"/>
      <w:bookmarkStart w:id="90" w:name="_Toc420681170"/>
      <w:r w:rsidRPr="00C155C9">
        <w:rPr>
          <w:caps w:val="0"/>
          <w:lang w:val="es-ES"/>
        </w:rPr>
        <w:t>ANEX</w:t>
      </w:r>
      <w:r w:rsidR="000F4331" w:rsidRPr="00C155C9">
        <w:rPr>
          <w:caps w:val="0"/>
          <w:lang w:val="es-ES"/>
        </w:rPr>
        <w:t>O</w:t>
      </w:r>
      <w:r w:rsidRPr="00C155C9">
        <w:rPr>
          <w:caps w:val="0"/>
          <w:lang w:val="es-ES"/>
        </w:rPr>
        <w:t xml:space="preserve"> I</w:t>
      </w:r>
      <w:r w:rsidRPr="00C155C9">
        <w:rPr>
          <w:caps w:val="0"/>
          <w:lang w:val="es-ES"/>
        </w:rPr>
        <w:tab/>
      </w:r>
      <w:r w:rsidR="001B0668" w:rsidRPr="00C155C9">
        <w:rPr>
          <w:caps w:val="0"/>
          <w:lang w:val="es-ES"/>
        </w:rPr>
        <w:t xml:space="preserve">PRESUPUESTO </w:t>
      </w:r>
      <w:r w:rsidRPr="00C155C9">
        <w:rPr>
          <w:caps w:val="0"/>
          <w:lang w:val="es-ES"/>
        </w:rPr>
        <w:t xml:space="preserve">2014/15 </w:t>
      </w:r>
      <w:r w:rsidR="009E58E8">
        <w:rPr>
          <w:caps w:val="0"/>
          <w:lang w:val="es-ES"/>
        </w:rPr>
        <w:t>TRAS</w:t>
      </w:r>
      <w:r w:rsidR="001B0668" w:rsidRPr="00C155C9">
        <w:rPr>
          <w:caps w:val="0"/>
          <w:lang w:val="es-ES"/>
        </w:rPr>
        <w:t xml:space="preserve"> LAS TRANSFERENCIAS, POR PROGRAMA</w:t>
      </w:r>
      <w:bookmarkEnd w:id="89"/>
      <w:bookmarkEnd w:id="90"/>
    </w:p>
    <w:p w:rsidR="001B0668" w:rsidRPr="00984EFC" w:rsidRDefault="001B0668" w:rsidP="00984EFC">
      <w:pPr>
        <w:rPr>
          <w:sz w:val="20"/>
        </w:rPr>
      </w:pPr>
    </w:p>
    <w:p w:rsidR="001B0668" w:rsidRPr="00984EFC" w:rsidRDefault="001B0668" w:rsidP="00984EFC">
      <w:pPr>
        <w:rPr>
          <w:sz w:val="20"/>
        </w:rPr>
      </w:pPr>
    </w:p>
    <w:p w:rsidR="001B0668" w:rsidRPr="00C155C9" w:rsidRDefault="001B0668" w:rsidP="001B0668">
      <w:pPr>
        <w:jc w:val="center"/>
        <w:rPr>
          <w:b/>
          <w:sz w:val="20"/>
          <w:szCs w:val="16"/>
        </w:rPr>
      </w:pPr>
      <w:r w:rsidRPr="00C155C9">
        <w:rPr>
          <w:b/>
          <w:sz w:val="20"/>
          <w:szCs w:val="16"/>
        </w:rPr>
        <w:t xml:space="preserve">Cuadro 8.  Presupuesto 2014/15 </w:t>
      </w:r>
      <w:r w:rsidR="009E58E8">
        <w:rPr>
          <w:b/>
          <w:sz w:val="20"/>
          <w:szCs w:val="16"/>
        </w:rPr>
        <w:t>tras</w:t>
      </w:r>
      <w:r w:rsidRPr="00C155C9">
        <w:rPr>
          <w:b/>
          <w:sz w:val="20"/>
          <w:szCs w:val="16"/>
        </w:rPr>
        <w:t xml:space="preserve"> las transferencias, por programa</w:t>
      </w:r>
    </w:p>
    <w:p w:rsidR="001B0668" w:rsidRPr="00C155C9" w:rsidRDefault="001B0668" w:rsidP="001B0668">
      <w:pPr>
        <w:jc w:val="center"/>
        <w:rPr>
          <w:i/>
          <w:sz w:val="20"/>
          <w:szCs w:val="16"/>
        </w:rPr>
      </w:pPr>
      <w:r w:rsidRPr="00C155C9">
        <w:rPr>
          <w:i/>
          <w:sz w:val="20"/>
          <w:szCs w:val="16"/>
        </w:rPr>
        <w:t>(</w:t>
      </w:r>
      <w:proofErr w:type="gramStart"/>
      <w:r w:rsidRPr="00C155C9">
        <w:rPr>
          <w:i/>
          <w:sz w:val="20"/>
          <w:szCs w:val="16"/>
        </w:rPr>
        <w:t>en</w:t>
      </w:r>
      <w:proofErr w:type="gramEnd"/>
      <w:r w:rsidRPr="00C155C9">
        <w:rPr>
          <w:i/>
          <w:sz w:val="20"/>
          <w:szCs w:val="16"/>
        </w:rPr>
        <w:t xml:space="preserve"> miles de francos suizos)</w:t>
      </w:r>
    </w:p>
    <w:p w:rsidR="001B0668" w:rsidRPr="007954E3" w:rsidRDefault="001B0668" w:rsidP="001B0668">
      <w:pPr>
        <w:jc w:val="center"/>
        <w:rPr>
          <w:i/>
          <w:color w:val="244061" w:themeColor="accent1" w:themeShade="80"/>
          <w:sz w:val="16"/>
          <w:szCs w:val="16"/>
        </w:rPr>
      </w:pPr>
    </w:p>
    <w:p w:rsidR="001B0668" w:rsidRPr="00775FAA" w:rsidRDefault="003B754B" w:rsidP="001B0668">
      <w:pPr>
        <w:jc w:val="center"/>
        <w:rPr>
          <w:color w:val="808080"/>
          <w:sz w:val="20"/>
        </w:rPr>
      </w:pPr>
      <w:r>
        <w:rPr>
          <w:noProof/>
          <w:lang w:val="en-US" w:eastAsia="en-US"/>
        </w:rPr>
        <w:drawing>
          <wp:inline distT="0" distB="0" distL="0" distR="0" wp14:anchorId="3A5F574C" wp14:editId="76A4C590">
            <wp:extent cx="5940425" cy="4705375"/>
            <wp:effectExtent l="0" t="0" r="3175"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940425" cy="4705375"/>
                    </a:xfrm>
                    <a:prstGeom prst="rect">
                      <a:avLst/>
                    </a:prstGeom>
                    <a:noFill/>
                    <a:ln>
                      <a:noFill/>
                    </a:ln>
                  </pic:spPr>
                </pic:pic>
              </a:graphicData>
            </a:graphic>
          </wp:inline>
        </w:drawing>
      </w:r>
    </w:p>
    <w:p w:rsidR="001B0668" w:rsidRDefault="001B0668" w:rsidP="001B0668">
      <w:pPr>
        <w:rPr>
          <w:i/>
          <w:sz w:val="16"/>
          <w:szCs w:val="14"/>
        </w:rPr>
      </w:pPr>
    </w:p>
    <w:p w:rsidR="001B0668" w:rsidRPr="00E61383" w:rsidRDefault="001B0668" w:rsidP="001B0668">
      <w:pPr>
        <w:rPr>
          <w:i/>
          <w:sz w:val="16"/>
          <w:szCs w:val="14"/>
        </w:rPr>
      </w:pPr>
      <w:r w:rsidRPr="00E61383">
        <w:rPr>
          <w:i/>
          <w:sz w:val="16"/>
          <w:szCs w:val="14"/>
        </w:rPr>
        <w:t>*</w:t>
      </w:r>
      <w:r w:rsidR="00E61383" w:rsidRPr="00E61383">
        <w:rPr>
          <w:i/>
          <w:sz w:val="16"/>
          <w:szCs w:val="14"/>
        </w:rPr>
        <w:t xml:space="preserve"> </w:t>
      </w:r>
      <w:r w:rsidR="00E61383" w:rsidRPr="00E61383">
        <w:rPr>
          <w:i/>
          <w:sz w:val="16"/>
          <w:szCs w:val="14"/>
          <w:lang w:val="es-ES_tradnl"/>
        </w:rPr>
        <w:t>En el artículo 5.5 del Reglamento Financiero y la Reglamentación Financiera de la OMPI se establece la posibilidad de transferir recursos, al estipular:</w:t>
      </w:r>
      <w:r w:rsidR="00435504">
        <w:rPr>
          <w:i/>
          <w:sz w:val="16"/>
          <w:szCs w:val="14"/>
          <w:lang w:val="es-ES_tradnl"/>
        </w:rPr>
        <w:t xml:space="preserve"> </w:t>
      </w:r>
      <w:r w:rsidR="00E61383" w:rsidRPr="00E61383">
        <w:rPr>
          <w:i/>
          <w:sz w:val="16"/>
          <w:szCs w:val="14"/>
          <w:lang w:val="es-ES_tradnl"/>
        </w:rPr>
        <w:t xml:space="preserve"> “El Director General podrá efectuar transferencias de un programa a otro del presupuesto por programas durante un ejercicio económico determinado y hasta el límite del cinco por ciento de la cuantía total correspondiente a la consignación bienal del programa receptor, o al uno por ciento del presupuesto total, si esta suma fuese superior, cuando esas transferencias sean necesarias para asegurar el funcionamiento adecuado de los servicios".  El presupuesto de 2014/</w:t>
      </w:r>
      <w:r w:rsidR="00ED0A05">
        <w:rPr>
          <w:i/>
          <w:sz w:val="16"/>
          <w:szCs w:val="14"/>
          <w:lang w:val="es-ES_tradnl"/>
        </w:rPr>
        <w:t>15 tras las</w:t>
      </w:r>
      <w:r w:rsidR="00E61383" w:rsidRPr="00E61383">
        <w:rPr>
          <w:i/>
          <w:sz w:val="16"/>
          <w:szCs w:val="14"/>
          <w:lang w:val="es-ES_tradnl"/>
        </w:rPr>
        <w:t xml:space="preserve"> transferencias ha sido calculado al 31 de marzo de 2015.</w:t>
      </w:r>
    </w:p>
    <w:p w:rsidR="00C97D8A" w:rsidRPr="00E61383" w:rsidRDefault="00C97D8A" w:rsidP="000F4331"/>
    <w:p w:rsidR="00C97D8A" w:rsidRPr="00E61383" w:rsidRDefault="00C97D8A" w:rsidP="00C97D8A">
      <w:pPr>
        <w:pStyle w:val="StyleHeading3ComplexItalic"/>
        <w:keepNext w:val="0"/>
        <w:tabs>
          <w:tab w:val="clear" w:pos="1985"/>
          <w:tab w:val="left" w:pos="1418"/>
        </w:tabs>
        <w:ind w:left="1418" w:hanging="1418"/>
        <w:rPr>
          <w:b w:val="0"/>
          <w:caps w:val="0"/>
          <w:lang w:val="es-ES"/>
        </w:rPr>
        <w:sectPr w:rsidR="00C97D8A" w:rsidRPr="00E61383" w:rsidSect="00272D37">
          <w:pgSz w:w="11907" w:h="16840" w:code="9"/>
          <w:pgMar w:top="567" w:right="1134" w:bottom="1134" w:left="1418" w:header="510" w:footer="1021" w:gutter="0"/>
          <w:cols w:space="720"/>
          <w:titlePg/>
          <w:docGrid w:linePitch="299"/>
        </w:sectPr>
      </w:pPr>
    </w:p>
    <w:p w:rsidR="00C97D8A" w:rsidRPr="00783702" w:rsidRDefault="00C97D8A" w:rsidP="006F39F7">
      <w:pPr>
        <w:pStyle w:val="StyleHeading3ComplexItalic"/>
        <w:keepNext w:val="0"/>
        <w:tabs>
          <w:tab w:val="clear" w:pos="1985"/>
          <w:tab w:val="left" w:pos="-1134"/>
        </w:tabs>
        <w:ind w:left="1560" w:hanging="1560"/>
        <w:rPr>
          <w:sz w:val="18"/>
          <w:szCs w:val="18"/>
          <w:lang w:val="es-ES"/>
        </w:rPr>
      </w:pPr>
      <w:bookmarkStart w:id="91" w:name="_Toc356567787"/>
      <w:bookmarkStart w:id="92" w:name="_Toc367350613"/>
      <w:bookmarkStart w:id="93" w:name="_Toc419283281"/>
      <w:bookmarkStart w:id="94" w:name="_Toc420681171"/>
      <w:r w:rsidRPr="00783702">
        <w:rPr>
          <w:lang w:val="es-ES"/>
        </w:rPr>
        <w:lastRenderedPageBreak/>
        <w:t>A</w:t>
      </w:r>
      <w:r w:rsidR="000F4331" w:rsidRPr="00783702">
        <w:rPr>
          <w:caps w:val="0"/>
          <w:lang w:val="es-ES"/>
        </w:rPr>
        <w:t>N</w:t>
      </w:r>
      <w:r w:rsidRPr="00783702">
        <w:rPr>
          <w:caps w:val="0"/>
          <w:lang w:val="es-ES"/>
        </w:rPr>
        <w:t>EX</w:t>
      </w:r>
      <w:r w:rsidR="000F4331" w:rsidRPr="00783702">
        <w:rPr>
          <w:caps w:val="0"/>
          <w:lang w:val="es-ES"/>
        </w:rPr>
        <w:t>O</w:t>
      </w:r>
      <w:r w:rsidRPr="00783702">
        <w:rPr>
          <w:caps w:val="0"/>
          <w:lang w:val="es-ES"/>
        </w:rPr>
        <w:t xml:space="preserve"> II</w:t>
      </w:r>
      <w:r w:rsidRPr="00783702">
        <w:rPr>
          <w:caps w:val="0"/>
          <w:lang w:val="es-ES"/>
        </w:rPr>
        <w:tab/>
      </w:r>
      <w:r w:rsidR="008C5583" w:rsidRPr="00783702">
        <w:rPr>
          <w:caps w:val="0"/>
          <w:lang w:val="es-ES"/>
        </w:rPr>
        <w:t xml:space="preserve">RECURSOS PROPUESTOS PARA </w:t>
      </w:r>
      <w:r w:rsidRPr="00783702">
        <w:rPr>
          <w:caps w:val="0"/>
          <w:lang w:val="es-ES"/>
        </w:rPr>
        <w:t>2016/17</w:t>
      </w:r>
      <w:bookmarkEnd w:id="91"/>
      <w:bookmarkEnd w:id="92"/>
      <w:bookmarkEnd w:id="93"/>
      <w:r w:rsidR="008C5583" w:rsidRPr="00783702">
        <w:rPr>
          <w:caps w:val="0"/>
          <w:lang w:val="es-ES"/>
        </w:rPr>
        <w:t>, POR PROGRAMA</w:t>
      </w:r>
      <w:bookmarkEnd w:id="94"/>
    </w:p>
    <w:p w:rsidR="00C97D8A" w:rsidRPr="00783702" w:rsidRDefault="00C97D8A" w:rsidP="000F4331"/>
    <w:p w:rsidR="00AE426F" w:rsidRPr="00783702" w:rsidRDefault="00AE426F" w:rsidP="00AE426F">
      <w:pPr>
        <w:jc w:val="center"/>
        <w:rPr>
          <w:b/>
          <w:sz w:val="20"/>
          <w:szCs w:val="16"/>
        </w:rPr>
      </w:pPr>
      <w:r w:rsidRPr="00783702">
        <w:rPr>
          <w:b/>
          <w:sz w:val="20"/>
          <w:szCs w:val="16"/>
        </w:rPr>
        <w:t>Cuadro 9.  Presupuesto para 2016/17, por programa</w:t>
      </w:r>
    </w:p>
    <w:p w:rsidR="00AE426F" w:rsidRPr="00783702" w:rsidRDefault="00AE426F" w:rsidP="00AE426F">
      <w:pPr>
        <w:jc w:val="center"/>
        <w:rPr>
          <w:i/>
          <w:sz w:val="20"/>
          <w:szCs w:val="16"/>
        </w:rPr>
      </w:pPr>
      <w:r w:rsidRPr="00783702">
        <w:rPr>
          <w:i/>
          <w:sz w:val="20"/>
          <w:szCs w:val="16"/>
        </w:rPr>
        <w:t>(</w:t>
      </w:r>
      <w:proofErr w:type="gramStart"/>
      <w:r w:rsidRPr="00783702">
        <w:rPr>
          <w:i/>
          <w:sz w:val="20"/>
          <w:szCs w:val="16"/>
        </w:rPr>
        <w:t>en</w:t>
      </w:r>
      <w:proofErr w:type="gramEnd"/>
      <w:r w:rsidRPr="00783702">
        <w:rPr>
          <w:i/>
          <w:sz w:val="20"/>
          <w:szCs w:val="16"/>
        </w:rPr>
        <w:t xml:space="preserve"> miles de francos suizos)</w:t>
      </w:r>
    </w:p>
    <w:p w:rsidR="00AE426F" w:rsidRPr="00783702" w:rsidRDefault="00AE426F" w:rsidP="00AE426F">
      <w:pPr>
        <w:jc w:val="center"/>
        <w:rPr>
          <w:i/>
          <w:sz w:val="20"/>
          <w:szCs w:val="16"/>
        </w:rPr>
      </w:pPr>
    </w:p>
    <w:p w:rsidR="00C97D8A" w:rsidRPr="008C5583" w:rsidRDefault="003B754B" w:rsidP="008B4061">
      <w:pPr>
        <w:jc w:val="center"/>
        <w:rPr>
          <w:rFonts w:eastAsia="Times New Roman"/>
          <w:iCs/>
          <w:szCs w:val="22"/>
          <w:lang w:eastAsia="en-US"/>
        </w:rPr>
      </w:pPr>
      <w:r>
        <w:rPr>
          <w:noProof/>
          <w:lang w:val="en-US" w:eastAsia="en-US"/>
        </w:rPr>
        <w:drawing>
          <wp:inline distT="0" distB="0" distL="0" distR="0" wp14:anchorId="2A3C260A" wp14:editId="608C29B8">
            <wp:extent cx="9441579" cy="4699591"/>
            <wp:effectExtent l="0" t="0" r="7620" b="635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9461551" cy="4709532"/>
                    </a:xfrm>
                    <a:prstGeom prst="rect">
                      <a:avLst/>
                    </a:prstGeom>
                    <a:noFill/>
                    <a:ln>
                      <a:noFill/>
                    </a:ln>
                  </pic:spPr>
                </pic:pic>
              </a:graphicData>
            </a:graphic>
          </wp:inline>
        </w:drawing>
      </w:r>
      <w:r w:rsidR="00C97D8A" w:rsidRPr="008C5583">
        <w:rPr>
          <w:b/>
          <w:caps/>
        </w:rPr>
        <w:br w:type="page"/>
      </w:r>
    </w:p>
    <w:p w:rsidR="00863578" w:rsidRPr="00E37FED" w:rsidRDefault="00863578" w:rsidP="00863578">
      <w:pPr>
        <w:jc w:val="center"/>
        <w:rPr>
          <w:b/>
          <w:sz w:val="20"/>
          <w:szCs w:val="16"/>
        </w:rPr>
      </w:pPr>
      <w:r w:rsidRPr="00E37FED">
        <w:rPr>
          <w:b/>
          <w:sz w:val="20"/>
          <w:szCs w:val="16"/>
        </w:rPr>
        <w:lastRenderedPageBreak/>
        <w:t>Cuadro 10.  Puestos de 2016/17 por programa</w:t>
      </w:r>
    </w:p>
    <w:p w:rsidR="00863578" w:rsidRPr="00E37FED" w:rsidRDefault="00863578" w:rsidP="00863578">
      <w:pPr>
        <w:jc w:val="center"/>
        <w:rPr>
          <w:b/>
          <w:sz w:val="16"/>
          <w:szCs w:val="16"/>
        </w:rPr>
      </w:pPr>
    </w:p>
    <w:p w:rsidR="00863578" w:rsidRDefault="003B754B" w:rsidP="00863578">
      <w:pPr>
        <w:jc w:val="center"/>
        <w:rPr>
          <w:sz w:val="20"/>
        </w:rPr>
      </w:pPr>
      <w:r>
        <w:rPr>
          <w:noProof/>
          <w:lang w:val="en-US" w:eastAsia="en-US"/>
        </w:rPr>
        <w:drawing>
          <wp:inline distT="0" distB="0" distL="0" distR="0" wp14:anchorId="7C295ABF" wp14:editId="598B4899">
            <wp:extent cx="9590503" cy="5188689"/>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9587273" cy="5186942"/>
                    </a:xfrm>
                    <a:prstGeom prst="rect">
                      <a:avLst/>
                    </a:prstGeom>
                    <a:noFill/>
                    <a:ln>
                      <a:noFill/>
                    </a:ln>
                  </pic:spPr>
                </pic:pic>
              </a:graphicData>
            </a:graphic>
          </wp:inline>
        </w:drawing>
      </w:r>
    </w:p>
    <w:p w:rsidR="00AE426F" w:rsidRPr="00404CF4" w:rsidRDefault="00404CF4" w:rsidP="000F4331">
      <w:r w:rsidRPr="00404CF4">
        <w:rPr>
          <w:i/>
          <w:sz w:val="16"/>
          <w:szCs w:val="14"/>
          <w:lang w:val="es-ES_tradnl"/>
        </w:rPr>
        <w:t>*En la rúbrica “Sin consignar” en el presupuesto de 2014/</w:t>
      </w:r>
      <w:r w:rsidR="00ED0A05">
        <w:rPr>
          <w:i/>
          <w:sz w:val="16"/>
          <w:szCs w:val="14"/>
          <w:lang w:val="es-ES_tradnl"/>
        </w:rPr>
        <w:t>15 tras las</w:t>
      </w:r>
      <w:r w:rsidRPr="00404CF4">
        <w:rPr>
          <w:i/>
          <w:sz w:val="16"/>
          <w:szCs w:val="14"/>
          <w:lang w:val="es-ES_tradnl"/>
        </w:rPr>
        <w:t xml:space="preserve"> transferencias y en la propuesta de presupuesto para 2016/17 se incluyen  41 puestos que aparecen en la categoría "Servicios generales” en el cuadro anterior, y que están previstos para la regularización del personal temporal.  Sin embargo, se desconoce aún el grado y la categoría de esos </w:t>
      </w:r>
      <w:r w:rsidRPr="003B754B">
        <w:rPr>
          <w:i/>
          <w:sz w:val="16"/>
          <w:szCs w:val="14"/>
          <w:lang w:val="es-ES_tradnl"/>
        </w:rPr>
        <w:t>puestos (profesional o servicios generales).</w:t>
      </w:r>
    </w:p>
    <w:p w:rsidR="00C97D8A" w:rsidRPr="00404CF4" w:rsidRDefault="00C97D8A" w:rsidP="00C97D8A">
      <w:pPr>
        <w:pStyle w:val="StyleHeading3ComplexItalic"/>
        <w:keepNext w:val="0"/>
        <w:tabs>
          <w:tab w:val="clear" w:pos="1985"/>
          <w:tab w:val="left" w:pos="1418"/>
        </w:tabs>
        <w:ind w:left="1418" w:hanging="1418"/>
        <w:rPr>
          <w:b w:val="0"/>
          <w:caps w:val="0"/>
          <w:lang w:val="es-ES"/>
        </w:rPr>
        <w:sectPr w:rsidR="00C97D8A" w:rsidRPr="00404CF4" w:rsidSect="00AE426F">
          <w:headerReference w:type="first" r:id="rId207"/>
          <w:pgSz w:w="16840" w:h="11907" w:orient="landscape" w:code="9"/>
          <w:pgMar w:top="1270" w:right="567" w:bottom="1134" w:left="1134" w:header="510" w:footer="1021" w:gutter="0"/>
          <w:cols w:space="720"/>
          <w:titlePg/>
          <w:docGrid w:linePitch="299"/>
        </w:sectPr>
      </w:pPr>
    </w:p>
    <w:p w:rsidR="00A5378F" w:rsidRPr="006451BE" w:rsidRDefault="00A5378F" w:rsidP="006F39F7">
      <w:pPr>
        <w:pStyle w:val="StyleHeading3ComplexItalic"/>
        <w:keepNext w:val="0"/>
        <w:tabs>
          <w:tab w:val="clear" w:pos="1985"/>
          <w:tab w:val="left" w:pos="-1985"/>
        </w:tabs>
        <w:ind w:left="1560" w:hanging="1560"/>
        <w:rPr>
          <w:caps w:val="0"/>
          <w:lang w:val="es-ES"/>
        </w:rPr>
      </w:pPr>
      <w:bookmarkStart w:id="95" w:name="_Toc420681172"/>
      <w:r w:rsidRPr="006451BE">
        <w:rPr>
          <w:caps w:val="0"/>
          <w:lang w:val="es-ES"/>
        </w:rPr>
        <w:lastRenderedPageBreak/>
        <w:t>ANEXO III</w:t>
      </w:r>
      <w:r w:rsidRPr="006451BE">
        <w:rPr>
          <w:caps w:val="0"/>
          <w:lang w:val="es-ES"/>
        </w:rPr>
        <w:tab/>
        <w:t>ASIGNACIÓN DE LOS INGRESOS PREVISTOS Y DE LOS GASTOS PRESUPUESTADOS, POR UNIÓN</w:t>
      </w:r>
      <w:bookmarkEnd w:id="95"/>
    </w:p>
    <w:p w:rsidR="00A5378F" w:rsidRPr="006451BE" w:rsidRDefault="00A5378F" w:rsidP="00A5378F">
      <w:pPr>
        <w:rPr>
          <w:sz w:val="20"/>
        </w:rPr>
      </w:pPr>
    </w:p>
    <w:p w:rsidR="00A5378F" w:rsidRPr="006451BE" w:rsidRDefault="00A5378F" w:rsidP="00A5378F">
      <w:pPr>
        <w:rPr>
          <w:bCs/>
          <w:sz w:val="20"/>
        </w:rPr>
      </w:pPr>
    </w:p>
    <w:p w:rsidR="00A5378F" w:rsidRPr="006451BE" w:rsidRDefault="00A5378F" w:rsidP="00A5378F">
      <w:pPr>
        <w:rPr>
          <w:bCs/>
          <w:sz w:val="20"/>
        </w:rPr>
      </w:pPr>
      <w:r w:rsidRPr="006451BE">
        <w:rPr>
          <w:bCs/>
          <w:sz w:val="20"/>
        </w:rPr>
        <w:t>INTRODUCCIÓN</w:t>
      </w:r>
    </w:p>
    <w:p w:rsidR="00A5378F" w:rsidRPr="006451BE" w:rsidRDefault="00A5378F" w:rsidP="00A5378F">
      <w:pPr>
        <w:jc w:val="both"/>
        <w:rPr>
          <w:sz w:val="20"/>
        </w:rPr>
      </w:pPr>
    </w:p>
    <w:p w:rsidR="00A5378F" w:rsidRPr="006451BE" w:rsidRDefault="00A5378F" w:rsidP="00A5378F">
      <w:pPr>
        <w:numPr>
          <w:ilvl w:val="0"/>
          <w:numId w:val="51"/>
        </w:numPr>
        <w:jc w:val="both"/>
        <w:rPr>
          <w:sz w:val="20"/>
        </w:rPr>
      </w:pPr>
      <w:r w:rsidRPr="006451BE">
        <w:rPr>
          <w:sz w:val="20"/>
        </w:rPr>
        <w:t>En el Reglamento Financiero y la Reglamentación Financiera de la OMPI (regla 102.2) se estipula que el presupuesto bienal de la Organización debe presentarse separadamente para cada Unión.</w:t>
      </w:r>
    </w:p>
    <w:p w:rsidR="00A5378F" w:rsidRPr="006451BE" w:rsidRDefault="00A5378F" w:rsidP="00A5378F">
      <w:pPr>
        <w:rPr>
          <w:sz w:val="20"/>
        </w:rPr>
      </w:pPr>
    </w:p>
    <w:p w:rsidR="00A5378F" w:rsidRPr="006451BE" w:rsidRDefault="00A5378F" w:rsidP="00A5378F">
      <w:pPr>
        <w:rPr>
          <w:sz w:val="20"/>
        </w:rPr>
      </w:pPr>
    </w:p>
    <w:p w:rsidR="00A5378F" w:rsidRPr="006451BE" w:rsidRDefault="00A5378F" w:rsidP="00A5378F">
      <w:pPr>
        <w:rPr>
          <w:bCs/>
          <w:sz w:val="20"/>
        </w:rPr>
      </w:pPr>
      <w:r w:rsidRPr="006451BE">
        <w:rPr>
          <w:bCs/>
          <w:sz w:val="20"/>
          <w:lang w:val="es-ES_tradnl"/>
        </w:rPr>
        <w:t>ASIGNACIÓN DE LOS GASTOS PRESUPUESTADOS, POR UNIÓN</w:t>
      </w:r>
    </w:p>
    <w:p w:rsidR="00A5378F" w:rsidRPr="006451BE" w:rsidRDefault="00A5378F" w:rsidP="00A5378F">
      <w:pPr>
        <w:jc w:val="both"/>
        <w:rPr>
          <w:b/>
          <w:i/>
          <w:sz w:val="20"/>
        </w:rPr>
      </w:pPr>
    </w:p>
    <w:p w:rsidR="00A5378F" w:rsidRPr="006451BE" w:rsidRDefault="00A5378F" w:rsidP="00A5378F">
      <w:pPr>
        <w:numPr>
          <w:ilvl w:val="0"/>
          <w:numId w:val="51"/>
        </w:numPr>
        <w:jc w:val="both"/>
        <w:rPr>
          <w:b/>
          <w:i/>
          <w:sz w:val="20"/>
        </w:rPr>
      </w:pPr>
      <w:r w:rsidRPr="006451BE">
        <w:rPr>
          <w:sz w:val="20"/>
          <w:lang w:val="es-ES_tradnl"/>
        </w:rPr>
        <w:t>La metodología aplicada para la asignación de gastos</w:t>
      </w:r>
      <w:r w:rsidRPr="006451BE">
        <w:rPr>
          <w:sz w:val="20"/>
        </w:rPr>
        <w:t xml:space="preserve"> </w:t>
      </w:r>
      <w:r w:rsidRPr="006451BE">
        <w:rPr>
          <w:sz w:val="20"/>
          <w:lang w:val="es-ES_tradnl"/>
        </w:rPr>
        <w:t xml:space="preserve">por Unión consiste en determinar si se trata de </w:t>
      </w:r>
      <w:proofErr w:type="gramStart"/>
      <w:r w:rsidRPr="006451BE">
        <w:rPr>
          <w:sz w:val="20"/>
          <w:lang w:val="es-ES_tradnl"/>
        </w:rPr>
        <w:t>gastos relacionados directa</w:t>
      </w:r>
      <w:proofErr w:type="gramEnd"/>
      <w:r w:rsidRPr="006451BE">
        <w:rPr>
          <w:sz w:val="20"/>
          <w:lang w:val="es-ES_tradnl"/>
        </w:rPr>
        <w:t xml:space="preserve"> o indirectamente con una Unión.  Los programas se categorizan en tanto que relacionados directa o indirectamente con una Unión, como se describe más abajo</w:t>
      </w:r>
      <w:r w:rsidRPr="006451BE">
        <w:rPr>
          <w:sz w:val="20"/>
        </w:rPr>
        <w:t>.  La metodología empleada para el presupuesto por programas para 2016/17 no ha cambiado de la empleada en el presupuesto por programas para 2014/15.</w:t>
      </w:r>
    </w:p>
    <w:p w:rsidR="00A5378F" w:rsidRPr="006451BE" w:rsidRDefault="00A5378F" w:rsidP="00A5378F">
      <w:pPr>
        <w:ind w:left="1"/>
        <w:jc w:val="both"/>
        <w:rPr>
          <w:b/>
          <w:i/>
          <w:sz w:val="20"/>
        </w:rPr>
      </w:pPr>
    </w:p>
    <w:p w:rsidR="00A5378F" w:rsidRPr="006451BE" w:rsidRDefault="00A5378F" w:rsidP="00A5378F">
      <w:pPr>
        <w:numPr>
          <w:ilvl w:val="0"/>
          <w:numId w:val="51"/>
        </w:numPr>
        <w:jc w:val="both"/>
        <w:rPr>
          <w:sz w:val="20"/>
        </w:rPr>
      </w:pPr>
      <w:r w:rsidRPr="006451BE">
        <w:rPr>
          <w:i/>
          <w:sz w:val="20"/>
          <w:lang w:val="es-ES_tradnl"/>
        </w:rPr>
        <w:t xml:space="preserve">GASTOS DIRECTOS POR UNIÓN, </w:t>
      </w:r>
      <w:r w:rsidRPr="006451BE">
        <w:rPr>
          <w:sz w:val="20"/>
          <w:lang w:val="es-ES_tradnl"/>
        </w:rPr>
        <w:t>son los gastos ocasionados por las actividades específicas de cada Unión y el porcentaje atribuible de gastos administrativos conexos y otros gastos presupuestados</w:t>
      </w:r>
      <w:r w:rsidRPr="006451BE">
        <w:rPr>
          <w:sz w:val="20"/>
        </w:rPr>
        <w:t>.</w:t>
      </w:r>
    </w:p>
    <w:p w:rsidR="00A5378F" w:rsidRPr="006451BE" w:rsidRDefault="00A5378F" w:rsidP="00A5378F">
      <w:pPr>
        <w:jc w:val="both"/>
        <w:rPr>
          <w:sz w:val="20"/>
        </w:rPr>
      </w:pPr>
    </w:p>
    <w:p w:rsidR="00A5378F" w:rsidRPr="006451BE" w:rsidRDefault="00A5378F" w:rsidP="00A5378F">
      <w:pPr>
        <w:ind w:left="1080" w:hanging="540"/>
        <w:jc w:val="both"/>
        <w:rPr>
          <w:b/>
          <w:i/>
          <w:sz w:val="20"/>
        </w:rPr>
      </w:pPr>
      <w:r w:rsidRPr="006451BE">
        <w:rPr>
          <w:i/>
          <w:sz w:val="20"/>
        </w:rPr>
        <w:t>3.1</w:t>
      </w:r>
      <w:r w:rsidRPr="006451BE">
        <w:rPr>
          <w:i/>
          <w:sz w:val="20"/>
        </w:rPr>
        <w:tab/>
      </w:r>
      <w:r w:rsidRPr="006451BE">
        <w:rPr>
          <w:i/>
          <w:sz w:val="20"/>
          <w:lang w:val="es-ES_tradnl"/>
        </w:rPr>
        <w:t>Actividades específicas por Unión</w:t>
      </w:r>
      <w:proofErr w:type="gramStart"/>
      <w:r w:rsidRPr="006451BE">
        <w:rPr>
          <w:sz w:val="20"/>
          <w:lang w:val="es-ES_tradnl"/>
        </w:rPr>
        <w:t>:  Bajo</w:t>
      </w:r>
      <w:proofErr w:type="gramEnd"/>
      <w:r w:rsidRPr="006451BE">
        <w:rPr>
          <w:sz w:val="20"/>
          <w:lang w:val="es-ES_tradnl"/>
        </w:rPr>
        <w:t xml:space="preserve"> esta rúbrica se engloban las actividades de programa y los gastos presupuestados.  Cuando los gastos de un programa son asignados parcialmente a una Unión, la asignación se realiza sobre la base del porcentaje correspondiente a la Unión de los gastos previstos por los directores de los programas correspondientes.  Cuando un programa incumbe a una única Unión, el costo total de ese programa es asignado a esa Unión</w:t>
      </w:r>
      <w:r w:rsidRPr="006451BE">
        <w:rPr>
          <w:sz w:val="20"/>
        </w:rPr>
        <w:t>.</w:t>
      </w:r>
    </w:p>
    <w:p w:rsidR="00A5378F" w:rsidRPr="006451BE" w:rsidRDefault="00A5378F" w:rsidP="00A5378F">
      <w:pPr>
        <w:jc w:val="both"/>
        <w:rPr>
          <w:sz w:val="20"/>
        </w:rPr>
      </w:pPr>
    </w:p>
    <w:p w:rsidR="00A5378F" w:rsidRPr="006451BE" w:rsidRDefault="00A5378F" w:rsidP="00A5378F">
      <w:pPr>
        <w:spacing w:after="60"/>
        <w:ind w:left="1843" w:hanging="766"/>
        <w:jc w:val="both"/>
        <w:rPr>
          <w:sz w:val="20"/>
        </w:rPr>
      </w:pPr>
      <w:r w:rsidRPr="006451BE">
        <w:rPr>
          <w:i/>
          <w:sz w:val="20"/>
        </w:rPr>
        <w:t>3.1.1</w:t>
      </w:r>
      <w:r w:rsidRPr="006451BE">
        <w:rPr>
          <w:i/>
          <w:sz w:val="20"/>
        </w:rPr>
        <w:tab/>
      </w:r>
      <w:r w:rsidRPr="006451BE">
        <w:rPr>
          <w:i/>
          <w:sz w:val="20"/>
          <w:lang w:val="es-ES_tradnl"/>
        </w:rPr>
        <w:t>Uniones financiadas por contribuciones</w:t>
      </w:r>
      <w:r w:rsidRPr="006451BE">
        <w:rPr>
          <w:sz w:val="20"/>
          <w:lang w:val="es-ES_tradnl"/>
        </w:rPr>
        <w:t>:  Programas 1 (Derecho de patentes) (parcialmente), 2 (Marcas, dibujos y modelos industriales e indicaciones geográficas) (parcialmente), 3 (Derecho de autor y derechos conexos) (parcialmente), 4 (Conocimientos tradicionales, expresiones culturales tradicionales y recursos genéticos), 7 (Centro de Arbitraje y Mediación de la OMPI) (parcialmente), 12 (Clasificaciones internacionales y normas técnicas de la OMPI) (parcialmente) y 14 (Servicios de acceso a la información y a los conocimientos) (parcialmente)</w:t>
      </w:r>
      <w:r w:rsidRPr="006451BE">
        <w:rPr>
          <w:sz w:val="20"/>
        </w:rPr>
        <w:t>.</w:t>
      </w:r>
    </w:p>
    <w:p w:rsidR="00A5378F" w:rsidRPr="006451BE" w:rsidRDefault="00A5378F" w:rsidP="00A5378F">
      <w:pPr>
        <w:spacing w:after="60"/>
        <w:ind w:left="1843" w:hanging="766"/>
        <w:jc w:val="both"/>
        <w:rPr>
          <w:sz w:val="20"/>
        </w:rPr>
      </w:pPr>
      <w:r w:rsidRPr="006451BE">
        <w:rPr>
          <w:i/>
          <w:sz w:val="20"/>
        </w:rPr>
        <w:t>3.1.2</w:t>
      </w:r>
      <w:r w:rsidRPr="006451BE">
        <w:rPr>
          <w:i/>
          <w:sz w:val="20"/>
        </w:rPr>
        <w:tab/>
      </w:r>
      <w:r w:rsidRPr="006451BE">
        <w:rPr>
          <w:i/>
          <w:sz w:val="20"/>
          <w:lang w:val="es-ES_tradnl"/>
        </w:rPr>
        <w:t>Unión del PCT</w:t>
      </w:r>
      <w:proofErr w:type="gramStart"/>
      <w:r w:rsidRPr="006451BE">
        <w:rPr>
          <w:sz w:val="20"/>
          <w:lang w:val="es-ES_tradnl"/>
        </w:rPr>
        <w:t>:  Programas</w:t>
      </w:r>
      <w:proofErr w:type="gramEnd"/>
      <w:r w:rsidRPr="006451BE">
        <w:rPr>
          <w:sz w:val="20"/>
          <w:lang w:val="es-ES_tradnl"/>
        </w:rPr>
        <w:t> 1 (Derecho de patentes) (parcialmente), 5 (Sistema del PCT), 7 (Centro de Arbitraje y Mediación de la OMPI) (parcialmente), 12 (Clasificaciones internacionales y normas técnicas de la OMPI) (parcialmente), 13 (Bases de datos mundiales) (parcialmente) y 14 (Servicios de acceso a la información y a los conocimientos) (parcialmente)</w:t>
      </w:r>
      <w:r w:rsidR="003F76B4">
        <w:rPr>
          <w:sz w:val="20"/>
          <w:lang w:val="es-ES_tradnl"/>
        </w:rPr>
        <w:t>.</w:t>
      </w:r>
    </w:p>
    <w:p w:rsidR="00A5378F" w:rsidRPr="006451BE" w:rsidRDefault="00A5378F" w:rsidP="00A5378F">
      <w:pPr>
        <w:spacing w:after="60"/>
        <w:ind w:left="1843" w:hanging="766"/>
        <w:jc w:val="both"/>
        <w:rPr>
          <w:sz w:val="20"/>
        </w:rPr>
      </w:pPr>
      <w:r w:rsidRPr="006451BE">
        <w:rPr>
          <w:i/>
          <w:sz w:val="20"/>
        </w:rPr>
        <w:t>3.1.3</w:t>
      </w:r>
      <w:r w:rsidRPr="006451BE">
        <w:rPr>
          <w:i/>
          <w:sz w:val="20"/>
        </w:rPr>
        <w:tab/>
      </w:r>
      <w:r w:rsidRPr="006451BE">
        <w:rPr>
          <w:i/>
          <w:sz w:val="20"/>
          <w:lang w:val="es-ES_tradnl"/>
        </w:rPr>
        <w:t>Unión de Madrid</w:t>
      </w:r>
      <w:proofErr w:type="gramStart"/>
      <w:r w:rsidRPr="006451BE">
        <w:rPr>
          <w:sz w:val="20"/>
          <w:lang w:val="es-ES_tradnl"/>
        </w:rPr>
        <w:t>:  Programas</w:t>
      </w:r>
      <w:proofErr w:type="gramEnd"/>
      <w:r w:rsidRPr="006451BE">
        <w:rPr>
          <w:sz w:val="20"/>
          <w:lang w:val="es-ES_tradnl"/>
        </w:rPr>
        <w:t> 2 (Marcas, dibujos y modelos industriales e indicaciones geográficas) (parcialmente), 6 (Sistemas de Madrid y Lisboa) (parcialmente), 7 (Centro de Arbitraje y Mediación de la OMPI) (parcialmente), 12 (Clasificaciones internacionales y normas técnicas de la OMPI) (parcialmente), 13 (Bases de d</w:t>
      </w:r>
      <w:r w:rsidR="003F76B4">
        <w:rPr>
          <w:sz w:val="20"/>
          <w:lang w:val="es-ES_tradnl"/>
        </w:rPr>
        <w:t xml:space="preserve">atos mundiales) (parcialmente), y </w:t>
      </w:r>
      <w:r w:rsidRPr="006451BE">
        <w:rPr>
          <w:sz w:val="20"/>
          <w:lang w:val="es-ES_tradnl"/>
        </w:rPr>
        <w:t>14 (Servicios de acceso a la información y a los conocimientos) (parcialmente).</w:t>
      </w:r>
    </w:p>
    <w:p w:rsidR="00A5378F" w:rsidRPr="006451BE" w:rsidRDefault="00A5378F" w:rsidP="00A5378F">
      <w:pPr>
        <w:spacing w:after="60"/>
        <w:ind w:left="1843" w:hanging="766"/>
        <w:jc w:val="both"/>
        <w:rPr>
          <w:sz w:val="20"/>
        </w:rPr>
      </w:pPr>
      <w:r w:rsidRPr="006451BE">
        <w:rPr>
          <w:i/>
          <w:sz w:val="20"/>
        </w:rPr>
        <w:t>3.1.4</w:t>
      </w:r>
      <w:r w:rsidRPr="006451BE">
        <w:rPr>
          <w:i/>
          <w:sz w:val="20"/>
        </w:rPr>
        <w:tab/>
      </w:r>
      <w:r w:rsidRPr="006451BE">
        <w:rPr>
          <w:i/>
          <w:sz w:val="20"/>
          <w:lang w:val="es-ES_tradnl"/>
        </w:rPr>
        <w:t xml:space="preserve">Unión de </w:t>
      </w:r>
      <w:r w:rsidR="003B0DF0">
        <w:rPr>
          <w:i/>
          <w:sz w:val="20"/>
          <w:lang w:val="es-ES_tradnl"/>
        </w:rPr>
        <w:t>La Haya</w:t>
      </w:r>
      <w:proofErr w:type="gramStart"/>
      <w:r w:rsidRPr="006451BE">
        <w:rPr>
          <w:sz w:val="20"/>
          <w:lang w:val="es-ES_tradnl"/>
        </w:rPr>
        <w:t>:  Programas</w:t>
      </w:r>
      <w:proofErr w:type="gramEnd"/>
      <w:r w:rsidRPr="006451BE">
        <w:rPr>
          <w:sz w:val="20"/>
          <w:lang w:val="es-ES_tradnl"/>
        </w:rPr>
        <w:t xml:space="preserve"> 2 (Marcas, dibujos y modelos industriales e indicaciones geográficas) (parcialmente), 6 (Sistemas de Madrid y Lisboa) (parcialmente), 7 (Centro de Arbitraje y Mediación de la OMPI) (parcialmente), 12 (Clasificaciones internacionales y normas técnicas de la OMPI) (parcialmente), 14 (Servicios de acceso a la información y a los conocimientos) (parcialmente) y 31 (Sistema de </w:t>
      </w:r>
      <w:r w:rsidR="003B0DF0">
        <w:rPr>
          <w:sz w:val="20"/>
          <w:lang w:val="es-ES_tradnl"/>
        </w:rPr>
        <w:t>La Haya</w:t>
      </w:r>
      <w:r w:rsidRPr="006451BE">
        <w:rPr>
          <w:sz w:val="20"/>
          <w:lang w:val="es-ES_tradnl"/>
        </w:rPr>
        <w:t>).</w:t>
      </w:r>
    </w:p>
    <w:p w:rsidR="00A5378F" w:rsidRPr="006451BE" w:rsidRDefault="00A5378F" w:rsidP="00A5378F">
      <w:pPr>
        <w:keepLines/>
        <w:spacing w:after="60"/>
        <w:ind w:left="1843" w:hanging="766"/>
        <w:jc w:val="both"/>
        <w:rPr>
          <w:sz w:val="20"/>
        </w:rPr>
      </w:pPr>
      <w:r w:rsidRPr="006451BE">
        <w:rPr>
          <w:i/>
          <w:sz w:val="20"/>
        </w:rPr>
        <w:t>3.1.5</w:t>
      </w:r>
      <w:r w:rsidRPr="006451BE">
        <w:rPr>
          <w:i/>
          <w:sz w:val="20"/>
        </w:rPr>
        <w:tab/>
      </w:r>
      <w:r w:rsidRPr="006451BE">
        <w:rPr>
          <w:i/>
          <w:sz w:val="20"/>
          <w:lang w:val="es-ES_tradnl"/>
        </w:rPr>
        <w:t>Unión de Lisboa</w:t>
      </w:r>
      <w:proofErr w:type="gramStart"/>
      <w:r w:rsidRPr="006451BE">
        <w:rPr>
          <w:i/>
          <w:sz w:val="20"/>
          <w:lang w:val="es-ES_tradnl"/>
        </w:rPr>
        <w:t xml:space="preserve">:  </w:t>
      </w:r>
      <w:r w:rsidRPr="006451BE">
        <w:rPr>
          <w:sz w:val="20"/>
          <w:lang w:val="es-ES_tradnl"/>
        </w:rPr>
        <w:t>Programas</w:t>
      </w:r>
      <w:proofErr w:type="gramEnd"/>
      <w:r w:rsidRPr="006451BE">
        <w:rPr>
          <w:sz w:val="20"/>
          <w:lang w:val="es-ES_tradnl"/>
        </w:rPr>
        <w:t> 6 (Sistemas de Madrid y Lisboa) (parcialmente), 7</w:t>
      </w:r>
      <w:r w:rsidR="003F76B4">
        <w:rPr>
          <w:sz w:val="20"/>
          <w:lang w:val="es-ES_tradnl"/>
        </w:rPr>
        <w:t> </w:t>
      </w:r>
      <w:r w:rsidRPr="006451BE">
        <w:rPr>
          <w:sz w:val="20"/>
          <w:lang w:val="es-ES_tradnl"/>
        </w:rPr>
        <w:t>(Centro de Arbitraje y Mediación de la OMPI) (parcialmente) y 14 (Servicios de acceso a la información y a los conocimientos) (parcialmente)</w:t>
      </w:r>
      <w:r w:rsidR="003F76B4">
        <w:rPr>
          <w:sz w:val="20"/>
          <w:lang w:val="es-ES_tradnl"/>
        </w:rPr>
        <w:t>.</w:t>
      </w:r>
    </w:p>
    <w:p w:rsidR="00A5378F" w:rsidRPr="006451BE" w:rsidRDefault="00A5378F" w:rsidP="00A5378F">
      <w:pPr>
        <w:jc w:val="both"/>
        <w:rPr>
          <w:sz w:val="20"/>
        </w:rPr>
      </w:pPr>
    </w:p>
    <w:p w:rsidR="00A5378F" w:rsidRPr="006451BE" w:rsidRDefault="00A5378F" w:rsidP="00A5378F">
      <w:pPr>
        <w:ind w:left="1080" w:hanging="513"/>
        <w:jc w:val="both"/>
        <w:rPr>
          <w:sz w:val="20"/>
        </w:rPr>
      </w:pPr>
      <w:r w:rsidRPr="006451BE">
        <w:rPr>
          <w:i/>
          <w:sz w:val="20"/>
        </w:rPr>
        <w:lastRenderedPageBreak/>
        <w:t>3.2</w:t>
      </w:r>
      <w:r w:rsidRPr="006451BE">
        <w:rPr>
          <w:i/>
          <w:sz w:val="20"/>
        </w:rPr>
        <w:tab/>
      </w:r>
      <w:r w:rsidRPr="006451BE">
        <w:rPr>
          <w:i/>
          <w:sz w:val="20"/>
          <w:lang w:val="es-ES_tradnl"/>
        </w:rPr>
        <w:t>Gastos administrativos directos por Unión</w:t>
      </w:r>
      <w:proofErr w:type="gramStart"/>
      <w:r w:rsidRPr="006451BE">
        <w:rPr>
          <w:sz w:val="20"/>
          <w:lang w:val="es-ES_tradnl"/>
        </w:rPr>
        <w:t>:  Bajo</w:t>
      </w:r>
      <w:proofErr w:type="gramEnd"/>
      <w:r w:rsidRPr="006451BE">
        <w:rPr>
          <w:sz w:val="20"/>
          <w:lang w:val="es-ES_tradnl"/>
        </w:rPr>
        <w:t xml:space="preserve"> esta categoría se engloba una parte de todos los programas comprendidos en la meta estratégica IX (programas 21 a 28) y “No asignados”.</w:t>
      </w:r>
      <w:r w:rsidRPr="006451BE">
        <w:rPr>
          <w:sz w:val="20"/>
        </w:rPr>
        <w:t xml:space="preserve">  </w:t>
      </w:r>
      <w:r w:rsidRPr="006451BE">
        <w:rPr>
          <w:sz w:val="20"/>
          <w:lang w:val="es-ES_tradnl"/>
        </w:rPr>
        <w:t>La asignación de gastos presupuestados se determina mediante un proceso que consta de dos etapas</w:t>
      </w:r>
      <w:r w:rsidRPr="006451BE">
        <w:rPr>
          <w:sz w:val="20"/>
        </w:rPr>
        <w:t>.  En primer lugar, se determina el porcentaje total de costos administrativos directos para todas las Uniones sobre la base del número total de empleados de nómina de los programas relacionados directamente con las Uniones en relación con el número total de empleados de nómina de todos los programas, a excepción de los comprendidos en el marco de la meta estratégica IX.  Posteriormente, se asignan los gastos administrativos directos por Unión a las Uniones respectivas sobre la base del porcentaje del número de empleados de nómina de cada Unión en relación con el número total de empleados de nómina de los programas relacionados directamente con las Uniones.  El proceso que consta de dos etapas se aplica a la partida de los gastos administrativos que no pueden ser fácilmente vinculados a una Unión determinada.</w:t>
      </w:r>
    </w:p>
    <w:p w:rsidR="00A5378F" w:rsidRPr="006451BE" w:rsidRDefault="00A5378F" w:rsidP="00A5378F">
      <w:pPr>
        <w:ind w:left="1080" w:hanging="513"/>
        <w:jc w:val="both"/>
        <w:rPr>
          <w:b/>
          <w:i/>
          <w:sz w:val="20"/>
        </w:rPr>
      </w:pPr>
    </w:p>
    <w:p w:rsidR="00A5378F" w:rsidRPr="006451BE" w:rsidRDefault="00A5378F" w:rsidP="00A5378F">
      <w:pPr>
        <w:numPr>
          <w:ilvl w:val="0"/>
          <w:numId w:val="51"/>
        </w:numPr>
        <w:jc w:val="both"/>
        <w:rPr>
          <w:b/>
          <w:sz w:val="20"/>
        </w:rPr>
      </w:pPr>
      <w:r w:rsidRPr="006451BE">
        <w:rPr>
          <w:i/>
          <w:sz w:val="20"/>
          <w:lang w:val="es-ES_tradnl"/>
        </w:rPr>
        <w:t>GASTOS INDIRECTOS POR UNIÓN</w:t>
      </w:r>
      <w:r w:rsidRPr="006451BE">
        <w:rPr>
          <w:sz w:val="20"/>
          <w:lang w:val="es-ES_tradnl"/>
        </w:rPr>
        <w:t>, constituidos por el porcentaje asignado a cada Unión de gastos presupuestados para los programas que no guardan relación directa con las actividades de la Unión correspondiente, junto con el porcentaje de gastos administrativos conexos y otros gastos presupuestados</w:t>
      </w:r>
      <w:r w:rsidRPr="006451BE">
        <w:rPr>
          <w:sz w:val="20"/>
        </w:rPr>
        <w:t>.</w:t>
      </w:r>
    </w:p>
    <w:p w:rsidR="00A5378F" w:rsidRPr="006451BE" w:rsidRDefault="00A5378F" w:rsidP="00A5378F">
      <w:pPr>
        <w:jc w:val="both"/>
        <w:rPr>
          <w:b/>
          <w:sz w:val="20"/>
        </w:rPr>
      </w:pPr>
    </w:p>
    <w:p w:rsidR="00A5378F" w:rsidRPr="006451BE" w:rsidRDefault="00A5378F" w:rsidP="00A5378F">
      <w:pPr>
        <w:ind w:left="1080" w:hanging="513"/>
        <w:jc w:val="both"/>
        <w:rPr>
          <w:b/>
          <w:i/>
          <w:sz w:val="20"/>
        </w:rPr>
      </w:pPr>
      <w:r w:rsidRPr="006451BE">
        <w:rPr>
          <w:i/>
          <w:sz w:val="20"/>
        </w:rPr>
        <w:t>4.1</w:t>
      </w:r>
      <w:r w:rsidRPr="006451BE">
        <w:rPr>
          <w:i/>
          <w:sz w:val="20"/>
        </w:rPr>
        <w:tab/>
        <w:t xml:space="preserve">Gastos </w:t>
      </w:r>
      <w:r w:rsidRPr="006451BE">
        <w:rPr>
          <w:i/>
          <w:sz w:val="20"/>
          <w:lang w:val="es-ES_tradnl"/>
        </w:rPr>
        <w:t>indirectos por Unión</w:t>
      </w:r>
      <w:r w:rsidRPr="006451BE">
        <w:rPr>
          <w:sz w:val="20"/>
          <w:lang w:val="es-ES_tradnl"/>
        </w:rPr>
        <w:t>:  Bajo esta rúbrica se engloban las siguientes actividades de programa y gastos presupuestados:  Programas 1 (Derecho de patentes) (parcialmente), 3 (Derecho de autor y derechos conexos) (parcialmente), 8 (Coordinación de la Agenda para el Desarrollo), 9 (Países africanos, árabes, de América Latina y el Caribe, de Asia y el Pacífico y Países Menos Adelantados)</w:t>
      </w:r>
      <w:r w:rsidRPr="006451BE">
        <w:rPr>
          <w:sz w:val="20"/>
        </w:rPr>
        <w:t xml:space="preserve">, 10 (Países en transición y desarrollados), 11 </w:t>
      </w:r>
      <w:r w:rsidRPr="006451BE">
        <w:rPr>
          <w:sz w:val="20"/>
          <w:lang w:val="es-ES_tradnl"/>
        </w:rPr>
        <w:t>(Academia de la OMPI), 15 (Soluciones operativas para las oficinas de P.I.), 16 (Economía y estadística), 17 (Fomentar el respeto por la P.I.), 18 (La P.I. y los desafíos mundiales), 19 (Comunicaciones), 20 (Relaciones exteriores, alianzas y oficinas en el exterior) y 30 (Apoyo a las Pymes y la capacidad empresarial)</w:t>
      </w:r>
      <w:r w:rsidRPr="006451BE">
        <w:rPr>
          <w:sz w:val="20"/>
        </w:rPr>
        <w:t xml:space="preserve">.  </w:t>
      </w:r>
      <w:r w:rsidRPr="006451BE">
        <w:rPr>
          <w:sz w:val="20"/>
          <w:lang w:val="es-ES_tradnl"/>
        </w:rPr>
        <w:t xml:space="preserve">La cuota de gastos presupuestados correspondiente a cada uno de esos programas se asigna a las Uniones sobre la base de su respectiva </w:t>
      </w:r>
      <w:r w:rsidRPr="006451BE">
        <w:rPr>
          <w:i/>
          <w:sz w:val="20"/>
          <w:lang w:val="es-ES_tradnl"/>
        </w:rPr>
        <w:t>capacidad de pago en el bienio</w:t>
      </w:r>
      <w:r w:rsidRPr="006451BE">
        <w:rPr>
          <w:sz w:val="20"/>
          <w:lang w:val="es-ES_tradnl"/>
        </w:rPr>
        <w:t xml:space="preserve">.  Se trata del cálculo de la diferencia entre los ingresos previstos para cada Unión en el bienio y los otros gastos asignados a las Uniones y las reservas obligatorias mínimas (“previsión mínima de reservas”).  El cálculo de la previsión mínima de reservas se basa en la reserva obligatoria correspondiente a los gastos del bienio anterior.  Mediante la metodología aplicada se garantiza una distribución proporcional </w:t>
      </w:r>
      <w:proofErr w:type="gramStart"/>
      <w:r w:rsidRPr="006451BE">
        <w:rPr>
          <w:sz w:val="20"/>
          <w:lang w:val="es-ES_tradnl"/>
        </w:rPr>
        <w:t>del gasto indirecto entre las Uniones a partir de los recursos (excedente) generados</w:t>
      </w:r>
      <w:proofErr w:type="gramEnd"/>
      <w:r w:rsidRPr="006451BE">
        <w:rPr>
          <w:sz w:val="20"/>
          <w:lang w:val="es-ES_tradnl"/>
        </w:rPr>
        <w:t xml:space="preserve"> en el bienio en curso.  Únicamente cuando no sea suficiente el excedente bienal generado se utilizarán las reservas disponibles para cubrir el remanente de gastos indirectos, lo que se hará teniendo en cuenta la parte relativa correspondiente a cada Unión.</w:t>
      </w:r>
    </w:p>
    <w:p w:rsidR="00A5378F" w:rsidRPr="006451BE" w:rsidRDefault="00A5378F" w:rsidP="00A5378F">
      <w:pPr>
        <w:tabs>
          <w:tab w:val="num" w:pos="1134"/>
        </w:tabs>
        <w:ind w:left="1134" w:hanging="567"/>
        <w:jc w:val="both"/>
        <w:rPr>
          <w:sz w:val="20"/>
        </w:rPr>
      </w:pPr>
    </w:p>
    <w:p w:rsidR="00A5378F" w:rsidRPr="006451BE" w:rsidRDefault="00A5378F" w:rsidP="00A5378F">
      <w:pPr>
        <w:ind w:left="1134" w:hanging="567"/>
        <w:jc w:val="both"/>
        <w:rPr>
          <w:sz w:val="20"/>
        </w:rPr>
      </w:pPr>
      <w:r w:rsidRPr="006451BE">
        <w:rPr>
          <w:i/>
          <w:sz w:val="20"/>
        </w:rPr>
        <w:t>4.2</w:t>
      </w:r>
      <w:r w:rsidRPr="006451BE">
        <w:rPr>
          <w:i/>
          <w:sz w:val="20"/>
        </w:rPr>
        <w:tab/>
      </w:r>
      <w:r w:rsidRPr="006451BE">
        <w:rPr>
          <w:i/>
          <w:sz w:val="20"/>
          <w:lang w:val="es-ES_tradnl"/>
        </w:rPr>
        <w:t>Gastos administrativos indirectos</w:t>
      </w:r>
      <w:r w:rsidRPr="006451BE">
        <w:rPr>
          <w:sz w:val="20"/>
          <w:lang w:val="es-ES_tradnl"/>
        </w:rPr>
        <w:t>:  Estos gastos guardan relación con los gastos presupuestados en el marco de los programas 21 a 28 que no han sido asignados a los gastos directos por Unión, así como al importe presupuestado en la categoría “No asignados” en la propuesta de presupuesto.</w:t>
      </w:r>
      <w:r w:rsidRPr="006451BE">
        <w:rPr>
          <w:sz w:val="20"/>
        </w:rPr>
        <w:t xml:space="preserve">  </w:t>
      </w:r>
      <w:r w:rsidRPr="006451BE">
        <w:rPr>
          <w:sz w:val="20"/>
          <w:lang w:val="es-ES_tradnl"/>
        </w:rPr>
        <w:t>La asignación de esos gastos presupuestados se efectúa sobre la base de su respectiva capacidad de pago (es decir, según el mismo principio aplicable a los gastos indirectos por Unión)</w:t>
      </w:r>
      <w:r w:rsidRPr="006451BE">
        <w:rPr>
          <w:sz w:val="20"/>
        </w:rPr>
        <w:t>.</w:t>
      </w:r>
    </w:p>
    <w:p w:rsidR="002833AD" w:rsidRPr="00276D33" w:rsidRDefault="002833AD" w:rsidP="002833AD">
      <w:pPr>
        <w:rPr>
          <w:color w:val="244061" w:themeColor="accent1" w:themeShade="80"/>
          <w:sz w:val="20"/>
        </w:rPr>
      </w:pPr>
    </w:p>
    <w:p w:rsidR="002833AD" w:rsidRPr="00276D33" w:rsidRDefault="002833AD" w:rsidP="002833AD">
      <w:pPr>
        <w:rPr>
          <w:bCs/>
          <w:color w:val="244061" w:themeColor="accent1" w:themeShade="80"/>
          <w:sz w:val="20"/>
        </w:rPr>
      </w:pPr>
    </w:p>
    <w:p w:rsidR="002833AD" w:rsidRPr="00C6387E" w:rsidRDefault="00B62209" w:rsidP="002833AD">
      <w:pPr>
        <w:rPr>
          <w:bCs/>
          <w:sz w:val="20"/>
        </w:rPr>
      </w:pPr>
      <w:r w:rsidRPr="00276D33">
        <w:rPr>
          <w:bCs/>
          <w:color w:val="244061" w:themeColor="accent1" w:themeShade="80"/>
          <w:sz w:val="20"/>
          <w:lang w:val="es-ES_tradnl"/>
        </w:rPr>
        <w:t xml:space="preserve">ASIGNACIÓN </w:t>
      </w:r>
      <w:r w:rsidRPr="00C37DFA">
        <w:rPr>
          <w:bCs/>
          <w:sz w:val="20"/>
          <w:lang w:val="es-ES_tradnl"/>
        </w:rPr>
        <w:t>DE LOS INGRESOS POR UNIÓN</w:t>
      </w:r>
    </w:p>
    <w:p w:rsidR="002833AD" w:rsidRPr="00C6387E" w:rsidRDefault="002833AD" w:rsidP="002833AD">
      <w:pPr>
        <w:rPr>
          <w:color w:val="1F497D"/>
          <w:sz w:val="20"/>
        </w:rPr>
      </w:pPr>
    </w:p>
    <w:p w:rsidR="002833AD" w:rsidRPr="0041456A" w:rsidRDefault="0041456A" w:rsidP="00B62209">
      <w:pPr>
        <w:numPr>
          <w:ilvl w:val="0"/>
          <w:numId w:val="51"/>
        </w:numPr>
        <w:jc w:val="both"/>
        <w:rPr>
          <w:sz w:val="20"/>
        </w:rPr>
      </w:pPr>
      <w:r w:rsidRPr="00435337">
        <w:rPr>
          <w:sz w:val="20"/>
          <w:lang w:val="es-ES_tradnl"/>
        </w:rPr>
        <w:t>Los ingresos procedentes de las contribuciones se asignan íntegramente a las Uniones financiadas por contribuciones</w:t>
      </w:r>
      <w:r w:rsidRPr="00C37DFA">
        <w:rPr>
          <w:sz w:val="20"/>
          <w:lang w:val="es-ES_tradnl"/>
        </w:rPr>
        <w:t xml:space="preserve">.  Los ingresos </w:t>
      </w:r>
      <w:r>
        <w:rPr>
          <w:sz w:val="20"/>
          <w:lang w:val="es-ES_tradnl"/>
        </w:rPr>
        <w:t>en</w:t>
      </w:r>
      <w:r w:rsidRPr="00C37DFA">
        <w:rPr>
          <w:sz w:val="20"/>
          <w:lang w:val="es-ES_tradnl"/>
        </w:rPr>
        <w:t xml:space="preserve"> concepto de tasas del Sistema del PCT, de los sistemas de registro de Madrid, </w:t>
      </w:r>
      <w:r w:rsidR="003B0DF0">
        <w:rPr>
          <w:sz w:val="20"/>
          <w:lang w:val="es-ES_tradnl"/>
        </w:rPr>
        <w:t>La Haya</w:t>
      </w:r>
      <w:r w:rsidRPr="00C37DFA">
        <w:rPr>
          <w:sz w:val="20"/>
          <w:lang w:val="es-ES_tradnl"/>
        </w:rPr>
        <w:t xml:space="preserve"> y Lisboa se asignan enteramente a las Uniones respectivas. Los ingresos procedentes de las publicaciones se asignan a las Uniones de</w:t>
      </w:r>
      <w:r>
        <w:rPr>
          <w:sz w:val="20"/>
          <w:lang w:val="es-ES_tradnl"/>
        </w:rPr>
        <w:t>l PCT,</w:t>
      </w:r>
      <w:r w:rsidRPr="00C37DFA">
        <w:rPr>
          <w:sz w:val="20"/>
          <w:lang w:val="es-ES_tradnl"/>
        </w:rPr>
        <w:t xml:space="preserve"> Madrid y </w:t>
      </w:r>
      <w:r w:rsidR="003B0DF0">
        <w:rPr>
          <w:sz w:val="20"/>
          <w:lang w:val="es-ES_tradnl"/>
        </w:rPr>
        <w:t>La Haya</w:t>
      </w:r>
      <w:r w:rsidRPr="00C37DFA">
        <w:rPr>
          <w:sz w:val="20"/>
          <w:lang w:val="es-ES_tradnl"/>
        </w:rPr>
        <w:t xml:space="preserve"> </w:t>
      </w:r>
      <w:r>
        <w:rPr>
          <w:sz w:val="20"/>
          <w:lang w:val="es-ES_tradnl"/>
        </w:rPr>
        <w:t>financiada</w:t>
      </w:r>
      <w:r w:rsidRPr="00C37DFA">
        <w:rPr>
          <w:sz w:val="20"/>
          <w:lang w:val="es-ES_tradnl"/>
        </w:rPr>
        <w:t xml:space="preserve">s por contribuciones sobre la base de los ingresos estimados </w:t>
      </w:r>
      <w:r>
        <w:rPr>
          <w:sz w:val="20"/>
          <w:lang w:val="es-ES_tradnl"/>
        </w:rPr>
        <w:t>en</w:t>
      </w:r>
      <w:r w:rsidRPr="00C37DFA">
        <w:rPr>
          <w:sz w:val="20"/>
          <w:lang w:val="es-ES_tradnl"/>
        </w:rPr>
        <w:t xml:space="preserve"> ese concepto para cada Unión.  Los ingresos procedentes del Centro de Arbitraje y Mediación se asignan a las Uniones mediante el cálculo de la parte relativa correspondiente a cada Unión.  Los “Otros ingresos” se distribuyen a las Uniones de la manera siguiente: i) una parte de los otros ingresos se atribuye directamente a la Unión del Sistema de Madrid </w:t>
      </w:r>
      <w:r w:rsidRPr="00C37DFA">
        <w:rPr>
          <w:sz w:val="20"/>
          <w:lang w:val="es-ES_tradnl"/>
        </w:rPr>
        <w:lastRenderedPageBreak/>
        <w:t>por tratarse de ingresos provenientes del alquiler del edificio de la Unión de Madrid y ii) la parte restante de esa rúbrica se distribuye de forma equitativa entre todas las Uniones.</w:t>
      </w:r>
    </w:p>
    <w:p w:rsidR="002833AD" w:rsidRPr="00276D33" w:rsidRDefault="002833AD" w:rsidP="002833AD">
      <w:pPr>
        <w:rPr>
          <w:color w:val="244061" w:themeColor="accent1" w:themeShade="80"/>
          <w:sz w:val="20"/>
        </w:rPr>
      </w:pPr>
    </w:p>
    <w:p w:rsidR="00A5378F" w:rsidRPr="00276D33" w:rsidRDefault="00A5378F" w:rsidP="00A5378F">
      <w:pPr>
        <w:rPr>
          <w:color w:val="244061" w:themeColor="accent1" w:themeShade="80"/>
          <w:sz w:val="20"/>
        </w:rPr>
      </w:pPr>
    </w:p>
    <w:p w:rsidR="00A5378F" w:rsidRPr="006451BE" w:rsidRDefault="00A5378F" w:rsidP="00A5378F">
      <w:pPr>
        <w:rPr>
          <w:bCs/>
          <w:sz w:val="20"/>
        </w:rPr>
      </w:pPr>
      <w:r w:rsidRPr="006451BE">
        <w:rPr>
          <w:bCs/>
          <w:sz w:val="20"/>
          <w:lang w:val="es-ES_tradnl"/>
        </w:rPr>
        <w:t>ASIGNACIÓN DE LOS AJUSTES CONFORME A LAS IPSAS, POR UNIÓN</w:t>
      </w:r>
    </w:p>
    <w:p w:rsidR="00A5378F" w:rsidRPr="006451BE" w:rsidRDefault="00A5378F" w:rsidP="00FF5B89">
      <w:pPr>
        <w:rPr>
          <w:color w:val="1F497D"/>
          <w:sz w:val="20"/>
        </w:rPr>
      </w:pPr>
    </w:p>
    <w:p w:rsidR="00A5378F" w:rsidRPr="006451BE" w:rsidRDefault="00A5378F" w:rsidP="00A5378F">
      <w:pPr>
        <w:numPr>
          <w:ilvl w:val="0"/>
          <w:numId w:val="51"/>
        </w:numPr>
        <w:jc w:val="both"/>
        <w:rPr>
          <w:b/>
          <w:i/>
          <w:sz w:val="20"/>
        </w:rPr>
      </w:pPr>
      <w:r w:rsidRPr="006451BE">
        <w:rPr>
          <w:sz w:val="20"/>
          <w:lang w:val="es-ES_tradnl"/>
        </w:rPr>
        <w:t xml:space="preserve">Los ajustes en los ingresos conforme a las IPSAS se pueden atribuir a cada una de las Uniones, puesto que guardan una relación directa con las tasas provenientes de los sistemas del PCT, de Madrid y de </w:t>
      </w:r>
      <w:r w:rsidR="003B0DF0">
        <w:rPr>
          <w:sz w:val="20"/>
          <w:lang w:val="es-ES_tradnl"/>
        </w:rPr>
        <w:t>La Haya</w:t>
      </w:r>
      <w:r w:rsidRPr="006451BE">
        <w:rPr>
          <w:sz w:val="20"/>
          <w:lang w:val="es-ES_tradnl"/>
        </w:rPr>
        <w:t>.  Se realiza una distribución proporcional de los ajustes en los gastos presupuestarios conforme a las IPSAS entre las Uniones sobre la base de la asignación de los gastos presupuestarios</w:t>
      </w:r>
      <w:r w:rsidRPr="006451BE">
        <w:rPr>
          <w:sz w:val="20"/>
        </w:rPr>
        <w:t>.</w:t>
      </w:r>
    </w:p>
    <w:p w:rsidR="00A5378F" w:rsidRPr="006451BE" w:rsidRDefault="00A5378F" w:rsidP="00A5378F">
      <w:pPr>
        <w:jc w:val="both"/>
        <w:rPr>
          <w:sz w:val="20"/>
        </w:rPr>
      </w:pPr>
    </w:p>
    <w:p w:rsidR="00A5378F" w:rsidRPr="002150CA" w:rsidRDefault="00A5378F" w:rsidP="00A5378F">
      <w:pPr>
        <w:jc w:val="both"/>
        <w:rPr>
          <w:sz w:val="20"/>
        </w:rPr>
      </w:pPr>
      <w:r w:rsidRPr="006451BE">
        <w:rPr>
          <w:sz w:val="20"/>
        </w:rPr>
        <w:t>En sintonía con la metodología anteriormente mencionada, en los cuadros 11, 12 y 13 que figuran a continuación se exponen la situación general para 2016/17, por Unión, estimaciones de ingresos para 2016/17, por Unión, y el presupuesto para 2016/17, por programa y Unión.</w:t>
      </w:r>
    </w:p>
    <w:p w:rsidR="00A5378F" w:rsidRPr="002150CA" w:rsidRDefault="00A5378F" w:rsidP="00A5378F">
      <w:pPr>
        <w:jc w:val="both"/>
        <w:rPr>
          <w:sz w:val="20"/>
        </w:rPr>
      </w:pPr>
    </w:p>
    <w:p w:rsidR="00A5378F" w:rsidRPr="002150CA" w:rsidRDefault="00A5378F" w:rsidP="00A5378F">
      <w:pPr>
        <w:rPr>
          <w:sz w:val="20"/>
        </w:rPr>
      </w:pPr>
    </w:p>
    <w:p w:rsidR="00DB0150" w:rsidRPr="00BF5CF4" w:rsidRDefault="00553847" w:rsidP="00DB0150">
      <w:pPr>
        <w:jc w:val="center"/>
        <w:rPr>
          <w:b/>
          <w:sz w:val="16"/>
          <w:szCs w:val="16"/>
        </w:rPr>
      </w:pPr>
      <w:r w:rsidRPr="00BF5CF4">
        <w:rPr>
          <w:b/>
          <w:sz w:val="16"/>
          <w:szCs w:val="16"/>
        </w:rPr>
        <w:t>Cuadro</w:t>
      </w:r>
      <w:r w:rsidR="00DB0150" w:rsidRPr="00BF5CF4">
        <w:rPr>
          <w:b/>
          <w:sz w:val="16"/>
          <w:szCs w:val="16"/>
        </w:rPr>
        <w:t xml:space="preserve"> 11.  </w:t>
      </w:r>
      <w:r w:rsidRPr="00BF5CF4">
        <w:rPr>
          <w:b/>
          <w:sz w:val="16"/>
          <w:szCs w:val="16"/>
        </w:rPr>
        <w:t xml:space="preserve">Situación hipotética para </w:t>
      </w:r>
      <w:r w:rsidR="00DB0150" w:rsidRPr="00BF5CF4">
        <w:rPr>
          <w:b/>
          <w:sz w:val="16"/>
          <w:szCs w:val="16"/>
        </w:rPr>
        <w:t>2016/17</w:t>
      </w:r>
      <w:r w:rsidRPr="00BF5CF4">
        <w:rPr>
          <w:b/>
          <w:sz w:val="16"/>
          <w:szCs w:val="16"/>
        </w:rPr>
        <w:t>, por Unión</w:t>
      </w:r>
    </w:p>
    <w:p w:rsidR="00DB0150" w:rsidRPr="00BF5CF4" w:rsidRDefault="00DB0150" w:rsidP="00DB0150">
      <w:pPr>
        <w:jc w:val="center"/>
        <w:rPr>
          <w:i/>
          <w:sz w:val="16"/>
          <w:szCs w:val="16"/>
        </w:rPr>
      </w:pPr>
      <w:r w:rsidRPr="00BF5CF4">
        <w:rPr>
          <w:i/>
          <w:sz w:val="16"/>
          <w:szCs w:val="16"/>
        </w:rPr>
        <w:t>(</w:t>
      </w:r>
      <w:proofErr w:type="gramStart"/>
      <w:r w:rsidR="00553847" w:rsidRPr="00BF5CF4">
        <w:rPr>
          <w:i/>
          <w:sz w:val="16"/>
          <w:szCs w:val="16"/>
        </w:rPr>
        <w:t>en</w:t>
      </w:r>
      <w:proofErr w:type="gramEnd"/>
      <w:r w:rsidR="00553847" w:rsidRPr="00BF5CF4">
        <w:rPr>
          <w:i/>
          <w:sz w:val="16"/>
          <w:szCs w:val="16"/>
        </w:rPr>
        <w:t xml:space="preserve"> miles de francos suizos</w:t>
      </w:r>
      <w:r w:rsidRPr="00BF5CF4">
        <w:rPr>
          <w:i/>
          <w:sz w:val="16"/>
          <w:szCs w:val="16"/>
        </w:rPr>
        <w:t>)</w:t>
      </w:r>
    </w:p>
    <w:p w:rsidR="00DB0150" w:rsidRPr="00BF5CF4" w:rsidRDefault="00DB0150" w:rsidP="00DB0150">
      <w:pPr>
        <w:jc w:val="both"/>
        <w:rPr>
          <w:sz w:val="20"/>
          <w:highlight w:val="lightGray"/>
        </w:rPr>
      </w:pPr>
    </w:p>
    <w:p w:rsidR="00DB0150" w:rsidRPr="00BF5CF4" w:rsidRDefault="003B754B" w:rsidP="00DB0150">
      <w:pPr>
        <w:jc w:val="center"/>
        <w:rPr>
          <w:i/>
          <w:sz w:val="20"/>
          <w:highlight w:val="lightGray"/>
        </w:rPr>
      </w:pPr>
      <w:r>
        <w:rPr>
          <w:noProof/>
          <w:lang w:val="en-US" w:eastAsia="en-US"/>
        </w:rPr>
        <w:drawing>
          <wp:inline distT="0" distB="0" distL="0" distR="0" wp14:anchorId="26587E03" wp14:editId="2BE6F5A2">
            <wp:extent cx="6232112" cy="2041451"/>
            <wp:effectExtent l="0" t="0" r="0" b="0"/>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6235907" cy="2042694"/>
                    </a:xfrm>
                    <a:prstGeom prst="rect">
                      <a:avLst/>
                    </a:prstGeom>
                    <a:noFill/>
                    <a:ln>
                      <a:noFill/>
                    </a:ln>
                  </pic:spPr>
                </pic:pic>
              </a:graphicData>
            </a:graphic>
          </wp:inline>
        </w:drawing>
      </w:r>
    </w:p>
    <w:p w:rsidR="00DB0150" w:rsidRPr="00BF5CF4" w:rsidRDefault="00211D12" w:rsidP="00DB0150">
      <w:pPr>
        <w:rPr>
          <w:i/>
          <w:sz w:val="16"/>
          <w:szCs w:val="14"/>
          <w:highlight w:val="lightGray"/>
        </w:rPr>
      </w:pPr>
      <w:r w:rsidRPr="00BF5CF4">
        <w:rPr>
          <w:i/>
          <w:sz w:val="16"/>
          <w:szCs w:val="14"/>
        </w:rPr>
        <w:t>* En lo relativo a los FRO, los objetivos se calculan en porcentaje del gasto bienal para cada Unión.</w:t>
      </w:r>
    </w:p>
    <w:p w:rsidR="00DB0150" w:rsidRPr="00BF5CF4" w:rsidRDefault="00DB0150" w:rsidP="00DB0150">
      <w:pPr>
        <w:rPr>
          <w:i/>
          <w:sz w:val="16"/>
          <w:szCs w:val="14"/>
          <w:highlight w:val="lightGray"/>
        </w:rPr>
      </w:pPr>
    </w:p>
    <w:p w:rsidR="00DB0150" w:rsidRPr="00211D12" w:rsidRDefault="00DB0150" w:rsidP="00DB0150">
      <w:pPr>
        <w:rPr>
          <w:i/>
          <w:sz w:val="16"/>
          <w:szCs w:val="14"/>
          <w:highlight w:val="lightGray"/>
        </w:rPr>
      </w:pPr>
    </w:p>
    <w:p w:rsidR="00DB0150" w:rsidRPr="00122E09" w:rsidRDefault="00DB0150" w:rsidP="00DB0150">
      <w:pPr>
        <w:rPr>
          <w:i/>
          <w:sz w:val="14"/>
          <w:szCs w:val="14"/>
          <w:highlight w:val="lightGray"/>
        </w:rPr>
      </w:pPr>
    </w:p>
    <w:p w:rsidR="00DB0150" w:rsidRPr="00122E09" w:rsidRDefault="00243548" w:rsidP="00DB0150">
      <w:pPr>
        <w:jc w:val="center"/>
        <w:rPr>
          <w:b/>
          <w:sz w:val="16"/>
          <w:szCs w:val="16"/>
        </w:rPr>
      </w:pPr>
      <w:r w:rsidRPr="00122E09">
        <w:rPr>
          <w:b/>
          <w:sz w:val="16"/>
          <w:szCs w:val="16"/>
        </w:rPr>
        <w:t>Cuadro</w:t>
      </w:r>
      <w:r w:rsidR="00DB0150" w:rsidRPr="00122E09">
        <w:rPr>
          <w:b/>
          <w:sz w:val="16"/>
          <w:szCs w:val="16"/>
        </w:rPr>
        <w:t xml:space="preserve"> 12.  </w:t>
      </w:r>
      <w:r w:rsidRPr="00122E09">
        <w:rPr>
          <w:b/>
          <w:sz w:val="16"/>
          <w:szCs w:val="16"/>
        </w:rPr>
        <w:t xml:space="preserve">Estimaciones de ingresos para </w:t>
      </w:r>
      <w:r w:rsidR="00DB0150" w:rsidRPr="00122E09">
        <w:rPr>
          <w:b/>
          <w:sz w:val="16"/>
          <w:szCs w:val="16"/>
        </w:rPr>
        <w:t>2016/17</w:t>
      </w:r>
      <w:r w:rsidRPr="00122E09">
        <w:rPr>
          <w:b/>
          <w:sz w:val="16"/>
          <w:szCs w:val="16"/>
        </w:rPr>
        <w:t>, por Unión</w:t>
      </w:r>
    </w:p>
    <w:p w:rsidR="00DB0150" w:rsidRPr="00122E09" w:rsidRDefault="00DB0150" w:rsidP="00DB0150">
      <w:pPr>
        <w:jc w:val="center"/>
        <w:rPr>
          <w:i/>
          <w:sz w:val="16"/>
          <w:szCs w:val="16"/>
        </w:rPr>
      </w:pPr>
      <w:r w:rsidRPr="00122E09">
        <w:rPr>
          <w:i/>
          <w:sz w:val="16"/>
          <w:szCs w:val="16"/>
        </w:rPr>
        <w:t>(</w:t>
      </w:r>
      <w:proofErr w:type="gramStart"/>
      <w:r w:rsidR="00243548" w:rsidRPr="00122E09">
        <w:rPr>
          <w:i/>
          <w:sz w:val="16"/>
          <w:szCs w:val="16"/>
        </w:rPr>
        <w:t>en</w:t>
      </w:r>
      <w:proofErr w:type="gramEnd"/>
      <w:r w:rsidR="00243548" w:rsidRPr="00122E09">
        <w:rPr>
          <w:i/>
          <w:sz w:val="16"/>
          <w:szCs w:val="16"/>
        </w:rPr>
        <w:t xml:space="preserve"> miles de francos suizos</w:t>
      </w:r>
      <w:r w:rsidRPr="00122E09">
        <w:rPr>
          <w:i/>
          <w:sz w:val="16"/>
          <w:szCs w:val="16"/>
        </w:rPr>
        <w:t>)</w:t>
      </w:r>
    </w:p>
    <w:p w:rsidR="00DB0150" w:rsidRPr="00122E09" w:rsidRDefault="00DB0150" w:rsidP="00DB0150">
      <w:pPr>
        <w:jc w:val="center"/>
        <w:rPr>
          <w:i/>
          <w:sz w:val="16"/>
          <w:szCs w:val="16"/>
        </w:rPr>
      </w:pPr>
    </w:p>
    <w:p w:rsidR="00DB0150" w:rsidRPr="00243548" w:rsidRDefault="003B754B" w:rsidP="00DB0150">
      <w:pPr>
        <w:rPr>
          <w:i/>
          <w:color w:val="808080"/>
          <w:sz w:val="14"/>
          <w:szCs w:val="14"/>
        </w:rPr>
      </w:pPr>
      <w:r>
        <w:rPr>
          <w:noProof/>
          <w:lang w:val="en-US" w:eastAsia="en-US"/>
        </w:rPr>
        <w:drawing>
          <wp:inline distT="0" distB="0" distL="0" distR="0" wp14:anchorId="68C76418" wp14:editId="4457D671">
            <wp:extent cx="5943600" cy="1167987"/>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943600" cy="1167987"/>
                    </a:xfrm>
                    <a:prstGeom prst="rect">
                      <a:avLst/>
                    </a:prstGeom>
                    <a:noFill/>
                    <a:ln>
                      <a:noFill/>
                    </a:ln>
                  </pic:spPr>
                </pic:pic>
              </a:graphicData>
            </a:graphic>
          </wp:inline>
        </w:drawing>
      </w:r>
    </w:p>
    <w:p w:rsidR="00DB0150" w:rsidRDefault="00DB0150" w:rsidP="00DB0150">
      <w:pPr>
        <w:spacing w:after="200" w:line="276" w:lineRule="auto"/>
        <w:rPr>
          <w:sz w:val="20"/>
        </w:rPr>
      </w:pPr>
    </w:p>
    <w:p w:rsidR="00FB3DF6" w:rsidRDefault="00FB3DF6" w:rsidP="00C97D8A">
      <w:pPr>
        <w:pStyle w:val="StyleHeading3ComplexItalic"/>
        <w:keepNext w:val="0"/>
        <w:tabs>
          <w:tab w:val="clear" w:pos="1985"/>
          <w:tab w:val="left" w:pos="1418"/>
        </w:tabs>
        <w:ind w:left="1418" w:hanging="1418"/>
        <w:rPr>
          <w:b w:val="0"/>
          <w:caps w:val="0"/>
          <w:lang w:val="es-ES"/>
        </w:rPr>
        <w:sectPr w:rsidR="00FB3DF6" w:rsidSect="00781224">
          <w:headerReference w:type="even" r:id="rId210"/>
          <w:headerReference w:type="default" r:id="rId211"/>
          <w:footerReference w:type="even" r:id="rId212"/>
          <w:footerReference w:type="default" r:id="rId213"/>
          <w:pgSz w:w="12240" w:h="15840"/>
          <w:pgMar w:top="680" w:right="1418" w:bottom="1361" w:left="1418" w:header="624" w:footer="907" w:gutter="0"/>
          <w:cols w:space="720"/>
          <w:docGrid w:linePitch="360"/>
        </w:sectPr>
      </w:pPr>
    </w:p>
    <w:p w:rsidR="00FB3DF6" w:rsidRPr="002C551C" w:rsidRDefault="002C23BA" w:rsidP="00FB3DF6">
      <w:pPr>
        <w:jc w:val="center"/>
        <w:rPr>
          <w:b/>
          <w:sz w:val="20"/>
          <w:szCs w:val="16"/>
        </w:rPr>
      </w:pPr>
      <w:r w:rsidRPr="002C551C">
        <w:rPr>
          <w:b/>
          <w:sz w:val="20"/>
          <w:szCs w:val="16"/>
        </w:rPr>
        <w:lastRenderedPageBreak/>
        <w:t>Cuadro</w:t>
      </w:r>
      <w:r w:rsidR="00FB3DF6" w:rsidRPr="002C551C">
        <w:rPr>
          <w:b/>
          <w:sz w:val="20"/>
          <w:szCs w:val="16"/>
        </w:rPr>
        <w:t xml:space="preserve"> 13.  </w:t>
      </w:r>
      <w:r w:rsidR="00B62686" w:rsidRPr="002C551C">
        <w:rPr>
          <w:b/>
          <w:sz w:val="20"/>
          <w:szCs w:val="16"/>
        </w:rPr>
        <w:t>Presupuesto para 2016/17, por programa y Unión</w:t>
      </w:r>
    </w:p>
    <w:p w:rsidR="00FB3DF6" w:rsidRPr="002C551C" w:rsidRDefault="00FB3DF6" w:rsidP="00FB3DF6">
      <w:pPr>
        <w:jc w:val="center"/>
        <w:rPr>
          <w:i/>
          <w:sz w:val="20"/>
          <w:szCs w:val="16"/>
        </w:rPr>
      </w:pPr>
      <w:r w:rsidRPr="002C551C">
        <w:rPr>
          <w:i/>
          <w:sz w:val="20"/>
          <w:szCs w:val="16"/>
        </w:rPr>
        <w:t>(</w:t>
      </w:r>
      <w:proofErr w:type="gramStart"/>
      <w:r w:rsidR="00B62686" w:rsidRPr="002C551C">
        <w:rPr>
          <w:i/>
          <w:sz w:val="20"/>
          <w:szCs w:val="16"/>
        </w:rPr>
        <w:t>en</w:t>
      </w:r>
      <w:proofErr w:type="gramEnd"/>
      <w:r w:rsidR="00B62686" w:rsidRPr="002C551C">
        <w:rPr>
          <w:i/>
          <w:sz w:val="20"/>
          <w:szCs w:val="16"/>
        </w:rPr>
        <w:t xml:space="preserve"> miles de francos suizos</w:t>
      </w:r>
      <w:r w:rsidRPr="002C551C">
        <w:rPr>
          <w:i/>
          <w:sz w:val="20"/>
          <w:szCs w:val="16"/>
        </w:rPr>
        <w:t>)</w:t>
      </w:r>
    </w:p>
    <w:p w:rsidR="00FB3DF6" w:rsidRPr="002C551C" w:rsidRDefault="00FB3DF6" w:rsidP="00FB3DF6">
      <w:pPr>
        <w:jc w:val="center"/>
        <w:rPr>
          <w:i/>
          <w:sz w:val="20"/>
          <w:szCs w:val="16"/>
        </w:rPr>
      </w:pPr>
    </w:p>
    <w:p w:rsidR="00FB3DF6" w:rsidRPr="002C23BA" w:rsidRDefault="003B754B" w:rsidP="00FB3DF6">
      <w:pPr>
        <w:rPr>
          <w:color w:val="808080"/>
          <w:sz w:val="20"/>
        </w:rPr>
      </w:pPr>
      <w:r>
        <w:rPr>
          <w:noProof/>
          <w:lang w:val="en-US" w:eastAsia="en-US"/>
        </w:rPr>
        <w:drawing>
          <wp:inline distT="0" distB="0" distL="0" distR="0" wp14:anchorId="46D2DC67" wp14:editId="225E4572">
            <wp:extent cx="8825023" cy="4423145"/>
            <wp:effectExtent l="0" t="0" r="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8830582" cy="4425931"/>
                    </a:xfrm>
                    <a:prstGeom prst="rect">
                      <a:avLst/>
                    </a:prstGeom>
                    <a:noFill/>
                    <a:ln>
                      <a:noFill/>
                    </a:ln>
                  </pic:spPr>
                </pic:pic>
              </a:graphicData>
            </a:graphic>
          </wp:inline>
        </w:drawing>
      </w:r>
    </w:p>
    <w:p w:rsidR="00FB3DF6" w:rsidRDefault="00FB3DF6" w:rsidP="00FB3DF6">
      <w:pPr>
        <w:autoSpaceDE w:val="0"/>
        <w:autoSpaceDN w:val="0"/>
        <w:adjustRightInd w:val="0"/>
        <w:rPr>
          <w:sz w:val="20"/>
        </w:rPr>
      </w:pPr>
    </w:p>
    <w:p w:rsidR="00FB3DF6" w:rsidRDefault="00FB3DF6" w:rsidP="00C97D8A">
      <w:pPr>
        <w:pStyle w:val="StyleHeading3ComplexItalic"/>
        <w:keepNext w:val="0"/>
        <w:tabs>
          <w:tab w:val="clear" w:pos="1985"/>
          <w:tab w:val="left" w:pos="1418"/>
        </w:tabs>
        <w:ind w:left="1418" w:hanging="1418"/>
        <w:rPr>
          <w:b w:val="0"/>
          <w:caps w:val="0"/>
          <w:lang w:val="es-ES"/>
        </w:rPr>
        <w:sectPr w:rsidR="00FB3DF6" w:rsidSect="00FB3DF6">
          <w:pgSz w:w="15840" w:h="12240" w:orient="landscape"/>
          <w:pgMar w:top="1418" w:right="680" w:bottom="1418" w:left="1361" w:header="624" w:footer="907" w:gutter="0"/>
          <w:cols w:space="720"/>
          <w:docGrid w:linePitch="360"/>
        </w:sectPr>
      </w:pPr>
    </w:p>
    <w:p w:rsidR="0026052C" w:rsidRPr="007C6477" w:rsidRDefault="000F4331" w:rsidP="003F76B4">
      <w:pPr>
        <w:pStyle w:val="StyleHeading3ComplexItalic"/>
        <w:keepNext w:val="0"/>
        <w:widowControl w:val="0"/>
        <w:tabs>
          <w:tab w:val="clear" w:pos="1985"/>
          <w:tab w:val="left" w:pos="-3119"/>
        </w:tabs>
        <w:ind w:left="1560" w:hanging="1560"/>
        <w:rPr>
          <w:caps w:val="0"/>
          <w:lang w:val="es-ES"/>
        </w:rPr>
      </w:pPr>
      <w:bookmarkStart w:id="96" w:name="_Toc420681173"/>
      <w:r>
        <w:rPr>
          <w:caps w:val="0"/>
          <w:lang w:val="es-ES"/>
        </w:rPr>
        <w:lastRenderedPageBreak/>
        <w:t>ANEXO IV</w:t>
      </w:r>
      <w:r w:rsidR="0026052C" w:rsidRPr="007C6477">
        <w:rPr>
          <w:b w:val="0"/>
          <w:caps w:val="0"/>
          <w:lang w:val="es-ES"/>
        </w:rPr>
        <w:tab/>
      </w:r>
      <w:r w:rsidR="0026052C" w:rsidRPr="007C6477">
        <w:rPr>
          <w:caps w:val="0"/>
          <w:lang w:val="es-ES"/>
        </w:rPr>
        <w:t>EVOLUCIÓN DE LA DEMANDA DE LOS SERVICIOS DE LOS SISTEMAS DEL PCT, DE MADRID Y DE LA HAYA A MEDIANO PLAZO</w:t>
      </w:r>
      <w:bookmarkEnd w:id="96"/>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jc w:val="both"/>
        <w:rPr>
          <w:b/>
          <w:sz w:val="20"/>
        </w:rPr>
      </w:pPr>
      <w:r w:rsidRPr="007C6477">
        <w:rPr>
          <w:b/>
          <w:sz w:val="20"/>
        </w:rPr>
        <w:t>PCT</w:t>
      </w:r>
    </w:p>
    <w:p w:rsidR="0026052C" w:rsidRPr="007C6477" w:rsidRDefault="0026052C" w:rsidP="0026052C">
      <w:pPr>
        <w:widowControl w:val="0"/>
        <w:jc w:val="both"/>
        <w:rPr>
          <w:b/>
          <w:sz w:val="20"/>
        </w:rPr>
      </w:pPr>
    </w:p>
    <w:p w:rsidR="0026052C" w:rsidRPr="007C6477" w:rsidRDefault="0026052C" w:rsidP="0026052C">
      <w:pPr>
        <w:widowControl w:val="0"/>
        <w:numPr>
          <w:ilvl w:val="0"/>
          <w:numId w:val="52"/>
        </w:numPr>
        <w:jc w:val="both"/>
        <w:rPr>
          <w:sz w:val="20"/>
        </w:rPr>
      </w:pPr>
      <w:r w:rsidRPr="007C6477">
        <w:rPr>
          <w:sz w:val="20"/>
        </w:rPr>
        <w:t>Diversos factores influyen en la cuantía de los ingresos del PCT, en particular, la demanda de servicios del PCT y el comportamiento de los solicitantes.  A su vez, diversos factores internos y externos en relación con el sistema de patentes influyen en la demanda de servicios del PCT.  Entre los factores externos cabe mencionar el rendimiento de la economía a escala mundial y en los países en los que la demanda crece más y más rápidamente;  la inversión en investigación y desarrollo (I+D);  la confianza tecnológica, y, por último, las fluctuaciones de los tipos de cambio.  Entre los factores internos cabe destacar</w:t>
      </w:r>
      <w:proofErr w:type="gramStart"/>
      <w:r w:rsidRPr="007C6477">
        <w:rPr>
          <w:sz w:val="20"/>
        </w:rPr>
        <w:t>:  la</w:t>
      </w:r>
      <w:proofErr w:type="gramEnd"/>
      <w:r w:rsidRPr="007C6477">
        <w:rPr>
          <w:sz w:val="20"/>
        </w:rPr>
        <w:t xml:space="preserve"> cuantía de las tasas PCT en comparación con otros medios de presentación de solicitudes de patente;  el interés y el valor que se atribuye a los servicios PCT en comparación con los demás medios de presentación;  la credibilidad general del funcionamiento del sistema de patentes, y, por último, las estrategias de las empresas en materia de patentes.</w:t>
      </w:r>
    </w:p>
    <w:p w:rsidR="0026052C" w:rsidRPr="007C6477" w:rsidRDefault="0026052C" w:rsidP="0026052C">
      <w:pPr>
        <w:widowControl w:val="0"/>
        <w:tabs>
          <w:tab w:val="num" w:pos="0"/>
        </w:tabs>
        <w:jc w:val="both"/>
        <w:rPr>
          <w:sz w:val="20"/>
        </w:rPr>
      </w:pPr>
    </w:p>
    <w:p w:rsidR="0026052C" w:rsidRPr="007C6477" w:rsidRDefault="0026052C" w:rsidP="0026052C">
      <w:pPr>
        <w:widowControl w:val="0"/>
        <w:numPr>
          <w:ilvl w:val="0"/>
          <w:numId w:val="52"/>
        </w:numPr>
        <w:jc w:val="both"/>
        <w:rPr>
          <w:sz w:val="20"/>
        </w:rPr>
      </w:pPr>
      <w:r w:rsidRPr="007C6477">
        <w:rPr>
          <w:sz w:val="20"/>
        </w:rPr>
        <w:t>El comportamiento de los solicitantes influye en los ingresos de la siguiente manera:</w:t>
      </w:r>
    </w:p>
    <w:p w:rsidR="0026052C" w:rsidRPr="007C6477" w:rsidRDefault="0026052C" w:rsidP="0026052C">
      <w:pPr>
        <w:pStyle w:val="BodyText"/>
        <w:widowControl w:val="0"/>
        <w:tabs>
          <w:tab w:val="num" w:pos="567"/>
          <w:tab w:val="left" w:pos="1134"/>
        </w:tabs>
        <w:spacing w:after="0"/>
        <w:ind w:left="567"/>
        <w:jc w:val="both"/>
        <w:rPr>
          <w:sz w:val="20"/>
        </w:rPr>
      </w:pPr>
    </w:p>
    <w:p w:rsidR="0026052C" w:rsidRPr="007C6477" w:rsidRDefault="0026052C" w:rsidP="0026052C">
      <w:pPr>
        <w:pStyle w:val="BodyText"/>
        <w:widowControl w:val="0"/>
        <w:tabs>
          <w:tab w:val="left" w:pos="567"/>
          <w:tab w:val="left" w:pos="1134"/>
        </w:tabs>
        <w:spacing w:after="0"/>
        <w:ind w:left="567"/>
        <w:jc w:val="both"/>
        <w:rPr>
          <w:sz w:val="20"/>
        </w:rPr>
      </w:pPr>
      <w:r w:rsidRPr="007C6477">
        <w:rPr>
          <w:sz w:val="20"/>
        </w:rPr>
        <w:t>i)</w:t>
      </w:r>
      <w:r w:rsidRPr="007C6477">
        <w:rPr>
          <w:sz w:val="20"/>
        </w:rPr>
        <w:tab/>
      </w:r>
      <w:r w:rsidRPr="007C6477">
        <w:rPr>
          <w:sz w:val="20"/>
          <w:u w:val="single"/>
        </w:rPr>
        <w:t>Tasa por exceso de páginas</w:t>
      </w:r>
      <w:proofErr w:type="gramStart"/>
      <w:r w:rsidRPr="007C6477">
        <w:rPr>
          <w:sz w:val="20"/>
        </w:rPr>
        <w:t>:  la</w:t>
      </w:r>
      <w:proofErr w:type="gramEnd"/>
      <w:r w:rsidRPr="007C6477">
        <w:rPr>
          <w:sz w:val="20"/>
        </w:rPr>
        <w:t xml:space="preserve"> Oficina Internacional percibe 15 francos suizos por cada página que exceda de 30 en una solicitud.</w:t>
      </w:r>
    </w:p>
    <w:p w:rsidR="0026052C" w:rsidRPr="007C6477" w:rsidRDefault="0026052C" w:rsidP="0026052C">
      <w:pPr>
        <w:pStyle w:val="BodyText"/>
        <w:widowControl w:val="0"/>
        <w:tabs>
          <w:tab w:val="left" w:pos="1134"/>
        </w:tabs>
        <w:spacing w:after="0"/>
        <w:ind w:left="567"/>
        <w:jc w:val="both"/>
        <w:rPr>
          <w:sz w:val="20"/>
        </w:rPr>
      </w:pPr>
    </w:p>
    <w:p w:rsidR="0026052C" w:rsidRPr="007C6477" w:rsidRDefault="0026052C" w:rsidP="0026052C">
      <w:pPr>
        <w:pStyle w:val="BodyText"/>
        <w:widowControl w:val="0"/>
        <w:tabs>
          <w:tab w:val="left" w:pos="567"/>
          <w:tab w:val="left" w:pos="1134"/>
        </w:tabs>
        <w:spacing w:after="0"/>
        <w:ind w:left="567"/>
        <w:jc w:val="both"/>
        <w:rPr>
          <w:sz w:val="20"/>
        </w:rPr>
      </w:pPr>
      <w:r w:rsidRPr="007C6477">
        <w:rPr>
          <w:sz w:val="20"/>
        </w:rPr>
        <w:t>ii)</w:t>
      </w:r>
      <w:r w:rsidRPr="007C6477">
        <w:rPr>
          <w:sz w:val="20"/>
        </w:rPr>
        <w:tab/>
      </w:r>
      <w:r w:rsidRPr="007C6477">
        <w:rPr>
          <w:sz w:val="20"/>
          <w:u w:val="single"/>
        </w:rPr>
        <w:t>Examen preliminar internacional</w:t>
      </w:r>
      <w:proofErr w:type="gramStart"/>
      <w:r w:rsidRPr="007C6477">
        <w:rPr>
          <w:sz w:val="20"/>
        </w:rPr>
        <w:t>:  los</w:t>
      </w:r>
      <w:proofErr w:type="gramEnd"/>
      <w:r w:rsidRPr="007C6477">
        <w:rPr>
          <w:sz w:val="20"/>
        </w:rPr>
        <w:t xml:space="preserve"> solicitantes que recurran al examen preliminar internacional en virtud del Capítulo II del PCT deberán pagar una tasa adicional (tasa de tramitación).</w:t>
      </w:r>
    </w:p>
    <w:p w:rsidR="0026052C" w:rsidRPr="007C6477" w:rsidRDefault="0026052C" w:rsidP="0026052C">
      <w:pPr>
        <w:pStyle w:val="BodyText"/>
        <w:widowControl w:val="0"/>
        <w:tabs>
          <w:tab w:val="left" w:pos="1134"/>
        </w:tabs>
        <w:spacing w:after="0"/>
        <w:ind w:left="567"/>
        <w:jc w:val="both"/>
        <w:rPr>
          <w:sz w:val="20"/>
        </w:rPr>
      </w:pPr>
    </w:p>
    <w:p w:rsidR="0026052C" w:rsidRPr="007C6477" w:rsidRDefault="0026052C" w:rsidP="0026052C">
      <w:pPr>
        <w:pStyle w:val="BodyText"/>
        <w:widowControl w:val="0"/>
        <w:tabs>
          <w:tab w:val="left" w:pos="567"/>
          <w:tab w:val="left" w:pos="1134"/>
        </w:tabs>
        <w:spacing w:after="0"/>
        <w:ind w:left="567"/>
        <w:jc w:val="both"/>
        <w:rPr>
          <w:sz w:val="20"/>
        </w:rPr>
      </w:pPr>
      <w:r w:rsidRPr="007C6477">
        <w:rPr>
          <w:sz w:val="20"/>
        </w:rPr>
        <w:t>iii)</w:t>
      </w:r>
      <w:r w:rsidRPr="007C6477">
        <w:rPr>
          <w:sz w:val="20"/>
        </w:rPr>
        <w:tab/>
      </w:r>
      <w:r w:rsidRPr="007C6477">
        <w:rPr>
          <w:sz w:val="20"/>
          <w:u w:val="single"/>
        </w:rPr>
        <w:t>Presentación electrónica</w:t>
      </w:r>
      <w:proofErr w:type="gramStart"/>
      <w:r w:rsidRPr="007C6477">
        <w:rPr>
          <w:sz w:val="20"/>
        </w:rPr>
        <w:t>:  cuando</w:t>
      </w:r>
      <w:proofErr w:type="gramEnd"/>
      <w:r w:rsidRPr="007C6477">
        <w:rPr>
          <w:sz w:val="20"/>
        </w:rPr>
        <w:t xml:space="preserve"> los solicitantes utilicen este medio de presentación (en lugar de la presentación en papel) podrán beneficiarse de un descuento.</w:t>
      </w:r>
    </w:p>
    <w:p w:rsidR="0026052C" w:rsidRPr="007C6477" w:rsidRDefault="0026052C" w:rsidP="0026052C">
      <w:pPr>
        <w:pStyle w:val="BodyText"/>
        <w:widowControl w:val="0"/>
        <w:tabs>
          <w:tab w:val="left" w:pos="1134"/>
        </w:tabs>
        <w:spacing w:after="0"/>
        <w:ind w:left="567"/>
        <w:jc w:val="both"/>
        <w:rPr>
          <w:sz w:val="20"/>
        </w:rPr>
      </w:pPr>
    </w:p>
    <w:p w:rsidR="0026052C" w:rsidRPr="007C6477" w:rsidRDefault="0026052C" w:rsidP="0026052C">
      <w:pPr>
        <w:pStyle w:val="BodyText"/>
        <w:widowControl w:val="0"/>
        <w:tabs>
          <w:tab w:val="left" w:pos="1134"/>
        </w:tabs>
        <w:spacing w:after="0"/>
        <w:ind w:left="567"/>
        <w:jc w:val="both"/>
        <w:rPr>
          <w:sz w:val="20"/>
        </w:rPr>
      </w:pPr>
      <w:r w:rsidRPr="007C6477">
        <w:rPr>
          <w:sz w:val="20"/>
        </w:rPr>
        <w:t>iv)</w:t>
      </w:r>
      <w:r w:rsidRPr="007C6477">
        <w:rPr>
          <w:sz w:val="20"/>
        </w:rPr>
        <w:tab/>
      </w:r>
      <w:r w:rsidRPr="007C6477">
        <w:rPr>
          <w:sz w:val="20"/>
          <w:u w:val="single"/>
        </w:rPr>
        <w:t>La Oficina Internacional en calidad de Oficina receptora</w:t>
      </w:r>
      <w:proofErr w:type="gramStart"/>
      <w:r w:rsidRPr="007C6477">
        <w:rPr>
          <w:sz w:val="20"/>
        </w:rPr>
        <w:t>:  los</w:t>
      </w:r>
      <w:proofErr w:type="gramEnd"/>
      <w:r w:rsidRPr="007C6477">
        <w:rPr>
          <w:sz w:val="20"/>
        </w:rPr>
        <w:t xml:space="preserve"> solicitantes que decidan presentar su solicitud a la Oficina Internacional en calidad de Oficina receptora habrán de pagar una tasa especial (tasa de transmisión).</w:t>
      </w:r>
    </w:p>
    <w:p w:rsidR="0026052C" w:rsidRPr="007C6477" w:rsidRDefault="0026052C" w:rsidP="0026052C">
      <w:pPr>
        <w:pStyle w:val="BodyText"/>
        <w:widowControl w:val="0"/>
        <w:tabs>
          <w:tab w:val="left" w:pos="1134"/>
        </w:tabs>
        <w:spacing w:after="0"/>
        <w:ind w:left="567"/>
        <w:jc w:val="both"/>
        <w:rPr>
          <w:sz w:val="20"/>
        </w:rPr>
      </w:pPr>
    </w:p>
    <w:p w:rsidR="0026052C" w:rsidRPr="007C6477" w:rsidRDefault="0026052C" w:rsidP="0026052C">
      <w:pPr>
        <w:widowControl w:val="0"/>
        <w:numPr>
          <w:ilvl w:val="0"/>
          <w:numId w:val="52"/>
        </w:numPr>
        <w:jc w:val="both"/>
        <w:rPr>
          <w:sz w:val="20"/>
        </w:rPr>
      </w:pPr>
      <w:r w:rsidRPr="007C6477">
        <w:rPr>
          <w:sz w:val="20"/>
        </w:rPr>
        <w:t>En los siguientes párrafos se analizan detenidamente las previsiones actuales respecto de:  la demanda;  las solicitudes de examen preliminar internacional previstas en virtud del Capítulo II;  el volumen previsto de solicitudes presentadas electrónicamente, y, por último, las previsiones relativas a la presentación de solicitudes en la Oficina Internacional en calidad de Oficina receptora.</w:t>
      </w:r>
      <w:r w:rsidRPr="007C6477">
        <w:rPr>
          <w:rStyle w:val="FootnoteReference"/>
          <w:sz w:val="20"/>
        </w:rPr>
        <w:footnoteReference w:id="18"/>
      </w:r>
    </w:p>
    <w:p w:rsidR="0026052C" w:rsidRPr="007C6477" w:rsidRDefault="0026052C" w:rsidP="0026052C">
      <w:pPr>
        <w:widowControl w:val="0"/>
        <w:jc w:val="both"/>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Previsión de solicitudes PCT (demanda)</w:t>
      </w:r>
    </w:p>
    <w:p w:rsidR="0026052C" w:rsidRPr="007C6477" w:rsidRDefault="0026052C" w:rsidP="0026052C">
      <w:pPr>
        <w:widowControl w:val="0"/>
        <w:rPr>
          <w:sz w:val="20"/>
        </w:rPr>
      </w:pPr>
    </w:p>
    <w:p w:rsidR="0026052C" w:rsidRPr="007C6477" w:rsidRDefault="0026052C" w:rsidP="0026052C">
      <w:pPr>
        <w:widowControl w:val="0"/>
        <w:numPr>
          <w:ilvl w:val="0"/>
          <w:numId w:val="52"/>
        </w:numPr>
        <w:jc w:val="both"/>
        <w:rPr>
          <w:sz w:val="20"/>
        </w:rPr>
      </w:pPr>
      <w:r w:rsidRPr="007C6477">
        <w:rPr>
          <w:sz w:val="20"/>
        </w:rPr>
        <w:t>En 2009 se produjo un descenso anual del 5% en el número de solicitudes PCT, tras el cual se registró un fuerte aumento en los últimos años.  En el gráfico 1 se indica la previsión del número de solicitudes PCT correspondientes al período de 2014 a 2017 (a partir de los datos existentes al  final de enero de 2015).</w:t>
      </w:r>
    </w:p>
    <w:p w:rsidR="0026052C" w:rsidRPr="007C6477" w:rsidRDefault="0026052C" w:rsidP="0026052C">
      <w:pPr>
        <w:widowControl w:val="0"/>
        <w:rPr>
          <w:sz w:val="20"/>
        </w:rPr>
      </w:pPr>
    </w:p>
    <w:p w:rsidR="0026052C" w:rsidRPr="002E0669" w:rsidRDefault="0026052C" w:rsidP="0026052C">
      <w:pPr>
        <w:keepNext/>
        <w:widowControl w:val="0"/>
        <w:jc w:val="center"/>
        <w:rPr>
          <w:sz w:val="20"/>
        </w:rPr>
      </w:pPr>
      <w:r w:rsidRPr="002E0669">
        <w:rPr>
          <w:sz w:val="20"/>
        </w:rPr>
        <w:lastRenderedPageBreak/>
        <w:t>Gráfico 1.  Solicitudes PCT de 2012 a 2017</w:t>
      </w:r>
    </w:p>
    <w:p w:rsidR="0026052C" w:rsidRPr="007C6477" w:rsidRDefault="0026052C" w:rsidP="0026052C">
      <w:pPr>
        <w:widowControl w:val="0"/>
        <w:jc w:val="center"/>
        <w:rPr>
          <w:sz w:val="20"/>
        </w:rPr>
      </w:pPr>
      <w:r w:rsidRPr="007C6477">
        <w:rPr>
          <w:noProof/>
          <w:lang w:val="en-US" w:eastAsia="en-US"/>
        </w:rPr>
        <w:drawing>
          <wp:inline distT="0" distB="0" distL="0" distR="0" wp14:anchorId="0386C1FD" wp14:editId="63CCB238">
            <wp:extent cx="4686969" cy="2594106"/>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692511" cy="2597174"/>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3EDDE7BC" wp14:editId="620FE585">
            <wp:extent cx="4856480" cy="724535"/>
            <wp:effectExtent l="0" t="0" r="127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856480" cy="724535"/>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el gráfico 2 se indica la previsión del número de solicitudes presentadas por país de origen.</w:t>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sz w:val="20"/>
        </w:rPr>
        <w:t xml:space="preserve">Gráfico 2.  Solicitudes PCT presentadas por una muestra representativa </w:t>
      </w:r>
      <w:r w:rsidR="002E0669">
        <w:rPr>
          <w:sz w:val="20"/>
        </w:rPr>
        <w:br/>
      </w:r>
      <w:r w:rsidRPr="007C6477">
        <w:rPr>
          <w:sz w:val="20"/>
        </w:rPr>
        <w:t>de países entre 2014 y 2017</w:t>
      </w:r>
    </w:p>
    <w:p w:rsidR="0026052C" w:rsidRPr="007C6477" w:rsidRDefault="0026052C" w:rsidP="0026052C">
      <w:pPr>
        <w:widowControl w:val="0"/>
      </w:pPr>
    </w:p>
    <w:p w:rsidR="0026052C" w:rsidRPr="007C6477" w:rsidRDefault="0026052C" w:rsidP="0026052C">
      <w:pPr>
        <w:widowControl w:val="0"/>
        <w:jc w:val="center"/>
        <w:rPr>
          <w:sz w:val="20"/>
        </w:rPr>
      </w:pPr>
      <w:r w:rsidRPr="007C6477">
        <w:rPr>
          <w:noProof/>
          <w:lang w:val="en-US" w:eastAsia="en-US"/>
        </w:rPr>
        <w:drawing>
          <wp:inline distT="0" distB="0" distL="0" distR="0" wp14:anchorId="16E5116F" wp14:editId="6CDA9B4D">
            <wp:extent cx="2915920" cy="3580130"/>
            <wp:effectExtent l="0" t="0" r="0" b="127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2915920" cy="3580130"/>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spacing w:after="200" w:line="276" w:lineRule="auto"/>
        <w:rPr>
          <w:sz w:val="20"/>
        </w:rPr>
      </w:pPr>
      <w:r w:rsidRPr="007C6477">
        <w:rPr>
          <w:sz w:val="20"/>
        </w:rPr>
        <w:br w:type="page"/>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Es probable que el número de solicitudes internacionales se ubique dentro de esos límites, que están asociados a un valor de probabilidad.  El cuadro que figura a continuación indica la distribución probabilística</w:t>
      </w:r>
      <w:r w:rsidRPr="007C6477">
        <w:rPr>
          <w:b/>
          <w:sz w:val="20"/>
        </w:rPr>
        <w:t xml:space="preserve"> </w:t>
      </w:r>
      <w:r w:rsidRPr="007C6477">
        <w:rPr>
          <w:sz w:val="20"/>
        </w:rPr>
        <w:t>del número de solicitudes presentadas.</w:t>
      </w:r>
    </w:p>
    <w:p w:rsidR="0026052C" w:rsidRPr="007C6477" w:rsidRDefault="0026052C" w:rsidP="0026052C">
      <w:pPr>
        <w:widowControl w:val="0"/>
        <w:rPr>
          <w:sz w:val="20"/>
        </w:rPr>
      </w:pPr>
    </w:p>
    <w:p w:rsidR="0026052C" w:rsidRPr="007C6477" w:rsidRDefault="0026052C" w:rsidP="0026052C">
      <w:pPr>
        <w:widowControl w:val="0"/>
        <w:jc w:val="center"/>
        <w:rPr>
          <w:sz w:val="18"/>
          <w:szCs w:val="18"/>
        </w:rPr>
      </w:pPr>
      <w:r w:rsidRPr="007C6477">
        <w:rPr>
          <w:sz w:val="18"/>
          <w:szCs w:val="18"/>
        </w:rPr>
        <w:t>Distribución probabilística de la previsión de solicitudes</w:t>
      </w:r>
    </w:p>
    <w:p w:rsidR="0026052C" w:rsidRPr="007C6477" w:rsidRDefault="0026052C" w:rsidP="0026052C">
      <w:pPr>
        <w:widowControl w:val="0"/>
        <w:jc w:val="center"/>
        <w:rPr>
          <w:sz w:val="20"/>
        </w:rPr>
      </w:pPr>
      <w:r w:rsidRPr="007C6477">
        <w:rPr>
          <w:noProof/>
          <w:lang w:val="en-US" w:eastAsia="en-US"/>
        </w:rPr>
        <w:drawing>
          <wp:inline distT="0" distB="0" distL="0" distR="0" wp14:anchorId="1984B9DC" wp14:editId="13DADB28">
            <wp:extent cx="4873533" cy="2381862"/>
            <wp:effectExtent l="0" t="0" r="381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882405" cy="2386198"/>
                    </a:xfrm>
                    <a:prstGeom prst="rect">
                      <a:avLst/>
                    </a:prstGeom>
                    <a:noFill/>
                    <a:ln>
                      <a:noFill/>
                    </a:ln>
                  </pic:spPr>
                </pic:pic>
              </a:graphicData>
            </a:graphic>
          </wp:inline>
        </w:drawing>
      </w:r>
    </w:p>
    <w:p w:rsidR="0026052C" w:rsidRPr="007C6477" w:rsidRDefault="0026052C" w:rsidP="0026052C">
      <w:pPr>
        <w:widowControl w:val="0"/>
        <w:jc w:val="center"/>
        <w:rPr>
          <w:sz w:val="18"/>
          <w:szCs w:val="18"/>
        </w:rPr>
      </w:pPr>
    </w:p>
    <w:p w:rsidR="0026052C" w:rsidRPr="007C6477" w:rsidRDefault="0026052C" w:rsidP="0026052C">
      <w:pPr>
        <w:widowControl w:val="0"/>
        <w:jc w:val="center"/>
        <w:rPr>
          <w:sz w:val="18"/>
          <w:szCs w:val="18"/>
        </w:rPr>
      </w:pPr>
    </w:p>
    <w:p w:rsidR="0026052C" w:rsidRPr="007C6477" w:rsidRDefault="0026052C" w:rsidP="0026052C">
      <w:pPr>
        <w:widowControl w:val="0"/>
        <w:jc w:val="center"/>
        <w:rPr>
          <w:sz w:val="18"/>
          <w:szCs w:val="18"/>
        </w:rPr>
      </w:pPr>
      <w:r w:rsidRPr="007C6477">
        <w:rPr>
          <w:sz w:val="18"/>
          <w:szCs w:val="18"/>
        </w:rPr>
        <w:t>Proyecciones correspondientes a las solicitudes PCT</w:t>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noProof/>
          <w:lang w:val="en-US" w:eastAsia="en-US"/>
        </w:rPr>
        <w:drawing>
          <wp:inline distT="0" distB="0" distL="0" distR="0" wp14:anchorId="4E1643C7" wp14:editId="4733169D">
            <wp:extent cx="3166110" cy="305371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3166110" cy="3053715"/>
                    </a:xfrm>
                    <a:prstGeom prst="rect">
                      <a:avLst/>
                    </a:prstGeom>
                    <a:noFill/>
                    <a:ln>
                      <a:noFill/>
                    </a:ln>
                  </pic:spPr>
                </pic:pic>
              </a:graphicData>
            </a:graphic>
          </wp:inline>
        </w:drawing>
      </w:r>
    </w:p>
    <w:p w:rsidR="0026052C" w:rsidRPr="007C6477" w:rsidRDefault="0026052C" w:rsidP="0026052C">
      <w:pPr>
        <w:widowControl w:val="0"/>
        <w:rPr>
          <w:i/>
          <w:sz w:val="20"/>
        </w:rPr>
      </w:pPr>
    </w:p>
    <w:p w:rsidR="0026052C" w:rsidRPr="007C6477" w:rsidRDefault="0026052C" w:rsidP="0026052C">
      <w:pPr>
        <w:widowControl w:val="0"/>
        <w:rPr>
          <w:i/>
          <w:sz w:val="20"/>
        </w:rPr>
      </w:pPr>
    </w:p>
    <w:p w:rsidR="0026052C" w:rsidRPr="007C6477" w:rsidRDefault="0026052C" w:rsidP="0026052C">
      <w:pPr>
        <w:widowControl w:val="0"/>
        <w:rPr>
          <w:i/>
          <w:sz w:val="20"/>
        </w:rPr>
      </w:pPr>
      <w:r w:rsidRPr="007C6477">
        <w:rPr>
          <w:i/>
          <w:sz w:val="20"/>
        </w:rPr>
        <w:t>Utilización de métodos de presentación electrónica</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el gráfico 3 se ilustra la utilización prevista de los métodos de presentación electrónica (EASY, PDF o XML) en forma de porcentaje del número total de solicitudes presentadas.  Como se indica en el gráfico, el recurso a la presentación electrónica sigue aumentado de manera constante.  En el año 2012, la presentación electrónica se aproximó al 90% del número total de solicitudes presentadas.</w:t>
      </w:r>
    </w:p>
    <w:p w:rsidR="0026052C" w:rsidRPr="007C6477" w:rsidRDefault="0026052C" w:rsidP="0026052C">
      <w:pPr>
        <w:spacing w:after="200" w:line="276" w:lineRule="auto"/>
        <w:rPr>
          <w:sz w:val="20"/>
        </w:rPr>
      </w:pPr>
      <w:r w:rsidRPr="007C6477">
        <w:rPr>
          <w:sz w:val="20"/>
        </w:rPr>
        <w:br w:type="page"/>
      </w:r>
    </w:p>
    <w:p w:rsidR="0026052C" w:rsidRPr="007C6477" w:rsidRDefault="0026052C" w:rsidP="0026052C">
      <w:pPr>
        <w:widowControl w:val="0"/>
        <w:jc w:val="both"/>
        <w:rPr>
          <w:sz w:val="20"/>
        </w:rPr>
      </w:pPr>
    </w:p>
    <w:p w:rsidR="0026052C" w:rsidRPr="002E0669" w:rsidRDefault="0026052C" w:rsidP="0026052C">
      <w:pPr>
        <w:widowControl w:val="0"/>
        <w:jc w:val="center"/>
        <w:rPr>
          <w:sz w:val="20"/>
        </w:rPr>
      </w:pPr>
      <w:r w:rsidRPr="002E0669">
        <w:rPr>
          <w:sz w:val="20"/>
        </w:rPr>
        <w:t xml:space="preserve">Gráfico 3.  </w:t>
      </w:r>
      <w:r w:rsidRPr="002E0669">
        <w:rPr>
          <w:rFonts w:eastAsiaTheme="minorHAnsi"/>
          <w:sz w:val="20"/>
        </w:rPr>
        <w:t>Utilización de métodos de presentación electrónica</w:t>
      </w:r>
      <w:r w:rsidRPr="002E0669">
        <w:rPr>
          <w:sz w:val="20"/>
        </w:rPr>
        <w:t xml:space="preserve"> (EASY, PDF o XML) </w:t>
      </w:r>
      <w:r w:rsidR="002E0669">
        <w:rPr>
          <w:sz w:val="20"/>
        </w:rPr>
        <w:br/>
      </w:r>
      <w:r w:rsidRPr="002E0669">
        <w:rPr>
          <w:sz w:val="20"/>
        </w:rPr>
        <w:t>como porcentaje del total de las solicitudes presentadas entre 2014 y 2017</w:t>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noProof/>
          <w:lang w:val="en-US" w:eastAsia="en-US"/>
        </w:rPr>
        <w:drawing>
          <wp:inline distT="0" distB="0" distL="0" distR="0" wp14:anchorId="0DF75F67" wp14:editId="6613A824">
            <wp:extent cx="4530403" cy="2580324"/>
            <wp:effectExtent l="0" t="0" r="381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541857" cy="2586848"/>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noProof/>
          <w:lang w:val="en-US" w:eastAsia="en-US"/>
        </w:rPr>
        <w:drawing>
          <wp:inline distT="0" distB="0" distL="0" distR="0" wp14:anchorId="1B264FFC" wp14:editId="27D74765">
            <wp:extent cx="4882515" cy="72453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4882515" cy="724535"/>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Previsión de ingresos del PCT</w:t>
      </w:r>
    </w:p>
    <w:p w:rsidR="0026052C" w:rsidRPr="007C6477" w:rsidRDefault="0026052C" w:rsidP="0026052C">
      <w:pPr>
        <w:widowControl w:val="0"/>
        <w:jc w:val="both"/>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los gráficos 4 y 5 figura la previsión de ingresos del PCT para el período comprendido entre 2014 y 2017, por tipo de ingreso.  Los gráficos se basan en la previsión de solicitudes (gráfico 1), la previsión de las tasas por exceso de páginas, la previsión de solicitudes presentadas conforme al Capítulo II, la previsión de solicitudes presentadas electrónicamente (gráfico 3) y la previsión de solicitudes presentadas ante la Oficina Internacional en calidad de Oficina receptora.</w:t>
      </w:r>
    </w:p>
    <w:p w:rsidR="0026052C" w:rsidRPr="007C6477" w:rsidRDefault="0026052C" w:rsidP="0026052C">
      <w:pPr>
        <w:widowControl w:val="0"/>
        <w:jc w:val="both"/>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el gráfico 4 se indica la previsión hipotética de ingresos del PCT, basada en los siguientes supuestos</w:t>
      </w:r>
      <w:proofErr w:type="gramStart"/>
      <w:r w:rsidRPr="007C6477">
        <w:rPr>
          <w:sz w:val="20"/>
        </w:rPr>
        <w:t>:  1</w:t>
      </w:r>
      <w:proofErr w:type="gramEnd"/>
      <w:r w:rsidRPr="007C6477">
        <w:rPr>
          <w:sz w:val="20"/>
        </w:rPr>
        <w:t>) todas las tasas se pagan en el mismo año de presentación y 2) todas las tasas se convierten a francos suizos según los tipos de cambio oficiales de la OMPI.  Los ingresos hipotéticos del PCT corresponden a los posibles ingresos generados por la presentación de solicitudes sin tener en cuenta en qué momento se efectúan los pagos ni el cambio a francos suizos.  Dado que la mayoría de los solicitantes paga las tasas correspondientes más tarde o más temprano, la previsión hipotética de los ingresos refleja, así, la previsión de ingresos a largo plazo.  En el cálculo se tienen en cuenta los principales elementos de la estructura de tasas del PCT</w:t>
      </w:r>
      <w:proofErr w:type="gramStart"/>
      <w:r w:rsidRPr="007C6477">
        <w:rPr>
          <w:sz w:val="20"/>
        </w:rPr>
        <w:t>:  retirada</w:t>
      </w:r>
      <w:proofErr w:type="gramEnd"/>
      <w:r w:rsidRPr="007C6477">
        <w:rPr>
          <w:sz w:val="20"/>
        </w:rPr>
        <w:t xml:space="preserve"> de solicitudes, descuentos en las tasas correspondientes a las solicitudes presentadas electrónicamente y descuentos en las tasas en el caso de países de bajos ingresos.</w:t>
      </w:r>
    </w:p>
    <w:p w:rsidR="0026052C" w:rsidRPr="007C6477" w:rsidRDefault="0026052C" w:rsidP="0026052C">
      <w:pPr>
        <w:widowControl w:val="0"/>
        <w:rPr>
          <w:sz w:val="20"/>
        </w:rPr>
      </w:pPr>
    </w:p>
    <w:p w:rsidR="0026052C" w:rsidRPr="007C6477" w:rsidRDefault="0026052C" w:rsidP="0026052C">
      <w:pPr>
        <w:spacing w:after="200" w:line="276" w:lineRule="auto"/>
        <w:rPr>
          <w:sz w:val="20"/>
        </w:rPr>
      </w:pPr>
      <w:r w:rsidRPr="007C6477">
        <w:rPr>
          <w:sz w:val="20"/>
        </w:rPr>
        <w:br w:type="page"/>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sz w:val="20"/>
        </w:rPr>
        <w:t>Gráfico 4.  Previsión hipotética de los ingresos del PCT hasta 2</w:t>
      </w:r>
      <w:r>
        <w:rPr>
          <w:sz w:val="20"/>
        </w:rPr>
        <w:t>017</w:t>
      </w:r>
    </w:p>
    <w:p w:rsidR="0026052C" w:rsidRPr="007C6477" w:rsidRDefault="0026052C" w:rsidP="0026052C">
      <w:pPr>
        <w:widowControl w:val="0"/>
        <w:jc w:val="center"/>
        <w:rPr>
          <w:sz w:val="20"/>
        </w:rPr>
      </w:pPr>
      <w:r w:rsidRPr="007C6477">
        <w:rPr>
          <w:noProof/>
          <w:lang w:val="en-US" w:eastAsia="en-US"/>
        </w:rPr>
        <w:drawing>
          <wp:inline distT="0" distB="0" distL="0" distR="0" wp14:anchorId="08DAC729" wp14:editId="4C171EB9">
            <wp:extent cx="4873924" cy="2697581"/>
            <wp:effectExtent l="0" t="0" r="3175" b="762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877097" cy="2699337"/>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2E028D34" wp14:editId="32EFD03E">
            <wp:extent cx="5115464" cy="1433552"/>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5115497" cy="1433561"/>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Consecuencias del retraso en los pagos en los ingresos del PCT</w:t>
      </w:r>
    </w:p>
    <w:p w:rsidR="0026052C" w:rsidRPr="007C6477" w:rsidRDefault="0026052C" w:rsidP="0026052C">
      <w:pPr>
        <w:widowControl w:val="0"/>
        <w:jc w:val="both"/>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la previsión hipotética de los ingresos se supone que las tasas se pagan en el mismo año en que se presentan las solicitudes.  Sin embargo, la OMPI percibe pagos con un retraso de entre uno y seis meses.  Algunos solicitantes –especialmente los que presentan las solicitudes a principios del año- pagan las tasas el mismo año de presentación (en torno a un 85% de solicitantes), mientras que otros las pagan al año siguiente (en torno a un 15% de solicitantes).  Así, los ingresos reales del PCT de un determinado año estarán constituidos por una porción de los pagos correspondientes a las solicitudes del año anterior más la porción de pagos correspondientes a ese año.  En consecuencia, el monto que se percibe en un año no equivale al que generen las solicitudes presentadas en el mismo año.  Las diferencias anuales que presentan los ingresos hipotéticos y los ingresos reales no alteran el monto de los ingresos generales a largo plazo.  Toda disminución de los ingresos que se produzca debido a retrasos en los pagos se verá probablemente compensada al año siguiente.  Si se pospone una gran porción de los pagos al año siguiente, los ingresos reales del año en cuestión serán inferiores, pero al año siguiente se registrará un incremento.  En proporción inversa, si solo se retrasa una pequeña porción de los pagos al año siguiente, los ingresos del año en cuestión serán mayores, pero los del año siguiente habrán disminuido.  En el gráfico 5 que se expone a continuación se presentan las previsiones ajustadas de</w:t>
      </w:r>
      <w:r w:rsidR="002E0669">
        <w:rPr>
          <w:sz w:val="20"/>
        </w:rPr>
        <w:t xml:space="preserve"> los ingresos del PCT hasta 2017</w:t>
      </w:r>
      <w:r w:rsidRPr="007C6477">
        <w:rPr>
          <w:sz w:val="20"/>
        </w:rPr>
        <w:t>, teniendo en cuenta la repercusión del retraso en los pagos de las tasas.</w:t>
      </w:r>
    </w:p>
    <w:p w:rsidR="0026052C" w:rsidRPr="007C6477" w:rsidRDefault="0026052C" w:rsidP="0026052C">
      <w:pPr>
        <w:widowControl w:val="0"/>
        <w:jc w:val="both"/>
        <w:rPr>
          <w:sz w:val="20"/>
        </w:rPr>
      </w:pPr>
    </w:p>
    <w:p w:rsidR="0026052C" w:rsidRPr="002E0669" w:rsidRDefault="0026052C" w:rsidP="0026052C">
      <w:pPr>
        <w:keepNext/>
        <w:widowControl w:val="0"/>
        <w:jc w:val="center"/>
        <w:rPr>
          <w:sz w:val="20"/>
        </w:rPr>
      </w:pPr>
      <w:r w:rsidRPr="002E0669">
        <w:rPr>
          <w:sz w:val="20"/>
        </w:rPr>
        <w:lastRenderedPageBreak/>
        <w:t xml:space="preserve">Gráfico 5.  </w:t>
      </w:r>
      <w:r w:rsidRPr="002E0669">
        <w:rPr>
          <w:rFonts w:eastAsiaTheme="minorHAnsi"/>
          <w:sz w:val="20"/>
        </w:rPr>
        <w:t>Previsión ajustada de los ingresos del PCT hasta </w:t>
      </w:r>
      <w:r w:rsidRPr="002E0669">
        <w:rPr>
          <w:sz w:val="20"/>
        </w:rPr>
        <w:t>2017</w:t>
      </w:r>
    </w:p>
    <w:p w:rsidR="0026052C" w:rsidRPr="007C6477" w:rsidRDefault="0026052C" w:rsidP="0026052C">
      <w:pPr>
        <w:widowControl w:val="0"/>
        <w:jc w:val="center"/>
        <w:rPr>
          <w:sz w:val="20"/>
        </w:rPr>
      </w:pPr>
      <w:r w:rsidRPr="004E717B">
        <w:rPr>
          <w:noProof/>
          <w:lang w:val="en-US" w:eastAsia="en-US"/>
        </w:rPr>
        <w:drawing>
          <wp:inline distT="0" distB="0" distL="0" distR="0" wp14:anchorId="3514B7E3" wp14:editId="76DF3F60">
            <wp:extent cx="4611025" cy="2558117"/>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619333" cy="2562726"/>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r w:rsidRPr="007C6477">
        <w:rPr>
          <w:noProof/>
          <w:lang w:val="en-US" w:eastAsia="en-US"/>
        </w:rPr>
        <w:drawing>
          <wp:inline distT="0" distB="0" distL="0" distR="0" wp14:anchorId="6D8F43C1" wp14:editId="2C2722F3">
            <wp:extent cx="4924797" cy="1145485"/>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925433" cy="1145633"/>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Ajustes cambiarios</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Las tasas del PCT se pagan en diversas monedas.  Cuando la tasa se paga en una moneda que se puede "convertir libremente", el importe equivale al “importe equivalente” fijado por la Oficina Internacional, mientras que cuando se paga en una moneda que no se puede “convertir libremente”, la Oficina receptora debe convertir el importe a su equivalente en francos suizos, euros o dólares de los EE.UU.  (Regla 15 del Reglamento del PCT).  La OMPI fija los importes equivalentes conforme a las reglas establecidas en las Directivas aprobadas por la Asamblea del PCT:  1) los tipos de cambio del primer lunes de octubre se toman como nuevos tipos de cambio de la OMPI para fijar los importes equivalentes del año siguiente;  2) si durante más de cuatro viernes consecutivos los tipos de cambio registran una alza o una baja del 5% en relación con lo establecido previamente, el Director General de la OMPI inicia consultas con las oficinas interesadas para fijar nuevos importes equivalentes que entrarán en vigor dos meses después </w:t>
      </w:r>
      <w:r w:rsidR="002E0669">
        <w:rPr>
          <w:sz w:val="20"/>
        </w:rPr>
        <w:t xml:space="preserve">su publicación </w:t>
      </w:r>
      <w:r w:rsidRPr="007C6477">
        <w:rPr>
          <w:sz w:val="20"/>
        </w:rPr>
        <w:t>en la Gaceta del PCT.</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Los solicitantes abonan la tasa de presentación de solicitud internacional en base al importe equivalente aplicable en la fecha de presentación de la solicitud.  Sin embargo, debido al retraso en la aplicación del monto equivalente, es probable que los tipos de cambio del mercado sean diferentes de los de la OMPI en el momento del pago, con las consiguientes ganancias o pérdidas en los ingresos del PCT.  En el gráfico que figura a continuación se comparan el “tipo de cambio de la OMPI”, en base al cual se fija el "monto equivalente", y el “tipo de cambio operacional de las NN.UU.” para las tres principales monedas utilizadas, es decir, dólares de los EE.UU., euro y yen.</w:t>
      </w:r>
    </w:p>
    <w:p w:rsidR="0026052C" w:rsidRPr="007C6477" w:rsidRDefault="00691624" w:rsidP="00691624">
      <w:pPr>
        <w:widowControl w:val="0"/>
        <w:rPr>
          <w:sz w:val="20"/>
        </w:rPr>
      </w:pPr>
      <w:r w:rsidRPr="00691624">
        <w:rPr>
          <w:noProof/>
          <w:lang w:val="en-US" w:eastAsia="en-US"/>
        </w:rPr>
        <w:drawing>
          <wp:inline distT="0" distB="0" distL="0" distR="0" wp14:anchorId="300500FB" wp14:editId="4B036F88">
            <wp:extent cx="5868063" cy="1637969"/>
            <wp:effectExtent l="0" t="0" r="0" b="63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871468" cy="1638919"/>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La diferencia entre el importe aplicable en la fecha de presentación de la solicitud y su equivalente convertido a francos suizos en la fecha del pago según el tipo de cambio de las NN.UU. constituye una ganancia o pérdida “teórica” en los ingresos del PCT.  El gráfico que figura a continuación refleja esa ganancia/pérdida en los ingresos del PCT, por mes.</w:t>
      </w:r>
    </w:p>
    <w:p w:rsidR="0026052C" w:rsidRPr="007C6477" w:rsidRDefault="0026052C" w:rsidP="0026052C">
      <w:pPr>
        <w:widowControl w:val="0"/>
        <w:rPr>
          <w:sz w:val="20"/>
        </w:rPr>
      </w:pPr>
    </w:p>
    <w:p w:rsidR="0026052C" w:rsidRPr="007C6477" w:rsidRDefault="00691624" w:rsidP="00691624">
      <w:pPr>
        <w:widowControl w:val="0"/>
        <w:rPr>
          <w:sz w:val="20"/>
        </w:rPr>
      </w:pPr>
      <w:r w:rsidRPr="00691624">
        <w:rPr>
          <w:noProof/>
          <w:lang w:val="en-US" w:eastAsia="en-US"/>
        </w:rPr>
        <w:drawing>
          <wp:inline distT="0" distB="0" distL="0" distR="0" wp14:anchorId="29624CAB" wp14:editId="3B240434">
            <wp:extent cx="5760085" cy="1960294"/>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5760085" cy="1960294"/>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Para gran sorpresa de los participantes en el mercado, el Banco Nacional Suizo anunció el 15 de enero de 2015 que abandonaría el cambio mínimo frente al euro, lo cual ha dado lugar a una fuerte revalorización del franco suizo.  Como resultado, se prevé que los ingresos del PCT pierdan unos 3,1 millones de francos suizos adicionales.</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La tabla de tasas del PCT vigente </w:t>
      </w:r>
      <w:r w:rsidR="002E0669">
        <w:rPr>
          <w:sz w:val="20"/>
        </w:rPr>
        <w:t>consta en los cuadros siguientes</w:t>
      </w:r>
      <w:r w:rsidRPr="007C6477">
        <w:rPr>
          <w:sz w:val="20"/>
        </w:rPr>
        <w:t>.</w:t>
      </w:r>
    </w:p>
    <w:p w:rsidR="0026052C" w:rsidRPr="007C6477" w:rsidRDefault="0026052C" w:rsidP="0026052C">
      <w:pPr>
        <w:widowControl w:val="0"/>
        <w:rPr>
          <w:sz w:val="20"/>
        </w:rPr>
      </w:pPr>
    </w:p>
    <w:tbl>
      <w:tblPr>
        <w:tblW w:w="0" w:type="auto"/>
        <w:tblLook w:val="01E0" w:firstRow="1" w:lastRow="1" w:firstColumn="1" w:lastColumn="1" w:noHBand="0" w:noVBand="0"/>
      </w:tblPr>
      <w:tblGrid>
        <w:gridCol w:w="4643"/>
        <w:gridCol w:w="4644"/>
      </w:tblGrid>
      <w:tr w:rsidR="0026052C" w:rsidRPr="007C6477" w:rsidTr="00781224">
        <w:tc>
          <w:tcPr>
            <w:tcW w:w="4643" w:type="dxa"/>
            <w:shd w:val="clear" w:color="auto" w:fill="auto"/>
          </w:tcPr>
          <w:p w:rsidR="0026052C" w:rsidRPr="00B37E9B" w:rsidRDefault="0026052C" w:rsidP="00781224">
            <w:pPr>
              <w:widowControl w:val="0"/>
              <w:jc w:val="center"/>
              <w:rPr>
                <w:sz w:val="18"/>
                <w:szCs w:val="18"/>
              </w:rPr>
            </w:pPr>
            <w:r w:rsidRPr="00B37E9B">
              <w:rPr>
                <w:sz w:val="18"/>
                <w:szCs w:val="18"/>
              </w:rPr>
              <w:t>Tabla de tasas del PCT</w:t>
            </w:r>
          </w:p>
          <w:p w:rsidR="0026052C" w:rsidRPr="00B37E9B" w:rsidRDefault="0026052C" w:rsidP="00781224">
            <w:pPr>
              <w:widowControl w:val="0"/>
              <w:jc w:val="center"/>
              <w:rPr>
                <w:sz w:val="18"/>
                <w:szCs w:val="18"/>
              </w:rPr>
            </w:pPr>
            <w:r w:rsidRPr="00B37E9B">
              <w:rPr>
                <w:sz w:val="18"/>
                <w:szCs w:val="18"/>
              </w:rPr>
              <w:t>(al 1 de enero de 2004)</w:t>
            </w:r>
          </w:p>
          <w:p w:rsidR="0026052C" w:rsidRPr="00B37E9B" w:rsidRDefault="0026052C" w:rsidP="00781224">
            <w:pPr>
              <w:widowControl w:val="0"/>
              <w:jc w:val="center"/>
              <w:rPr>
                <w:i/>
                <w:iCs/>
                <w:sz w:val="18"/>
                <w:szCs w:val="18"/>
              </w:rPr>
            </w:pPr>
            <w:r w:rsidRPr="00B37E9B">
              <w:rPr>
                <w:i/>
                <w:iCs/>
                <w:sz w:val="18"/>
                <w:szCs w:val="18"/>
              </w:rPr>
              <w:t>(en francos suizos)</w:t>
            </w:r>
          </w:p>
          <w:p w:rsidR="0026052C" w:rsidRPr="00B37E9B" w:rsidRDefault="0026052C" w:rsidP="00781224">
            <w:pPr>
              <w:widowControl w:val="0"/>
              <w:jc w:val="center"/>
              <w:rPr>
                <w:sz w:val="20"/>
              </w:rPr>
            </w:pPr>
          </w:p>
        </w:tc>
        <w:tc>
          <w:tcPr>
            <w:tcW w:w="4644" w:type="dxa"/>
            <w:shd w:val="clear" w:color="auto" w:fill="auto"/>
          </w:tcPr>
          <w:p w:rsidR="0026052C" w:rsidRPr="00B37E9B" w:rsidRDefault="0026052C" w:rsidP="00781224">
            <w:pPr>
              <w:widowControl w:val="0"/>
              <w:jc w:val="center"/>
              <w:rPr>
                <w:sz w:val="18"/>
                <w:szCs w:val="18"/>
              </w:rPr>
            </w:pPr>
            <w:r w:rsidRPr="00B37E9B">
              <w:rPr>
                <w:sz w:val="18"/>
                <w:szCs w:val="18"/>
              </w:rPr>
              <w:t>Tabla revisada de tasas del PCT</w:t>
            </w:r>
          </w:p>
          <w:p w:rsidR="0026052C" w:rsidRPr="00B37E9B" w:rsidRDefault="0026052C" w:rsidP="00781224">
            <w:pPr>
              <w:widowControl w:val="0"/>
              <w:jc w:val="center"/>
              <w:rPr>
                <w:sz w:val="18"/>
                <w:szCs w:val="18"/>
              </w:rPr>
            </w:pPr>
            <w:r w:rsidRPr="00B37E9B">
              <w:rPr>
                <w:sz w:val="18"/>
                <w:szCs w:val="18"/>
              </w:rPr>
              <w:t>(al 1 de julio de 2008)</w:t>
            </w:r>
          </w:p>
          <w:p w:rsidR="0026052C" w:rsidRPr="00B37E9B" w:rsidRDefault="0026052C" w:rsidP="00781224">
            <w:pPr>
              <w:widowControl w:val="0"/>
              <w:jc w:val="center"/>
              <w:rPr>
                <w:sz w:val="18"/>
                <w:szCs w:val="18"/>
              </w:rPr>
            </w:pPr>
            <w:r w:rsidRPr="00B37E9B">
              <w:rPr>
                <w:i/>
                <w:sz w:val="18"/>
                <w:szCs w:val="18"/>
              </w:rPr>
              <w:t>(en francos suizos)</w:t>
            </w:r>
          </w:p>
        </w:tc>
      </w:tr>
      <w:tr w:rsidR="0026052C" w:rsidRPr="007C6477" w:rsidTr="00781224">
        <w:tc>
          <w:tcPr>
            <w:tcW w:w="4643" w:type="dxa"/>
            <w:shd w:val="clear" w:color="auto" w:fill="auto"/>
          </w:tcPr>
          <w:p w:rsidR="0026052C" w:rsidRPr="007C6477" w:rsidRDefault="0026052C" w:rsidP="00781224">
            <w:pPr>
              <w:widowControl w:val="0"/>
              <w:jc w:val="center"/>
              <w:rPr>
                <w:sz w:val="20"/>
              </w:rPr>
            </w:pPr>
            <w:r w:rsidRPr="007C6477">
              <w:rPr>
                <w:noProof/>
                <w:sz w:val="20"/>
                <w:lang w:val="en-US" w:eastAsia="en-US"/>
              </w:rPr>
              <mc:AlternateContent>
                <mc:Choice Requires="wpc">
                  <w:drawing>
                    <wp:inline distT="0" distB="0" distL="0" distR="0" wp14:anchorId="3F42B2C8" wp14:editId="7CD16B69">
                      <wp:extent cx="2599690" cy="819785"/>
                      <wp:effectExtent l="0" t="0" r="0" b="18415"/>
                      <wp:docPr id="161" name="Canvas 16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2" name="Rectangle 105"/>
                              <wps:cNvSpPr>
                                <a:spLocks noChangeArrowheads="1"/>
                              </wps:cNvSpPr>
                              <wps:spPr bwMode="auto">
                                <a:xfrm>
                                  <a:off x="0" y="1270"/>
                                  <a:ext cx="3937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Cs w:val="24"/>
                                      </w:rPr>
                                      <w:t xml:space="preserve"> </w:t>
                                    </w:r>
                                  </w:p>
                                </w:txbxContent>
                              </wps:txbx>
                              <wps:bodyPr rot="0" vert="horz" wrap="none" lIns="0" tIns="0" rIns="0" bIns="0" anchor="t" anchorCtr="0">
                                <a:spAutoFit/>
                              </wps:bodyPr>
                            </wps:wsp>
                            <wpg:wgp>
                              <wpg:cNvPr id="143" name="Group 123"/>
                              <wpg:cNvGrpSpPr>
                                <a:grpSpLocks/>
                              </wpg:cNvGrpSpPr>
                              <wpg:grpSpPr bwMode="auto">
                                <a:xfrm>
                                  <a:off x="4445" y="0"/>
                                  <a:ext cx="2589530" cy="774065"/>
                                  <a:chOff x="7" y="0"/>
                                  <a:chExt cx="4078" cy="1219"/>
                                </a:xfrm>
                              </wpg:grpSpPr>
                              <wps:wsp>
                                <wps:cNvPr id="144" name="Rectangle 106"/>
                                <wps:cNvSpPr>
                                  <a:spLocks noChangeArrowheads="1"/>
                                </wps:cNvSpPr>
                                <wps:spPr bwMode="auto">
                                  <a:xfrm>
                                    <a:off x="7" y="7"/>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 name="Rectangle 107"/>
                                <wps:cNvSpPr>
                                  <a:spLocks noChangeArrowheads="1"/>
                                </wps:cNvSpPr>
                                <wps:spPr bwMode="auto">
                                  <a:xfrm>
                                    <a:off x="7" y="180"/>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Rectangle 108"/>
                                <wps:cNvSpPr>
                                  <a:spLocks noChangeArrowheads="1"/>
                                </wps:cNvSpPr>
                                <wps:spPr bwMode="auto">
                                  <a:xfrm>
                                    <a:off x="7" y="353"/>
                                    <a:ext cx="4078" cy="520"/>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 name="Rectangle 109"/>
                                <wps:cNvSpPr>
                                  <a:spLocks noChangeArrowheads="1"/>
                                </wps:cNvSpPr>
                                <wps:spPr bwMode="auto">
                                  <a:xfrm>
                                    <a:off x="7" y="872"/>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10"/>
                                <wps:cNvSpPr>
                                  <a:spLocks noChangeArrowheads="1"/>
                                </wps:cNvSpPr>
                                <wps:spPr bwMode="auto">
                                  <a:xfrm>
                                    <a:off x="7" y="1045"/>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Rectangle 111"/>
                                <wps:cNvSpPr>
                                  <a:spLocks noChangeArrowheads="1"/>
                                </wps:cNvSpPr>
                                <wps:spPr bwMode="auto">
                                  <a:xfrm>
                                    <a:off x="37" y="0"/>
                                    <a:ext cx="92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Tasa de base</w:t>
                                      </w:r>
                                    </w:p>
                                  </w:txbxContent>
                                </wps:txbx>
                                <wps:bodyPr rot="0" vert="horz" wrap="none" lIns="0" tIns="0" rIns="0" bIns="0" anchor="t" anchorCtr="0">
                                  <a:spAutoFit/>
                                </wps:bodyPr>
                              </wps:wsp>
                              <wps:wsp>
                                <wps:cNvPr id="150" name="Rectangle 112"/>
                                <wps:cNvSpPr>
                                  <a:spLocks noChangeArrowheads="1"/>
                                </wps:cNvSpPr>
                                <wps:spPr bwMode="auto">
                                  <a:xfrm>
                                    <a:off x="3648" y="0"/>
                                    <a:ext cx="40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1,400</w:t>
                                      </w:r>
                                    </w:p>
                                  </w:txbxContent>
                                </wps:txbx>
                                <wps:bodyPr rot="0" vert="horz" wrap="none" lIns="0" tIns="0" rIns="0" bIns="0" anchor="t" anchorCtr="0">
                                  <a:spAutoFit/>
                                </wps:bodyPr>
                              </wps:wsp>
                              <wps:wsp>
                                <wps:cNvPr id="151" name="Rectangle 113"/>
                                <wps:cNvSpPr>
                                  <a:spLocks noChangeArrowheads="1"/>
                                </wps:cNvSpPr>
                                <wps:spPr bwMode="auto">
                                  <a:xfrm>
                                    <a:off x="37" y="173"/>
                                    <a:ext cx="225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Tasa por superar las 30 páginas</w:t>
                                      </w:r>
                                    </w:p>
                                  </w:txbxContent>
                                </wps:txbx>
                                <wps:bodyPr rot="0" vert="horz" wrap="none" lIns="0" tIns="0" rIns="0" bIns="0" anchor="t" anchorCtr="0">
                                  <a:spAutoFit/>
                                </wps:bodyPr>
                              </wps:wsp>
                              <wps:wsp>
                                <wps:cNvPr id="152" name="Rectangle 114"/>
                                <wps:cNvSpPr>
                                  <a:spLocks noChangeArrowheads="1"/>
                                </wps:cNvSpPr>
                                <wps:spPr bwMode="auto">
                                  <a:xfrm>
                                    <a:off x="3876" y="173"/>
                                    <a:ext cx="17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15</w:t>
                                      </w:r>
                                    </w:p>
                                  </w:txbxContent>
                                </wps:txbx>
                                <wps:bodyPr rot="0" vert="horz" wrap="none" lIns="0" tIns="0" rIns="0" bIns="0" anchor="t" anchorCtr="0">
                                  <a:spAutoFit/>
                                </wps:bodyPr>
                              </wps:wsp>
                              <wps:wsp>
                                <wps:cNvPr id="153" name="Rectangle 115"/>
                                <wps:cNvSpPr>
                                  <a:spLocks noChangeArrowheads="1"/>
                                </wps:cNvSpPr>
                                <wps:spPr bwMode="auto">
                                  <a:xfrm>
                                    <a:off x="37" y="346"/>
                                    <a:ext cx="2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FE7DAE" w:rsidRDefault="00D72D2B" w:rsidP="0026052C">
                                      <w:pPr>
                                        <w:rPr>
                                          <w:lang w:val="es-ES_tradnl"/>
                                        </w:rPr>
                                      </w:pPr>
                                      <w:r>
                                        <w:rPr>
                                          <w:rFonts w:ascii="Verdana" w:hAnsi="Verdana" w:cs="Verdana"/>
                                          <w:color w:val="000000"/>
                                          <w:sz w:val="14"/>
                                          <w:szCs w:val="14"/>
                                          <w:lang w:val="es-ES_tradnl"/>
                                        </w:rPr>
                                        <w:t>Descuento por presentación electrónica</w:t>
                                      </w:r>
                                    </w:p>
                                  </w:txbxContent>
                                </wps:txbx>
                                <wps:bodyPr rot="0" vert="horz" wrap="none" lIns="0" tIns="0" rIns="0" bIns="0" anchor="t" anchorCtr="0">
                                  <a:spAutoFit/>
                                </wps:bodyPr>
                              </wps:wsp>
                              <wps:wsp>
                                <wps:cNvPr id="154" name="Rectangle 116"/>
                                <wps:cNvSpPr>
                                  <a:spLocks noChangeArrowheads="1"/>
                                </wps:cNvSpPr>
                                <wps:spPr bwMode="auto">
                                  <a:xfrm>
                                    <a:off x="3224" y="346"/>
                                    <a:ext cx="836"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wps:txbx>
                                <wps:bodyPr rot="0" vert="horz" wrap="none" lIns="0" tIns="0" rIns="0" bIns="0" anchor="t" anchorCtr="0">
                                  <a:spAutoFit/>
                                </wps:bodyPr>
                              </wps:wsp>
                              <wps:wsp>
                                <wps:cNvPr id="155" name="Rectangle 117"/>
                                <wps:cNvSpPr>
                                  <a:spLocks noChangeArrowheads="1"/>
                                </wps:cNvSpPr>
                                <wps:spPr bwMode="auto">
                                  <a:xfrm>
                                    <a:off x="3277" y="519"/>
                                    <a:ext cx="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-200 (PDF)</w:t>
                                      </w:r>
                                    </w:p>
                                  </w:txbxContent>
                                </wps:txbx>
                                <wps:bodyPr rot="0" vert="horz" wrap="none" lIns="0" tIns="0" rIns="0" bIns="0" anchor="t" anchorCtr="0">
                                  <a:spAutoFit/>
                                </wps:bodyPr>
                              </wps:wsp>
                              <wps:wsp>
                                <wps:cNvPr id="156" name="Rectangle 118"/>
                                <wps:cNvSpPr>
                                  <a:spLocks noChangeArrowheads="1"/>
                                </wps:cNvSpPr>
                                <wps:spPr bwMode="auto">
                                  <a:xfrm>
                                    <a:off x="3259" y="692"/>
                                    <a:ext cx="79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-300 (XML)</w:t>
                                      </w:r>
                                    </w:p>
                                  </w:txbxContent>
                                </wps:txbx>
                                <wps:bodyPr rot="0" vert="horz" wrap="none" lIns="0" tIns="0" rIns="0" bIns="0" anchor="t" anchorCtr="0">
                                  <a:spAutoFit/>
                                </wps:bodyPr>
                              </wps:wsp>
                              <wps:wsp>
                                <wps:cNvPr id="157" name="Rectangle 119"/>
                                <wps:cNvSpPr>
                                  <a:spLocks noChangeArrowheads="1"/>
                                </wps:cNvSpPr>
                                <wps:spPr bwMode="auto">
                                  <a:xfrm>
                                    <a:off x="37" y="865"/>
                                    <a:ext cx="2112"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FE7DAE" w:rsidRDefault="00D72D2B" w:rsidP="0026052C">
                                      <w:pPr>
                                        <w:rPr>
                                          <w:lang w:val="es-ES_tradnl"/>
                                        </w:rPr>
                                      </w:pPr>
                                      <w:r>
                                        <w:rPr>
                                          <w:rFonts w:ascii="Verdana" w:hAnsi="Verdana" w:cs="Verdana"/>
                                          <w:color w:val="000000"/>
                                          <w:sz w:val="14"/>
                                          <w:szCs w:val="14"/>
                                          <w:lang w:val="es-ES_tradnl"/>
                                        </w:rPr>
                                        <w:t>Tasa de transmisión de RO/IB</w:t>
                                      </w:r>
                                    </w:p>
                                  </w:txbxContent>
                                </wps:txbx>
                                <wps:bodyPr rot="0" vert="horz" wrap="none" lIns="0" tIns="0" rIns="0" bIns="0" anchor="t" anchorCtr="0">
                                  <a:spAutoFit/>
                                </wps:bodyPr>
                              </wps:wsp>
                              <wps:wsp>
                                <wps:cNvPr id="158" name="Rectangle 120"/>
                                <wps:cNvSpPr>
                                  <a:spLocks noChangeArrowheads="1"/>
                                </wps:cNvSpPr>
                                <wps:spPr bwMode="auto">
                                  <a:xfrm>
                                    <a:off x="3787" y="865"/>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100</w:t>
                                      </w:r>
                                    </w:p>
                                  </w:txbxContent>
                                </wps:txbx>
                                <wps:bodyPr rot="0" vert="horz" wrap="none" lIns="0" tIns="0" rIns="0" bIns="0" anchor="t" anchorCtr="0">
                                  <a:spAutoFit/>
                                </wps:bodyPr>
                              </wps:wsp>
                              <wps:wsp>
                                <wps:cNvPr id="159" name="Rectangle 121"/>
                                <wps:cNvSpPr>
                                  <a:spLocks noChangeArrowheads="1"/>
                                </wps:cNvSpPr>
                                <wps:spPr bwMode="auto">
                                  <a:xfrm>
                                    <a:off x="37" y="1038"/>
                                    <a:ext cx="139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Tasa de tramitación</w:t>
                                      </w:r>
                                    </w:p>
                                  </w:txbxContent>
                                </wps:txbx>
                                <wps:bodyPr rot="0" vert="horz" wrap="none" lIns="0" tIns="0" rIns="0" bIns="0" anchor="t" anchorCtr="0">
                                  <a:spAutoFit/>
                                </wps:bodyPr>
                              </wps:wsp>
                              <wps:wsp>
                                <wps:cNvPr id="160" name="Rectangle 122"/>
                                <wps:cNvSpPr>
                                  <a:spLocks noChangeArrowheads="1"/>
                                </wps:cNvSpPr>
                                <wps:spPr bwMode="auto">
                                  <a:xfrm>
                                    <a:off x="3787" y="1038"/>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rFonts w:ascii="Verdana" w:hAnsi="Verdana" w:cs="Verdana"/>
                                          <w:color w:val="000000"/>
                                          <w:sz w:val="14"/>
                                          <w:szCs w:val="14"/>
                                        </w:rPr>
                                        <w:t>200</w:t>
                                      </w:r>
                                    </w:p>
                                  </w:txbxContent>
                                </wps:txbx>
                                <wps:bodyPr rot="0" vert="horz" wrap="none" lIns="0" tIns="0" rIns="0" bIns="0" anchor="t" anchorCtr="0">
                                  <a:spAutoFit/>
                                </wps:bodyPr>
                              </wps:wsp>
                            </wpg:wgp>
                          </wpc:wpc>
                        </a:graphicData>
                      </a:graphic>
                    </wp:inline>
                  </w:drawing>
                </mc:Choice>
                <mc:Fallback>
                  <w:pict>
                    <v:group id="Canvas 161" o:spid="_x0000_s1026" editas="canvas" style="width:204.7pt;height:64.55pt;mso-position-horizontal-relative:char;mso-position-vertical-relative:line" coordsize="25996,8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5996;height:8197;visibility:visible;mso-wrap-style:square">
                        <v:fill o:detectmouseclick="t"/>
                        <v:path o:connecttype="none"/>
                      </v:shape>
                      <v:rect id="Rectangle 105" o:spid="_x0000_s1028" style="position:absolute;top:12;width:393;height:16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D72D2B" w:rsidRDefault="00D72D2B" w:rsidP="0026052C">
                              <w:r>
                                <w:rPr>
                                  <w:color w:val="000000"/>
                                  <w:szCs w:val="24"/>
                                </w:rPr>
                                <w:t xml:space="preserve"> </w:t>
                              </w:r>
                            </w:p>
                          </w:txbxContent>
                        </v:textbox>
                      </v:rect>
                      <v:group id="Group 123" o:spid="_x0000_s1029" style="position:absolute;left:44;width:25895;height:7740" coordorigin="7" coordsize="4078,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rect id="Rectangle 106" o:spid="_x0000_s1030" style="position:absolute;left:7;top:7;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3xysAA&#10;AADcAAAADwAAAGRycy9kb3ducmV2LnhtbERP3WrCMBS+H/gO4Qy8m+mGiHSmUoaDIRSx+gCH5rQp&#10;NieliW339stA8O58fL9nt59tJ0YafOtYwfsqAUFcOd1yo+B6+X7bgvABWWPnmBT8kod9tnjZYard&#10;xGcay9CIGMI+RQUmhD6V0leGLPqV64kjV7vBYohwaKQecIrhtpMfSbKRFluODQZ7+jJU3cq7VWBN&#10;cTq007G3eX7nsZ4Sj8VNqeXrnH+CCDSHp/jh/tFx/noN/8/EC2T2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3xysAAAADcAAAADwAAAAAAAAAAAAAAAACYAgAAZHJzL2Rvd25y&#10;ZXYueG1sUEsFBgAAAAAEAAQA9QAAAIUDAAAAAA==&#10;" fillcolor="#9cf" stroked="f"/>
                        <v:rect id="Rectangle 107" o:spid="_x0000_s1031" style="position:absolute;left:7;top:180;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W6aMEA&#10;AADcAAAADwAAAGRycy9kb3ducmV2LnhtbERPTYvCMBC9C/sfwizsTRNdLVqNIoKwoB5WF7wOzdgW&#10;m0ltonb/vREEb/N4nzNbtLYSN2p86VhDv6dAEGfOlJxr+Dusu2MQPiAbrByThn/ysJh/dGaYGnfn&#10;X7rtQy5iCPsUNRQh1KmUPivIou+5mjhyJ9dYDBE2uTQN3mO4reRAqURaLDk2FFjTqqDsvL9aDZgM&#10;zWV3+t4eNtcEJ3mr1qOj0vrrs11OQQRqw1v8cv+YOH84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VumjBAAAA3AAAAA8AAAAAAAAAAAAAAAAAmAIAAGRycy9kb3du&#10;cmV2LnhtbFBLBQYAAAAABAAEAPUAAACGAwAAAAA=&#10;" stroked="f"/>
                        <v:rect id="Rectangle 108" o:spid="_x0000_s1032" style="position:absolute;left:7;top:353;width:4078;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PKJsAA&#10;AADcAAAADwAAAGRycy9kb3ducmV2LnhtbERP3WqDMBS+L/Qdwhnsro0bRYZrFBkdjEIZs32Agzka&#10;0ZyISdW9/TIY7O58fL/nWKx2EDNNvnOs4GmfgCCune64VXC7vu9eQPiArHFwTAq+yUORbzdHzLRb&#10;+IvmKrQihrDPUIEJYcyk9LUhi37vRuLINW6yGCKcWqknXGK4HeRzkqTSYsexweBIb4bqvrpbBdZc&#10;Pk/dch5tWd55bpbE46VX6vFhLV9BBFrDv/jP/aHj/EMKv8/EC2T+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PKJsAAAADcAAAADwAAAAAAAAAAAAAAAACYAgAAZHJzL2Rvd25y&#10;ZXYueG1sUEsFBgAAAAAEAAQA9QAAAIUDAAAAAA==&#10;" fillcolor="#9cf" stroked="f"/>
                        <v:rect id="Rectangle 109" o:spid="_x0000_s1033" style="position:absolute;left:7;top:872;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BhMIA&#10;AADcAAAADwAAAGRycy9kb3ducmV2LnhtbERPTYvCMBC9L+x/CLPgTZNdtavVKIsgCOphVfA6NGNb&#10;bCbdJmr990YQ9jaP9znTeWsrcaXGl441fPYUCOLMmZJzDYf9sjsC4QOywcoxabiTh/ns/W2KqXE3&#10;/qXrLuQihrBPUUMRQp1K6bOCLPqeq4kjd3KNxRBhk0vT4C2G20p+KZVIiyXHhgJrWhSUnXcXqwGT&#10;gfnbnvqb/fqS4Dhv1XJ4VFp3PtqfCYhAbfgXv9wrE+cPvuH5TLx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i4GEwgAAANwAAAAPAAAAAAAAAAAAAAAAAJgCAABkcnMvZG93&#10;bnJldi54bWxQSwUGAAAAAAQABAD1AAAAhwMAAAAA&#10;" stroked="f"/>
                        <v:rect id="Rectangle 110" o:spid="_x0000_s1034" style="position:absolute;left:7;top:1045;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D7z8IA&#10;AADcAAAADwAAAGRycy9kb3ducmV2LnhtbESP0WrCQBBF3wv+wzJC33RjkSLRVYJYEEGKth8wZMds&#10;MDsbsmsS/77zIPRthnvn3jOb3egb1VMX68AGFvMMFHEZbM2Vgd+fr9kKVEzIFpvAZOBJEXbbydsG&#10;cxsGvlB/TZWSEI45GnAptbnWsXTkMc5DSyzaLXQek6xdpW2Hg4T7Rn9k2af2WLM0OGxp76i8Xx/e&#10;gHfn70M9nFpfFA/ub0MW8Xw35n06FmtQicb0b35dH63gL4VWnpEJ9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EPvPwgAAANwAAAAPAAAAAAAAAAAAAAAAAJgCAABkcnMvZG93&#10;bnJldi54bWxQSwUGAAAAAAQABAD1AAAAhwMAAAAA&#10;" fillcolor="#9cf" stroked="f"/>
                        <v:rect id="Rectangle 111" o:spid="_x0000_s1035" style="position:absolute;left:37;width:92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D72D2B" w:rsidRDefault="00D72D2B" w:rsidP="0026052C">
                                <w:r>
                                  <w:rPr>
                                    <w:rFonts w:ascii="Verdana" w:hAnsi="Verdana" w:cs="Verdana"/>
                                    <w:color w:val="000000"/>
                                    <w:sz w:val="14"/>
                                    <w:szCs w:val="14"/>
                                  </w:rPr>
                                  <w:t>Tasa de base</w:t>
                                </w:r>
                              </w:p>
                            </w:txbxContent>
                          </v:textbox>
                        </v:rect>
                        <v:rect id="Rectangle 112" o:spid="_x0000_s1036" style="position:absolute;left:3648;width:407;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D72D2B" w:rsidRDefault="00D72D2B" w:rsidP="0026052C">
                                <w:r>
                                  <w:rPr>
                                    <w:rFonts w:ascii="Verdana" w:hAnsi="Verdana" w:cs="Verdana"/>
                                    <w:color w:val="000000"/>
                                    <w:sz w:val="14"/>
                                    <w:szCs w:val="14"/>
                                  </w:rPr>
                                  <w:t>1,400</w:t>
                                </w:r>
                              </w:p>
                            </w:txbxContent>
                          </v:textbox>
                        </v:rect>
                        <v:rect id="Rectangle 113" o:spid="_x0000_s1037" style="position:absolute;left:37;top:173;width:225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D72D2B" w:rsidRDefault="00D72D2B" w:rsidP="0026052C">
                                <w:r>
                                  <w:rPr>
                                    <w:rFonts w:ascii="Verdana" w:hAnsi="Verdana" w:cs="Verdana"/>
                                    <w:color w:val="000000"/>
                                    <w:sz w:val="14"/>
                                    <w:szCs w:val="14"/>
                                  </w:rPr>
                                  <w:t>Tasa por superar las 30 páginas</w:t>
                                </w:r>
                              </w:p>
                            </w:txbxContent>
                          </v:textbox>
                        </v:rect>
                        <v:rect id="Rectangle 114" o:spid="_x0000_s1038" style="position:absolute;left:3876;top:173;width:17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D72D2B" w:rsidRDefault="00D72D2B" w:rsidP="0026052C">
                                <w:r>
                                  <w:rPr>
                                    <w:rFonts w:ascii="Verdana" w:hAnsi="Verdana" w:cs="Verdana"/>
                                    <w:color w:val="000000"/>
                                    <w:sz w:val="14"/>
                                    <w:szCs w:val="14"/>
                                  </w:rPr>
                                  <w:t>15</w:t>
                                </w:r>
                              </w:p>
                            </w:txbxContent>
                          </v:textbox>
                        </v:rect>
                        <v:rect id="Rectangle 115" o:spid="_x0000_s1039" style="position:absolute;left:37;top:346;width:2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D72D2B" w:rsidRPr="00FE7DAE" w:rsidRDefault="00D72D2B" w:rsidP="0026052C">
                                <w:pPr>
                                  <w:rPr>
                                    <w:lang w:val="es-ES_tradnl"/>
                                  </w:rPr>
                                </w:pPr>
                                <w:r>
                                  <w:rPr>
                                    <w:rFonts w:ascii="Verdana" w:hAnsi="Verdana" w:cs="Verdana"/>
                                    <w:color w:val="000000"/>
                                    <w:sz w:val="14"/>
                                    <w:szCs w:val="14"/>
                                    <w:lang w:val="es-ES_tradnl"/>
                                  </w:rPr>
                                  <w:t>Descuento por presentación electrónica</w:t>
                                </w:r>
                              </w:p>
                            </w:txbxContent>
                          </v:textbox>
                        </v:rect>
                        <v:rect id="Rectangle 116" o:spid="_x0000_s1040" style="position:absolute;left:3224;top:346;width:836;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D72D2B" w:rsidRDefault="00D72D2B" w:rsidP="0026052C">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v:textbox>
                        </v:rect>
                        <v:rect id="Rectangle 117" o:spid="_x0000_s1041" style="position:absolute;left:3277;top:519;width: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D72D2B" w:rsidRDefault="00D72D2B" w:rsidP="0026052C">
                                <w:r>
                                  <w:rPr>
                                    <w:rFonts w:ascii="Verdana" w:hAnsi="Verdana" w:cs="Verdana"/>
                                    <w:color w:val="000000"/>
                                    <w:sz w:val="14"/>
                                    <w:szCs w:val="14"/>
                                  </w:rPr>
                                  <w:t>-200 (PDF)</w:t>
                                </w:r>
                              </w:p>
                            </w:txbxContent>
                          </v:textbox>
                        </v:rect>
                        <v:rect id="Rectangle 118" o:spid="_x0000_s1042" style="position:absolute;left:3259;top:692;width:79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D72D2B" w:rsidRDefault="00D72D2B" w:rsidP="0026052C">
                                <w:r>
                                  <w:rPr>
                                    <w:rFonts w:ascii="Verdana" w:hAnsi="Verdana" w:cs="Verdana"/>
                                    <w:color w:val="000000"/>
                                    <w:sz w:val="14"/>
                                    <w:szCs w:val="14"/>
                                  </w:rPr>
                                  <w:t>-300 (XML)</w:t>
                                </w:r>
                              </w:p>
                            </w:txbxContent>
                          </v:textbox>
                        </v:rect>
                        <v:rect id="Rectangle 119" o:spid="_x0000_s1043" style="position:absolute;left:37;top:865;width:2112;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Ih78A&#10;AADcAAAADwAAAGRycy9kb3ducmV2LnhtbERP24rCMBB9F/yHMIJvmiq4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QQiHvwAAANwAAAAPAAAAAAAAAAAAAAAAAJgCAABkcnMvZG93bnJl&#10;di54bWxQSwUGAAAAAAQABAD1AAAAhAMAAAAA&#10;" filled="f" stroked="f">
                          <v:textbox style="mso-fit-shape-to-text:t" inset="0,0,0,0">
                            <w:txbxContent>
                              <w:p w:rsidR="00D72D2B" w:rsidRPr="00FE7DAE" w:rsidRDefault="00D72D2B" w:rsidP="0026052C">
                                <w:pPr>
                                  <w:rPr>
                                    <w:lang w:val="es-ES_tradnl"/>
                                  </w:rPr>
                                </w:pPr>
                                <w:r>
                                  <w:rPr>
                                    <w:rFonts w:ascii="Verdana" w:hAnsi="Verdana" w:cs="Verdana"/>
                                    <w:color w:val="000000"/>
                                    <w:sz w:val="14"/>
                                    <w:szCs w:val="14"/>
                                    <w:lang w:val="es-ES_tradnl"/>
                                  </w:rPr>
                                  <w:t>Tasa de transmisión de RO/IB</w:t>
                                </w:r>
                              </w:p>
                            </w:txbxContent>
                          </v:textbox>
                        </v:rect>
                        <v:rect id="Rectangle 120" o:spid="_x0000_s1044" style="position:absolute;left:3787;top:865;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6c9c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6c9cMAAADcAAAADwAAAAAAAAAAAAAAAACYAgAAZHJzL2Rv&#10;d25yZXYueG1sUEsFBgAAAAAEAAQA9QAAAIgDAAAAAA==&#10;" filled="f" stroked="f">
                          <v:textbox style="mso-fit-shape-to-text:t" inset="0,0,0,0">
                            <w:txbxContent>
                              <w:p w:rsidR="00D72D2B" w:rsidRDefault="00D72D2B" w:rsidP="0026052C">
                                <w:r>
                                  <w:rPr>
                                    <w:rFonts w:ascii="Verdana" w:hAnsi="Verdana" w:cs="Verdana"/>
                                    <w:color w:val="000000"/>
                                    <w:sz w:val="14"/>
                                    <w:szCs w:val="14"/>
                                  </w:rPr>
                                  <w:t>100</w:t>
                                </w:r>
                              </w:p>
                            </w:txbxContent>
                          </v:textbox>
                        </v:rect>
                        <v:rect id="Rectangle 121" o:spid="_x0000_s1045" style="position:absolute;left:37;top:1038;width:139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D72D2B" w:rsidRDefault="00D72D2B" w:rsidP="0026052C">
                                <w:r>
                                  <w:rPr>
                                    <w:rFonts w:ascii="Verdana" w:hAnsi="Verdana" w:cs="Verdana"/>
                                    <w:color w:val="000000"/>
                                    <w:sz w:val="14"/>
                                    <w:szCs w:val="14"/>
                                  </w:rPr>
                                  <w:t>Tasa de tramitación</w:t>
                                </w:r>
                              </w:p>
                            </w:txbxContent>
                          </v:textbox>
                        </v:rect>
                        <v:rect id="Rectangle 122" o:spid="_x0000_s1046" style="position:absolute;left:3787;top:1038;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RaTsMA&#10;AADcAAAADwAAAGRycy9kb3ducmV2LnhtbESPzWoDMQyE74G8g1Ggt6y3OYSwiRNKIZCWXLLpA4i1&#10;9ofa8mK72e3bR4dCbxIzmvl0OM3eqQfFNAQ28FqUoIibYAfuDHzdz+sdqJSRLbrAZOCXEpyOy8UB&#10;KxsmvtGjzp2SEE4VGuhzHiutU9OTx1SEkVi0NkSPWdbYaRtxknDv9KYst9rjwNLQ40jvPTXf9Y83&#10;oO/1edrVLpbhc9Ne3cfl1lIw5mU1v+1BZZrzv/nv+mIFfyv4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RaTsMAAADcAAAADwAAAAAAAAAAAAAAAACYAgAAZHJzL2Rv&#10;d25yZXYueG1sUEsFBgAAAAAEAAQA9QAAAIgDAAAAAA==&#10;" filled="f" stroked="f">
                          <v:textbox style="mso-fit-shape-to-text:t" inset="0,0,0,0">
                            <w:txbxContent>
                              <w:p w:rsidR="00D72D2B" w:rsidRDefault="00D72D2B" w:rsidP="0026052C">
                                <w:r>
                                  <w:rPr>
                                    <w:rFonts w:ascii="Verdana" w:hAnsi="Verdana" w:cs="Verdana"/>
                                    <w:color w:val="000000"/>
                                    <w:sz w:val="14"/>
                                    <w:szCs w:val="14"/>
                                  </w:rPr>
                                  <w:t>200</w:t>
                                </w:r>
                              </w:p>
                            </w:txbxContent>
                          </v:textbox>
                        </v:rect>
                      </v:group>
                      <w10:anchorlock/>
                    </v:group>
                  </w:pict>
                </mc:Fallback>
              </mc:AlternateContent>
            </w:r>
          </w:p>
        </w:tc>
        <w:tc>
          <w:tcPr>
            <w:tcW w:w="4644" w:type="dxa"/>
            <w:shd w:val="clear" w:color="auto" w:fill="auto"/>
          </w:tcPr>
          <w:p w:rsidR="0026052C" w:rsidRPr="007C6477" w:rsidRDefault="00FE7DAE" w:rsidP="00781224">
            <w:pPr>
              <w:widowControl w:val="0"/>
              <w:jc w:val="center"/>
              <w:rPr>
                <w:sz w:val="20"/>
              </w:rPr>
            </w:pPr>
            <w:r>
              <w:rPr>
                <w:noProof/>
                <w:sz w:val="20"/>
                <w:lang w:val="en-US" w:eastAsia="en-US"/>
              </w:rPr>
              <mc:AlternateContent>
                <mc:Choice Requires="wpc">
                  <w:drawing>
                    <wp:inline distT="0" distB="0" distL="0" distR="0">
                      <wp:extent cx="2762885" cy="777875"/>
                      <wp:effectExtent l="0" t="0" r="18415" b="3175"/>
                      <wp:docPr id="980" name="Canvas 98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5" name="Rectangle 6"/>
                              <wps:cNvSpPr>
                                <a:spLocks noChangeArrowheads="1"/>
                              </wps:cNvSpPr>
                              <wps:spPr bwMode="auto">
                                <a:xfrm>
                                  <a:off x="0" y="1270"/>
                                  <a:ext cx="387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Times New Roman" w:hAnsi="Times New Roman" w:cs="Times New Roman"/>
                                        <w:color w:val="000000"/>
                                        <w:sz w:val="24"/>
                                        <w:szCs w:val="24"/>
                                      </w:rPr>
                                      <w:t xml:space="preserve"> </w:t>
                                    </w:r>
                                  </w:p>
                                </w:txbxContent>
                              </wps:txbx>
                              <wps:bodyPr rot="0" vert="horz" wrap="none" lIns="0" tIns="0" rIns="0" bIns="0" anchor="t" anchorCtr="0">
                                <a:spAutoFit/>
                              </wps:bodyPr>
                            </wps:wsp>
                            <wpg:wgp>
                              <wpg:cNvPr id="27" name="Group 24"/>
                              <wpg:cNvGrpSpPr>
                                <a:grpSpLocks/>
                              </wpg:cNvGrpSpPr>
                              <wpg:grpSpPr bwMode="auto">
                                <a:xfrm>
                                  <a:off x="4445" y="0"/>
                                  <a:ext cx="2589530" cy="774065"/>
                                  <a:chOff x="7" y="0"/>
                                  <a:chExt cx="4078" cy="1219"/>
                                </a:xfrm>
                              </wpg:grpSpPr>
                              <wps:wsp>
                                <wps:cNvPr id="30" name="Rectangle 7"/>
                                <wps:cNvSpPr>
                                  <a:spLocks noChangeArrowheads="1"/>
                                </wps:cNvSpPr>
                                <wps:spPr bwMode="auto">
                                  <a:xfrm>
                                    <a:off x="7" y="7"/>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8"/>
                                <wps:cNvSpPr>
                                  <a:spLocks noChangeArrowheads="1"/>
                                </wps:cNvSpPr>
                                <wps:spPr bwMode="auto">
                                  <a:xfrm>
                                    <a:off x="7" y="180"/>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9"/>
                                <wps:cNvSpPr>
                                  <a:spLocks noChangeArrowheads="1"/>
                                </wps:cNvSpPr>
                                <wps:spPr bwMode="auto">
                                  <a:xfrm>
                                    <a:off x="7" y="353"/>
                                    <a:ext cx="4078" cy="520"/>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10"/>
                                <wps:cNvSpPr>
                                  <a:spLocks noChangeArrowheads="1"/>
                                </wps:cNvSpPr>
                                <wps:spPr bwMode="auto">
                                  <a:xfrm>
                                    <a:off x="7" y="872"/>
                                    <a:ext cx="4078" cy="1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Rectangle 11"/>
                                <wps:cNvSpPr>
                                  <a:spLocks noChangeArrowheads="1"/>
                                </wps:cNvSpPr>
                                <wps:spPr bwMode="auto">
                                  <a:xfrm>
                                    <a:off x="7" y="1045"/>
                                    <a:ext cx="4078" cy="174"/>
                                  </a:xfrm>
                                  <a:prstGeom prst="rect">
                                    <a:avLst/>
                                  </a:prstGeom>
                                  <a:solidFill>
                                    <a:srgbClr val="99C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Rectangle 12"/>
                                <wps:cNvSpPr>
                                  <a:spLocks noChangeArrowheads="1"/>
                                </wps:cNvSpPr>
                                <wps:spPr bwMode="auto">
                                  <a:xfrm>
                                    <a:off x="37" y="0"/>
                                    <a:ext cx="92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FE7DAE" w:rsidRDefault="00D72D2B">
                                      <w:pPr>
                                        <w:rPr>
                                          <w:lang w:val="es-ES_tradnl"/>
                                        </w:rPr>
                                      </w:pPr>
                                      <w:r>
                                        <w:rPr>
                                          <w:rFonts w:ascii="Verdana" w:hAnsi="Verdana" w:cs="Verdana"/>
                                          <w:color w:val="000000"/>
                                          <w:sz w:val="14"/>
                                          <w:szCs w:val="14"/>
                                          <w:lang w:val="es-ES_tradnl"/>
                                        </w:rPr>
                                        <w:t>Tasa de base</w:t>
                                      </w:r>
                                    </w:p>
                                  </w:txbxContent>
                                </wps:txbx>
                                <wps:bodyPr rot="0" vert="horz" wrap="none" lIns="0" tIns="0" rIns="0" bIns="0" anchor="t" anchorCtr="0">
                                  <a:spAutoFit/>
                                </wps:bodyPr>
                              </wps:wsp>
                              <wps:wsp>
                                <wps:cNvPr id="47" name="Rectangle 13"/>
                                <wps:cNvSpPr>
                                  <a:spLocks noChangeArrowheads="1"/>
                                </wps:cNvSpPr>
                                <wps:spPr bwMode="auto">
                                  <a:xfrm>
                                    <a:off x="3648" y="0"/>
                                    <a:ext cx="40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1,330</w:t>
                                      </w:r>
                                    </w:p>
                                  </w:txbxContent>
                                </wps:txbx>
                                <wps:bodyPr rot="0" vert="horz" wrap="none" lIns="0" tIns="0" rIns="0" bIns="0" anchor="t" anchorCtr="0">
                                  <a:spAutoFit/>
                                </wps:bodyPr>
                              </wps:wsp>
                              <wps:wsp>
                                <wps:cNvPr id="49" name="Rectangle 14"/>
                                <wps:cNvSpPr>
                                  <a:spLocks noChangeArrowheads="1"/>
                                </wps:cNvSpPr>
                                <wps:spPr bwMode="auto">
                                  <a:xfrm>
                                    <a:off x="37" y="173"/>
                                    <a:ext cx="225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Tasa por superar las 30 páginas</w:t>
                                      </w:r>
                                    </w:p>
                                  </w:txbxContent>
                                </wps:txbx>
                                <wps:bodyPr rot="0" vert="horz" wrap="none" lIns="0" tIns="0" rIns="0" bIns="0" anchor="t" anchorCtr="0">
                                  <a:spAutoFit/>
                                </wps:bodyPr>
                              </wps:wsp>
                              <wps:wsp>
                                <wps:cNvPr id="51" name="Rectangle 15"/>
                                <wps:cNvSpPr>
                                  <a:spLocks noChangeArrowheads="1"/>
                                </wps:cNvSpPr>
                                <wps:spPr bwMode="auto">
                                  <a:xfrm>
                                    <a:off x="3876" y="173"/>
                                    <a:ext cx="17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15</w:t>
                                      </w:r>
                                    </w:p>
                                  </w:txbxContent>
                                </wps:txbx>
                                <wps:bodyPr rot="0" vert="horz" wrap="none" lIns="0" tIns="0" rIns="0" bIns="0" anchor="t" anchorCtr="0">
                                  <a:spAutoFit/>
                                </wps:bodyPr>
                              </wps:wsp>
                              <wps:wsp>
                                <wps:cNvPr id="53" name="Rectangle 16"/>
                                <wps:cNvSpPr>
                                  <a:spLocks noChangeArrowheads="1"/>
                                </wps:cNvSpPr>
                                <wps:spPr bwMode="auto">
                                  <a:xfrm>
                                    <a:off x="37" y="346"/>
                                    <a:ext cx="2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Descuento por presentación electrónica</w:t>
                                      </w:r>
                                    </w:p>
                                  </w:txbxContent>
                                </wps:txbx>
                                <wps:bodyPr rot="0" vert="horz" wrap="none" lIns="0" tIns="0" rIns="0" bIns="0" anchor="t" anchorCtr="0">
                                  <a:spAutoFit/>
                                </wps:bodyPr>
                              </wps:wsp>
                              <wps:wsp>
                                <wps:cNvPr id="55" name="Rectangle 17"/>
                                <wps:cNvSpPr>
                                  <a:spLocks noChangeArrowheads="1"/>
                                </wps:cNvSpPr>
                                <wps:spPr bwMode="auto">
                                  <a:xfrm>
                                    <a:off x="3224" y="346"/>
                                    <a:ext cx="836"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wps:txbx>
                                <wps:bodyPr rot="0" vert="horz" wrap="none" lIns="0" tIns="0" rIns="0" bIns="0" anchor="t" anchorCtr="0">
                                  <a:spAutoFit/>
                                </wps:bodyPr>
                              </wps:wsp>
                              <wps:wsp>
                                <wps:cNvPr id="59" name="Rectangle 18"/>
                                <wps:cNvSpPr>
                                  <a:spLocks noChangeArrowheads="1"/>
                                </wps:cNvSpPr>
                                <wps:spPr bwMode="auto">
                                  <a:xfrm>
                                    <a:off x="3277" y="519"/>
                                    <a:ext cx="78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-200 (PDF)</w:t>
                                      </w:r>
                                    </w:p>
                                  </w:txbxContent>
                                </wps:txbx>
                                <wps:bodyPr rot="0" vert="horz" wrap="none" lIns="0" tIns="0" rIns="0" bIns="0" anchor="t" anchorCtr="0">
                                  <a:spAutoFit/>
                                </wps:bodyPr>
                              </wps:wsp>
                              <wps:wsp>
                                <wps:cNvPr id="61" name="Rectangle 19"/>
                                <wps:cNvSpPr>
                                  <a:spLocks noChangeArrowheads="1"/>
                                </wps:cNvSpPr>
                                <wps:spPr bwMode="auto">
                                  <a:xfrm>
                                    <a:off x="3259" y="692"/>
                                    <a:ext cx="799"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-300 (XML)</w:t>
                                      </w:r>
                                    </w:p>
                                  </w:txbxContent>
                                </wps:txbx>
                                <wps:bodyPr rot="0" vert="horz" wrap="none" lIns="0" tIns="0" rIns="0" bIns="0" anchor="t" anchorCtr="0">
                                  <a:spAutoFit/>
                                </wps:bodyPr>
                              </wps:wsp>
                              <wps:wsp>
                                <wps:cNvPr id="62" name="Rectangle 20"/>
                                <wps:cNvSpPr>
                                  <a:spLocks noChangeArrowheads="1"/>
                                </wps:cNvSpPr>
                                <wps:spPr bwMode="auto">
                                  <a:xfrm>
                                    <a:off x="37" y="865"/>
                                    <a:ext cx="2112"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Tasa de transmisión de RO/IB</w:t>
                                      </w:r>
                                    </w:p>
                                  </w:txbxContent>
                                </wps:txbx>
                                <wps:bodyPr rot="0" vert="horz" wrap="none" lIns="0" tIns="0" rIns="0" bIns="0" anchor="t" anchorCtr="0">
                                  <a:spAutoFit/>
                                </wps:bodyPr>
                              </wps:wsp>
                              <wps:wsp>
                                <wps:cNvPr id="962" name="Rectangle 21"/>
                                <wps:cNvSpPr>
                                  <a:spLocks noChangeArrowheads="1"/>
                                </wps:cNvSpPr>
                                <wps:spPr bwMode="auto">
                                  <a:xfrm>
                                    <a:off x="3787" y="865"/>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100</w:t>
                                      </w:r>
                                    </w:p>
                                  </w:txbxContent>
                                </wps:txbx>
                                <wps:bodyPr rot="0" vert="horz" wrap="none" lIns="0" tIns="0" rIns="0" bIns="0" anchor="t" anchorCtr="0">
                                  <a:spAutoFit/>
                                </wps:bodyPr>
                              </wps:wsp>
                              <wps:wsp>
                                <wps:cNvPr id="969" name="Rectangle 22"/>
                                <wps:cNvSpPr>
                                  <a:spLocks noChangeArrowheads="1"/>
                                </wps:cNvSpPr>
                                <wps:spPr bwMode="auto">
                                  <a:xfrm>
                                    <a:off x="37" y="1038"/>
                                    <a:ext cx="1395"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Tasa de tramitación</w:t>
                                      </w:r>
                                    </w:p>
                                  </w:txbxContent>
                                </wps:txbx>
                                <wps:bodyPr rot="0" vert="horz" wrap="none" lIns="0" tIns="0" rIns="0" bIns="0" anchor="t" anchorCtr="0">
                                  <a:spAutoFit/>
                                </wps:bodyPr>
                              </wps:wsp>
                              <wps:wsp>
                                <wps:cNvPr id="973" name="Rectangle 23"/>
                                <wps:cNvSpPr>
                                  <a:spLocks noChangeArrowheads="1"/>
                                </wps:cNvSpPr>
                                <wps:spPr bwMode="auto">
                                  <a:xfrm>
                                    <a:off x="3787" y="1038"/>
                                    <a:ext cx="268"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
                                        <w:rPr>
                                          <w:rFonts w:ascii="Verdana" w:hAnsi="Verdana" w:cs="Verdana"/>
                                          <w:color w:val="000000"/>
                                          <w:sz w:val="14"/>
                                          <w:szCs w:val="14"/>
                                        </w:rPr>
                                        <w:t>200</w:t>
                                      </w:r>
                                    </w:p>
                                  </w:txbxContent>
                                </wps:txbx>
                                <wps:bodyPr rot="0" vert="horz" wrap="none" lIns="0" tIns="0" rIns="0" bIns="0" anchor="t" anchorCtr="0">
                                  <a:spAutoFit/>
                                </wps:bodyPr>
                              </wps:wsp>
                            </wpg:wgp>
                          </wpc:wpc>
                        </a:graphicData>
                      </a:graphic>
                    </wp:inline>
                  </w:drawing>
                </mc:Choice>
                <mc:Fallback>
                  <w:pict>
                    <v:group id="Canvas 980" o:spid="_x0000_s1047" editas="canvas" style="width:217.55pt;height:61.25pt;mso-position-horizontal-relative:char;mso-position-vertical-relative:line" coordsize="27628,7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">
                      <v:shape id="_x0000_s1048" type="#_x0000_t75" style="position:absolute;width:27628;height:7778;visibility:visible;mso-wrap-style:square">
                        <v:fill o:detectmouseclick="t"/>
                        <v:path o:connecttype="none"/>
                      </v:shape>
                      <v:rect id="Rectangle 6" o:spid="_x0000_s1049" style="position:absolute;top:12;width:387;height:16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D72D2B" w:rsidRDefault="00D72D2B">
                              <w:r>
                                <w:rPr>
                                  <w:rFonts w:ascii="Times New Roman" w:hAnsi="Times New Roman" w:cs="Times New Roman"/>
                                  <w:color w:val="000000"/>
                                  <w:sz w:val="24"/>
                                  <w:szCs w:val="24"/>
                                </w:rPr>
                                <w:t xml:space="preserve"> </w:t>
                              </w:r>
                            </w:p>
                          </w:txbxContent>
                        </v:textbox>
                      </v:rect>
                      <v:group id="Group 24" o:spid="_x0000_s1050" style="position:absolute;left:44;width:25895;height:7740" coordorigin="7" coordsize="4078,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ect id="Rectangle 7" o:spid="_x0000_s1051" style="position:absolute;left:7;top:7;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twq74A&#10;AADbAAAADwAAAGRycy9kb3ducmV2LnhtbERPzYrCMBC+C75DGGFvmqqwSDWVIgoiyKK7DzA0Y1Pa&#10;TEoT2/r2m4Pg8eP73+1H24ieOl85VrBcJCCIC6crLhX8/Z7mGxA+IGtsHJOCF3nYZ9PJDlPtBr5R&#10;fw+liCHsU1RgQmhTKX1hyKJfuJY4cg/XWQwRdqXUHQ4x3DZylSTf0mLFscFgSwdDRX1/WgXWXH+O&#10;1XBpbZ4/uX8MicdrrdTXbMy3IAKN4SN+u89awTquj1/iD5DZ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LcKu+AAAA2wAAAA8AAAAAAAAAAAAAAAAAmAIAAGRycy9kb3ducmV2&#10;LnhtbFBLBQYAAAAABAAEAPUAAACDAwAAAAA=&#10;" fillcolor="#9cf" stroked="f"/>
                        <v:rect id="Rectangle 8" o:spid="_x0000_s1052" style="position:absolute;left:7;top:180;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bBRcUA&#10;AADbAAAADwAAAGRycy9kb3ducmV2LnhtbESPzWrDMBCE74W8g9hAbo3UODWNE8WUgCHQ9pAf6HWx&#10;NraptXItOXHfvioUchxm5htmk4+2FVfqfeNYw9NcgSAunWm40nA+FY8vIHxANtg6Jg0/5CHfTh42&#10;mBl34wNdj6ESEcI+Qw11CF0mpS9rsujnriOO3sX1FkOUfSVNj7cIt61cKJVKiw3HhRo72tVUfh0H&#10;qwHTpfn+uCTvp7chxVU1quL5U2k9m46vaxCBxnAP/7f3RkOyhL8v8Qf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ZsFFxQAAANsAAAAPAAAAAAAAAAAAAAAAAJgCAABkcnMv&#10;ZG93bnJldi54bWxQSwUGAAAAAAQABAD1AAAAigMAAAAA&#10;" stroked="f"/>
                        <v:rect id="Rectangle 9" o:spid="_x0000_s1053" style="position:absolute;left:7;top:353;width:4078;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5NRMIA&#10;AADbAAAADwAAAGRycy9kb3ducmV2LnhtbESP0WqDQBRE3wP5h+UW+pasbUCKzSpSUiiBUGryARf3&#10;6oruXXE3av++Wyj0cZiZM8yxWO0gZpp851jB0z4BQVw73XGr4HZ9372A8AFZ4+CYFHyThyLfbo6Y&#10;abfwF81VaEWEsM9QgQlhzKT0tSGLfu9G4ug1brIYopxaqSdcItwO8jlJUmmx47hgcKQ3Q3Vf3a0C&#10;ay6fp245j7Ys7zw3S+Lx0iv1+LCWryACreE//Nf+0AoOKfx+iT9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7k1EwgAAANsAAAAPAAAAAAAAAAAAAAAAAJgCAABkcnMvZG93&#10;bnJldi54bWxQSwUGAAAAAAQABAD1AAAAhwMAAAAA&#10;" fillcolor="#9cf" stroked="f"/>
                        <v:rect id="Rectangle 10" o:spid="_x0000_s1054" style="position:absolute;left:7;top:872;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u28MA&#10;AADbAAAADwAAAGRycy9kb3ducmV2LnhtbESPT4vCMBTE7wt+h/AEb2ui7hatRhFBEHb34B/w+mie&#10;bbF5qU3U+u03guBxmJnfMLNFaytxo8aXjjUM+goEceZMybmGw379OQbhA7LByjFpeJCHxbzzMcPU&#10;uDtv6bYLuYgQ9ilqKEKoUyl9VpBF33c1cfROrrEYomxyaRq8R7it5FCpRFosOS4UWNOqoOy8u1oN&#10;mHyZy99p9Lv/uSY4yVu1/j4qrXvddjkFEagN7/CrvTEaRhN4fok/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du28MAAADbAAAADwAAAAAAAAAAAAAAAACYAgAAZHJzL2Rv&#10;d25yZXYueG1sUEsFBgAAAAAEAAQA9QAAAIgDAAAAAA==&#10;" stroked="f"/>
                        <v:rect id="Rectangle 11" o:spid="_x0000_s1055" style="position:absolute;left:7;top:1045;width:4078;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0D1r4A&#10;AADbAAAADwAAAGRycy9kb3ducmV2LnhtbERPzYrCMBC+C75DGGFvmiqySDWVIgoiyKK7DzA0Y1Pa&#10;TEoT2/r2m4Pg8eP73+1H24ieOl85VrBcJCCIC6crLhX8/Z7mGxA+IGtsHJOCF3nYZ9PJDlPtBr5R&#10;fw+liCHsU1RgQmhTKX1hyKJfuJY4cg/XWQwRdqXUHQ4x3DZylSTf0mLFscFgSwdDRX1/WgXWXH+O&#10;1XBpbZ4/uX8MicdrrdTXbMy3IAKN4SN+u89awTquj1/iD5DZ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lNA9a+AAAA2wAAAA8AAAAAAAAAAAAAAAAAmAIAAGRycy9kb3ducmV2&#10;LnhtbFBLBQYAAAAABAAEAPUAAACDAwAAAAA=&#10;" fillcolor="#9cf" stroked="f"/>
                        <v:rect id="Rectangle 12" o:spid="_x0000_s1056" style="position:absolute;left:37;width:92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rsidR="00D72D2B" w:rsidRPr="00FE7DAE" w:rsidRDefault="00D72D2B">
                                <w:pPr>
                                  <w:rPr>
                                    <w:lang w:val="es-ES_tradnl"/>
                                  </w:rPr>
                                </w:pPr>
                                <w:r>
                                  <w:rPr>
                                    <w:rFonts w:ascii="Verdana" w:hAnsi="Verdana" w:cs="Verdana"/>
                                    <w:color w:val="000000"/>
                                    <w:sz w:val="14"/>
                                    <w:szCs w:val="14"/>
                                    <w:lang w:val="es-ES_tradnl"/>
                                  </w:rPr>
                                  <w:t>Tasa de base</w:t>
                                </w:r>
                              </w:p>
                            </w:txbxContent>
                          </v:textbox>
                        </v:rect>
                        <v:rect id="Rectangle 13" o:spid="_x0000_s1057" style="position:absolute;left:3648;width:407;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1,330</w:t>
                                </w:r>
                              </w:p>
                            </w:txbxContent>
                          </v:textbox>
                        </v:rect>
                        <v:rect id="Rectangle 14" o:spid="_x0000_s1058" style="position:absolute;left:37;top:173;width:225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Tasa por superar las 30 páginas</w:t>
                                </w:r>
                              </w:p>
                            </w:txbxContent>
                          </v:textbox>
                        </v:rect>
                        <v:rect id="Rectangle 15" o:spid="_x0000_s1059" style="position:absolute;left:3876;top:173;width:17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rsidR="00D72D2B" w:rsidRDefault="00D72D2B">
                                <w:r>
                                  <w:rPr>
                                    <w:rFonts w:ascii="Verdana" w:hAnsi="Verdana" w:cs="Verdana"/>
                                    <w:color w:val="000000"/>
                                    <w:sz w:val="14"/>
                                    <w:szCs w:val="14"/>
                                  </w:rPr>
                                  <w:t>15</w:t>
                                </w:r>
                              </w:p>
                            </w:txbxContent>
                          </v:textbox>
                        </v:rect>
                        <v:rect id="Rectangle 16" o:spid="_x0000_s1060" style="position:absolute;left:37;top:346;width:2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Descuento por presentación electrónica</w:t>
                                </w:r>
                              </w:p>
                            </w:txbxContent>
                          </v:textbox>
                        </v:rect>
                        <v:rect id="Rectangle 17" o:spid="_x0000_s1061" style="position:absolute;left:3224;top:346;width:836;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rsidR="00D72D2B" w:rsidRDefault="00D72D2B">
                                <w:r>
                                  <w:rPr>
                                    <w:rFonts w:ascii="Verdana" w:hAnsi="Verdana" w:cs="Verdana"/>
                                    <w:color w:val="000000"/>
                                    <w:sz w:val="14"/>
                                    <w:szCs w:val="14"/>
                                  </w:rPr>
                                  <w:t>-100 (</w:t>
                                </w:r>
                                <w:proofErr w:type="spellStart"/>
                                <w:r>
                                  <w:rPr>
                                    <w:rFonts w:ascii="Verdana" w:hAnsi="Verdana" w:cs="Verdana"/>
                                    <w:color w:val="000000"/>
                                    <w:sz w:val="14"/>
                                    <w:szCs w:val="14"/>
                                  </w:rPr>
                                  <w:t>Easy</w:t>
                                </w:r>
                                <w:proofErr w:type="spellEnd"/>
                                <w:r>
                                  <w:rPr>
                                    <w:rFonts w:ascii="Verdana" w:hAnsi="Verdana" w:cs="Verdana"/>
                                    <w:color w:val="000000"/>
                                    <w:sz w:val="14"/>
                                    <w:szCs w:val="14"/>
                                  </w:rPr>
                                  <w:t>)</w:t>
                                </w:r>
                              </w:p>
                            </w:txbxContent>
                          </v:textbox>
                        </v:rect>
                        <v:rect id="Rectangle 18" o:spid="_x0000_s1062" style="position:absolute;left:3277;top:519;width:780;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G38EA&#10;AADbAAAADwAAAGRycy9kb3ducmV2LnhtbESPzYoCMRCE7wu+Q2jB25pRc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Bt/BAAAA2w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-200 (PDF)</w:t>
                                </w:r>
                              </w:p>
                            </w:txbxContent>
                          </v:textbox>
                        </v:rect>
                        <v:rect id="Rectangle 19" o:spid="_x0000_s1063" style="position:absolute;left:3259;top:692;width:799;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-300 (XML)</w:t>
                                </w:r>
                              </w:p>
                            </w:txbxContent>
                          </v:textbox>
                        </v:rect>
                        <v:rect id="Rectangle 20" o:spid="_x0000_s1064" style="position:absolute;left:37;top:865;width:2112;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D72D2B" w:rsidRDefault="00D72D2B">
                                <w:r>
                                  <w:rPr>
                                    <w:rFonts w:ascii="Verdana" w:hAnsi="Verdana" w:cs="Verdana"/>
                                    <w:color w:val="000000"/>
                                    <w:sz w:val="14"/>
                                    <w:szCs w:val="14"/>
                                  </w:rPr>
                                  <w:t>Tasa de transmisión de RO/IB</w:t>
                                </w:r>
                              </w:p>
                            </w:txbxContent>
                          </v:textbox>
                        </v:rect>
                        <v:rect id="Rectangle 21" o:spid="_x0000_s1065" style="position:absolute;left:3787;top:865;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4kcIA&#10;AADcAAAADwAAAGRycy9kb3ducmV2LnhtbESPzYoCMRCE7wv7DqGFva0Z5yDuaBQRBBUvjj5AM+n5&#10;waQzJFlnfHuzIOyxqKqvqNVmtEY8yIfOsYLZNANBXDndcaPgdt1/L0CEiKzROCYFTwqwWX9+rLDQ&#10;buALPcrYiAThUKCCNsa+kDJULVkMU9cTJ6923mJM0jdSexwS3BqZZ9lcWuw4LbTY066l6l7+WgXy&#10;Wu6HRWl85k55fTbHw6Ump9TXZNwuQUQa43/43T5oBT/z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DiRwgAAANwAAAAPAAAAAAAAAAAAAAAAAJgCAABkcnMvZG93&#10;bnJldi54bWxQSwUGAAAAAAQABAD1AAAAhwMAAAAA&#10;" filled="f" stroked="f">
                          <v:textbox style="mso-fit-shape-to-text:t" inset="0,0,0,0">
                            <w:txbxContent>
                              <w:p w:rsidR="00D72D2B" w:rsidRDefault="00D72D2B">
                                <w:r>
                                  <w:rPr>
                                    <w:rFonts w:ascii="Verdana" w:hAnsi="Verdana" w:cs="Verdana"/>
                                    <w:color w:val="000000"/>
                                    <w:sz w:val="14"/>
                                    <w:szCs w:val="14"/>
                                  </w:rPr>
                                  <w:t>100</w:t>
                                </w:r>
                              </w:p>
                            </w:txbxContent>
                          </v:textbox>
                        </v:rect>
                        <v:rect id="Rectangle 22" o:spid="_x0000_s1066" style="position:absolute;left:37;top:1038;width:1395;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q4MEA&#10;AADcAAAADwAAAGRycy9kb3ducmV2LnhtbESPzYoCMRCE7wu+Q2jB25rRg+isUUQQVLw47gM0k54f&#10;TDpDEp3x7Y2wsMeiqr6i1tvBGvEkH1rHCmbTDARx6XTLtYLf2+F7CSJEZI3GMSl4UYDtZvS1xly7&#10;nq/0LGItEoRDjgqaGLtcylA2ZDFMXUecvMp5izFJX0vtsU9wa+Q8yxbSYstpocGO9g2V9+JhFchb&#10;ceiXhfGZO8+rizkdrxU5pSbjYfcDItIQ/8N/7aNWsFqs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gquDBAAAA3AAAAA8AAAAAAAAAAAAAAAAAmAIAAGRycy9kb3du&#10;cmV2LnhtbFBLBQYAAAAABAAEAPUAAACGAwAAAAA=&#10;" filled="f" stroked="f">
                          <v:textbox style="mso-fit-shape-to-text:t" inset="0,0,0,0">
                            <w:txbxContent>
                              <w:p w:rsidR="00D72D2B" w:rsidRDefault="00D72D2B">
                                <w:r>
                                  <w:rPr>
                                    <w:rFonts w:ascii="Verdana" w:hAnsi="Verdana" w:cs="Verdana"/>
                                    <w:color w:val="000000"/>
                                    <w:sz w:val="14"/>
                                    <w:szCs w:val="14"/>
                                  </w:rPr>
                                  <w:t>Tasa de tramitación</w:t>
                                </w:r>
                              </w:p>
                            </w:txbxContent>
                          </v:textbox>
                        </v:rect>
                        <v:rect id="Rectangle 23" o:spid="_x0000_s1067" style="position:absolute;left:3787;top:1038;width:268;height:1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EL18IA&#10;AADcAAAADwAAAGRycy9kb3ducmV2LnhtbESP3WoCMRSE7wu+QziCdzWrQtXVKFIQbPHG1Qc4bM7+&#10;YHKyJKm7ffumIHg5zMw3zHY/WCMe5EPrWMFsmoEgLp1uuVZwux7fVyBCRNZoHJOCXwqw343etphr&#10;1/OFHkWsRYJwyFFBE2OXSxnKhiyGqeuIk1c5bzEm6WupPfYJbo2cZ9mHtNhyWmiwo8+GynvxYxXI&#10;a3HsV4XxmfueV2fzdbpU5JSajIfDBkSkIb7Cz/ZJK1gv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0QvXwgAAANwAAAAPAAAAAAAAAAAAAAAAAJgCAABkcnMvZG93&#10;bnJldi54bWxQSwUGAAAAAAQABAD1AAAAhwMAAAAA&#10;" filled="f" stroked="f">
                          <v:textbox style="mso-fit-shape-to-text:t" inset="0,0,0,0">
                            <w:txbxContent>
                              <w:p w:rsidR="00D72D2B" w:rsidRDefault="00D72D2B">
                                <w:r>
                                  <w:rPr>
                                    <w:rFonts w:ascii="Verdana" w:hAnsi="Verdana" w:cs="Verdana"/>
                                    <w:color w:val="000000"/>
                                    <w:sz w:val="14"/>
                                    <w:szCs w:val="14"/>
                                  </w:rPr>
                                  <w:t>200</w:t>
                                </w:r>
                              </w:p>
                            </w:txbxContent>
                          </v:textbox>
                        </v:rect>
                      </v:group>
                      <w10:anchorlock/>
                    </v:group>
                  </w:pict>
                </mc:Fallback>
              </mc:AlternateContent>
            </w:r>
          </w:p>
        </w:tc>
      </w:tr>
    </w:tbl>
    <w:p w:rsidR="0026052C" w:rsidRPr="007C6477" w:rsidRDefault="0026052C" w:rsidP="0026052C">
      <w:pPr>
        <w:widowControl w:val="0"/>
        <w:rPr>
          <w:sz w:val="20"/>
        </w:rPr>
      </w:pPr>
    </w:p>
    <w:p w:rsidR="0026052C" w:rsidRPr="00B55A86" w:rsidRDefault="0026052C" w:rsidP="0026052C">
      <w:pPr>
        <w:widowControl w:val="0"/>
        <w:jc w:val="both"/>
        <w:rPr>
          <w:b/>
          <w:sz w:val="20"/>
        </w:rPr>
      </w:pPr>
    </w:p>
    <w:p w:rsidR="0026052C" w:rsidRPr="00B55A86" w:rsidRDefault="0026052C" w:rsidP="0026052C">
      <w:pPr>
        <w:widowControl w:val="0"/>
        <w:jc w:val="both"/>
        <w:rPr>
          <w:b/>
          <w:sz w:val="20"/>
        </w:rPr>
      </w:pPr>
      <w:r w:rsidRPr="00B55A86">
        <w:rPr>
          <w:b/>
          <w:sz w:val="20"/>
        </w:rPr>
        <w:t>Madrid</w:t>
      </w:r>
    </w:p>
    <w:p w:rsidR="0026052C" w:rsidRPr="00B55A86" w:rsidRDefault="0026052C" w:rsidP="0026052C">
      <w:pPr>
        <w:widowControl w:val="0"/>
        <w:rPr>
          <w:b/>
          <w:sz w:val="20"/>
        </w:rPr>
      </w:pPr>
    </w:p>
    <w:p w:rsidR="0026052C" w:rsidRPr="007C6477" w:rsidRDefault="0026052C" w:rsidP="0026052C">
      <w:pPr>
        <w:widowControl w:val="0"/>
        <w:rPr>
          <w:i/>
          <w:sz w:val="20"/>
        </w:rPr>
      </w:pPr>
      <w:r w:rsidRPr="007C6477">
        <w:rPr>
          <w:i/>
          <w:sz w:val="20"/>
        </w:rPr>
        <w:t>Sistema de Madrid – Previsión de la demanda de registros internacionales</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En el gráfico 6 se indica la previsión para el período comprendido entre  2015 y 2017.  Para realizar una previsión del número de registros en el marco del Sistema de Madrid se utilizan diferentes modelos, entre ellos los modelos </w:t>
      </w:r>
      <w:proofErr w:type="spellStart"/>
      <w:r w:rsidRPr="007C6477">
        <w:rPr>
          <w:sz w:val="20"/>
        </w:rPr>
        <w:t>autorregresivos</w:t>
      </w:r>
      <w:proofErr w:type="spellEnd"/>
      <w:r w:rsidRPr="007C6477">
        <w:rPr>
          <w:sz w:val="20"/>
        </w:rPr>
        <w:t xml:space="preserve">, modelos econométricos y modelos de transferencia.  Los modelos </w:t>
      </w:r>
      <w:proofErr w:type="spellStart"/>
      <w:r w:rsidRPr="007C6477">
        <w:rPr>
          <w:sz w:val="20"/>
        </w:rPr>
        <w:t>autorregresivos</w:t>
      </w:r>
      <w:proofErr w:type="spellEnd"/>
      <w:r w:rsidRPr="007C6477">
        <w:rPr>
          <w:sz w:val="20"/>
        </w:rPr>
        <w:t xml:space="preserve"> se aplican tanto a los registros como a las solicitudes de registro.  Luego se aplica la variable de la media de tiempo de tramitación a los resultados correspondientes a las solicitudes y se obtiene una previsión de los registros.  Los modelos econométricos se basan en los datos sobre el PIB real y previsto publicados por el Fondo Monetario Internacional (FMI).  Luego se combinan los resultados obtenidos mediante cada uno de los modelos, para minimizar la incertidumbre que resulta de la aplicación de cada uno de ellos por separado.</w:t>
      </w:r>
    </w:p>
    <w:p w:rsidR="0026052C" w:rsidRPr="007C6477" w:rsidRDefault="0026052C" w:rsidP="0026052C">
      <w:pPr>
        <w:widowControl w:val="0"/>
        <w:rPr>
          <w:sz w:val="20"/>
        </w:rPr>
      </w:pPr>
    </w:p>
    <w:p w:rsidR="0026052C" w:rsidRPr="005D7081" w:rsidRDefault="0026052C" w:rsidP="0026052C">
      <w:pPr>
        <w:keepNext/>
        <w:widowControl w:val="0"/>
        <w:jc w:val="center"/>
        <w:rPr>
          <w:sz w:val="20"/>
        </w:rPr>
      </w:pPr>
      <w:r w:rsidRPr="005D7081">
        <w:rPr>
          <w:sz w:val="20"/>
        </w:rPr>
        <w:lastRenderedPageBreak/>
        <w:t xml:space="preserve">Gráfico 6.  </w:t>
      </w:r>
      <w:r w:rsidR="005D7081">
        <w:rPr>
          <w:sz w:val="20"/>
        </w:rPr>
        <w:t>Demanda de</w:t>
      </w:r>
      <w:r w:rsidRPr="005D7081">
        <w:rPr>
          <w:sz w:val="20"/>
        </w:rPr>
        <w:t xml:space="preserve"> registro</w:t>
      </w:r>
      <w:r w:rsidR="005D7081">
        <w:rPr>
          <w:sz w:val="20"/>
        </w:rPr>
        <w:t>s</w:t>
      </w:r>
      <w:r w:rsidRPr="005D7081">
        <w:rPr>
          <w:sz w:val="20"/>
        </w:rPr>
        <w:t xml:space="preserve"> internacional</w:t>
      </w:r>
      <w:r w:rsidR="005D7081">
        <w:rPr>
          <w:sz w:val="20"/>
        </w:rPr>
        <w:t>es</w:t>
      </w:r>
      <w:r w:rsidRPr="005D7081">
        <w:rPr>
          <w:sz w:val="20"/>
        </w:rPr>
        <w:t xml:space="preserve"> en virtud del Sistema de Madrid</w:t>
      </w:r>
    </w:p>
    <w:p w:rsidR="0026052C" w:rsidRPr="007C6477" w:rsidRDefault="00B37E9B" w:rsidP="00B37E9B">
      <w:pPr>
        <w:keepNext/>
        <w:widowControl w:val="0"/>
        <w:rPr>
          <w:sz w:val="20"/>
        </w:rPr>
      </w:pPr>
      <w:r w:rsidRPr="00B37E9B">
        <w:rPr>
          <w:noProof/>
          <w:lang w:val="en-US" w:eastAsia="en-US"/>
        </w:rPr>
        <w:drawing>
          <wp:inline distT="0" distB="0" distL="0" distR="0">
            <wp:extent cx="5493385" cy="31115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493385" cy="3111500"/>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24F7E3EA" wp14:editId="54EF3D6E">
            <wp:extent cx="4408098" cy="701191"/>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4408203" cy="701208"/>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Se combinaron las cifras antes mencionadas con los resultados obtenidos mediante los modelos </w:t>
      </w:r>
      <w:proofErr w:type="spellStart"/>
      <w:r w:rsidRPr="007C6477">
        <w:rPr>
          <w:sz w:val="20"/>
        </w:rPr>
        <w:t>autorregresivos</w:t>
      </w:r>
      <w:proofErr w:type="spellEnd"/>
      <w:r w:rsidRPr="007C6477">
        <w:rPr>
          <w:sz w:val="20"/>
        </w:rPr>
        <w:t>.  Es probable que el número de registros se ubique dentro de esos límites, que están asociados a un valor de probabilidad.  En el gráfico y el cuadro que figuran a continuación se suministra la distribución probabilística de las solicitudes.</w:t>
      </w:r>
    </w:p>
    <w:p w:rsidR="0026052C" w:rsidRPr="007C6477" w:rsidRDefault="0026052C" w:rsidP="0026052C">
      <w:pPr>
        <w:widowControl w:val="0"/>
        <w:rPr>
          <w:sz w:val="20"/>
        </w:rPr>
      </w:pPr>
    </w:p>
    <w:p w:rsidR="0026052C" w:rsidRPr="007C6477" w:rsidRDefault="0026052C" w:rsidP="0026052C">
      <w:pPr>
        <w:keepNext/>
        <w:widowControl w:val="0"/>
        <w:jc w:val="center"/>
        <w:rPr>
          <w:sz w:val="18"/>
          <w:szCs w:val="18"/>
        </w:rPr>
      </w:pPr>
      <w:r w:rsidRPr="007C6477">
        <w:rPr>
          <w:sz w:val="18"/>
          <w:szCs w:val="18"/>
        </w:rPr>
        <w:t>Distribución probabilística de las solicitudes</w:t>
      </w:r>
    </w:p>
    <w:p w:rsidR="0026052C" w:rsidRPr="007C6477" w:rsidRDefault="0026052C" w:rsidP="0026052C">
      <w:pPr>
        <w:widowControl w:val="0"/>
        <w:jc w:val="center"/>
        <w:rPr>
          <w:sz w:val="20"/>
        </w:rPr>
      </w:pPr>
      <w:r w:rsidRPr="007C6477">
        <w:rPr>
          <w:noProof/>
          <w:lang w:val="en-US" w:eastAsia="en-US"/>
        </w:rPr>
        <w:drawing>
          <wp:inline distT="0" distB="0" distL="0" distR="0" wp14:anchorId="7914925A" wp14:editId="253F8E64">
            <wp:extent cx="4490633" cy="2536166"/>
            <wp:effectExtent l="0" t="0" r="571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490873" cy="2536302"/>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keepNext/>
        <w:widowControl w:val="0"/>
        <w:jc w:val="center"/>
        <w:rPr>
          <w:sz w:val="18"/>
          <w:szCs w:val="18"/>
        </w:rPr>
      </w:pPr>
      <w:r w:rsidRPr="007C6477">
        <w:rPr>
          <w:sz w:val="18"/>
          <w:szCs w:val="18"/>
        </w:rPr>
        <w:lastRenderedPageBreak/>
        <w:t>Proyecciones correspondientes a las solicitudes en virtud del Sistema de Madrid</w:t>
      </w:r>
    </w:p>
    <w:p w:rsidR="0026052C" w:rsidRPr="007C6477" w:rsidRDefault="0026052C" w:rsidP="0026052C">
      <w:pPr>
        <w:keepNext/>
        <w:widowControl w:val="0"/>
        <w:rPr>
          <w:sz w:val="20"/>
        </w:rPr>
      </w:pPr>
    </w:p>
    <w:p w:rsidR="0026052C" w:rsidRPr="007C6477" w:rsidRDefault="0026052C" w:rsidP="0026052C">
      <w:pPr>
        <w:keepNext/>
        <w:widowControl w:val="0"/>
        <w:jc w:val="center"/>
      </w:pPr>
      <w:r w:rsidRPr="007C6477">
        <w:rPr>
          <w:noProof/>
          <w:lang w:val="en-US" w:eastAsia="en-US"/>
        </w:rPr>
        <w:drawing>
          <wp:inline distT="0" distB="0" distL="0" distR="0" wp14:anchorId="12466A5F" wp14:editId="326B8266">
            <wp:extent cx="3027286" cy="3010619"/>
            <wp:effectExtent l="0" t="0" r="190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027298" cy="3010631"/>
                    </a:xfrm>
                    <a:prstGeom prst="rect">
                      <a:avLst/>
                    </a:prstGeom>
                    <a:noFill/>
                    <a:ln>
                      <a:noFill/>
                    </a:ln>
                  </pic:spPr>
                </pic:pic>
              </a:graphicData>
            </a:graphic>
          </wp:inline>
        </w:drawing>
      </w:r>
    </w:p>
    <w:p w:rsidR="0026052C" w:rsidRPr="007C6477" w:rsidRDefault="0026052C" w:rsidP="0026052C">
      <w:pPr>
        <w:widowControl w:val="0"/>
      </w:pPr>
    </w:p>
    <w:p w:rsidR="0026052C" w:rsidRPr="007C6477" w:rsidRDefault="0026052C" w:rsidP="0026052C">
      <w:pPr>
        <w:widowControl w:val="0"/>
      </w:pPr>
    </w:p>
    <w:p w:rsidR="0026052C" w:rsidRPr="007C6477" w:rsidRDefault="0026052C" w:rsidP="0026052C">
      <w:pPr>
        <w:widowControl w:val="0"/>
        <w:rPr>
          <w:i/>
          <w:sz w:val="20"/>
        </w:rPr>
      </w:pPr>
      <w:r w:rsidRPr="007C6477">
        <w:rPr>
          <w:i/>
          <w:sz w:val="20"/>
        </w:rPr>
        <w:t>Sistema de Madrid – Previsión de la demanda de renovaciones</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En el gráfico 7 se indica la previsión para el período comprendido entre 2015 y 2017.  La previsión de las renovaciones se calcula de modo similar, aplicando los modelos regresivos y el modelo de transferencia.  Además de los modelos </w:t>
      </w:r>
      <w:proofErr w:type="spellStart"/>
      <w:r w:rsidRPr="007C6477">
        <w:rPr>
          <w:sz w:val="20"/>
        </w:rPr>
        <w:t>autorregresivos</w:t>
      </w:r>
      <w:proofErr w:type="spellEnd"/>
      <w:r w:rsidRPr="007C6477">
        <w:rPr>
          <w:sz w:val="20"/>
        </w:rPr>
        <w:t xml:space="preserve"> que aplicamos a las series temporales sobre renovaciones, también utilizamos un modelo regresivo para las renovaciones y los registros.  El modelo regresivo parte del supuesto que la primera renovación está vinculada a un registro con un período de protección diez años, mientras que las renovaciones subsiguientes están vinculadas a renovaciones anteriores con períodos de protección de diez años.  El modelo de transferencia toma el conjunto de registros que serán potencialmente objeto de renovación y aplica un porcentaje calculado en base a los años anteriores.  Luego se combinan los resultados obtenidos mediante los diferentes modelos.</w:t>
      </w:r>
    </w:p>
    <w:p w:rsidR="0026052C" w:rsidRPr="007C6477" w:rsidRDefault="0026052C" w:rsidP="0026052C">
      <w:pPr>
        <w:widowControl w:val="0"/>
      </w:pPr>
    </w:p>
    <w:p w:rsidR="0026052C" w:rsidRPr="005D7081" w:rsidRDefault="0026052C" w:rsidP="0026052C">
      <w:pPr>
        <w:keepNext/>
        <w:widowControl w:val="0"/>
        <w:jc w:val="center"/>
        <w:rPr>
          <w:sz w:val="20"/>
        </w:rPr>
      </w:pPr>
      <w:r w:rsidRPr="005D7081">
        <w:rPr>
          <w:sz w:val="20"/>
        </w:rPr>
        <w:t>Gráfico 7.  Previsión de la demanda de renovaciones en virtud del Sistema de Madrid</w:t>
      </w:r>
    </w:p>
    <w:p w:rsidR="0026052C" w:rsidRPr="007C6477" w:rsidRDefault="00B37E9B" w:rsidP="00B37E9B">
      <w:pPr>
        <w:widowControl w:val="0"/>
        <w:rPr>
          <w:sz w:val="20"/>
        </w:rPr>
      </w:pPr>
      <w:r w:rsidRPr="00B37E9B">
        <w:rPr>
          <w:noProof/>
          <w:lang w:val="en-US" w:eastAsia="en-US"/>
        </w:rPr>
        <w:drawing>
          <wp:inline distT="0" distB="0" distL="0" distR="0" wp14:anchorId="3D7D1411" wp14:editId="0277A706">
            <wp:extent cx="5760085" cy="3064540"/>
            <wp:effectExtent l="0" t="0" r="0" b="254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5760085" cy="3064540"/>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lastRenderedPageBreak/>
        <w:drawing>
          <wp:inline distT="0" distB="0" distL="0" distR="0" wp14:anchorId="6523B9F2" wp14:editId="26A1670F">
            <wp:extent cx="4666615" cy="724535"/>
            <wp:effectExtent l="0" t="0" r="63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666615" cy="724535"/>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5D7081" w:rsidRDefault="0026052C" w:rsidP="0026052C">
      <w:pPr>
        <w:widowControl w:val="0"/>
        <w:spacing w:after="60"/>
        <w:jc w:val="center"/>
        <w:rPr>
          <w:sz w:val="20"/>
        </w:rPr>
      </w:pPr>
      <w:r w:rsidRPr="005D7081">
        <w:rPr>
          <w:sz w:val="20"/>
        </w:rPr>
        <w:t>Distribución probabilística de las renovaciones</w:t>
      </w:r>
    </w:p>
    <w:p w:rsidR="0026052C" w:rsidRPr="007C6477" w:rsidRDefault="0026052C" w:rsidP="0026052C">
      <w:pPr>
        <w:widowControl w:val="0"/>
        <w:jc w:val="center"/>
        <w:rPr>
          <w:sz w:val="20"/>
        </w:rPr>
      </w:pPr>
      <w:r w:rsidRPr="007C6477">
        <w:rPr>
          <w:noProof/>
          <w:lang w:val="en-US" w:eastAsia="en-US"/>
        </w:rPr>
        <w:drawing>
          <wp:inline distT="0" distB="0" distL="0" distR="0" wp14:anchorId="18FB84BE" wp14:editId="04201BC8">
            <wp:extent cx="4594309" cy="2594718"/>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94555" cy="2594857"/>
                    </a:xfrm>
                    <a:prstGeom prst="rect">
                      <a:avLst/>
                    </a:prstGeom>
                    <a:noFill/>
                    <a:ln>
                      <a:noFill/>
                    </a:ln>
                  </pic:spPr>
                </pic:pic>
              </a:graphicData>
            </a:graphic>
          </wp:inline>
        </w:drawing>
      </w:r>
    </w:p>
    <w:p w:rsidR="0026052C" w:rsidRPr="007C6477" w:rsidRDefault="0026052C" w:rsidP="0026052C">
      <w:pPr>
        <w:keepNext/>
        <w:widowControl w:val="0"/>
        <w:spacing w:after="60"/>
        <w:jc w:val="center"/>
        <w:rPr>
          <w:sz w:val="20"/>
        </w:rPr>
      </w:pPr>
      <w:r w:rsidRPr="007C6477">
        <w:rPr>
          <w:sz w:val="20"/>
        </w:rPr>
        <w:t>Proyecciones correspondientes a las renovaciones en virtud del Sistema de Madrid</w:t>
      </w:r>
    </w:p>
    <w:p w:rsidR="0026052C" w:rsidRPr="007C6477" w:rsidRDefault="0026052C" w:rsidP="0026052C">
      <w:pPr>
        <w:widowControl w:val="0"/>
        <w:jc w:val="center"/>
        <w:rPr>
          <w:sz w:val="20"/>
        </w:rPr>
      </w:pPr>
      <w:r w:rsidRPr="007C6477">
        <w:rPr>
          <w:noProof/>
          <w:lang w:val="en-US" w:eastAsia="en-US"/>
        </w:rPr>
        <w:drawing>
          <wp:inline distT="0" distB="0" distL="0" distR="0" wp14:anchorId="5ED68851" wp14:editId="67388243">
            <wp:extent cx="2932981" cy="2932981"/>
            <wp:effectExtent l="0" t="0" r="1270" b="127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932992" cy="2932992"/>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Ingresos previstos en concepto de tasas en el Sistema de Madrid</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Los ingresos procedentes de las tasas aplicables en el Sistema de Madrid tienen su origen en tres categorías de servicios prestados por la OMPI en el marco de ese sistema, a saber</w:t>
      </w:r>
      <w:proofErr w:type="gramStart"/>
      <w:r w:rsidRPr="007C6477">
        <w:rPr>
          <w:sz w:val="20"/>
        </w:rPr>
        <w:t>:  a</w:t>
      </w:r>
      <w:proofErr w:type="gramEnd"/>
      <w:r w:rsidRPr="007C6477">
        <w:rPr>
          <w:sz w:val="20"/>
        </w:rPr>
        <w:t>) la inscripción de registros internacionales;  b) la inscripción de renovaciones;  c) la inscripción de designaciones posteriores;  y d) otros servicios, en particular diferentes tipos de modificaciones y la emisión de extractos.</w:t>
      </w:r>
    </w:p>
    <w:p w:rsidR="0026052C" w:rsidRPr="007C6477" w:rsidRDefault="0026052C" w:rsidP="0026052C">
      <w:pPr>
        <w:widowControl w:val="0"/>
        <w:tabs>
          <w:tab w:val="left" w:pos="540"/>
        </w:tabs>
        <w:jc w:val="both"/>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el cuadro 8 que figura a continuación se indican los ingresos previstos generados por las tasas del Sistema de Madrid para el período comprendido entre 2015 y 2017, atribuibles a cada una de las tres categorías de servicios.  La previsión de ingresos ha sido calculada a partir del número de registros internacionales y renovaciones que cabe esperar sean inscritos entre 2015 y 2017.</w:t>
      </w:r>
    </w:p>
    <w:p w:rsidR="0026052C" w:rsidRPr="007C6477" w:rsidRDefault="0026052C" w:rsidP="0026052C">
      <w:pPr>
        <w:widowControl w:val="0"/>
        <w:tabs>
          <w:tab w:val="left" w:pos="540"/>
        </w:tabs>
        <w:jc w:val="both"/>
        <w:rPr>
          <w:sz w:val="18"/>
          <w:szCs w:val="18"/>
        </w:rPr>
      </w:pPr>
    </w:p>
    <w:p w:rsidR="0026052C" w:rsidRPr="005D7081" w:rsidRDefault="0026052C" w:rsidP="0026052C">
      <w:pPr>
        <w:keepNext/>
        <w:widowControl w:val="0"/>
        <w:tabs>
          <w:tab w:val="left" w:pos="540"/>
        </w:tabs>
        <w:jc w:val="center"/>
        <w:rPr>
          <w:sz w:val="20"/>
        </w:rPr>
      </w:pPr>
      <w:r w:rsidRPr="005D7081">
        <w:rPr>
          <w:sz w:val="20"/>
        </w:rPr>
        <w:t>Gráfico 8.  Previsión de ingresos por las tasas del Sistema de Madrid, por categoría</w:t>
      </w:r>
    </w:p>
    <w:p w:rsidR="0026052C" w:rsidRPr="007C6477" w:rsidRDefault="0026052C" w:rsidP="0026052C">
      <w:pPr>
        <w:keepNext/>
        <w:widowControl w:val="0"/>
        <w:tabs>
          <w:tab w:val="left" w:pos="540"/>
        </w:tabs>
        <w:jc w:val="center"/>
        <w:rPr>
          <w:sz w:val="18"/>
          <w:szCs w:val="18"/>
        </w:rPr>
      </w:pPr>
    </w:p>
    <w:p w:rsidR="0026052C" w:rsidRPr="007C6477" w:rsidRDefault="00B37E9B" w:rsidP="00B37E9B">
      <w:pPr>
        <w:widowControl w:val="0"/>
        <w:tabs>
          <w:tab w:val="left" w:pos="540"/>
        </w:tabs>
        <w:rPr>
          <w:sz w:val="18"/>
          <w:szCs w:val="18"/>
        </w:rPr>
      </w:pPr>
      <w:r w:rsidRPr="00B37E9B">
        <w:rPr>
          <w:noProof/>
          <w:lang w:val="en-US" w:eastAsia="en-US"/>
        </w:rPr>
        <w:drawing>
          <wp:inline distT="0" distB="0" distL="0" distR="0">
            <wp:extent cx="5493385" cy="3111500"/>
            <wp:effectExtent l="0" t="0" r="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493385" cy="3111500"/>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r w:rsidRPr="007C6477">
        <w:rPr>
          <w:noProof/>
          <w:lang w:val="en-US" w:eastAsia="en-US"/>
        </w:rPr>
        <w:drawing>
          <wp:inline distT="0" distB="0" distL="0" distR="0" wp14:anchorId="0CCD9467" wp14:editId="45C2EB04">
            <wp:extent cx="4566919" cy="1259456"/>
            <wp:effectExtent l="0" t="0" r="571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4566733" cy="1259405"/>
                    </a:xfrm>
                    <a:prstGeom prst="rect">
                      <a:avLst/>
                    </a:prstGeom>
                    <a:noFill/>
                    <a:ln>
                      <a:noFill/>
                    </a:ln>
                  </pic:spPr>
                </pic:pic>
              </a:graphicData>
            </a:graphic>
          </wp:inline>
        </w:drawing>
      </w:r>
    </w:p>
    <w:p w:rsidR="00014788" w:rsidRPr="005D7081" w:rsidRDefault="00014788" w:rsidP="005D7081">
      <w:pPr>
        <w:spacing w:after="60"/>
        <w:ind w:left="851"/>
        <w:rPr>
          <w:sz w:val="18"/>
          <w:szCs w:val="18"/>
        </w:rPr>
      </w:pPr>
      <w:r w:rsidRPr="00E34525">
        <w:rPr>
          <w:sz w:val="18"/>
          <w:szCs w:val="18"/>
        </w:rPr>
        <w:t>*</w:t>
      </w:r>
      <w:r>
        <w:rPr>
          <w:sz w:val="18"/>
          <w:szCs w:val="18"/>
        </w:rPr>
        <w:t xml:space="preserve">  </w:t>
      </w:r>
      <w:r w:rsidR="005D7081">
        <w:rPr>
          <w:sz w:val="16"/>
          <w:szCs w:val="18"/>
        </w:rPr>
        <w:t>Las cifras corresponden a previsiones</w:t>
      </w:r>
      <w:r w:rsidRPr="005D7081">
        <w:rPr>
          <w:sz w:val="16"/>
          <w:szCs w:val="18"/>
        </w:rPr>
        <w:t>.</w:t>
      </w:r>
    </w:p>
    <w:p w:rsidR="0026052C" w:rsidRPr="007C6477" w:rsidRDefault="0026052C" w:rsidP="0026052C">
      <w:pPr>
        <w:widowControl w:val="0"/>
        <w:spacing w:after="60"/>
        <w:jc w:val="center"/>
        <w:rPr>
          <w:sz w:val="18"/>
          <w:szCs w:val="18"/>
        </w:rPr>
      </w:pPr>
    </w:p>
    <w:p w:rsidR="0026052C" w:rsidRPr="007C6477" w:rsidRDefault="0026052C" w:rsidP="0026052C">
      <w:pPr>
        <w:widowControl w:val="0"/>
        <w:spacing w:after="60"/>
        <w:jc w:val="center"/>
        <w:rPr>
          <w:sz w:val="18"/>
          <w:szCs w:val="18"/>
        </w:rPr>
      </w:pPr>
    </w:p>
    <w:p w:rsidR="0026052C" w:rsidRPr="007C6477" w:rsidRDefault="0026052C" w:rsidP="0026052C">
      <w:pPr>
        <w:widowControl w:val="0"/>
        <w:spacing w:after="60"/>
        <w:jc w:val="center"/>
        <w:rPr>
          <w:sz w:val="18"/>
          <w:szCs w:val="18"/>
        </w:rPr>
      </w:pPr>
    </w:p>
    <w:p w:rsidR="0026052C" w:rsidRPr="005D7081" w:rsidRDefault="0026052C" w:rsidP="0026052C">
      <w:pPr>
        <w:widowControl w:val="0"/>
        <w:spacing w:after="60"/>
        <w:jc w:val="center"/>
        <w:rPr>
          <w:noProof/>
          <w:sz w:val="20"/>
        </w:rPr>
      </w:pPr>
      <w:r w:rsidRPr="005D7081">
        <w:rPr>
          <w:sz w:val="20"/>
        </w:rPr>
        <w:t>Distribución probabilística de los ingresos</w:t>
      </w:r>
    </w:p>
    <w:p w:rsidR="0026052C" w:rsidRPr="007C6477" w:rsidRDefault="0026052C" w:rsidP="0026052C">
      <w:pPr>
        <w:widowControl w:val="0"/>
        <w:spacing w:after="60"/>
        <w:jc w:val="center"/>
        <w:rPr>
          <w:sz w:val="20"/>
        </w:rPr>
      </w:pPr>
      <w:r w:rsidRPr="007C6477">
        <w:rPr>
          <w:noProof/>
          <w:lang w:val="en-US" w:eastAsia="en-US"/>
        </w:rPr>
        <w:drawing>
          <wp:inline distT="0" distB="0" distL="0" distR="0" wp14:anchorId="61BEC9C0" wp14:editId="6F4EA7A9">
            <wp:extent cx="4619320" cy="228600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633173" cy="2292855"/>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5D7081" w:rsidRDefault="0026052C" w:rsidP="0026052C">
      <w:pPr>
        <w:keepNext/>
        <w:keepLines/>
        <w:widowControl w:val="0"/>
        <w:spacing w:after="60"/>
        <w:jc w:val="center"/>
        <w:rPr>
          <w:sz w:val="20"/>
        </w:rPr>
      </w:pPr>
      <w:r w:rsidRPr="005D7081">
        <w:rPr>
          <w:sz w:val="20"/>
        </w:rPr>
        <w:lastRenderedPageBreak/>
        <w:t>Proyecciones correspondientes a los ingresos del Sistema de Madrid</w:t>
      </w:r>
    </w:p>
    <w:p w:rsidR="0026052C" w:rsidRPr="007C6477" w:rsidRDefault="0026052C" w:rsidP="0026052C">
      <w:pPr>
        <w:keepNext/>
        <w:keepLines/>
        <w:widowControl w:val="0"/>
        <w:jc w:val="center"/>
        <w:rPr>
          <w:sz w:val="20"/>
        </w:rPr>
      </w:pPr>
      <w:r w:rsidRPr="007C6477">
        <w:rPr>
          <w:noProof/>
          <w:lang w:val="en-US" w:eastAsia="en-US"/>
        </w:rPr>
        <w:drawing>
          <wp:inline distT="0" distB="0" distL="0" distR="0" wp14:anchorId="3782E13A" wp14:editId="33073807">
            <wp:extent cx="2973088" cy="2861604"/>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2975492" cy="2863918"/>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En el cuadro que figura a continuación se da información sobre el número real y la previsión de registros y renovaciones para el período comprendido entre 2012 y 2017, y sobre la evolución real y prevista de la tasa promedio pagadera en ese período.  La tasa promedio se calcula dividiendo el importe total de ingresos del Sistema de Madrid entre el número total de registros y renovaciones de cada año.</w:t>
      </w:r>
    </w:p>
    <w:p w:rsidR="0026052C" w:rsidRPr="007C6477" w:rsidRDefault="0026052C" w:rsidP="0026052C">
      <w:pPr>
        <w:widowControl w:val="0"/>
        <w:jc w:val="both"/>
        <w:rPr>
          <w:sz w:val="20"/>
        </w:rPr>
      </w:pPr>
    </w:p>
    <w:p w:rsidR="0026052C" w:rsidRPr="005D7081" w:rsidRDefault="0026052C" w:rsidP="0026052C">
      <w:pPr>
        <w:widowControl w:val="0"/>
        <w:jc w:val="center"/>
        <w:rPr>
          <w:sz w:val="20"/>
        </w:rPr>
      </w:pPr>
      <w:r w:rsidRPr="005D7081">
        <w:rPr>
          <w:sz w:val="20"/>
        </w:rPr>
        <w:t>Cuadro 1</w:t>
      </w:r>
      <w:r w:rsidR="00014788" w:rsidRPr="005D7081">
        <w:rPr>
          <w:sz w:val="20"/>
        </w:rPr>
        <w:t>6</w:t>
      </w:r>
      <w:r w:rsidRPr="005D7081">
        <w:rPr>
          <w:sz w:val="20"/>
        </w:rPr>
        <w:t>.  Total de los ingresos generados por las tasas y tasa promedio del Sistema de Madrid</w:t>
      </w:r>
    </w:p>
    <w:p w:rsidR="0026052C" w:rsidRPr="007C6477" w:rsidRDefault="0026052C" w:rsidP="0026052C">
      <w:pPr>
        <w:widowControl w:val="0"/>
        <w:jc w:val="center"/>
        <w:rPr>
          <w:sz w:val="20"/>
        </w:rPr>
      </w:pPr>
    </w:p>
    <w:p w:rsidR="0026052C" w:rsidRPr="007C6477" w:rsidRDefault="002235B4" w:rsidP="002235B4">
      <w:pPr>
        <w:widowControl w:val="0"/>
        <w:rPr>
          <w:sz w:val="20"/>
        </w:rPr>
      </w:pPr>
      <w:r w:rsidRPr="002235B4">
        <w:rPr>
          <w:noProof/>
          <w:lang w:val="en-US" w:eastAsia="en-US"/>
        </w:rPr>
        <w:drawing>
          <wp:inline distT="0" distB="0" distL="0" distR="0" wp14:anchorId="7D8BFD26" wp14:editId="7E7B8ABE">
            <wp:extent cx="5760085" cy="887799"/>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5760085" cy="887799"/>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pStyle w:val="ListParagraph"/>
        <w:widowControl w:val="0"/>
        <w:numPr>
          <w:ilvl w:val="0"/>
          <w:numId w:val="52"/>
        </w:numPr>
        <w:jc w:val="both"/>
        <w:rPr>
          <w:rFonts w:ascii="Arial" w:hAnsi="Arial" w:cs="Arial"/>
          <w:sz w:val="20"/>
          <w:lang w:val="es-ES"/>
        </w:rPr>
      </w:pPr>
      <w:r w:rsidRPr="007C6477">
        <w:rPr>
          <w:rFonts w:ascii="Arial" w:hAnsi="Arial" w:cs="Arial"/>
          <w:sz w:val="20"/>
          <w:lang w:val="es-ES"/>
        </w:rPr>
        <w:t>Para el bienio 2014/15 se adoptó por primera vez un nuevo modelo de previsión para pronosticar las actividades de registro realizadas en el marco de los sistemas de Madrid y de la Haya, similar al que se utiliza para las previsiones de las actividades del PCT.  Este modelo más sofisticado toma en cuenta no solo la actividad en el marco del Sistema de Madrid, sino también la actividad relativa a la presentación de solicitudes y registro de marcas en otras Oficinas, así como también datos de previsión del FMI.  Dada la incertidumbre económica mundial que reina actualmente y hasta tanto se adquiera más experiencia en el uso del nuevo modelo de previsión, se estimó prudente calcular ligeramente a la baja las previsiones en virtud del Sistema de Madrid que se calcularon con el nuevo modelo.  En el cuadro que figura a continuación se indican las previsiones a la baja que sirven de base para el presupuesto por programas para 2016/17.</w:t>
      </w:r>
    </w:p>
    <w:p w:rsidR="0026052C" w:rsidRPr="007C6477" w:rsidRDefault="0026052C" w:rsidP="0026052C">
      <w:pPr>
        <w:widowControl w:val="0"/>
        <w:rPr>
          <w:sz w:val="20"/>
        </w:rPr>
      </w:pPr>
    </w:p>
    <w:p w:rsidR="0026052C" w:rsidRPr="005D7081" w:rsidRDefault="0026052C" w:rsidP="0026052C">
      <w:pPr>
        <w:widowControl w:val="0"/>
        <w:jc w:val="center"/>
        <w:rPr>
          <w:sz w:val="20"/>
        </w:rPr>
      </w:pPr>
      <w:r w:rsidRPr="005D7081">
        <w:rPr>
          <w:sz w:val="20"/>
        </w:rPr>
        <w:t>Cuadro 1</w:t>
      </w:r>
      <w:r w:rsidR="00014788" w:rsidRPr="005D7081">
        <w:rPr>
          <w:sz w:val="20"/>
        </w:rPr>
        <w:t>7</w:t>
      </w:r>
      <w:r w:rsidRPr="005D7081">
        <w:rPr>
          <w:sz w:val="20"/>
        </w:rPr>
        <w:t xml:space="preserve">.  Total de los ingresos generados por las tasas y tasa promedio del Sistema de Madrid (Base para el presupuesto por programas </w:t>
      </w:r>
      <w:r w:rsidR="005D7081">
        <w:rPr>
          <w:sz w:val="20"/>
        </w:rPr>
        <w:t>de</w:t>
      </w:r>
      <w:r w:rsidRPr="005D7081">
        <w:rPr>
          <w:sz w:val="20"/>
        </w:rPr>
        <w:t> 2016/2017)</w:t>
      </w:r>
    </w:p>
    <w:p w:rsidR="0026052C" w:rsidRPr="007C6477" w:rsidRDefault="0026052C" w:rsidP="0026052C">
      <w:pPr>
        <w:widowControl w:val="0"/>
        <w:rPr>
          <w:sz w:val="20"/>
        </w:rPr>
      </w:pPr>
    </w:p>
    <w:p w:rsidR="0026052C" w:rsidRPr="007C6477" w:rsidRDefault="002235B4" w:rsidP="002235B4">
      <w:pPr>
        <w:pStyle w:val="ListParagraph"/>
        <w:widowControl w:val="0"/>
        <w:ind w:left="0"/>
        <w:rPr>
          <w:rFonts w:ascii="Arial" w:hAnsi="Arial" w:cs="Arial"/>
          <w:sz w:val="20"/>
          <w:lang w:val="es-ES"/>
        </w:rPr>
      </w:pPr>
      <w:r w:rsidRPr="002235B4">
        <w:rPr>
          <w:noProof/>
          <w:lang w:eastAsia="en-US"/>
        </w:rPr>
        <w:drawing>
          <wp:inline distT="0" distB="0" distL="0" distR="0" wp14:anchorId="3B714B2B" wp14:editId="045D776F">
            <wp:extent cx="5760085" cy="887799"/>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5760085" cy="887799"/>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keepNext/>
        <w:keepLines/>
        <w:widowControl w:val="0"/>
        <w:rPr>
          <w:b/>
          <w:sz w:val="20"/>
        </w:rPr>
      </w:pPr>
      <w:r w:rsidRPr="007C6477">
        <w:rPr>
          <w:b/>
          <w:sz w:val="20"/>
        </w:rPr>
        <w:lastRenderedPageBreak/>
        <w:t xml:space="preserve">Sistema de </w:t>
      </w:r>
      <w:r w:rsidR="003B0DF0">
        <w:rPr>
          <w:b/>
          <w:sz w:val="20"/>
        </w:rPr>
        <w:t>La Haya</w:t>
      </w:r>
    </w:p>
    <w:p w:rsidR="0026052C" w:rsidRPr="007C6477" w:rsidRDefault="0026052C" w:rsidP="0026052C">
      <w:pPr>
        <w:keepNext/>
        <w:keepLines/>
        <w:widowControl w:val="0"/>
        <w:rPr>
          <w:sz w:val="20"/>
        </w:rPr>
      </w:pPr>
    </w:p>
    <w:p w:rsidR="0026052C" w:rsidRPr="007C6477" w:rsidRDefault="0026052C" w:rsidP="0026052C">
      <w:pPr>
        <w:keepNext/>
        <w:keepLines/>
        <w:widowControl w:val="0"/>
        <w:rPr>
          <w:i/>
          <w:sz w:val="20"/>
        </w:rPr>
      </w:pPr>
      <w:r w:rsidRPr="007C6477">
        <w:rPr>
          <w:i/>
          <w:sz w:val="20"/>
        </w:rPr>
        <w:t xml:space="preserve">Sistema de </w:t>
      </w:r>
      <w:r w:rsidR="003B0DF0">
        <w:rPr>
          <w:i/>
          <w:sz w:val="20"/>
        </w:rPr>
        <w:t>La Haya</w:t>
      </w:r>
      <w:r w:rsidRPr="007C6477">
        <w:rPr>
          <w:i/>
          <w:sz w:val="20"/>
        </w:rPr>
        <w:t xml:space="preserve"> – Previsión de la demanda de registros internacionales</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En el gráfico 9 se indica la previsión para el período comprendido entre 2015 y 2017.  La adhesión de China, Japón, la República de Corea, la Federación de Rusia y los Estados Unidos de América al Sistema de la Haya prevista a partir del 2015 tendrá repercusiones considerables, pudiendo traer aparejado un aumento de las solicitudes presentadas y de los ingresos.  Para realizar una previsión del número de registros del Sistema de </w:t>
      </w:r>
      <w:r w:rsidR="003B0DF0">
        <w:rPr>
          <w:sz w:val="20"/>
        </w:rPr>
        <w:t>La Haya</w:t>
      </w:r>
      <w:r w:rsidRPr="007C6477">
        <w:rPr>
          <w:sz w:val="20"/>
        </w:rPr>
        <w:t xml:space="preserve"> se utilizan diferentes modelos, entre ellos los modelos </w:t>
      </w:r>
      <w:proofErr w:type="spellStart"/>
      <w:r w:rsidRPr="007C6477">
        <w:rPr>
          <w:sz w:val="20"/>
        </w:rPr>
        <w:t>autorregresivos</w:t>
      </w:r>
      <w:proofErr w:type="spellEnd"/>
      <w:r w:rsidRPr="007C6477">
        <w:rPr>
          <w:sz w:val="20"/>
        </w:rPr>
        <w:t xml:space="preserve">, los modelos econométricos y los modelos de transferencia.  Los modelos </w:t>
      </w:r>
      <w:proofErr w:type="spellStart"/>
      <w:r w:rsidRPr="007C6477">
        <w:rPr>
          <w:sz w:val="20"/>
        </w:rPr>
        <w:t>autorregresivos</w:t>
      </w:r>
      <w:proofErr w:type="spellEnd"/>
      <w:r w:rsidRPr="007C6477">
        <w:rPr>
          <w:sz w:val="20"/>
        </w:rPr>
        <w:t xml:space="preserve"> se aplican a los registros.  Los modelos econométricos se basan en los datos sobre el PIB real y previsto publicados por el Fondo Monetario Internacional.  Luego se combinan los resultados obtenidos mediante cada uno de los modelos, para minimizar la incertidumbre que resulta de la aplicación de cada uno de ellos por separado.</w:t>
      </w:r>
    </w:p>
    <w:p w:rsidR="0026052C" w:rsidRPr="007C6477" w:rsidRDefault="0026052C" w:rsidP="0026052C">
      <w:pPr>
        <w:widowControl w:val="0"/>
        <w:tabs>
          <w:tab w:val="left" w:pos="540"/>
        </w:tabs>
        <w:jc w:val="both"/>
        <w:rPr>
          <w:sz w:val="20"/>
        </w:rPr>
      </w:pPr>
    </w:p>
    <w:p w:rsidR="0026052C" w:rsidRPr="005D7081" w:rsidRDefault="0026052C" w:rsidP="0026052C">
      <w:pPr>
        <w:keepNext/>
        <w:widowControl w:val="0"/>
        <w:jc w:val="center"/>
        <w:rPr>
          <w:sz w:val="20"/>
        </w:rPr>
      </w:pPr>
      <w:r w:rsidRPr="005D7081">
        <w:rPr>
          <w:sz w:val="20"/>
        </w:rPr>
        <w:t xml:space="preserve">Gráfico 9.  </w:t>
      </w:r>
      <w:r w:rsidRPr="005D7081">
        <w:rPr>
          <w:rFonts w:eastAsiaTheme="minorHAnsi"/>
          <w:sz w:val="20"/>
        </w:rPr>
        <w:t xml:space="preserve">Registros y renovaciones en virtud del Sistema de </w:t>
      </w:r>
      <w:r w:rsidR="003B0DF0" w:rsidRPr="005D7081">
        <w:rPr>
          <w:rFonts w:eastAsiaTheme="minorHAnsi"/>
          <w:sz w:val="20"/>
        </w:rPr>
        <w:t>La Haya</w:t>
      </w:r>
    </w:p>
    <w:p w:rsidR="0026052C" w:rsidRPr="007C6477" w:rsidRDefault="00B37E9B" w:rsidP="00B37E9B">
      <w:pPr>
        <w:widowControl w:val="0"/>
        <w:rPr>
          <w:sz w:val="20"/>
        </w:rPr>
      </w:pPr>
      <w:r w:rsidRPr="00B37E9B">
        <w:rPr>
          <w:noProof/>
          <w:lang w:val="en-US" w:eastAsia="en-US"/>
        </w:rPr>
        <w:drawing>
          <wp:inline distT="0" distB="0" distL="0" distR="0">
            <wp:extent cx="5493385" cy="2995930"/>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5493385" cy="2995930"/>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538530B6" wp14:editId="37AA9906">
            <wp:extent cx="4785587" cy="73342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4788205" cy="733826"/>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Habida cuenta de la adhesión de nuevos Estados miembros prevista a partir de 2014, se aplicó un modelo de transferencia para evaluar cómo incidiría la adhesión en el número de registros.  El modelo utiliza los datos sobre las solicitudes que los miembros actuales del Sistema de Madrid presentarían a través de la vía de París en los nuevos países miembros y viceversa.  Concretamente, se calculan los índices de transferencia para luego calcular el número de solicitudes adicionales que presentarían los miembros actuales con motivo de la adhesión de nuevos miembros.  Además, se aplican los "índices de transferencia" promedio de los miembros actuales del Sistema de </w:t>
      </w:r>
      <w:r w:rsidR="003B0DF0">
        <w:rPr>
          <w:sz w:val="20"/>
        </w:rPr>
        <w:t>La Haya</w:t>
      </w:r>
      <w:r w:rsidRPr="007C6477">
        <w:rPr>
          <w:sz w:val="20"/>
        </w:rPr>
        <w:t xml:space="preserve"> para calcular el potencial de presentación de solicitudes de los nuevos miembros.  Cabe señalar que los "índices de transferencia" reales están adaptados a cada país.  Aplicar los "índices de transferencia" promedio a los nuevos miembros es probablemente el mejor enfoque posible, pero a su vez aumenta la incertidumbre de los valores de previsión.  La previsión actual parte del supuesto que las adhesiones tendrán lugar de la siguiente manera:  </w:t>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r w:rsidRPr="007C6477">
        <w:rPr>
          <w:noProof/>
          <w:sz w:val="20"/>
          <w:lang w:val="en-US" w:eastAsia="en-US"/>
        </w:rPr>
        <mc:AlternateContent>
          <mc:Choice Requires="wpc">
            <w:drawing>
              <wp:inline distT="0" distB="0" distL="0" distR="0" wp14:anchorId="26BD4C07" wp14:editId="471A8202">
                <wp:extent cx="2431353" cy="644837"/>
                <wp:effectExtent l="0" t="0" r="7620" b="22225"/>
                <wp:docPr id="181" name="Canvas 18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81" name="Rectangle 5"/>
                        <wps:cNvSpPr>
                          <a:spLocks noChangeArrowheads="1"/>
                        </wps:cNvSpPr>
                        <wps:spPr bwMode="auto">
                          <a:xfrm>
                            <a:off x="22860" y="7620"/>
                            <a:ext cx="12141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176299" w:rsidRDefault="00D72D2B" w:rsidP="0026052C">
                              <w:r>
                                <w:rPr>
                                  <w:color w:val="000000"/>
                                  <w:sz w:val="16"/>
                                  <w:szCs w:val="16"/>
                                </w:rPr>
                                <w:t>Nuevos Estados miembros</w:t>
                              </w:r>
                            </w:p>
                          </w:txbxContent>
                        </wps:txbx>
                        <wps:bodyPr rot="0" vert="horz" wrap="none" lIns="0" tIns="0" rIns="0" bIns="0" anchor="t" anchorCtr="0">
                          <a:spAutoFit/>
                        </wps:bodyPr>
                      </wps:wsp>
                      <wps:wsp>
                        <wps:cNvPr id="982" name="Rectangle 6"/>
                        <wps:cNvSpPr>
                          <a:spLocks noChangeArrowheads="1"/>
                        </wps:cNvSpPr>
                        <wps:spPr bwMode="auto">
                          <a:xfrm>
                            <a:off x="22860" y="134620"/>
                            <a:ext cx="898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176299" w:rsidRDefault="00D72D2B" w:rsidP="0026052C">
                              <w:r>
                                <w:rPr>
                                  <w:color w:val="000000"/>
                                  <w:sz w:val="16"/>
                                  <w:szCs w:val="16"/>
                                </w:rPr>
                                <w:t>República de Corea</w:t>
                              </w:r>
                            </w:p>
                          </w:txbxContent>
                        </wps:txbx>
                        <wps:bodyPr rot="0" vert="horz" wrap="none" lIns="0" tIns="0" rIns="0" bIns="0" anchor="t" anchorCtr="0">
                          <a:spAutoFit/>
                        </wps:bodyPr>
                      </wps:wsp>
                      <wps:wsp>
                        <wps:cNvPr id="64" name="Rectangle 7"/>
                        <wps:cNvSpPr>
                          <a:spLocks noChangeArrowheads="1"/>
                        </wps:cNvSpPr>
                        <wps:spPr bwMode="auto">
                          <a:xfrm>
                            <a:off x="1714500" y="134620"/>
                            <a:ext cx="60452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Julio de 2014</w:t>
                              </w:r>
                            </w:p>
                          </w:txbxContent>
                        </wps:txbx>
                        <wps:bodyPr rot="0" vert="horz" wrap="none" lIns="0" tIns="0" rIns="0" bIns="0" anchor="t" anchorCtr="0">
                          <a:spAutoFit/>
                        </wps:bodyPr>
                      </wps:wsp>
                      <wps:wsp>
                        <wps:cNvPr id="67" name="Rectangle 8"/>
                        <wps:cNvSpPr>
                          <a:spLocks noChangeArrowheads="1"/>
                        </wps:cNvSpPr>
                        <wps:spPr bwMode="auto">
                          <a:xfrm>
                            <a:off x="22860" y="262255"/>
                            <a:ext cx="2768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Japón</w:t>
                              </w:r>
                            </w:p>
                          </w:txbxContent>
                        </wps:txbx>
                        <wps:bodyPr rot="0" vert="horz" wrap="none" lIns="0" tIns="0" rIns="0" bIns="0" anchor="t" anchorCtr="0">
                          <a:spAutoFit/>
                        </wps:bodyPr>
                      </wps:wsp>
                      <wps:wsp>
                        <wps:cNvPr id="68" name="Rectangle 9"/>
                        <wps:cNvSpPr>
                          <a:spLocks noChangeArrowheads="1"/>
                        </wps:cNvSpPr>
                        <wps:spPr bwMode="auto">
                          <a:xfrm>
                            <a:off x="1674495" y="262255"/>
                            <a:ext cx="644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Mayo de 2015</w:t>
                              </w:r>
                            </w:p>
                          </w:txbxContent>
                        </wps:txbx>
                        <wps:bodyPr rot="0" vert="horz" wrap="none" lIns="0" tIns="0" rIns="0" bIns="0" anchor="t" anchorCtr="0">
                          <a:spAutoFit/>
                        </wps:bodyPr>
                      </wps:wsp>
                      <wps:wsp>
                        <wps:cNvPr id="69" name="Rectangle 10"/>
                        <wps:cNvSpPr>
                          <a:spLocks noChangeArrowheads="1"/>
                        </wps:cNvSpPr>
                        <wps:spPr bwMode="auto">
                          <a:xfrm>
                            <a:off x="22860" y="389255"/>
                            <a:ext cx="12541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Pr="00176299" w:rsidRDefault="00D72D2B" w:rsidP="0026052C">
                              <w:r>
                                <w:rPr>
                                  <w:color w:val="000000"/>
                                  <w:sz w:val="16"/>
                                  <w:szCs w:val="16"/>
                                </w:rPr>
                                <w:t>Estados Unidos de América</w:t>
                              </w:r>
                            </w:p>
                          </w:txbxContent>
                        </wps:txbx>
                        <wps:bodyPr rot="0" vert="horz" wrap="none" lIns="0" tIns="0" rIns="0" bIns="0" anchor="t" anchorCtr="0">
                          <a:spAutoFit/>
                        </wps:bodyPr>
                      </wps:wsp>
                      <wps:wsp>
                        <wps:cNvPr id="76" name="Rectangle 11"/>
                        <wps:cNvSpPr>
                          <a:spLocks noChangeArrowheads="1"/>
                        </wps:cNvSpPr>
                        <wps:spPr bwMode="auto">
                          <a:xfrm>
                            <a:off x="1674498" y="388691"/>
                            <a:ext cx="6445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Mayo de 2015</w:t>
                              </w:r>
                            </w:p>
                          </w:txbxContent>
                        </wps:txbx>
                        <wps:bodyPr rot="0" vert="horz" wrap="none" lIns="0" tIns="0" rIns="0" bIns="0" anchor="t" anchorCtr="0">
                          <a:spAutoFit/>
                        </wps:bodyPr>
                      </wps:wsp>
                      <wps:wsp>
                        <wps:cNvPr id="78" name="Rectangle 12"/>
                        <wps:cNvSpPr>
                          <a:spLocks noChangeArrowheads="1"/>
                        </wps:cNvSpPr>
                        <wps:spPr bwMode="auto">
                          <a:xfrm>
                            <a:off x="22860" y="516890"/>
                            <a:ext cx="26606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China</w:t>
                              </w:r>
                            </w:p>
                          </w:txbxContent>
                        </wps:txbx>
                        <wps:bodyPr rot="0" vert="horz" wrap="none" lIns="0" tIns="0" rIns="0" bIns="0" anchor="t" anchorCtr="0">
                          <a:spAutoFit/>
                        </wps:bodyPr>
                      </wps:wsp>
                      <wps:wsp>
                        <wps:cNvPr id="81" name="Rectangle 13"/>
                        <wps:cNvSpPr>
                          <a:spLocks noChangeArrowheads="1"/>
                        </wps:cNvSpPr>
                        <wps:spPr bwMode="auto">
                          <a:xfrm>
                            <a:off x="2092974" y="5168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2D2B" w:rsidRDefault="00D72D2B" w:rsidP="0026052C">
                              <w:r>
                                <w:rPr>
                                  <w:color w:val="000000"/>
                                  <w:sz w:val="16"/>
                                  <w:szCs w:val="16"/>
                                </w:rPr>
                                <w:t>2018</w:t>
                              </w:r>
                            </w:p>
                          </w:txbxContent>
                        </wps:txbx>
                        <wps:bodyPr rot="0" vert="horz" wrap="none" lIns="0" tIns="0" rIns="0" bIns="0" anchor="t" anchorCtr="0">
                          <a:spAutoFit/>
                        </wps:bodyPr>
                      </wps:wsp>
                      <wps:wsp>
                        <wps:cNvPr id="82" name="Rectangle 14"/>
                        <wps:cNvSpPr>
                          <a:spLocks noChangeArrowheads="1"/>
                        </wps:cNvSpPr>
                        <wps:spPr bwMode="auto">
                          <a:xfrm>
                            <a:off x="0"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Rectangle 15"/>
                        <wps:cNvSpPr>
                          <a:spLocks noChangeArrowheads="1"/>
                        </wps:cNvSpPr>
                        <wps:spPr bwMode="auto">
                          <a:xfrm>
                            <a:off x="1403985"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Line 16"/>
                        <wps:cNvCnPr/>
                        <wps:spPr bwMode="auto">
                          <a:xfrm>
                            <a:off x="7620" y="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Rectangle 17"/>
                        <wps:cNvSpPr>
                          <a:spLocks noChangeArrowheads="1"/>
                        </wps:cNvSpPr>
                        <wps:spPr bwMode="auto">
                          <a:xfrm>
                            <a:off x="7620" y="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Rectangle 18"/>
                        <wps:cNvSpPr>
                          <a:spLocks noChangeArrowheads="1"/>
                        </wps:cNvSpPr>
                        <wps:spPr bwMode="auto">
                          <a:xfrm>
                            <a:off x="2369820" y="0"/>
                            <a:ext cx="7620" cy="635"/>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 name="Line 19"/>
                        <wps:cNvCnPr/>
                        <wps:spPr bwMode="auto">
                          <a:xfrm>
                            <a:off x="7620" y="12700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Rectangle 20"/>
                        <wps:cNvSpPr>
                          <a:spLocks noChangeArrowheads="1"/>
                        </wps:cNvSpPr>
                        <wps:spPr bwMode="auto">
                          <a:xfrm>
                            <a:off x="7620" y="12700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Line 21"/>
                        <wps:cNvCnPr/>
                        <wps:spPr bwMode="auto">
                          <a:xfrm>
                            <a:off x="7620" y="254635"/>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0" name="Rectangle 22"/>
                        <wps:cNvSpPr>
                          <a:spLocks noChangeArrowheads="1"/>
                        </wps:cNvSpPr>
                        <wps:spPr bwMode="auto">
                          <a:xfrm>
                            <a:off x="7620" y="254635"/>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 name="Line 23"/>
                        <wps:cNvCnPr/>
                        <wps:spPr bwMode="auto">
                          <a:xfrm>
                            <a:off x="7620" y="381635"/>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3" name="Rectangle 24"/>
                        <wps:cNvSpPr>
                          <a:spLocks noChangeArrowheads="1"/>
                        </wps:cNvSpPr>
                        <wps:spPr bwMode="auto">
                          <a:xfrm>
                            <a:off x="7620" y="381635"/>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 name="Line 25"/>
                        <wps:cNvCnPr/>
                        <wps:spPr bwMode="auto">
                          <a:xfrm>
                            <a:off x="7620" y="50927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 name="Rectangle 26"/>
                        <wps:cNvSpPr>
                          <a:spLocks noChangeArrowheads="1"/>
                        </wps:cNvSpPr>
                        <wps:spPr bwMode="auto">
                          <a:xfrm>
                            <a:off x="7620" y="50927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 name="Line 27"/>
                        <wps:cNvCnPr/>
                        <wps:spPr bwMode="auto">
                          <a:xfrm>
                            <a:off x="0" y="0"/>
                            <a:ext cx="0" cy="64389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2" name="Rectangle 28"/>
                        <wps:cNvSpPr>
                          <a:spLocks noChangeArrowheads="1"/>
                        </wps:cNvSpPr>
                        <wps:spPr bwMode="auto">
                          <a:xfrm>
                            <a:off x="0" y="0"/>
                            <a:ext cx="7620" cy="643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Line 29"/>
                        <wps:cNvCnPr/>
                        <wps:spPr bwMode="auto">
                          <a:xfrm>
                            <a:off x="1403985" y="7620"/>
                            <a:ext cx="0" cy="63627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6" name="Rectangle 30"/>
                        <wps:cNvSpPr>
                          <a:spLocks noChangeArrowheads="1"/>
                        </wps:cNvSpPr>
                        <wps:spPr bwMode="auto">
                          <a:xfrm>
                            <a:off x="1403985" y="7620"/>
                            <a:ext cx="7620" cy="6362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Line 31"/>
                        <wps:cNvCnPr/>
                        <wps:spPr bwMode="auto">
                          <a:xfrm>
                            <a:off x="7620" y="636270"/>
                            <a:ext cx="23698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 name="Rectangle 32"/>
                        <wps:cNvSpPr>
                          <a:spLocks noChangeArrowheads="1"/>
                        </wps:cNvSpPr>
                        <wps:spPr bwMode="auto">
                          <a:xfrm>
                            <a:off x="7620" y="636270"/>
                            <a:ext cx="236982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33"/>
                        <wps:cNvCnPr/>
                        <wps:spPr bwMode="auto">
                          <a:xfrm>
                            <a:off x="2369820" y="7620"/>
                            <a:ext cx="0" cy="63627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 name="Rectangle 34"/>
                        <wps:cNvSpPr>
                          <a:spLocks noChangeArrowheads="1"/>
                        </wps:cNvSpPr>
                        <wps:spPr bwMode="auto">
                          <a:xfrm>
                            <a:off x="2369820" y="7620"/>
                            <a:ext cx="7620" cy="6362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Line 35"/>
                        <wps:cNvCnPr/>
                        <wps:spPr bwMode="auto">
                          <a:xfrm>
                            <a:off x="0"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5" name="Rectangle 36"/>
                        <wps:cNvSpPr>
                          <a:spLocks noChangeArrowheads="1"/>
                        </wps:cNvSpPr>
                        <wps:spPr bwMode="auto">
                          <a:xfrm>
                            <a:off x="0"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37"/>
                        <wps:cNvCnPr/>
                        <wps:spPr bwMode="auto">
                          <a:xfrm>
                            <a:off x="1403985"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7" name="Rectangle 38"/>
                        <wps:cNvSpPr>
                          <a:spLocks noChangeArrowheads="1"/>
                        </wps:cNvSpPr>
                        <wps:spPr bwMode="auto">
                          <a:xfrm>
                            <a:off x="1403985"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Line 39"/>
                        <wps:cNvCnPr/>
                        <wps:spPr bwMode="auto">
                          <a:xfrm>
                            <a:off x="2369820" y="64389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89" name="Rectangle 40"/>
                        <wps:cNvSpPr>
                          <a:spLocks noChangeArrowheads="1"/>
                        </wps:cNvSpPr>
                        <wps:spPr bwMode="auto">
                          <a:xfrm>
                            <a:off x="2369820" y="64389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41"/>
                        <wps:cNvCnPr/>
                        <wps:spPr bwMode="auto">
                          <a:xfrm>
                            <a:off x="2377440" y="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91" name="Rectangle 42"/>
                        <wps:cNvSpPr>
                          <a:spLocks noChangeArrowheads="1"/>
                        </wps:cNvSpPr>
                        <wps:spPr bwMode="auto">
                          <a:xfrm>
                            <a:off x="2377440" y="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2" name="Line 43"/>
                        <wps:cNvCnPr/>
                        <wps:spPr bwMode="auto">
                          <a:xfrm>
                            <a:off x="2377440" y="12700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3" name="Rectangle 44"/>
                        <wps:cNvSpPr>
                          <a:spLocks noChangeArrowheads="1"/>
                        </wps:cNvSpPr>
                        <wps:spPr bwMode="auto">
                          <a:xfrm>
                            <a:off x="2377440" y="12700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4" name="Line 45"/>
                        <wps:cNvCnPr/>
                        <wps:spPr bwMode="auto">
                          <a:xfrm>
                            <a:off x="2377440" y="25463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5" name="Rectangle 46"/>
                        <wps:cNvSpPr>
                          <a:spLocks noChangeArrowheads="1"/>
                        </wps:cNvSpPr>
                        <wps:spPr bwMode="auto">
                          <a:xfrm>
                            <a:off x="2377440" y="254635"/>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6" name="Line 47"/>
                        <wps:cNvCnPr/>
                        <wps:spPr bwMode="auto">
                          <a:xfrm>
                            <a:off x="2377440" y="381635"/>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7" name="Rectangle 48"/>
                        <wps:cNvSpPr>
                          <a:spLocks noChangeArrowheads="1"/>
                        </wps:cNvSpPr>
                        <wps:spPr bwMode="auto">
                          <a:xfrm>
                            <a:off x="2377440" y="381635"/>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8" name="Line 49"/>
                        <wps:cNvCnPr/>
                        <wps:spPr bwMode="auto">
                          <a:xfrm>
                            <a:off x="2377440" y="50927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999" name="Rectangle 50"/>
                        <wps:cNvSpPr>
                          <a:spLocks noChangeArrowheads="1"/>
                        </wps:cNvSpPr>
                        <wps:spPr bwMode="auto">
                          <a:xfrm>
                            <a:off x="2377440" y="50927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0" name="Line 51"/>
                        <wps:cNvCnPr/>
                        <wps:spPr bwMode="auto">
                          <a:xfrm>
                            <a:off x="2377440" y="636270"/>
                            <a:ext cx="635" cy="635"/>
                          </a:xfrm>
                          <a:prstGeom prst="line">
                            <a:avLst/>
                          </a:prstGeom>
                          <a:noFill/>
                          <a:ln w="0">
                            <a:solidFill>
                              <a:srgbClr val="DADCDD"/>
                            </a:solidFill>
                            <a:prstDash val="solid"/>
                            <a:round/>
                            <a:headEnd/>
                            <a:tailEnd/>
                          </a:ln>
                          <a:extLst>
                            <a:ext uri="{909E8E84-426E-40DD-AFC4-6F175D3DCCD1}">
                              <a14:hiddenFill xmlns:a14="http://schemas.microsoft.com/office/drawing/2010/main">
                                <a:noFill/>
                              </a14:hiddenFill>
                            </a:ext>
                          </a:extLst>
                        </wps:spPr>
                        <wps:bodyPr/>
                      </wps:wsp>
                      <wps:wsp>
                        <wps:cNvPr id="1001" name="Rectangle 52"/>
                        <wps:cNvSpPr>
                          <a:spLocks noChangeArrowheads="1"/>
                        </wps:cNvSpPr>
                        <wps:spPr bwMode="auto">
                          <a:xfrm>
                            <a:off x="2377440" y="636270"/>
                            <a:ext cx="7620" cy="7620"/>
                          </a:xfrm>
                          <a:prstGeom prst="rect">
                            <a:avLst/>
                          </a:prstGeom>
                          <a:solidFill>
                            <a:srgbClr val="DADC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w:pict>
              <v:group id="Canvas 181" o:spid="_x0000_s1068" editas="canvas" style="width:191.45pt;height:50.75pt;mso-position-horizontal-relative:char;mso-position-vertical-relative:line" coordsize="24307,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">
                <v:shape id="_x0000_s1069" type="#_x0000_t75" style="position:absolute;width:24307;height:6445;visibility:visible;mso-wrap-style:square">
                  <v:fill o:detectmouseclick="t"/>
                  <v:path o:connecttype="none"/>
                </v:shape>
                <v:rect id="Rectangle 5" o:spid="_x0000_s1070" style="position:absolute;left:228;top:76;width:1214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pAHMIA&#10;AADcAAAADwAAAGRycy9kb3ducmV2LnhtbESPzYoCMRCE7wu+Q2jB25rRg8yORhFBcGUvjj5AM+n5&#10;waQzJFlnfHsjLOyxqKqvqM1utEY8yIfOsYLFPANBXDndcaPgdj1+5iBCRNZoHJOCJwXYbScfGyy0&#10;G/hCjzI2IkE4FKigjbEvpAxVSxbD3PXEyaudtxiT9I3UHocEt0Yus2wlLXacFlrs6dBSdS9/rQJ5&#10;LY9DXhqfufOy/jHfp0tNTqnZdNyvQUQa43/4r33SCr7yB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kAcwgAAANwAAAAPAAAAAAAAAAAAAAAAAJgCAABkcnMvZG93&#10;bnJldi54bWxQSwUGAAAAAAQABAD1AAAAhwMAAAAA&#10;" filled="f" stroked="f">
                  <v:textbox style="mso-fit-shape-to-text:t" inset="0,0,0,0">
                    <w:txbxContent>
                      <w:p w:rsidR="00D72D2B" w:rsidRPr="00176299" w:rsidRDefault="00D72D2B" w:rsidP="0026052C">
                        <w:r>
                          <w:rPr>
                            <w:color w:val="000000"/>
                            <w:sz w:val="16"/>
                            <w:szCs w:val="16"/>
                          </w:rPr>
                          <w:t>Nuevos Estados miembros</w:t>
                        </w:r>
                      </w:p>
                    </w:txbxContent>
                  </v:textbox>
                </v:rect>
                <v:rect id="Rectangle 6" o:spid="_x0000_s1071" style="position:absolute;left:228;top:1346;width:898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ea8IA&#10;AADcAAAADwAAAGRycy9kb3ducmV2LnhtbESP3WoCMRSE7wu+QziCdzXbvZDt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SN5rwgAAANwAAAAPAAAAAAAAAAAAAAAAAJgCAABkcnMvZG93&#10;bnJldi54bWxQSwUGAAAAAAQABAD1AAAAhwMAAAAA&#10;" filled="f" stroked="f">
                  <v:textbox style="mso-fit-shape-to-text:t" inset="0,0,0,0">
                    <w:txbxContent>
                      <w:p w:rsidR="00D72D2B" w:rsidRPr="00176299" w:rsidRDefault="00D72D2B" w:rsidP="0026052C">
                        <w:r>
                          <w:rPr>
                            <w:color w:val="000000"/>
                            <w:sz w:val="16"/>
                            <w:szCs w:val="16"/>
                          </w:rPr>
                          <w:t>República de Corea</w:t>
                        </w:r>
                      </w:p>
                    </w:txbxContent>
                  </v:textbox>
                </v:rect>
                <v:rect id="Rectangle 7" o:spid="_x0000_s1072" style="position:absolute;left:17145;top:1346;width:604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D72D2B" w:rsidRDefault="00D72D2B" w:rsidP="0026052C">
                        <w:r>
                          <w:rPr>
                            <w:color w:val="000000"/>
                            <w:sz w:val="16"/>
                            <w:szCs w:val="16"/>
                          </w:rPr>
                          <w:t>Julio de 2014</w:t>
                        </w:r>
                      </w:p>
                    </w:txbxContent>
                  </v:textbox>
                </v:rect>
                <v:rect id="Rectangle 8" o:spid="_x0000_s1073" style="position:absolute;left:228;top:2622;width:2769;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D72D2B" w:rsidRDefault="00D72D2B" w:rsidP="0026052C">
                        <w:r>
                          <w:rPr>
                            <w:color w:val="000000"/>
                            <w:sz w:val="16"/>
                            <w:szCs w:val="16"/>
                          </w:rPr>
                          <w:t>Japón</w:t>
                        </w:r>
                      </w:p>
                    </w:txbxContent>
                  </v:textbox>
                </v:rect>
                <v:rect id="Rectangle 9" o:spid="_x0000_s1074" style="position:absolute;left:16744;top:2622;width:644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D72D2B" w:rsidRDefault="00D72D2B" w:rsidP="0026052C">
                        <w:r>
                          <w:rPr>
                            <w:color w:val="000000"/>
                            <w:sz w:val="16"/>
                            <w:szCs w:val="16"/>
                          </w:rPr>
                          <w:t>Mayo de 2015</w:t>
                        </w:r>
                      </w:p>
                    </w:txbxContent>
                  </v:textbox>
                </v:rect>
                <v:rect id="Rectangle 10" o:spid="_x0000_s1075" style="position:absolute;left:228;top:3892;width:12541;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D72D2B" w:rsidRPr="00176299" w:rsidRDefault="00D72D2B" w:rsidP="0026052C">
                        <w:r>
                          <w:rPr>
                            <w:color w:val="000000"/>
                            <w:sz w:val="16"/>
                            <w:szCs w:val="16"/>
                          </w:rPr>
                          <w:t>Estados Unidos de América</w:t>
                        </w:r>
                      </w:p>
                    </w:txbxContent>
                  </v:textbox>
                </v:rect>
                <v:rect id="Rectangle 11" o:spid="_x0000_s1076" style="position:absolute;left:16744;top:3886;width:6446;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D72D2B" w:rsidRDefault="00D72D2B" w:rsidP="0026052C">
                        <w:r>
                          <w:rPr>
                            <w:color w:val="000000"/>
                            <w:sz w:val="16"/>
                            <w:szCs w:val="16"/>
                          </w:rPr>
                          <w:t>Mayo de 2015</w:t>
                        </w:r>
                      </w:p>
                    </w:txbxContent>
                  </v:textbox>
                </v:rect>
                <v:rect id="Rectangle 12" o:spid="_x0000_s1077" style="position:absolute;left:228;top:5168;width:266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rsidR="00D72D2B" w:rsidRDefault="00D72D2B" w:rsidP="0026052C">
                        <w:r>
                          <w:rPr>
                            <w:color w:val="000000"/>
                            <w:sz w:val="16"/>
                            <w:szCs w:val="16"/>
                          </w:rPr>
                          <w:t>China</w:t>
                        </w:r>
                      </w:p>
                    </w:txbxContent>
                  </v:textbox>
                </v:rect>
                <v:rect id="Rectangle 13" o:spid="_x0000_s1078" style="position:absolute;left:20929;top:5168;width:226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D72D2B" w:rsidRDefault="00D72D2B" w:rsidP="0026052C">
                        <w:r>
                          <w:rPr>
                            <w:color w:val="000000"/>
                            <w:sz w:val="16"/>
                            <w:szCs w:val="16"/>
                          </w:rPr>
                          <w:t>2018</w:t>
                        </w:r>
                      </w:p>
                    </w:txbxContent>
                  </v:textbox>
                </v:rect>
                <v:rect id="Rectangle 14" o:spid="_x0000_s1079" style="position:absolute;width:76;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mfcMA&#10;AADbAAAADwAAAGRycy9kb3ducmV2LnhtbESPQWsCMRSE74L/ITyhN83qQWVrFBVaCgVBrdLjY/O6&#10;CW5elk2qu//eCILHYWa+YRar1lXiSk2wnhWMRxkI4sJry6WCn+PHcA4iRGSNlWdS0FGA1bLfW2Cu&#10;/Y33dD3EUiQIhxwVmBjrXMpQGHIYRr4mTt6fbxzGJJtS6gZvCe4qOcmyqXRoOS0YrGlrqLgc/p2C&#10;7+5sT1M9xtPvedeZ2efGumyv1NugXb+DiNTGV/jZ/tIK5hN4fEk/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umfcMAAADbAAAADwAAAAAAAAAAAAAAAACYAgAAZHJzL2Rv&#10;d25yZXYueG1sUEsFBgAAAAAEAAQA9QAAAIgDAAAAAA==&#10;" fillcolor="#dadcdd" stroked="f"/>
                <v:rect id="Rectangle 15" o:spid="_x0000_s1080" style="position:absolute;left:14039;width:77;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cD5sMA&#10;AADbAAAADwAAAGRycy9kb3ducmV2LnhtbESP3WoCMRSE7wu+QzhC72rWClZWo2hBKRQK/uLlYXPc&#10;BDcnyybq7ts3hYKXw8x8w8wWravEnZpgPSsYDjIQxIXXlksFh/36bQIiRGSNlWdS0FGAxbz3MsNc&#10;+wdv6b6LpUgQDjkqMDHWuZShMOQwDHxNnLyLbxzGJJtS6gYfCe4q+Z5lY+nQclowWNOnoeK6uzkF&#10;393JHsd6iMfz6aczH5uVddlWqdd+u5yCiNTGZ/i//aUVTEbw9yX9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cD5sMAAADbAAAADwAAAAAAAAAAAAAAAACYAgAAZHJzL2Rv&#10;d25yZXYueG1sUEsFBgAAAAAEAAQA9QAAAIgDAAAAAA==&#10;" fillcolor="#dadcdd" stroked="f"/>
                <v:line id="Line 16" o:spid="_x0000_s1081" style="position:absolute;visibility:visible;mso-wrap-style:square" from="76,0" to="23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YerMMAAADbAAAADwAAAGRycy9kb3ducmV2LnhtbESPQWvCQBSE74X+h+UVetONpWqMrlJK&#10;RXvTqODxkX0mi9m3Ibtq/PduQehxmJlvmNmis7W4UuuNYwWDfgKCuHDacKlgv1v2UhA+IGusHZOC&#10;O3lYzF9fZphpd+MtXfNQighhn6GCKoQmk9IXFVn0fdcQR+/kWoshyraUusVbhNtafiTJSFo0HBcq&#10;bOi7ouKcX6wCsxmthr/jw+Qgf1ZhcEzPqbF7pd7fuq8piEBd+A8/22utIP2Evy/xB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2HqzDAAAA2wAAAA8AAAAAAAAAAAAA&#10;AAAAoQIAAGRycy9kb3ducmV2LnhtbFBLBQYAAAAABAAEAPkAAACRAwAAAAA=&#10;" strokeweight="0"/>
                <v:rect id="Rectangle 17" o:spid="_x0000_s1082" style="position:absolute;left:7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IYfcUA&#10;AADbAAAADwAAAGRycy9kb3ducmV2LnhtbESPT2sCMRTE7wW/Q3gFbzVb0bKuRtGC4EWofw56e26e&#10;u4ubl20SdfXTN4VCj8PM/IaZzFpTixs5X1lW8N5LQBDnVldcKNjvlm8pCB+QNdaWScGDPMymnZcJ&#10;ZtreeUO3bShEhLDPUEEZQpNJ6fOSDPqebYijd7bOYIjSFVI7vEe4qWU/ST6kwYrjQokNfZaUX7ZX&#10;o2AxShffXwNePzenIx0Pp8uw7xKluq/tfAwiUBv+w3/tlVaQDuH3S/wB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0hh9xQAAANsAAAAPAAAAAAAAAAAAAAAAAJgCAABkcnMv&#10;ZG93bnJldi54bWxQSwUGAAAAAAQABAD1AAAAigMAAAAA&#10;" fillcolor="black" stroked="f"/>
                <v:rect id="Rectangle 18" o:spid="_x0000_s1083" style="position:absolute;left:23698;width:76;height: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CgfsMA&#10;AADbAAAADwAAAGRycy9kb3ducmV2LnhtbESPQWsCMRSE7wX/Q3hCbzVrD1tZjaKCRSgI2ioeH5vn&#10;Jrh5WTZRd/+9KRR6HGbmG2a26Fwt7tQG61nBeJSBIC69tlwp+PnevE1AhIissfZMCnoKsJgPXmZY&#10;aP/gPd0PsRIJwqFABSbGppAylIYchpFviJN38a3DmGRbSd3iI8FdLd+zLJcOLacFgw2tDZXXw80p&#10;+OpP9pjrMR7Pp11vPj5X1mV7pV6H3XIKIlIX/8N/7a1WMMnh90v6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CgfsMAAADbAAAADwAAAAAAAAAAAAAAAACYAgAAZHJzL2Rv&#10;d25yZXYueG1sUEsFBgAAAAAEAAQA9QAAAIgDAAAAAA==&#10;" fillcolor="#dadcdd" stroked="f"/>
                <v:line id="Line 19" o:spid="_x0000_s1084" style="position:absolute;visibility:visible;mso-wrap-style:square" from="76,1270" to="23774,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SA28IAAADbAAAADwAAAGRycy9kb3ducmV2LnhtbESPQYvCMBSE74L/IbwFb5oqrHarUUR2&#10;UW/qKnh8NG/bYPNSmqzWf28EweMwM98ws0VrK3GlxhvHCoaDBARx7rThQsHx96efgvABWWPlmBTc&#10;ycNi3u3MMNPuxnu6HkIhIoR9hgrKEOpMSp+XZNEPXE0cvT/XWAxRNoXUDd4i3FZylCRjadFwXCix&#10;plVJ+eXwbxWY3Xj9uZ2cvk7yex2G5/SSGntUqvfRLqcgArXhHX61N1pBOoHnl/gD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SA28IAAADbAAAADwAAAAAAAAAAAAAA&#10;AAChAgAAZHJzL2Rvd25yZXYueG1sUEsFBgAAAAAEAAQA+QAAAJADAAAAAA==&#10;" strokeweight="0"/>
                <v:rect id="Rectangle 20" o:spid="_x0000_s1085" style="position:absolute;left:76;top:1270;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O348IA&#10;AADbAAAADwAAAGRycy9kb3ducmV2LnhtbERPy4rCMBTdD/gP4QruxlRxhlqNooIwmwFfC91dm2tb&#10;bG5qktHOfL1ZDLg8nPd03ppa3Mn5yrKCQT8BQZxbXXGh4LBfv6cgfEDWWFsmBb/kYT7rvE0x0/bB&#10;W7rvQiFiCPsMFZQhNJmUPi/JoO/bhjhyF+sMhghdIbXDRww3tRwmyac0WHFsKLGhVUn5dfdjFCzH&#10;6fK2GfH33/Z8otPxfP0YukSpXrddTEAEasNL/O/+0grSODZ+iT9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7fjwgAAANsAAAAPAAAAAAAAAAAAAAAAAJgCAABkcnMvZG93&#10;bnJldi54bWxQSwUGAAAAAAQABAD1AAAAhwMAAAAA&#10;" fillcolor="black" stroked="f"/>
                <v:line id="Line 21" o:spid="_x0000_s1086" style="position:absolute;visibility:visible;mso-wrap-style:square" from="76,2546" to="23774,2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exMsQAAADbAAAADwAAAGRycy9kb3ducmV2LnhtbESPQWvCQBSE7wX/w/KE3urGQm0SXUWk&#10;kvbWRgWPj+wzWcy+DdnVpP++Wyj0OMzMN8xqM9pW3Kn3xrGC+SwBQVw5bbhWcDzsn1IQPiBrbB2T&#10;gm/ysFlPHlaYazfwF93LUIsIYZ+jgiaELpfSVw1Z9DPXEUfv4nqLIcq+lrrHIcJtK5+TZCEtGo4L&#10;DXa0a6i6ljerwHwuipeP11N2km9FmJ/Ta2rsUanH6bhdggg0hv/wX/tdK0gz+P0Sf4B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t7EyxAAAANsAAAAPAAAAAAAAAAAA&#10;AAAAAKECAABkcnMvZG93bnJldi54bWxQSwUGAAAAAAQABAD5AAAAkgMAAAAA&#10;" strokeweight="0"/>
                <v:rect id="Rectangle 22" o:spid="_x0000_s1087" style="position:absolute;left:76;top:254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wtOMMA&#10;AADbAAAADwAAAGRycy9kb3ducmV2LnhtbERPz2vCMBS+C/sfwhvspqkyh3amMgcDL8Lsdpi3Z/Ns&#10;S5uXLom2+tcvh4HHj+/3aj2YVlzI+dqygukkAUFcWF1zqeD762O8AOEDssbWMim4kod19jBaYapt&#10;z3u65KEUMYR9igqqELpUSl9UZNBPbEccuZN1BkOErpTaYR/DTStnSfIiDdYcGyrs6L2iosnPRsFm&#10;udj8fj7z7rY/Hujwc2zmM5co9fQ4vL2CCDSEu/jfvdUKlnF9/BJ/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wtOMMAAADbAAAADwAAAAAAAAAAAAAAAACYAgAAZHJzL2Rv&#10;d25yZXYueG1sUEsFBgAAAAAEAAQA9QAAAIgDAAAAAA==&#10;" fillcolor="black" stroked="f"/>
                <v:line id="Line 23" o:spid="_x0000_s1088" style="position:absolute;visibility:visible;mso-wrap-style:square" from="76,3816" to="23774,3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q1nsQAAADbAAAADwAAAGRycy9kb3ducmV2LnhtbESPQWvCQBSE7wX/w/IKvdWNQm2SuoqI&#10;kvZWo0KPj+xrsph9G7KrSf99t1DwOMzMN8xyPdpW3Kj3xrGC2TQBQVw5bbhWcDrun1MQPiBrbB2T&#10;gh/ysF5NHpaYazfwgW5lqEWEsM9RQRNCl0vpq4Ys+qnriKP37XqLIcq+lrrHIcJtK+dJspAWDceF&#10;BjvaNlRdyqtVYD4XxcvH6zk7y10RZl/pJTX2pNTT47h5AxFoDPfwf/tdK8jm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yrWexAAAANsAAAAPAAAAAAAAAAAA&#10;AAAAAKECAABkcnMvZG93bnJldi54bWxQSwUGAAAAAAQABAD5AAAAkgMAAAAA&#10;" strokeweight="0"/>
                <v:rect id="Rectangle 24" o:spid="_x0000_s1089" style="position:absolute;left:76;top:3816;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zT8UA&#10;AADbAAAADwAAAGRycy9kb3ducmV2LnhtbESPT2sCMRTE74V+h/AK3mq2WkVXo1RB8CLUPwe9PTev&#10;u4ubl20SdeunbwTB4zAzv2HG08ZU4kLOl5YVfLQTEMSZ1SXnCnbbxfsAhA/IGivLpOCPPEwnry9j&#10;TLW98poum5CLCGGfooIihDqV0mcFGfRtWxNH78c6gyFKl0vt8BrhppKdJOlLgyXHhQJrmheUnTZn&#10;o2A2HMx+vz95dVsfD3TYH0+9jkuUar01XyMQgZrwDD/aS61g2IX7l/gD5O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rrNPxQAAANsAAAAPAAAAAAAAAAAAAAAAAJgCAABkcnMv&#10;ZG93bnJldi54bWxQSwUGAAAAAAQABAD1AAAAigMAAAAA&#10;" fillcolor="black" stroked="f"/>
                <v:line id="Line 25" o:spid="_x0000_s1090" style="position:absolute;visibility:visible;mso-wrap-style:square" from="76,5092" to="23774,50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IccQAAADbAAAADwAAAGRycy9kb3ducmV2LnhtbESPQWvCQBSE70L/w/IKvenGUm2MrlJK&#10;i3qzUcHjI/tMFrNvQ3ar8d+7guBxmJlvmNmis7U4U+uNYwXDQQKCuHDacKlgt/3tpyB8QNZYOyYF&#10;V/KwmL/0Zphpd+E/OuehFBHCPkMFVQhNJqUvKrLoB64hjt7RtRZDlG0pdYuXCLe1fE+SsbRoOC5U&#10;2NB3RcUp/7cKzGa8HK0/95O9/FmG4SE9pcbulHp77b6mIAJ14Rl+tFdaweQD7l/iD5D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b4hxxAAAANsAAAAPAAAAAAAAAAAA&#10;AAAAAKECAABkcnMvZG93bnJldi54bWxQSwUGAAAAAAQABAD5AAAAkgMAAAAA&#10;" strokeweight="0"/>
                <v:rect id="Rectangle 26" o:spid="_x0000_s1091" style="position:absolute;left:76;top:5092;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VlscA&#10;AADcAAAADwAAAGRycy9kb3ducmV2LnhtbESPQU/CQBCF7yb+h82YeJOtKAZqFyImJF5MAD3Abdod&#10;24bubN1doPrrnQOJt5m8N+99UywG16kThdh6NnA/ykARV962XBv4/FjdTUHFhGyx80wGfijCYn59&#10;VWBu/Zk3dNqmWkkIxxwNNCn1udaxashhHPmeWLQvHxwmWUOtbcCzhLtOj7PsSTtsWRoa7Om1oeqw&#10;PToDy9l0+b1+5PffTbmn/a48TMYhM+b2Znh5BpVoSP/my/WbFfwHoZVnZAI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3lZbHAAAA3AAAAA8AAAAAAAAAAAAAAAAAmAIAAGRy&#10;cy9kb3ducmV2LnhtbFBLBQYAAAAABAAEAPUAAACMAwAAAAA=&#10;" fillcolor="black" stroked="f"/>
                <v:line id="Line 27" o:spid="_x0000_s1092" style="position:absolute;visibility:visible;mso-wrap-style:square" from="0,0" to="0,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Bi28IAAADcAAAADwAAAGRycy9kb3ducmV2LnhtbERPTWvCQBC9C/0PyxR6001Ka2N0lSKK&#10;9qZWweOQHZPF7GzIrpr+e7cgeJvH+5zJrLO1uFLrjWMF6SABQVw4bbhUsP9d9jMQPiBrrB2Tgj/y&#10;MJu+9CaYa3fjLV13oRQxhH2OCqoQmlxKX1Rk0Q9cQxy5k2sthgjbUuoWbzHc1vI9SYbSouHYUGFD&#10;84qK8+5iFZjNcPX583UYHeRiFdJjds6M3Sv19tp9j0EE6sJT/HCvdZz/kcL/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6Bi28IAAADcAAAADwAAAAAAAAAAAAAA&#10;AAChAgAAZHJzL2Rvd25yZXYueG1sUEsFBgAAAAAEAAQA+QAAAJADAAAAAA==&#10;" strokeweight="0"/>
                <v:rect id="Rectangle 28" o:spid="_x0000_s1093" style="position:absolute;width:76;height:6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yNYcQA&#10;AADcAAAADwAAAGRycy9kb3ducmV2LnhtbERPS2vCQBC+F/wPyxS81U2DFZu6ES0IXgRfh3obs9Mk&#10;JDub7q6a9te7hUJv8/E9ZzbvTSuu5HxtWcHzKAFBXFhdc6ngeFg9TUH4gKyxtUwKvsnDPB88zDDT&#10;9sY7uu5DKWII+wwVVCF0mZS+qMigH9mOOHKf1hkMEbpSaoe3GG5amSbJRBqsOTZU2NF7RUWzvxgF&#10;y9fp8ms75s3P7nyi08e5eUldotTwsV+8gQjUh3/xn3ut4/xJ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sjWHEAAAA3AAAAA8AAAAAAAAAAAAAAAAAmAIAAGRycy9k&#10;b3ducmV2LnhtbFBLBQYAAAAABAAEAPUAAACJAwAAAAA=&#10;" fillcolor="black" stroked="f"/>
                <v:line id="Line 29" o:spid="_x0000_s1094" style="position:absolute;visibility:visible;mso-wrap-style:square" from="14039,76" to="14039,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KdI8MAAADcAAAADwAAAGRycy9kb3ducmV2LnhtbERPS2vCQBC+F/oflin0phuljWnqGkQU&#10;7a31AT0O2WmymJ0N2TWm/94tCL3Nx/eceTHYRvTUeeNYwWScgCAunTZcKTgeNqMMhA/IGhvHpOCX&#10;PBSLx4c55tpd+Yv6fahEDGGfo4I6hDaX0pc1WfRj1xJH7sd1FkOEXSV1h9cYbhs5TZJUWjQcG2ps&#10;aVVTed5frALzmW5fP2ant5Ncb8PkOztnxh6Ven4alu8gAg3hX3x373Scn77A3zPx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inSPDAAAA3AAAAA8AAAAAAAAAAAAA&#10;AAAAoQIAAGRycy9kb3ducmV2LnhtbFBLBQYAAAAABAAEAPkAAACRAwAAAAA=&#10;" strokeweight="0"/>
                <v:rect id="Rectangle 30" o:spid="_x0000_s1095" style="position:absolute;left:14039;top:76;width:77;height:6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LYsQA&#10;AADcAAAADwAAAGRycy9kb3ducmV2LnhtbERPS2vCQBC+F/wPyxR6q5uKDRrdiBaEXgq+Dnobs2MS&#10;kp1Nd7ea9te7hUJv8/E9Z77oTSuu5HxtWcHLMAFBXFhdc6ngsF8/T0D4gKyxtUwKvsnDIh88zDHT&#10;9sZbuu5CKWII+wwVVCF0mZS+qMigH9qOOHIX6wyGCF0ptcNbDDetHCVJKg3WHBsq7OitoqLZfRkF&#10;q+lk9bkZ88fP9nyi0/HcvI5cotTTY7+cgQjUh3/xn/tdx/lp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Xi2LEAAAA3AAAAA8AAAAAAAAAAAAAAAAAmAIAAGRycy9k&#10;b3ducmV2LnhtbFBLBQYAAAAABAAEAPUAAACJAwAAAAA=&#10;" fillcolor="black" stroked="f"/>
                <v:line id="Line 31" o:spid="_x0000_s1096" style="position:absolute;visibility:visible;mso-wrap-style:square" from="76,6362" to="23774,63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ADVMMAAADcAAAADwAAAGRycy9kb3ducmV2LnhtbERPS2vCQBC+F/wPywi91Y2CMUY3IlKx&#10;vbU+wOOQHZMl2dmQ3Wr677uFQm/z8T1nvRlsK+7Ue+NYwXSSgCAunTZcKTif9i8ZCB+QNbaOScE3&#10;edgUo6c15to9+JPux1CJGMI+RwV1CF0upS9rsugnriOO3M31FkOEfSV1j48Ybls5S5JUWjQcG2rs&#10;aFdT2Ry/rALzkR7m74vL8iJfD2F6zZrM2LNSz+NhuwIRaAj/4j/3m47z0wX8PhMvk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wA1TDAAAA3AAAAA8AAAAAAAAAAAAA&#10;AAAAoQIAAGRycy9kb3ducmV2LnhtbFBLBQYAAAAABAAEAPkAAACRAwAAAAA=&#10;" strokeweight="0"/>
                <v:rect id="Rectangle 32" o:spid="_x0000_s1097" style="position:absolute;left:76;top:6362;width:23698;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L17MQA&#10;AADcAAAADwAAAGRycy9kb3ducmV2LnhtbERPS2sCMRC+C/6HMEJvmlXasq5GUUHopVAfB72Nm3F3&#10;cTNZk1RXf31TKPQ2H99zpvPW1OJGzleWFQwHCQji3OqKCwX73bqfgvABWWNtmRQ8yMN81u1MMdP2&#10;zhu6bUMhYgj7DBWUITSZlD4vyaAf2IY4cmfrDIYIXSG1w3sMN7UcJcm7NFhxbCixoVVJ+WX7bRQs&#10;x+ny+vXKn8/N6UjHw+nyNnKJUi+9djEBEagN/+I/94eO89Mh/D4TL5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y9ezEAAAA3AAAAA8AAAAAAAAAAAAAAAAAmAIAAGRycy9k&#10;b3ducmV2LnhtbFBLBQYAAAAABAAEAPUAAACJAwAAAAA=&#10;" fillcolor="black" stroked="f"/>
                <v:line id="Line 33" o:spid="_x0000_s1098" style="position:absolute;visibility:visible;mso-wrap-style:square" from="23698,76" to="23698,6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tGNsMAAADcAAAADwAAAGRycy9kb3ducmV2LnhtbERPTWvCQBC9F/wPywi9NRuFpjG6iogl&#10;7a2NCh6H7JgsZmdDdqvpv+8WCr3N433OajPaTtxo8MaxglmSgiCunTbcKDgeXp9yED4ga+wck4Jv&#10;8rBZTx5WWGh350+6VaERMYR9gQraEPpCSl+3ZNEnrieO3MUNFkOEQyP1gPcYbjs5T9NMWjQcG1rs&#10;addSfa2+rALzkZXP7y+nxUnuyzA759fc2KNSj9NxuwQRaAz/4j/3m47z8zn8PhMvk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LRjbDAAAA3AAAAA8AAAAAAAAAAAAA&#10;AAAAoQIAAGRycy9kb3ducmV2LnhtbFBLBQYAAAAABAAEAPkAAACRAwAAAAA=&#10;" strokeweight="0"/>
                <v:rect id="Rectangle 34" o:spid="_x0000_s1099" style="position:absolute;left:23698;top:76;width:76;height:6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zOAMQA&#10;AADcAAAADwAAAGRycy9kb3ducmV2LnhtbERPTWsCMRC9F/ofwhS81Wy1lnU1igqCF6FaD3obN9Pd&#10;xc1kTaJu/fVNQehtHu9zxtPW1OJKzleWFbx1ExDEudUVFwp2X8vXFIQPyBpry6TghzxMJ89PY8y0&#10;vfGGrttQiBjCPkMFZQhNJqXPSzLou7Yhjty3dQZDhK6Q2uEthpta9pLkQxqsODaU2NCipPy0vRgF&#10;82E6P3++8/q+OR7osD+eBj2XKNV5aWcjEIHa8C9+uFc6zk/78PdMvEB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szgDEAAAA3AAAAA8AAAAAAAAAAAAAAAAAmAIAAGRycy9k&#10;b3ducmV2LnhtbFBLBQYAAAAABAAEAPUAAACJAwAAAAA=&#10;" fillcolor="black" stroked="f"/>
                <v:line id="Line 35" o:spid="_x0000_s1100" style="position:absolute;visibility:visible;mso-wrap-style:square" from="0,6438" to="6,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G58MAAADcAAAADwAAAGRycy9kb3ducmV2LnhtbERPS2vCQBC+C/0PyxS8iNn4oIToKiUi&#10;9NBDTStex+yYxGZnQ3bV+O+7gtDbfHzPWa5704grda62rGASxSCIC6trLhX8fG/HCQjnkTU2lknB&#10;nRysVy+DJaba3nhH19yXIoSwS1FB5X2bSumKigy6yLbEgTvZzqAPsCul7vAWwk0jp3H8Jg3WHBoq&#10;bCmrqPjNL0bB6JCMZrjPz9mknGZ0/vo8bnZOqeFr/74A4an3/+Kn+0OH+ckcHs+EC+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RufDAAAA3AAAAA8AAAAAAAAAAAAA&#10;AAAAoQIAAGRycy9kb3ducmV2LnhtbFBLBQYAAAAABAAEAPkAAACRAwAAAAA=&#10;" strokecolor="#dadcdd" strokeweight="0"/>
                <v:rect id="Rectangle 36" o:spid="_x0000_s1101" style="position:absolute;top:6438;width:76;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Yr8IA&#10;AADcAAAADwAAAGRycy9kb3ducmV2LnhtbERP22oCMRB9L/gPYYS+1awFraxG0YJSKBS84uOwGTfB&#10;zWTZRN39+6ZQ8G0O5zqzResqcacmWM8KhoMMBHHhteVSwWG/fpuACBFZY+WZFHQUYDHvvcww1/7B&#10;W7rvYilSCIccFZgY61zKUBhyGAa+Jk7cxTcOY4JNKXWDjxTuKvmeZWPp0HJqMFjTp6Hiurs5Bd/d&#10;yR7HeojH8+mnMx+blXXZVqnXfrucgojUxqf43/2l0/zJCP6eSR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FivwgAAANwAAAAPAAAAAAAAAAAAAAAAAJgCAABkcnMvZG93&#10;bnJldi54bWxQSwUGAAAAAAQABAD1AAAAhwMAAAAA&#10;" fillcolor="#dadcdd" stroked="f"/>
                <v:line id="Line 37" o:spid="_x0000_s1102" style="position:absolute;visibility:visible;mso-wrap-style:square" from="14039,6438" to="14046,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F9C8QAAADcAAAADwAAAGRycy9kb3ducmV2LnhtbERPTWvCQBC9C/6HZYRegtloIYQ0q0hK&#10;oYcealrxOmanSTQ7G7JbTf99t1DwNo/3OcV2Mr240ug6ywpWcQKCuLa640bB58fLMgPhPLLG3jIp&#10;+CEH2818VmCu7Y33dK18I0IIuxwVtN4PuZSubsmgi+1AHLgvOxr0AY6N1CPeQrjp5TpJUmmw49DQ&#10;4kBlS/Wl+jYKomMWPeKhOperZl3S+f3t9Lx3Sj0spt0TCE+Tv4v/3a86zM9S+HsmXC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YX0LxAAAANwAAAAPAAAAAAAAAAAA&#10;AAAAAKECAABkcnMvZG93bnJldi54bWxQSwUGAAAAAAQABAD5AAAAkgMAAAAA&#10;" strokecolor="#dadcdd" strokeweight="0"/>
                <v:rect id="Rectangle 38" o:spid="_x0000_s1103" style="position:absolute;left:14039;top:6438;width:77;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pjQ8IA&#10;AADcAAAADwAAAGRycy9kb3ducmV2LnhtbERP32vCMBB+H+x/CCfsbabdg0pnLDqYDISBOmWPR3Nr&#10;gs2lNFHb/94MBN/u4/t587J3jbhQF6xnBfk4A0FceW25VvCz/3ydgQgRWWPjmRQMFKBcPD/NsdD+&#10;ylu67GItUgiHAhWYGNtCylAZchjGviVO3J/vHMYEu1rqDq8p3DXyLcsm0qHl1GCwpQ9D1Wl3dgo2&#10;w9EeJjrHw+/xezDT9cq6bKvUy6hfvoOI1MeH+O7+0mn+bAr/z6QL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umNDwgAAANwAAAAPAAAAAAAAAAAAAAAAAJgCAABkcnMvZG93&#10;bnJldi54bWxQSwUGAAAAAAQABAD1AAAAhwMAAAAA&#10;" fillcolor="#dadcdd" stroked="f"/>
                <v:line id="Line 39" o:spid="_x0000_s1104" style="position:absolute;visibility:visible;mso-wrap-style:square" from="23698,6438" to="23704,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JM4sYAAADcAAAADwAAAGRycy9kb3ducmV2LnhtbESPQWvCQBCF7wX/wzKCF9GNCiVEVykp&#10;BQ8eatrS65gdk9jsbMiumv5751DobYb35r1vNrvBtepGfWg8G1jME1DEpbcNVwY+P95mKagQkS22&#10;nsnALwXYbUdPG8ysv/ORbkWslIRwyNBAHWOXaR3KmhyGue+IRTv73mGUta+07fEu4a7VyyR51g4b&#10;loYaO8prKn+KqzMw/U6nK/wqLvmiWuZ0eT+cXo/BmMl4eFmDijTEf/Pf9d4Kfiq08oxMoL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KyTOLGAAAA3AAAAA8AAAAAAAAA&#10;AAAAAAAAoQIAAGRycy9kb3ducmV2LnhtbFBLBQYAAAAABAAEAPkAAACUAwAAAAA=&#10;" strokecolor="#dadcdd" strokeweight="0"/>
                <v:rect id="Rectangle 40" o:spid="_x0000_s1105" style="position:absolute;left:23698;top:6438;width:76;height: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SqsIA&#10;AADcAAAADwAAAGRycy9kb3ducmV2LnhtbERPTWsCMRC9F/wPYYTealYPalejVMFSEARtlR6HzbgJ&#10;3UyWTaq7/94Igrd5vM+ZL1tXiQs1wXpWMBxkIIgLry2XCn6+N29TECEia6w8k4KOAiwXvZc55tpf&#10;eU+XQyxFCuGQowITY51LGQpDDsPA18SJO/vGYUywKaVu8JrCXSVHWTaWDi2nBoM1rQ0Vf4d/p2Db&#10;nexxrId4/D3tOjP5XFmX7ZV67bcfMxCR2vgUP9xfOs2fvsP9mXSBX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VKqwgAAANwAAAAPAAAAAAAAAAAAAAAAAJgCAABkcnMvZG93&#10;bnJldi54bWxQSwUGAAAAAAQABAD1AAAAhwMAAAAA&#10;" fillcolor="#dadcdd" stroked="f"/>
                <v:line id="Line 41" o:spid="_x0000_s1106" style="position:absolute;visibility:visible;mso-wrap-style:square" from="23774,0" to="237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3WOcYAAADcAAAADwAAAGRycy9kb3ducmV2LnhtbESPQWvCQBCF7wX/wzKCF6kbLRSbuopE&#10;BA891GjpdZqdJrHZ2ZBdNf5751DwNsN78943i1XvGnWhLtSeDUwnCSjiwtuaSwPHw/Z5DipEZIuN&#10;ZzJwowCr5eBpgan1V97TJY+lkhAOKRqoYmxTrUNRkcMw8S2xaL++cxhl7UptO7xKuGv0LEletcOa&#10;paHClrKKir/87AyMv+fjF/zKT9m0nGV0+vz42eyDMaNhv34HFamPD/P/9c4K/pvgyzMygV7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kd1jnGAAAA3AAAAA8AAAAAAAAA&#10;AAAAAAAAoQIAAGRycy9kb3ducmV2LnhtbFBLBQYAAAAABAAEAPkAAACUAwAAAAA=&#10;" strokecolor="#dadcdd" strokeweight="0"/>
                <v:rect id="Rectangle 42" o:spid="_x0000_s1107" style="position:absolute;left:23774;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bIccIA&#10;AADcAAAADwAAAGRycy9kb3ducmV2LnhtbERPTWsCMRC9C/6HMEJvmt0ebLs1ihZaBEFQq/Q4bMZN&#10;cDNZNqnu/vtGKHibx/uc2aJztbhSG6xnBfkkA0Fcem25UvB9+By/gggRWWPtmRT0FGAxHw5mWGh/&#10;4x1d97ESKYRDgQpMjE0hZSgNOQwT3xAn7uxbhzHBtpK6xVsKd7V8zrKpdGg5NRhs6MNQedn/OgWb&#10;/mSPU53j8ee07c3L18q6bKfU06hbvoOI1MWH+N+91mn+Ww73Z9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shxwgAAANwAAAAPAAAAAAAAAAAAAAAAAJgCAABkcnMvZG93&#10;bnJldi54bWxQSwUGAAAAAAQABAD1AAAAhwMAAAAA&#10;" fillcolor="#dadcdd" stroked="f"/>
                <v:line id="Line 43" o:spid="_x0000_s1108" style="position:absolute;visibility:visible;mso-wrap-style:square" from="23774,1270" to="23780,1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205sUAAADcAAAADwAAAGRycy9kb3ducmV2LnhtbESPQWvCQBSE74L/YXlCL6IbI4hGV5GU&#10;Qg89aFrx+sw+k2j2bchuNf57t1DwOMzMN8xq05la3Kh1lWUFk3EEgji3uuJCwc/3x2gOwnlkjbVl&#10;UvAgB5t1v7fCRNs77+mW+UIECLsEFZTeN4mULi/JoBvbhjh4Z9sa9EG2hdQt3gPc1DKOopk0WHFY&#10;KLGhtKT8mv0aBcPjfDjFQ3ZJJ0Wc0mX3dXrfO6XeBt12CcJT51/h//anVrBYxPB3JhwBuX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205sUAAADcAAAADwAAAAAAAAAA&#10;AAAAAAChAgAAZHJzL2Rvd25yZXYueG1sUEsFBgAAAAAEAAQA+QAAAJMDAAAAAA==&#10;" strokecolor="#dadcdd" strokeweight="0"/>
                <v:rect id="Rectangle 44" o:spid="_x0000_s1109" style="position:absolute;left:23774;top:1270;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qrsUA&#10;AADcAAAADwAAAGRycy9kb3ducmV2LnhtbESP3WoCMRSE7wu+QzhC72rWCrauRtGCpVAQ/MXLw+a4&#10;CW5Olk2qu2/fCIVeDjPzDTNbtK4SN2qC9axgOMhAEBdeWy4VHPbrl3cQISJrrDyTgo4CLOa9pxnm&#10;2t95S7ddLEWCcMhRgYmxzqUMhSGHYeBr4uRdfOMwJtmUUjd4T3BXydcsG0uHltOCwZo+DBXX3Y9T&#10;8N2d7HGsh3g8nzadeftcWZdtlXrut8spiEht/A//tb+0gslkBI8z6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RqquxQAAANwAAAAPAAAAAAAAAAAAAAAAAJgCAABkcnMv&#10;ZG93bnJldi54bWxQSwUGAAAAAAQABAD1AAAAigMAAAAA&#10;" fillcolor="#dadcdd" stroked="f"/>
                <v:line id="Line 45" o:spid="_x0000_s1110" style="position:absolute;visibility:visible;mso-wrap-style:square" from="23774,2546" to="23780,25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iJCcYAAADcAAAADwAAAGRycy9kb3ducmV2LnhtbESPT2vCQBTE74V+h+UVvIhu1FI0ZpWS&#10;InjwUFPF6zP7mj/Nvg3ZVeO37wqFHoeZ+Q2TrHvTiCt1rrKsYDKOQBDnVldcKDh8bUZzEM4ja2ws&#10;k4I7OVivnp8SjLW98Z6umS9EgLCLUUHpfRtL6fKSDLqxbYmD9207gz7IrpC6w1uAm0ZOo+hNGqw4&#10;LJTYUlpS/pNdjILhaT6c4TGr00kxTan+3J0/9k6pwUv/vgThqff/4b/2VitYLF7hcSYc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4iQnGAAAA3AAAAA8AAAAAAAAA&#10;AAAAAAAAoQIAAGRycy9kb3ducmV2LnhtbFBLBQYAAAAABAAEAPkAAACUAwAAAAA=&#10;" strokecolor="#dadcdd" strokeweight="0"/>
                <v:rect id="Rectangle 46" o:spid="_x0000_s1111" style="position:absolute;left:23774;top:2546;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QcUA&#10;AADcAAAADwAAAGRycy9kb3ducmV2LnhtbESP3WoCMRSE7wu+QzhC72rWgrauRtGCpVAQ/MXLw+a4&#10;CW5Olk2qu2/fCIVeDjPzDTNbtK4SN2qC9axgOMhAEBdeWy4VHPbrl3cQISJrrDyTgo4CLOa9pxnm&#10;2t95S7ddLEWCcMhRgYmxzqUMhSGHYeBr4uRdfOMwJtmUUjd4T3BXydcsG0uHltOCwZo+DBXX3Y9T&#10;8N2d7HGsh3g8nzadeftcWZdtlXrut8spiEht/A//tb+0gslkBI8z6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45dBxQAAANwAAAAPAAAAAAAAAAAAAAAAAJgCAABkcnMv&#10;ZG93bnJldi54bWxQSwUGAAAAAAQABAD1AAAAigMAAAAA&#10;" fillcolor="#dadcdd" stroked="f"/>
                <v:line id="Line 47" o:spid="_x0000_s1112" style="position:absolute;visibility:visible;mso-wrap-style:square" from="23774,3816" to="23780,3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ay5cUAAADcAAAADwAAAGRycy9kb3ducmV2LnhtbESPQYvCMBSE74L/ITzBi2iqgmg1ytJF&#10;8OBB6y5en83btm7zUpqo3X+/EQSPw8x8w6w2ranEnRpXWlYwHkUgiDOrS84VfJ22wzkI55E1VpZJ&#10;wR852Ky7nRXG2j74SPfU5yJA2MWooPC+jqV0WUEG3cjWxMH7sY1BH2STS93gI8BNJSdRNJMGSw4L&#10;BdaUFJT9pjejYHCeD6b4nV6TcT5J6HrYXz6PTql+r/1YgvDU+nf41d5pBYvFDJ5nw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6ay5cUAAADcAAAADwAAAAAAAAAA&#10;AAAAAAChAgAAZHJzL2Rvd25yZXYueG1sUEsFBgAAAAAEAAQA+QAAAJMDAAAAAA==&#10;" strokecolor="#dadcdd" strokeweight="0"/>
                <v:rect id="Rectangle 48" o:spid="_x0000_s1113" style="position:absolute;left:23774;top:3816;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2srcQA&#10;AADcAAAADwAAAGRycy9kb3ducmV2LnhtbESPQWsCMRSE7wX/Q3hCbzVrD1pXo6hQKQgFrYrHx+a5&#10;CW5elk3U3X9vCoUeh5n5hpktWleJOzXBelYwHGQgiAuvLZcKDj+fbx8gQkTWWHkmBR0FWMx7LzPM&#10;tX/wju77WIoE4ZCjAhNjnUsZCkMOw8DXxMm7+MZhTLIppW7wkeCuku9ZNpIOLacFgzWtDRXX/c0p&#10;2HYnexzpIR7Pp+/OjDcr67KdUq/9djkFEamN/+G/9pdWMJmM4fdMOg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9rK3EAAAA3AAAAA8AAAAAAAAAAAAAAAAAmAIAAGRycy9k&#10;b3ducmV2LnhtbFBLBQYAAAAABAAEAPUAAACJAwAAAAA=&#10;" fillcolor="#dadcdd" stroked="f"/>
                <v:line id="Line 49" o:spid="_x0000_s1114" style="position:absolute;visibility:visible;mso-wrap-style:square" from="23774,5092" to="23780,5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WDDMQAAADcAAAADwAAAGRycy9kb3ducmV2LnhtbERPTWvCQBC9F/oflil4CXWjQompq5QU&#10;oQcPTVR6nWbHJJqdDdltkv777qHg8fG+N7vJtGKg3jWWFSzmMQji0uqGKwWn4/45AeE8ssbWMin4&#10;JQe77ePDBlNtR85pKHwlQgi7FBXU3neplK6syaCb2444cBfbG/QB9pXUPY4h3LRyGccv0mDDoaHG&#10;jrKaylvxYxREX0m0wnNxzRbVMqPr5+H7PXdKzZ6mt1cQniZ/F/+7P7SC9TqsDW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dYMMxAAAANwAAAAPAAAAAAAAAAAA&#10;AAAAAKECAABkcnMvZG93bnJldi54bWxQSwUGAAAAAAQABAD5AAAAkgMAAAAA&#10;" strokecolor="#dadcdd" strokeweight="0"/>
                <v:rect id="Rectangle 50" o:spid="_x0000_s1115" style="position:absolute;left:23774;top:5092;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6dRMUA&#10;AADcAAAADwAAAGRycy9kb3ducmV2LnhtbESPQWsCMRSE7wX/Q3hCbzWrB3W3RlGhpVAoaLvS42Pz&#10;ugndvCybVHf/vSkIHoeZ+YZZbXrXiDN1wXpWMJ1kIIgrry3XCr4+X56WIEJE1th4JgUDBdisRw8r&#10;LLS/8IHOx1iLBOFQoAITY1tIGSpDDsPEt8TJ+/Gdw5hkV0vd4SXBXSNnWTaXDi2nBYMt7Q1Vv8c/&#10;p+B9ONlyrqdYfp8+BrN43VmXHZR6HPfbZxCR+ngP39pvWkGe5/B/Jh0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rp1ExQAAANwAAAAPAAAAAAAAAAAAAAAAAJgCAABkcnMv&#10;ZG93bnJldi54bWxQSwUGAAAAAAQABAD1AAAAigMAAAAA&#10;" fillcolor="#dadcdd" stroked="f"/>
                <v:line id="Line 51" o:spid="_x0000_s1116" style="position:absolute;visibility:visible;mso-wrap-style:square" from="23774,6362" to="23780,6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szscAAADdAAAADwAAAGRycy9kb3ducmV2LnhtbESPQWvCQBCF74X+h2UKXkR3tVAkukqJ&#10;CD14qGnF65gdk9jsbMhuNf33nUOhtxnem/e+WW0G36ob9bEJbGE2NaCIy+Aarix8fuwmC1AxITts&#10;A5OFH4qwWT8+rDBz4c4HuhWpUhLCMUMLdUpdpnUsa/IYp6EjFu0Seo9J1r7Srse7hPtWz4150R4b&#10;loYaO8prKr+Kb29hfFqMn/FYXPNZNc/p+r4/bw/R2tHT8LoElWhI/+a/6zcn+MYIv3wjI+j1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y+zOxwAAAN0AAAAPAAAAAAAA&#10;AAAAAAAAAKECAABkcnMvZG93bnJldi54bWxQSwUGAAAAAAQABAD5AAAAlQMAAAAA&#10;" strokecolor="#dadcdd" strokeweight="0"/>
                <v:rect id="Rectangle 52" o:spid="_x0000_s1117" style="position:absolute;left:23774;top:6362;width:7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J1sMA&#10;AADdAAAADwAAAGRycy9kb3ducmV2LnhtbERPTWsCMRC9C/0PYYTeNNkebNkaRQsthUJBreJx2Iyb&#10;4GaybFLd/feNIPQ2j/c582XvG3GhLrrAGoqpAkFcBeO41vCze5+8gIgJ2WATmDQMFGG5eBjNsTTh&#10;yhu6bFMtcgjHEjXYlNpSylhZ8hinoSXO3Cl0HlOGXS1Nh9cc7hv5pNRMenScGyy29GapOm9/vYav&#10;4eD2M1Pg/nj4Huzzx9p5tdH6cdyvXkEk6tO/+O7+NHm+UgXcvs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lJ1sMAAADdAAAADwAAAAAAAAAAAAAAAACYAgAAZHJzL2Rv&#10;d25yZXYueG1sUEsFBgAAAAAEAAQA9QAAAIgDAAAAAA==&#10;" fillcolor="#dadcdd" stroked="f"/>
                <w10:anchorlock/>
              </v:group>
            </w:pict>
          </mc:Fallback>
        </mc:AlternateContent>
      </w:r>
    </w:p>
    <w:p w:rsidR="0026052C" w:rsidRDefault="0026052C" w:rsidP="0026052C">
      <w:pPr>
        <w:keepNext/>
        <w:keepLines/>
        <w:widowControl w:val="0"/>
        <w:jc w:val="center"/>
        <w:rPr>
          <w:sz w:val="20"/>
        </w:rPr>
      </w:pPr>
    </w:p>
    <w:p w:rsidR="00BE5784" w:rsidRPr="007C6477" w:rsidRDefault="00BE5784" w:rsidP="0026052C">
      <w:pPr>
        <w:keepNext/>
        <w:keepLines/>
        <w:widowControl w:val="0"/>
        <w:jc w:val="center"/>
        <w:rPr>
          <w:sz w:val="20"/>
        </w:rPr>
      </w:pPr>
    </w:p>
    <w:p w:rsidR="0026052C" w:rsidRPr="007C6477" w:rsidRDefault="0026052C" w:rsidP="0026052C">
      <w:pPr>
        <w:keepNext/>
        <w:keepLines/>
        <w:widowControl w:val="0"/>
        <w:jc w:val="center"/>
        <w:rPr>
          <w:sz w:val="20"/>
        </w:rPr>
      </w:pPr>
      <w:r w:rsidRPr="007C6477">
        <w:rPr>
          <w:noProof/>
          <w:lang w:val="en-US" w:eastAsia="en-US"/>
        </w:rPr>
        <w:drawing>
          <wp:inline distT="0" distB="0" distL="0" distR="0" wp14:anchorId="5EFA5BEB" wp14:editId="45A5345E">
            <wp:extent cx="5760085" cy="654065"/>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5760085" cy="654065"/>
                    </a:xfrm>
                    <a:prstGeom prst="rect">
                      <a:avLst/>
                    </a:prstGeom>
                    <a:noFill/>
                    <a:ln>
                      <a:noFill/>
                    </a:ln>
                  </pic:spPr>
                </pic:pic>
              </a:graphicData>
            </a:graphic>
          </wp:inline>
        </w:drawing>
      </w:r>
    </w:p>
    <w:p w:rsidR="0026052C" w:rsidRPr="007C6477" w:rsidRDefault="0026052C" w:rsidP="0026052C">
      <w:pPr>
        <w:keepNext/>
        <w:keepLines/>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Se combinaron las cifras antes mencionadas con los resultados obtenidos mediante los modelos </w:t>
      </w:r>
      <w:proofErr w:type="spellStart"/>
      <w:r w:rsidRPr="007C6477">
        <w:rPr>
          <w:sz w:val="20"/>
        </w:rPr>
        <w:t>autorregresivos</w:t>
      </w:r>
      <w:proofErr w:type="spellEnd"/>
      <w:r w:rsidRPr="007C6477">
        <w:rPr>
          <w:sz w:val="20"/>
        </w:rPr>
        <w:t>.  Es probable que el número de solicitudes se ubique dentro de esos límites asociados a un valor de probabilidad.  En el gráfico y el cuadro que figuran a continuación se suministra la distribución probabilística de las diferentes proyecciones.</w:t>
      </w:r>
    </w:p>
    <w:p w:rsidR="0026052C" w:rsidRPr="007C6477" w:rsidRDefault="0026052C" w:rsidP="0026052C">
      <w:pPr>
        <w:widowControl w:val="0"/>
        <w:jc w:val="center"/>
        <w:rPr>
          <w:sz w:val="20"/>
        </w:rPr>
      </w:pPr>
    </w:p>
    <w:p w:rsidR="0026052C" w:rsidRPr="007C6477" w:rsidRDefault="0026052C" w:rsidP="0026052C">
      <w:pPr>
        <w:widowControl w:val="0"/>
        <w:jc w:val="center"/>
        <w:rPr>
          <w:sz w:val="18"/>
          <w:szCs w:val="18"/>
        </w:rPr>
      </w:pPr>
    </w:p>
    <w:p w:rsidR="0026052C" w:rsidRPr="005D7081" w:rsidRDefault="0026052C" w:rsidP="0026052C">
      <w:pPr>
        <w:widowControl w:val="0"/>
        <w:jc w:val="center"/>
        <w:rPr>
          <w:sz w:val="20"/>
        </w:rPr>
      </w:pPr>
      <w:r w:rsidRPr="005D7081">
        <w:rPr>
          <w:sz w:val="20"/>
        </w:rPr>
        <w:t>Distribución probabilística de las solicitudes</w:t>
      </w:r>
    </w:p>
    <w:p w:rsidR="0026052C" w:rsidRPr="007C6477" w:rsidRDefault="0026052C" w:rsidP="0026052C">
      <w:pPr>
        <w:widowControl w:val="0"/>
        <w:jc w:val="center"/>
        <w:rPr>
          <w:sz w:val="20"/>
        </w:rPr>
      </w:pPr>
      <w:r w:rsidRPr="007C6477">
        <w:rPr>
          <w:noProof/>
          <w:lang w:val="en-US" w:eastAsia="en-US"/>
        </w:rPr>
        <w:drawing>
          <wp:inline distT="0" distB="0" distL="0" distR="0" wp14:anchorId="6DD6C67F" wp14:editId="6389F9DC">
            <wp:extent cx="4512593" cy="2552700"/>
            <wp:effectExtent l="0" t="0" r="254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522840" cy="2558496"/>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5D7081" w:rsidRDefault="0026052C" w:rsidP="0026052C">
      <w:pPr>
        <w:widowControl w:val="0"/>
        <w:spacing w:after="120"/>
        <w:jc w:val="center"/>
        <w:rPr>
          <w:sz w:val="20"/>
        </w:rPr>
      </w:pPr>
      <w:r w:rsidRPr="005D7081">
        <w:rPr>
          <w:sz w:val="20"/>
        </w:rPr>
        <w:t xml:space="preserve">Proyecciones correspondientes a los registros en virtud del Sistema de </w:t>
      </w:r>
      <w:r w:rsidR="003B0DF0" w:rsidRPr="005D7081">
        <w:rPr>
          <w:sz w:val="20"/>
        </w:rPr>
        <w:t>La Haya</w:t>
      </w:r>
    </w:p>
    <w:p w:rsidR="0026052C" w:rsidRPr="007C6477" w:rsidRDefault="0026052C" w:rsidP="0026052C">
      <w:pPr>
        <w:widowControl w:val="0"/>
        <w:jc w:val="center"/>
      </w:pPr>
      <w:r w:rsidRPr="007C6477">
        <w:rPr>
          <w:noProof/>
          <w:lang w:val="en-US" w:eastAsia="en-US"/>
        </w:rPr>
        <w:drawing>
          <wp:inline distT="0" distB="0" distL="0" distR="0" wp14:anchorId="3F435333" wp14:editId="14DBA30C">
            <wp:extent cx="3431424" cy="280035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435875" cy="2803982"/>
                    </a:xfrm>
                    <a:prstGeom prst="rect">
                      <a:avLst/>
                    </a:prstGeom>
                    <a:noFill/>
                    <a:ln>
                      <a:noFill/>
                    </a:ln>
                  </pic:spPr>
                </pic:pic>
              </a:graphicData>
            </a:graphic>
          </wp:inline>
        </w:drawing>
      </w:r>
    </w:p>
    <w:p w:rsidR="0026052C" w:rsidRPr="007C6477" w:rsidRDefault="0026052C" w:rsidP="0026052C">
      <w:pPr>
        <w:widowControl w:val="0"/>
        <w:jc w:val="center"/>
      </w:pPr>
    </w:p>
    <w:p w:rsidR="0026052C" w:rsidRPr="007C6477" w:rsidRDefault="0026052C" w:rsidP="0026052C">
      <w:pPr>
        <w:keepNext/>
        <w:keepLines/>
        <w:widowControl w:val="0"/>
        <w:rPr>
          <w:i/>
          <w:sz w:val="20"/>
        </w:rPr>
      </w:pPr>
      <w:r w:rsidRPr="007C6477">
        <w:rPr>
          <w:i/>
          <w:sz w:val="20"/>
        </w:rPr>
        <w:lastRenderedPageBreak/>
        <w:t xml:space="preserve">Sistema de </w:t>
      </w:r>
      <w:r w:rsidR="003B0DF0">
        <w:rPr>
          <w:i/>
          <w:sz w:val="20"/>
        </w:rPr>
        <w:t>La Haya</w:t>
      </w:r>
      <w:r w:rsidRPr="007C6477">
        <w:rPr>
          <w:i/>
          <w:sz w:val="20"/>
        </w:rPr>
        <w:t xml:space="preserve"> - Previsión de la demanda de renovaciones</w:t>
      </w:r>
    </w:p>
    <w:p w:rsidR="0026052C" w:rsidRPr="007C6477" w:rsidRDefault="0026052C" w:rsidP="0026052C">
      <w:pPr>
        <w:keepNext/>
        <w:keepLines/>
        <w:widowControl w:val="0"/>
        <w:rPr>
          <w:sz w:val="20"/>
        </w:rPr>
      </w:pPr>
    </w:p>
    <w:p w:rsidR="0026052C" w:rsidRPr="007C6477" w:rsidRDefault="0026052C" w:rsidP="0026052C">
      <w:pPr>
        <w:keepNext/>
        <w:keepLines/>
        <w:widowControl w:val="0"/>
        <w:numPr>
          <w:ilvl w:val="0"/>
          <w:numId w:val="52"/>
        </w:numPr>
        <w:tabs>
          <w:tab w:val="left" w:pos="540"/>
        </w:tabs>
        <w:jc w:val="both"/>
        <w:rPr>
          <w:sz w:val="20"/>
        </w:rPr>
      </w:pPr>
      <w:r w:rsidRPr="007C6477">
        <w:rPr>
          <w:sz w:val="20"/>
        </w:rPr>
        <w:t xml:space="preserve">La estimación del número de renovaciones se basa en distintos modelos regresivos.  Además de aplicar los modelos </w:t>
      </w:r>
      <w:proofErr w:type="spellStart"/>
      <w:r w:rsidRPr="007C6477">
        <w:rPr>
          <w:sz w:val="20"/>
        </w:rPr>
        <w:t>autorregresivos</w:t>
      </w:r>
      <w:proofErr w:type="spellEnd"/>
      <w:r w:rsidRPr="007C6477">
        <w:rPr>
          <w:sz w:val="20"/>
        </w:rPr>
        <w:t>, se tiene en cuenta el vínculo existente entre los registros, las renovaciones y las prolongaciones de renovaciones con períodos de protección de cinco años, puesto que los registros y las renovaciones efectuadas cinco años atrás se sumarán al total de renovaciones efectuadas en el año en curso.</w:t>
      </w:r>
    </w:p>
    <w:p w:rsidR="0026052C" w:rsidRPr="007C6477" w:rsidRDefault="0026052C" w:rsidP="0026052C">
      <w:pPr>
        <w:widowControl w:val="0"/>
        <w:tabs>
          <w:tab w:val="left" w:pos="540"/>
        </w:tabs>
        <w:jc w:val="both"/>
        <w:rPr>
          <w:sz w:val="20"/>
        </w:rPr>
      </w:pPr>
    </w:p>
    <w:p w:rsidR="0026052C" w:rsidRPr="007C6477" w:rsidRDefault="0026052C" w:rsidP="0026052C">
      <w:pPr>
        <w:keepNext/>
        <w:widowControl w:val="0"/>
        <w:tabs>
          <w:tab w:val="left" w:pos="540"/>
        </w:tabs>
        <w:spacing w:after="60"/>
        <w:jc w:val="center"/>
        <w:rPr>
          <w:sz w:val="20"/>
        </w:rPr>
      </w:pPr>
      <w:r w:rsidRPr="007C6477">
        <w:rPr>
          <w:sz w:val="20"/>
        </w:rPr>
        <w:t xml:space="preserve">Gráfico 10.  Previsión de las renovaciones en virtud del Sistema de </w:t>
      </w:r>
      <w:r w:rsidR="003B0DF0">
        <w:rPr>
          <w:sz w:val="20"/>
        </w:rPr>
        <w:t>La Haya</w:t>
      </w:r>
    </w:p>
    <w:p w:rsidR="0026052C" w:rsidRPr="007C6477" w:rsidRDefault="00D74262" w:rsidP="00D74262">
      <w:pPr>
        <w:widowControl w:val="0"/>
        <w:rPr>
          <w:sz w:val="20"/>
        </w:rPr>
      </w:pPr>
      <w:r w:rsidRPr="00D74262">
        <w:rPr>
          <w:noProof/>
          <w:lang w:val="en-US" w:eastAsia="en-US"/>
        </w:rPr>
        <w:drawing>
          <wp:inline distT="0" distB="0" distL="0" distR="0">
            <wp:extent cx="5499735" cy="3111500"/>
            <wp:effectExtent l="0" t="0" r="5715"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5499735" cy="3111500"/>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25E53027" wp14:editId="64750E00">
            <wp:extent cx="4464789" cy="723900"/>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4485625" cy="727278"/>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p>
    <w:p w:rsidR="0026052C" w:rsidRPr="005D7081" w:rsidRDefault="0026052C" w:rsidP="0026052C">
      <w:pPr>
        <w:widowControl w:val="0"/>
        <w:spacing w:after="120"/>
        <w:jc w:val="center"/>
        <w:rPr>
          <w:sz w:val="20"/>
        </w:rPr>
      </w:pPr>
      <w:r w:rsidRPr="005D7081">
        <w:rPr>
          <w:sz w:val="20"/>
        </w:rPr>
        <w:t>Distribución probabilística de las renovaciones</w:t>
      </w:r>
    </w:p>
    <w:p w:rsidR="0026052C" w:rsidRPr="007C6477" w:rsidRDefault="0026052C" w:rsidP="0026052C">
      <w:pPr>
        <w:widowControl w:val="0"/>
        <w:jc w:val="center"/>
        <w:rPr>
          <w:sz w:val="20"/>
        </w:rPr>
      </w:pPr>
      <w:r w:rsidRPr="007C6477">
        <w:rPr>
          <w:noProof/>
          <w:lang w:val="en-US" w:eastAsia="en-US"/>
        </w:rPr>
        <w:drawing>
          <wp:inline distT="0" distB="0" distL="0" distR="0" wp14:anchorId="79A6FAED" wp14:editId="15F549A4">
            <wp:extent cx="4546271" cy="2571750"/>
            <wp:effectExtent l="0" t="0" r="698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554622" cy="2576474"/>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5D7081" w:rsidRDefault="0026052C" w:rsidP="0026052C">
      <w:pPr>
        <w:keepNext/>
        <w:widowControl w:val="0"/>
        <w:spacing w:after="120"/>
        <w:jc w:val="center"/>
        <w:rPr>
          <w:sz w:val="20"/>
        </w:rPr>
      </w:pPr>
      <w:r w:rsidRPr="005D7081">
        <w:rPr>
          <w:sz w:val="20"/>
        </w:rPr>
        <w:lastRenderedPageBreak/>
        <w:t xml:space="preserve">Proyecciones correspondientes a las renovaciones en virtud del Sistema de </w:t>
      </w:r>
      <w:r w:rsidR="003B0DF0" w:rsidRPr="005D7081">
        <w:rPr>
          <w:sz w:val="20"/>
        </w:rPr>
        <w:t>La Haya</w:t>
      </w:r>
    </w:p>
    <w:p w:rsidR="0026052C" w:rsidRPr="007C6477" w:rsidRDefault="0026052C" w:rsidP="0026052C">
      <w:pPr>
        <w:widowControl w:val="0"/>
        <w:jc w:val="center"/>
        <w:rPr>
          <w:sz w:val="20"/>
        </w:rPr>
      </w:pPr>
      <w:r w:rsidRPr="007C6477">
        <w:rPr>
          <w:noProof/>
          <w:lang w:val="en-US" w:eastAsia="en-US"/>
        </w:rPr>
        <w:drawing>
          <wp:inline distT="0" distB="0" distL="0" distR="0" wp14:anchorId="7E16CF7F" wp14:editId="4C2340CF">
            <wp:extent cx="3198885" cy="2743200"/>
            <wp:effectExtent l="0" t="0" r="190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3201431" cy="2745384"/>
                    </a:xfrm>
                    <a:prstGeom prst="rect">
                      <a:avLst/>
                    </a:prstGeom>
                    <a:noFill/>
                    <a:ln>
                      <a:noFill/>
                    </a:ln>
                  </pic:spPr>
                </pic:pic>
              </a:graphicData>
            </a:graphic>
          </wp:inline>
        </w:drawing>
      </w:r>
    </w:p>
    <w:p w:rsidR="0026052C" w:rsidRPr="007C6477" w:rsidRDefault="0026052C" w:rsidP="0026052C">
      <w:pPr>
        <w:widowControl w:val="0"/>
        <w:rPr>
          <w:sz w:val="20"/>
        </w:rPr>
      </w:pPr>
    </w:p>
    <w:p w:rsidR="0026052C" w:rsidRPr="007C6477" w:rsidRDefault="0026052C" w:rsidP="0026052C">
      <w:pPr>
        <w:widowControl w:val="0"/>
        <w:rPr>
          <w:sz w:val="20"/>
        </w:rPr>
      </w:pPr>
    </w:p>
    <w:p w:rsidR="0026052C" w:rsidRPr="007C6477" w:rsidRDefault="0026052C" w:rsidP="0026052C">
      <w:pPr>
        <w:widowControl w:val="0"/>
        <w:rPr>
          <w:i/>
          <w:sz w:val="20"/>
        </w:rPr>
      </w:pPr>
      <w:r w:rsidRPr="007C6477">
        <w:rPr>
          <w:i/>
          <w:sz w:val="20"/>
        </w:rPr>
        <w:t xml:space="preserve">Previsión de ingresos del Sistema de </w:t>
      </w:r>
      <w:r w:rsidR="003B0DF0">
        <w:rPr>
          <w:i/>
          <w:sz w:val="20"/>
        </w:rPr>
        <w:t>La Haya</w:t>
      </w:r>
    </w:p>
    <w:p w:rsidR="0026052C" w:rsidRPr="007C6477" w:rsidRDefault="0026052C" w:rsidP="0026052C">
      <w:pPr>
        <w:widowControl w:val="0"/>
        <w:rPr>
          <w:sz w:val="20"/>
        </w:rP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Los ingresos generados en el marco del Sistema de </w:t>
      </w:r>
      <w:r w:rsidR="003B0DF0">
        <w:rPr>
          <w:sz w:val="20"/>
        </w:rPr>
        <w:t>La Haya</w:t>
      </w:r>
      <w:r w:rsidRPr="007C6477">
        <w:rPr>
          <w:sz w:val="20"/>
        </w:rPr>
        <w:t xml:space="preserve"> se calculan sobre la base de la tabla de tasas vigente.  Los principales componentes de dicha tabla son la tasa de base y la tasa de renovación.  Estos dos componentes suponen casi un 90% de los ingresos.  Las demás tasas se engloban en la categoría "Otros".</w:t>
      </w:r>
    </w:p>
    <w:p w:rsidR="0026052C" w:rsidRPr="007C6477" w:rsidRDefault="0026052C" w:rsidP="0026052C">
      <w:pPr>
        <w:widowControl w:val="0"/>
        <w:rPr>
          <w:sz w:val="20"/>
        </w:rPr>
      </w:pPr>
    </w:p>
    <w:p w:rsidR="0026052C" w:rsidRPr="007C6477" w:rsidRDefault="0026052C" w:rsidP="0026052C">
      <w:pPr>
        <w:widowControl w:val="0"/>
        <w:jc w:val="center"/>
        <w:rPr>
          <w:sz w:val="20"/>
        </w:rPr>
      </w:pPr>
      <w:r w:rsidRPr="007C6477">
        <w:rPr>
          <w:sz w:val="20"/>
        </w:rPr>
        <w:t xml:space="preserve">Gráfico 11.  Previsión de ingresos generados por las tasas del Sistema de </w:t>
      </w:r>
      <w:r w:rsidR="003B0DF0">
        <w:rPr>
          <w:sz w:val="20"/>
        </w:rPr>
        <w:t>La Haya</w:t>
      </w:r>
      <w:r w:rsidRPr="007C6477">
        <w:rPr>
          <w:sz w:val="20"/>
        </w:rPr>
        <w:t>, por categoría</w:t>
      </w:r>
    </w:p>
    <w:p w:rsidR="0026052C" w:rsidRPr="007C6477" w:rsidRDefault="0026052C" w:rsidP="0026052C">
      <w:pPr>
        <w:widowControl w:val="0"/>
        <w:rPr>
          <w:sz w:val="20"/>
        </w:rPr>
      </w:pPr>
    </w:p>
    <w:p w:rsidR="0026052C" w:rsidRPr="007C6477" w:rsidRDefault="00D74262" w:rsidP="00D74262">
      <w:pPr>
        <w:widowControl w:val="0"/>
        <w:rPr>
          <w:sz w:val="20"/>
        </w:rPr>
      </w:pPr>
      <w:r w:rsidRPr="00D74262">
        <w:rPr>
          <w:noProof/>
          <w:lang w:val="en-US" w:eastAsia="en-US"/>
        </w:rPr>
        <w:drawing>
          <wp:inline distT="0" distB="0" distL="0" distR="0">
            <wp:extent cx="5499735" cy="3111500"/>
            <wp:effectExtent l="0" t="0" r="5715"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5499735" cy="3111500"/>
                    </a:xfrm>
                    <a:prstGeom prst="rect">
                      <a:avLst/>
                    </a:prstGeom>
                    <a:noFill/>
                    <a:ln>
                      <a:noFill/>
                    </a:ln>
                  </pic:spPr>
                </pic:pic>
              </a:graphicData>
            </a:graphic>
          </wp:inline>
        </w:drawing>
      </w:r>
    </w:p>
    <w:p w:rsidR="0026052C" w:rsidRPr="007C6477" w:rsidRDefault="0026052C" w:rsidP="0026052C">
      <w:pPr>
        <w:widowControl w:val="0"/>
        <w:jc w:val="center"/>
        <w:rPr>
          <w:sz w:val="20"/>
        </w:rPr>
      </w:pPr>
      <w:r w:rsidRPr="007C6477">
        <w:rPr>
          <w:noProof/>
          <w:lang w:val="en-US" w:eastAsia="en-US"/>
        </w:rPr>
        <w:drawing>
          <wp:inline distT="0" distB="0" distL="0" distR="0" wp14:anchorId="46B13B1A" wp14:editId="18352BAA">
            <wp:extent cx="4623248" cy="1162050"/>
            <wp:effectExtent l="0" t="0" r="635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4642330" cy="1166846"/>
                    </a:xfrm>
                    <a:prstGeom prst="rect">
                      <a:avLst/>
                    </a:prstGeom>
                    <a:noFill/>
                    <a:ln>
                      <a:noFill/>
                    </a:ln>
                  </pic:spPr>
                </pic:pic>
              </a:graphicData>
            </a:graphic>
          </wp:inline>
        </w:drawing>
      </w:r>
    </w:p>
    <w:p w:rsidR="00BE5784" w:rsidRPr="00E34525" w:rsidRDefault="00BE5784">
      <w:pPr>
        <w:ind w:left="1134"/>
        <w:rPr>
          <w:sz w:val="16"/>
          <w:rPrChange w:id="97" w:author="NETTER Iza" w:date="2015-05-12T16:53:00Z">
            <w:rPr/>
          </w:rPrChange>
        </w:rPr>
        <w:pPrChange w:id="98" w:author="NETTER Iza" w:date="2015-05-12T16:53:00Z">
          <w:pPr>
            <w:jc w:val="center"/>
          </w:pPr>
        </w:pPrChange>
      </w:pPr>
      <w:r w:rsidRPr="00E34525">
        <w:rPr>
          <w:sz w:val="16"/>
          <w:rPrChange w:id="99" w:author="NETTER Iza" w:date="2015-05-12T16:53:00Z">
            <w:rPr>
              <w:sz w:val="20"/>
            </w:rPr>
          </w:rPrChange>
        </w:rPr>
        <w:t xml:space="preserve">*  </w:t>
      </w:r>
      <w:r w:rsidR="005D7081">
        <w:rPr>
          <w:sz w:val="16"/>
        </w:rPr>
        <w:t>Las cifras corresponden a previsiones.</w:t>
      </w:r>
    </w:p>
    <w:p w:rsidR="0026052C" w:rsidRPr="007C6477" w:rsidRDefault="0026052C" w:rsidP="0026052C">
      <w:pPr>
        <w:widowControl w:val="0"/>
        <w:spacing w:after="120"/>
        <w:jc w:val="center"/>
        <w:rPr>
          <w:sz w:val="18"/>
          <w:szCs w:val="18"/>
        </w:rPr>
      </w:pPr>
    </w:p>
    <w:p w:rsidR="0026052C" w:rsidRPr="005D7081" w:rsidRDefault="0026052C" w:rsidP="0026052C">
      <w:pPr>
        <w:keepNext/>
        <w:widowControl w:val="0"/>
        <w:spacing w:after="120"/>
        <w:jc w:val="center"/>
        <w:rPr>
          <w:sz w:val="20"/>
        </w:rPr>
      </w:pPr>
      <w:r w:rsidRPr="005D7081">
        <w:rPr>
          <w:sz w:val="20"/>
        </w:rPr>
        <w:t>Distribución probabilística de los ingresos</w:t>
      </w:r>
    </w:p>
    <w:p w:rsidR="0026052C" w:rsidRPr="007C6477" w:rsidRDefault="0026052C" w:rsidP="0026052C">
      <w:pPr>
        <w:keepNext/>
        <w:widowControl w:val="0"/>
        <w:jc w:val="center"/>
        <w:rPr>
          <w:sz w:val="20"/>
        </w:rPr>
      </w:pPr>
      <w:r w:rsidRPr="007C6477">
        <w:rPr>
          <w:noProof/>
          <w:lang w:val="en-US" w:eastAsia="en-US"/>
        </w:rPr>
        <w:drawing>
          <wp:inline distT="0" distB="0" distL="0" distR="0" wp14:anchorId="4AD8DCB8" wp14:editId="7C984F03">
            <wp:extent cx="4726031" cy="239077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735794" cy="2395714"/>
                    </a:xfrm>
                    <a:prstGeom prst="rect">
                      <a:avLst/>
                    </a:prstGeom>
                    <a:noFill/>
                    <a:ln>
                      <a:noFill/>
                    </a:ln>
                  </pic:spPr>
                </pic:pic>
              </a:graphicData>
            </a:graphic>
          </wp:inline>
        </w:drawing>
      </w:r>
    </w:p>
    <w:p w:rsidR="0026052C" w:rsidRPr="007C6477" w:rsidRDefault="0026052C" w:rsidP="0026052C">
      <w:pPr>
        <w:widowControl w:val="0"/>
        <w:jc w:val="center"/>
        <w:rPr>
          <w:sz w:val="20"/>
        </w:rPr>
      </w:pPr>
    </w:p>
    <w:p w:rsidR="0026052C" w:rsidRPr="007C6477" w:rsidRDefault="0026052C" w:rsidP="0026052C">
      <w:pPr>
        <w:widowControl w:val="0"/>
        <w:jc w:val="center"/>
        <w:rPr>
          <w:sz w:val="20"/>
        </w:rPr>
      </w:pPr>
    </w:p>
    <w:p w:rsidR="0026052C" w:rsidRPr="007C6477" w:rsidRDefault="0026052C" w:rsidP="0026052C">
      <w:pPr>
        <w:widowControl w:val="0"/>
        <w:spacing w:after="120"/>
        <w:jc w:val="center"/>
        <w:rPr>
          <w:sz w:val="20"/>
        </w:rPr>
      </w:pPr>
      <w:r w:rsidRPr="007C6477">
        <w:rPr>
          <w:sz w:val="20"/>
        </w:rPr>
        <w:t xml:space="preserve">Proyecciones correspondientes a los ingresos del Sistema de </w:t>
      </w:r>
      <w:r w:rsidR="003B0DF0">
        <w:rPr>
          <w:sz w:val="20"/>
        </w:rPr>
        <w:t>La Haya</w:t>
      </w:r>
    </w:p>
    <w:p w:rsidR="0026052C" w:rsidRPr="007C6477" w:rsidRDefault="0026052C" w:rsidP="0026052C">
      <w:pPr>
        <w:widowControl w:val="0"/>
        <w:jc w:val="center"/>
      </w:pPr>
      <w:r w:rsidRPr="007C6477">
        <w:rPr>
          <w:noProof/>
          <w:lang w:val="en-US" w:eastAsia="en-US"/>
        </w:rPr>
        <w:drawing>
          <wp:inline distT="0" distB="0" distL="0" distR="0" wp14:anchorId="7A1C33ED" wp14:editId="27010575">
            <wp:extent cx="3209925" cy="2651377"/>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3210615" cy="2651947"/>
                    </a:xfrm>
                    <a:prstGeom prst="rect">
                      <a:avLst/>
                    </a:prstGeom>
                    <a:noFill/>
                    <a:ln>
                      <a:noFill/>
                    </a:ln>
                  </pic:spPr>
                </pic:pic>
              </a:graphicData>
            </a:graphic>
          </wp:inline>
        </w:drawing>
      </w:r>
    </w:p>
    <w:p w:rsidR="0026052C" w:rsidRPr="007C6477" w:rsidRDefault="0026052C" w:rsidP="0026052C">
      <w:pPr>
        <w:widowControl w:val="0"/>
        <w:jc w:val="center"/>
      </w:pPr>
    </w:p>
    <w:p w:rsidR="0026052C" w:rsidRPr="007C6477" w:rsidRDefault="0026052C" w:rsidP="0026052C">
      <w:pPr>
        <w:widowControl w:val="0"/>
        <w:jc w:val="center"/>
      </w:pPr>
    </w:p>
    <w:p w:rsidR="0026052C" w:rsidRPr="007C6477" w:rsidRDefault="0026052C" w:rsidP="0026052C">
      <w:pPr>
        <w:widowControl w:val="0"/>
        <w:numPr>
          <w:ilvl w:val="0"/>
          <w:numId w:val="52"/>
        </w:numPr>
        <w:tabs>
          <w:tab w:val="left" w:pos="540"/>
        </w:tabs>
        <w:jc w:val="both"/>
        <w:rPr>
          <w:sz w:val="20"/>
        </w:rPr>
      </w:pPr>
      <w:r w:rsidRPr="007C6477">
        <w:rPr>
          <w:sz w:val="20"/>
        </w:rPr>
        <w:t xml:space="preserve">Las estimaciones de ingresos para el período comprendido entre 2015 y 2017, que figuran en el gráfico que se expone a continuación, se basan en el número previsto de registros y renovaciones internacionales.  Cabe señalar que la estimación de los ingresos que se muestra a continuación se basa en el supuesto de que en los próximos años no habrá cambios en la tabla de tasas pagaderas a la Oficina Internacional en virtud del Sistema de </w:t>
      </w:r>
      <w:r w:rsidR="003B0DF0">
        <w:rPr>
          <w:sz w:val="20"/>
        </w:rPr>
        <w:t>La Haya</w:t>
      </w:r>
      <w:r w:rsidRPr="007C6477">
        <w:rPr>
          <w:sz w:val="20"/>
        </w:rPr>
        <w:t>.</w:t>
      </w:r>
    </w:p>
    <w:p w:rsidR="0026052C" w:rsidRPr="007C6477" w:rsidRDefault="0026052C" w:rsidP="0026052C">
      <w:pPr>
        <w:widowControl w:val="0"/>
        <w:tabs>
          <w:tab w:val="left" w:pos="540"/>
        </w:tabs>
        <w:jc w:val="both"/>
        <w:rPr>
          <w:sz w:val="20"/>
        </w:rPr>
      </w:pPr>
    </w:p>
    <w:p w:rsidR="0026052C" w:rsidRPr="007C6477" w:rsidRDefault="0026052C" w:rsidP="0026052C">
      <w:pPr>
        <w:widowControl w:val="0"/>
        <w:jc w:val="center"/>
        <w:rPr>
          <w:sz w:val="20"/>
        </w:rPr>
      </w:pPr>
      <w:r w:rsidRPr="00B37E9B">
        <w:rPr>
          <w:sz w:val="20"/>
        </w:rPr>
        <w:t>Cuadro 1</w:t>
      </w:r>
      <w:r w:rsidR="00BE5784" w:rsidRPr="00B37E9B">
        <w:rPr>
          <w:sz w:val="20"/>
        </w:rPr>
        <w:t>8</w:t>
      </w:r>
      <w:r w:rsidRPr="00B37E9B">
        <w:rPr>
          <w:sz w:val="20"/>
        </w:rPr>
        <w:t>.  Total de ingresos generados por las tasas y tasa promedio</w:t>
      </w:r>
    </w:p>
    <w:p w:rsidR="0026052C" w:rsidRPr="007C6477" w:rsidRDefault="0026052C" w:rsidP="0026052C">
      <w:pPr>
        <w:widowControl w:val="0"/>
        <w:jc w:val="center"/>
        <w:rPr>
          <w:sz w:val="20"/>
        </w:rPr>
      </w:pPr>
    </w:p>
    <w:p w:rsidR="0026052C" w:rsidRPr="007C6477" w:rsidRDefault="00B37E9B" w:rsidP="00B37E9B">
      <w:pPr>
        <w:widowControl w:val="0"/>
        <w:rPr>
          <w:sz w:val="20"/>
        </w:rPr>
      </w:pPr>
      <w:r w:rsidRPr="00B37E9B">
        <w:rPr>
          <w:noProof/>
          <w:lang w:val="en-US" w:eastAsia="en-US"/>
        </w:rPr>
        <w:drawing>
          <wp:inline distT="0" distB="0" distL="0" distR="0" wp14:anchorId="3651B16F" wp14:editId="7710BD65">
            <wp:extent cx="5760085" cy="871412"/>
            <wp:effectExtent l="0" t="0" r="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5760085" cy="871412"/>
                    </a:xfrm>
                    <a:prstGeom prst="rect">
                      <a:avLst/>
                    </a:prstGeom>
                    <a:noFill/>
                    <a:ln>
                      <a:noFill/>
                    </a:ln>
                  </pic:spPr>
                </pic:pic>
              </a:graphicData>
            </a:graphic>
          </wp:inline>
        </w:drawing>
      </w:r>
    </w:p>
    <w:p w:rsidR="0026052C" w:rsidRPr="007C6477" w:rsidRDefault="0026052C" w:rsidP="0026052C">
      <w:pPr>
        <w:widowControl w:val="0"/>
        <w:rPr>
          <w:sz w:val="20"/>
        </w:rPr>
      </w:pPr>
    </w:p>
    <w:p w:rsidR="00CE5677" w:rsidRDefault="00CE5677">
      <w:pPr>
        <w:rPr>
          <w:rFonts w:eastAsia="Times New Roman"/>
          <w:iCs/>
          <w:szCs w:val="22"/>
          <w:lang w:eastAsia="en-US"/>
        </w:rPr>
      </w:pPr>
      <w:r>
        <w:rPr>
          <w:b/>
          <w:caps/>
        </w:rPr>
        <w:br w:type="page"/>
      </w:r>
    </w:p>
    <w:p w:rsidR="00924611" w:rsidRPr="00B50008" w:rsidRDefault="00924611" w:rsidP="003F76B4">
      <w:pPr>
        <w:pStyle w:val="StyleHeading3ComplexItalic"/>
        <w:keepNext w:val="0"/>
        <w:widowControl w:val="0"/>
        <w:tabs>
          <w:tab w:val="clear" w:pos="1985"/>
          <w:tab w:val="left" w:pos="-1843"/>
        </w:tabs>
        <w:ind w:left="1560" w:hanging="1560"/>
        <w:rPr>
          <w:caps w:val="0"/>
          <w:lang w:val="es-ES"/>
        </w:rPr>
      </w:pPr>
      <w:bookmarkStart w:id="100" w:name="_Toc420681174"/>
      <w:r w:rsidRPr="00B50008">
        <w:rPr>
          <w:caps w:val="0"/>
          <w:lang w:val="es-ES"/>
        </w:rPr>
        <w:lastRenderedPageBreak/>
        <w:t>ANEXO V</w:t>
      </w:r>
      <w:r w:rsidRPr="00B50008">
        <w:rPr>
          <w:caps w:val="0"/>
          <w:lang w:val="es-ES"/>
        </w:rPr>
        <w:tab/>
        <w:t>INDICADORES DE LAS OPERACIONES DEL PCT</w:t>
      </w:r>
      <w:bookmarkEnd w:id="100"/>
    </w:p>
    <w:p w:rsidR="00924611" w:rsidRPr="00B50008" w:rsidRDefault="00924611" w:rsidP="00924611">
      <w:pPr>
        <w:widowControl w:val="0"/>
        <w:rPr>
          <w:sz w:val="20"/>
        </w:rPr>
      </w:pPr>
    </w:p>
    <w:p w:rsidR="00924611" w:rsidRPr="00B50008" w:rsidRDefault="00924611" w:rsidP="00924611">
      <w:pPr>
        <w:widowControl w:val="0"/>
        <w:rPr>
          <w:sz w:val="20"/>
        </w:rPr>
      </w:pPr>
    </w:p>
    <w:p w:rsidR="00924611" w:rsidRPr="00B50008" w:rsidRDefault="00924611" w:rsidP="00924611">
      <w:pPr>
        <w:widowControl w:val="0"/>
        <w:rPr>
          <w:sz w:val="20"/>
        </w:rPr>
      </w:pPr>
      <w:r w:rsidRPr="00B50008">
        <w:rPr>
          <w:sz w:val="20"/>
        </w:rPr>
        <w:t>INDICADORES DE RENDIMIENTO CON RESPECTO AL RESULTADO PREVISTO</w:t>
      </w:r>
    </w:p>
    <w:p w:rsidR="00924611" w:rsidRPr="00B50008" w:rsidRDefault="00924611" w:rsidP="00924611">
      <w:pPr>
        <w:widowControl w:val="0"/>
        <w:rPr>
          <w:sz w:val="20"/>
        </w:rPr>
      </w:pPr>
      <w:r w:rsidRPr="00B50008">
        <w:rPr>
          <w:sz w:val="20"/>
        </w:rPr>
        <w:t>“MEJORA DE LA PRODUCTIVIDAD Y DE LA CALIDAD DE LOS SERVICIOS EN LAS OPERACIONES DEL SISTEMA DEL PCT”</w:t>
      </w:r>
    </w:p>
    <w:p w:rsidR="00924611" w:rsidRPr="00B50008" w:rsidRDefault="00924611" w:rsidP="00924611">
      <w:pPr>
        <w:widowControl w:val="0"/>
        <w:rPr>
          <w:bCs/>
          <w:szCs w:val="22"/>
        </w:rPr>
      </w:pPr>
    </w:p>
    <w:p w:rsidR="00924611" w:rsidRPr="00B50008" w:rsidRDefault="00924611" w:rsidP="00924611">
      <w:pPr>
        <w:widowControl w:val="0"/>
        <w:rPr>
          <w:b/>
          <w:sz w:val="20"/>
        </w:rPr>
      </w:pPr>
      <w:r w:rsidRPr="00B50008">
        <w:rPr>
          <w:b/>
          <w:sz w:val="20"/>
        </w:rPr>
        <w:t>Generalidades</w:t>
      </w:r>
    </w:p>
    <w:p w:rsidR="00924611" w:rsidRPr="00B50008" w:rsidRDefault="00924611" w:rsidP="00924611">
      <w:pPr>
        <w:widowControl w:val="0"/>
        <w:rPr>
          <w:b/>
          <w:sz w:val="20"/>
        </w:rPr>
      </w:pPr>
    </w:p>
    <w:p w:rsidR="00924611" w:rsidRPr="00B50008" w:rsidRDefault="00924611" w:rsidP="00924611">
      <w:pPr>
        <w:widowControl w:val="0"/>
        <w:numPr>
          <w:ilvl w:val="0"/>
          <w:numId w:val="55"/>
        </w:numPr>
        <w:rPr>
          <w:sz w:val="20"/>
        </w:rPr>
      </w:pPr>
      <w:r w:rsidRPr="00B50008">
        <w:rPr>
          <w:sz w:val="20"/>
        </w:rPr>
        <w:t>Como referencia de los indicadores de rendimiento en lo que respecta al resultado previsto “Mejora de la productividad y de la calidad de los servicios en las operaciones del Sistema del PCT”, es necesario considerar la evolución de los siguientes factores:</w:t>
      </w:r>
    </w:p>
    <w:p w:rsidR="00924611" w:rsidRPr="00B50008" w:rsidRDefault="00924611" w:rsidP="00924611">
      <w:pPr>
        <w:widowControl w:val="0"/>
        <w:rPr>
          <w:sz w:val="20"/>
        </w:rPr>
      </w:pPr>
    </w:p>
    <w:p w:rsidR="00924611" w:rsidRPr="00B50008" w:rsidRDefault="00924611" w:rsidP="00924611">
      <w:pPr>
        <w:widowControl w:val="0"/>
        <w:numPr>
          <w:ilvl w:val="0"/>
          <w:numId w:val="54"/>
        </w:numPr>
        <w:tabs>
          <w:tab w:val="clear" w:pos="720"/>
          <w:tab w:val="num" w:pos="1100"/>
        </w:tabs>
        <w:spacing w:after="60"/>
        <w:ind w:left="1208" w:hanging="658"/>
        <w:rPr>
          <w:sz w:val="20"/>
        </w:rPr>
      </w:pPr>
      <w:r w:rsidRPr="00B50008">
        <w:rPr>
          <w:sz w:val="20"/>
        </w:rPr>
        <w:t>volúmenes de trabajo del PCT;</w:t>
      </w:r>
    </w:p>
    <w:p w:rsidR="00924611" w:rsidRPr="00B50008" w:rsidRDefault="00924611" w:rsidP="00924611">
      <w:pPr>
        <w:widowControl w:val="0"/>
        <w:numPr>
          <w:ilvl w:val="0"/>
          <w:numId w:val="54"/>
        </w:numPr>
        <w:tabs>
          <w:tab w:val="clear" w:pos="720"/>
          <w:tab w:val="num" w:pos="1100"/>
        </w:tabs>
        <w:spacing w:after="60"/>
        <w:ind w:left="1208" w:hanging="658"/>
        <w:rPr>
          <w:sz w:val="20"/>
        </w:rPr>
      </w:pPr>
      <w:r w:rsidRPr="00B50008">
        <w:rPr>
          <w:sz w:val="20"/>
        </w:rPr>
        <w:t>distribución de idiomas con respecto al volumen de trabajo;</w:t>
      </w:r>
    </w:p>
    <w:p w:rsidR="00924611" w:rsidRPr="00B50008" w:rsidRDefault="00924611" w:rsidP="00924611">
      <w:pPr>
        <w:widowControl w:val="0"/>
        <w:numPr>
          <w:ilvl w:val="0"/>
          <w:numId w:val="54"/>
        </w:numPr>
        <w:tabs>
          <w:tab w:val="clear" w:pos="720"/>
          <w:tab w:val="num" w:pos="1100"/>
        </w:tabs>
        <w:spacing w:after="60"/>
        <w:ind w:left="1208" w:hanging="658"/>
        <w:rPr>
          <w:sz w:val="20"/>
        </w:rPr>
      </w:pPr>
      <w:r w:rsidRPr="00B50008">
        <w:rPr>
          <w:sz w:val="20"/>
        </w:rPr>
        <w:t>personal asignado para gestionar el volumen de trabajo;  y</w:t>
      </w:r>
    </w:p>
    <w:p w:rsidR="00924611" w:rsidRPr="00B50008" w:rsidRDefault="00924611" w:rsidP="00924611">
      <w:pPr>
        <w:widowControl w:val="0"/>
        <w:numPr>
          <w:ilvl w:val="0"/>
          <w:numId w:val="54"/>
        </w:numPr>
        <w:tabs>
          <w:tab w:val="clear" w:pos="720"/>
          <w:tab w:val="num" w:pos="1100"/>
        </w:tabs>
        <w:ind w:left="1210" w:hanging="660"/>
        <w:rPr>
          <w:sz w:val="20"/>
        </w:rPr>
      </w:pPr>
      <w:r w:rsidRPr="00B50008">
        <w:rPr>
          <w:sz w:val="20"/>
        </w:rPr>
        <w:t>nivel de automatización.</w:t>
      </w:r>
    </w:p>
    <w:p w:rsidR="00924611" w:rsidRPr="00B50008" w:rsidRDefault="00924611" w:rsidP="00924611">
      <w:pPr>
        <w:widowControl w:val="0"/>
        <w:tabs>
          <w:tab w:val="num" w:pos="1100"/>
        </w:tabs>
        <w:rPr>
          <w:sz w:val="20"/>
        </w:rPr>
      </w:pPr>
    </w:p>
    <w:p w:rsidR="00924611" w:rsidRPr="00B50008" w:rsidRDefault="00924611" w:rsidP="00924611">
      <w:pPr>
        <w:widowControl w:val="0"/>
        <w:tabs>
          <w:tab w:val="num" w:pos="1100"/>
        </w:tabs>
        <w:rPr>
          <w:sz w:val="20"/>
        </w:rPr>
      </w:pPr>
    </w:p>
    <w:p w:rsidR="00924611" w:rsidRPr="00B50008" w:rsidRDefault="00924611" w:rsidP="00924611">
      <w:pPr>
        <w:widowControl w:val="0"/>
        <w:rPr>
          <w:i/>
          <w:sz w:val="20"/>
        </w:rPr>
      </w:pPr>
      <w:r w:rsidRPr="00B50008">
        <w:rPr>
          <w:i/>
          <w:sz w:val="20"/>
        </w:rPr>
        <w:t>Volúmenes de trabajo</w:t>
      </w:r>
    </w:p>
    <w:p w:rsidR="00924611" w:rsidRPr="00B50008" w:rsidRDefault="00924611" w:rsidP="00924611">
      <w:pPr>
        <w:widowControl w:val="0"/>
        <w:rPr>
          <w:sz w:val="20"/>
        </w:rPr>
      </w:pPr>
    </w:p>
    <w:p w:rsidR="00924611" w:rsidRPr="00B50008" w:rsidRDefault="00924611" w:rsidP="00924611">
      <w:pPr>
        <w:widowControl w:val="0"/>
        <w:numPr>
          <w:ilvl w:val="0"/>
          <w:numId w:val="55"/>
        </w:numPr>
        <w:rPr>
          <w:sz w:val="20"/>
        </w:rPr>
      </w:pPr>
      <w:r w:rsidRPr="00B50008">
        <w:rPr>
          <w:sz w:val="20"/>
        </w:rPr>
        <w:t>La evolución de los volúmenes de trabajo se analiza a partir del número de ejemplares originales que la Oficina Internacional</w:t>
      </w:r>
      <w:r w:rsidRPr="00B50008">
        <w:rPr>
          <w:rStyle w:val="FootnoteReference"/>
          <w:sz w:val="20"/>
        </w:rPr>
        <w:footnoteReference w:id="19"/>
      </w:r>
      <w:r w:rsidRPr="00B50008">
        <w:rPr>
          <w:sz w:val="20"/>
        </w:rPr>
        <w:t xml:space="preserve"> recibe anualmente.</w:t>
      </w:r>
    </w:p>
    <w:p w:rsidR="00924611" w:rsidRPr="00B50008" w:rsidRDefault="00924611" w:rsidP="00924611">
      <w:pPr>
        <w:widowControl w:val="0"/>
        <w:rPr>
          <w:b/>
          <w:bCs/>
          <w:sz w:val="18"/>
          <w:szCs w:val="18"/>
        </w:rPr>
      </w:pPr>
    </w:p>
    <w:p w:rsidR="00924611" w:rsidRPr="00B50008" w:rsidRDefault="00924611" w:rsidP="00924611">
      <w:pPr>
        <w:widowControl w:val="0"/>
        <w:rPr>
          <w:b/>
          <w:bCs/>
          <w:sz w:val="18"/>
          <w:szCs w:val="18"/>
        </w:rPr>
      </w:pPr>
    </w:p>
    <w:p w:rsidR="00924611" w:rsidRPr="00B50008" w:rsidRDefault="00924611" w:rsidP="00924611">
      <w:pPr>
        <w:widowControl w:val="0"/>
        <w:jc w:val="center"/>
        <w:rPr>
          <w:b/>
          <w:bCs/>
          <w:sz w:val="18"/>
          <w:szCs w:val="18"/>
        </w:rPr>
      </w:pPr>
      <w:r w:rsidRPr="00B50008">
        <w:rPr>
          <w:b/>
          <w:bCs/>
          <w:sz w:val="18"/>
          <w:szCs w:val="18"/>
        </w:rPr>
        <w:t>Evolución del número de ejemplares originales por medio de presentación</w:t>
      </w:r>
    </w:p>
    <w:p w:rsidR="00924611" w:rsidRPr="00B50008" w:rsidRDefault="00924611" w:rsidP="00924611">
      <w:pPr>
        <w:widowControl w:val="0"/>
        <w:jc w:val="center"/>
        <w:rPr>
          <w:b/>
          <w:bCs/>
          <w:sz w:val="18"/>
          <w:szCs w:val="18"/>
        </w:rPr>
      </w:pPr>
      <w:r w:rsidRPr="00B50008">
        <w:rPr>
          <w:b/>
          <w:bCs/>
          <w:noProof/>
          <w:sz w:val="18"/>
          <w:szCs w:val="18"/>
          <w:lang w:val="en-US" w:eastAsia="en-US"/>
        </w:rPr>
        <w:drawing>
          <wp:inline distT="0" distB="0" distL="0" distR="0" wp14:anchorId="4383962E" wp14:editId="2A2534FC">
            <wp:extent cx="5745480" cy="2398395"/>
            <wp:effectExtent l="0" t="0" r="7620" b="1905"/>
            <wp:docPr id="1041"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745480" cy="2398395"/>
                    </a:xfrm>
                    <a:prstGeom prst="rect">
                      <a:avLst/>
                    </a:prstGeom>
                    <a:noFill/>
                    <a:ln>
                      <a:noFill/>
                    </a:ln>
                  </pic:spPr>
                </pic:pic>
              </a:graphicData>
            </a:graphic>
          </wp:inline>
        </w:drawing>
      </w:r>
    </w:p>
    <w:p w:rsidR="00924611" w:rsidRPr="00B50008" w:rsidRDefault="00924611" w:rsidP="00924611">
      <w:pPr>
        <w:widowControl w:val="0"/>
        <w:jc w:val="center"/>
        <w:rPr>
          <w:b/>
          <w:bCs/>
          <w:sz w:val="18"/>
          <w:szCs w:val="18"/>
        </w:rPr>
      </w:pPr>
    </w:p>
    <w:p w:rsidR="00924611" w:rsidRPr="00B50008" w:rsidRDefault="00924611" w:rsidP="00924611">
      <w:pPr>
        <w:pStyle w:val="BodyText2"/>
        <w:widowControl w:val="0"/>
        <w:numPr>
          <w:ilvl w:val="0"/>
          <w:numId w:val="56"/>
        </w:numPr>
        <w:tabs>
          <w:tab w:val="clear" w:pos="720"/>
          <w:tab w:val="num" w:pos="1134"/>
        </w:tabs>
        <w:spacing w:after="60" w:line="240" w:lineRule="auto"/>
        <w:ind w:left="1134" w:hanging="567"/>
        <w:jc w:val="both"/>
        <w:rPr>
          <w:rFonts w:ascii="Arial" w:hAnsi="Arial" w:cs="Arial"/>
          <w:sz w:val="20"/>
          <w:szCs w:val="20"/>
          <w:lang w:val="es-ES"/>
        </w:rPr>
      </w:pPr>
      <w:r w:rsidRPr="00B50008">
        <w:rPr>
          <w:rFonts w:ascii="Arial" w:hAnsi="Arial" w:cs="Arial"/>
          <w:sz w:val="20"/>
          <w:szCs w:val="20"/>
          <w:highlight w:val="white"/>
          <w:lang w:val="es-ES"/>
        </w:rPr>
        <w:t>La Oficina Internacional recibió aproximadamente</w:t>
      </w:r>
      <w:r w:rsidRPr="00B50008">
        <w:rPr>
          <w:rFonts w:ascii="Arial" w:hAnsi="Arial" w:cs="Arial"/>
          <w:sz w:val="20"/>
          <w:szCs w:val="20"/>
          <w:lang w:val="es-ES"/>
        </w:rPr>
        <w:t xml:space="preserve"> 217.700 ejemplares originales</w:t>
      </w:r>
      <w:r w:rsidRPr="00B50008">
        <w:rPr>
          <w:rFonts w:ascii="Arial" w:hAnsi="Arial" w:cs="Arial"/>
          <w:sz w:val="20"/>
          <w:szCs w:val="20"/>
          <w:highlight w:val="white"/>
          <w:lang w:val="es-ES"/>
        </w:rPr>
        <w:t xml:space="preserve"> en</w:t>
      </w:r>
      <w:r w:rsidRPr="00B50008">
        <w:rPr>
          <w:rFonts w:ascii="Arial" w:hAnsi="Arial" w:cs="Arial"/>
          <w:sz w:val="20"/>
          <w:szCs w:val="20"/>
          <w:lang w:val="es-ES"/>
        </w:rPr>
        <w:t xml:space="preserve"> 2014, </w:t>
      </w:r>
      <w:r w:rsidRPr="00B50008">
        <w:rPr>
          <w:rFonts w:ascii="Arial" w:hAnsi="Arial" w:cs="Arial"/>
          <w:sz w:val="20"/>
          <w:szCs w:val="20"/>
          <w:highlight w:val="white"/>
          <w:lang w:val="es-ES"/>
        </w:rPr>
        <w:t>lo que representa un aumento del</w:t>
      </w:r>
      <w:r w:rsidRPr="00B50008">
        <w:rPr>
          <w:rFonts w:ascii="Arial" w:hAnsi="Arial" w:cs="Arial"/>
          <w:sz w:val="20"/>
          <w:szCs w:val="20"/>
          <w:lang w:val="es-ES"/>
        </w:rPr>
        <w:t> </w:t>
      </w:r>
      <w:r w:rsidRPr="00B50008">
        <w:rPr>
          <w:rFonts w:ascii="Arial" w:hAnsi="Arial" w:cs="Arial"/>
          <w:sz w:val="20"/>
          <w:szCs w:val="20"/>
          <w:highlight w:val="white"/>
          <w:lang w:val="es-ES"/>
        </w:rPr>
        <w:t>7%</w:t>
      </w:r>
      <w:r w:rsidRPr="00B50008">
        <w:rPr>
          <w:rFonts w:ascii="Arial" w:hAnsi="Arial" w:cs="Arial"/>
          <w:sz w:val="20"/>
          <w:szCs w:val="20"/>
          <w:lang w:val="es-ES"/>
        </w:rPr>
        <w:t xml:space="preserve"> con respecto a 2013.</w:t>
      </w:r>
    </w:p>
    <w:p w:rsidR="00924611" w:rsidRPr="00B50008" w:rsidRDefault="00924611" w:rsidP="00924611">
      <w:pPr>
        <w:pStyle w:val="BodyText2"/>
        <w:widowControl w:val="0"/>
        <w:numPr>
          <w:ilvl w:val="0"/>
          <w:numId w:val="56"/>
        </w:numPr>
        <w:tabs>
          <w:tab w:val="clear" w:pos="720"/>
          <w:tab w:val="num" w:pos="1134"/>
        </w:tabs>
        <w:spacing w:after="60" w:line="240" w:lineRule="auto"/>
        <w:ind w:left="1134" w:hanging="567"/>
        <w:jc w:val="both"/>
        <w:rPr>
          <w:rFonts w:ascii="Arial" w:hAnsi="Arial" w:cs="Arial"/>
          <w:sz w:val="20"/>
          <w:szCs w:val="20"/>
          <w:lang w:val="es-ES"/>
        </w:rPr>
      </w:pPr>
      <w:r w:rsidRPr="00B50008">
        <w:rPr>
          <w:rFonts w:ascii="Arial" w:hAnsi="Arial" w:cs="Arial"/>
          <w:sz w:val="20"/>
          <w:szCs w:val="20"/>
          <w:lang w:val="es-ES"/>
        </w:rPr>
        <w:t>En 2014 siguió aumentando el porcentaje de solicitudes presentadas enteramente por medios electrónicos, que actualmente constituye el 91% de todas las solicitudes que se presentan.</w:t>
      </w:r>
    </w:p>
    <w:p w:rsidR="00924611" w:rsidRPr="00B50008" w:rsidRDefault="00924611" w:rsidP="00727FF6">
      <w:pPr>
        <w:pStyle w:val="BodyText2"/>
        <w:keepNext/>
        <w:keepLines/>
        <w:widowControl w:val="0"/>
        <w:spacing w:after="0" w:line="240" w:lineRule="auto"/>
        <w:rPr>
          <w:rFonts w:ascii="Arial" w:hAnsi="Arial" w:cs="Arial"/>
          <w:i/>
          <w:sz w:val="20"/>
          <w:szCs w:val="20"/>
          <w:lang w:val="es-ES"/>
        </w:rPr>
      </w:pPr>
      <w:r w:rsidRPr="00B50008">
        <w:rPr>
          <w:rFonts w:ascii="Arial" w:hAnsi="Arial" w:cs="Arial"/>
          <w:i/>
          <w:sz w:val="20"/>
          <w:szCs w:val="20"/>
          <w:lang w:val="es-ES"/>
        </w:rPr>
        <w:lastRenderedPageBreak/>
        <w:t>Distribución de idiomas</w:t>
      </w:r>
    </w:p>
    <w:p w:rsidR="00924611" w:rsidRPr="00B50008" w:rsidRDefault="00924611" w:rsidP="00727FF6">
      <w:pPr>
        <w:pStyle w:val="BodyText2"/>
        <w:keepNext/>
        <w:keepLines/>
        <w:widowControl w:val="0"/>
        <w:spacing w:after="0" w:line="240" w:lineRule="auto"/>
        <w:rPr>
          <w:rFonts w:ascii="Arial" w:hAnsi="Arial" w:cs="Arial"/>
          <w:sz w:val="20"/>
          <w:szCs w:val="20"/>
          <w:lang w:val="es-ES"/>
        </w:rPr>
      </w:pPr>
    </w:p>
    <w:p w:rsidR="00924611" w:rsidRPr="00B50008" w:rsidRDefault="00924611" w:rsidP="00727FF6">
      <w:pPr>
        <w:keepNext/>
        <w:keepLines/>
        <w:widowControl w:val="0"/>
        <w:numPr>
          <w:ilvl w:val="0"/>
          <w:numId w:val="55"/>
        </w:numPr>
        <w:rPr>
          <w:sz w:val="20"/>
        </w:rPr>
      </w:pPr>
      <w:r w:rsidRPr="00B50008">
        <w:rPr>
          <w:sz w:val="20"/>
        </w:rPr>
        <w:t>Uno de los factores fundamentales del cambio en el funcionamiento de la Oficina Internacional es la creciente diversidad lingüística de las solicitudes presentadas, que es consecuencia, principalmente, del aumento continuo en el uso del Sistema del PCT en los países de Asia oriental.</w:t>
      </w:r>
    </w:p>
    <w:p w:rsidR="00924611" w:rsidRPr="00B50008" w:rsidRDefault="00924611" w:rsidP="00727FF6">
      <w:pPr>
        <w:keepNext/>
        <w:keepLines/>
        <w:widowControl w:val="0"/>
        <w:jc w:val="both"/>
        <w:rPr>
          <w:highlight w:val="yellow"/>
        </w:rPr>
      </w:pPr>
    </w:p>
    <w:p w:rsidR="00924611" w:rsidRPr="005D7081" w:rsidRDefault="00924611" w:rsidP="00924611">
      <w:pPr>
        <w:widowControl w:val="0"/>
        <w:spacing w:after="120"/>
        <w:jc w:val="center"/>
        <w:rPr>
          <w:i/>
          <w:sz w:val="20"/>
        </w:rPr>
      </w:pPr>
      <w:r w:rsidRPr="005D7081">
        <w:rPr>
          <w:b/>
          <w:bCs/>
          <w:sz w:val="20"/>
          <w:highlight w:val="white"/>
        </w:rPr>
        <w:t>Idiomas de presentación</w:t>
      </w:r>
      <w:r w:rsidRPr="005D7081">
        <w:rPr>
          <w:sz w:val="20"/>
        </w:rPr>
        <w:t xml:space="preserve"> </w:t>
      </w:r>
      <w:r w:rsidRPr="005D7081">
        <w:rPr>
          <w:i/>
          <w:sz w:val="20"/>
        </w:rPr>
        <w:t>(todos)</w:t>
      </w:r>
    </w:p>
    <w:p w:rsidR="00924611" w:rsidRPr="00B50008" w:rsidRDefault="00924611" w:rsidP="00924611">
      <w:pPr>
        <w:widowControl w:val="0"/>
        <w:spacing w:after="120"/>
        <w:jc w:val="center"/>
        <w:rPr>
          <w:i/>
          <w:sz w:val="18"/>
          <w:szCs w:val="18"/>
        </w:rPr>
      </w:pPr>
      <w:r w:rsidRPr="00B50008">
        <w:rPr>
          <w:i/>
          <w:noProof/>
          <w:sz w:val="18"/>
          <w:szCs w:val="18"/>
          <w:lang w:val="en-US" w:eastAsia="en-US"/>
        </w:rPr>
        <w:drawing>
          <wp:inline distT="0" distB="0" distL="0" distR="0" wp14:anchorId="706E6BF4" wp14:editId="5730699F">
            <wp:extent cx="5736590" cy="2777490"/>
            <wp:effectExtent l="0" t="0" r="0" b="3810"/>
            <wp:docPr id="1042"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736590" cy="2777490"/>
                    </a:xfrm>
                    <a:prstGeom prst="rect">
                      <a:avLst/>
                    </a:prstGeom>
                    <a:noFill/>
                    <a:ln>
                      <a:noFill/>
                    </a:ln>
                  </pic:spPr>
                </pic:pic>
              </a:graphicData>
            </a:graphic>
          </wp:inline>
        </w:drawing>
      </w:r>
    </w:p>
    <w:p w:rsidR="00924611" w:rsidRPr="00B50008" w:rsidRDefault="00924611" w:rsidP="00924611">
      <w:pPr>
        <w:widowControl w:val="0"/>
        <w:spacing w:after="120"/>
        <w:jc w:val="center"/>
        <w:rPr>
          <w:i/>
          <w:sz w:val="18"/>
          <w:szCs w:val="18"/>
        </w:rPr>
      </w:pPr>
    </w:p>
    <w:p w:rsidR="00924611" w:rsidRPr="00B50008" w:rsidRDefault="00924611" w:rsidP="00924611">
      <w:pPr>
        <w:widowControl w:val="0"/>
        <w:numPr>
          <w:ilvl w:val="0"/>
          <w:numId w:val="55"/>
        </w:numPr>
        <w:rPr>
          <w:sz w:val="20"/>
        </w:rPr>
      </w:pPr>
      <w:r w:rsidRPr="00B50008">
        <w:rPr>
          <w:sz w:val="20"/>
        </w:rPr>
        <w:t>Como puede observarse en el gráfico</w:t>
      </w:r>
      <w:r w:rsidRPr="00B50008">
        <w:rPr>
          <w:sz w:val="20"/>
          <w:highlight w:val="white"/>
        </w:rPr>
        <w:t>, si bien en</w:t>
      </w:r>
      <w:r w:rsidRPr="00B50008">
        <w:rPr>
          <w:sz w:val="20"/>
        </w:rPr>
        <w:t xml:space="preserve"> 2014 </w:t>
      </w:r>
      <w:r w:rsidRPr="00B50008">
        <w:rPr>
          <w:sz w:val="20"/>
          <w:highlight w:val="white"/>
        </w:rPr>
        <w:t xml:space="preserve">la mayoría de las solicitudes se presentó en inglés, a saber, el </w:t>
      </w:r>
      <w:r w:rsidRPr="00B50008">
        <w:rPr>
          <w:sz w:val="20"/>
        </w:rPr>
        <w:t xml:space="preserve">51,6%, en el último decenio aumentó la proporción de idiomas asiáticos.  El porcentaje combinado de solicitudes PCT presentadas en chino, coreano y japonés ha aumentado, pasando del </w:t>
      </w:r>
      <w:r w:rsidRPr="00B50008">
        <w:rPr>
          <w:sz w:val="20"/>
          <w:highlight w:val="white"/>
        </w:rPr>
        <w:t>29,5%</w:t>
      </w:r>
      <w:r w:rsidRPr="00B50008">
        <w:rPr>
          <w:sz w:val="20"/>
        </w:rPr>
        <w:t xml:space="preserve"> e</w:t>
      </w:r>
      <w:r w:rsidRPr="00B50008">
        <w:rPr>
          <w:sz w:val="20"/>
          <w:highlight w:val="white"/>
        </w:rPr>
        <w:t>n 2009 al</w:t>
      </w:r>
      <w:r w:rsidRPr="00B50008">
        <w:rPr>
          <w:sz w:val="20"/>
        </w:rPr>
        <w:t xml:space="preserve"> 34,5%</w:t>
      </w:r>
      <w:r w:rsidRPr="00B50008">
        <w:rPr>
          <w:sz w:val="20"/>
          <w:highlight w:val="white"/>
        </w:rPr>
        <w:t xml:space="preserve"> en 2012</w:t>
      </w:r>
      <w:r w:rsidRPr="00B50008">
        <w:rPr>
          <w:sz w:val="20"/>
        </w:rPr>
        <w:t xml:space="preserve">.  Ese porcentaje se ha mantenido estable entre </w:t>
      </w:r>
      <w:r w:rsidRPr="00B50008">
        <w:rPr>
          <w:sz w:val="20"/>
          <w:highlight w:val="white"/>
        </w:rPr>
        <w:t>2012 y 2014</w:t>
      </w:r>
      <w:r w:rsidRPr="00B50008">
        <w:rPr>
          <w:sz w:val="20"/>
        </w:rPr>
        <w:t>.  En el siguiente gráfico se presenta la evolución de idiomas distintos al inglés en la presentación de solicitudes:</w:t>
      </w:r>
    </w:p>
    <w:p w:rsidR="00924611" w:rsidRPr="00B50008" w:rsidRDefault="00924611" w:rsidP="00924611">
      <w:pPr>
        <w:widowControl w:val="0"/>
        <w:spacing w:after="120"/>
        <w:rPr>
          <w:sz w:val="18"/>
          <w:szCs w:val="18"/>
        </w:rPr>
      </w:pPr>
    </w:p>
    <w:p w:rsidR="00924611" w:rsidRPr="005D7081" w:rsidRDefault="00924611" w:rsidP="00924611">
      <w:pPr>
        <w:widowControl w:val="0"/>
        <w:spacing w:after="120"/>
        <w:jc w:val="center"/>
        <w:rPr>
          <w:sz w:val="20"/>
        </w:rPr>
      </w:pPr>
      <w:r w:rsidRPr="005D7081">
        <w:rPr>
          <w:b/>
          <w:bCs/>
          <w:sz w:val="20"/>
          <w:highlight w:val="white"/>
        </w:rPr>
        <w:t>Idiomas de presentación</w:t>
      </w:r>
      <w:r w:rsidRPr="005D7081">
        <w:rPr>
          <w:b/>
          <w:bCs/>
          <w:sz w:val="20"/>
        </w:rPr>
        <w:t xml:space="preserve"> </w:t>
      </w:r>
      <w:r w:rsidRPr="005D7081">
        <w:rPr>
          <w:sz w:val="20"/>
        </w:rPr>
        <w:t>(</w:t>
      </w:r>
      <w:r w:rsidRPr="005D7081">
        <w:rPr>
          <w:i/>
          <w:sz w:val="20"/>
        </w:rPr>
        <w:t>todos excepto el inglés</w:t>
      </w:r>
      <w:r w:rsidRPr="005D7081">
        <w:rPr>
          <w:sz w:val="20"/>
        </w:rPr>
        <w:t>)</w:t>
      </w:r>
    </w:p>
    <w:p w:rsidR="00924611" w:rsidRPr="00B50008" w:rsidRDefault="00924611" w:rsidP="00924611">
      <w:pPr>
        <w:widowControl w:val="0"/>
        <w:spacing w:after="120"/>
        <w:jc w:val="center"/>
        <w:rPr>
          <w:sz w:val="20"/>
        </w:rPr>
      </w:pPr>
      <w:r w:rsidRPr="00B50008">
        <w:rPr>
          <w:noProof/>
          <w:lang w:val="en-US" w:eastAsia="en-US"/>
        </w:rPr>
        <w:drawing>
          <wp:inline distT="0" distB="0" distL="0" distR="0" wp14:anchorId="7750EDDF" wp14:editId="76C2808A">
            <wp:extent cx="5746115" cy="3172823"/>
            <wp:effectExtent l="0" t="0" r="0" b="0"/>
            <wp:docPr id="104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746115" cy="3172823"/>
                    </a:xfrm>
                    <a:prstGeom prst="rect">
                      <a:avLst/>
                    </a:prstGeom>
                    <a:noFill/>
                    <a:ln>
                      <a:noFill/>
                    </a:ln>
                  </pic:spPr>
                </pic:pic>
              </a:graphicData>
            </a:graphic>
          </wp:inline>
        </w:drawing>
      </w:r>
    </w:p>
    <w:p w:rsidR="00924611" w:rsidRPr="00B50008" w:rsidRDefault="00924611" w:rsidP="00EE73F4">
      <w:pPr>
        <w:keepLines/>
        <w:widowControl w:val="0"/>
        <w:numPr>
          <w:ilvl w:val="0"/>
          <w:numId w:val="55"/>
        </w:numPr>
        <w:rPr>
          <w:sz w:val="20"/>
        </w:rPr>
      </w:pPr>
      <w:r w:rsidRPr="00B50008">
        <w:rPr>
          <w:sz w:val="20"/>
          <w:highlight w:val="white"/>
        </w:rPr>
        <w:lastRenderedPageBreak/>
        <w:t xml:space="preserve">El marcado aumento de las solicitudes presentadas en idiomas asiáticos en los últimos cinco años ha supuesto </w:t>
      </w:r>
      <w:r w:rsidRPr="00B50008">
        <w:rPr>
          <w:sz w:val="20"/>
        </w:rPr>
        <w:t>una carga de trabajo considerable para la Oficina Internacional</w:t>
      </w:r>
      <w:r w:rsidRPr="00B50008">
        <w:rPr>
          <w:sz w:val="20"/>
          <w:highlight w:val="white"/>
        </w:rPr>
        <w:t xml:space="preserve"> debido al número limitado de recursos de personal disponibles para trabajar en esos idiomas</w:t>
      </w:r>
      <w:r w:rsidRPr="00B50008">
        <w:rPr>
          <w:sz w:val="20"/>
        </w:rPr>
        <w:t>.  La solución a ese problema está dada por la automatización de determinadas tareas y la contratación de personal que pueda trabajar en dichos idiomas.</w:t>
      </w:r>
    </w:p>
    <w:p w:rsidR="00924611" w:rsidRPr="00B50008" w:rsidRDefault="00924611" w:rsidP="00924611">
      <w:pPr>
        <w:widowControl w:val="0"/>
        <w:spacing w:after="120"/>
        <w:rPr>
          <w:i/>
          <w:sz w:val="20"/>
        </w:rPr>
      </w:pPr>
    </w:p>
    <w:p w:rsidR="00924611" w:rsidRPr="00B50008" w:rsidRDefault="00924611" w:rsidP="00924611">
      <w:pPr>
        <w:widowControl w:val="0"/>
        <w:spacing w:after="120"/>
        <w:rPr>
          <w:i/>
          <w:sz w:val="20"/>
        </w:rPr>
      </w:pPr>
      <w:r w:rsidRPr="00B50008">
        <w:rPr>
          <w:i/>
          <w:sz w:val="20"/>
        </w:rPr>
        <w:t>Personal</w:t>
      </w:r>
    </w:p>
    <w:p w:rsidR="00924611" w:rsidRPr="00B50008" w:rsidRDefault="00924611" w:rsidP="00924611">
      <w:pPr>
        <w:widowControl w:val="0"/>
        <w:numPr>
          <w:ilvl w:val="0"/>
          <w:numId w:val="55"/>
        </w:numPr>
        <w:rPr>
          <w:sz w:val="20"/>
        </w:rPr>
      </w:pPr>
      <w:r w:rsidRPr="00B50008">
        <w:rPr>
          <w:sz w:val="20"/>
        </w:rPr>
        <w:t>El siguiente gráfico muestra el número de miembros del personal encargados de las operaciones del PCT desde 2001, expresado en equivalente de puestos a jornada completa (número de miembros del personal a jornada completa más el equivalente de puestos a jornada completa de miembros del personal a jornada parcial).</w:t>
      </w:r>
    </w:p>
    <w:p w:rsidR="00924611" w:rsidRPr="00B50008" w:rsidRDefault="00924611" w:rsidP="00924611">
      <w:pPr>
        <w:widowControl w:val="0"/>
        <w:rPr>
          <w:sz w:val="20"/>
        </w:rPr>
      </w:pPr>
      <w:r w:rsidRPr="00B50008">
        <w:rPr>
          <w:noProof/>
          <w:lang w:val="en-US" w:eastAsia="en-US"/>
        </w:rPr>
        <w:drawing>
          <wp:inline distT="0" distB="0" distL="0" distR="0" wp14:anchorId="1ECA29FE" wp14:editId="4CB9B27D">
            <wp:extent cx="5746115" cy="3637232"/>
            <wp:effectExtent l="0" t="0" r="6985" b="0"/>
            <wp:docPr id="1044"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5746115" cy="3637232"/>
                    </a:xfrm>
                    <a:prstGeom prst="rect">
                      <a:avLst/>
                    </a:prstGeom>
                    <a:noFill/>
                    <a:ln>
                      <a:noFill/>
                    </a:ln>
                  </pic:spPr>
                </pic:pic>
              </a:graphicData>
            </a:graphic>
          </wp:inline>
        </w:drawing>
      </w:r>
    </w:p>
    <w:p w:rsidR="00924611" w:rsidRPr="00B50008" w:rsidRDefault="00924611" w:rsidP="00924611">
      <w:pPr>
        <w:widowControl w:val="0"/>
        <w:numPr>
          <w:ilvl w:val="0"/>
          <w:numId w:val="53"/>
        </w:numPr>
        <w:tabs>
          <w:tab w:val="clear" w:pos="720"/>
          <w:tab w:val="num" w:pos="1100"/>
        </w:tabs>
        <w:ind w:left="1100" w:hanging="550"/>
        <w:rPr>
          <w:sz w:val="20"/>
        </w:rPr>
      </w:pPr>
      <w:r w:rsidRPr="00B50008">
        <w:rPr>
          <w:sz w:val="20"/>
          <w:highlight w:val="white"/>
        </w:rPr>
        <w:t>El número de miembros del personal de la División de Operaciones del PCT siguió disminuyendo en 2014</w:t>
      </w:r>
      <w:r w:rsidRPr="00B50008">
        <w:rPr>
          <w:sz w:val="20"/>
        </w:rPr>
        <w:t>.</w:t>
      </w:r>
    </w:p>
    <w:p w:rsidR="00924611" w:rsidRPr="00B50008" w:rsidRDefault="00924611" w:rsidP="00924611">
      <w:pPr>
        <w:widowControl w:val="0"/>
        <w:spacing w:after="120"/>
        <w:rPr>
          <w:sz w:val="20"/>
          <w:u w:val="single"/>
        </w:rPr>
      </w:pPr>
    </w:p>
    <w:p w:rsidR="00924611" w:rsidRPr="00B50008" w:rsidRDefault="00924611" w:rsidP="00924611">
      <w:pPr>
        <w:widowControl w:val="0"/>
        <w:rPr>
          <w:i/>
          <w:sz w:val="20"/>
        </w:rPr>
      </w:pPr>
      <w:r w:rsidRPr="00B50008">
        <w:rPr>
          <w:i/>
          <w:sz w:val="20"/>
        </w:rPr>
        <w:t>Costo unitario de tramitación de las solicitudes</w:t>
      </w:r>
    </w:p>
    <w:p w:rsidR="00924611" w:rsidRPr="00B50008" w:rsidRDefault="00924611" w:rsidP="00924611">
      <w:pPr>
        <w:widowControl w:val="0"/>
        <w:rPr>
          <w:sz w:val="20"/>
        </w:rPr>
      </w:pPr>
    </w:p>
    <w:p w:rsidR="00924611" w:rsidRPr="00B50008" w:rsidRDefault="00924611" w:rsidP="00924611">
      <w:pPr>
        <w:widowControl w:val="0"/>
        <w:numPr>
          <w:ilvl w:val="0"/>
          <w:numId w:val="55"/>
        </w:numPr>
        <w:rPr>
          <w:sz w:val="20"/>
        </w:rPr>
      </w:pPr>
      <w:r w:rsidRPr="00B50008">
        <w:rPr>
          <w:sz w:val="20"/>
        </w:rPr>
        <w:t>La productividad de la Oficina Internacional en cuanto a la tramitación de las solicitudes PCT puede medirse por el costo unitario de tramitación, definido como el costo medio total de publicación de una solicitud PCT.  El costo medio total se determina sumando el gasto total directo del Sistema del PCT</w:t>
      </w:r>
      <w:r w:rsidRPr="00B50008">
        <w:rPr>
          <w:sz w:val="20"/>
          <w:highlight w:val="white"/>
        </w:rPr>
        <w:t xml:space="preserve"> </w:t>
      </w:r>
      <w:r w:rsidRPr="00B50008">
        <w:rPr>
          <w:sz w:val="20"/>
        </w:rPr>
        <w:t xml:space="preserve">(gasto en que ha incurrido la Oficina Internacional por la administración del Sistema PCT y programas conexos) a una proporción de gasto </w:t>
      </w:r>
      <w:r w:rsidRPr="00B50008">
        <w:rPr>
          <w:sz w:val="20"/>
          <w:highlight w:val="white"/>
        </w:rPr>
        <w:t>indirecto en concepto de actividades de apoyo y gestión</w:t>
      </w:r>
      <w:r w:rsidRPr="00B50008">
        <w:rPr>
          <w:sz w:val="20"/>
        </w:rPr>
        <w:t xml:space="preserve"> (por ejemplo</w:t>
      </w:r>
      <w:r w:rsidRPr="00B50008">
        <w:rPr>
          <w:sz w:val="20"/>
          <w:highlight w:val="white"/>
        </w:rPr>
        <w:t xml:space="preserve">, </w:t>
      </w:r>
      <w:r w:rsidRPr="00B50008">
        <w:rPr>
          <w:sz w:val="20"/>
        </w:rPr>
        <w:t>edificios y tecnología de la información, entre otros).  Los costos indirectos se ponderan para tener en cuenta únicamente la proporción imputable al Sistema del PCT.  Por lo tanto, el costo unitario abarca el costo de todas las actividades del PCT, incluidas la traducción, la comunicación, la gestión y otras.</w:t>
      </w:r>
    </w:p>
    <w:p w:rsidR="00924611" w:rsidRPr="00B50008" w:rsidRDefault="00924611" w:rsidP="00924611">
      <w:pPr>
        <w:widowControl w:val="0"/>
        <w:jc w:val="both"/>
        <w:rPr>
          <w:sz w:val="20"/>
        </w:rPr>
      </w:pPr>
    </w:p>
    <w:p w:rsidR="00924611" w:rsidRPr="00B50008" w:rsidRDefault="00924611" w:rsidP="00924611">
      <w:pPr>
        <w:widowControl w:val="0"/>
        <w:numPr>
          <w:ilvl w:val="0"/>
          <w:numId w:val="55"/>
        </w:numPr>
        <w:rPr>
          <w:sz w:val="20"/>
        </w:rPr>
      </w:pPr>
      <w:r w:rsidRPr="00B50008">
        <w:rPr>
          <w:sz w:val="20"/>
        </w:rPr>
        <w:t xml:space="preserve">El método para calcular el costo unitario fue revisado en 2013 para ponerlo en sintonía con los cálculos de costos relativos a otras unidades/uniones de la OMPI y para tener mejor en cuenta un entorno en rápida evolución.  </w:t>
      </w:r>
      <w:r w:rsidRPr="00B50008">
        <w:rPr>
          <w:sz w:val="20"/>
          <w:highlight w:val="white"/>
        </w:rPr>
        <w:t xml:space="preserve">Por ejemplo, </w:t>
      </w:r>
      <w:r w:rsidRPr="00B50008">
        <w:rPr>
          <w:sz w:val="20"/>
        </w:rPr>
        <w:t>conforme al método antiguo, concebido en 2007, se tenía en cuenta un costo de almacenamiento (por más de 30 años) en depósitos;  sin embargo, la presentación en papel (incluidas las presentaciones de solicitudes mediante el sistema PCT EASY) representó menos del 10% de las solicitudes presentadas en 2013.  El costo unitario de 2012 fue calculado con arreglo a ambos métodos.  Dicho costo fue de 680 francos suizos conforme al método antiguo y de 712 francos suizos conforme al nuevo método.  La diferencia de 32 francos suizos se debe al nuevo método de atribución de los costos indirectos.</w:t>
      </w:r>
    </w:p>
    <w:p w:rsidR="00924611" w:rsidRPr="00B50008" w:rsidRDefault="00924611" w:rsidP="00924611">
      <w:pPr>
        <w:widowControl w:val="0"/>
        <w:jc w:val="both"/>
        <w:rPr>
          <w:sz w:val="20"/>
        </w:rPr>
      </w:pPr>
    </w:p>
    <w:p w:rsidR="00924611" w:rsidRPr="00B50008" w:rsidRDefault="00924611" w:rsidP="00924611">
      <w:pPr>
        <w:widowControl w:val="0"/>
        <w:numPr>
          <w:ilvl w:val="0"/>
          <w:numId w:val="55"/>
        </w:numPr>
        <w:rPr>
          <w:sz w:val="20"/>
        </w:rPr>
      </w:pPr>
      <w:r w:rsidRPr="00B50008">
        <w:rPr>
          <w:sz w:val="20"/>
        </w:rPr>
        <w:t>Formalmente, el costo unitario se define de la siguiente manera:</w:t>
      </w:r>
    </w:p>
    <w:p w:rsidR="00924611" w:rsidRPr="00B50008" w:rsidRDefault="00924611" w:rsidP="00924611">
      <w:pPr>
        <w:widowControl w:val="0"/>
        <w:rPr>
          <w:sz w:val="20"/>
        </w:rPr>
      </w:pPr>
    </w:p>
    <w:p w:rsidR="00924611" w:rsidRPr="00B50008" w:rsidRDefault="00924611" w:rsidP="00924611">
      <w:pPr>
        <w:widowControl w:val="0"/>
        <w:jc w:val="center"/>
        <w:rPr>
          <w:sz w:val="20"/>
        </w:rPr>
      </w:pPr>
      <w:r w:rsidRPr="00B50008">
        <w:rPr>
          <w:noProof/>
          <w:lang w:val="en-US" w:eastAsia="en-US"/>
        </w:rPr>
        <w:drawing>
          <wp:inline distT="0" distB="0" distL="0" distR="0" wp14:anchorId="0B014E9D" wp14:editId="4C319169">
            <wp:extent cx="2484120" cy="344805"/>
            <wp:effectExtent l="0" t="0" r="0" b="0"/>
            <wp:docPr id="104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484120" cy="344805"/>
                    </a:xfrm>
                    <a:prstGeom prst="rect">
                      <a:avLst/>
                    </a:prstGeom>
                    <a:noFill/>
                    <a:ln>
                      <a:noFill/>
                    </a:ln>
                  </pic:spPr>
                </pic:pic>
              </a:graphicData>
            </a:graphic>
          </wp:inline>
        </w:drawing>
      </w:r>
    </w:p>
    <w:p w:rsidR="00924611" w:rsidRPr="00B50008" w:rsidRDefault="00924611" w:rsidP="00924611">
      <w:pPr>
        <w:widowControl w:val="0"/>
        <w:rPr>
          <w:sz w:val="20"/>
          <w:highlight w:val="yellow"/>
        </w:rPr>
      </w:pPr>
    </w:p>
    <w:p w:rsidR="00924611" w:rsidRPr="00B50008" w:rsidRDefault="00924611" w:rsidP="00924611">
      <w:pPr>
        <w:widowControl w:val="0"/>
        <w:numPr>
          <w:ilvl w:val="0"/>
          <w:numId w:val="55"/>
        </w:numPr>
        <w:rPr>
          <w:sz w:val="20"/>
        </w:rPr>
      </w:pPr>
      <w:r w:rsidRPr="00B50008">
        <w:rPr>
          <w:sz w:val="20"/>
        </w:rPr>
        <w:t>En los gráficos que figuran a continuación se ilustra la evolución del costo unitario de tramitación desde 2004 hasta 2012, utilizando el método antiguo, y desde</w:t>
      </w:r>
      <w:r w:rsidRPr="00B50008">
        <w:rPr>
          <w:sz w:val="20"/>
          <w:highlight w:val="white"/>
        </w:rPr>
        <w:t xml:space="preserve"> 2012 hasta 2014</w:t>
      </w:r>
      <w:r w:rsidRPr="00B50008">
        <w:rPr>
          <w:sz w:val="20"/>
        </w:rPr>
        <w:t xml:space="preserve"> </w:t>
      </w:r>
      <w:r w:rsidRPr="00B50008">
        <w:rPr>
          <w:sz w:val="20"/>
          <w:highlight w:val="white"/>
        </w:rPr>
        <w:t>utilizando el nuevo método</w:t>
      </w:r>
      <w:r w:rsidRPr="00B50008">
        <w:rPr>
          <w:sz w:val="20"/>
        </w:rPr>
        <w:t>, incluido un desglose de la parte correspondiente a los costos directos e indirectos.</w:t>
      </w:r>
    </w:p>
    <w:p w:rsidR="00924611" w:rsidRPr="00B50008" w:rsidRDefault="00924611" w:rsidP="00924611">
      <w:pPr>
        <w:widowControl w:val="0"/>
        <w:rPr>
          <w:sz w:val="20"/>
        </w:rPr>
      </w:pPr>
    </w:p>
    <w:p w:rsidR="00924611" w:rsidRDefault="00924611" w:rsidP="00924611">
      <w:pPr>
        <w:widowControl w:val="0"/>
        <w:jc w:val="center"/>
        <w:rPr>
          <w:b/>
          <w:sz w:val="20"/>
        </w:rPr>
      </w:pPr>
      <w:r w:rsidRPr="00B50008">
        <w:rPr>
          <w:b/>
          <w:sz w:val="20"/>
        </w:rPr>
        <w:t>Costo de tramitación de una solicitud PCT publicada</w:t>
      </w:r>
    </w:p>
    <w:p w:rsidR="00924611" w:rsidRPr="00B50008" w:rsidRDefault="00924611" w:rsidP="00924611">
      <w:pPr>
        <w:widowControl w:val="0"/>
        <w:jc w:val="center"/>
        <w:rPr>
          <w:b/>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2"/>
        <w:gridCol w:w="4433"/>
      </w:tblGrid>
      <w:tr w:rsidR="00924611" w:rsidRPr="00B50008" w:rsidTr="00781224">
        <w:tc>
          <w:tcPr>
            <w:tcW w:w="4832" w:type="dxa"/>
            <w:shd w:val="clear" w:color="auto" w:fill="auto"/>
          </w:tcPr>
          <w:p w:rsidR="00924611" w:rsidRPr="00B50008" w:rsidRDefault="00924611" w:rsidP="00781224">
            <w:pPr>
              <w:widowControl w:val="0"/>
              <w:jc w:val="center"/>
              <w:rPr>
                <w:sz w:val="20"/>
                <w:highlight w:val="yellow"/>
              </w:rPr>
            </w:pPr>
            <w:r w:rsidRPr="00E007F3">
              <w:rPr>
                <w:sz w:val="20"/>
              </w:rPr>
              <w:t>Método antiguo</w:t>
            </w:r>
          </w:p>
        </w:tc>
        <w:tc>
          <w:tcPr>
            <w:tcW w:w="4433" w:type="dxa"/>
            <w:shd w:val="clear" w:color="auto" w:fill="auto"/>
          </w:tcPr>
          <w:p w:rsidR="00924611" w:rsidRPr="00B50008" w:rsidRDefault="00924611" w:rsidP="00781224">
            <w:pPr>
              <w:widowControl w:val="0"/>
              <w:jc w:val="center"/>
              <w:rPr>
                <w:sz w:val="20"/>
              </w:rPr>
            </w:pPr>
            <w:r w:rsidRPr="00B50008">
              <w:rPr>
                <w:sz w:val="20"/>
              </w:rPr>
              <w:t>Método nuevo</w:t>
            </w:r>
          </w:p>
        </w:tc>
      </w:tr>
      <w:tr w:rsidR="00924611" w:rsidRPr="00B50008" w:rsidTr="00781224">
        <w:tc>
          <w:tcPr>
            <w:tcW w:w="4832" w:type="dxa"/>
            <w:shd w:val="clear" w:color="auto" w:fill="auto"/>
          </w:tcPr>
          <w:p w:rsidR="00924611" w:rsidRPr="00B50008" w:rsidRDefault="00924611" w:rsidP="00781224">
            <w:pPr>
              <w:widowControl w:val="0"/>
            </w:pPr>
            <w:r>
              <w:rPr>
                <w:noProof/>
                <w:lang w:val="en-US" w:eastAsia="en-US"/>
              </w:rPr>
              <w:drawing>
                <wp:inline distT="0" distB="0" distL="0" distR="0" wp14:anchorId="24A441B6" wp14:editId="4C79B16B">
                  <wp:extent cx="2800350" cy="1773039"/>
                  <wp:effectExtent l="0" t="0" r="0" b="0"/>
                  <wp:docPr id="806" name="Imagen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2805052" cy="1776016"/>
                          </a:xfrm>
                          <a:prstGeom prst="rect">
                            <a:avLst/>
                          </a:prstGeom>
                          <a:noFill/>
                          <a:ln>
                            <a:noFill/>
                          </a:ln>
                        </pic:spPr>
                      </pic:pic>
                    </a:graphicData>
                  </a:graphic>
                </wp:inline>
              </w:drawing>
            </w:r>
          </w:p>
        </w:tc>
        <w:tc>
          <w:tcPr>
            <w:tcW w:w="4433" w:type="dxa"/>
            <w:shd w:val="clear" w:color="auto" w:fill="auto"/>
          </w:tcPr>
          <w:p w:rsidR="00924611" w:rsidRPr="00B50008" w:rsidRDefault="00924611" w:rsidP="00781224">
            <w:pPr>
              <w:widowControl w:val="0"/>
            </w:pPr>
            <w:r w:rsidRPr="00B50008">
              <w:object w:dxaOrig="11010" w:dyaOrig="66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1pt;height:170.9pt" o:ole="">
                  <v:imagedata r:id="rId262" o:title=""/>
                </v:shape>
                <o:OLEObject Type="Embed" ProgID="PBrush" ShapeID="_x0000_i1025" DrawAspect="Content" ObjectID="_1495438321" r:id="rId263"/>
              </w:object>
            </w:r>
          </w:p>
        </w:tc>
      </w:tr>
    </w:tbl>
    <w:p w:rsidR="00924611" w:rsidRPr="00B50008" w:rsidRDefault="00924611" w:rsidP="00924611">
      <w:pPr>
        <w:widowControl w:val="0"/>
        <w:numPr>
          <w:ilvl w:val="0"/>
          <w:numId w:val="53"/>
        </w:numPr>
        <w:tabs>
          <w:tab w:val="clear" w:pos="720"/>
          <w:tab w:val="num" w:pos="1134"/>
        </w:tabs>
        <w:ind w:left="1134" w:hanging="567"/>
        <w:jc w:val="both"/>
        <w:rPr>
          <w:sz w:val="20"/>
        </w:rPr>
      </w:pPr>
      <w:r w:rsidRPr="00B50008">
        <w:rPr>
          <w:sz w:val="20"/>
          <w:highlight w:val="white"/>
        </w:rPr>
        <w:t xml:space="preserve">El costo medio de tramitación de una solicitud PCT </w:t>
      </w:r>
      <w:r w:rsidRPr="00B50008">
        <w:rPr>
          <w:sz w:val="20"/>
        </w:rPr>
        <w:t>publicada fue de 662 francos suizos</w:t>
      </w:r>
      <w:r w:rsidRPr="00B50008">
        <w:rPr>
          <w:sz w:val="20"/>
          <w:highlight w:val="white"/>
        </w:rPr>
        <w:t xml:space="preserve"> en 2014</w:t>
      </w:r>
      <w:r w:rsidRPr="00B50008">
        <w:rPr>
          <w:sz w:val="20"/>
        </w:rPr>
        <w:t>, lo que representa una disminución del </w:t>
      </w:r>
      <w:r w:rsidRPr="00B50008">
        <w:rPr>
          <w:sz w:val="20"/>
          <w:highlight w:val="white"/>
        </w:rPr>
        <w:t>8.3%</w:t>
      </w:r>
      <w:r w:rsidRPr="00B50008">
        <w:rPr>
          <w:sz w:val="20"/>
        </w:rPr>
        <w:t xml:space="preserve"> en comparación con 2013.  Esa disminución se debe a varias medidas destinadas a fomentar la eficiencia, entre otras, la automatización.</w:t>
      </w:r>
    </w:p>
    <w:p w:rsidR="00924611" w:rsidRPr="00B50008" w:rsidRDefault="00924611" w:rsidP="00924611">
      <w:pPr>
        <w:pStyle w:val="ListParagraph"/>
        <w:widowControl w:val="0"/>
        <w:tabs>
          <w:tab w:val="num" w:pos="1134"/>
        </w:tabs>
        <w:ind w:left="1134" w:hanging="567"/>
        <w:rPr>
          <w:rFonts w:ascii="Arial" w:hAnsi="Arial"/>
          <w:sz w:val="20"/>
          <w:szCs w:val="20"/>
          <w:lang w:val="es-ES"/>
        </w:rPr>
      </w:pPr>
    </w:p>
    <w:p w:rsidR="00924611" w:rsidRPr="00B50008" w:rsidRDefault="00924611" w:rsidP="00924611">
      <w:pPr>
        <w:pStyle w:val="ListParagraph"/>
        <w:widowControl w:val="0"/>
        <w:numPr>
          <w:ilvl w:val="0"/>
          <w:numId w:val="53"/>
        </w:numPr>
        <w:tabs>
          <w:tab w:val="clear" w:pos="720"/>
          <w:tab w:val="num" w:pos="1134"/>
        </w:tabs>
        <w:spacing w:after="200"/>
        <w:ind w:left="1134" w:hanging="567"/>
        <w:jc w:val="both"/>
        <w:rPr>
          <w:rFonts w:ascii="Arial" w:hAnsi="Arial"/>
          <w:sz w:val="20"/>
          <w:szCs w:val="20"/>
          <w:lang w:val="es-ES"/>
        </w:rPr>
      </w:pPr>
      <w:r w:rsidRPr="00B50008">
        <w:rPr>
          <w:rFonts w:ascii="Arial" w:hAnsi="Arial"/>
          <w:sz w:val="20"/>
          <w:szCs w:val="20"/>
          <w:highlight w:val="white"/>
          <w:lang w:val="es-ES"/>
        </w:rPr>
        <w:t>El costo medio de tramitación de una solicitud PCT publicada, calculado conforme al método antiguo disminuyó del 5</w:t>
      </w:r>
      <w:r w:rsidRPr="00B50008">
        <w:rPr>
          <w:rFonts w:ascii="Arial" w:hAnsi="Arial"/>
          <w:sz w:val="20"/>
          <w:szCs w:val="20"/>
          <w:lang w:val="es-ES"/>
        </w:rPr>
        <w:t>% anual en promedio, pasando de</w:t>
      </w:r>
      <w:r w:rsidRPr="00B50008">
        <w:rPr>
          <w:rFonts w:ascii="Arial" w:hAnsi="Arial"/>
          <w:sz w:val="20"/>
          <w:szCs w:val="20"/>
          <w:highlight w:val="white"/>
          <w:lang w:val="es-ES"/>
        </w:rPr>
        <w:t xml:space="preserve"> 1.042 francos suizos en 2004 a 680 francos suizos en 2012</w:t>
      </w:r>
      <w:r w:rsidRPr="00B50008">
        <w:rPr>
          <w:rFonts w:ascii="Arial" w:hAnsi="Arial"/>
          <w:sz w:val="20"/>
          <w:szCs w:val="20"/>
          <w:lang w:val="es-ES"/>
        </w:rPr>
        <w:t>.</w:t>
      </w:r>
    </w:p>
    <w:p w:rsidR="00924611" w:rsidRPr="00B50008" w:rsidRDefault="00924611" w:rsidP="00924611">
      <w:pPr>
        <w:widowControl w:val="0"/>
        <w:rPr>
          <w:i/>
          <w:sz w:val="20"/>
          <w:highlight w:val="yellow"/>
        </w:rPr>
      </w:pPr>
    </w:p>
    <w:p w:rsidR="00924611" w:rsidRPr="00B50008" w:rsidRDefault="00924611" w:rsidP="00924611">
      <w:pPr>
        <w:widowControl w:val="0"/>
        <w:rPr>
          <w:i/>
          <w:sz w:val="20"/>
        </w:rPr>
      </w:pPr>
      <w:r w:rsidRPr="00B50008">
        <w:rPr>
          <w:i/>
          <w:sz w:val="20"/>
        </w:rPr>
        <w:t>Productividad en el examen de forma</w:t>
      </w:r>
    </w:p>
    <w:p w:rsidR="00924611" w:rsidRPr="00B50008" w:rsidRDefault="00924611" w:rsidP="00924611">
      <w:pPr>
        <w:widowControl w:val="0"/>
        <w:rPr>
          <w:sz w:val="20"/>
        </w:rPr>
      </w:pPr>
    </w:p>
    <w:p w:rsidR="00924611" w:rsidRPr="00B50008" w:rsidRDefault="00924611" w:rsidP="00924611">
      <w:pPr>
        <w:widowControl w:val="0"/>
        <w:numPr>
          <w:ilvl w:val="0"/>
          <w:numId w:val="55"/>
        </w:numPr>
        <w:rPr>
          <w:sz w:val="20"/>
        </w:rPr>
      </w:pPr>
      <w:r w:rsidRPr="00B50008">
        <w:rPr>
          <w:sz w:val="20"/>
        </w:rPr>
        <w:t>La definición de productividad del personal consiste en el valor de la producción (esto es, el número de publicaciones del PCT) dividido entre el número de miembros del personal encargados del examen de forma.</w:t>
      </w:r>
    </w:p>
    <w:p w:rsidR="00924611" w:rsidRPr="00B50008" w:rsidRDefault="00924611" w:rsidP="00924611">
      <w:pPr>
        <w:widowControl w:val="0"/>
        <w:rPr>
          <w:sz w:val="20"/>
        </w:rPr>
      </w:pPr>
    </w:p>
    <w:p w:rsidR="00924611" w:rsidRPr="00B50008" w:rsidRDefault="00924611" w:rsidP="00E036E7">
      <w:pPr>
        <w:keepNext/>
        <w:widowControl w:val="0"/>
        <w:jc w:val="center"/>
        <w:rPr>
          <w:b/>
          <w:sz w:val="20"/>
        </w:rPr>
      </w:pPr>
      <w:r w:rsidRPr="00B50008">
        <w:rPr>
          <w:b/>
          <w:sz w:val="20"/>
        </w:rPr>
        <w:lastRenderedPageBreak/>
        <w:t>Productividad en el examen de forma</w:t>
      </w:r>
    </w:p>
    <w:p w:rsidR="00924611" w:rsidRPr="00B50008" w:rsidRDefault="00924611" w:rsidP="00E036E7">
      <w:pPr>
        <w:keepNext/>
        <w:widowControl w:val="0"/>
        <w:jc w:val="center"/>
        <w:rPr>
          <w:b/>
          <w:sz w:val="20"/>
        </w:rPr>
      </w:pPr>
      <w:r w:rsidRPr="00B50008">
        <w:rPr>
          <w:b/>
          <w:noProof/>
          <w:sz w:val="20"/>
          <w:lang w:val="en-US" w:eastAsia="en-US"/>
        </w:rPr>
        <w:drawing>
          <wp:inline distT="0" distB="0" distL="0" distR="0" wp14:anchorId="73982897" wp14:editId="2F5A1714">
            <wp:extent cx="5745480" cy="3019425"/>
            <wp:effectExtent l="0" t="0" r="7620" b="9525"/>
            <wp:docPr id="1046"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5745480" cy="3019425"/>
                    </a:xfrm>
                    <a:prstGeom prst="rect">
                      <a:avLst/>
                    </a:prstGeom>
                    <a:noFill/>
                    <a:ln>
                      <a:noFill/>
                    </a:ln>
                  </pic:spPr>
                </pic:pic>
              </a:graphicData>
            </a:graphic>
          </wp:inline>
        </w:drawing>
      </w:r>
    </w:p>
    <w:p w:rsidR="00924611" w:rsidRPr="00B50008" w:rsidRDefault="00924611" w:rsidP="00E036E7">
      <w:pPr>
        <w:pStyle w:val="ListParagraph"/>
        <w:keepNext/>
        <w:widowControl w:val="0"/>
        <w:numPr>
          <w:ilvl w:val="0"/>
          <w:numId w:val="53"/>
        </w:numPr>
        <w:tabs>
          <w:tab w:val="clear" w:pos="720"/>
          <w:tab w:val="num" w:pos="1134"/>
        </w:tabs>
        <w:spacing w:after="200"/>
        <w:ind w:left="1134" w:hanging="567"/>
        <w:jc w:val="both"/>
        <w:rPr>
          <w:rFonts w:ascii="Arial" w:hAnsi="Arial"/>
          <w:sz w:val="20"/>
          <w:szCs w:val="20"/>
          <w:lang w:val="es-ES"/>
        </w:rPr>
      </w:pPr>
      <w:r w:rsidRPr="00B50008">
        <w:rPr>
          <w:rFonts w:ascii="Arial" w:hAnsi="Arial"/>
          <w:sz w:val="20"/>
          <w:szCs w:val="20"/>
          <w:highlight w:val="white"/>
          <w:lang w:val="es-ES"/>
        </w:rPr>
        <w:t>Históricamente, la productividad del examen de forma ha aumentado a lo largo del tiempo debido, principalmente, a la automatización que ha permitido que un menor o igual número de miembros del personal pueda tramitar un volumen de trabajo mucho mayor</w:t>
      </w:r>
      <w:r w:rsidRPr="00B50008">
        <w:rPr>
          <w:rFonts w:ascii="Arial" w:hAnsi="Arial"/>
          <w:sz w:val="20"/>
          <w:szCs w:val="20"/>
          <w:lang w:val="es-ES"/>
        </w:rPr>
        <w:t>.</w:t>
      </w:r>
    </w:p>
    <w:p w:rsidR="00924611" w:rsidRPr="00B50008" w:rsidRDefault="00924611" w:rsidP="00924611">
      <w:pPr>
        <w:widowControl w:val="0"/>
        <w:rPr>
          <w:bCs/>
          <w:szCs w:val="22"/>
        </w:rPr>
      </w:pPr>
    </w:p>
    <w:p w:rsidR="00924611" w:rsidRPr="00B50008" w:rsidRDefault="00924611" w:rsidP="00924611">
      <w:pPr>
        <w:widowControl w:val="0"/>
        <w:rPr>
          <w:i/>
          <w:sz w:val="20"/>
        </w:rPr>
      </w:pPr>
      <w:r w:rsidRPr="00B50008">
        <w:rPr>
          <w:i/>
          <w:sz w:val="20"/>
        </w:rPr>
        <w:t>Calidad global del examen de forma</w:t>
      </w:r>
    </w:p>
    <w:p w:rsidR="00924611" w:rsidRPr="00B50008" w:rsidRDefault="00924611" w:rsidP="00924611">
      <w:pPr>
        <w:widowControl w:val="0"/>
        <w:rPr>
          <w:sz w:val="20"/>
        </w:rPr>
      </w:pPr>
    </w:p>
    <w:p w:rsidR="00924611" w:rsidRPr="00B50008" w:rsidRDefault="00924611" w:rsidP="00924611">
      <w:pPr>
        <w:widowControl w:val="0"/>
        <w:numPr>
          <w:ilvl w:val="0"/>
          <w:numId w:val="55"/>
        </w:numPr>
        <w:rPr>
          <w:sz w:val="20"/>
        </w:rPr>
      </w:pPr>
      <w:r w:rsidRPr="00B50008">
        <w:rPr>
          <w:sz w:val="20"/>
        </w:rPr>
        <w:t xml:space="preserve">Con el fin de medir la calidad del trabajo realizado por la Oficina Internacional de una manera sencilla e integral, la Oficina Internacional ha elaborado un indicador de calidad global, que es el promedio de cuatro indicadores de calidad principales.   Tres de ellos se basan en el tiempo necesario para efectuar las transacciones fundamentales: </w:t>
      </w:r>
      <w:r w:rsidR="005D7081">
        <w:rPr>
          <w:sz w:val="20"/>
        </w:rPr>
        <w:t xml:space="preserve"> </w:t>
      </w:r>
      <w:r w:rsidRPr="00B50008">
        <w:rPr>
          <w:sz w:val="20"/>
        </w:rPr>
        <w:t>acuse de recibo de la solicitud PCT, publicación y nueva publicación.   El cuarto indicador da cuenta de los errores cometidos en el curso de la tramitación de solicitudes PCT.</w:t>
      </w:r>
    </w:p>
    <w:p w:rsidR="00924611" w:rsidRPr="00B50008" w:rsidRDefault="00924611" w:rsidP="00924611">
      <w:pPr>
        <w:widowControl w:val="0"/>
        <w:rPr>
          <w:sz w:val="20"/>
        </w:rPr>
      </w:pPr>
    </w:p>
    <w:p w:rsidR="00924611" w:rsidRPr="00B50008" w:rsidRDefault="00924611" w:rsidP="00924611">
      <w:pPr>
        <w:pStyle w:val="BodyText2"/>
        <w:widowControl w:val="0"/>
        <w:spacing w:line="240" w:lineRule="auto"/>
        <w:jc w:val="center"/>
        <w:rPr>
          <w:rFonts w:ascii="Arial" w:hAnsi="Arial" w:cs="Arial"/>
          <w:b/>
          <w:bCs/>
          <w:sz w:val="20"/>
          <w:szCs w:val="18"/>
          <w:lang w:val="es-ES"/>
        </w:rPr>
      </w:pPr>
      <w:r w:rsidRPr="00B50008">
        <w:rPr>
          <w:rFonts w:ascii="Arial" w:hAnsi="Arial" w:cs="Arial"/>
          <w:b/>
          <w:bCs/>
          <w:sz w:val="20"/>
          <w:szCs w:val="18"/>
          <w:lang w:val="es-ES"/>
        </w:rPr>
        <w:t>Índice de calidad del examen de forma</w:t>
      </w:r>
    </w:p>
    <w:p w:rsidR="00924611" w:rsidRPr="00B50008" w:rsidRDefault="00924611" w:rsidP="00924611">
      <w:pPr>
        <w:pStyle w:val="BodyText2"/>
        <w:widowControl w:val="0"/>
        <w:spacing w:line="240" w:lineRule="auto"/>
        <w:jc w:val="center"/>
        <w:rPr>
          <w:rFonts w:ascii="Arial" w:hAnsi="Arial" w:cs="Arial"/>
          <w:b/>
          <w:bCs/>
          <w:sz w:val="20"/>
          <w:szCs w:val="18"/>
          <w:lang w:val="es-ES"/>
        </w:rPr>
      </w:pPr>
      <w:r w:rsidRPr="00625840">
        <w:rPr>
          <w:noProof/>
        </w:rPr>
        <w:drawing>
          <wp:inline distT="0" distB="0" distL="0" distR="0" wp14:anchorId="2E34153C" wp14:editId="1F1F76C4">
            <wp:extent cx="5746115" cy="2662721"/>
            <wp:effectExtent l="0" t="0" r="6985" b="4445"/>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5746115" cy="2662721"/>
                    </a:xfrm>
                    <a:prstGeom prst="rect">
                      <a:avLst/>
                    </a:prstGeom>
                    <a:noFill/>
                    <a:ln>
                      <a:noFill/>
                    </a:ln>
                  </pic:spPr>
                </pic:pic>
              </a:graphicData>
            </a:graphic>
          </wp:inline>
        </w:drawing>
      </w:r>
    </w:p>
    <w:p w:rsidR="00924611" w:rsidRPr="00B50008" w:rsidRDefault="00924611" w:rsidP="00924611">
      <w:pPr>
        <w:widowControl w:val="0"/>
        <w:numPr>
          <w:ilvl w:val="0"/>
          <w:numId w:val="57"/>
        </w:numPr>
        <w:ind w:left="1134" w:hanging="584"/>
        <w:jc w:val="both"/>
        <w:rPr>
          <w:sz w:val="20"/>
        </w:rPr>
      </w:pPr>
      <w:r w:rsidRPr="00B50008">
        <w:rPr>
          <w:sz w:val="20"/>
        </w:rPr>
        <w:t xml:space="preserve">La calidad general, de acuerdo con el índice global, ha mejorado notablemente, pasando del </w:t>
      </w:r>
      <w:r w:rsidRPr="00B50008">
        <w:rPr>
          <w:sz w:val="20"/>
          <w:highlight w:val="white"/>
        </w:rPr>
        <w:t>81%</w:t>
      </w:r>
      <w:r w:rsidRPr="00B50008">
        <w:rPr>
          <w:sz w:val="20"/>
        </w:rPr>
        <w:t>, en promedio, en 2007 al 93,1%</w:t>
      </w:r>
      <w:r w:rsidRPr="00B50008">
        <w:rPr>
          <w:sz w:val="20"/>
          <w:highlight w:val="white"/>
        </w:rPr>
        <w:t xml:space="preserve"> en 2014</w:t>
      </w:r>
      <w:r w:rsidRPr="00B50008">
        <w:rPr>
          <w:sz w:val="20"/>
        </w:rPr>
        <w:t>.</w:t>
      </w:r>
    </w:p>
    <w:p w:rsidR="00924611" w:rsidRPr="00B50008" w:rsidRDefault="00924611" w:rsidP="00E036E7">
      <w:pPr>
        <w:keepLines/>
        <w:widowControl w:val="0"/>
        <w:ind w:left="1134"/>
        <w:jc w:val="both"/>
        <w:rPr>
          <w:sz w:val="20"/>
        </w:rPr>
      </w:pPr>
    </w:p>
    <w:p w:rsidR="00924611" w:rsidRPr="00B50008" w:rsidRDefault="00924611" w:rsidP="00E036E7">
      <w:pPr>
        <w:keepLines/>
        <w:widowControl w:val="0"/>
        <w:numPr>
          <w:ilvl w:val="0"/>
          <w:numId w:val="57"/>
        </w:numPr>
        <w:ind w:left="1134" w:hanging="584"/>
        <w:jc w:val="both"/>
        <w:rPr>
          <w:sz w:val="20"/>
        </w:rPr>
      </w:pPr>
      <w:r w:rsidRPr="00B50008">
        <w:rPr>
          <w:sz w:val="20"/>
        </w:rPr>
        <w:lastRenderedPageBreak/>
        <w:t>El notable aumento del índice de calidad en</w:t>
      </w:r>
      <w:r w:rsidRPr="00B50008">
        <w:rPr>
          <w:sz w:val="20"/>
          <w:highlight w:val="white"/>
        </w:rPr>
        <w:t xml:space="preserve"> 2014 se debe, principalmente, a la disminución del tiempo necesario para realizar el examen de forma</w:t>
      </w:r>
      <w:r w:rsidRPr="00B50008">
        <w:rPr>
          <w:sz w:val="20"/>
        </w:rPr>
        <w:t xml:space="preserve">, </w:t>
      </w:r>
      <w:r w:rsidRPr="00B50008">
        <w:rPr>
          <w:sz w:val="20"/>
          <w:highlight w:val="white"/>
        </w:rPr>
        <w:t>así como al menor retraso en la nueva publicación de las solicitudes junto con los informes de búsqueda internacional</w:t>
      </w:r>
      <w:r w:rsidRPr="00B50008">
        <w:rPr>
          <w:sz w:val="20"/>
        </w:rPr>
        <w:t>.  La caída en el índice de calidad observada durante el período 2010–2013 se debe, principalmente, al retraso en el examen de forma y la nueva publicación.</w:t>
      </w:r>
    </w:p>
    <w:p w:rsidR="00924611" w:rsidRPr="00B50008" w:rsidRDefault="00924611" w:rsidP="00924611">
      <w:pPr>
        <w:widowControl w:val="0"/>
        <w:jc w:val="both"/>
        <w:rPr>
          <w:sz w:val="20"/>
        </w:rPr>
      </w:pPr>
    </w:p>
    <w:p w:rsidR="00924611" w:rsidRPr="00B50008" w:rsidRDefault="00924611" w:rsidP="00924611">
      <w:pPr>
        <w:pStyle w:val="ListParagraph"/>
        <w:widowControl w:val="0"/>
        <w:ind w:left="0"/>
        <w:rPr>
          <w:rFonts w:ascii="Arial" w:hAnsi="Arial" w:cs="Arial"/>
          <w:sz w:val="20"/>
          <w:lang w:val="es-ES"/>
        </w:rPr>
      </w:pPr>
    </w:p>
    <w:p w:rsidR="00924611" w:rsidRPr="00B50008" w:rsidRDefault="00924611" w:rsidP="00924611">
      <w:pPr>
        <w:widowControl w:val="0"/>
        <w:rPr>
          <w:i/>
          <w:sz w:val="20"/>
        </w:rPr>
      </w:pPr>
      <w:r w:rsidRPr="00B50008">
        <w:rPr>
          <w:i/>
          <w:sz w:val="20"/>
        </w:rPr>
        <w:t>Tiempo necesario para el examen de forma</w:t>
      </w:r>
    </w:p>
    <w:p w:rsidR="00924611" w:rsidRPr="00B50008" w:rsidRDefault="00924611" w:rsidP="00924611">
      <w:pPr>
        <w:widowControl w:val="0"/>
        <w:rPr>
          <w:b/>
          <w:sz w:val="20"/>
        </w:rPr>
      </w:pPr>
    </w:p>
    <w:p w:rsidR="00924611" w:rsidRPr="00B50008" w:rsidRDefault="00924611" w:rsidP="00924611">
      <w:pPr>
        <w:widowControl w:val="0"/>
        <w:numPr>
          <w:ilvl w:val="0"/>
          <w:numId w:val="55"/>
        </w:numPr>
        <w:rPr>
          <w:b/>
          <w:sz w:val="20"/>
        </w:rPr>
      </w:pPr>
      <w:r w:rsidRPr="00B50008">
        <w:rPr>
          <w:sz w:val="20"/>
        </w:rPr>
        <w:t>Este indicador refleja más detalladamente uno de los componentes del indicador global de calidad, esto es el tiempo que necesita la Oficina Internacional para enviar el formulario 301.   Este formulario es expedido una vez completado el examen de forma de la solicitud.  Los solicitantes agradecen que se les envíe ese formulario lo antes posible, puesto que constituye un acuse de recibo de la solicitud en la Oficina Internacional y les permite saber si su solicitud presenta errores formales.</w:t>
      </w:r>
    </w:p>
    <w:p w:rsidR="00924611" w:rsidRPr="00B50008" w:rsidRDefault="00924611" w:rsidP="00924611">
      <w:pPr>
        <w:widowControl w:val="0"/>
        <w:rPr>
          <w:b/>
          <w:sz w:val="20"/>
        </w:rPr>
      </w:pPr>
    </w:p>
    <w:p w:rsidR="00924611" w:rsidRPr="00B50008" w:rsidRDefault="00924611" w:rsidP="00924611">
      <w:pPr>
        <w:widowControl w:val="0"/>
        <w:rPr>
          <w:b/>
          <w:sz w:val="20"/>
        </w:rPr>
      </w:pPr>
      <w:r w:rsidRPr="00B50008">
        <w:rPr>
          <w:b/>
          <w:noProof/>
          <w:sz w:val="20"/>
          <w:lang w:val="en-US" w:eastAsia="en-US"/>
        </w:rPr>
        <w:drawing>
          <wp:inline distT="0" distB="0" distL="0" distR="0" wp14:anchorId="151BFA1F" wp14:editId="6D574496">
            <wp:extent cx="5741670" cy="2434590"/>
            <wp:effectExtent l="0" t="0" r="0" b="3810"/>
            <wp:docPr id="1048"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741670" cy="2434590"/>
                    </a:xfrm>
                    <a:prstGeom prst="rect">
                      <a:avLst/>
                    </a:prstGeom>
                    <a:noFill/>
                    <a:ln>
                      <a:noFill/>
                    </a:ln>
                  </pic:spPr>
                </pic:pic>
              </a:graphicData>
            </a:graphic>
          </wp:inline>
        </w:drawing>
      </w:r>
    </w:p>
    <w:p w:rsidR="00924611" w:rsidRPr="00B50008" w:rsidRDefault="00924611" w:rsidP="00924611">
      <w:pPr>
        <w:widowControl w:val="0"/>
        <w:rPr>
          <w:b/>
          <w:sz w:val="20"/>
        </w:rPr>
      </w:pPr>
    </w:p>
    <w:p w:rsidR="00924611" w:rsidRPr="00B50008" w:rsidRDefault="00924611" w:rsidP="00924611">
      <w:pPr>
        <w:widowControl w:val="0"/>
        <w:rPr>
          <w:i/>
          <w:sz w:val="20"/>
        </w:rPr>
      </w:pPr>
      <w:r w:rsidRPr="00B50008">
        <w:rPr>
          <w:i/>
          <w:sz w:val="20"/>
        </w:rPr>
        <w:t>Tiempo necesario para la publicación</w:t>
      </w:r>
    </w:p>
    <w:p w:rsidR="00924611" w:rsidRPr="00B50008" w:rsidRDefault="00924611" w:rsidP="00924611">
      <w:pPr>
        <w:widowControl w:val="0"/>
        <w:rPr>
          <w:sz w:val="18"/>
          <w:szCs w:val="18"/>
        </w:rPr>
      </w:pPr>
    </w:p>
    <w:p w:rsidR="00924611" w:rsidRPr="00B50008" w:rsidRDefault="00924611" w:rsidP="00924611">
      <w:pPr>
        <w:widowControl w:val="0"/>
        <w:numPr>
          <w:ilvl w:val="0"/>
          <w:numId w:val="55"/>
        </w:numPr>
        <w:rPr>
          <w:sz w:val="20"/>
        </w:rPr>
      </w:pPr>
      <w:r w:rsidRPr="00B50008">
        <w:rPr>
          <w:sz w:val="20"/>
        </w:rPr>
        <w:t>Este indicador refleja con más detalle uno de los componentes del indicador global de calidad, esto es, el tiempo que tarda la Oficina Internacional en publicar la solicitud.   El artículo 21.2)a) del PCT establece que  “[…] la publicación internacional de la solicitud internacional se efectuará rápidamente tras el vencimiento de un plazo de 18 meses desde la fecha de prioridad de esa solicitud”.</w:t>
      </w:r>
    </w:p>
    <w:p w:rsidR="00924611" w:rsidRPr="00B50008" w:rsidRDefault="00924611" w:rsidP="00924611">
      <w:pPr>
        <w:pStyle w:val="BodyText2"/>
        <w:widowControl w:val="0"/>
        <w:spacing w:line="240" w:lineRule="auto"/>
        <w:rPr>
          <w:rFonts w:cs="Arial"/>
          <w:lang w:val="es-ES"/>
        </w:rPr>
      </w:pPr>
      <w:r w:rsidRPr="00B50008">
        <w:rPr>
          <w:rFonts w:cs="Arial"/>
          <w:noProof/>
        </w:rPr>
        <w:drawing>
          <wp:inline distT="0" distB="0" distL="0" distR="0" wp14:anchorId="47EF19B7" wp14:editId="3ABA589F">
            <wp:extent cx="5741670" cy="2711450"/>
            <wp:effectExtent l="0" t="0" r="0" b="0"/>
            <wp:docPr id="100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741670" cy="2711450"/>
                    </a:xfrm>
                    <a:prstGeom prst="rect">
                      <a:avLst/>
                    </a:prstGeom>
                    <a:noFill/>
                    <a:ln>
                      <a:noFill/>
                    </a:ln>
                  </pic:spPr>
                </pic:pic>
              </a:graphicData>
            </a:graphic>
          </wp:inline>
        </w:drawing>
      </w:r>
    </w:p>
    <w:p w:rsidR="00924611" w:rsidRPr="00B50008" w:rsidRDefault="00924611" w:rsidP="00C75BF9">
      <w:pPr>
        <w:keepNext/>
        <w:keepLines/>
        <w:widowControl w:val="0"/>
        <w:rPr>
          <w:i/>
          <w:sz w:val="20"/>
        </w:rPr>
      </w:pPr>
      <w:r w:rsidRPr="00B50008">
        <w:rPr>
          <w:i/>
          <w:sz w:val="20"/>
        </w:rPr>
        <w:lastRenderedPageBreak/>
        <w:t>Tiempo necesario para una nueva publicación</w:t>
      </w:r>
    </w:p>
    <w:p w:rsidR="00924611" w:rsidRPr="00B50008" w:rsidRDefault="00924611" w:rsidP="00C75BF9">
      <w:pPr>
        <w:keepNext/>
        <w:keepLines/>
        <w:widowControl w:val="0"/>
        <w:rPr>
          <w:sz w:val="18"/>
          <w:szCs w:val="18"/>
        </w:rPr>
      </w:pPr>
    </w:p>
    <w:p w:rsidR="00924611" w:rsidRPr="00B50008" w:rsidRDefault="00924611" w:rsidP="00C75BF9">
      <w:pPr>
        <w:keepNext/>
        <w:keepLines/>
        <w:widowControl w:val="0"/>
        <w:numPr>
          <w:ilvl w:val="0"/>
          <w:numId w:val="55"/>
        </w:numPr>
        <w:rPr>
          <w:sz w:val="20"/>
        </w:rPr>
      </w:pPr>
      <w:r w:rsidRPr="00B50008">
        <w:rPr>
          <w:sz w:val="20"/>
          <w:highlight w:val="white"/>
        </w:rPr>
        <w:t xml:space="preserve">Este indicador refleja con más detalle uno de los componentes del indicador global de calidad, esto es, el tiempo que tarda la Oficina Internacional </w:t>
      </w:r>
      <w:r w:rsidRPr="00B50008">
        <w:rPr>
          <w:sz w:val="20"/>
        </w:rPr>
        <w:t>en llevar a cabo la nueva publicación de</w:t>
      </w:r>
      <w:r w:rsidRPr="00B50008">
        <w:rPr>
          <w:sz w:val="20"/>
          <w:highlight w:val="white"/>
        </w:rPr>
        <w:t xml:space="preserve"> la solicitud, junto con el informe de búsqueda internacional</w:t>
      </w:r>
      <w:r w:rsidRPr="00B50008">
        <w:rPr>
          <w:sz w:val="20"/>
        </w:rPr>
        <w:t>.  Algunas solicitudes internacionales se publican sin su informe de búsqueda internacional, ya que las Administraciones encargadas de la búsqueda internacional los comunican con retraso.</w:t>
      </w:r>
    </w:p>
    <w:p w:rsidR="00924611" w:rsidRPr="00B50008" w:rsidRDefault="00924611" w:rsidP="00924611">
      <w:pPr>
        <w:widowControl w:val="0"/>
        <w:rPr>
          <w:sz w:val="20"/>
        </w:rPr>
      </w:pPr>
    </w:p>
    <w:p w:rsidR="00924611" w:rsidRPr="00B50008" w:rsidRDefault="00924611" w:rsidP="00924611">
      <w:pPr>
        <w:widowControl w:val="0"/>
        <w:rPr>
          <w:sz w:val="20"/>
        </w:rPr>
      </w:pPr>
      <w:r w:rsidRPr="00B50008">
        <w:rPr>
          <w:noProof/>
          <w:sz w:val="20"/>
          <w:lang w:val="en-US" w:eastAsia="en-US"/>
        </w:rPr>
        <w:drawing>
          <wp:inline distT="0" distB="0" distL="0" distR="0" wp14:anchorId="19E6AF1F" wp14:editId="41D8E631">
            <wp:extent cx="5741670" cy="2637155"/>
            <wp:effectExtent l="0" t="0" r="0" b="0"/>
            <wp:docPr id="1003"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5741670" cy="2637155"/>
                    </a:xfrm>
                    <a:prstGeom prst="rect">
                      <a:avLst/>
                    </a:prstGeom>
                    <a:noFill/>
                    <a:ln>
                      <a:noFill/>
                    </a:ln>
                  </pic:spPr>
                </pic:pic>
              </a:graphicData>
            </a:graphic>
          </wp:inline>
        </w:drawing>
      </w:r>
    </w:p>
    <w:p w:rsidR="00924611" w:rsidRPr="00B50008" w:rsidRDefault="00924611" w:rsidP="00924611">
      <w:pPr>
        <w:widowControl w:val="0"/>
        <w:rPr>
          <w:i/>
          <w:sz w:val="20"/>
        </w:rPr>
      </w:pPr>
    </w:p>
    <w:p w:rsidR="00924611" w:rsidRPr="00B50008" w:rsidRDefault="00924611" w:rsidP="00924611">
      <w:pPr>
        <w:widowControl w:val="0"/>
        <w:rPr>
          <w:i/>
          <w:sz w:val="20"/>
        </w:rPr>
      </w:pPr>
      <w:r w:rsidRPr="00B50008">
        <w:rPr>
          <w:i/>
          <w:sz w:val="20"/>
        </w:rPr>
        <w:t xml:space="preserve">Calidad de la traducción </w:t>
      </w:r>
    </w:p>
    <w:p w:rsidR="00924611" w:rsidRPr="00B50008" w:rsidRDefault="00924611" w:rsidP="00924611">
      <w:pPr>
        <w:widowControl w:val="0"/>
        <w:rPr>
          <w:szCs w:val="18"/>
        </w:rPr>
      </w:pPr>
    </w:p>
    <w:p w:rsidR="00924611" w:rsidRPr="00B50008" w:rsidRDefault="00924611" w:rsidP="00924611">
      <w:pPr>
        <w:widowControl w:val="0"/>
        <w:numPr>
          <w:ilvl w:val="0"/>
          <w:numId w:val="55"/>
        </w:numPr>
        <w:rPr>
          <w:sz w:val="20"/>
        </w:rPr>
      </w:pPr>
      <w:r w:rsidRPr="00B50008">
        <w:rPr>
          <w:sz w:val="20"/>
        </w:rPr>
        <w:t xml:space="preserve">Con el fin de evaluar la calidad de la traducción, se extrae una muestra aleatoria de los extractos y de los informes de patentabilidad preparados bajo la responsabilidad de la Oficina;  la muestra está compuesta por un número de documentos calculado estadísticamente.  La evaluación permite determinar si una traducción es "aceptable" o "no aceptable".   El indicador engloba los resultados del control de calidad realizado por la Oficina Internacional respecto de todas las combinaciones lingüísticas y todos los tipos de documentos.   Se interrumpe la colaboración con aquellas agencias cuya tasa de traducciones consideradas "aceptables" sea sistemáticamente inferior al 80%. </w:t>
      </w:r>
    </w:p>
    <w:p w:rsidR="00924611" w:rsidRPr="00B50008" w:rsidRDefault="00924611" w:rsidP="00924611">
      <w:pPr>
        <w:widowControl w:val="0"/>
        <w:jc w:val="center"/>
        <w:rPr>
          <w:szCs w:val="22"/>
          <w:highlight w:val="yellow"/>
        </w:rPr>
      </w:pPr>
    </w:p>
    <w:p w:rsidR="00924611" w:rsidRPr="00B50008" w:rsidRDefault="00924611" w:rsidP="00924611">
      <w:pPr>
        <w:widowControl w:val="0"/>
        <w:jc w:val="center"/>
        <w:rPr>
          <w:b/>
          <w:sz w:val="20"/>
        </w:rPr>
      </w:pPr>
      <w:r w:rsidRPr="00B50008">
        <w:rPr>
          <w:b/>
          <w:sz w:val="20"/>
          <w:highlight w:val="white"/>
        </w:rPr>
        <w:t>Calidad de la traducción en el PCT</w:t>
      </w:r>
    </w:p>
    <w:p w:rsidR="00924611" w:rsidRPr="00B50008" w:rsidRDefault="00924611" w:rsidP="00924611">
      <w:pPr>
        <w:widowControl w:val="0"/>
        <w:jc w:val="center"/>
        <w:rPr>
          <w:b/>
          <w:sz w:val="20"/>
        </w:rPr>
      </w:pPr>
      <w:r w:rsidRPr="00B50008">
        <w:rPr>
          <w:b/>
          <w:noProof/>
          <w:sz w:val="20"/>
          <w:lang w:val="en-US" w:eastAsia="en-US"/>
        </w:rPr>
        <w:drawing>
          <wp:inline distT="0" distB="0" distL="0" distR="0" wp14:anchorId="3903CCE7" wp14:editId="61D8915C">
            <wp:extent cx="5741670" cy="3274695"/>
            <wp:effectExtent l="0" t="0" r="0" b="1905"/>
            <wp:docPr id="1004"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5741670" cy="3274695"/>
                    </a:xfrm>
                    <a:prstGeom prst="rect">
                      <a:avLst/>
                    </a:prstGeom>
                    <a:noFill/>
                    <a:ln>
                      <a:noFill/>
                    </a:ln>
                  </pic:spPr>
                </pic:pic>
              </a:graphicData>
            </a:graphic>
          </wp:inline>
        </w:drawing>
      </w:r>
    </w:p>
    <w:p w:rsidR="00924611" w:rsidRPr="00B50008" w:rsidRDefault="00924611" w:rsidP="00924611">
      <w:pPr>
        <w:widowControl w:val="0"/>
        <w:rPr>
          <w:sz w:val="20"/>
          <w:highlight w:val="yellow"/>
        </w:rPr>
      </w:pPr>
    </w:p>
    <w:p w:rsidR="00924611" w:rsidRPr="00B50008" w:rsidRDefault="00924611" w:rsidP="00924611">
      <w:pPr>
        <w:widowControl w:val="0"/>
        <w:rPr>
          <w:i/>
          <w:sz w:val="20"/>
        </w:rPr>
      </w:pPr>
      <w:r w:rsidRPr="00B50008">
        <w:rPr>
          <w:i/>
          <w:sz w:val="20"/>
        </w:rPr>
        <w:t>Tiempo necesario para la traducción de informes</w:t>
      </w:r>
    </w:p>
    <w:p w:rsidR="00924611" w:rsidRPr="00B50008" w:rsidRDefault="00924611" w:rsidP="00924611">
      <w:pPr>
        <w:widowControl w:val="0"/>
        <w:rPr>
          <w:sz w:val="20"/>
        </w:rPr>
      </w:pPr>
    </w:p>
    <w:p w:rsidR="00924611" w:rsidRPr="00B50008" w:rsidRDefault="00924611" w:rsidP="00924611">
      <w:pPr>
        <w:widowControl w:val="0"/>
        <w:numPr>
          <w:ilvl w:val="0"/>
          <w:numId w:val="55"/>
        </w:numPr>
        <w:rPr>
          <w:sz w:val="20"/>
        </w:rPr>
      </w:pPr>
      <w:r w:rsidRPr="00B50008">
        <w:rPr>
          <w:sz w:val="20"/>
        </w:rPr>
        <w:t>Este indicador proporciona información sobre el tiempo necesario para que la Oficina Internacional ponga la traducción del informe sobre la patentabilidad a disposición de los solicitantes y las Oficinas.  Desde 2010, no ha dejado de aumentar la proporción de traducciones de informes sobre la patentabilidad entregados dentro de los 30 meses contados a partir de la fecha de prioridad de la solicitud internacional.  En 2014, el 82,5%</w:t>
      </w:r>
      <w:r w:rsidRPr="00B50008">
        <w:rPr>
          <w:sz w:val="20"/>
          <w:highlight w:val="white"/>
        </w:rPr>
        <w:t xml:space="preserve"> de las traducciones de informes sobre la patentabilidad se entregó dentro de los 30 meses contados a partir de la fecha de prioridad</w:t>
      </w:r>
      <w:r w:rsidRPr="00B50008">
        <w:rPr>
          <w:sz w:val="20"/>
        </w:rPr>
        <w:t>.</w:t>
      </w:r>
    </w:p>
    <w:p w:rsidR="00924611" w:rsidRPr="00B50008" w:rsidRDefault="00924611" w:rsidP="00924611">
      <w:pPr>
        <w:widowControl w:val="0"/>
        <w:ind w:left="142"/>
        <w:jc w:val="both"/>
      </w:pPr>
    </w:p>
    <w:p w:rsidR="00924611" w:rsidRPr="00B50008" w:rsidRDefault="00924611" w:rsidP="00924611">
      <w:pPr>
        <w:widowControl w:val="0"/>
        <w:ind w:left="142"/>
        <w:jc w:val="center"/>
        <w:rPr>
          <w:b/>
          <w:sz w:val="20"/>
        </w:rPr>
      </w:pPr>
      <w:r w:rsidRPr="00B50008">
        <w:rPr>
          <w:b/>
          <w:sz w:val="20"/>
        </w:rPr>
        <w:t>Tiempo necesario para la traducción de informes</w:t>
      </w:r>
    </w:p>
    <w:p w:rsidR="00924611" w:rsidRPr="00B50008" w:rsidRDefault="00924611" w:rsidP="00924611">
      <w:pPr>
        <w:widowControl w:val="0"/>
        <w:ind w:left="142"/>
        <w:jc w:val="center"/>
        <w:rPr>
          <w:b/>
          <w:sz w:val="20"/>
        </w:rPr>
      </w:pPr>
      <w:r w:rsidRPr="00B50008">
        <w:rPr>
          <w:b/>
          <w:noProof/>
          <w:sz w:val="20"/>
          <w:lang w:val="en-US" w:eastAsia="en-US"/>
        </w:rPr>
        <w:drawing>
          <wp:inline distT="0" distB="0" distL="0" distR="0" wp14:anchorId="4C4D4F49" wp14:editId="4CE78DB1">
            <wp:extent cx="5741670" cy="2371090"/>
            <wp:effectExtent l="0" t="0" r="0" b="0"/>
            <wp:docPr id="1005"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5741670" cy="2371090"/>
                    </a:xfrm>
                    <a:prstGeom prst="rect">
                      <a:avLst/>
                    </a:prstGeom>
                    <a:noFill/>
                    <a:ln>
                      <a:noFill/>
                    </a:ln>
                  </pic:spPr>
                </pic:pic>
              </a:graphicData>
            </a:graphic>
          </wp:inline>
        </w:drawing>
      </w:r>
    </w:p>
    <w:p w:rsidR="00924611" w:rsidRPr="00B50008" w:rsidRDefault="00924611" w:rsidP="00924611">
      <w:pPr>
        <w:widowControl w:val="0"/>
        <w:rPr>
          <w:i/>
          <w:sz w:val="20"/>
        </w:rPr>
      </w:pPr>
      <w:r w:rsidRPr="00B50008">
        <w:rPr>
          <w:i/>
          <w:sz w:val="20"/>
        </w:rPr>
        <w:t>Calidad del desarrollo de programas informáticos</w:t>
      </w:r>
    </w:p>
    <w:p w:rsidR="00924611" w:rsidRPr="00B50008" w:rsidRDefault="00924611" w:rsidP="00924611">
      <w:pPr>
        <w:widowControl w:val="0"/>
        <w:jc w:val="both"/>
        <w:rPr>
          <w:b/>
          <w:sz w:val="20"/>
        </w:rPr>
      </w:pPr>
    </w:p>
    <w:p w:rsidR="00924611" w:rsidRPr="00B50008" w:rsidRDefault="00924611" w:rsidP="00924611">
      <w:pPr>
        <w:widowControl w:val="0"/>
        <w:numPr>
          <w:ilvl w:val="0"/>
          <w:numId w:val="55"/>
        </w:numPr>
        <w:rPr>
          <w:sz w:val="20"/>
        </w:rPr>
      </w:pPr>
      <w:r w:rsidRPr="00B50008">
        <w:rPr>
          <w:sz w:val="20"/>
          <w:highlight w:val="white"/>
        </w:rPr>
        <w:t xml:space="preserve">El indicador de calidad del desarrollo de programas informáticos proporciona una medida de la calidad de las principales versiones de </w:t>
      </w:r>
      <w:r w:rsidRPr="00B50008">
        <w:rPr>
          <w:i/>
          <w:sz w:val="20"/>
          <w:highlight w:val="white"/>
        </w:rPr>
        <w:t>software</w:t>
      </w:r>
      <w:r w:rsidRPr="00B50008">
        <w:rPr>
          <w:sz w:val="20"/>
          <w:highlight w:val="white"/>
        </w:rPr>
        <w:t xml:space="preserve"> para</w:t>
      </w:r>
      <w:r w:rsidRPr="00B50008">
        <w:rPr>
          <w:sz w:val="20"/>
        </w:rPr>
        <w:t xml:space="preserve"> los proyectos </w:t>
      </w:r>
      <w:r w:rsidRPr="00B50008">
        <w:rPr>
          <w:i/>
          <w:sz w:val="20"/>
        </w:rPr>
        <w:t>eDossier</w:t>
      </w:r>
      <w:r w:rsidRPr="00B50008">
        <w:rPr>
          <w:sz w:val="20"/>
        </w:rPr>
        <w:t xml:space="preserve"> y </w:t>
      </w:r>
      <w:r w:rsidRPr="00B50008">
        <w:rPr>
          <w:i/>
          <w:sz w:val="20"/>
        </w:rPr>
        <w:t>ePCT</w:t>
      </w:r>
      <w:r w:rsidRPr="00B50008">
        <w:rPr>
          <w:sz w:val="20"/>
        </w:rPr>
        <w:t>.  La calidad del desarrollo de programas informáticos refleja el porcentaje de tiempo dedicado a aportar nuevas funciones a las versiones (es decir, trabajo), sobre el total de tiempo utilizado (es decir, trabajo + modificaciones).  Las modificaciones representan el tiempo dedicado a corregir el trabajo defectuoso detectado en el entorno de producción.</w:t>
      </w:r>
    </w:p>
    <w:p w:rsidR="00924611" w:rsidRPr="00B50008" w:rsidRDefault="00924611" w:rsidP="00924611">
      <w:pPr>
        <w:widowControl w:val="0"/>
        <w:jc w:val="both"/>
        <w:rPr>
          <w:sz w:val="20"/>
        </w:rPr>
      </w:pPr>
    </w:p>
    <w:p w:rsidR="00924611" w:rsidRPr="00B50008" w:rsidRDefault="00924611" w:rsidP="00924611">
      <w:pPr>
        <w:widowControl w:val="0"/>
        <w:numPr>
          <w:ilvl w:val="0"/>
          <w:numId w:val="55"/>
        </w:numPr>
        <w:rPr>
          <w:sz w:val="20"/>
        </w:rPr>
      </w:pPr>
      <w:r w:rsidRPr="00B50008">
        <w:rPr>
          <w:sz w:val="20"/>
        </w:rPr>
        <w:t>En el marco de este enfoque, los productos desarrollados que solo requieran ligeras modificaciones se considerarán de alta calidad, pues reflejan la extensión del valor añadido al producto mediante la incorporación de nuevas funciones.</w:t>
      </w:r>
    </w:p>
    <w:p w:rsidR="00924611" w:rsidRPr="00B50008" w:rsidRDefault="00924611" w:rsidP="00924611">
      <w:pPr>
        <w:widowControl w:val="0"/>
        <w:jc w:val="both"/>
        <w:rPr>
          <w:sz w:val="20"/>
        </w:rPr>
      </w:pPr>
    </w:p>
    <w:p w:rsidR="00924611" w:rsidRPr="00B50008" w:rsidRDefault="00924611" w:rsidP="00924611">
      <w:pPr>
        <w:widowControl w:val="0"/>
        <w:numPr>
          <w:ilvl w:val="0"/>
          <w:numId w:val="55"/>
        </w:numPr>
        <w:rPr>
          <w:sz w:val="20"/>
        </w:rPr>
      </w:pPr>
      <w:r w:rsidRPr="00B50008">
        <w:rPr>
          <w:sz w:val="20"/>
        </w:rPr>
        <w:t>La calidad del desarrollo de programas informáticos se define de la manera siguiente:</w:t>
      </w:r>
    </w:p>
    <w:p w:rsidR="00924611" w:rsidRPr="00B50008" w:rsidRDefault="00924611" w:rsidP="00924611">
      <w:pPr>
        <w:pStyle w:val="ListParagraph"/>
        <w:widowControl w:val="0"/>
        <w:ind w:left="0"/>
        <w:rPr>
          <w:rFonts w:ascii="Arial" w:hAnsi="Arial" w:cs="Arial"/>
          <w:sz w:val="20"/>
          <w:szCs w:val="20"/>
          <w:lang w:val="es-ES"/>
        </w:rPr>
      </w:pPr>
    </w:p>
    <w:p w:rsidR="00924611" w:rsidRPr="00B50008" w:rsidRDefault="00924611" w:rsidP="00924611">
      <w:pPr>
        <w:widowControl w:val="0"/>
        <w:jc w:val="center"/>
        <w:rPr>
          <w:sz w:val="20"/>
        </w:rPr>
      </w:pPr>
      <w:r w:rsidRPr="00B50008">
        <w:rPr>
          <w:noProof/>
          <w:lang w:val="en-US" w:eastAsia="en-US"/>
        </w:rPr>
        <w:drawing>
          <wp:inline distT="0" distB="0" distL="0" distR="0" wp14:anchorId="6A33A7E6" wp14:editId="5ABD1245">
            <wp:extent cx="4614545" cy="351155"/>
            <wp:effectExtent l="0" t="0" r="0" b="0"/>
            <wp:docPr id="805" name="Imagen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4614545" cy="351155"/>
                    </a:xfrm>
                    <a:prstGeom prst="rect">
                      <a:avLst/>
                    </a:prstGeom>
                    <a:noFill/>
                    <a:ln>
                      <a:noFill/>
                    </a:ln>
                  </pic:spPr>
                </pic:pic>
              </a:graphicData>
            </a:graphic>
          </wp:inline>
        </w:drawing>
      </w:r>
    </w:p>
    <w:p w:rsidR="00924611" w:rsidRPr="00B50008" w:rsidRDefault="00924611" w:rsidP="00924611">
      <w:pPr>
        <w:pStyle w:val="BodyText2"/>
        <w:widowControl w:val="0"/>
        <w:spacing w:after="0" w:line="240" w:lineRule="auto"/>
        <w:jc w:val="both"/>
        <w:rPr>
          <w:rFonts w:ascii="Arial" w:hAnsi="Arial" w:cs="Arial"/>
          <w:sz w:val="20"/>
          <w:szCs w:val="20"/>
          <w:lang w:val="es-ES"/>
        </w:rPr>
      </w:pPr>
    </w:p>
    <w:p w:rsidR="00924611" w:rsidRPr="00B50008" w:rsidRDefault="00924611" w:rsidP="00924611">
      <w:pPr>
        <w:widowControl w:val="0"/>
        <w:numPr>
          <w:ilvl w:val="0"/>
          <w:numId w:val="55"/>
        </w:numPr>
        <w:rPr>
          <w:sz w:val="20"/>
        </w:rPr>
      </w:pPr>
      <w:r w:rsidRPr="00B50008">
        <w:rPr>
          <w:sz w:val="20"/>
          <w:highlight w:val="white"/>
        </w:rPr>
        <w:t>En 2014, la calidad de las principales versiones</w:t>
      </w:r>
      <w:r w:rsidRPr="00B50008">
        <w:rPr>
          <w:sz w:val="20"/>
        </w:rPr>
        <w:t>, definida por la calidad del desarrollo de programas informáticos, fue del 94,3%.  Esa proporción equivale a prácticamente cinco puntos porcentuales más que en 2013.</w:t>
      </w:r>
    </w:p>
    <w:p w:rsidR="00924611" w:rsidRPr="00B50008" w:rsidRDefault="00924611" w:rsidP="00924611">
      <w:pPr>
        <w:widowControl w:val="0"/>
      </w:pPr>
    </w:p>
    <w:p w:rsidR="00924611" w:rsidRPr="00B50008" w:rsidRDefault="00924611" w:rsidP="00924611">
      <w:pPr>
        <w:keepNext/>
        <w:widowControl w:val="0"/>
        <w:jc w:val="center"/>
        <w:rPr>
          <w:b/>
          <w:sz w:val="20"/>
        </w:rPr>
      </w:pPr>
      <w:r w:rsidRPr="00B50008">
        <w:rPr>
          <w:b/>
          <w:sz w:val="20"/>
        </w:rPr>
        <w:lastRenderedPageBreak/>
        <w:t>Calidad del desarrollo de programas informáticos</w:t>
      </w:r>
    </w:p>
    <w:p w:rsidR="00924611" w:rsidRPr="00B50008" w:rsidRDefault="00924611" w:rsidP="00924611">
      <w:pPr>
        <w:widowControl w:val="0"/>
        <w:jc w:val="center"/>
        <w:rPr>
          <w:b/>
          <w:sz w:val="20"/>
        </w:rPr>
      </w:pPr>
      <w:r w:rsidRPr="00B50008">
        <w:rPr>
          <w:b/>
          <w:noProof/>
          <w:sz w:val="20"/>
          <w:lang w:val="en-US" w:eastAsia="en-US"/>
        </w:rPr>
        <w:drawing>
          <wp:inline distT="0" distB="0" distL="0" distR="0" wp14:anchorId="2272DA9A" wp14:editId="2B391140">
            <wp:extent cx="5741670" cy="3413125"/>
            <wp:effectExtent l="0" t="0" r="0" b="0"/>
            <wp:docPr id="801" name="Imagen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5741670" cy="3413125"/>
                    </a:xfrm>
                    <a:prstGeom prst="rect">
                      <a:avLst/>
                    </a:prstGeom>
                    <a:noFill/>
                    <a:ln>
                      <a:noFill/>
                    </a:ln>
                  </pic:spPr>
                </pic:pic>
              </a:graphicData>
            </a:graphic>
          </wp:inline>
        </w:drawing>
      </w:r>
    </w:p>
    <w:p w:rsidR="00924611" w:rsidRPr="00B50008" w:rsidRDefault="00924611" w:rsidP="00924611">
      <w:pPr>
        <w:widowControl w:val="0"/>
        <w:rPr>
          <w:i/>
          <w:sz w:val="20"/>
        </w:rPr>
      </w:pPr>
      <w:r w:rsidRPr="00B50008">
        <w:rPr>
          <w:i/>
          <w:sz w:val="20"/>
        </w:rPr>
        <w:t>Niveles de los servicios prestados por los sistemas de Información</w:t>
      </w:r>
    </w:p>
    <w:p w:rsidR="00924611" w:rsidRPr="00B50008" w:rsidRDefault="00924611" w:rsidP="00924611">
      <w:pPr>
        <w:pStyle w:val="BodyText2"/>
        <w:widowControl w:val="0"/>
        <w:spacing w:after="0" w:line="240" w:lineRule="auto"/>
        <w:rPr>
          <w:rFonts w:cs="Arial"/>
          <w:lang w:val="es-ES"/>
        </w:rPr>
      </w:pPr>
    </w:p>
    <w:p w:rsidR="00924611" w:rsidRPr="00B50008" w:rsidRDefault="00924611" w:rsidP="00924611">
      <w:pPr>
        <w:widowControl w:val="0"/>
        <w:numPr>
          <w:ilvl w:val="0"/>
          <w:numId w:val="55"/>
        </w:numPr>
        <w:rPr>
          <w:rFonts w:eastAsia="Times New Roman"/>
          <w:sz w:val="20"/>
          <w:lang w:eastAsia="en-GB"/>
        </w:rPr>
      </w:pPr>
      <w:r w:rsidRPr="00B50008">
        <w:rPr>
          <w:sz w:val="20"/>
        </w:rPr>
        <w:t xml:space="preserve">El indicador de rendimiento denominado niveles de los servicios prestados por los sistemas de Información </w:t>
      </w:r>
      <w:r w:rsidRPr="00B50008">
        <w:rPr>
          <w:rFonts w:eastAsia="Times New Roman"/>
          <w:sz w:val="20"/>
          <w:lang w:eastAsia="en-GB"/>
        </w:rPr>
        <w:t>refleja el rendimiento del servicio prestado a los usuarios por el Servicio de Sistemas de Información del PCT</w:t>
      </w:r>
      <w:r w:rsidRPr="00B50008">
        <w:rPr>
          <w:rFonts w:eastAsia="Times New Roman"/>
          <w:sz w:val="20"/>
          <w:highlight w:val="white"/>
          <w:lang w:eastAsia="en-GB"/>
        </w:rPr>
        <w:t>, sobre la base de su capacidad de cumplir con los objetivos acordados</w:t>
      </w:r>
      <w:r w:rsidRPr="00B50008">
        <w:rPr>
          <w:rFonts w:eastAsia="Times New Roman"/>
          <w:sz w:val="20"/>
          <w:lang w:eastAsia="en-GB"/>
        </w:rPr>
        <w:t>.</w:t>
      </w:r>
    </w:p>
    <w:p w:rsidR="00924611" w:rsidRPr="00B50008" w:rsidRDefault="00924611" w:rsidP="00924611">
      <w:pPr>
        <w:pStyle w:val="BodyText2"/>
        <w:widowControl w:val="0"/>
        <w:spacing w:after="0" w:line="240" w:lineRule="auto"/>
        <w:rPr>
          <w:rFonts w:ascii="Arial" w:hAnsi="Arial" w:cs="Arial"/>
          <w:sz w:val="20"/>
          <w:szCs w:val="20"/>
          <w:lang w:val="es-ES"/>
        </w:rPr>
      </w:pPr>
    </w:p>
    <w:p w:rsidR="00924611" w:rsidRPr="00B50008" w:rsidRDefault="00924611" w:rsidP="00924611">
      <w:pPr>
        <w:widowControl w:val="0"/>
        <w:numPr>
          <w:ilvl w:val="0"/>
          <w:numId w:val="55"/>
        </w:numPr>
        <w:rPr>
          <w:rFonts w:eastAsia="Times New Roman"/>
          <w:sz w:val="20"/>
          <w:lang w:eastAsia="en-GB"/>
        </w:rPr>
      </w:pPr>
      <w:r w:rsidRPr="00B50008">
        <w:rPr>
          <w:sz w:val="20"/>
          <w:highlight w:val="white"/>
        </w:rPr>
        <w:t xml:space="preserve">Este indicador compuesto se calcula </w:t>
      </w:r>
      <w:r w:rsidRPr="00B50008">
        <w:rPr>
          <w:sz w:val="20"/>
        </w:rPr>
        <w:t xml:space="preserve">a partir del promedio ponderado de cinco indicadores de </w:t>
      </w:r>
      <w:r w:rsidRPr="00B50008">
        <w:rPr>
          <w:sz w:val="20"/>
          <w:highlight w:val="white"/>
        </w:rPr>
        <w:t>rendimiento basados en objetivos</w:t>
      </w:r>
      <w:r w:rsidRPr="00B50008">
        <w:rPr>
          <w:rStyle w:val="FootnoteReference"/>
          <w:sz w:val="20"/>
        </w:rPr>
        <w:footnoteReference w:id="20"/>
      </w:r>
      <w:r w:rsidRPr="00B50008">
        <w:rPr>
          <w:rFonts w:eastAsia="Times New Roman"/>
          <w:sz w:val="20"/>
          <w:lang w:eastAsia="en-GB"/>
        </w:rPr>
        <w:t xml:space="preserve">.  Cada </w:t>
      </w:r>
      <w:r w:rsidRPr="00B50008">
        <w:rPr>
          <w:rFonts w:eastAsia="Times New Roman"/>
          <w:sz w:val="20"/>
          <w:highlight w:val="white"/>
          <w:lang w:eastAsia="en-GB"/>
        </w:rPr>
        <w:t>indicador se expresa como porcentaje del objetivo efectivamente cumplido</w:t>
      </w:r>
      <w:r w:rsidRPr="00B50008">
        <w:rPr>
          <w:rFonts w:eastAsia="Times New Roman"/>
          <w:sz w:val="20"/>
          <w:lang w:eastAsia="en-GB"/>
        </w:rPr>
        <w:t>.</w:t>
      </w:r>
    </w:p>
    <w:p w:rsidR="00924611" w:rsidRPr="00B50008" w:rsidRDefault="00924611" w:rsidP="00924611">
      <w:pPr>
        <w:widowControl w:val="0"/>
        <w:autoSpaceDE w:val="0"/>
        <w:autoSpaceDN w:val="0"/>
        <w:adjustRightInd w:val="0"/>
        <w:jc w:val="both"/>
        <w:rPr>
          <w:rFonts w:eastAsia="Times New Roman"/>
          <w:sz w:val="20"/>
          <w:lang w:eastAsia="en-GB"/>
        </w:rPr>
      </w:pPr>
    </w:p>
    <w:p w:rsidR="00924611" w:rsidRPr="00B50008" w:rsidRDefault="00924611" w:rsidP="00924611">
      <w:pPr>
        <w:widowControl w:val="0"/>
        <w:numPr>
          <w:ilvl w:val="0"/>
          <w:numId w:val="55"/>
        </w:numPr>
        <w:rPr>
          <w:sz w:val="20"/>
        </w:rPr>
      </w:pPr>
      <w:r w:rsidRPr="00B50008">
        <w:rPr>
          <w:sz w:val="20"/>
        </w:rPr>
        <w:t xml:space="preserve">En 2014, el nivel general de servicios fue del </w:t>
      </w:r>
      <w:r w:rsidRPr="00B50008">
        <w:rPr>
          <w:sz w:val="20"/>
          <w:highlight w:val="white"/>
        </w:rPr>
        <w:t>95,3%</w:t>
      </w:r>
      <w:r w:rsidRPr="00B50008">
        <w:rPr>
          <w:sz w:val="20"/>
        </w:rPr>
        <w:t xml:space="preserve"> en relación con el cumplimiento de los niveles de rendimiento prefijados como objetivo.</w:t>
      </w:r>
    </w:p>
    <w:p w:rsidR="00924611" w:rsidRPr="00B50008" w:rsidRDefault="00924611" w:rsidP="00924611">
      <w:pPr>
        <w:widowControl w:val="0"/>
        <w:autoSpaceDE w:val="0"/>
        <w:autoSpaceDN w:val="0"/>
        <w:adjustRightInd w:val="0"/>
        <w:jc w:val="both"/>
      </w:pPr>
    </w:p>
    <w:p w:rsidR="00924611" w:rsidRPr="00B50008" w:rsidRDefault="00924611" w:rsidP="00924611">
      <w:pPr>
        <w:widowControl w:val="0"/>
        <w:jc w:val="center"/>
        <w:rPr>
          <w:b/>
          <w:sz w:val="20"/>
        </w:rPr>
      </w:pPr>
    </w:p>
    <w:p w:rsidR="00924611" w:rsidRPr="00B50008" w:rsidRDefault="00924611" w:rsidP="00924611">
      <w:pPr>
        <w:widowControl w:val="0"/>
        <w:jc w:val="center"/>
        <w:rPr>
          <w:b/>
          <w:sz w:val="20"/>
        </w:rPr>
      </w:pPr>
      <w:r w:rsidRPr="00B50008">
        <w:rPr>
          <w:b/>
          <w:sz w:val="20"/>
        </w:rPr>
        <w:br w:type="page"/>
      </w:r>
      <w:r w:rsidRPr="00B50008">
        <w:rPr>
          <w:b/>
          <w:sz w:val="20"/>
        </w:rPr>
        <w:lastRenderedPageBreak/>
        <w:t>Niveles de los servicios prestados por los sistemas de información</w:t>
      </w:r>
    </w:p>
    <w:p w:rsidR="00924611" w:rsidRPr="00B50008" w:rsidRDefault="00924611" w:rsidP="00924611">
      <w:pPr>
        <w:widowControl w:val="0"/>
        <w:autoSpaceDE w:val="0"/>
        <w:autoSpaceDN w:val="0"/>
        <w:adjustRightInd w:val="0"/>
        <w:rPr>
          <w:rFonts w:eastAsia="Times New Roman"/>
          <w:lang w:eastAsia="en-GB"/>
        </w:rPr>
      </w:pP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534"/>
        <w:gridCol w:w="2002"/>
        <w:gridCol w:w="1984"/>
        <w:gridCol w:w="1134"/>
        <w:gridCol w:w="1101"/>
      </w:tblGrid>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Id</w:t>
            </w:r>
          </w:p>
        </w:tc>
        <w:tc>
          <w:tcPr>
            <w:tcW w:w="2534" w:type="dxa"/>
            <w:shd w:val="clear" w:color="auto" w:fill="auto"/>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 xml:space="preserve">Indicadores de rendimiento </w:t>
            </w:r>
          </w:p>
          <w:p w:rsidR="00924611" w:rsidRPr="00B50008" w:rsidRDefault="00924611" w:rsidP="00781224">
            <w:pPr>
              <w:widowControl w:val="0"/>
              <w:autoSpaceDE w:val="0"/>
              <w:autoSpaceDN w:val="0"/>
              <w:adjustRightInd w:val="0"/>
              <w:jc w:val="center"/>
              <w:rPr>
                <w:rFonts w:eastAsia="Times New Roman"/>
                <w:b/>
                <w:i/>
                <w:sz w:val="20"/>
                <w:lang w:eastAsia="en-GB"/>
              </w:rPr>
            </w:pPr>
            <w:r w:rsidRPr="00B50008">
              <w:rPr>
                <w:rFonts w:eastAsia="Times New Roman"/>
                <w:b/>
                <w:i/>
                <w:sz w:val="20"/>
                <w:lang w:eastAsia="en-GB"/>
              </w:rPr>
              <w:t>Breve descripción</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Objetivos</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Condiciones</w:t>
            </w:r>
          </w:p>
        </w:tc>
        <w:tc>
          <w:tcPr>
            <w:tcW w:w="1134" w:type="dxa"/>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Resulta-dos de 2013</w:t>
            </w:r>
          </w:p>
        </w:tc>
        <w:tc>
          <w:tcPr>
            <w:tcW w:w="1101" w:type="dxa"/>
            <w:tcMar>
              <w:top w:w="85" w:type="dxa"/>
              <w:bottom w:w="85" w:type="dxa"/>
            </w:tcMar>
          </w:tcPr>
          <w:p w:rsidR="00924611" w:rsidRPr="00B50008" w:rsidRDefault="00924611" w:rsidP="00781224">
            <w:pPr>
              <w:widowControl w:val="0"/>
              <w:autoSpaceDE w:val="0"/>
              <w:autoSpaceDN w:val="0"/>
              <w:adjustRightInd w:val="0"/>
              <w:jc w:val="center"/>
              <w:rPr>
                <w:rFonts w:eastAsia="Times New Roman"/>
                <w:b/>
                <w:sz w:val="20"/>
                <w:lang w:eastAsia="en-GB"/>
              </w:rPr>
            </w:pPr>
            <w:r w:rsidRPr="00B50008">
              <w:rPr>
                <w:rFonts w:eastAsia="Times New Roman"/>
                <w:b/>
                <w:sz w:val="20"/>
                <w:lang w:eastAsia="en-GB"/>
              </w:rPr>
              <w:t>Resulta-dos de 2014</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rPr>
                <w:sz w:val="16"/>
                <w:szCs w:val="16"/>
                <w:lang w:eastAsia="en-GB"/>
              </w:rPr>
            </w:pPr>
            <w:r w:rsidRPr="00B50008">
              <w:rPr>
                <w:sz w:val="16"/>
                <w:szCs w:val="16"/>
                <w:lang w:eastAsia="en-GB"/>
              </w:rPr>
              <w:t xml:space="preserve">1) </w:t>
            </w:r>
          </w:p>
        </w:tc>
        <w:tc>
          <w:tcPr>
            <w:tcW w:w="2534" w:type="dxa"/>
            <w:shd w:val="clear" w:color="auto" w:fill="auto"/>
            <w:tcMar>
              <w:top w:w="85" w:type="dxa"/>
              <w:bottom w:w="85" w:type="dxa"/>
            </w:tcMar>
          </w:tcPr>
          <w:p w:rsidR="00924611" w:rsidRPr="00B50008" w:rsidRDefault="00924611" w:rsidP="00781224">
            <w:pPr>
              <w:widowControl w:val="0"/>
              <w:rPr>
                <w:sz w:val="16"/>
                <w:szCs w:val="16"/>
                <w:lang w:eastAsia="en-GB"/>
              </w:rPr>
            </w:pPr>
            <w:r w:rsidRPr="00B50008">
              <w:rPr>
                <w:sz w:val="16"/>
                <w:szCs w:val="16"/>
                <w:lang w:eastAsia="en-GB"/>
              </w:rPr>
              <w:t>Tiempo de solución de incidentes</w:t>
            </w:r>
          </w:p>
          <w:p w:rsidR="00924611" w:rsidRPr="00B50008" w:rsidRDefault="00924611" w:rsidP="00781224">
            <w:pPr>
              <w:widowControl w:val="0"/>
              <w:rPr>
                <w:i/>
                <w:sz w:val="16"/>
                <w:szCs w:val="16"/>
                <w:lang w:eastAsia="en-GB"/>
              </w:rPr>
            </w:pPr>
            <w:r w:rsidRPr="00B50008">
              <w:rPr>
                <w:i/>
                <w:sz w:val="16"/>
                <w:szCs w:val="16"/>
                <w:lang w:eastAsia="en-GB"/>
              </w:rPr>
              <w:t xml:space="preserve">Horas de trabajo (de 7 a 19, en días laborables en la OMPI) entre la creación de un ticket y la solución. </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1:  4 horas</w:t>
            </w:r>
          </w:p>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2:  2 días</w:t>
            </w:r>
          </w:p>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Gravedad </w:t>
            </w:r>
            <w:r w:rsidRPr="00B50008">
              <w:rPr>
                <w:rFonts w:eastAsia="Times New Roman"/>
                <w:sz w:val="16"/>
                <w:szCs w:val="16"/>
                <w:highlight w:val="white"/>
                <w:lang w:eastAsia="en-GB"/>
              </w:rPr>
              <w:t>3:  5 días</w:t>
            </w:r>
          </w:p>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Gravedad 4:  10 días</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Tickets de producción y asistencia </w:t>
            </w:r>
            <w:r w:rsidRPr="00B50008">
              <w:rPr>
                <w:rFonts w:eastAsia="Times New Roman"/>
                <w:sz w:val="16"/>
                <w:szCs w:val="16"/>
                <w:highlight w:val="white"/>
                <w:lang w:eastAsia="en-GB"/>
              </w:rPr>
              <w:t xml:space="preserve">resueltos por el equipo de </w:t>
            </w:r>
            <w:r w:rsidRPr="00B50008">
              <w:rPr>
                <w:rFonts w:eastAsia="Times New Roman"/>
                <w:sz w:val="16"/>
                <w:szCs w:val="16"/>
                <w:lang w:eastAsia="en-GB"/>
              </w:rPr>
              <w:t>asistencia</w:t>
            </w:r>
          </w:p>
        </w:tc>
        <w:tc>
          <w:tcPr>
            <w:tcW w:w="1134"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85,5%</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88,8%</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rPr>
                <w:sz w:val="16"/>
                <w:szCs w:val="16"/>
                <w:lang w:eastAsia="en-GB"/>
              </w:rPr>
            </w:pPr>
            <w:r w:rsidRPr="00B50008">
              <w:rPr>
                <w:sz w:val="16"/>
                <w:szCs w:val="16"/>
                <w:lang w:eastAsia="en-GB"/>
              </w:rPr>
              <w:t xml:space="preserve">2) </w:t>
            </w:r>
          </w:p>
        </w:tc>
        <w:tc>
          <w:tcPr>
            <w:tcW w:w="2534" w:type="dxa"/>
            <w:shd w:val="clear" w:color="auto" w:fill="auto"/>
            <w:tcMar>
              <w:top w:w="85" w:type="dxa"/>
              <w:bottom w:w="85" w:type="dxa"/>
            </w:tcMar>
          </w:tcPr>
          <w:p w:rsidR="00924611" w:rsidRPr="00B50008" w:rsidRDefault="00924611" w:rsidP="00781224">
            <w:pPr>
              <w:widowControl w:val="0"/>
              <w:rPr>
                <w:sz w:val="16"/>
                <w:szCs w:val="16"/>
                <w:lang w:eastAsia="en-GB"/>
              </w:rPr>
            </w:pPr>
            <w:r w:rsidRPr="00B50008">
              <w:rPr>
                <w:sz w:val="16"/>
                <w:szCs w:val="16"/>
                <w:lang w:eastAsia="en-GB"/>
              </w:rPr>
              <w:t>Tiempo necesario para cargar documentos</w:t>
            </w:r>
          </w:p>
          <w:p w:rsidR="00924611" w:rsidRPr="00B50008" w:rsidRDefault="00924611" w:rsidP="00781224">
            <w:pPr>
              <w:widowControl w:val="0"/>
              <w:rPr>
                <w:sz w:val="16"/>
                <w:szCs w:val="16"/>
                <w:lang w:eastAsia="en-GB"/>
              </w:rPr>
            </w:pPr>
            <w:r w:rsidRPr="00B50008">
              <w:rPr>
                <w:i/>
                <w:sz w:val="16"/>
                <w:szCs w:val="16"/>
                <w:lang w:eastAsia="en-GB"/>
              </w:rPr>
              <w:t>Tiempo transcurrido entre la recepción del documento en la Oficina Internacional</w:t>
            </w:r>
            <w:r w:rsidRPr="00B50008">
              <w:rPr>
                <w:i/>
                <w:sz w:val="16"/>
                <w:szCs w:val="16"/>
                <w:highlight w:val="white"/>
                <w:lang w:eastAsia="en-GB"/>
              </w:rPr>
              <w:t xml:space="preserve"> y su disponibilidad en </w:t>
            </w:r>
            <w:r w:rsidRPr="00B50008">
              <w:rPr>
                <w:sz w:val="16"/>
                <w:szCs w:val="16"/>
                <w:lang w:eastAsia="en-GB"/>
              </w:rPr>
              <w:t>eDossier</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8 horas</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Documentos cargados mediante un proceso total o parcialmente automatizado</w:t>
            </w:r>
          </w:p>
        </w:tc>
        <w:tc>
          <w:tcPr>
            <w:tcW w:w="1134"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80,0%</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88,2%</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3) </w:t>
            </w:r>
          </w:p>
        </w:tc>
        <w:tc>
          <w:tcPr>
            <w:tcW w:w="2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Índice de éxito para el tratamiento de trabajos en lote</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100%</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Los trabajos en lote se completan antes de la hora de cierre en la fecha prevista</w:t>
            </w:r>
          </w:p>
        </w:tc>
        <w:tc>
          <w:tcPr>
            <w:tcW w:w="1134"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99,6%</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99,5%</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4)</w:t>
            </w:r>
          </w:p>
        </w:tc>
        <w:tc>
          <w:tcPr>
            <w:tcW w:w="2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Disponibilidad del sistema </w:t>
            </w:r>
            <w:r w:rsidRPr="00B50008">
              <w:rPr>
                <w:rFonts w:eastAsia="Times New Roman"/>
                <w:i/>
                <w:sz w:val="16"/>
                <w:szCs w:val="16"/>
                <w:lang w:eastAsia="en-GB"/>
              </w:rPr>
              <w:t>eDossier</w:t>
            </w:r>
            <w:r w:rsidRPr="00B50008">
              <w:rPr>
                <w:rFonts w:eastAsia="Times New Roman"/>
                <w:sz w:val="16"/>
                <w:szCs w:val="16"/>
                <w:lang w:eastAsia="en-GB"/>
              </w:rPr>
              <w:t xml:space="preserve"> </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99%</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De 7 a 19, en días laborables</w:t>
            </w:r>
          </w:p>
        </w:tc>
        <w:tc>
          <w:tcPr>
            <w:tcW w:w="1134"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100,0%</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100,0%</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5) </w:t>
            </w:r>
          </w:p>
        </w:tc>
        <w:tc>
          <w:tcPr>
            <w:tcW w:w="2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 xml:space="preserve">Disponibilidad del sistema </w:t>
            </w:r>
            <w:r w:rsidRPr="00B50008">
              <w:rPr>
                <w:rFonts w:eastAsia="Times New Roman"/>
                <w:i/>
                <w:sz w:val="16"/>
                <w:szCs w:val="16"/>
                <w:lang w:eastAsia="en-GB"/>
              </w:rPr>
              <w:t>ePCT</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99%</w:t>
            </w: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sz w:val="16"/>
                <w:szCs w:val="16"/>
                <w:lang w:eastAsia="en-GB"/>
              </w:rPr>
            </w:pPr>
            <w:r w:rsidRPr="00B50008">
              <w:rPr>
                <w:rFonts w:eastAsia="Times New Roman"/>
                <w:sz w:val="16"/>
                <w:szCs w:val="16"/>
                <w:lang w:eastAsia="en-GB"/>
              </w:rPr>
              <w:t>24 horas</w:t>
            </w:r>
          </w:p>
        </w:tc>
        <w:tc>
          <w:tcPr>
            <w:tcW w:w="1134"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100,0%</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rFonts w:eastAsia="Times New Roman"/>
                <w:sz w:val="16"/>
                <w:szCs w:val="16"/>
                <w:lang w:eastAsia="en-GB"/>
              </w:rPr>
            </w:pPr>
            <w:r w:rsidRPr="00B50008">
              <w:rPr>
                <w:sz w:val="16"/>
                <w:szCs w:val="16"/>
              </w:rPr>
              <w:t>100,0%</w:t>
            </w:r>
          </w:p>
        </w:tc>
      </w:tr>
      <w:tr w:rsidR="00924611" w:rsidRPr="00B50008" w:rsidTr="00781224">
        <w:trPr>
          <w:jc w:val="center"/>
        </w:trPr>
        <w:tc>
          <w:tcPr>
            <w:tcW w:w="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b/>
                <w:sz w:val="16"/>
                <w:szCs w:val="16"/>
                <w:lang w:eastAsia="en-GB"/>
              </w:rPr>
            </w:pPr>
          </w:p>
        </w:tc>
        <w:tc>
          <w:tcPr>
            <w:tcW w:w="253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b/>
                <w:sz w:val="16"/>
                <w:szCs w:val="16"/>
                <w:lang w:eastAsia="en-GB"/>
              </w:rPr>
            </w:pPr>
            <w:r w:rsidRPr="00B50008">
              <w:rPr>
                <w:rFonts w:eastAsia="Times New Roman"/>
                <w:b/>
                <w:sz w:val="16"/>
                <w:szCs w:val="16"/>
                <w:highlight w:val="white"/>
                <w:lang w:eastAsia="en-GB"/>
              </w:rPr>
              <w:t>Niveles de los servicios prestados por los sistemas de Información</w:t>
            </w:r>
          </w:p>
          <w:p w:rsidR="00924611" w:rsidRPr="00B50008" w:rsidRDefault="00924611" w:rsidP="00781224">
            <w:pPr>
              <w:widowControl w:val="0"/>
              <w:autoSpaceDE w:val="0"/>
              <w:autoSpaceDN w:val="0"/>
              <w:adjustRightInd w:val="0"/>
              <w:rPr>
                <w:rFonts w:eastAsia="Times New Roman"/>
                <w:b/>
                <w:i/>
                <w:sz w:val="16"/>
                <w:szCs w:val="16"/>
                <w:lang w:eastAsia="en-GB"/>
              </w:rPr>
            </w:pPr>
            <w:r w:rsidRPr="00B50008">
              <w:rPr>
                <w:rFonts w:eastAsia="Times New Roman"/>
                <w:b/>
                <w:i/>
                <w:sz w:val="16"/>
                <w:szCs w:val="16"/>
                <w:highlight w:val="white"/>
                <w:lang w:eastAsia="en-GB"/>
              </w:rPr>
              <w:t xml:space="preserve">Promedio ponderado de los indicadores que figuran </w:t>
            </w:r>
            <w:r w:rsidRPr="00B50008">
              <w:rPr>
                <w:rFonts w:eastAsia="Times New Roman"/>
                <w:b/>
                <w:sz w:val="16"/>
                <w:szCs w:val="16"/>
                <w:highlight w:val="white"/>
                <w:lang w:eastAsia="en-GB"/>
              </w:rPr>
              <w:t>supra</w:t>
            </w:r>
            <w:r w:rsidRPr="00B50008">
              <w:rPr>
                <w:rFonts w:eastAsia="Times New Roman"/>
                <w:b/>
                <w:i/>
                <w:sz w:val="16"/>
                <w:szCs w:val="16"/>
                <w:lang w:eastAsia="en-GB"/>
              </w:rPr>
              <w:t>:  1):  20%, 2):  20%, 3):  20%, 4):  20%, 5):  20%.</w:t>
            </w:r>
          </w:p>
        </w:tc>
        <w:tc>
          <w:tcPr>
            <w:tcW w:w="2002"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b/>
                <w:sz w:val="16"/>
                <w:szCs w:val="16"/>
                <w:lang w:eastAsia="en-GB"/>
              </w:rPr>
            </w:pPr>
          </w:p>
        </w:tc>
        <w:tc>
          <w:tcPr>
            <w:tcW w:w="1984" w:type="dxa"/>
            <w:shd w:val="clear" w:color="auto" w:fill="auto"/>
            <w:tcMar>
              <w:top w:w="85" w:type="dxa"/>
              <w:bottom w:w="85" w:type="dxa"/>
            </w:tcMar>
          </w:tcPr>
          <w:p w:rsidR="00924611" w:rsidRPr="00B50008" w:rsidRDefault="00924611" w:rsidP="00781224">
            <w:pPr>
              <w:widowControl w:val="0"/>
              <w:autoSpaceDE w:val="0"/>
              <w:autoSpaceDN w:val="0"/>
              <w:adjustRightInd w:val="0"/>
              <w:rPr>
                <w:rFonts w:eastAsia="Times New Roman"/>
                <w:b/>
                <w:sz w:val="16"/>
                <w:szCs w:val="16"/>
                <w:lang w:eastAsia="en-GB"/>
              </w:rPr>
            </w:pPr>
          </w:p>
        </w:tc>
        <w:tc>
          <w:tcPr>
            <w:tcW w:w="1134" w:type="dxa"/>
            <w:tcMar>
              <w:top w:w="85" w:type="dxa"/>
              <w:bottom w:w="85" w:type="dxa"/>
            </w:tcMar>
          </w:tcPr>
          <w:p w:rsidR="00924611" w:rsidRPr="00B50008" w:rsidRDefault="00924611" w:rsidP="00781224">
            <w:pPr>
              <w:widowControl w:val="0"/>
              <w:autoSpaceDE w:val="0"/>
              <w:autoSpaceDN w:val="0"/>
              <w:adjustRightInd w:val="0"/>
              <w:jc w:val="right"/>
              <w:rPr>
                <w:b/>
                <w:sz w:val="16"/>
                <w:szCs w:val="16"/>
              </w:rPr>
            </w:pPr>
            <w:r w:rsidRPr="00B50008">
              <w:rPr>
                <w:b/>
                <w:sz w:val="16"/>
                <w:szCs w:val="16"/>
              </w:rPr>
              <w:t>93,0%</w:t>
            </w:r>
          </w:p>
        </w:tc>
        <w:tc>
          <w:tcPr>
            <w:tcW w:w="1101" w:type="dxa"/>
            <w:tcMar>
              <w:top w:w="85" w:type="dxa"/>
              <w:bottom w:w="85" w:type="dxa"/>
            </w:tcMar>
          </w:tcPr>
          <w:p w:rsidR="00924611" w:rsidRPr="00B50008" w:rsidRDefault="00924611" w:rsidP="00781224">
            <w:pPr>
              <w:widowControl w:val="0"/>
              <w:autoSpaceDE w:val="0"/>
              <w:autoSpaceDN w:val="0"/>
              <w:adjustRightInd w:val="0"/>
              <w:jc w:val="right"/>
              <w:rPr>
                <w:b/>
                <w:sz w:val="16"/>
                <w:szCs w:val="16"/>
              </w:rPr>
            </w:pPr>
            <w:r w:rsidRPr="00B50008">
              <w:rPr>
                <w:b/>
                <w:sz w:val="16"/>
                <w:szCs w:val="16"/>
              </w:rPr>
              <w:t>95,3%</w:t>
            </w:r>
          </w:p>
        </w:tc>
      </w:tr>
    </w:tbl>
    <w:p w:rsidR="00924611" w:rsidRPr="00B50008" w:rsidRDefault="00924611" w:rsidP="00924611">
      <w:pPr>
        <w:widowControl w:val="0"/>
        <w:autoSpaceDE w:val="0"/>
        <w:autoSpaceDN w:val="0"/>
        <w:adjustRightInd w:val="0"/>
        <w:rPr>
          <w:rFonts w:eastAsia="Times New Roman"/>
          <w:lang w:eastAsia="en-GB"/>
        </w:rPr>
      </w:pPr>
    </w:p>
    <w:p w:rsidR="00924611" w:rsidRPr="00B50008" w:rsidRDefault="00924611" w:rsidP="00924611">
      <w:pPr>
        <w:widowControl w:val="0"/>
        <w:rPr>
          <w:b/>
          <w:sz w:val="20"/>
          <w:szCs w:val="16"/>
          <w:highlight w:val="yellow"/>
        </w:rPr>
      </w:pPr>
    </w:p>
    <w:p w:rsidR="00924611" w:rsidRPr="00B50008" w:rsidRDefault="00924611" w:rsidP="00924611">
      <w:pPr>
        <w:widowControl w:val="0"/>
        <w:rPr>
          <w:b/>
          <w:sz w:val="20"/>
          <w:szCs w:val="16"/>
        </w:rPr>
      </w:pPr>
      <w:r w:rsidRPr="00B50008">
        <w:rPr>
          <w:b/>
          <w:sz w:val="20"/>
          <w:szCs w:val="16"/>
          <w:highlight w:val="white"/>
        </w:rPr>
        <w:t>Oficina Internacional</w:t>
      </w:r>
      <w:r w:rsidRPr="00B50008">
        <w:rPr>
          <w:b/>
          <w:sz w:val="20"/>
          <w:szCs w:val="16"/>
        </w:rPr>
        <w:t xml:space="preserve"> actuando en calidad de Oficina receptora (RO/IB)</w:t>
      </w:r>
    </w:p>
    <w:p w:rsidR="00924611" w:rsidRPr="00B50008" w:rsidRDefault="00924611" w:rsidP="00924611">
      <w:pPr>
        <w:widowControl w:val="0"/>
        <w:rPr>
          <w:b/>
          <w:sz w:val="20"/>
          <w:szCs w:val="16"/>
        </w:rPr>
      </w:pPr>
    </w:p>
    <w:p w:rsidR="00924611" w:rsidRPr="00B50008" w:rsidRDefault="00924611" w:rsidP="00924611">
      <w:pPr>
        <w:widowControl w:val="0"/>
        <w:rPr>
          <w:i/>
          <w:sz w:val="20"/>
        </w:rPr>
      </w:pPr>
      <w:r w:rsidRPr="00B50008">
        <w:rPr>
          <w:i/>
          <w:sz w:val="20"/>
        </w:rPr>
        <w:t xml:space="preserve">Presentación de solicitudes </w:t>
      </w:r>
    </w:p>
    <w:p w:rsidR="00924611" w:rsidRPr="00B50008" w:rsidRDefault="00924611" w:rsidP="00924611">
      <w:pPr>
        <w:widowControl w:val="0"/>
        <w:rPr>
          <w:b/>
          <w:szCs w:val="18"/>
        </w:rPr>
      </w:pPr>
    </w:p>
    <w:p w:rsidR="00924611" w:rsidRPr="00B50008" w:rsidRDefault="00924611" w:rsidP="00924611">
      <w:pPr>
        <w:widowControl w:val="0"/>
        <w:numPr>
          <w:ilvl w:val="0"/>
          <w:numId w:val="55"/>
        </w:numPr>
        <w:rPr>
          <w:sz w:val="20"/>
        </w:rPr>
      </w:pPr>
      <w:r w:rsidRPr="00B50008">
        <w:rPr>
          <w:sz w:val="20"/>
        </w:rPr>
        <w:t xml:space="preserve">En este cuadro se muestra la actividad de presentación de solicitudes PCT con respecto a las diez principales oficinas receptoras desde los últimos cinco años hasta 2014.   En principio, las solicitudes PCT se presentan en la oficina de patentes del país de residencia del solicitante o en una oficina regional de patentes con jurisdicción sobre el lugar de residencia del solicitante.  </w:t>
      </w:r>
      <w:r w:rsidRPr="00B50008">
        <w:rPr>
          <w:sz w:val="20"/>
          <w:highlight w:val="white"/>
        </w:rPr>
        <w:t>La Oficina Internacional es la Oficina receptora competente</w:t>
      </w:r>
      <w:r w:rsidRPr="00B50008">
        <w:rPr>
          <w:sz w:val="20"/>
        </w:rPr>
        <w:t xml:space="preserve"> (RO/IB) para los solicitantes de todos los Estados contratantes del </w:t>
      </w:r>
      <w:r w:rsidRPr="00B50008">
        <w:rPr>
          <w:sz w:val="20"/>
          <w:highlight w:val="white"/>
        </w:rPr>
        <w:t xml:space="preserve"> PCT</w:t>
      </w:r>
      <w:r w:rsidRPr="00B50008">
        <w:rPr>
          <w:sz w:val="20"/>
        </w:rPr>
        <w:t xml:space="preserve">.  En el cuadro se muestra la evolución en la presentación de solicitudes ante la RO/IB, el </w:t>
      </w:r>
      <w:r w:rsidRPr="00B50008">
        <w:rPr>
          <w:i/>
          <w:sz w:val="20"/>
        </w:rPr>
        <w:t>ranking</w:t>
      </w:r>
      <w:r w:rsidRPr="00B50008">
        <w:rPr>
          <w:sz w:val="20"/>
        </w:rPr>
        <w:t xml:space="preserve"> que le corresponde en lo relativo al número de solicitudes recibidas por otras oficinas receptoras, así como su cuota de mercado.</w:t>
      </w:r>
    </w:p>
    <w:p w:rsidR="00924611" w:rsidRPr="00B50008" w:rsidRDefault="00924611" w:rsidP="00924611">
      <w:pPr>
        <w:widowControl w:val="0"/>
        <w:jc w:val="both"/>
        <w:rPr>
          <w:sz w:val="18"/>
          <w:szCs w:val="22"/>
          <w:highlight w:val="yellow"/>
        </w:rPr>
      </w:pPr>
    </w:p>
    <w:p w:rsidR="00924611" w:rsidRPr="00B50008" w:rsidRDefault="00924611" w:rsidP="00924611">
      <w:pPr>
        <w:widowControl w:val="0"/>
        <w:jc w:val="both"/>
        <w:rPr>
          <w:sz w:val="18"/>
          <w:szCs w:val="22"/>
          <w:highlight w:val="yellow"/>
        </w:rPr>
      </w:pPr>
      <w:r w:rsidRPr="00B50008">
        <w:rPr>
          <w:noProof/>
          <w:sz w:val="18"/>
          <w:szCs w:val="22"/>
          <w:lang w:val="en-US" w:eastAsia="en-US"/>
        </w:rPr>
        <w:lastRenderedPageBreak/>
        <w:drawing>
          <wp:inline distT="0" distB="0" distL="0" distR="0" wp14:anchorId="47578CC8" wp14:editId="04C0A7E8">
            <wp:extent cx="5741670" cy="2615565"/>
            <wp:effectExtent l="0" t="0" r="0" b="0"/>
            <wp:docPr id="802" name="Imagen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5741670" cy="2615565"/>
                    </a:xfrm>
                    <a:prstGeom prst="rect">
                      <a:avLst/>
                    </a:prstGeom>
                    <a:noFill/>
                    <a:ln>
                      <a:noFill/>
                    </a:ln>
                  </pic:spPr>
                </pic:pic>
              </a:graphicData>
            </a:graphic>
          </wp:inline>
        </w:drawing>
      </w:r>
    </w:p>
    <w:p w:rsidR="00924611" w:rsidRPr="00B50008" w:rsidRDefault="00924611" w:rsidP="00924611">
      <w:pPr>
        <w:widowControl w:val="0"/>
        <w:rPr>
          <w:sz w:val="18"/>
          <w:szCs w:val="22"/>
          <w:highlight w:val="yellow"/>
        </w:rPr>
      </w:pPr>
    </w:p>
    <w:p w:rsidR="00924611" w:rsidRPr="00B50008" w:rsidRDefault="00924611" w:rsidP="00924611">
      <w:pPr>
        <w:widowControl w:val="0"/>
        <w:numPr>
          <w:ilvl w:val="0"/>
          <w:numId w:val="55"/>
        </w:numPr>
        <w:rPr>
          <w:sz w:val="20"/>
        </w:rPr>
      </w:pPr>
      <w:r w:rsidRPr="00B50008">
        <w:rPr>
          <w:sz w:val="20"/>
          <w:highlight w:val="white"/>
        </w:rPr>
        <w:t>En el presupuesto por programas de 2014/15</w:t>
      </w:r>
      <w:r w:rsidRPr="00B50008">
        <w:rPr>
          <w:sz w:val="20"/>
        </w:rPr>
        <w:t xml:space="preserve">, se añadieron los dos indicadores de rendimiento siguientes para la </w:t>
      </w:r>
      <w:r w:rsidRPr="00B50008">
        <w:rPr>
          <w:sz w:val="20"/>
          <w:highlight w:val="white"/>
        </w:rPr>
        <w:t>RO/IB</w:t>
      </w:r>
      <w:r w:rsidRPr="00B50008">
        <w:rPr>
          <w:sz w:val="20"/>
        </w:rPr>
        <w:t>:</w:t>
      </w:r>
    </w:p>
    <w:p w:rsidR="00924611" w:rsidRPr="00B50008" w:rsidRDefault="00924611" w:rsidP="00924611">
      <w:pPr>
        <w:pStyle w:val="PlainText"/>
        <w:widowControl w:val="0"/>
        <w:rPr>
          <w:rFonts w:ascii="Arial" w:hAnsi="Arial" w:cs="Arial"/>
          <w:color w:val="auto"/>
          <w:lang w:val="es-ES"/>
        </w:rPr>
      </w:pPr>
    </w:p>
    <w:p w:rsidR="00924611" w:rsidRPr="00B50008" w:rsidRDefault="00924611" w:rsidP="00924611">
      <w:pPr>
        <w:pStyle w:val="PlainText"/>
        <w:widowControl w:val="0"/>
        <w:rPr>
          <w:rFonts w:ascii="Arial" w:hAnsi="Arial" w:cs="Arial"/>
          <w:color w:val="auto"/>
          <w:lang w:val="es-ES"/>
        </w:rPr>
      </w:pPr>
      <w:r w:rsidRPr="00B50008">
        <w:rPr>
          <w:rFonts w:ascii="Arial" w:hAnsi="Arial" w:cs="Arial"/>
          <w:i/>
          <w:color w:val="auto"/>
          <w:lang w:val="es-ES"/>
        </w:rPr>
        <w:t>Tiempo necesario para la notificación de la fecha de presentación de la solicitud internacional</w:t>
      </w:r>
    </w:p>
    <w:p w:rsidR="00924611" w:rsidRPr="00B50008" w:rsidRDefault="00924611" w:rsidP="00924611">
      <w:pPr>
        <w:pStyle w:val="PlainText"/>
        <w:widowControl w:val="0"/>
        <w:rPr>
          <w:rFonts w:ascii="Arial" w:hAnsi="Arial" w:cs="Arial"/>
          <w:color w:val="auto"/>
          <w:lang w:val="es-ES"/>
        </w:rPr>
      </w:pPr>
    </w:p>
    <w:p w:rsidR="00924611" w:rsidRPr="00B50008" w:rsidRDefault="00924611" w:rsidP="00924611">
      <w:pPr>
        <w:widowControl w:val="0"/>
        <w:numPr>
          <w:ilvl w:val="0"/>
          <w:numId w:val="55"/>
        </w:numPr>
        <w:rPr>
          <w:sz w:val="20"/>
        </w:rPr>
      </w:pPr>
      <w:r w:rsidRPr="00B50008">
        <w:rPr>
          <w:sz w:val="20"/>
        </w:rPr>
        <w:t>Este indicador refleja el tiempo que tarda la RO/IB en expedir el formulario 105.   Se expide este formulario una vez otorgada la fecha de presentación internacional.   Los solicitantes agradecen que se les envíe lo antes posible, puesto que la solicitud internacional surtirá el mismo efecto que una solicitud nacional común que haya sido presentada en cada uno de los Estados designados en la fecha de presentación internacional, que será considerada como la fecha de presentación efectiva en cada Estado designado.</w:t>
      </w:r>
    </w:p>
    <w:p w:rsidR="00924611" w:rsidRPr="00B50008" w:rsidRDefault="00924611" w:rsidP="00924611">
      <w:pPr>
        <w:pStyle w:val="BodyText2"/>
        <w:widowControl w:val="0"/>
        <w:spacing w:after="0" w:line="240" w:lineRule="auto"/>
        <w:jc w:val="both"/>
        <w:rPr>
          <w:rFonts w:ascii="Arial" w:hAnsi="Arial" w:cs="Arial"/>
          <w:sz w:val="20"/>
          <w:szCs w:val="20"/>
          <w:lang w:val="es-ES"/>
        </w:rPr>
      </w:pPr>
    </w:p>
    <w:p w:rsidR="00924611" w:rsidRPr="00B50008" w:rsidRDefault="00924611" w:rsidP="00924611">
      <w:pPr>
        <w:pStyle w:val="PlainText"/>
        <w:widowControl w:val="0"/>
        <w:jc w:val="center"/>
        <w:rPr>
          <w:rFonts w:ascii="Arial" w:hAnsi="Arial" w:cs="Arial"/>
          <w:b/>
          <w:color w:val="auto"/>
          <w:lang w:val="es-ES"/>
        </w:rPr>
      </w:pPr>
      <w:r w:rsidRPr="00B50008">
        <w:rPr>
          <w:rFonts w:ascii="Arial" w:hAnsi="Arial" w:cs="Arial"/>
          <w:b/>
          <w:color w:val="auto"/>
          <w:lang w:val="es-ES"/>
        </w:rPr>
        <w:t>Tiempo necesario para la notificación de la fecha de presentación de la solicitud internacional</w:t>
      </w:r>
    </w:p>
    <w:p w:rsidR="00924611" w:rsidRPr="00B50008" w:rsidRDefault="00924611" w:rsidP="00924611">
      <w:pPr>
        <w:pStyle w:val="PlainText"/>
        <w:widowControl w:val="0"/>
        <w:jc w:val="center"/>
        <w:rPr>
          <w:rFonts w:ascii="Arial" w:hAnsi="Arial" w:cs="Arial"/>
          <w:b/>
          <w:color w:val="auto"/>
          <w:lang w:val="es-ES"/>
        </w:rPr>
      </w:pPr>
      <w:r w:rsidRPr="00B50008">
        <w:rPr>
          <w:rFonts w:ascii="Arial" w:hAnsi="Arial" w:cs="Arial"/>
          <w:b/>
          <w:noProof/>
          <w:color w:val="auto"/>
          <w:lang w:eastAsia="en-US"/>
        </w:rPr>
        <w:drawing>
          <wp:inline distT="0" distB="0" distL="0" distR="0" wp14:anchorId="6DF61B30" wp14:editId="157DEB37">
            <wp:extent cx="5741670" cy="2434590"/>
            <wp:effectExtent l="0" t="0" r="0" b="3810"/>
            <wp:docPr id="803" name="Imagen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5741670" cy="2434590"/>
                    </a:xfrm>
                    <a:prstGeom prst="rect">
                      <a:avLst/>
                    </a:prstGeom>
                    <a:noFill/>
                    <a:ln>
                      <a:noFill/>
                    </a:ln>
                  </pic:spPr>
                </pic:pic>
              </a:graphicData>
            </a:graphic>
          </wp:inline>
        </w:drawing>
      </w:r>
    </w:p>
    <w:p w:rsidR="00924611" w:rsidRPr="00B50008" w:rsidRDefault="00924611" w:rsidP="00924611">
      <w:pPr>
        <w:pStyle w:val="PlainText"/>
        <w:widowControl w:val="0"/>
        <w:rPr>
          <w:rFonts w:ascii="Arial" w:hAnsi="Arial" w:cs="Arial"/>
          <w:color w:val="auto"/>
          <w:lang w:val="es-ES"/>
        </w:rPr>
      </w:pPr>
    </w:p>
    <w:p w:rsidR="00924611" w:rsidRPr="00B50008" w:rsidRDefault="00924611" w:rsidP="00924611">
      <w:pPr>
        <w:pStyle w:val="PlainText"/>
        <w:widowControl w:val="0"/>
        <w:rPr>
          <w:rFonts w:ascii="Arial" w:hAnsi="Arial" w:cs="Arial"/>
          <w:i/>
          <w:color w:val="auto"/>
          <w:lang w:val="es-ES"/>
        </w:rPr>
      </w:pPr>
      <w:r w:rsidRPr="00B50008">
        <w:rPr>
          <w:rFonts w:ascii="Arial" w:hAnsi="Arial" w:cs="Arial"/>
          <w:i/>
          <w:color w:val="auto"/>
          <w:lang w:val="es-ES"/>
        </w:rPr>
        <w:t>Tiempo necesario para la transmisión de la copia para la búsqueda</w:t>
      </w:r>
    </w:p>
    <w:p w:rsidR="00924611" w:rsidRPr="00B50008" w:rsidRDefault="00924611" w:rsidP="00924611">
      <w:pPr>
        <w:pStyle w:val="PlainText"/>
        <w:widowControl w:val="0"/>
        <w:rPr>
          <w:rFonts w:ascii="Arial" w:hAnsi="Arial" w:cs="Arial"/>
          <w:color w:val="auto"/>
          <w:lang w:val="es-ES"/>
        </w:rPr>
      </w:pPr>
    </w:p>
    <w:p w:rsidR="00924611" w:rsidRPr="00B50008" w:rsidRDefault="00924611" w:rsidP="00924611">
      <w:pPr>
        <w:widowControl w:val="0"/>
        <w:numPr>
          <w:ilvl w:val="0"/>
          <w:numId w:val="55"/>
        </w:numPr>
        <w:rPr>
          <w:sz w:val="20"/>
        </w:rPr>
      </w:pPr>
      <w:r w:rsidRPr="00B50008">
        <w:rPr>
          <w:sz w:val="20"/>
        </w:rPr>
        <w:t>Este indicador refleja el tiempo que tarda la RO/IB en transmitir las copias para la búsqueda a las Administraciones encargadas de la búsqueda internacional.  La copia para la búsqueda debe ser transmitida lo antes posible tras el pago de la tasa, para que la Administración encargada de la búsqueda internacional pueda elaborar el informe sobre la búsqueda internacional dentro de los plazos dispuestos en el marco regulador del PCT.  La demora en el pago de la tasa demorará la transmisión de las copias para la búsqueda a las Administraciones encargadas de la búsqueda internacional y, por lo tanto, incidirá negativamente en la capacidad de dichas Administraciones de cumplir con esos plazos.</w:t>
      </w:r>
    </w:p>
    <w:p w:rsidR="00924611" w:rsidRPr="00B50008" w:rsidRDefault="00924611" w:rsidP="00924611">
      <w:pPr>
        <w:widowControl w:val="0"/>
        <w:rPr>
          <w:sz w:val="20"/>
        </w:rPr>
      </w:pPr>
    </w:p>
    <w:p w:rsidR="00924611" w:rsidRPr="00B50008" w:rsidRDefault="00924611" w:rsidP="00924611">
      <w:pPr>
        <w:pStyle w:val="PlainText"/>
        <w:keepNext/>
        <w:widowControl w:val="0"/>
        <w:jc w:val="center"/>
        <w:rPr>
          <w:rFonts w:ascii="Arial" w:hAnsi="Arial" w:cs="Arial"/>
          <w:b/>
          <w:color w:val="auto"/>
          <w:lang w:val="es-ES"/>
        </w:rPr>
      </w:pPr>
      <w:r w:rsidRPr="00B50008">
        <w:rPr>
          <w:rFonts w:ascii="Arial" w:hAnsi="Arial" w:cs="Arial"/>
          <w:b/>
          <w:color w:val="auto"/>
          <w:lang w:val="es-ES"/>
        </w:rPr>
        <w:lastRenderedPageBreak/>
        <w:t>Tiempo necesario para la transmisión de la copia para la búsqueda</w:t>
      </w:r>
    </w:p>
    <w:p w:rsidR="00924611" w:rsidRPr="00B50008" w:rsidRDefault="00924611" w:rsidP="00924611">
      <w:pPr>
        <w:pStyle w:val="PlainText"/>
        <w:widowControl w:val="0"/>
        <w:jc w:val="center"/>
        <w:rPr>
          <w:rFonts w:ascii="Arial" w:hAnsi="Arial" w:cs="Arial"/>
          <w:b/>
          <w:color w:val="auto"/>
          <w:lang w:val="es-ES"/>
        </w:rPr>
      </w:pPr>
      <w:r w:rsidRPr="00B50008">
        <w:rPr>
          <w:rFonts w:ascii="Arial" w:hAnsi="Arial" w:cs="Arial"/>
          <w:b/>
          <w:noProof/>
          <w:color w:val="auto"/>
          <w:lang w:eastAsia="en-US"/>
        </w:rPr>
        <w:drawing>
          <wp:inline distT="0" distB="0" distL="0" distR="0" wp14:anchorId="1AB54A51" wp14:editId="37F0B4C8">
            <wp:extent cx="5741670" cy="2615565"/>
            <wp:effectExtent l="0" t="0" r="0" b="0"/>
            <wp:docPr id="804" name="Imagen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5741670" cy="2615565"/>
                    </a:xfrm>
                    <a:prstGeom prst="rect">
                      <a:avLst/>
                    </a:prstGeom>
                    <a:noFill/>
                    <a:ln>
                      <a:noFill/>
                    </a:ln>
                  </pic:spPr>
                </pic:pic>
              </a:graphicData>
            </a:graphic>
          </wp:inline>
        </w:drawing>
      </w:r>
    </w:p>
    <w:p w:rsidR="00924611" w:rsidRPr="00B50008" w:rsidRDefault="00924611" w:rsidP="00924611">
      <w:pPr>
        <w:pStyle w:val="PlainText"/>
        <w:widowControl w:val="0"/>
        <w:rPr>
          <w:rFonts w:ascii="Arial" w:hAnsi="Arial" w:cs="Arial"/>
          <w:b/>
          <w:color w:val="auto"/>
          <w:lang w:val="es-ES"/>
        </w:rPr>
      </w:pPr>
    </w:p>
    <w:p w:rsidR="00924611" w:rsidRPr="00B50008" w:rsidRDefault="00924611" w:rsidP="00924611">
      <w:pPr>
        <w:pStyle w:val="PlainText"/>
        <w:widowControl w:val="0"/>
        <w:rPr>
          <w:rFonts w:ascii="Arial" w:hAnsi="Arial" w:cs="Arial"/>
          <w:b/>
          <w:color w:val="auto"/>
          <w:lang w:val="es-ES"/>
        </w:rPr>
      </w:pPr>
    </w:p>
    <w:p w:rsidR="00223D78" w:rsidRDefault="00223D78">
      <w:pPr>
        <w:rPr>
          <w:rFonts w:eastAsia="Times New Roman"/>
          <w:iCs/>
          <w:szCs w:val="22"/>
          <w:lang w:eastAsia="en-US"/>
        </w:rPr>
      </w:pPr>
      <w:r>
        <w:rPr>
          <w:b/>
          <w:caps/>
        </w:rPr>
        <w:br w:type="page"/>
      </w:r>
    </w:p>
    <w:p w:rsidR="00223D78" w:rsidRPr="00352124" w:rsidRDefault="00223D78" w:rsidP="003F76B4">
      <w:pPr>
        <w:pStyle w:val="StyleHeading3ComplexItalic"/>
        <w:keepNext w:val="0"/>
        <w:widowControl w:val="0"/>
        <w:tabs>
          <w:tab w:val="clear" w:pos="1985"/>
          <w:tab w:val="left" w:pos="-3402"/>
        </w:tabs>
        <w:ind w:left="1560" w:hanging="1560"/>
        <w:rPr>
          <w:caps w:val="0"/>
          <w:lang w:val="es-ES"/>
        </w:rPr>
      </w:pPr>
      <w:bookmarkStart w:id="101" w:name="_Toc420681175"/>
      <w:r w:rsidRPr="00352124">
        <w:rPr>
          <w:caps w:val="0"/>
          <w:lang w:val="es-ES"/>
        </w:rPr>
        <w:lastRenderedPageBreak/>
        <w:t>ANEXO VI</w:t>
      </w:r>
      <w:r w:rsidRPr="00352124">
        <w:rPr>
          <w:caps w:val="0"/>
          <w:lang w:val="es-ES"/>
        </w:rPr>
        <w:tab/>
        <w:t>INDICADORES DE LAS OPERACIONES DEL SISTEMA DE MADRID</w:t>
      </w:r>
      <w:bookmarkEnd w:id="101"/>
    </w:p>
    <w:p w:rsidR="00223D78" w:rsidRPr="00352124" w:rsidRDefault="00223D78" w:rsidP="00223D78">
      <w:pPr>
        <w:widowControl w:val="0"/>
        <w:rPr>
          <w:b/>
        </w:rPr>
      </w:pPr>
    </w:p>
    <w:p w:rsidR="00223D78" w:rsidRPr="00352124" w:rsidRDefault="00223D78" w:rsidP="00223D78">
      <w:pPr>
        <w:widowControl w:val="0"/>
        <w:rPr>
          <w:b/>
        </w:rPr>
      </w:pPr>
    </w:p>
    <w:p w:rsidR="00223D78" w:rsidRPr="00352124" w:rsidRDefault="00223D78" w:rsidP="00223D78">
      <w:pPr>
        <w:widowControl w:val="0"/>
        <w:rPr>
          <w:lang w:bidi="th-TH"/>
        </w:rPr>
      </w:pPr>
      <w:r w:rsidRPr="00352124">
        <w:rPr>
          <w:lang w:bidi="th-TH"/>
        </w:rPr>
        <w:t>INDICADORES DE RENDIMIENTO CON RESPECTO AL RESULTADO PREVISTO</w:t>
      </w:r>
    </w:p>
    <w:p w:rsidR="00223D78" w:rsidRPr="00352124" w:rsidRDefault="00223D78" w:rsidP="00223D78">
      <w:pPr>
        <w:widowControl w:val="0"/>
        <w:tabs>
          <w:tab w:val="left" w:pos="1525"/>
          <w:tab w:val="right" w:pos="2835"/>
        </w:tabs>
        <w:spacing w:after="60"/>
      </w:pPr>
      <w:r w:rsidRPr="00352124">
        <w:t>“MEJORA DE LA PRODUCTIVIDAD Y DE LA CALIDAD DE LOS SERVICIOS EN LAS OPERACIONES DEL SISTEMA DE MADRID”</w:t>
      </w:r>
    </w:p>
    <w:p w:rsidR="00223D78" w:rsidRPr="00352124" w:rsidRDefault="00223D78" w:rsidP="00223D78">
      <w:pPr>
        <w:widowControl w:val="0"/>
        <w:rPr>
          <w:b/>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Para entender el trasfondo de los indicadores de rendimiento para el resultado previsto  “mejora de la productividad y de la calidad de los servicios en las operaciones del Sistema de Madrid”, es necesario tener en cuenta la evolución de los siguientes factores:</w:t>
      </w:r>
    </w:p>
    <w:p w:rsidR="00223D78" w:rsidRPr="00352124" w:rsidRDefault="00223D78" w:rsidP="00223D78">
      <w:pPr>
        <w:widowControl w:val="0"/>
        <w:jc w:val="both"/>
        <w:rPr>
          <w:sz w:val="20"/>
        </w:rPr>
      </w:pPr>
    </w:p>
    <w:p w:rsidR="00223D78" w:rsidRPr="00352124" w:rsidRDefault="00223D78" w:rsidP="00223D78">
      <w:pPr>
        <w:widowControl w:val="0"/>
        <w:numPr>
          <w:ilvl w:val="0"/>
          <w:numId w:val="59"/>
        </w:numPr>
        <w:tabs>
          <w:tab w:val="clear" w:pos="720"/>
          <w:tab w:val="num" w:pos="1701"/>
        </w:tabs>
        <w:spacing w:after="120"/>
        <w:ind w:left="1701" w:hanging="567"/>
        <w:jc w:val="both"/>
        <w:rPr>
          <w:sz w:val="20"/>
        </w:rPr>
      </w:pPr>
      <w:r w:rsidRPr="00352124">
        <w:rPr>
          <w:sz w:val="20"/>
        </w:rPr>
        <w:t>El volumen de trabajo correspondiente al Sistema de Madrid;</w:t>
      </w:r>
    </w:p>
    <w:p w:rsidR="00223D78" w:rsidRPr="00352124" w:rsidRDefault="00223D78" w:rsidP="00223D78">
      <w:pPr>
        <w:widowControl w:val="0"/>
        <w:numPr>
          <w:ilvl w:val="0"/>
          <w:numId w:val="59"/>
        </w:numPr>
        <w:tabs>
          <w:tab w:val="clear" w:pos="720"/>
          <w:tab w:val="num" w:pos="1701"/>
        </w:tabs>
        <w:spacing w:after="120"/>
        <w:ind w:left="1701" w:hanging="567"/>
        <w:jc w:val="both"/>
        <w:rPr>
          <w:sz w:val="20"/>
        </w:rPr>
      </w:pPr>
      <w:r w:rsidRPr="00352124">
        <w:rPr>
          <w:sz w:val="20"/>
        </w:rPr>
        <w:t>La composición de ese volumen de trabajo;</w:t>
      </w:r>
    </w:p>
    <w:p w:rsidR="00223D78" w:rsidRPr="00352124" w:rsidRDefault="00223D78" w:rsidP="00223D78">
      <w:pPr>
        <w:widowControl w:val="0"/>
        <w:numPr>
          <w:ilvl w:val="0"/>
          <w:numId w:val="59"/>
        </w:numPr>
        <w:tabs>
          <w:tab w:val="clear" w:pos="720"/>
          <w:tab w:val="num" w:pos="1701"/>
        </w:tabs>
        <w:spacing w:after="120"/>
        <w:ind w:left="1701" w:hanging="567"/>
        <w:jc w:val="both"/>
        <w:rPr>
          <w:sz w:val="20"/>
        </w:rPr>
      </w:pPr>
      <w:r w:rsidRPr="00352124">
        <w:rPr>
          <w:sz w:val="20"/>
        </w:rPr>
        <w:t>El número de funcionarios asignados a la tramitación de ese volumen de trabajo;</w:t>
      </w:r>
    </w:p>
    <w:p w:rsidR="00223D78" w:rsidRPr="00352124" w:rsidRDefault="00223D78" w:rsidP="00223D78">
      <w:pPr>
        <w:widowControl w:val="0"/>
        <w:numPr>
          <w:ilvl w:val="0"/>
          <w:numId w:val="59"/>
        </w:numPr>
        <w:tabs>
          <w:tab w:val="clear" w:pos="720"/>
          <w:tab w:val="num" w:pos="1701"/>
        </w:tabs>
        <w:spacing w:after="120"/>
        <w:ind w:left="1701" w:hanging="567"/>
        <w:jc w:val="both"/>
        <w:rPr>
          <w:sz w:val="20"/>
        </w:rPr>
      </w:pPr>
      <w:r w:rsidRPr="00352124">
        <w:rPr>
          <w:sz w:val="20"/>
        </w:rPr>
        <w:t>El grado de automatización ; y</w:t>
      </w:r>
    </w:p>
    <w:p w:rsidR="00223D78" w:rsidRPr="00352124" w:rsidRDefault="00223D78" w:rsidP="00223D78">
      <w:pPr>
        <w:widowControl w:val="0"/>
        <w:numPr>
          <w:ilvl w:val="0"/>
          <w:numId w:val="59"/>
        </w:numPr>
        <w:tabs>
          <w:tab w:val="clear" w:pos="720"/>
          <w:tab w:val="num" w:pos="1701"/>
        </w:tabs>
        <w:ind w:left="1701" w:hanging="567"/>
        <w:jc w:val="both"/>
        <w:rPr>
          <w:sz w:val="20"/>
        </w:rPr>
      </w:pPr>
      <w:r w:rsidRPr="00352124">
        <w:rPr>
          <w:sz w:val="20"/>
        </w:rPr>
        <w:t>El costo total de la producción.</w:t>
      </w:r>
    </w:p>
    <w:p w:rsidR="00223D78" w:rsidRPr="00352124" w:rsidRDefault="00223D78" w:rsidP="00223D78">
      <w:pPr>
        <w:widowControl w:val="0"/>
        <w:ind w:left="360"/>
        <w:jc w:val="both"/>
        <w:rPr>
          <w:sz w:val="20"/>
        </w:rPr>
      </w:pPr>
    </w:p>
    <w:p w:rsidR="00223D78" w:rsidRPr="00352124" w:rsidRDefault="00223D78" w:rsidP="00223D78">
      <w:pPr>
        <w:pStyle w:val="ListParagraph"/>
        <w:widowControl w:val="0"/>
        <w:numPr>
          <w:ilvl w:val="0"/>
          <w:numId w:val="58"/>
        </w:numPr>
        <w:ind w:left="360" w:hanging="360"/>
        <w:jc w:val="both"/>
        <w:rPr>
          <w:rFonts w:ascii="Arial" w:hAnsi="Arial" w:cs="Arial"/>
          <w:b/>
          <w:sz w:val="20"/>
          <w:szCs w:val="20"/>
          <w:lang w:val="es-ES"/>
        </w:rPr>
      </w:pPr>
      <w:r w:rsidRPr="00352124">
        <w:rPr>
          <w:rFonts w:ascii="Arial" w:hAnsi="Arial" w:cs="Arial"/>
          <w:b/>
          <w:sz w:val="20"/>
          <w:szCs w:val="20"/>
          <w:lang w:val="es-ES"/>
        </w:rPr>
        <w:t>Documentos recibidos</w:t>
      </w:r>
    </w:p>
    <w:p w:rsidR="00223D78" w:rsidRPr="00352124" w:rsidRDefault="00223D78" w:rsidP="00223D78">
      <w:pPr>
        <w:pStyle w:val="ListParagraph"/>
        <w:widowControl w:val="0"/>
        <w:ind w:left="1080"/>
        <w:jc w:val="both"/>
        <w:rPr>
          <w:rFonts w:ascii="Arial" w:hAnsi="Arial" w:cs="Arial"/>
          <w:sz w:val="20"/>
          <w:szCs w:val="20"/>
          <w:lang w:val="es-ES"/>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Oficina Internacional recibe seis categorías distintas de documentos, a saber, solicitudes internacionales, renovaciones, designaciones posteriores, cambios, decisiones y correcciones.  A continuación se presentan las últimas tendencias en relación con cada uno de esos documentos.  También se proporciona información complementaria sobre las solicitudes, como el número medio de clases y el número de medio de palabras.  Por razones técnicas, algunos indicadores reflejan datos basados en documentos tramitados más bien que en documentos recibidos. Es posible, por lo tanto, que los atrasos en la tramitación afecten algunos indicadores.</w:t>
      </w:r>
    </w:p>
    <w:p w:rsidR="00223D78" w:rsidRPr="00352124" w:rsidRDefault="00223D78" w:rsidP="00223D78">
      <w:pPr>
        <w:pStyle w:val="ListParagraph"/>
        <w:widowControl w:val="0"/>
        <w:ind w:left="0"/>
        <w:jc w:val="both"/>
        <w:rPr>
          <w:rFonts w:ascii="Arial" w:hAnsi="Arial" w:cs="Arial"/>
          <w:lang w:val="es-ES"/>
        </w:rPr>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Solicitudes internacionales</w:t>
      </w:r>
    </w:p>
    <w:p w:rsidR="00223D78" w:rsidRPr="00352124" w:rsidRDefault="00223D78" w:rsidP="00223D78">
      <w:pPr>
        <w:widowControl w:val="0"/>
        <w:jc w:val="center"/>
      </w:pPr>
      <w:r w:rsidRPr="00223D78">
        <w:rPr>
          <w:noProof/>
          <w:lang w:val="en-US" w:eastAsia="en-US"/>
        </w:rPr>
        <w:drawing>
          <wp:inline distT="0" distB="0" distL="0" distR="0" wp14:anchorId="28542EB4" wp14:editId="40908542">
            <wp:extent cx="5284382" cy="2388362"/>
            <wp:effectExtent l="0" t="0" r="0" b="0"/>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5301340" cy="2396026"/>
                    </a:xfrm>
                    <a:prstGeom prst="rect">
                      <a:avLst/>
                    </a:prstGeom>
                    <a:noFill/>
                    <a:ln>
                      <a:noFill/>
                    </a:ln>
                  </pic:spPr>
                </pic:pic>
              </a:graphicData>
            </a:graphic>
          </wp:inline>
        </w:drawing>
      </w:r>
    </w:p>
    <w:p w:rsidR="00223D78" w:rsidRPr="00352124" w:rsidRDefault="00223D78" w:rsidP="00223D78">
      <w:pPr>
        <w:pStyle w:val="ListParagraph"/>
        <w:widowControl w:val="0"/>
        <w:tabs>
          <w:tab w:val="left" w:pos="993"/>
        </w:tabs>
        <w:ind w:left="567"/>
        <w:jc w:val="both"/>
        <w:rPr>
          <w:rFonts w:ascii="Arial" w:hAnsi="Arial" w:cs="Arial"/>
          <w:sz w:val="20"/>
          <w:szCs w:val="20"/>
          <w:lang w:val="es-ES"/>
        </w:rPr>
      </w:pPr>
    </w:p>
    <w:p w:rsidR="00223D78" w:rsidRPr="00352124" w:rsidRDefault="00223D78" w:rsidP="00223D78">
      <w:pPr>
        <w:widowControl w:val="0"/>
        <w:numPr>
          <w:ilvl w:val="0"/>
          <w:numId w:val="59"/>
        </w:numPr>
        <w:tabs>
          <w:tab w:val="clear" w:pos="720"/>
          <w:tab w:val="num" w:pos="1560"/>
        </w:tabs>
        <w:spacing w:after="120"/>
        <w:ind w:left="993" w:hanging="426"/>
        <w:jc w:val="both"/>
        <w:rPr>
          <w:sz w:val="20"/>
        </w:rPr>
      </w:pPr>
      <w:r w:rsidRPr="00352124">
        <w:rPr>
          <w:sz w:val="20"/>
        </w:rPr>
        <w:t xml:space="preserve">La Oficina Internacional recibió 47.885 solicitudes en 2014, lo que supuso un incremento del 2,3% con respecto a 2013. </w:t>
      </w:r>
    </w:p>
    <w:p w:rsidR="00223D78" w:rsidRPr="00352124" w:rsidRDefault="00223D78" w:rsidP="00223D78">
      <w:pPr>
        <w:widowControl w:val="0"/>
        <w:numPr>
          <w:ilvl w:val="0"/>
          <w:numId w:val="59"/>
        </w:numPr>
        <w:tabs>
          <w:tab w:val="clear" w:pos="720"/>
          <w:tab w:val="num" w:pos="1560"/>
        </w:tabs>
        <w:spacing w:after="120"/>
        <w:ind w:left="993" w:hanging="426"/>
        <w:jc w:val="both"/>
        <w:rPr>
          <w:sz w:val="20"/>
        </w:rPr>
      </w:pPr>
      <w:r w:rsidRPr="00352124">
        <w:rPr>
          <w:sz w:val="20"/>
        </w:rPr>
        <w:t>El número de solicitudes recibidas ha aumentado de forma constante desde 2010.</w:t>
      </w:r>
    </w:p>
    <w:p w:rsidR="00223D78" w:rsidRPr="00352124" w:rsidRDefault="00223D78" w:rsidP="00223D78">
      <w:pPr>
        <w:pStyle w:val="ListParagraph"/>
        <w:widowControl w:val="0"/>
        <w:ind w:left="1418"/>
        <w:jc w:val="both"/>
        <w:rPr>
          <w:rFonts w:ascii="Arial" w:hAnsi="Arial" w:cs="Arial"/>
          <w:sz w:val="20"/>
          <w:szCs w:val="20"/>
          <w:lang w:val="es-ES"/>
        </w:rPr>
      </w:pPr>
    </w:p>
    <w:p w:rsidR="00223D78" w:rsidRPr="00352124" w:rsidRDefault="00223D78" w:rsidP="00223D78">
      <w:pPr>
        <w:pStyle w:val="ListParagraph"/>
        <w:keepNext/>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 xml:space="preserve">Distribución de las solicitudes por idioma de presentación </w:t>
      </w:r>
    </w:p>
    <w:p w:rsidR="00223D78" w:rsidRPr="00352124" w:rsidRDefault="00223D78" w:rsidP="00223D78">
      <w:pPr>
        <w:pStyle w:val="ListParagraph"/>
        <w:keepNext/>
        <w:widowControl w:val="0"/>
        <w:tabs>
          <w:tab w:val="left" w:pos="1701"/>
        </w:tabs>
        <w:ind w:left="1134"/>
        <w:jc w:val="both"/>
        <w:rPr>
          <w:rFonts w:ascii="Arial" w:hAnsi="Arial" w:cs="Arial"/>
          <w:sz w:val="20"/>
          <w:szCs w:val="20"/>
          <w:lang w:val="es-ES"/>
        </w:rPr>
      </w:pPr>
    </w:p>
    <w:p w:rsidR="00223D78" w:rsidRPr="00352124" w:rsidRDefault="00C84458" w:rsidP="00223D78">
      <w:pPr>
        <w:widowControl w:val="0"/>
        <w:jc w:val="center"/>
      </w:pPr>
      <w:r w:rsidRPr="00C84458">
        <w:rPr>
          <w:noProof/>
          <w:lang w:val="en-US" w:eastAsia="en-US"/>
        </w:rPr>
        <w:drawing>
          <wp:inline distT="0" distB="0" distL="0" distR="0" wp14:anchorId="035514F7" wp14:editId="7211EEFD">
            <wp:extent cx="5252484" cy="2593530"/>
            <wp:effectExtent l="0" t="0" r="5715" b="0"/>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5259392" cy="2596941"/>
                    </a:xfrm>
                    <a:prstGeom prst="rect">
                      <a:avLst/>
                    </a:prstGeom>
                    <a:noFill/>
                    <a:ln>
                      <a:noFill/>
                    </a:ln>
                  </pic:spPr>
                </pic:pic>
              </a:graphicData>
            </a:graphic>
          </wp:inline>
        </w:drawing>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 xml:space="preserve">En 2014, el 80% de todas las solicitudes se presentaron en inglés.  Este porcentaje aumentó en 15 puntos porcentuales, pasando del 65% en 2008 al 80% en 2014. </w:t>
      </w:r>
    </w:p>
    <w:p w:rsidR="00223D78" w:rsidRPr="00352124" w:rsidRDefault="00223D78" w:rsidP="00223D78">
      <w:pPr>
        <w:widowControl w:val="0"/>
        <w:jc w:val="both"/>
        <w:rPr>
          <w:sz w:val="20"/>
        </w:rPr>
      </w:pPr>
    </w:p>
    <w:p w:rsidR="00223D78" w:rsidRPr="00352124" w:rsidRDefault="00223D78" w:rsidP="00223D78">
      <w:pPr>
        <w:widowControl w:val="0"/>
        <w:jc w:val="both"/>
        <w:rPr>
          <w:sz w:val="20"/>
        </w:rPr>
      </w:pPr>
    </w:p>
    <w:p w:rsidR="00223D78" w:rsidRPr="00352124" w:rsidRDefault="00223D78" w:rsidP="00223D7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Promedio de designaciones por registro</w:t>
      </w:r>
    </w:p>
    <w:p w:rsidR="00223D78" w:rsidRPr="00352124" w:rsidRDefault="00747BF7" w:rsidP="00223D78">
      <w:pPr>
        <w:widowControl w:val="0"/>
        <w:jc w:val="center"/>
      </w:pPr>
      <w:r w:rsidRPr="00747BF7">
        <w:rPr>
          <w:noProof/>
          <w:lang w:val="en-US" w:eastAsia="en-US"/>
        </w:rPr>
        <w:drawing>
          <wp:inline distT="0" distB="0" distL="0" distR="0" wp14:anchorId="350A6702" wp14:editId="6B1E954F">
            <wp:extent cx="5337544" cy="2549724"/>
            <wp:effectExtent l="0" t="0" r="0" b="3175"/>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5334987" cy="2548502"/>
                    </a:xfrm>
                    <a:prstGeom prst="rect">
                      <a:avLst/>
                    </a:prstGeom>
                    <a:noFill/>
                    <a:ln>
                      <a:noFill/>
                    </a:ln>
                  </pic:spPr>
                </pic:pic>
              </a:graphicData>
            </a:graphic>
          </wp:inline>
        </w:drawing>
      </w:r>
    </w:p>
    <w:p w:rsidR="00223D78" w:rsidRPr="00352124" w:rsidRDefault="00223D78" w:rsidP="00223D78">
      <w:pPr>
        <w:widowControl w:val="0"/>
        <w:numPr>
          <w:ilvl w:val="0"/>
          <w:numId w:val="59"/>
        </w:numPr>
        <w:tabs>
          <w:tab w:val="clear" w:pos="720"/>
          <w:tab w:val="num" w:pos="1134"/>
        </w:tabs>
        <w:spacing w:after="120"/>
        <w:ind w:left="993" w:hanging="426"/>
        <w:jc w:val="both"/>
        <w:rPr>
          <w:sz w:val="20"/>
        </w:rPr>
      </w:pPr>
      <w:r w:rsidRPr="00352124">
        <w:rPr>
          <w:sz w:val="20"/>
        </w:rPr>
        <w:t>Se inscribieron en promedio 6,9 designaciones en las solicitudes registradas en 2014.</w:t>
      </w:r>
    </w:p>
    <w:p w:rsidR="00223D78" w:rsidRPr="00352124" w:rsidRDefault="00223D78" w:rsidP="00223D78">
      <w:pPr>
        <w:widowControl w:val="0"/>
        <w:numPr>
          <w:ilvl w:val="0"/>
          <w:numId w:val="59"/>
        </w:numPr>
        <w:tabs>
          <w:tab w:val="clear" w:pos="720"/>
          <w:tab w:val="num" w:pos="1134"/>
        </w:tabs>
        <w:spacing w:after="120"/>
        <w:ind w:left="993" w:hanging="426"/>
        <w:jc w:val="both"/>
        <w:rPr>
          <w:sz w:val="20"/>
        </w:rPr>
      </w:pPr>
      <w:r w:rsidRPr="00352124">
        <w:rPr>
          <w:sz w:val="20"/>
        </w:rPr>
        <w:t>El número promedio de designaciones por registro se ha mantenido prácticamente  inalterado desde 2010.</w:t>
      </w:r>
    </w:p>
    <w:p w:rsidR="00223D78" w:rsidRPr="00352124" w:rsidRDefault="00223D78" w:rsidP="00223D78">
      <w:pPr>
        <w:widowControl w:val="0"/>
        <w:tabs>
          <w:tab w:val="num" w:pos="1134"/>
        </w:tabs>
        <w:spacing w:after="120"/>
        <w:ind w:left="993" w:hanging="426"/>
        <w:jc w:val="both"/>
        <w:rPr>
          <w:sz w:val="20"/>
        </w:rPr>
      </w:pPr>
    </w:p>
    <w:p w:rsidR="00223D78" w:rsidRPr="00352124" w:rsidRDefault="00223D78" w:rsidP="00223D78">
      <w:pPr>
        <w:pStyle w:val="ListParagraph"/>
        <w:keepNext/>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Promedio de clases por registro</w:t>
      </w:r>
    </w:p>
    <w:p w:rsidR="00223D78" w:rsidRPr="00352124" w:rsidRDefault="00DA3EED" w:rsidP="00223D78">
      <w:pPr>
        <w:widowControl w:val="0"/>
        <w:jc w:val="center"/>
      </w:pPr>
      <w:r w:rsidRPr="00DA3EED">
        <w:rPr>
          <w:noProof/>
          <w:lang w:val="en-US" w:eastAsia="en-US"/>
        </w:rPr>
        <w:drawing>
          <wp:inline distT="0" distB="0" distL="0" distR="0" wp14:anchorId="0F52F2E2" wp14:editId="7C3C9340">
            <wp:extent cx="5231218" cy="2387548"/>
            <wp:effectExtent l="0" t="0" r="7620" b="0"/>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5238502" cy="2390872"/>
                    </a:xfrm>
                    <a:prstGeom prst="rect">
                      <a:avLst/>
                    </a:prstGeom>
                    <a:noFill/>
                    <a:ln>
                      <a:noFill/>
                    </a:ln>
                  </pic:spPr>
                </pic:pic>
              </a:graphicData>
            </a:graphic>
          </wp:inline>
        </w:drawing>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 xml:space="preserve">Se especificaron en promedio 2,5 clases en todas las solicitudes registradas en 2014. </w:t>
      </w:r>
    </w:p>
    <w:p w:rsidR="00223D78" w:rsidRPr="00352124" w:rsidRDefault="00223D78" w:rsidP="00223D78">
      <w:pPr>
        <w:widowControl w:val="0"/>
        <w:jc w:val="both"/>
        <w:rPr>
          <w:sz w:val="20"/>
        </w:rPr>
      </w:pPr>
    </w:p>
    <w:p w:rsidR="00223D78" w:rsidRPr="00352124" w:rsidRDefault="00223D78" w:rsidP="00223D7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 xml:space="preserve">Extensión media de las solicitudes </w:t>
      </w:r>
    </w:p>
    <w:p w:rsidR="00223D78" w:rsidRPr="00352124" w:rsidRDefault="00223D78" w:rsidP="00223D78">
      <w:pPr>
        <w:pStyle w:val="ListParagraph"/>
        <w:widowControl w:val="0"/>
        <w:ind w:left="1980"/>
        <w:jc w:val="both"/>
        <w:rPr>
          <w:rFonts w:ascii="Arial" w:hAnsi="Arial" w:cs="Arial"/>
          <w:sz w:val="20"/>
          <w:szCs w:val="20"/>
          <w:lang w:val="es-ES"/>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extensión de una solicitud depende del número total de palabras utilizadas por el solicitante para describir su marca, su lista básica de productos y servicios, y cualquier limitación que la acompañe.  La Oficina Internacional traduce estos tres elementos en dos idiomas (inglés</w:t>
      </w:r>
      <w:r w:rsidR="0015313F">
        <w:rPr>
          <w:rFonts w:ascii="Arial" w:hAnsi="Arial" w:cs="Arial"/>
          <w:sz w:val="20"/>
          <w:szCs w:val="20"/>
          <w:lang w:val="es-ES"/>
        </w:rPr>
        <w:t>,</w:t>
      </w:r>
      <w:r w:rsidRPr="00352124">
        <w:rPr>
          <w:rFonts w:ascii="Arial" w:hAnsi="Arial" w:cs="Arial"/>
          <w:sz w:val="20"/>
          <w:szCs w:val="20"/>
          <w:lang w:val="es-ES"/>
        </w:rPr>
        <w:t xml:space="preserve"> francés o español). </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La extensión de las solicitudes incide en el volumen de trabajo de los examinadores, que tienen que clasificar los productos y/o servicios que figuran en la solicitud con arreglo a la Clasificación de Niza. </w:t>
      </w:r>
    </w:p>
    <w:p w:rsidR="00223D78" w:rsidRPr="00352124" w:rsidRDefault="00223D78" w:rsidP="00223D78">
      <w:pPr>
        <w:widowControl w:val="0"/>
        <w:jc w:val="both"/>
        <w:rPr>
          <w:sz w:val="20"/>
        </w:rPr>
      </w:pPr>
    </w:p>
    <w:p w:rsidR="00223D78"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extensión media de una solicitud depende del número total de palabras en la lista básica de productos y servicios, las limitaciones y descripciones, divididas por el número de solicitudes registradas</w:t>
      </w:r>
      <w:r w:rsidR="00F01A74">
        <w:rPr>
          <w:rFonts w:ascii="Arial" w:hAnsi="Arial" w:cs="Arial"/>
          <w:sz w:val="20"/>
          <w:szCs w:val="20"/>
          <w:lang w:val="es-ES"/>
        </w:rPr>
        <w:t>.</w:t>
      </w:r>
    </w:p>
    <w:p w:rsidR="00F01A74" w:rsidRDefault="00F01A74" w:rsidP="00F01A74">
      <w:pPr>
        <w:pStyle w:val="ListParagraph"/>
        <w:widowControl w:val="0"/>
        <w:tabs>
          <w:tab w:val="left" w:pos="567"/>
        </w:tabs>
        <w:ind w:left="0"/>
        <w:jc w:val="center"/>
        <w:rPr>
          <w:rFonts w:ascii="Arial" w:hAnsi="Arial" w:cs="Arial"/>
          <w:sz w:val="20"/>
          <w:szCs w:val="20"/>
          <w:lang w:val="es-ES"/>
        </w:rPr>
      </w:pPr>
      <w:r w:rsidRPr="00F01A74">
        <w:rPr>
          <w:noProof/>
          <w:lang w:eastAsia="en-US"/>
        </w:rPr>
        <w:drawing>
          <wp:inline distT="0" distB="0" distL="0" distR="0" wp14:anchorId="3AEA0592" wp14:editId="3EE48D87">
            <wp:extent cx="5100816" cy="2518639"/>
            <wp:effectExtent l="0" t="0" r="5080" b="0"/>
            <wp:docPr id="818" name="Picture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5110294" cy="2523319"/>
                    </a:xfrm>
                    <a:prstGeom prst="rect">
                      <a:avLst/>
                    </a:prstGeom>
                    <a:noFill/>
                    <a:ln>
                      <a:noFill/>
                    </a:ln>
                  </pic:spPr>
                </pic:pic>
              </a:graphicData>
            </a:graphic>
          </wp:inline>
        </w:drawing>
      </w:r>
    </w:p>
    <w:p w:rsidR="00F01A74" w:rsidRPr="00352124" w:rsidRDefault="00F01A74" w:rsidP="00F01A74">
      <w:pPr>
        <w:pStyle w:val="ListParagraph"/>
        <w:widowControl w:val="0"/>
        <w:tabs>
          <w:tab w:val="left" w:pos="567"/>
        </w:tabs>
        <w:ind w:left="0"/>
        <w:jc w:val="center"/>
        <w:rPr>
          <w:rFonts w:ascii="Arial" w:hAnsi="Arial" w:cs="Arial"/>
          <w:sz w:val="20"/>
          <w:szCs w:val="20"/>
          <w:lang w:val="es-ES"/>
        </w:rPr>
      </w:pP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En 2014, la extensión media de una solicitud era de 239 palabras.  Esto representa un aumento del 12% con respecto a 2013.</w:t>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Si bien algunos aspectos de la labor de traducción y de clasificación son automáticos, el aumento significativo de la extensión de las solicitudes tiene importantes repercusiones en el volumen de trabajo de la Oficina Internacional.</w:t>
      </w:r>
    </w:p>
    <w:p w:rsidR="00223D78" w:rsidRPr="00352124" w:rsidRDefault="00223D78" w:rsidP="00223D78">
      <w:pPr>
        <w:pStyle w:val="ListParagraph"/>
        <w:widowControl w:val="0"/>
        <w:jc w:val="both"/>
        <w:rPr>
          <w:rFonts w:ascii="Arial" w:hAnsi="Arial" w:cs="Arial"/>
          <w:sz w:val="20"/>
          <w:szCs w:val="20"/>
          <w:lang w:val="es-ES"/>
        </w:rPr>
      </w:pPr>
    </w:p>
    <w:p w:rsidR="00223D78" w:rsidRPr="00352124" w:rsidRDefault="00223D78" w:rsidP="00223D78">
      <w:pPr>
        <w:pStyle w:val="ListParagraph"/>
        <w:widowControl w:val="0"/>
        <w:jc w:val="both"/>
        <w:rPr>
          <w:rFonts w:ascii="Arial" w:hAnsi="Arial" w:cs="Arial"/>
          <w:sz w:val="20"/>
          <w:szCs w:val="20"/>
          <w:lang w:val="es-ES"/>
        </w:rPr>
      </w:pPr>
    </w:p>
    <w:p w:rsidR="00223D78" w:rsidRPr="00352124" w:rsidRDefault="00223D78" w:rsidP="00D8453F">
      <w:pPr>
        <w:pStyle w:val="ListParagraph"/>
        <w:keepNext/>
        <w:keepLines/>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 xml:space="preserve">Distribución de solicitudes regulares e irregulares </w:t>
      </w:r>
    </w:p>
    <w:p w:rsidR="00223D78" w:rsidRPr="00352124" w:rsidRDefault="00223D78" w:rsidP="00D8453F">
      <w:pPr>
        <w:pStyle w:val="ListParagraph"/>
        <w:keepNext/>
        <w:keepLines/>
        <w:widowControl w:val="0"/>
        <w:tabs>
          <w:tab w:val="left" w:pos="1701"/>
        </w:tabs>
        <w:ind w:left="567"/>
        <w:jc w:val="both"/>
        <w:rPr>
          <w:rFonts w:ascii="Arial" w:hAnsi="Arial" w:cs="Arial"/>
          <w:i/>
          <w:sz w:val="20"/>
          <w:szCs w:val="20"/>
          <w:lang w:val="es-ES"/>
        </w:rPr>
      </w:pPr>
    </w:p>
    <w:p w:rsidR="00223D78" w:rsidRPr="00352124" w:rsidRDefault="00223D78" w:rsidP="00223D78">
      <w:pPr>
        <w:pStyle w:val="ListParagraph"/>
        <w:widowControl w:val="0"/>
        <w:tabs>
          <w:tab w:val="left" w:pos="1701"/>
        </w:tabs>
        <w:ind w:left="567"/>
        <w:jc w:val="both"/>
        <w:rPr>
          <w:rFonts w:ascii="Arial" w:hAnsi="Arial" w:cs="Arial"/>
          <w:i/>
          <w:sz w:val="20"/>
          <w:szCs w:val="20"/>
          <w:lang w:val="es-ES"/>
        </w:rPr>
      </w:pPr>
      <w:r w:rsidRPr="00352124">
        <w:rPr>
          <w:rFonts w:ascii="Arial" w:eastAsia="Times New Roman" w:hAnsi="Arial" w:cs="Arial"/>
          <w:noProof/>
          <w:szCs w:val="20"/>
          <w:lang w:eastAsia="en-US"/>
        </w:rPr>
        <w:drawing>
          <wp:inline distT="0" distB="0" distL="0" distR="0" wp14:anchorId="61164590" wp14:editId="2E779721">
            <wp:extent cx="5756910" cy="2910840"/>
            <wp:effectExtent l="0" t="0" r="0" b="3810"/>
            <wp:docPr id="10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5756910" cy="2910840"/>
                    </a:xfrm>
                    <a:prstGeom prst="rect">
                      <a:avLst/>
                    </a:prstGeom>
                    <a:noFill/>
                    <a:ln>
                      <a:noFill/>
                    </a:ln>
                  </pic:spPr>
                </pic:pic>
              </a:graphicData>
            </a:graphic>
          </wp:inline>
        </w:drawing>
      </w:r>
    </w:p>
    <w:p w:rsidR="00223D78" w:rsidRPr="00352124" w:rsidRDefault="00223D78" w:rsidP="00223D78">
      <w:pPr>
        <w:pStyle w:val="ListParagraph"/>
        <w:numPr>
          <w:ilvl w:val="0"/>
          <w:numId w:val="66"/>
        </w:numPr>
        <w:tabs>
          <w:tab w:val="num" w:pos="993"/>
        </w:tabs>
        <w:spacing w:after="120"/>
        <w:jc w:val="both"/>
        <w:rPr>
          <w:rFonts w:ascii="Arial" w:hAnsi="Arial" w:cs="Arial"/>
          <w:sz w:val="20"/>
          <w:szCs w:val="20"/>
          <w:lang w:val="es-ES"/>
        </w:rPr>
      </w:pPr>
      <w:r w:rsidRPr="00352124">
        <w:rPr>
          <w:rFonts w:ascii="Arial" w:hAnsi="Arial" w:cs="Arial"/>
          <w:sz w:val="20"/>
          <w:szCs w:val="20"/>
          <w:lang w:val="es-ES"/>
        </w:rPr>
        <w:t xml:space="preserve">El porcentaje de solicitudes regulares se ha mantenido más o menos estable desde 2011. </w:t>
      </w:r>
    </w:p>
    <w:p w:rsidR="00223D78" w:rsidRPr="00352124" w:rsidRDefault="00223D78" w:rsidP="00223D78">
      <w:pPr>
        <w:widowControl w:val="0"/>
        <w:jc w:val="both"/>
        <w:rPr>
          <w:sz w:val="20"/>
        </w:rPr>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 xml:space="preserve">Renovaciones </w:t>
      </w:r>
    </w:p>
    <w:p w:rsidR="00223D78" w:rsidRDefault="00373200" w:rsidP="00223D78">
      <w:pPr>
        <w:widowControl w:val="0"/>
        <w:jc w:val="center"/>
        <w:rPr>
          <w:sz w:val="20"/>
        </w:rPr>
      </w:pPr>
      <w:r w:rsidRPr="00373200">
        <w:rPr>
          <w:noProof/>
          <w:lang w:val="en-US" w:eastAsia="en-US"/>
        </w:rPr>
        <w:drawing>
          <wp:inline distT="0" distB="0" distL="0" distR="0" wp14:anchorId="3CEDA375" wp14:editId="03A48A83">
            <wp:extent cx="5087534" cy="2485000"/>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5099337" cy="2490765"/>
                    </a:xfrm>
                    <a:prstGeom prst="rect">
                      <a:avLst/>
                    </a:prstGeom>
                    <a:noFill/>
                    <a:ln>
                      <a:noFill/>
                    </a:ln>
                  </pic:spPr>
                </pic:pic>
              </a:graphicData>
            </a:graphic>
          </wp:inline>
        </w:drawing>
      </w:r>
    </w:p>
    <w:p w:rsidR="00373200" w:rsidRPr="00352124" w:rsidRDefault="00373200" w:rsidP="00223D78">
      <w:pPr>
        <w:widowControl w:val="0"/>
        <w:jc w:val="center"/>
        <w:rPr>
          <w:sz w:val="20"/>
        </w:rPr>
      </w:pPr>
    </w:p>
    <w:p w:rsidR="00223D78" w:rsidRPr="00352124" w:rsidRDefault="00223D78" w:rsidP="00223D78">
      <w:pPr>
        <w:widowControl w:val="0"/>
        <w:numPr>
          <w:ilvl w:val="0"/>
          <w:numId w:val="59"/>
        </w:numPr>
        <w:tabs>
          <w:tab w:val="clear" w:pos="720"/>
          <w:tab w:val="num" w:pos="1560"/>
        </w:tabs>
        <w:spacing w:after="120"/>
        <w:ind w:left="993" w:hanging="426"/>
        <w:jc w:val="both"/>
        <w:rPr>
          <w:sz w:val="20"/>
        </w:rPr>
      </w:pPr>
      <w:r w:rsidRPr="00352124">
        <w:rPr>
          <w:sz w:val="20"/>
        </w:rPr>
        <w:t xml:space="preserve">En 2014, la Oficina Internacional registró 25.729 renovaciones, lo que representa un aumento del 12% con respecto a 2013. </w:t>
      </w:r>
    </w:p>
    <w:p w:rsidR="00223D78" w:rsidRPr="00352124" w:rsidRDefault="00223D78" w:rsidP="00223D78">
      <w:pPr>
        <w:widowControl w:val="0"/>
        <w:numPr>
          <w:ilvl w:val="0"/>
          <w:numId w:val="59"/>
        </w:numPr>
        <w:tabs>
          <w:tab w:val="clear" w:pos="720"/>
          <w:tab w:val="num" w:pos="1560"/>
        </w:tabs>
        <w:spacing w:after="120"/>
        <w:ind w:left="993" w:hanging="426"/>
        <w:jc w:val="both"/>
        <w:rPr>
          <w:sz w:val="20"/>
        </w:rPr>
      </w:pPr>
      <w:r w:rsidRPr="00352124">
        <w:rPr>
          <w:sz w:val="20"/>
        </w:rPr>
        <w:t>A pesar del aumento de las renovaciones entre 2009 y 2014, el número de renovaciones tramitadas manualmente se ha mantenido relativamente estable.  En 2014, el 59% de las renovaciones se tramitaron automáticamente.</w:t>
      </w:r>
    </w:p>
    <w:p w:rsidR="00223D78" w:rsidRPr="00352124" w:rsidRDefault="00223D78" w:rsidP="00223D78">
      <w:pPr>
        <w:widowControl w:val="0"/>
        <w:spacing w:after="120"/>
        <w:ind w:left="993" w:hanging="426"/>
        <w:jc w:val="both"/>
        <w:rPr>
          <w:sz w:val="20"/>
        </w:rPr>
      </w:pPr>
    </w:p>
    <w:p w:rsidR="00223D78" w:rsidRPr="00352124" w:rsidRDefault="00223D78" w:rsidP="00223D78">
      <w:pPr>
        <w:pStyle w:val="ListParagraph"/>
        <w:keepNext/>
        <w:widowControl w:val="0"/>
        <w:ind w:left="0"/>
        <w:jc w:val="both"/>
        <w:rPr>
          <w:rFonts w:ascii="Arial" w:hAnsi="Arial" w:cs="Arial"/>
          <w:sz w:val="20"/>
          <w:u w:val="single"/>
          <w:lang w:val="es-ES"/>
        </w:rPr>
      </w:pPr>
      <w:r w:rsidRPr="00352124">
        <w:rPr>
          <w:rFonts w:ascii="Arial" w:hAnsi="Arial" w:cs="Arial"/>
          <w:sz w:val="20"/>
          <w:u w:val="single"/>
          <w:lang w:val="es-ES"/>
        </w:rPr>
        <w:lastRenderedPageBreak/>
        <w:t xml:space="preserve">Designaciones posteriores </w:t>
      </w:r>
    </w:p>
    <w:p w:rsidR="00223D78" w:rsidRPr="00352124" w:rsidRDefault="00A63F20" w:rsidP="00A63F20">
      <w:pPr>
        <w:widowControl w:val="0"/>
        <w:jc w:val="center"/>
        <w:rPr>
          <w:sz w:val="20"/>
        </w:rPr>
      </w:pPr>
      <w:r w:rsidRPr="00A63F20">
        <w:rPr>
          <w:noProof/>
          <w:lang w:val="en-US" w:eastAsia="en-US"/>
        </w:rPr>
        <w:drawing>
          <wp:inline distT="0" distB="0" distL="0" distR="0" wp14:anchorId="5A62703F" wp14:editId="0D79049F">
            <wp:extent cx="5018568" cy="2630300"/>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021878" cy="2632035"/>
                    </a:xfrm>
                    <a:prstGeom prst="rect">
                      <a:avLst/>
                    </a:prstGeom>
                    <a:noFill/>
                    <a:ln>
                      <a:noFill/>
                    </a:ln>
                  </pic:spPr>
                </pic:pic>
              </a:graphicData>
            </a:graphic>
          </wp:inline>
        </w:drawing>
      </w:r>
    </w:p>
    <w:p w:rsidR="00223D78" w:rsidRPr="00352124" w:rsidRDefault="00223D78" w:rsidP="00223D78">
      <w:pPr>
        <w:widowControl w:val="0"/>
        <w:jc w:val="both"/>
        <w:rPr>
          <w:sz w:val="20"/>
        </w:rPr>
      </w:pP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 xml:space="preserve">En 2014, la Oficina Internacional registró 17.316 designaciones posteriores, lo que supone un descenso del 2,5% con respecto a 2013. </w:t>
      </w:r>
    </w:p>
    <w:p w:rsidR="00223D78" w:rsidRPr="00352124" w:rsidRDefault="00223D78" w:rsidP="00223D78">
      <w:pPr>
        <w:widowControl w:val="0"/>
        <w:numPr>
          <w:ilvl w:val="0"/>
          <w:numId w:val="59"/>
        </w:numPr>
        <w:tabs>
          <w:tab w:val="clear" w:pos="720"/>
          <w:tab w:val="num" w:pos="993"/>
        </w:tabs>
        <w:ind w:left="993" w:hanging="426"/>
        <w:jc w:val="both"/>
        <w:rPr>
          <w:b/>
          <w:sz w:val="20"/>
        </w:rPr>
      </w:pPr>
      <w:r w:rsidRPr="00352124">
        <w:rPr>
          <w:sz w:val="20"/>
        </w:rPr>
        <w:t xml:space="preserve">En 2014, el nuevo formulario electrónico denominado </w:t>
      </w:r>
      <w:r w:rsidRPr="00352124">
        <w:rPr>
          <w:i/>
          <w:sz w:val="20"/>
        </w:rPr>
        <w:t>E-Subsequent Designation</w:t>
      </w:r>
      <w:r w:rsidRPr="00352124">
        <w:rPr>
          <w:sz w:val="20"/>
        </w:rPr>
        <w:t xml:space="preserve"> se puso a disposición de los solicitantes.  Ese formulario electrónico permitió a la Oficina Internacional  tramitar automáticamente el 14% de las designaciones posteriores. </w:t>
      </w:r>
    </w:p>
    <w:p w:rsidR="00223D78" w:rsidRPr="00352124" w:rsidRDefault="00223D78" w:rsidP="00223D78">
      <w:pPr>
        <w:pStyle w:val="ListParagraph"/>
        <w:widowControl w:val="0"/>
        <w:ind w:left="1418"/>
        <w:jc w:val="both"/>
        <w:rPr>
          <w:rFonts w:ascii="Arial" w:hAnsi="Arial" w:cs="Arial"/>
          <w:b/>
          <w:sz w:val="20"/>
          <w:szCs w:val="20"/>
          <w:lang w:val="es-ES"/>
        </w:rPr>
      </w:pPr>
    </w:p>
    <w:p w:rsidR="00223D78" w:rsidRPr="00352124" w:rsidRDefault="00223D78" w:rsidP="00223D78">
      <w:pPr>
        <w:pStyle w:val="ListParagraph"/>
        <w:widowControl w:val="0"/>
        <w:ind w:left="1418"/>
        <w:jc w:val="both"/>
        <w:rPr>
          <w:rFonts w:ascii="Arial" w:hAnsi="Arial" w:cs="Arial"/>
          <w:b/>
          <w:sz w:val="20"/>
          <w:szCs w:val="20"/>
          <w:lang w:val="es-ES"/>
        </w:rPr>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Cambios</w:t>
      </w:r>
    </w:p>
    <w:p w:rsidR="00223D78" w:rsidRPr="00352124" w:rsidRDefault="00094538" w:rsidP="00223D78">
      <w:pPr>
        <w:widowControl w:val="0"/>
        <w:ind w:left="360"/>
        <w:jc w:val="center"/>
      </w:pPr>
      <w:r w:rsidRPr="00094538">
        <w:rPr>
          <w:noProof/>
          <w:lang w:val="en-US" w:eastAsia="en-US"/>
        </w:rPr>
        <w:drawing>
          <wp:inline distT="0" distB="0" distL="0" distR="0" wp14:anchorId="76B2F22B" wp14:editId="4A01547B">
            <wp:extent cx="5135526" cy="2572410"/>
            <wp:effectExtent l="0" t="0" r="8255"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5142566" cy="2575936"/>
                    </a:xfrm>
                    <a:prstGeom prst="rect">
                      <a:avLst/>
                    </a:prstGeom>
                    <a:noFill/>
                    <a:ln>
                      <a:noFill/>
                    </a:ln>
                  </pic:spPr>
                </pic:pic>
              </a:graphicData>
            </a:graphic>
          </wp:inline>
        </w:drawing>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 xml:space="preserve">En 2014, la Oficina Internacional recibió 38.817 peticiones de cambios, lo que representó un aumento del 5,5% con respecto a 2003. </w:t>
      </w:r>
    </w:p>
    <w:p w:rsidR="00223D78" w:rsidRPr="00352124" w:rsidRDefault="00223D78" w:rsidP="00223D78">
      <w:pPr>
        <w:widowControl w:val="0"/>
        <w:spacing w:after="120"/>
        <w:jc w:val="both"/>
        <w:rPr>
          <w:sz w:val="20"/>
        </w:rPr>
      </w:pPr>
    </w:p>
    <w:p w:rsidR="00223D78" w:rsidRPr="00352124" w:rsidRDefault="00223D78" w:rsidP="00223D78">
      <w:pPr>
        <w:pStyle w:val="ListParagraph"/>
        <w:keepNext/>
        <w:widowControl w:val="0"/>
        <w:ind w:left="0"/>
        <w:jc w:val="both"/>
        <w:rPr>
          <w:rFonts w:ascii="Arial" w:hAnsi="Arial" w:cs="Arial"/>
          <w:sz w:val="20"/>
          <w:u w:val="single"/>
          <w:lang w:val="es-ES"/>
        </w:rPr>
      </w:pPr>
      <w:r w:rsidRPr="00352124">
        <w:rPr>
          <w:rFonts w:ascii="Arial" w:hAnsi="Arial" w:cs="Arial"/>
          <w:sz w:val="20"/>
          <w:u w:val="single"/>
          <w:lang w:val="es-ES"/>
        </w:rPr>
        <w:lastRenderedPageBreak/>
        <w:t>Decisiones</w:t>
      </w:r>
    </w:p>
    <w:p w:rsidR="00223D78" w:rsidRDefault="002471B4" w:rsidP="00223D78">
      <w:pPr>
        <w:widowControl w:val="0"/>
        <w:jc w:val="center"/>
      </w:pPr>
      <w:r w:rsidRPr="002471B4">
        <w:rPr>
          <w:noProof/>
          <w:lang w:val="en-US" w:eastAsia="en-US"/>
        </w:rPr>
        <w:drawing>
          <wp:inline distT="0" distB="0" distL="0" distR="0" wp14:anchorId="3012CC13" wp14:editId="5C2BC320">
            <wp:extent cx="5171888" cy="2636874"/>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5191608" cy="2646928"/>
                    </a:xfrm>
                    <a:prstGeom prst="rect">
                      <a:avLst/>
                    </a:prstGeom>
                    <a:noFill/>
                    <a:ln>
                      <a:noFill/>
                    </a:ln>
                  </pic:spPr>
                </pic:pic>
              </a:graphicData>
            </a:graphic>
          </wp:inline>
        </w:drawing>
      </w:r>
    </w:p>
    <w:p w:rsidR="002471B4" w:rsidRPr="00352124" w:rsidRDefault="002471B4" w:rsidP="00223D78">
      <w:pPr>
        <w:widowControl w:val="0"/>
        <w:jc w:val="center"/>
      </w:pP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En 2014, el número de decisiones registradas disminuyó en 0,3% frente a 2013, totalizando 521.208.  El número de decisiones tramitadas ha crecido rápidamente desde 2010.</w:t>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En 2014, el 62% de las decisiones se tramitaron automáticamente.  La mayoría de las decisiones se han tramitado automáticamente desde 2011.</w:t>
      </w:r>
    </w:p>
    <w:p w:rsidR="00223D78" w:rsidRPr="00352124" w:rsidRDefault="00223D78" w:rsidP="00223D78">
      <w:pPr>
        <w:widowControl w:val="0"/>
        <w:jc w:val="both"/>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Correcciones</w:t>
      </w:r>
    </w:p>
    <w:p w:rsidR="00223D78" w:rsidRDefault="00F12627" w:rsidP="00223D78">
      <w:pPr>
        <w:widowControl w:val="0"/>
        <w:jc w:val="center"/>
      </w:pPr>
      <w:r w:rsidRPr="00F12627">
        <w:rPr>
          <w:noProof/>
          <w:lang w:val="en-US" w:eastAsia="en-US"/>
        </w:rPr>
        <w:drawing>
          <wp:inline distT="0" distB="0" distL="0" distR="0" wp14:anchorId="15E994BE" wp14:editId="3CFC0900">
            <wp:extent cx="5326911" cy="2487933"/>
            <wp:effectExtent l="0" t="0" r="7620" b="762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5335129" cy="2491771"/>
                    </a:xfrm>
                    <a:prstGeom prst="rect">
                      <a:avLst/>
                    </a:prstGeom>
                    <a:noFill/>
                    <a:ln>
                      <a:noFill/>
                    </a:ln>
                  </pic:spPr>
                </pic:pic>
              </a:graphicData>
            </a:graphic>
          </wp:inline>
        </w:drawing>
      </w:r>
    </w:p>
    <w:p w:rsidR="00BB4E31" w:rsidRPr="00352124" w:rsidRDefault="00BB4E31" w:rsidP="00223D78">
      <w:pPr>
        <w:widowControl w:val="0"/>
        <w:jc w:val="center"/>
      </w:pP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En 2014, la Oficina Internacional registró aproximadamente 6.000 correcciones.  Esto representa un aumento del 17% con respecto a 2013.</w:t>
      </w:r>
    </w:p>
    <w:p w:rsidR="00223D78" w:rsidRPr="00352124" w:rsidRDefault="00223D78" w:rsidP="00223D78">
      <w:pPr>
        <w:rPr>
          <w:sz w:val="20"/>
        </w:rPr>
      </w:pPr>
      <w:r w:rsidRPr="00352124">
        <w:rPr>
          <w:sz w:val="20"/>
        </w:rPr>
        <w:br w:type="page"/>
      </w:r>
    </w:p>
    <w:p w:rsidR="00223D78" w:rsidRPr="00352124" w:rsidRDefault="00223D78" w:rsidP="00223D78">
      <w:pPr>
        <w:pStyle w:val="ListParagraph"/>
        <w:widowControl w:val="0"/>
        <w:numPr>
          <w:ilvl w:val="0"/>
          <w:numId w:val="58"/>
        </w:numPr>
        <w:ind w:left="540" w:hanging="540"/>
        <w:jc w:val="both"/>
        <w:rPr>
          <w:rFonts w:ascii="Arial" w:hAnsi="Arial" w:cs="Arial"/>
          <w:b/>
          <w:sz w:val="20"/>
          <w:szCs w:val="20"/>
          <w:lang w:val="es-ES"/>
        </w:rPr>
      </w:pPr>
      <w:r w:rsidRPr="00352124">
        <w:rPr>
          <w:rFonts w:ascii="Arial" w:hAnsi="Arial" w:cs="Arial"/>
          <w:b/>
          <w:sz w:val="20"/>
          <w:szCs w:val="20"/>
          <w:lang w:val="es-ES"/>
        </w:rPr>
        <w:lastRenderedPageBreak/>
        <w:t>Volumen total de trabajo</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El volumen total de trabajo corresponde al número total ponderado de los documentos tramitados por la Oficina Internacional.  En el total se incluyen las seis categorías de documentos mencionadas, a saber, las solicitudes, las renovaciones, las designaciones posteriores, los cambios, las decisiones y las correcciones.</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En vista de que para la tramitación de esos tipos de documentos no se necesita la misma cantidad de recursos, se ponderan de manera diferente.  Según ese sistema de ponderación, en el tiempo necesario para tramitar una solicitud internacional, un examinador puede tramitar 1,6 renovaciones, 1,8 designaciones posteriores, 1,8 cambios o 10 decisiones.  Asimismo, en el tiempo necesario para tramitar una solicitud internacional, un empleado encargado de los procesos automáticos puede normalmente tramitar 17 documentos. </w:t>
      </w:r>
    </w:p>
    <w:p w:rsidR="00223D78" w:rsidRPr="00352124" w:rsidRDefault="00223D78" w:rsidP="00223D78">
      <w:pPr>
        <w:widowControl w:val="0"/>
        <w:jc w:val="both"/>
        <w:rPr>
          <w:sz w:val="16"/>
          <w:szCs w:val="16"/>
        </w:rPr>
      </w:pPr>
    </w:p>
    <w:p w:rsidR="00223D78" w:rsidRDefault="00BB4E31" w:rsidP="00223D78">
      <w:pPr>
        <w:widowControl w:val="0"/>
        <w:jc w:val="center"/>
      </w:pPr>
      <w:r w:rsidRPr="00BB4E31">
        <w:rPr>
          <w:noProof/>
          <w:lang w:val="en-US" w:eastAsia="en-US"/>
        </w:rPr>
        <w:drawing>
          <wp:inline distT="0" distB="0" distL="0" distR="0" wp14:anchorId="2BF225E2" wp14:editId="03A423A0">
            <wp:extent cx="5039832" cy="2328531"/>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5049165" cy="2332843"/>
                    </a:xfrm>
                    <a:prstGeom prst="rect">
                      <a:avLst/>
                    </a:prstGeom>
                    <a:noFill/>
                    <a:ln>
                      <a:noFill/>
                    </a:ln>
                  </pic:spPr>
                </pic:pic>
              </a:graphicData>
            </a:graphic>
          </wp:inline>
        </w:drawing>
      </w:r>
    </w:p>
    <w:p w:rsidR="00BB4E31" w:rsidRPr="00352124" w:rsidRDefault="00BB4E31" w:rsidP="00223D78">
      <w:pPr>
        <w:widowControl w:val="0"/>
        <w:jc w:val="center"/>
      </w:pP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En 2014, el volumen total de trabajo se mantuvo estable en relación con 2013. Las solicitudes, las decisiones y los cambios representaron casi el 80% de la carga total de trabajo.</w:t>
      </w:r>
    </w:p>
    <w:p w:rsidR="00223D78" w:rsidRPr="00352124" w:rsidRDefault="00223D78" w:rsidP="00223D78">
      <w:pPr>
        <w:widowControl w:val="0"/>
        <w:numPr>
          <w:ilvl w:val="0"/>
          <w:numId w:val="59"/>
        </w:numPr>
        <w:tabs>
          <w:tab w:val="clear" w:pos="720"/>
          <w:tab w:val="num" w:pos="993"/>
        </w:tabs>
        <w:spacing w:after="120"/>
        <w:ind w:left="993" w:hanging="426"/>
        <w:jc w:val="both"/>
      </w:pPr>
      <w:r w:rsidRPr="00352124">
        <w:rPr>
          <w:sz w:val="20"/>
        </w:rPr>
        <w:t>Entre 2011 y 2013, el volumen de trabajo aumentó notablemente, principalmente debido al creciente número de decisiones.</w:t>
      </w:r>
    </w:p>
    <w:p w:rsidR="00223D78" w:rsidRPr="00352124" w:rsidRDefault="00223D78" w:rsidP="00223D78">
      <w:pPr>
        <w:pStyle w:val="ListParagraph"/>
        <w:widowControl w:val="0"/>
        <w:ind w:left="1080"/>
        <w:jc w:val="both"/>
        <w:rPr>
          <w:rFonts w:ascii="Arial" w:hAnsi="Arial" w:cs="Arial"/>
          <w:sz w:val="16"/>
          <w:szCs w:val="16"/>
          <w:lang w:val="es-ES"/>
        </w:rPr>
      </w:pPr>
    </w:p>
    <w:p w:rsidR="00223D78" w:rsidRPr="00352124" w:rsidRDefault="00223D78" w:rsidP="00223D78">
      <w:pPr>
        <w:pStyle w:val="ListParagraph"/>
        <w:widowControl w:val="0"/>
        <w:ind w:left="1080"/>
        <w:jc w:val="both"/>
        <w:rPr>
          <w:rFonts w:ascii="Arial" w:hAnsi="Arial" w:cs="Arial"/>
          <w:sz w:val="16"/>
          <w:szCs w:val="16"/>
          <w:lang w:val="es-ES"/>
        </w:rPr>
      </w:pPr>
    </w:p>
    <w:p w:rsidR="00223D78" w:rsidRPr="00352124" w:rsidRDefault="00223D78" w:rsidP="00223D78">
      <w:pPr>
        <w:pStyle w:val="ListParagraph"/>
        <w:widowControl w:val="0"/>
        <w:numPr>
          <w:ilvl w:val="0"/>
          <w:numId w:val="58"/>
        </w:numPr>
        <w:ind w:left="567" w:hanging="567"/>
        <w:jc w:val="both"/>
        <w:rPr>
          <w:rFonts w:ascii="Arial" w:hAnsi="Arial" w:cs="Arial"/>
          <w:b/>
          <w:sz w:val="20"/>
          <w:szCs w:val="20"/>
          <w:lang w:val="es-ES"/>
        </w:rPr>
      </w:pPr>
      <w:r w:rsidRPr="00352124">
        <w:rPr>
          <w:rFonts w:ascii="Arial" w:hAnsi="Arial" w:cs="Arial"/>
          <w:b/>
          <w:sz w:val="20"/>
          <w:szCs w:val="20"/>
          <w:lang w:val="es-ES"/>
        </w:rPr>
        <w:t>Medios de transmisión de los documentos recibidos</w:t>
      </w:r>
    </w:p>
    <w:p w:rsidR="00223D78" w:rsidRPr="00352124" w:rsidRDefault="00223D78" w:rsidP="00223D78">
      <w:pPr>
        <w:pStyle w:val="ListParagraph"/>
        <w:widowControl w:val="0"/>
        <w:ind w:left="1080"/>
        <w:jc w:val="both"/>
        <w:rPr>
          <w:rFonts w:ascii="Arial" w:hAnsi="Arial" w:cs="Arial"/>
          <w:b/>
          <w:sz w:val="20"/>
          <w:szCs w:val="20"/>
          <w:lang w:val="es-ES"/>
        </w:rPr>
      </w:pPr>
    </w:p>
    <w:p w:rsidR="00223D78" w:rsidRPr="00352124" w:rsidRDefault="003A64FB" w:rsidP="00223D78">
      <w:pPr>
        <w:widowControl w:val="0"/>
        <w:jc w:val="center"/>
        <w:rPr>
          <w:noProof/>
        </w:rPr>
      </w:pPr>
      <w:r w:rsidRPr="003A64FB">
        <w:rPr>
          <w:noProof/>
          <w:lang w:val="en-US" w:eastAsia="en-US"/>
        </w:rPr>
        <w:drawing>
          <wp:inline distT="0" distB="0" distL="0" distR="0" wp14:anchorId="4AF76068" wp14:editId="0F3A40DD">
            <wp:extent cx="5252484" cy="2294171"/>
            <wp:effectExtent l="0" t="0" r="5715"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5261832" cy="2298254"/>
                    </a:xfrm>
                    <a:prstGeom prst="rect">
                      <a:avLst/>
                    </a:prstGeom>
                    <a:noFill/>
                    <a:ln>
                      <a:noFill/>
                    </a:ln>
                  </pic:spPr>
                </pic:pic>
              </a:graphicData>
            </a:graphic>
          </wp:inline>
        </w:drawing>
      </w:r>
    </w:p>
    <w:p w:rsidR="00223D78" w:rsidRPr="00352124" w:rsidRDefault="00223D78" w:rsidP="00223D78">
      <w:pPr>
        <w:widowControl w:val="0"/>
        <w:numPr>
          <w:ilvl w:val="0"/>
          <w:numId w:val="59"/>
        </w:numPr>
        <w:tabs>
          <w:tab w:val="clear" w:pos="720"/>
          <w:tab w:val="num" w:pos="993"/>
        </w:tabs>
        <w:spacing w:after="120"/>
        <w:ind w:left="993" w:hanging="426"/>
        <w:jc w:val="both"/>
        <w:rPr>
          <w:sz w:val="20"/>
        </w:rPr>
      </w:pPr>
      <w:r w:rsidRPr="00352124">
        <w:rPr>
          <w:sz w:val="20"/>
        </w:rPr>
        <w:t xml:space="preserve">En 2014, el 66% de todos los documentos recibidos se transmitieron a la Oficina Internacional  por vía electrónica. </w:t>
      </w:r>
    </w:p>
    <w:p w:rsidR="00223D78" w:rsidRPr="00352124" w:rsidRDefault="00223D78" w:rsidP="00223D78">
      <w:pPr>
        <w:pStyle w:val="ListParagraph"/>
        <w:widowControl w:val="0"/>
        <w:numPr>
          <w:ilvl w:val="0"/>
          <w:numId w:val="61"/>
        </w:numPr>
        <w:tabs>
          <w:tab w:val="num" w:pos="993"/>
        </w:tabs>
        <w:spacing w:after="200"/>
        <w:ind w:left="993" w:hanging="426"/>
        <w:jc w:val="both"/>
        <w:rPr>
          <w:rFonts w:ascii="Arial" w:hAnsi="Arial" w:cs="Arial"/>
          <w:sz w:val="20"/>
          <w:szCs w:val="20"/>
          <w:lang w:val="es-ES"/>
        </w:rPr>
      </w:pPr>
      <w:r w:rsidRPr="00352124">
        <w:rPr>
          <w:rFonts w:ascii="Arial" w:hAnsi="Arial" w:cs="Arial"/>
          <w:sz w:val="20"/>
          <w:szCs w:val="20"/>
          <w:lang w:val="es-ES"/>
        </w:rPr>
        <w:t>El porcentaje de documentos transmitidos por vía electrónica se ha mantenido estable desde 2012.</w:t>
      </w:r>
    </w:p>
    <w:p w:rsidR="00223D78" w:rsidRPr="00352124" w:rsidRDefault="00223D78" w:rsidP="00223D78">
      <w:pPr>
        <w:widowControl w:val="0"/>
        <w:tabs>
          <w:tab w:val="num" w:pos="993"/>
        </w:tabs>
        <w:jc w:val="both"/>
        <w:rPr>
          <w:sz w:val="20"/>
        </w:rPr>
      </w:pPr>
    </w:p>
    <w:p w:rsidR="00223D78" w:rsidRPr="00352124" w:rsidRDefault="00223D78" w:rsidP="00223D78">
      <w:pPr>
        <w:pStyle w:val="ListParagraph"/>
        <w:widowControl w:val="0"/>
        <w:numPr>
          <w:ilvl w:val="0"/>
          <w:numId w:val="58"/>
        </w:numPr>
        <w:ind w:left="567" w:hanging="567"/>
        <w:jc w:val="both"/>
        <w:rPr>
          <w:rFonts w:ascii="Arial" w:hAnsi="Arial" w:cs="Arial"/>
          <w:b/>
          <w:sz w:val="20"/>
          <w:szCs w:val="20"/>
          <w:lang w:val="es-ES"/>
        </w:rPr>
      </w:pPr>
      <w:r w:rsidRPr="00352124">
        <w:rPr>
          <w:rFonts w:ascii="Arial" w:hAnsi="Arial" w:cs="Arial"/>
          <w:b/>
          <w:sz w:val="20"/>
          <w:szCs w:val="20"/>
          <w:lang w:val="es-ES"/>
        </w:rPr>
        <w:t>Tramitación</w:t>
      </w:r>
    </w:p>
    <w:p w:rsidR="00223D78" w:rsidRPr="00352124" w:rsidRDefault="00223D78" w:rsidP="00223D78">
      <w:pPr>
        <w:widowControl w:val="0"/>
        <w:jc w:val="both"/>
        <w:rPr>
          <w:sz w:val="20"/>
        </w:rPr>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Costo total de producción</w:t>
      </w:r>
    </w:p>
    <w:p w:rsidR="00223D78" w:rsidRPr="00352124" w:rsidRDefault="00223D78" w:rsidP="00223D78">
      <w:pPr>
        <w:pStyle w:val="ListParagraph"/>
        <w:widowControl w:val="0"/>
        <w:ind w:left="1440"/>
        <w:jc w:val="both"/>
        <w:rPr>
          <w:rFonts w:ascii="Arial" w:hAnsi="Arial" w:cs="Arial"/>
          <w:b/>
          <w:i/>
          <w:sz w:val="20"/>
          <w:szCs w:val="20"/>
          <w:lang w:val="es-ES"/>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Los costos totales de producción pueden ser directos o indirectos.  Los costos directos reflejan los gastos en que incurre la Oficina Internacional para administrar el Sistema de Madrid (como los gastos de gestión, traducción y registro).  Los costos indirectos reflejan los gastos efectuados para el apoyo de actividades (como los relativos a los edificios y a la tecnología de la información).  Estos últimos se ponderan para tener en cuenta únicamente la proporción imputable al Sistema del Madrid.</w:t>
      </w:r>
    </w:p>
    <w:p w:rsidR="00223D78" w:rsidRPr="00352124" w:rsidRDefault="008A49C4" w:rsidP="00223D78">
      <w:pPr>
        <w:widowControl w:val="0"/>
        <w:jc w:val="center"/>
      </w:pPr>
      <w:r w:rsidRPr="008A49C4">
        <w:rPr>
          <w:noProof/>
          <w:lang w:val="en-US" w:eastAsia="en-US"/>
        </w:rPr>
        <w:drawing>
          <wp:inline distT="0" distB="0" distL="0" distR="0" wp14:anchorId="48D711E9" wp14:editId="7DD6F740">
            <wp:extent cx="4918088" cy="2770320"/>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930011" cy="2777036"/>
                    </a:xfrm>
                    <a:prstGeom prst="rect">
                      <a:avLst/>
                    </a:prstGeom>
                    <a:noFill/>
                    <a:ln>
                      <a:noFill/>
                    </a:ln>
                  </pic:spPr>
                </pic:pic>
              </a:graphicData>
            </a:graphic>
          </wp:inline>
        </w:drawing>
      </w:r>
    </w:p>
    <w:p w:rsidR="00223D78" w:rsidRPr="00352124" w:rsidRDefault="00223D78" w:rsidP="00223D78">
      <w:pPr>
        <w:pStyle w:val="ListParagraph"/>
        <w:widowControl w:val="0"/>
        <w:numPr>
          <w:ilvl w:val="0"/>
          <w:numId w:val="62"/>
        </w:numPr>
        <w:spacing w:after="200"/>
        <w:ind w:left="1134" w:hanging="567"/>
        <w:jc w:val="both"/>
        <w:rPr>
          <w:rFonts w:ascii="Arial" w:hAnsi="Arial" w:cs="Arial"/>
          <w:sz w:val="20"/>
          <w:szCs w:val="20"/>
          <w:lang w:val="es-ES"/>
        </w:rPr>
      </w:pPr>
      <w:r w:rsidRPr="00352124">
        <w:rPr>
          <w:rFonts w:ascii="Arial" w:hAnsi="Arial" w:cs="Arial"/>
          <w:sz w:val="20"/>
          <w:szCs w:val="20"/>
          <w:lang w:val="es-ES"/>
        </w:rPr>
        <w:t>Se calcula que el costo total de producción fue de 41,8 mill</w:t>
      </w:r>
      <w:r w:rsidR="00B9182C">
        <w:rPr>
          <w:rFonts w:ascii="Arial" w:hAnsi="Arial" w:cs="Arial"/>
          <w:sz w:val="20"/>
          <w:szCs w:val="20"/>
          <w:lang w:val="es-ES"/>
        </w:rPr>
        <w:t>ones de francos suizos en </w:t>
      </w:r>
      <w:r w:rsidRPr="00352124">
        <w:rPr>
          <w:rFonts w:ascii="Arial" w:hAnsi="Arial" w:cs="Arial"/>
          <w:sz w:val="20"/>
          <w:szCs w:val="20"/>
          <w:lang w:val="es-ES"/>
        </w:rPr>
        <w:t xml:space="preserve">2014.  Esto supone un leve aumento del 0,1% con respecto a 2013. </w:t>
      </w:r>
    </w:p>
    <w:p w:rsidR="00223D78" w:rsidRPr="00352124" w:rsidRDefault="00223D78" w:rsidP="00223D78">
      <w:pPr>
        <w:pStyle w:val="ListParagraph"/>
        <w:widowControl w:val="0"/>
        <w:ind w:left="1134" w:hanging="567"/>
        <w:jc w:val="both"/>
        <w:rPr>
          <w:rFonts w:ascii="Arial" w:hAnsi="Arial" w:cs="Arial"/>
          <w:sz w:val="20"/>
          <w:szCs w:val="20"/>
          <w:lang w:val="es-ES"/>
        </w:rPr>
      </w:pPr>
    </w:p>
    <w:p w:rsidR="00223D78" w:rsidRPr="00352124" w:rsidRDefault="00223D78" w:rsidP="00223D78">
      <w:pPr>
        <w:pStyle w:val="ListParagraph"/>
        <w:widowControl w:val="0"/>
        <w:numPr>
          <w:ilvl w:val="0"/>
          <w:numId w:val="62"/>
        </w:numPr>
        <w:ind w:left="1134" w:hanging="567"/>
        <w:jc w:val="both"/>
        <w:rPr>
          <w:rFonts w:ascii="Arial" w:hAnsi="Arial" w:cs="Arial"/>
          <w:sz w:val="20"/>
          <w:szCs w:val="20"/>
          <w:lang w:val="es-ES"/>
        </w:rPr>
      </w:pPr>
      <w:r w:rsidRPr="00352124">
        <w:rPr>
          <w:rFonts w:ascii="Arial" w:hAnsi="Arial" w:cs="Arial"/>
          <w:sz w:val="20"/>
          <w:szCs w:val="20"/>
          <w:lang w:val="es-ES"/>
        </w:rPr>
        <w:t xml:space="preserve">En 2014, los costos directos representaron el 61% de los costos totales. </w:t>
      </w:r>
    </w:p>
    <w:p w:rsidR="00223D78" w:rsidRPr="00352124" w:rsidRDefault="00223D78" w:rsidP="00223D78">
      <w:pPr>
        <w:widowControl w:val="0"/>
        <w:ind w:left="1134" w:hanging="567"/>
        <w:jc w:val="both"/>
        <w:rPr>
          <w:sz w:val="20"/>
        </w:rPr>
      </w:pPr>
    </w:p>
    <w:p w:rsidR="00223D78" w:rsidRPr="00352124" w:rsidRDefault="00223D78" w:rsidP="00223D78">
      <w:pPr>
        <w:widowControl w:val="0"/>
        <w:ind w:left="1080"/>
        <w:jc w:val="both"/>
        <w:rPr>
          <w:sz w:val="20"/>
        </w:rPr>
      </w:pPr>
    </w:p>
    <w:p w:rsidR="00223D78" w:rsidRPr="00352124" w:rsidRDefault="00223D78" w:rsidP="00223D78">
      <w:pPr>
        <w:pStyle w:val="ListParagraph"/>
        <w:widowControl w:val="0"/>
        <w:ind w:left="0"/>
        <w:jc w:val="both"/>
        <w:rPr>
          <w:rFonts w:ascii="Arial" w:hAnsi="Arial" w:cs="Arial"/>
          <w:sz w:val="20"/>
          <w:u w:val="single"/>
          <w:lang w:val="es-ES"/>
        </w:rPr>
      </w:pPr>
      <w:r w:rsidRPr="00352124">
        <w:rPr>
          <w:rFonts w:ascii="Arial" w:hAnsi="Arial" w:cs="Arial"/>
          <w:sz w:val="20"/>
          <w:u w:val="single"/>
          <w:lang w:val="es-ES"/>
        </w:rPr>
        <w:t xml:space="preserve">Costo unitario </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La eficacia de la tramitación de las transacciones de la Oficina Internacional puede medirse por el costo unitario, que se define como el costo medio de producción de una unidad de producto.</w:t>
      </w:r>
    </w:p>
    <w:p w:rsidR="00223D78" w:rsidRPr="00352124" w:rsidRDefault="00223D78" w:rsidP="00223D78">
      <w:pPr>
        <w:widowControl w:val="0"/>
        <w:contextualSpacing/>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Dado que la Oficina Internacional registra nuevas solicitudes y mantiene los registros existentes, resulta pertinente contar con una unidad de producto que englobe una serie de transacciones.  A continuación se presentan dos indicadores de costo unitario que utilizan dos unidades de producto diferentes.</w:t>
      </w:r>
    </w:p>
    <w:p w:rsidR="00223D78" w:rsidRPr="00352124" w:rsidRDefault="00223D78" w:rsidP="00223D78">
      <w:pPr>
        <w:pStyle w:val="ListParagraph"/>
        <w:widowControl w:val="0"/>
        <w:tabs>
          <w:tab w:val="left" w:pos="567"/>
        </w:tabs>
        <w:ind w:left="0"/>
        <w:jc w:val="both"/>
        <w:rPr>
          <w:rFonts w:ascii="Arial" w:hAnsi="Arial" w:cs="Arial"/>
          <w:sz w:val="20"/>
          <w:szCs w:val="20"/>
          <w:lang w:val="es-ES"/>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En el marco de las iniciativas de la Oficina Internacional para mejorar constantemente la metodología para el cálculo de los costos unitarios, se revisó dicha metodología en el Presupuesto por Programas de 2016/2017, con el fin de reflejar de forma más precisa el costo de la tramitación del volumen de trabajo relativo al Sistema de Madrid en la Oficina Internacional  :</w:t>
      </w:r>
    </w:p>
    <w:p w:rsidR="00223D78" w:rsidRPr="00352124" w:rsidRDefault="00223D78" w:rsidP="00223D78">
      <w:pPr>
        <w:pStyle w:val="ListParagraph"/>
        <w:widowControl w:val="0"/>
        <w:tabs>
          <w:tab w:val="left" w:pos="567"/>
        </w:tabs>
        <w:ind w:left="0"/>
        <w:jc w:val="both"/>
        <w:rPr>
          <w:rFonts w:ascii="Arial" w:hAnsi="Arial" w:cs="Arial"/>
          <w:sz w:val="20"/>
          <w:szCs w:val="20"/>
          <w:lang w:val="es-ES"/>
        </w:rPr>
      </w:pPr>
    </w:p>
    <w:p w:rsidR="00223D78" w:rsidRPr="00352124" w:rsidRDefault="00223D78" w:rsidP="00223D78">
      <w:pPr>
        <w:pStyle w:val="ListParagraph"/>
        <w:widowControl w:val="0"/>
        <w:numPr>
          <w:ilvl w:val="0"/>
          <w:numId w:val="60"/>
        </w:numPr>
        <w:spacing w:after="200"/>
        <w:ind w:left="1134" w:hanging="567"/>
        <w:jc w:val="both"/>
        <w:rPr>
          <w:rFonts w:ascii="Arial" w:hAnsi="Arial" w:cs="Arial"/>
          <w:sz w:val="20"/>
          <w:szCs w:val="20"/>
          <w:lang w:val="es-ES"/>
        </w:rPr>
      </w:pPr>
      <w:r w:rsidRPr="00352124">
        <w:rPr>
          <w:rFonts w:ascii="Arial" w:hAnsi="Arial" w:cs="Arial"/>
          <w:sz w:val="20"/>
          <w:szCs w:val="20"/>
          <w:lang w:val="es-ES"/>
        </w:rPr>
        <w:t xml:space="preserve">La metodología para calcular los costos directos e indirectos del Sistema de Madrid se ha armonizado con las metodologías para calcular los costos unitarios del PCT y del Sistema de </w:t>
      </w:r>
      <w:r w:rsidR="003B0DF0">
        <w:rPr>
          <w:rFonts w:ascii="Arial" w:hAnsi="Arial" w:cs="Arial"/>
          <w:sz w:val="20"/>
          <w:szCs w:val="20"/>
          <w:lang w:val="es-ES"/>
        </w:rPr>
        <w:t>La Haya</w:t>
      </w:r>
      <w:r w:rsidRPr="00352124">
        <w:rPr>
          <w:rFonts w:ascii="Arial" w:hAnsi="Arial" w:cs="Arial"/>
          <w:sz w:val="20"/>
          <w:szCs w:val="20"/>
          <w:lang w:val="es-ES"/>
        </w:rPr>
        <w:t>.</w:t>
      </w:r>
    </w:p>
    <w:p w:rsidR="00223D78" w:rsidRPr="00352124" w:rsidRDefault="00223D78" w:rsidP="00223D78">
      <w:pPr>
        <w:pStyle w:val="ListParagraph"/>
        <w:widowControl w:val="0"/>
        <w:ind w:left="1134" w:hanging="567"/>
        <w:jc w:val="both"/>
        <w:rPr>
          <w:rFonts w:ascii="Arial" w:hAnsi="Arial" w:cs="Arial"/>
          <w:sz w:val="20"/>
          <w:szCs w:val="20"/>
          <w:lang w:val="es-ES"/>
        </w:rPr>
      </w:pPr>
    </w:p>
    <w:p w:rsidR="00223D78" w:rsidRPr="00352124" w:rsidRDefault="00223D78" w:rsidP="00223D78">
      <w:pPr>
        <w:pStyle w:val="ListParagraph"/>
        <w:widowControl w:val="0"/>
        <w:numPr>
          <w:ilvl w:val="0"/>
          <w:numId w:val="60"/>
        </w:numPr>
        <w:spacing w:after="200"/>
        <w:ind w:left="1134" w:hanging="567"/>
        <w:jc w:val="both"/>
        <w:rPr>
          <w:rFonts w:ascii="Arial" w:hAnsi="Arial" w:cs="Arial"/>
          <w:sz w:val="20"/>
          <w:szCs w:val="20"/>
          <w:lang w:val="es-ES"/>
        </w:rPr>
      </w:pPr>
      <w:r w:rsidRPr="00352124">
        <w:rPr>
          <w:rFonts w:ascii="Arial" w:hAnsi="Arial" w:cs="Arial"/>
          <w:sz w:val="20"/>
          <w:szCs w:val="20"/>
          <w:lang w:val="es-ES"/>
        </w:rPr>
        <w:t>Se ha puesto en marcha un sistema de ponderación que permite evaluar mejor el trabajo real necesario para tramitar las seis categorías de documentos, teniendo en cuenta que algunos de esos documentos requieren más mano de obra que otros.</w:t>
      </w:r>
      <w:r w:rsidRPr="00352124">
        <w:rPr>
          <w:rStyle w:val="FootnoteReference"/>
          <w:rFonts w:ascii="Arial" w:hAnsi="Arial" w:cs="Arial"/>
          <w:sz w:val="20"/>
          <w:szCs w:val="20"/>
          <w:lang w:val="es-ES"/>
        </w:rPr>
        <w:footnoteReference w:id="21"/>
      </w:r>
    </w:p>
    <w:p w:rsidR="00223D78" w:rsidRPr="00352124" w:rsidRDefault="00223D78" w:rsidP="00223D78">
      <w:pPr>
        <w:pStyle w:val="ListParagraph"/>
        <w:widowControl w:val="0"/>
        <w:ind w:left="1134" w:hanging="567"/>
        <w:jc w:val="both"/>
        <w:rPr>
          <w:rFonts w:ascii="Arial" w:hAnsi="Arial" w:cs="Arial"/>
          <w:sz w:val="20"/>
          <w:szCs w:val="20"/>
          <w:lang w:val="es-ES"/>
        </w:rPr>
      </w:pPr>
    </w:p>
    <w:p w:rsidR="00223D78" w:rsidRPr="00352124" w:rsidRDefault="00223D78" w:rsidP="00223D78">
      <w:pPr>
        <w:pStyle w:val="ListParagraph"/>
        <w:widowControl w:val="0"/>
        <w:numPr>
          <w:ilvl w:val="0"/>
          <w:numId w:val="60"/>
        </w:numPr>
        <w:spacing w:after="200"/>
        <w:jc w:val="both"/>
        <w:rPr>
          <w:rFonts w:ascii="Arial" w:hAnsi="Arial" w:cs="Arial"/>
          <w:sz w:val="20"/>
          <w:szCs w:val="20"/>
          <w:lang w:val="es-ES"/>
        </w:rPr>
      </w:pPr>
      <w:r w:rsidRPr="00352124">
        <w:rPr>
          <w:rFonts w:ascii="Arial" w:hAnsi="Arial" w:cs="Arial"/>
          <w:sz w:val="20"/>
          <w:szCs w:val="20"/>
          <w:lang w:val="es-ES"/>
        </w:rPr>
        <w:lastRenderedPageBreak/>
        <w:t>Se ha redefinido el primer costo unitario para incluir solo los nuevos registros internacionales  y sus renovaciones (el costo unitario en el Presupuesto por Programas de 2014/2015 también incluía las designaciones posteriores).  Se decidió retirar las designaciones posteriores del cálculo del costo unitario con el fin de dar más relevancia a los productos esenciales del Sistema de Madrid, a saber, los registros internacionales y sus renovaciones.  Todas las demás transacciones del Sistema de Madrid  (las designaciones posteriores, los cambios, las decisiones y correcciones) se pueden considerar secundarios frente a esas dos transacciones esenciales.  Además, no hay nada que justifique la inclusión de una de esas transacciones secundarias como componentes de los costos unitarios en detrimento de las demás.</w:t>
      </w:r>
    </w:p>
    <w:p w:rsidR="00223D78" w:rsidRPr="00352124" w:rsidRDefault="00223D78" w:rsidP="00223D78">
      <w:pPr>
        <w:pStyle w:val="ListParagraph"/>
        <w:widowControl w:val="0"/>
        <w:ind w:left="1134" w:hanging="567"/>
        <w:rPr>
          <w:rFonts w:ascii="Arial" w:hAnsi="Arial" w:cs="Arial"/>
          <w:sz w:val="20"/>
          <w:szCs w:val="20"/>
          <w:lang w:val="es-ES"/>
        </w:rPr>
      </w:pPr>
    </w:p>
    <w:p w:rsidR="00223D78" w:rsidRPr="00352124" w:rsidRDefault="00223D78" w:rsidP="0015313F">
      <w:pPr>
        <w:pStyle w:val="ListParagraph"/>
        <w:widowControl w:val="0"/>
        <w:numPr>
          <w:ilvl w:val="0"/>
          <w:numId w:val="60"/>
        </w:numPr>
        <w:ind w:left="714" w:hanging="357"/>
        <w:jc w:val="both"/>
        <w:rPr>
          <w:rFonts w:ascii="Arial" w:hAnsi="Arial" w:cs="Arial"/>
          <w:sz w:val="20"/>
          <w:szCs w:val="20"/>
          <w:lang w:val="es-ES"/>
        </w:rPr>
      </w:pPr>
      <w:r w:rsidRPr="00352124">
        <w:rPr>
          <w:rFonts w:ascii="Arial" w:hAnsi="Arial" w:cs="Arial"/>
          <w:sz w:val="20"/>
          <w:szCs w:val="20"/>
          <w:lang w:val="es-ES"/>
        </w:rPr>
        <w:t>El segundo costo unitario se basa en el número de documentos inscritos en el registro más que en el número de inscripciones realizadas en razón de los diferentes tipos de actividades necesarias para tramitar los diversos documentos.</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A efectos de comparación, en los gráficos que figuran a continuación se muestra la evolución de dos tipos de costos unitarios de 2008 a 2014 (Metodología antigua) y de 2012 a 2014 (Metodología nueva), con inclusión de un desglose de la contribución de los costos directos e indirectos.</w:t>
      </w:r>
    </w:p>
    <w:p w:rsidR="00223D78" w:rsidRPr="00352124" w:rsidRDefault="00223D78" w:rsidP="00223D78">
      <w:pPr>
        <w:widowControl w:val="0"/>
        <w:jc w:val="both"/>
        <w:rPr>
          <w:sz w:val="20"/>
        </w:rPr>
      </w:pPr>
    </w:p>
    <w:p w:rsidR="00223D78" w:rsidRPr="00352124" w:rsidRDefault="00223D78" w:rsidP="00223D78">
      <w:pPr>
        <w:pStyle w:val="ListParagraph"/>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t>Costo unitario por registro internacional nuevo o renovado</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Los nuevos registros internacionales consisten en solicitudes que se registran en un año dado y los registros internacionales renovados son los registros existentes que se renuevan en un año dado.  En conjunto, estos dos tipos de transacciones constituyen la actividad central de la Oficina Internacional.</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En vista de que la tramitación de estos dos tipos de transacciones no exige la misma cantidad de recursos, cada uno se pondera de forma diferente</w:t>
      </w:r>
      <w:r w:rsidRPr="00352124">
        <w:rPr>
          <w:rStyle w:val="FootnoteReference"/>
          <w:rFonts w:ascii="Arial" w:hAnsi="Arial" w:cs="Arial"/>
          <w:sz w:val="20"/>
          <w:szCs w:val="20"/>
          <w:lang w:val="es-ES"/>
        </w:rPr>
        <w:t xml:space="preserve"> </w:t>
      </w:r>
      <w:r w:rsidRPr="00352124">
        <w:rPr>
          <w:rStyle w:val="FootnoteReference"/>
          <w:rFonts w:ascii="Arial" w:hAnsi="Arial" w:cs="Arial"/>
          <w:sz w:val="20"/>
          <w:szCs w:val="20"/>
          <w:lang w:val="es-ES"/>
        </w:rPr>
        <w:footnoteReference w:id="22"/>
      </w:r>
      <w:r w:rsidRPr="00352124">
        <w:rPr>
          <w:rFonts w:ascii="Arial" w:hAnsi="Arial" w:cs="Arial"/>
          <w:sz w:val="20"/>
          <w:szCs w:val="20"/>
          <w:lang w:val="es-ES"/>
        </w:rPr>
        <w:t xml:space="preserve">.  Los costos unitarios se calculan dividiendo el costo total de producción  por el número de nuevos o renovados registros internacionales.  </w:t>
      </w:r>
    </w:p>
    <w:p w:rsidR="00223D78" w:rsidRPr="00352124" w:rsidRDefault="00223D78" w:rsidP="00223D78">
      <w:pPr>
        <w:widowControl w:val="0"/>
      </w:pPr>
    </w:p>
    <w:tbl>
      <w:tblPr>
        <w:tblStyle w:val="TableGrid"/>
        <w:tblW w:w="9464" w:type="dxa"/>
        <w:tblLayout w:type="fixed"/>
        <w:tblLook w:val="04A0" w:firstRow="1" w:lastRow="0" w:firstColumn="1" w:lastColumn="0" w:noHBand="0" w:noVBand="1"/>
      </w:tblPr>
      <w:tblGrid>
        <w:gridCol w:w="4503"/>
        <w:gridCol w:w="4961"/>
      </w:tblGrid>
      <w:tr w:rsidR="00223D78" w:rsidRPr="00352124" w:rsidTr="00BA0889">
        <w:trPr>
          <w:cantSplit/>
        </w:trPr>
        <w:tc>
          <w:tcPr>
            <w:tcW w:w="4503" w:type="dxa"/>
          </w:tcPr>
          <w:p w:rsidR="00223D78" w:rsidRPr="00352124" w:rsidRDefault="00223D78" w:rsidP="00781224">
            <w:pPr>
              <w:keepNext/>
              <w:widowControl w:val="0"/>
              <w:jc w:val="center"/>
            </w:pPr>
            <w:r w:rsidRPr="00352124">
              <w:t>Metodología antigua</w:t>
            </w:r>
          </w:p>
        </w:tc>
        <w:tc>
          <w:tcPr>
            <w:tcW w:w="4961" w:type="dxa"/>
          </w:tcPr>
          <w:p w:rsidR="00223D78" w:rsidRPr="00352124" w:rsidRDefault="00223D78" w:rsidP="00781224">
            <w:pPr>
              <w:keepNext/>
              <w:widowControl w:val="0"/>
              <w:jc w:val="center"/>
            </w:pPr>
            <w:r w:rsidRPr="00352124">
              <w:t>Metodología nueva</w:t>
            </w:r>
          </w:p>
        </w:tc>
      </w:tr>
      <w:tr w:rsidR="00223D78" w:rsidRPr="00352124" w:rsidTr="00BA0889">
        <w:trPr>
          <w:cantSplit/>
          <w:trHeight w:val="3125"/>
        </w:trPr>
        <w:tc>
          <w:tcPr>
            <w:tcW w:w="4503" w:type="dxa"/>
          </w:tcPr>
          <w:p w:rsidR="00223D78" w:rsidRPr="00352124" w:rsidRDefault="00BA0889" w:rsidP="00781224">
            <w:pPr>
              <w:widowControl w:val="0"/>
              <w:jc w:val="center"/>
            </w:pPr>
            <w:r>
              <w:rPr>
                <w:noProof/>
                <w:lang w:val="en-US" w:eastAsia="en-US"/>
              </w:rPr>
              <w:drawing>
                <wp:inline distT="0" distB="0" distL="0" distR="0" wp14:anchorId="3AD849C3" wp14:editId="16928CE4">
                  <wp:extent cx="2679405" cy="1881963"/>
                  <wp:effectExtent l="0" t="0" r="6985" b="4445"/>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2679310" cy="1881896"/>
                          </a:xfrm>
                          <a:prstGeom prst="rect">
                            <a:avLst/>
                          </a:prstGeom>
                          <a:noFill/>
                          <a:ln>
                            <a:noFill/>
                          </a:ln>
                        </pic:spPr>
                      </pic:pic>
                    </a:graphicData>
                  </a:graphic>
                </wp:inline>
              </w:drawing>
            </w:r>
          </w:p>
        </w:tc>
        <w:tc>
          <w:tcPr>
            <w:tcW w:w="4961" w:type="dxa"/>
          </w:tcPr>
          <w:p w:rsidR="00223D78" w:rsidRPr="00352124" w:rsidRDefault="00BA0889" w:rsidP="00781224">
            <w:pPr>
              <w:widowControl w:val="0"/>
              <w:jc w:val="center"/>
            </w:pPr>
            <w:r>
              <w:rPr>
                <w:noProof/>
                <w:lang w:val="en-US" w:eastAsia="en-US"/>
              </w:rPr>
              <w:drawing>
                <wp:inline distT="0" distB="0" distL="0" distR="0" wp14:anchorId="0F33D282" wp14:editId="521F8A3C">
                  <wp:extent cx="2837423" cy="1935126"/>
                  <wp:effectExtent l="0" t="0" r="1270" b="8255"/>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2848914" cy="1942963"/>
                          </a:xfrm>
                          <a:prstGeom prst="rect">
                            <a:avLst/>
                          </a:prstGeom>
                          <a:noFill/>
                          <a:ln>
                            <a:noFill/>
                          </a:ln>
                        </pic:spPr>
                      </pic:pic>
                    </a:graphicData>
                  </a:graphic>
                </wp:inline>
              </w:drawing>
            </w:r>
          </w:p>
        </w:tc>
      </w:tr>
    </w:tbl>
    <w:p w:rsidR="00223D78" w:rsidRPr="00352124" w:rsidRDefault="00223D78" w:rsidP="00223D78">
      <w:pPr>
        <w:widowControl w:val="0"/>
      </w:pPr>
    </w:p>
    <w:p w:rsidR="00223D78" w:rsidRPr="00352124" w:rsidRDefault="00223D78" w:rsidP="00223D78">
      <w:pPr>
        <w:pStyle w:val="ListParagraph"/>
        <w:widowControl w:val="0"/>
        <w:numPr>
          <w:ilvl w:val="0"/>
          <w:numId w:val="63"/>
        </w:numPr>
        <w:ind w:left="851" w:hanging="284"/>
        <w:jc w:val="both"/>
        <w:rPr>
          <w:rFonts w:ascii="Arial" w:hAnsi="Arial" w:cs="Arial"/>
          <w:sz w:val="20"/>
          <w:szCs w:val="20"/>
          <w:lang w:val="es-ES"/>
        </w:rPr>
      </w:pPr>
      <w:r w:rsidRPr="00352124">
        <w:rPr>
          <w:rFonts w:ascii="Arial" w:hAnsi="Arial" w:cs="Arial"/>
          <w:sz w:val="20"/>
          <w:szCs w:val="20"/>
          <w:lang w:val="es-ES"/>
        </w:rPr>
        <w:t>El costo medio de la tramitación de un registro internacional nuevo o renovado ascendió a</w:t>
      </w:r>
      <w:r w:rsidR="00B972F6">
        <w:rPr>
          <w:rFonts w:ascii="Arial" w:hAnsi="Arial" w:cs="Arial"/>
          <w:sz w:val="20"/>
          <w:szCs w:val="20"/>
          <w:lang w:val="es-ES"/>
        </w:rPr>
        <w:t> </w:t>
      </w:r>
      <w:r w:rsidRPr="00352124">
        <w:rPr>
          <w:rFonts w:ascii="Arial" w:hAnsi="Arial" w:cs="Arial"/>
          <w:sz w:val="20"/>
          <w:szCs w:val="20"/>
          <w:lang w:val="es-ES"/>
        </w:rPr>
        <w:t>837 francos suizos en 2014.  Esto representa un aumento del 2,6% con respecto a 2013.  Ese aumento se debió esencialmente a que el costo de tramitación se mantuvo relativamente estable, conjuntamente con un descenso del 4,5% del número de solicitudes internacionales registradas.</w:t>
      </w:r>
    </w:p>
    <w:p w:rsidR="00223D78" w:rsidRPr="00352124" w:rsidRDefault="00223D78" w:rsidP="00223D78">
      <w:pPr>
        <w:widowControl w:val="0"/>
        <w:jc w:val="center"/>
        <w:rPr>
          <w:sz w:val="20"/>
        </w:rPr>
      </w:pPr>
    </w:p>
    <w:p w:rsidR="00223D78" w:rsidRPr="00352124" w:rsidRDefault="00223D78" w:rsidP="004771AC">
      <w:pPr>
        <w:pStyle w:val="ListParagraph"/>
        <w:keepNext/>
        <w:keepLines/>
        <w:widowControl w:val="0"/>
        <w:tabs>
          <w:tab w:val="left" w:pos="1701"/>
        </w:tabs>
        <w:ind w:left="567"/>
        <w:jc w:val="both"/>
        <w:rPr>
          <w:rFonts w:ascii="Arial" w:hAnsi="Arial" w:cs="Arial"/>
          <w:i/>
          <w:sz w:val="20"/>
          <w:szCs w:val="20"/>
          <w:lang w:val="es-ES"/>
        </w:rPr>
      </w:pPr>
      <w:r w:rsidRPr="00352124">
        <w:rPr>
          <w:rFonts w:ascii="Arial" w:hAnsi="Arial" w:cs="Arial"/>
          <w:i/>
          <w:sz w:val="20"/>
          <w:szCs w:val="20"/>
          <w:lang w:val="es-ES"/>
        </w:rPr>
        <w:lastRenderedPageBreak/>
        <w:t>Costo unitario por documento inscrito en el registro</w:t>
      </w:r>
    </w:p>
    <w:p w:rsidR="00223D78" w:rsidRPr="00352124" w:rsidRDefault="00223D78" w:rsidP="004771AC">
      <w:pPr>
        <w:keepNext/>
        <w:keepLines/>
        <w:widowControl w:val="0"/>
        <w:jc w:val="both"/>
        <w:rPr>
          <w:sz w:val="20"/>
        </w:rPr>
      </w:pPr>
    </w:p>
    <w:p w:rsidR="00223D78" w:rsidRPr="00352124" w:rsidRDefault="00223D78" w:rsidP="004771AC">
      <w:pPr>
        <w:pStyle w:val="ListParagraph"/>
        <w:keepNext/>
        <w:keepLines/>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Los documentos inscritos en el registro corresponden al volumen total de trabajo (véase el “volumen total de trabajo” arriba). </w:t>
      </w:r>
    </w:p>
    <w:p w:rsidR="00223D78" w:rsidRPr="00352124" w:rsidRDefault="00223D78" w:rsidP="004771AC">
      <w:pPr>
        <w:keepNext/>
        <w:keepLines/>
        <w:widowControl w:val="0"/>
        <w:jc w:val="center"/>
      </w:pPr>
    </w:p>
    <w:tbl>
      <w:tblPr>
        <w:tblStyle w:val="TableGrid"/>
        <w:tblW w:w="10173" w:type="dxa"/>
        <w:tblLayout w:type="fixed"/>
        <w:tblLook w:val="04A0" w:firstRow="1" w:lastRow="0" w:firstColumn="1" w:lastColumn="0" w:noHBand="0" w:noVBand="1"/>
      </w:tblPr>
      <w:tblGrid>
        <w:gridCol w:w="5177"/>
        <w:gridCol w:w="4996"/>
      </w:tblGrid>
      <w:tr w:rsidR="00223D78" w:rsidRPr="00352124" w:rsidTr="00781224">
        <w:trPr>
          <w:cantSplit/>
          <w:trHeight w:val="273"/>
        </w:trPr>
        <w:tc>
          <w:tcPr>
            <w:tcW w:w="5177" w:type="dxa"/>
          </w:tcPr>
          <w:p w:rsidR="00223D78" w:rsidRPr="00352124" w:rsidRDefault="00223D78" w:rsidP="004771AC">
            <w:pPr>
              <w:keepNext/>
              <w:keepLines/>
              <w:widowControl w:val="0"/>
              <w:jc w:val="center"/>
            </w:pPr>
            <w:r w:rsidRPr="00352124">
              <w:t>Metodología antigua</w:t>
            </w:r>
          </w:p>
        </w:tc>
        <w:tc>
          <w:tcPr>
            <w:tcW w:w="4996" w:type="dxa"/>
          </w:tcPr>
          <w:p w:rsidR="00223D78" w:rsidRPr="00352124" w:rsidRDefault="00223D78" w:rsidP="004771AC">
            <w:pPr>
              <w:keepNext/>
              <w:keepLines/>
              <w:widowControl w:val="0"/>
              <w:jc w:val="center"/>
            </w:pPr>
            <w:r w:rsidRPr="00352124">
              <w:t>Metodología nueva</w:t>
            </w:r>
          </w:p>
        </w:tc>
      </w:tr>
      <w:tr w:rsidR="00223D78" w:rsidRPr="00352124" w:rsidTr="00781224">
        <w:trPr>
          <w:cantSplit/>
          <w:trHeight w:val="3013"/>
        </w:trPr>
        <w:tc>
          <w:tcPr>
            <w:tcW w:w="5177" w:type="dxa"/>
          </w:tcPr>
          <w:p w:rsidR="00223D78" w:rsidRPr="00352124" w:rsidRDefault="00892EA5" w:rsidP="004771AC">
            <w:pPr>
              <w:keepNext/>
              <w:keepLines/>
              <w:widowControl w:val="0"/>
              <w:jc w:val="center"/>
            </w:pPr>
            <w:r>
              <w:rPr>
                <w:noProof/>
                <w:lang w:val="en-US" w:eastAsia="en-US"/>
              </w:rPr>
              <w:drawing>
                <wp:inline distT="0" distB="0" distL="0" distR="0" wp14:anchorId="1F0704CD" wp14:editId="6B50009D">
                  <wp:extent cx="3147060" cy="1828800"/>
                  <wp:effectExtent l="0" t="0" r="0" b="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3147060" cy="1828800"/>
                          </a:xfrm>
                          <a:prstGeom prst="rect">
                            <a:avLst/>
                          </a:prstGeom>
                          <a:noFill/>
                          <a:ln>
                            <a:noFill/>
                          </a:ln>
                        </pic:spPr>
                      </pic:pic>
                    </a:graphicData>
                  </a:graphic>
                </wp:inline>
              </w:drawing>
            </w:r>
          </w:p>
        </w:tc>
        <w:tc>
          <w:tcPr>
            <w:tcW w:w="4996" w:type="dxa"/>
          </w:tcPr>
          <w:p w:rsidR="00223D78" w:rsidRPr="00352124" w:rsidRDefault="00892EA5" w:rsidP="004771AC">
            <w:pPr>
              <w:keepNext/>
              <w:keepLines/>
              <w:widowControl w:val="0"/>
              <w:jc w:val="center"/>
            </w:pPr>
            <w:r>
              <w:rPr>
                <w:noProof/>
                <w:lang w:val="en-US" w:eastAsia="en-US"/>
              </w:rPr>
              <w:drawing>
                <wp:inline distT="0" distB="0" distL="0" distR="0" wp14:anchorId="7734868F" wp14:editId="351B21FF">
                  <wp:extent cx="3030279" cy="182880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3030220" cy="1828764"/>
                          </a:xfrm>
                          <a:prstGeom prst="rect">
                            <a:avLst/>
                          </a:prstGeom>
                          <a:noFill/>
                          <a:ln>
                            <a:noFill/>
                          </a:ln>
                        </pic:spPr>
                      </pic:pic>
                    </a:graphicData>
                  </a:graphic>
                </wp:inline>
              </w:drawing>
            </w:r>
          </w:p>
        </w:tc>
      </w:tr>
    </w:tbl>
    <w:p w:rsidR="00223D78" w:rsidRPr="00352124" w:rsidRDefault="00223D78" w:rsidP="004771AC">
      <w:pPr>
        <w:keepNext/>
        <w:keepLines/>
        <w:widowControl w:val="0"/>
        <w:jc w:val="center"/>
      </w:pPr>
    </w:p>
    <w:p w:rsidR="00223D78" w:rsidRPr="00352124" w:rsidRDefault="00223D78" w:rsidP="004771AC">
      <w:pPr>
        <w:pStyle w:val="ListParagraph"/>
        <w:keepNext/>
        <w:keepLines/>
        <w:widowControl w:val="0"/>
        <w:numPr>
          <w:ilvl w:val="0"/>
          <w:numId w:val="63"/>
        </w:numPr>
        <w:jc w:val="both"/>
        <w:rPr>
          <w:rFonts w:ascii="Arial" w:hAnsi="Arial" w:cs="Arial"/>
          <w:sz w:val="20"/>
          <w:szCs w:val="20"/>
          <w:lang w:val="es-ES"/>
        </w:rPr>
      </w:pPr>
      <w:r w:rsidRPr="00352124">
        <w:rPr>
          <w:rFonts w:ascii="Arial" w:hAnsi="Arial" w:cs="Arial"/>
          <w:sz w:val="20"/>
          <w:szCs w:val="20"/>
          <w:lang w:val="es-ES"/>
        </w:rPr>
        <w:t xml:space="preserve">El costo medio de la inscripción de un documento en el registro aumentó ligeramente de 320 francos suizos en 2012 a 322 francos suizos en 2014. </w:t>
      </w:r>
    </w:p>
    <w:p w:rsidR="00223D78" w:rsidRPr="00352124" w:rsidRDefault="00223D78" w:rsidP="00223D78">
      <w:pPr>
        <w:pStyle w:val="ListParagraph"/>
        <w:widowControl w:val="0"/>
        <w:ind w:left="1417"/>
        <w:jc w:val="both"/>
        <w:rPr>
          <w:rFonts w:ascii="Arial" w:hAnsi="Arial" w:cs="Arial"/>
          <w:sz w:val="20"/>
          <w:szCs w:val="20"/>
          <w:lang w:val="es-ES"/>
        </w:rPr>
      </w:pP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58"/>
        </w:numPr>
        <w:ind w:left="567" w:hanging="567"/>
        <w:jc w:val="both"/>
        <w:rPr>
          <w:rFonts w:ascii="Arial" w:hAnsi="Arial" w:cs="Arial"/>
          <w:b/>
          <w:sz w:val="20"/>
          <w:szCs w:val="20"/>
          <w:lang w:val="es-ES"/>
        </w:rPr>
      </w:pPr>
      <w:r w:rsidRPr="00352124">
        <w:rPr>
          <w:rFonts w:ascii="Arial" w:hAnsi="Arial" w:cs="Arial"/>
          <w:b/>
          <w:sz w:val="20"/>
          <w:szCs w:val="20"/>
          <w:lang w:val="es-ES"/>
        </w:rPr>
        <w:t xml:space="preserve">Productividad </w:t>
      </w:r>
      <w:r w:rsidR="0015313F">
        <w:rPr>
          <w:rFonts w:ascii="Arial" w:hAnsi="Arial" w:cs="Arial"/>
          <w:b/>
          <w:sz w:val="20"/>
          <w:szCs w:val="20"/>
          <w:lang w:val="es-ES"/>
        </w:rPr>
        <w:t>de</w:t>
      </w:r>
      <w:r w:rsidRPr="00352124">
        <w:rPr>
          <w:rFonts w:ascii="Arial" w:hAnsi="Arial" w:cs="Arial"/>
          <w:b/>
          <w:sz w:val="20"/>
          <w:szCs w:val="20"/>
          <w:lang w:val="es-ES"/>
        </w:rPr>
        <w:t>l examen</w:t>
      </w:r>
    </w:p>
    <w:p w:rsidR="00223D78" w:rsidRPr="00352124" w:rsidRDefault="00223D78" w:rsidP="00223D78">
      <w:pPr>
        <w:widowControl w:val="0"/>
        <w:jc w:val="both"/>
        <w:rPr>
          <w:sz w:val="20"/>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 xml:space="preserve">La productividad del proceso de examen se puede definir como el número de registros internacionales nuevos o renovados tramitados por los examinadores, dividido por el número de empleados que participaron en el examen.  En el número de empleados se cuentan los becarios, los pasantes y el personal externo. </w:t>
      </w:r>
    </w:p>
    <w:p w:rsidR="00223D78" w:rsidRPr="00352124" w:rsidRDefault="00FE1137" w:rsidP="00223D78">
      <w:pPr>
        <w:widowControl w:val="0"/>
        <w:jc w:val="center"/>
      </w:pPr>
      <w:r w:rsidRPr="00FE1137">
        <w:rPr>
          <w:noProof/>
          <w:lang w:val="en-US" w:eastAsia="en-US"/>
        </w:rPr>
        <w:drawing>
          <wp:inline distT="0" distB="0" distL="0" distR="0" wp14:anchorId="6CF40BD3" wp14:editId="697695D6">
            <wp:extent cx="5720317" cy="2869011"/>
            <wp:effectExtent l="0" t="0" r="0" b="762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5738825" cy="2878293"/>
                    </a:xfrm>
                    <a:prstGeom prst="rect">
                      <a:avLst/>
                    </a:prstGeom>
                    <a:noFill/>
                    <a:ln>
                      <a:noFill/>
                    </a:ln>
                  </pic:spPr>
                </pic:pic>
              </a:graphicData>
            </a:graphic>
          </wp:inline>
        </w:drawing>
      </w:r>
    </w:p>
    <w:p w:rsidR="00223D78" w:rsidRPr="00352124" w:rsidRDefault="00223D78" w:rsidP="00223D78">
      <w:pPr>
        <w:pStyle w:val="ListParagraph"/>
        <w:widowControl w:val="0"/>
        <w:numPr>
          <w:ilvl w:val="0"/>
          <w:numId w:val="63"/>
        </w:numPr>
        <w:ind w:left="1134" w:hanging="567"/>
        <w:jc w:val="both"/>
        <w:rPr>
          <w:rFonts w:ascii="Arial" w:hAnsi="Arial" w:cs="Arial"/>
          <w:sz w:val="20"/>
          <w:szCs w:val="20"/>
          <w:lang w:val="es-ES"/>
        </w:rPr>
      </w:pPr>
      <w:r w:rsidRPr="00352124">
        <w:rPr>
          <w:rFonts w:ascii="Arial" w:hAnsi="Arial" w:cs="Arial"/>
          <w:sz w:val="20"/>
          <w:szCs w:val="20"/>
          <w:lang w:val="es-ES"/>
        </w:rPr>
        <w:t>La productividad del proceso de examen se mantuvo relativamente estable en 2014 frente a la registrada en 2013.</w:t>
      </w:r>
    </w:p>
    <w:p w:rsidR="00223D78" w:rsidRPr="00352124" w:rsidRDefault="00223D78" w:rsidP="00223D78">
      <w:pPr>
        <w:pStyle w:val="ListParagraph"/>
        <w:widowControl w:val="0"/>
        <w:jc w:val="both"/>
        <w:rPr>
          <w:rFonts w:ascii="Arial" w:hAnsi="Arial" w:cs="Arial"/>
          <w:sz w:val="20"/>
          <w:szCs w:val="20"/>
          <w:lang w:val="es-ES"/>
        </w:rPr>
      </w:pPr>
    </w:p>
    <w:p w:rsidR="00223D78" w:rsidRPr="00352124" w:rsidRDefault="00223D78" w:rsidP="00962A97">
      <w:pPr>
        <w:pStyle w:val="ListParagraph"/>
        <w:keepNext/>
        <w:keepLines/>
        <w:widowControl w:val="0"/>
        <w:numPr>
          <w:ilvl w:val="0"/>
          <w:numId w:val="58"/>
        </w:numPr>
        <w:ind w:left="567" w:hanging="567"/>
        <w:jc w:val="both"/>
        <w:rPr>
          <w:rFonts w:ascii="Arial" w:hAnsi="Arial" w:cs="Arial"/>
          <w:b/>
          <w:sz w:val="20"/>
          <w:szCs w:val="20"/>
          <w:lang w:val="es-ES"/>
        </w:rPr>
      </w:pPr>
      <w:r w:rsidRPr="00352124">
        <w:rPr>
          <w:rFonts w:ascii="Arial" w:hAnsi="Arial" w:cs="Arial"/>
          <w:b/>
          <w:sz w:val="20"/>
          <w:szCs w:val="20"/>
          <w:lang w:val="es-ES"/>
        </w:rPr>
        <w:lastRenderedPageBreak/>
        <w:t>Personal</w:t>
      </w:r>
    </w:p>
    <w:p w:rsidR="00223D78" w:rsidRPr="00352124" w:rsidRDefault="00223D78" w:rsidP="00962A97">
      <w:pPr>
        <w:keepNext/>
        <w:keepLines/>
        <w:widowControl w:val="0"/>
        <w:jc w:val="both"/>
        <w:rPr>
          <w:b/>
          <w:sz w:val="20"/>
        </w:rPr>
      </w:pPr>
    </w:p>
    <w:p w:rsidR="00223D78" w:rsidRDefault="00223D78" w:rsidP="00962A97">
      <w:pPr>
        <w:pStyle w:val="ListParagraph"/>
        <w:keepNext/>
        <w:keepLines/>
        <w:widowControl w:val="0"/>
        <w:ind w:left="0"/>
        <w:jc w:val="center"/>
        <w:rPr>
          <w:rFonts w:ascii="Arial" w:hAnsi="Arial" w:cs="Arial"/>
          <w:sz w:val="20"/>
          <w:szCs w:val="20"/>
          <w:lang w:val="es-ES"/>
        </w:rPr>
      </w:pPr>
      <w:r w:rsidRPr="00352124">
        <w:rPr>
          <w:rFonts w:ascii="Arial" w:hAnsi="Arial" w:cs="Arial"/>
          <w:noProof/>
          <w:sz w:val="20"/>
          <w:szCs w:val="20"/>
          <w:lang w:eastAsia="en-US"/>
        </w:rPr>
        <w:drawing>
          <wp:inline distT="0" distB="0" distL="0" distR="0" wp14:anchorId="055F1A12" wp14:editId="2C77EA86">
            <wp:extent cx="5103628" cy="2471674"/>
            <wp:effectExtent l="0" t="0" r="1905" b="5080"/>
            <wp:docPr id="80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118084" cy="2478675"/>
                    </a:xfrm>
                    <a:prstGeom prst="rect">
                      <a:avLst/>
                    </a:prstGeom>
                    <a:noFill/>
                    <a:ln>
                      <a:noFill/>
                    </a:ln>
                  </pic:spPr>
                </pic:pic>
              </a:graphicData>
            </a:graphic>
          </wp:inline>
        </w:drawing>
      </w:r>
    </w:p>
    <w:p w:rsidR="00962A97" w:rsidRPr="00352124" w:rsidRDefault="00962A97" w:rsidP="00962A97">
      <w:pPr>
        <w:pStyle w:val="ListParagraph"/>
        <w:keepNext/>
        <w:keepLines/>
        <w:widowControl w:val="0"/>
        <w:ind w:left="0"/>
        <w:jc w:val="center"/>
        <w:rPr>
          <w:rFonts w:ascii="Arial" w:hAnsi="Arial" w:cs="Arial"/>
          <w:sz w:val="20"/>
          <w:szCs w:val="20"/>
          <w:lang w:val="es-ES"/>
        </w:rPr>
      </w:pPr>
    </w:p>
    <w:p w:rsidR="00223D78" w:rsidRPr="00352124" w:rsidRDefault="00223D78" w:rsidP="00962A97">
      <w:pPr>
        <w:pStyle w:val="ListParagraph"/>
        <w:keepNext/>
        <w:keepLines/>
        <w:widowControl w:val="0"/>
        <w:numPr>
          <w:ilvl w:val="0"/>
          <w:numId w:val="63"/>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El número de empleados se ha mantenido relativamente estable desde 2010, aunque el número de recursos flexibles aumentó de 1 persona en 2012 a 12 en 2014.</w:t>
      </w:r>
    </w:p>
    <w:p w:rsidR="00223D78" w:rsidRPr="00352124" w:rsidRDefault="00223D78" w:rsidP="00223D78">
      <w:pPr>
        <w:pStyle w:val="ListParagraph"/>
        <w:widowControl w:val="0"/>
        <w:numPr>
          <w:ilvl w:val="0"/>
          <w:numId w:val="63"/>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Los empleados que proceden de empresas de contratación que no trabajan en los locales de la OMPI no se incluyen en este indicador.</w:t>
      </w:r>
    </w:p>
    <w:p w:rsidR="00223D78" w:rsidRPr="00352124" w:rsidRDefault="00223D78" w:rsidP="00223D78">
      <w:pPr>
        <w:widowControl w:val="0"/>
        <w:ind w:left="567" w:hanging="567"/>
        <w:rPr>
          <w:b/>
          <w:sz w:val="20"/>
          <w:u w:val="single"/>
        </w:rPr>
      </w:pPr>
    </w:p>
    <w:p w:rsidR="00223D78" w:rsidRPr="00352124" w:rsidRDefault="00223D78" w:rsidP="00223D78">
      <w:pPr>
        <w:pStyle w:val="ListParagraph"/>
        <w:widowControl w:val="0"/>
        <w:numPr>
          <w:ilvl w:val="0"/>
          <w:numId w:val="58"/>
        </w:numPr>
        <w:ind w:left="567" w:hanging="567"/>
        <w:jc w:val="both"/>
        <w:rPr>
          <w:rFonts w:ascii="Arial" w:hAnsi="Arial" w:cs="Arial"/>
          <w:b/>
          <w:sz w:val="20"/>
          <w:szCs w:val="20"/>
          <w:lang w:val="es-ES"/>
        </w:rPr>
      </w:pPr>
      <w:r w:rsidRPr="00352124">
        <w:rPr>
          <w:rFonts w:ascii="Arial" w:hAnsi="Arial" w:cs="Arial"/>
          <w:b/>
          <w:sz w:val="20"/>
          <w:szCs w:val="20"/>
          <w:lang w:val="es-ES"/>
        </w:rPr>
        <w:t>Tiempo de tramitación</w:t>
      </w:r>
    </w:p>
    <w:p w:rsidR="00223D78" w:rsidRPr="00352124" w:rsidRDefault="00223D78" w:rsidP="00223D78">
      <w:pPr>
        <w:pStyle w:val="ListParagraph"/>
        <w:widowControl w:val="0"/>
        <w:ind w:left="567" w:hanging="567"/>
        <w:jc w:val="both"/>
        <w:rPr>
          <w:rFonts w:ascii="Arial" w:hAnsi="Arial" w:cs="Arial"/>
          <w:sz w:val="20"/>
          <w:szCs w:val="20"/>
          <w:lang w:val="es-ES"/>
        </w:rPr>
      </w:pPr>
    </w:p>
    <w:p w:rsidR="00223D78" w:rsidRPr="00352124" w:rsidRDefault="00223D78" w:rsidP="00223D78">
      <w:pPr>
        <w:pStyle w:val="ListParagraph"/>
        <w:widowControl w:val="0"/>
        <w:numPr>
          <w:ilvl w:val="0"/>
          <w:numId w:val="65"/>
        </w:numPr>
        <w:tabs>
          <w:tab w:val="left" w:pos="567"/>
        </w:tabs>
        <w:ind w:left="0" w:firstLine="0"/>
        <w:jc w:val="both"/>
        <w:rPr>
          <w:rFonts w:ascii="Arial" w:hAnsi="Arial" w:cs="Arial"/>
          <w:sz w:val="20"/>
          <w:szCs w:val="20"/>
          <w:lang w:val="es-ES"/>
        </w:rPr>
      </w:pPr>
      <w:r w:rsidRPr="00352124">
        <w:rPr>
          <w:rFonts w:ascii="Arial" w:hAnsi="Arial" w:cs="Arial"/>
          <w:sz w:val="20"/>
          <w:szCs w:val="20"/>
          <w:lang w:val="es-ES"/>
        </w:rPr>
        <w:t>A continuación se muestra el tiempo medio de tramitación para las seis transacciones realizadas por la Oficina Internacional.  Ese tiempo se calcula desde la fecha en que se recibe el documento hasta la fecha en que se inscribe.</w:t>
      </w:r>
    </w:p>
    <w:p w:rsidR="00223D78" w:rsidRPr="00352124" w:rsidRDefault="00223D78" w:rsidP="00223D78">
      <w:pPr>
        <w:pStyle w:val="ListParagraph"/>
        <w:widowControl w:val="0"/>
        <w:ind w:left="0"/>
        <w:jc w:val="both"/>
        <w:rPr>
          <w:rFonts w:ascii="Arial" w:hAnsi="Arial" w:cs="Arial"/>
          <w:lang w:val="es-ES"/>
        </w:rPr>
      </w:pPr>
    </w:p>
    <w:tbl>
      <w:tblPr>
        <w:tblStyle w:val="TableGrid"/>
        <w:tblW w:w="0" w:type="auto"/>
        <w:jc w:val="center"/>
        <w:tblLook w:val="04A0" w:firstRow="1" w:lastRow="0" w:firstColumn="1" w:lastColumn="0" w:noHBand="0" w:noVBand="1"/>
      </w:tblPr>
      <w:tblGrid>
        <w:gridCol w:w="4659"/>
        <w:gridCol w:w="4628"/>
      </w:tblGrid>
      <w:tr w:rsidR="009A11F1" w:rsidRPr="00352124" w:rsidTr="00781224">
        <w:trPr>
          <w:trHeight w:val="3298"/>
          <w:jc w:val="center"/>
        </w:trPr>
        <w:tc>
          <w:tcPr>
            <w:tcW w:w="4560" w:type="dxa"/>
          </w:tcPr>
          <w:p w:rsidR="00223D78" w:rsidRPr="00352124" w:rsidRDefault="00F60365" w:rsidP="00781224">
            <w:pPr>
              <w:widowControl w:val="0"/>
              <w:jc w:val="both"/>
            </w:pPr>
            <w:r>
              <w:rPr>
                <w:noProof/>
                <w:lang w:val="en-US" w:eastAsia="en-US"/>
              </w:rPr>
              <w:drawing>
                <wp:inline distT="0" distB="0" distL="0" distR="0" wp14:anchorId="0F6CE32F" wp14:editId="5F544702">
                  <wp:extent cx="2806996" cy="1881962"/>
                  <wp:effectExtent l="0" t="0" r="0" b="4445"/>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2815077" cy="1887380"/>
                          </a:xfrm>
                          <a:prstGeom prst="rect">
                            <a:avLst/>
                          </a:prstGeom>
                          <a:noFill/>
                          <a:ln>
                            <a:noFill/>
                          </a:ln>
                        </pic:spPr>
                      </pic:pic>
                    </a:graphicData>
                  </a:graphic>
                </wp:inline>
              </w:drawing>
            </w:r>
          </w:p>
        </w:tc>
        <w:tc>
          <w:tcPr>
            <w:tcW w:w="4591" w:type="dxa"/>
          </w:tcPr>
          <w:p w:rsidR="00223D78" w:rsidRPr="00352124" w:rsidRDefault="00F60365" w:rsidP="00781224">
            <w:pPr>
              <w:widowControl w:val="0"/>
              <w:jc w:val="both"/>
            </w:pPr>
            <w:r>
              <w:rPr>
                <w:noProof/>
                <w:lang w:val="en-US" w:eastAsia="en-US"/>
              </w:rPr>
              <w:drawing>
                <wp:inline distT="0" distB="0" distL="0" distR="0" wp14:anchorId="3F34F5C3" wp14:editId="6DC5121A">
                  <wp:extent cx="2785730" cy="1881962"/>
                  <wp:effectExtent l="0" t="0" r="0" b="4445"/>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2790082" cy="1884902"/>
                          </a:xfrm>
                          <a:prstGeom prst="rect">
                            <a:avLst/>
                          </a:prstGeom>
                          <a:noFill/>
                          <a:ln>
                            <a:noFill/>
                          </a:ln>
                        </pic:spPr>
                      </pic:pic>
                    </a:graphicData>
                  </a:graphic>
                </wp:inline>
              </w:drawing>
            </w:r>
          </w:p>
        </w:tc>
      </w:tr>
      <w:tr w:rsidR="009A11F1" w:rsidRPr="00352124" w:rsidTr="00781224">
        <w:trPr>
          <w:trHeight w:val="3418"/>
          <w:jc w:val="center"/>
        </w:trPr>
        <w:tc>
          <w:tcPr>
            <w:tcW w:w="4560" w:type="dxa"/>
          </w:tcPr>
          <w:p w:rsidR="00223D78" w:rsidRPr="00352124" w:rsidRDefault="009A11F1" w:rsidP="00781224">
            <w:pPr>
              <w:widowControl w:val="0"/>
              <w:jc w:val="both"/>
            </w:pPr>
            <w:r>
              <w:rPr>
                <w:noProof/>
                <w:lang w:val="en-US" w:eastAsia="en-US"/>
              </w:rPr>
              <w:drawing>
                <wp:inline distT="0" distB="0" distL="0" distR="0" wp14:anchorId="3C546E99" wp14:editId="0E23C6DE">
                  <wp:extent cx="2879437" cy="2041420"/>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2879401" cy="2041395"/>
                          </a:xfrm>
                          <a:prstGeom prst="rect">
                            <a:avLst/>
                          </a:prstGeom>
                          <a:noFill/>
                          <a:ln>
                            <a:noFill/>
                          </a:ln>
                        </pic:spPr>
                      </pic:pic>
                    </a:graphicData>
                  </a:graphic>
                </wp:inline>
              </w:drawing>
            </w:r>
          </w:p>
        </w:tc>
        <w:tc>
          <w:tcPr>
            <w:tcW w:w="4591" w:type="dxa"/>
          </w:tcPr>
          <w:p w:rsidR="00223D78" w:rsidRPr="00352124" w:rsidRDefault="00781224" w:rsidP="00781224">
            <w:pPr>
              <w:widowControl w:val="0"/>
              <w:jc w:val="both"/>
            </w:pPr>
            <w:r>
              <w:rPr>
                <w:noProof/>
                <w:lang w:val="en-US" w:eastAsia="en-US"/>
              </w:rPr>
              <w:drawing>
                <wp:inline distT="0" distB="0" distL="0" distR="0" wp14:anchorId="0D90D99D" wp14:editId="08F920E6">
                  <wp:extent cx="2785730" cy="2041451"/>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2786954" cy="2042348"/>
                          </a:xfrm>
                          <a:prstGeom prst="rect">
                            <a:avLst/>
                          </a:prstGeom>
                          <a:noFill/>
                          <a:ln>
                            <a:noFill/>
                          </a:ln>
                        </pic:spPr>
                      </pic:pic>
                    </a:graphicData>
                  </a:graphic>
                </wp:inline>
              </w:drawing>
            </w:r>
          </w:p>
        </w:tc>
      </w:tr>
      <w:tr w:rsidR="009A11F1" w:rsidRPr="00352124" w:rsidTr="00781224">
        <w:trPr>
          <w:trHeight w:val="3194"/>
          <w:jc w:val="center"/>
        </w:trPr>
        <w:tc>
          <w:tcPr>
            <w:tcW w:w="4560" w:type="dxa"/>
          </w:tcPr>
          <w:p w:rsidR="00223D78" w:rsidRPr="00352124" w:rsidRDefault="00743D4A" w:rsidP="00781224">
            <w:pPr>
              <w:widowControl w:val="0"/>
              <w:jc w:val="both"/>
            </w:pPr>
            <w:r>
              <w:rPr>
                <w:noProof/>
                <w:lang w:val="en-US" w:eastAsia="en-US"/>
              </w:rPr>
              <w:lastRenderedPageBreak/>
              <w:drawing>
                <wp:inline distT="0" distB="0" distL="0" distR="0" wp14:anchorId="586FC842" wp14:editId="5362685D">
                  <wp:extent cx="2861943" cy="1925918"/>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863045" cy="1926660"/>
                          </a:xfrm>
                          <a:prstGeom prst="rect">
                            <a:avLst/>
                          </a:prstGeom>
                          <a:noFill/>
                          <a:ln>
                            <a:noFill/>
                          </a:ln>
                        </pic:spPr>
                      </pic:pic>
                    </a:graphicData>
                  </a:graphic>
                </wp:inline>
              </w:drawing>
            </w:r>
          </w:p>
        </w:tc>
        <w:tc>
          <w:tcPr>
            <w:tcW w:w="4591" w:type="dxa"/>
          </w:tcPr>
          <w:p w:rsidR="00223D78" w:rsidRPr="00352124" w:rsidRDefault="00743D4A" w:rsidP="00781224">
            <w:pPr>
              <w:widowControl w:val="0"/>
              <w:jc w:val="both"/>
            </w:pPr>
            <w:r>
              <w:rPr>
                <w:noProof/>
                <w:lang w:val="en-US" w:eastAsia="en-US"/>
              </w:rPr>
              <w:drawing>
                <wp:inline distT="0" distB="0" distL="0" distR="0" wp14:anchorId="014A9034" wp14:editId="248ADB42">
                  <wp:extent cx="2859937" cy="2029784"/>
                  <wp:effectExtent l="0" t="0" r="0" b="889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2860058" cy="2029870"/>
                          </a:xfrm>
                          <a:prstGeom prst="rect">
                            <a:avLst/>
                          </a:prstGeom>
                          <a:noFill/>
                          <a:ln>
                            <a:noFill/>
                          </a:ln>
                        </pic:spPr>
                      </pic:pic>
                    </a:graphicData>
                  </a:graphic>
                </wp:inline>
              </w:drawing>
            </w:r>
          </w:p>
        </w:tc>
      </w:tr>
    </w:tbl>
    <w:p w:rsidR="00223D78" w:rsidRPr="00352124" w:rsidRDefault="00223D78" w:rsidP="00223D78">
      <w:pPr>
        <w:widowControl w:val="0"/>
        <w:jc w:val="both"/>
      </w:pPr>
    </w:p>
    <w:p w:rsidR="00223D78" w:rsidRPr="00352124" w:rsidRDefault="00223D78" w:rsidP="00223D78">
      <w:pPr>
        <w:pStyle w:val="ListParagraph"/>
        <w:widowControl w:val="0"/>
        <w:numPr>
          <w:ilvl w:val="0"/>
          <w:numId w:val="64"/>
        </w:numPr>
        <w:spacing w:after="120"/>
        <w:ind w:left="993" w:hanging="426"/>
        <w:contextualSpacing w:val="0"/>
        <w:jc w:val="both"/>
        <w:rPr>
          <w:rFonts w:ascii="Arial" w:hAnsi="Arial" w:cs="Arial"/>
          <w:sz w:val="20"/>
          <w:szCs w:val="20"/>
          <w:lang w:val="es-ES"/>
        </w:rPr>
      </w:pPr>
      <w:r w:rsidRPr="00352124">
        <w:rPr>
          <w:rFonts w:ascii="Arial" w:hAnsi="Arial" w:cs="Arial"/>
          <w:sz w:val="20"/>
          <w:szCs w:val="20"/>
          <w:lang w:val="es-ES"/>
        </w:rPr>
        <w:t>El tiempo medio de tramitación en 2014 aumentó frente al de 2013 para las solicitudes, las correcciones, los cambios y las designaciones posteriores.  El tiempo medio de tramitación para las renovaciones se mantuvo estable, mientras que el de las decisiones descendió por segundo año consecutivo.</w:t>
      </w:r>
    </w:p>
    <w:p w:rsidR="00223D78" w:rsidRPr="00352124" w:rsidRDefault="00223D78" w:rsidP="00223D78">
      <w:pPr>
        <w:pStyle w:val="ListParagraph"/>
        <w:widowControl w:val="0"/>
        <w:numPr>
          <w:ilvl w:val="0"/>
          <w:numId w:val="64"/>
        </w:numPr>
        <w:spacing w:after="200"/>
        <w:ind w:left="993" w:hanging="426"/>
        <w:jc w:val="both"/>
        <w:rPr>
          <w:rFonts w:ascii="Arial" w:hAnsi="Arial" w:cs="Arial"/>
          <w:sz w:val="20"/>
          <w:szCs w:val="20"/>
          <w:lang w:val="es-ES"/>
        </w:rPr>
      </w:pPr>
      <w:r w:rsidRPr="00352124">
        <w:rPr>
          <w:rFonts w:ascii="Arial" w:hAnsi="Arial" w:cs="Arial"/>
          <w:sz w:val="20"/>
          <w:szCs w:val="20"/>
          <w:lang w:val="es-ES"/>
        </w:rPr>
        <w:t>Uno de los principales objetivos que se ha fijado la Oficina Internacional es mejorar y estabilizar los tiempos de tramitación para todas las transacciones.</w:t>
      </w:r>
    </w:p>
    <w:p w:rsidR="00223D78" w:rsidRPr="00352124" w:rsidRDefault="00223D78" w:rsidP="00223D78">
      <w:pPr>
        <w:pStyle w:val="ListParagraph"/>
        <w:widowControl w:val="0"/>
        <w:ind w:left="993"/>
        <w:jc w:val="both"/>
        <w:rPr>
          <w:rFonts w:ascii="Arial" w:hAnsi="Arial" w:cs="Arial"/>
          <w:sz w:val="20"/>
          <w:szCs w:val="20"/>
          <w:lang w:val="es-ES"/>
        </w:rPr>
      </w:pPr>
    </w:p>
    <w:p w:rsidR="00C97D8A" w:rsidRDefault="00C97D8A" w:rsidP="000F4331"/>
    <w:p w:rsidR="0061055C" w:rsidRDefault="0061055C" w:rsidP="00C97D8A">
      <w:pPr>
        <w:pStyle w:val="StyleHeading3ComplexItalic"/>
        <w:keepNext w:val="0"/>
        <w:tabs>
          <w:tab w:val="clear" w:pos="1985"/>
          <w:tab w:val="left" w:pos="1418"/>
        </w:tabs>
        <w:ind w:left="1418" w:hanging="1418"/>
        <w:rPr>
          <w:b w:val="0"/>
          <w:caps w:val="0"/>
          <w:lang w:val="es-ES"/>
        </w:rPr>
        <w:sectPr w:rsidR="0061055C" w:rsidSect="00781224">
          <w:headerReference w:type="even" r:id="rId302"/>
          <w:headerReference w:type="default" r:id="rId303"/>
          <w:footerReference w:type="even" r:id="rId304"/>
          <w:footerReference w:type="default" r:id="rId305"/>
          <w:pgSz w:w="11907" w:h="16839" w:code="9"/>
          <w:pgMar w:top="680" w:right="1418" w:bottom="1361" w:left="1418" w:header="624" w:footer="907" w:gutter="0"/>
          <w:cols w:space="720"/>
          <w:docGrid w:linePitch="360"/>
        </w:sectPr>
      </w:pPr>
    </w:p>
    <w:p w:rsidR="0061055C" w:rsidRPr="004E674F" w:rsidRDefault="0061055C" w:rsidP="003F76B4">
      <w:pPr>
        <w:pStyle w:val="StyleHeading3ComplexItalic"/>
        <w:keepNext w:val="0"/>
        <w:tabs>
          <w:tab w:val="clear" w:pos="1985"/>
        </w:tabs>
        <w:ind w:left="1560" w:hanging="1560"/>
        <w:rPr>
          <w:caps w:val="0"/>
          <w:lang w:val="es-ES"/>
        </w:rPr>
      </w:pPr>
      <w:bookmarkStart w:id="102" w:name="_Toc420681176"/>
      <w:r w:rsidRPr="004E674F">
        <w:rPr>
          <w:caps w:val="0"/>
          <w:lang w:val="es-ES"/>
        </w:rPr>
        <w:lastRenderedPageBreak/>
        <w:t>ANE</w:t>
      </w:r>
      <w:r w:rsidR="000F4331">
        <w:rPr>
          <w:caps w:val="0"/>
          <w:lang w:val="es-ES"/>
        </w:rPr>
        <w:t>XO VII</w:t>
      </w:r>
      <w:r>
        <w:rPr>
          <w:caps w:val="0"/>
          <w:lang w:val="es-ES"/>
        </w:rPr>
        <w:tab/>
      </w:r>
      <w:r w:rsidRPr="004E674F">
        <w:rPr>
          <w:caps w:val="0"/>
          <w:lang w:val="es-ES"/>
        </w:rPr>
        <w:t>INDICADORES DE LAS OPERACIONES DEL SISTEMA DE LA HAYA</w:t>
      </w:r>
      <w:bookmarkEnd w:id="102"/>
    </w:p>
    <w:p w:rsidR="0061055C" w:rsidRPr="004E674F" w:rsidRDefault="0061055C" w:rsidP="0061055C">
      <w:pPr>
        <w:rPr>
          <w:b/>
        </w:rPr>
      </w:pPr>
    </w:p>
    <w:p w:rsidR="0061055C" w:rsidRPr="004E674F" w:rsidRDefault="0061055C" w:rsidP="0061055C"/>
    <w:p w:rsidR="0061055C" w:rsidRPr="004E674F" w:rsidRDefault="0061055C" w:rsidP="0061055C">
      <w:r w:rsidRPr="004E674F">
        <w:t>INDICADORES DE RENDIMIENTO CON RESPECTO AL RESULTADO PREVISTO</w:t>
      </w:r>
    </w:p>
    <w:p w:rsidR="0061055C" w:rsidRPr="004E674F" w:rsidRDefault="0061055C" w:rsidP="0061055C">
      <w:r w:rsidRPr="004E674F">
        <w:t>“MEJORA DE LA PRODUCTIVIDAD Y DE LA CALIDAD DE LOS SERVICIOS EN LAS OPERACIONES DEL SISTEMA DE LA HAYA”</w:t>
      </w:r>
    </w:p>
    <w:p w:rsidR="0061055C" w:rsidRPr="004E674F" w:rsidRDefault="0061055C" w:rsidP="0061055C">
      <w:pPr>
        <w:rPr>
          <w:b/>
          <w:sz w:val="20"/>
        </w:rPr>
      </w:pPr>
    </w:p>
    <w:p w:rsidR="0061055C" w:rsidRPr="004E674F" w:rsidRDefault="0061055C" w:rsidP="0061055C">
      <w:pPr>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Como referencia de los indicadores de rendimiento en lo que respecta al resultado previsto “Mejora de la productividad y de la calidad de los servicios en las operaciones del sistema de </w:t>
      </w:r>
      <w:r w:rsidR="003B0DF0">
        <w:rPr>
          <w:rFonts w:ascii="Arial" w:hAnsi="Arial" w:cs="Arial"/>
          <w:sz w:val="20"/>
          <w:szCs w:val="20"/>
          <w:lang w:val="es-ES"/>
        </w:rPr>
        <w:t>La Haya</w:t>
      </w:r>
      <w:r w:rsidRPr="004E674F">
        <w:rPr>
          <w:rFonts w:ascii="Arial" w:hAnsi="Arial" w:cs="Arial"/>
          <w:sz w:val="20"/>
          <w:szCs w:val="20"/>
          <w:lang w:val="es-ES"/>
        </w:rPr>
        <w:t>”, es necesario considerar la evolución de los siguientes factores:</w:t>
      </w:r>
    </w:p>
    <w:p w:rsidR="0061055C" w:rsidRPr="004E674F" w:rsidRDefault="0061055C" w:rsidP="0061055C">
      <w:pPr>
        <w:pStyle w:val="ListParagraph"/>
        <w:tabs>
          <w:tab w:val="left" w:pos="0"/>
          <w:tab w:val="left" w:pos="567"/>
        </w:tabs>
        <w:ind w:left="0"/>
        <w:jc w:val="both"/>
        <w:rPr>
          <w:rFonts w:ascii="Arial" w:hAnsi="Arial" w:cs="Arial"/>
          <w:sz w:val="20"/>
          <w:szCs w:val="20"/>
          <w:lang w:val="es-ES"/>
        </w:rPr>
      </w:pPr>
    </w:p>
    <w:p w:rsidR="0061055C" w:rsidRPr="004E674F" w:rsidRDefault="0061055C" w:rsidP="0061055C">
      <w:pPr>
        <w:numPr>
          <w:ilvl w:val="0"/>
          <w:numId w:val="59"/>
        </w:numPr>
        <w:spacing w:after="120"/>
        <w:ind w:left="1134" w:firstLine="0"/>
        <w:jc w:val="both"/>
        <w:rPr>
          <w:sz w:val="20"/>
        </w:rPr>
      </w:pPr>
      <w:r w:rsidRPr="004E674F">
        <w:rPr>
          <w:sz w:val="20"/>
        </w:rPr>
        <w:t xml:space="preserve">volúmenes de trabajo del sistema de </w:t>
      </w:r>
      <w:r w:rsidR="003B0DF0">
        <w:rPr>
          <w:sz w:val="20"/>
        </w:rPr>
        <w:t>La Haya</w:t>
      </w:r>
      <w:r w:rsidRPr="004E674F">
        <w:rPr>
          <w:sz w:val="20"/>
        </w:rPr>
        <w:t>;</w:t>
      </w:r>
    </w:p>
    <w:p w:rsidR="0061055C" w:rsidRPr="004E674F" w:rsidRDefault="0061055C" w:rsidP="0061055C">
      <w:pPr>
        <w:numPr>
          <w:ilvl w:val="0"/>
          <w:numId w:val="59"/>
        </w:numPr>
        <w:spacing w:after="120"/>
        <w:ind w:left="1134" w:firstLine="0"/>
        <w:jc w:val="both"/>
        <w:rPr>
          <w:sz w:val="20"/>
        </w:rPr>
      </w:pPr>
      <w:r w:rsidRPr="004E674F">
        <w:rPr>
          <w:sz w:val="20"/>
        </w:rPr>
        <w:t>composición de</w:t>
      </w:r>
      <w:r>
        <w:rPr>
          <w:sz w:val="20"/>
        </w:rPr>
        <w:t xml:space="preserve"> esos volúmenes</w:t>
      </w:r>
      <w:r w:rsidRPr="004E674F">
        <w:rPr>
          <w:sz w:val="20"/>
        </w:rPr>
        <w:t>;</w:t>
      </w:r>
    </w:p>
    <w:p w:rsidR="0061055C" w:rsidRPr="004E674F" w:rsidRDefault="0061055C" w:rsidP="0061055C">
      <w:pPr>
        <w:numPr>
          <w:ilvl w:val="0"/>
          <w:numId w:val="59"/>
        </w:numPr>
        <w:spacing w:after="120"/>
        <w:ind w:left="1134" w:firstLine="0"/>
        <w:jc w:val="both"/>
        <w:rPr>
          <w:sz w:val="20"/>
        </w:rPr>
      </w:pPr>
      <w:r w:rsidRPr="004E674F">
        <w:rPr>
          <w:sz w:val="20"/>
        </w:rPr>
        <w:t>nivel de automatización;  y</w:t>
      </w:r>
    </w:p>
    <w:p w:rsidR="0061055C" w:rsidRPr="004E674F" w:rsidRDefault="0061055C" w:rsidP="0061055C">
      <w:pPr>
        <w:numPr>
          <w:ilvl w:val="0"/>
          <w:numId w:val="59"/>
        </w:numPr>
        <w:ind w:left="1134" w:firstLine="0"/>
        <w:jc w:val="both"/>
        <w:rPr>
          <w:sz w:val="20"/>
        </w:rPr>
      </w:pPr>
      <w:r>
        <w:rPr>
          <w:sz w:val="20"/>
        </w:rPr>
        <w:t>recursos</w:t>
      </w:r>
      <w:r w:rsidRPr="004E674F">
        <w:rPr>
          <w:sz w:val="20"/>
        </w:rPr>
        <w:t xml:space="preserve"> asignado</w:t>
      </w:r>
      <w:r>
        <w:rPr>
          <w:sz w:val="20"/>
        </w:rPr>
        <w:t>s</w:t>
      </w:r>
      <w:r w:rsidRPr="004E674F">
        <w:rPr>
          <w:sz w:val="20"/>
        </w:rPr>
        <w:t xml:space="preserve"> para </w:t>
      </w:r>
      <w:r>
        <w:rPr>
          <w:sz w:val="20"/>
        </w:rPr>
        <w:t>hacer frente al</w:t>
      </w:r>
      <w:r w:rsidRPr="004E674F">
        <w:rPr>
          <w:sz w:val="20"/>
        </w:rPr>
        <w:t xml:space="preserve"> volumen de trabajo.</w:t>
      </w:r>
    </w:p>
    <w:p w:rsidR="0061055C" w:rsidRPr="004E674F" w:rsidRDefault="0061055C" w:rsidP="0061055C">
      <w:pPr>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La Oficina Internacional recibe principalmente cuatro tipos de documentos, a saber solicitudes internacionales, renovaciones, cambios y decisiones.  Se presentan, </w:t>
      </w:r>
      <w:r w:rsidRPr="004E674F">
        <w:rPr>
          <w:rFonts w:ascii="Arial" w:hAnsi="Arial" w:cs="Arial"/>
          <w:i/>
          <w:sz w:val="20"/>
          <w:szCs w:val="20"/>
          <w:lang w:val="es-ES"/>
        </w:rPr>
        <w:t>infra</w:t>
      </w:r>
      <w:r w:rsidRPr="004E674F">
        <w:rPr>
          <w:rFonts w:ascii="Arial" w:hAnsi="Arial" w:cs="Arial"/>
          <w:sz w:val="20"/>
          <w:szCs w:val="20"/>
          <w:lang w:val="es-ES"/>
        </w:rPr>
        <w:t xml:space="preserve">, las tendencias más recientes para cada uno de esos documentos.  También se proporciona </w:t>
      </w:r>
      <w:r>
        <w:rPr>
          <w:rFonts w:ascii="Arial" w:hAnsi="Arial" w:cs="Arial"/>
          <w:sz w:val="20"/>
          <w:szCs w:val="20"/>
          <w:lang w:val="es-ES"/>
        </w:rPr>
        <w:t xml:space="preserve">otra </w:t>
      </w:r>
      <w:r w:rsidRPr="004E674F">
        <w:rPr>
          <w:rFonts w:ascii="Arial" w:hAnsi="Arial" w:cs="Arial"/>
          <w:sz w:val="20"/>
          <w:szCs w:val="20"/>
          <w:lang w:val="es-ES"/>
        </w:rPr>
        <w:t>información sobre las solicitudes recibidas, por ejemplo, el número medio de dibujos o modelos correspondiente a cada una.  Por motivos técnicos, el indicador relativo a las irregularidades declaradas presenta datos basados en documentos tramitados antes que en documentos recibidos.</w:t>
      </w:r>
    </w:p>
    <w:p w:rsidR="0061055C" w:rsidRPr="004E674F" w:rsidRDefault="0061055C" w:rsidP="0061055C">
      <w:pPr>
        <w:pStyle w:val="ListParagraph"/>
        <w:tabs>
          <w:tab w:val="left" w:pos="0"/>
          <w:tab w:val="left" w:pos="567"/>
        </w:tabs>
        <w:ind w:left="0"/>
        <w:jc w:val="both"/>
        <w:rPr>
          <w:rFonts w:ascii="Arial" w:hAnsi="Arial" w:cs="Arial"/>
          <w:sz w:val="20"/>
          <w:szCs w:val="20"/>
          <w:lang w:val="es-ES"/>
        </w:rPr>
      </w:pPr>
    </w:p>
    <w:p w:rsidR="0061055C" w:rsidRPr="004E674F" w:rsidRDefault="0061055C" w:rsidP="0061055C">
      <w:pPr>
        <w:tabs>
          <w:tab w:val="left" w:pos="567"/>
        </w:tabs>
        <w:spacing w:before="120" w:after="240"/>
        <w:rPr>
          <w:b/>
          <w:sz w:val="20"/>
        </w:rPr>
      </w:pPr>
      <w:r w:rsidRPr="004E674F">
        <w:rPr>
          <w:b/>
          <w:sz w:val="20"/>
        </w:rPr>
        <w:t>I.</w:t>
      </w:r>
      <w:r w:rsidRPr="004E674F">
        <w:rPr>
          <w:b/>
          <w:sz w:val="20"/>
        </w:rPr>
        <w:tab/>
        <w:t>Documentos recibidos</w:t>
      </w:r>
    </w:p>
    <w:p w:rsidR="0061055C" w:rsidRPr="004E674F" w:rsidRDefault="0061055C" w:rsidP="0061055C">
      <w:pPr>
        <w:spacing w:before="120" w:after="240"/>
        <w:rPr>
          <w:sz w:val="20"/>
          <w:u w:val="single"/>
        </w:rPr>
      </w:pPr>
      <w:r w:rsidRPr="004E674F">
        <w:rPr>
          <w:sz w:val="20"/>
          <w:u w:val="single"/>
        </w:rPr>
        <w:t>Solicitudes recibidas</w:t>
      </w:r>
    </w:p>
    <w:p w:rsidR="0061055C" w:rsidRPr="004E674F" w:rsidRDefault="0061055C" w:rsidP="0061055C">
      <w:pPr>
        <w:spacing w:before="120" w:after="240"/>
        <w:jc w:val="center"/>
        <w:rPr>
          <w:sz w:val="20"/>
        </w:rPr>
      </w:pPr>
      <w:r w:rsidRPr="00C04CD2">
        <w:rPr>
          <w:noProof/>
          <w:lang w:val="en-US" w:eastAsia="en-US"/>
        </w:rPr>
        <w:drawing>
          <wp:inline distT="0" distB="0" distL="0" distR="0" wp14:anchorId="7E0A2793" wp14:editId="669D2B5F">
            <wp:extent cx="4690756" cy="2925439"/>
            <wp:effectExtent l="0" t="0" r="0" b="889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697422" cy="2929596"/>
                    </a:xfrm>
                    <a:prstGeom prst="rect">
                      <a:avLst/>
                    </a:prstGeom>
                    <a:noFill/>
                    <a:ln>
                      <a:noFill/>
                    </a:ln>
                  </pic:spPr>
                </pic:pic>
              </a:graphicData>
            </a:graphic>
          </wp:inline>
        </w:drawing>
      </w:r>
    </w:p>
    <w:p w:rsidR="0061055C" w:rsidRPr="004E674F" w:rsidRDefault="0061055C" w:rsidP="0061055C">
      <w:pPr>
        <w:pStyle w:val="ListParagraph"/>
        <w:numPr>
          <w:ilvl w:val="0"/>
          <w:numId w:val="67"/>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 xml:space="preserve">En 2014, la Oficina Internacional recibió 2.924 solicitudes internacionales, lo que representa una disminución el 2,2% con respecto a 2013.  En 2013, se produjo un aumento marcado de las solicitudes recibidas, </w:t>
      </w:r>
      <w:r>
        <w:rPr>
          <w:rFonts w:ascii="Arial" w:hAnsi="Arial" w:cs="Arial"/>
          <w:sz w:val="20"/>
          <w:szCs w:val="20"/>
          <w:lang w:val="es-ES"/>
        </w:rPr>
        <w:t>a saber</w:t>
      </w:r>
      <w:r w:rsidRPr="004E674F">
        <w:rPr>
          <w:rFonts w:ascii="Arial" w:hAnsi="Arial" w:cs="Arial"/>
          <w:sz w:val="20"/>
          <w:szCs w:val="20"/>
          <w:lang w:val="es-ES"/>
        </w:rPr>
        <w:t>, del 15%.</w:t>
      </w:r>
    </w:p>
    <w:p w:rsidR="0061055C" w:rsidRPr="004E674F" w:rsidRDefault="0061055C" w:rsidP="0061055C">
      <w:pPr>
        <w:pStyle w:val="ListParagraph"/>
        <w:numPr>
          <w:ilvl w:val="0"/>
          <w:numId w:val="67"/>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el 89% de las solicitudes se present</w:t>
      </w:r>
      <w:r>
        <w:rPr>
          <w:rFonts w:ascii="Arial" w:hAnsi="Arial" w:cs="Arial"/>
          <w:sz w:val="20"/>
          <w:szCs w:val="20"/>
          <w:lang w:val="es-ES"/>
        </w:rPr>
        <w:t>ó</w:t>
      </w:r>
      <w:r w:rsidRPr="004E674F">
        <w:rPr>
          <w:rFonts w:ascii="Arial" w:hAnsi="Arial" w:cs="Arial"/>
          <w:sz w:val="20"/>
          <w:szCs w:val="20"/>
          <w:lang w:val="es-ES"/>
        </w:rPr>
        <w:t xml:space="preserve"> por medios electrónicos.  La proporción de presentación electrónica de solicitudes aumentó de 10 puntos porcentuales entre 2011 y 2014, pasando del 79% en 2011 al 89% en 2014.</w:t>
      </w:r>
    </w:p>
    <w:p w:rsidR="0061055C" w:rsidRPr="004E674F" w:rsidRDefault="0061055C" w:rsidP="0061055C">
      <w:pPr>
        <w:rPr>
          <w:sz w:val="20"/>
        </w:rPr>
      </w:pPr>
    </w:p>
    <w:p w:rsidR="0061055C" w:rsidRPr="004E674F" w:rsidRDefault="0061055C" w:rsidP="0061055C">
      <w:pPr>
        <w:pStyle w:val="ListParagraph"/>
        <w:keepNext/>
        <w:keepLines/>
        <w:ind w:left="567"/>
        <w:rPr>
          <w:rFonts w:ascii="Arial" w:hAnsi="Arial" w:cs="Arial"/>
          <w:i/>
          <w:sz w:val="20"/>
          <w:szCs w:val="20"/>
          <w:lang w:val="es-ES"/>
        </w:rPr>
      </w:pPr>
      <w:r w:rsidRPr="004E674F">
        <w:rPr>
          <w:rFonts w:ascii="Arial" w:hAnsi="Arial" w:cs="Arial"/>
          <w:i/>
          <w:sz w:val="20"/>
          <w:szCs w:val="20"/>
          <w:lang w:val="es-ES"/>
        </w:rPr>
        <w:lastRenderedPageBreak/>
        <w:t>Número medio de dibujos o modelos por solicitud</w:t>
      </w:r>
    </w:p>
    <w:p w:rsidR="0061055C" w:rsidRPr="004E674F" w:rsidRDefault="0061055C" w:rsidP="0061055C">
      <w:pPr>
        <w:keepNext/>
        <w:keepLines/>
        <w:spacing w:before="120" w:after="240"/>
        <w:jc w:val="center"/>
        <w:rPr>
          <w:sz w:val="20"/>
        </w:rPr>
      </w:pPr>
      <w:r w:rsidRPr="00BC3A62">
        <w:rPr>
          <w:noProof/>
          <w:lang w:val="en-US" w:eastAsia="en-US"/>
        </w:rPr>
        <w:drawing>
          <wp:inline distT="0" distB="0" distL="0" distR="0" wp14:anchorId="3695D26C" wp14:editId="2CB65D31">
            <wp:extent cx="4688556" cy="2924067"/>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4697112" cy="2929403"/>
                    </a:xfrm>
                    <a:prstGeom prst="rect">
                      <a:avLst/>
                    </a:prstGeom>
                    <a:noFill/>
                    <a:ln>
                      <a:noFill/>
                    </a:ln>
                  </pic:spPr>
                </pic:pic>
              </a:graphicData>
            </a:graphic>
          </wp:inline>
        </w:drawing>
      </w:r>
    </w:p>
    <w:p w:rsidR="0061055C" w:rsidRPr="004E674F" w:rsidRDefault="0061055C" w:rsidP="0061055C">
      <w:pPr>
        <w:pStyle w:val="ListParagraph"/>
        <w:numPr>
          <w:ilvl w:val="0"/>
          <w:numId w:val="68"/>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cada solicitud contuvo una media de cinco dibujos o modelos, aproximadamente.  De  2011 a 2014, el número medio de dibujos o modelos por solicitud osciló entre 4,5 y 5.</w:t>
      </w:r>
    </w:p>
    <w:p w:rsidR="0061055C" w:rsidRPr="004E674F" w:rsidRDefault="0061055C" w:rsidP="0061055C">
      <w:pPr>
        <w:pStyle w:val="ListParagraph"/>
        <w:ind w:left="567"/>
        <w:jc w:val="both"/>
        <w:rPr>
          <w:rFonts w:ascii="Arial" w:hAnsi="Arial" w:cs="Arial"/>
          <w:sz w:val="20"/>
          <w:szCs w:val="20"/>
          <w:lang w:val="es-ES"/>
        </w:rPr>
      </w:pPr>
    </w:p>
    <w:p w:rsidR="0061055C" w:rsidRPr="004E674F" w:rsidRDefault="0061055C" w:rsidP="0061055C">
      <w:pPr>
        <w:pStyle w:val="ListParagraph"/>
        <w:ind w:left="567"/>
        <w:jc w:val="both"/>
        <w:rPr>
          <w:rFonts w:ascii="Arial" w:hAnsi="Arial" w:cs="Arial"/>
          <w:sz w:val="20"/>
          <w:szCs w:val="20"/>
          <w:lang w:val="es-ES"/>
        </w:rPr>
      </w:pPr>
    </w:p>
    <w:p w:rsidR="0061055C" w:rsidRPr="004E674F" w:rsidRDefault="0061055C" w:rsidP="0061055C">
      <w:pPr>
        <w:pStyle w:val="ListParagraph"/>
        <w:keepNext/>
        <w:keepLines/>
        <w:ind w:left="567"/>
        <w:rPr>
          <w:rFonts w:ascii="Arial" w:hAnsi="Arial" w:cs="Arial"/>
          <w:i/>
          <w:sz w:val="20"/>
          <w:szCs w:val="20"/>
          <w:lang w:val="es-ES"/>
        </w:rPr>
      </w:pPr>
      <w:r w:rsidRPr="004E674F">
        <w:rPr>
          <w:rFonts w:ascii="Arial" w:hAnsi="Arial" w:cs="Arial"/>
          <w:i/>
          <w:sz w:val="20"/>
          <w:szCs w:val="20"/>
          <w:lang w:val="es-ES"/>
        </w:rPr>
        <w:t>Número medio de designaciones por solicitud</w:t>
      </w:r>
    </w:p>
    <w:p w:rsidR="0061055C" w:rsidRPr="004E674F" w:rsidRDefault="0061055C" w:rsidP="0061055C">
      <w:pPr>
        <w:spacing w:before="120" w:after="240"/>
        <w:jc w:val="center"/>
        <w:rPr>
          <w:sz w:val="20"/>
        </w:rPr>
      </w:pPr>
      <w:r w:rsidRPr="00BC3A62">
        <w:rPr>
          <w:noProof/>
          <w:lang w:val="en-US" w:eastAsia="en-US"/>
        </w:rPr>
        <w:drawing>
          <wp:inline distT="0" distB="0" distL="0" distR="0" wp14:anchorId="6B21E01D" wp14:editId="0D9FA509">
            <wp:extent cx="4550735" cy="2838114"/>
            <wp:effectExtent l="0" t="0" r="2540" b="635"/>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4554779" cy="2840636"/>
                    </a:xfrm>
                    <a:prstGeom prst="rect">
                      <a:avLst/>
                    </a:prstGeom>
                    <a:noFill/>
                    <a:ln>
                      <a:noFill/>
                    </a:ln>
                  </pic:spPr>
                </pic:pic>
              </a:graphicData>
            </a:graphic>
          </wp:inline>
        </w:drawing>
      </w:r>
    </w:p>
    <w:p w:rsidR="0061055C" w:rsidRPr="004E674F" w:rsidRDefault="0061055C" w:rsidP="0061055C">
      <w:pPr>
        <w:pStyle w:val="ListParagraph"/>
        <w:numPr>
          <w:ilvl w:val="0"/>
          <w:numId w:val="68"/>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cada solicitud contuvo una media de cinco designaciones, aproximadamente.</w:t>
      </w:r>
    </w:p>
    <w:p w:rsidR="0061055C" w:rsidRPr="004E674F" w:rsidRDefault="0061055C" w:rsidP="0061055C">
      <w:pPr>
        <w:jc w:val="both"/>
        <w:rPr>
          <w:sz w:val="20"/>
        </w:rPr>
      </w:pPr>
    </w:p>
    <w:p w:rsidR="0061055C" w:rsidRPr="004E674F" w:rsidRDefault="0061055C" w:rsidP="0061055C">
      <w:pPr>
        <w:pStyle w:val="ListParagraph"/>
        <w:keepNext/>
        <w:keepLines/>
        <w:spacing w:before="120" w:after="240"/>
        <w:ind w:left="567"/>
        <w:rPr>
          <w:rFonts w:ascii="Arial" w:hAnsi="Arial" w:cs="Arial"/>
          <w:i/>
          <w:sz w:val="20"/>
          <w:szCs w:val="20"/>
          <w:lang w:val="es-ES"/>
        </w:rPr>
      </w:pPr>
      <w:r w:rsidRPr="004E674F">
        <w:rPr>
          <w:rFonts w:ascii="Arial" w:hAnsi="Arial" w:cs="Arial"/>
          <w:i/>
          <w:sz w:val="20"/>
          <w:szCs w:val="20"/>
          <w:lang w:val="es-ES"/>
        </w:rPr>
        <w:lastRenderedPageBreak/>
        <w:t xml:space="preserve">Tendencia </w:t>
      </w:r>
      <w:r>
        <w:rPr>
          <w:rFonts w:ascii="Arial" w:hAnsi="Arial" w:cs="Arial"/>
          <w:i/>
          <w:sz w:val="20"/>
          <w:szCs w:val="20"/>
          <w:lang w:val="es-ES"/>
        </w:rPr>
        <w:t>observada en</w:t>
      </w:r>
      <w:r w:rsidRPr="004E674F">
        <w:rPr>
          <w:rFonts w:ascii="Arial" w:hAnsi="Arial" w:cs="Arial"/>
          <w:i/>
          <w:sz w:val="20"/>
          <w:szCs w:val="20"/>
          <w:lang w:val="es-ES"/>
        </w:rPr>
        <w:t xml:space="preserve"> las irregularidades en solicitudes</w:t>
      </w:r>
    </w:p>
    <w:p w:rsidR="0061055C" w:rsidRPr="004E674F" w:rsidRDefault="0061055C" w:rsidP="0061055C">
      <w:pPr>
        <w:pStyle w:val="ListParagraph"/>
        <w:keepNext/>
        <w:keepLines/>
        <w:spacing w:before="120" w:after="240"/>
        <w:ind w:left="1080"/>
        <w:rPr>
          <w:rFonts w:ascii="Arial" w:hAnsi="Arial" w:cs="Arial"/>
          <w:sz w:val="20"/>
          <w:szCs w:val="20"/>
          <w:lang w:val="es-ES"/>
        </w:rPr>
      </w:pPr>
    </w:p>
    <w:p w:rsidR="0061055C" w:rsidRPr="004E674F" w:rsidRDefault="0061055C" w:rsidP="0061055C">
      <w:pPr>
        <w:pStyle w:val="ListParagraph"/>
        <w:keepNext/>
        <w:keepLines/>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Las irregularidades en las solicitudes se agrupan en las 10 categorías indicadas </w:t>
      </w:r>
      <w:r w:rsidRPr="004E674F">
        <w:rPr>
          <w:rFonts w:ascii="Arial" w:hAnsi="Arial" w:cs="Arial"/>
          <w:i/>
          <w:sz w:val="20"/>
          <w:szCs w:val="20"/>
          <w:lang w:val="es-ES"/>
        </w:rPr>
        <w:t>infra</w:t>
      </w:r>
      <w:r>
        <w:rPr>
          <w:rFonts w:ascii="Arial" w:hAnsi="Arial" w:cs="Arial"/>
          <w:sz w:val="20"/>
          <w:szCs w:val="20"/>
          <w:lang w:val="es-ES"/>
        </w:rPr>
        <w:t>.</w:t>
      </w:r>
    </w:p>
    <w:p w:rsidR="0061055C" w:rsidRPr="004E674F" w:rsidRDefault="0061055C" w:rsidP="0061055C">
      <w:pPr>
        <w:keepNext/>
        <w:keepLines/>
        <w:spacing w:before="120" w:after="240"/>
        <w:jc w:val="center"/>
        <w:rPr>
          <w:sz w:val="20"/>
        </w:rPr>
      </w:pPr>
      <w:r w:rsidRPr="00CE3E29">
        <w:rPr>
          <w:noProof/>
          <w:lang w:val="en-US" w:eastAsia="en-US"/>
        </w:rPr>
        <w:drawing>
          <wp:inline distT="0" distB="0" distL="0" distR="0" wp14:anchorId="408AFE58" wp14:editId="2F4C5906">
            <wp:extent cx="4707377" cy="2807749"/>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726025" cy="2818872"/>
                    </a:xfrm>
                    <a:prstGeom prst="rect">
                      <a:avLst/>
                    </a:prstGeom>
                    <a:noFill/>
                    <a:ln>
                      <a:noFill/>
                    </a:ln>
                  </pic:spPr>
                </pic:pic>
              </a:graphicData>
            </a:graphic>
          </wp:inline>
        </w:drawing>
      </w:r>
    </w:p>
    <w:p w:rsidR="0061055C" w:rsidRPr="004E674F" w:rsidRDefault="0061055C" w:rsidP="0061055C">
      <w:pPr>
        <w:pStyle w:val="ListParagraph"/>
        <w:numPr>
          <w:ilvl w:val="0"/>
          <w:numId w:val="68"/>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En 2014, la Oficina Internacional encontró 1.557 irregularidades en solicitudes, lo que equivale a una disminución del 14% con respecto a 2013.</w:t>
      </w:r>
    </w:p>
    <w:p w:rsidR="0061055C" w:rsidRPr="004E674F" w:rsidRDefault="0061055C" w:rsidP="0061055C">
      <w:pPr>
        <w:pStyle w:val="ListParagraph"/>
        <w:numPr>
          <w:ilvl w:val="0"/>
          <w:numId w:val="68"/>
        </w:numPr>
        <w:spacing w:after="200"/>
        <w:ind w:left="993" w:hanging="426"/>
        <w:jc w:val="both"/>
        <w:rPr>
          <w:rFonts w:ascii="Arial" w:hAnsi="Arial" w:cs="Arial"/>
          <w:sz w:val="20"/>
          <w:szCs w:val="20"/>
          <w:lang w:val="es-ES"/>
        </w:rPr>
      </w:pPr>
      <w:r w:rsidRPr="004E674F">
        <w:rPr>
          <w:rFonts w:ascii="Arial" w:hAnsi="Arial" w:cs="Arial"/>
          <w:sz w:val="20"/>
          <w:szCs w:val="20"/>
          <w:lang w:val="es-ES"/>
        </w:rPr>
        <w:t xml:space="preserve">A pesar de ese marcado descenso, las irregularidades relacionadas con indicaciones de </w:t>
      </w:r>
      <w:r>
        <w:rPr>
          <w:rFonts w:ascii="Arial" w:hAnsi="Arial" w:cs="Arial"/>
          <w:sz w:val="20"/>
          <w:szCs w:val="20"/>
          <w:lang w:val="es-ES"/>
        </w:rPr>
        <w:t xml:space="preserve">los </w:t>
      </w:r>
      <w:r w:rsidRPr="004E674F">
        <w:rPr>
          <w:rFonts w:ascii="Arial" w:hAnsi="Arial" w:cs="Arial"/>
          <w:sz w:val="20"/>
          <w:szCs w:val="20"/>
          <w:lang w:val="es-ES"/>
        </w:rPr>
        <w:t>productos aumentaron por tercer año consecutivo.  Junto con las irregularidades relativas al pago, les correspondió cerca de la mitad del total de irregularidades en 2014.</w:t>
      </w:r>
    </w:p>
    <w:p w:rsidR="0061055C" w:rsidRPr="004E674F" w:rsidRDefault="0061055C" w:rsidP="0061055C">
      <w:pPr>
        <w:spacing w:before="120"/>
        <w:rPr>
          <w:sz w:val="20"/>
        </w:rPr>
      </w:pPr>
    </w:p>
    <w:p w:rsidR="0061055C" w:rsidRPr="004E674F" w:rsidRDefault="0061055C" w:rsidP="0061055C">
      <w:pPr>
        <w:spacing w:before="120"/>
        <w:rPr>
          <w:sz w:val="20"/>
          <w:u w:val="single"/>
        </w:rPr>
      </w:pPr>
      <w:r w:rsidRPr="004E674F">
        <w:rPr>
          <w:sz w:val="20"/>
          <w:u w:val="single"/>
        </w:rPr>
        <w:t>Renovaciones</w:t>
      </w:r>
    </w:p>
    <w:p w:rsidR="0061055C" w:rsidRPr="004E674F" w:rsidRDefault="0061055C" w:rsidP="0061055C">
      <w:pPr>
        <w:spacing w:before="120" w:after="240"/>
        <w:jc w:val="center"/>
        <w:rPr>
          <w:sz w:val="20"/>
        </w:rPr>
      </w:pPr>
      <w:r w:rsidRPr="00D70BA0">
        <w:rPr>
          <w:noProof/>
          <w:lang w:val="en-US" w:eastAsia="en-US"/>
        </w:rPr>
        <w:drawing>
          <wp:inline distT="0" distB="0" distL="0" distR="0" wp14:anchorId="1F0019F7" wp14:editId="61F0E9F3">
            <wp:extent cx="4202299" cy="2785730"/>
            <wp:effectExtent l="0" t="0" r="8255"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229547" cy="2803793"/>
                    </a:xfrm>
                    <a:prstGeom prst="rect">
                      <a:avLst/>
                    </a:prstGeom>
                    <a:noFill/>
                    <a:ln>
                      <a:noFill/>
                    </a:ln>
                  </pic:spPr>
                </pic:pic>
              </a:graphicData>
            </a:graphic>
          </wp:inline>
        </w:drawing>
      </w:r>
    </w:p>
    <w:p w:rsidR="0061055C" w:rsidRPr="004E674F" w:rsidRDefault="0061055C" w:rsidP="0061055C">
      <w:pPr>
        <w:pStyle w:val="ListParagraph"/>
        <w:numPr>
          <w:ilvl w:val="0"/>
          <w:numId w:val="69"/>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El número de renovaciones disminuyó por segund</w:t>
      </w:r>
      <w:r>
        <w:rPr>
          <w:rFonts w:ascii="Arial" w:hAnsi="Arial" w:cs="Arial"/>
          <w:sz w:val="20"/>
          <w:szCs w:val="20"/>
          <w:lang w:val="es-ES"/>
        </w:rPr>
        <w:t>o</w:t>
      </w:r>
      <w:r w:rsidRPr="004E674F">
        <w:rPr>
          <w:rFonts w:ascii="Arial" w:hAnsi="Arial" w:cs="Arial"/>
          <w:sz w:val="20"/>
          <w:szCs w:val="20"/>
          <w:lang w:val="es-ES"/>
        </w:rPr>
        <w:t xml:space="preserve"> año consecutivo, </w:t>
      </w:r>
      <w:r>
        <w:rPr>
          <w:rFonts w:ascii="Arial" w:hAnsi="Arial" w:cs="Arial"/>
          <w:sz w:val="20"/>
          <w:szCs w:val="20"/>
          <w:lang w:val="es-ES"/>
        </w:rPr>
        <w:t>totalizando 2.703</w:t>
      </w:r>
      <w:r w:rsidRPr="004E674F">
        <w:rPr>
          <w:rFonts w:ascii="Arial" w:hAnsi="Arial" w:cs="Arial"/>
          <w:sz w:val="20"/>
          <w:szCs w:val="20"/>
          <w:lang w:val="es-ES"/>
        </w:rPr>
        <w:t xml:space="preserve"> renovaciones en 2014.  </w:t>
      </w:r>
      <w:r>
        <w:rPr>
          <w:rFonts w:ascii="Arial" w:hAnsi="Arial" w:cs="Arial"/>
          <w:sz w:val="20"/>
          <w:szCs w:val="20"/>
          <w:lang w:val="es-ES"/>
        </w:rPr>
        <w:t>Ello representó una caída del </w:t>
      </w:r>
      <w:r w:rsidRPr="004E674F">
        <w:rPr>
          <w:rFonts w:ascii="Arial" w:hAnsi="Arial" w:cs="Arial"/>
          <w:sz w:val="20"/>
          <w:szCs w:val="20"/>
          <w:lang w:val="es-ES"/>
        </w:rPr>
        <w:t>5% con respecto a 2013.</w:t>
      </w:r>
    </w:p>
    <w:p w:rsidR="0061055C" w:rsidRPr="004E674F" w:rsidRDefault="0061055C" w:rsidP="0061055C">
      <w:pPr>
        <w:pStyle w:val="ListParagraph"/>
        <w:numPr>
          <w:ilvl w:val="0"/>
          <w:numId w:val="69"/>
        </w:numPr>
        <w:spacing w:after="200"/>
        <w:ind w:left="993" w:hanging="426"/>
        <w:jc w:val="both"/>
        <w:rPr>
          <w:rFonts w:ascii="Arial" w:hAnsi="Arial" w:cs="Arial"/>
          <w:sz w:val="20"/>
          <w:szCs w:val="20"/>
          <w:lang w:val="es-ES"/>
        </w:rPr>
      </w:pPr>
      <w:r w:rsidRPr="004E674F">
        <w:rPr>
          <w:rFonts w:ascii="Arial" w:hAnsi="Arial" w:cs="Arial"/>
          <w:sz w:val="20"/>
          <w:szCs w:val="20"/>
          <w:lang w:val="es-ES"/>
        </w:rPr>
        <w:t>Desde 2013, se tramita automáticamente la mayoría de las renovaciones</w:t>
      </w:r>
      <w:r>
        <w:rPr>
          <w:rFonts w:ascii="Arial" w:hAnsi="Arial" w:cs="Arial"/>
          <w:sz w:val="20"/>
          <w:szCs w:val="20"/>
          <w:lang w:val="es-ES"/>
        </w:rPr>
        <w:t>, es decir, e</w:t>
      </w:r>
      <w:r w:rsidRPr="004E674F">
        <w:rPr>
          <w:rFonts w:ascii="Arial" w:hAnsi="Arial" w:cs="Arial"/>
          <w:sz w:val="20"/>
          <w:szCs w:val="20"/>
          <w:lang w:val="es-ES"/>
        </w:rPr>
        <w:t>l 60% del total de renovaciones en 2014.</w:t>
      </w:r>
    </w:p>
    <w:p w:rsidR="0061055C" w:rsidRPr="004E674F" w:rsidRDefault="0061055C" w:rsidP="0061055C">
      <w:pPr>
        <w:jc w:val="both"/>
        <w:rPr>
          <w:sz w:val="20"/>
        </w:rPr>
      </w:pPr>
    </w:p>
    <w:p w:rsidR="0061055C" w:rsidRPr="004E674F" w:rsidRDefault="0061055C" w:rsidP="0061055C">
      <w:pPr>
        <w:rPr>
          <w:sz w:val="20"/>
          <w:u w:val="single"/>
        </w:rPr>
      </w:pPr>
      <w:r w:rsidRPr="004E674F">
        <w:rPr>
          <w:sz w:val="20"/>
          <w:u w:val="single"/>
        </w:rPr>
        <w:br w:type="page"/>
      </w:r>
    </w:p>
    <w:p w:rsidR="0061055C" w:rsidRPr="004E674F" w:rsidRDefault="0061055C" w:rsidP="0061055C">
      <w:pPr>
        <w:spacing w:before="120"/>
        <w:rPr>
          <w:sz w:val="20"/>
          <w:u w:val="single"/>
        </w:rPr>
      </w:pPr>
      <w:r w:rsidRPr="004E674F">
        <w:rPr>
          <w:sz w:val="20"/>
          <w:u w:val="single"/>
        </w:rPr>
        <w:lastRenderedPageBreak/>
        <w:t>Cambios</w:t>
      </w:r>
    </w:p>
    <w:p w:rsidR="0061055C" w:rsidRPr="004E674F" w:rsidRDefault="0061055C" w:rsidP="0061055C">
      <w:pPr>
        <w:spacing w:before="120" w:after="240"/>
        <w:jc w:val="center"/>
        <w:rPr>
          <w:sz w:val="18"/>
        </w:rPr>
      </w:pPr>
      <w:r w:rsidRPr="00F9747C">
        <w:rPr>
          <w:noProof/>
          <w:lang w:val="en-US" w:eastAsia="en-US"/>
        </w:rPr>
        <w:drawing>
          <wp:inline distT="0" distB="0" distL="0" distR="0" wp14:anchorId="724C0B95" wp14:editId="6A653A14">
            <wp:extent cx="4362690" cy="2892056"/>
            <wp:effectExtent l="0" t="0" r="0" b="381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373878" cy="2899473"/>
                    </a:xfrm>
                    <a:prstGeom prst="rect">
                      <a:avLst/>
                    </a:prstGeom>
                    <a:noFill/>
                    <a:ln>
                      <a:noFill/>
                    </a:ln>
                  </pic:spPr>
                </pic:pic>
              </a:graphicData>
            </a:graphic>
          </wp:inline>
        </w:drawing>
      </w:r>
    </w:p>
    <w:p w:rsidR="0061055C" w:rsidRPr="004E674F" w:rsidRDefault="0061055C" w:rsidP="0061055C">
      <w:pPr>
        <w:pStyle w:val="ListParagraph"/>
        <w:numPr>
          <w:ilvl w:val="0"/>
          <w:numId w:val="69"/>
        </w:numPr>
        <w:ind w:left="992" w:hanging="425"/>
        <w:contextualSpacing w:val="0"/>
        <w:jc w:val="both"/>
        <w:rPr>
          <w:rFonts w:ascii="Arial" w:hAnsi="Arial" w:cs="Arial"/>
          <w:sz w:val="20"/>
          <w:szCs w:val="20"/>
          <w:lang w:val="es-ES"/>
        </w:rPr>
      </w:pPr>
      <w:r w:rsidRPr="00154C70">
        <w:rPr>
          <w:rFonts w:ascii="Arial" w:hAnsi="Arial" w:cs="Arial"/>
          <w:sz w:val="20"/>
          <w:szCs w:val="20"/>
          <w:lang w:val="es-ES"/>
        </w:rPr>
        <w:t>En 2014,</w:t>
      </w:r>
      <w:r>
        <w:rPr>
          <w:rFonts w:ascii="Arial" w:hAnsi="Arial" w:cs="Arial"/>
          <w:sz w:val="20"/>
          <w:szCs w:val="20"/>
          <w:lang w:val="es-ES"/>
        </w:rPr>
        <w:t xml:space="preserve"> l</w:t>
      </w:r>
      <w:r w:rsidRPr="004E674F">
        <w:rPr>
          <w:rFonts w:ascii="Arial" w:hAnsi="Arial" w:cs="Arial"/>
          <w:sz w:val="20"/>
          <w:szCs w:val="20"/>
          <w:lang w:val="es-ES"/>
        </w:rPr>
        <w:t>os solicitantes pidieron 1.063 cambios en registros internacionales</w:t>
      </w:r>
      <w:r>
        <w:rPr>
          <w:rFonts w:ascii="Arial" w:hAnsi="Arial" w:cs="Arial"/>
          <w:sz w:val="20"/>
          <w:szCs w:val="20"/>
          <w:lang w:val="es-ES"/>
        </w:rPr>
        <w:t>,</w:t>
      </w:r>
      <w:r w:rsidRPr="004E674F">
        <w:rPr>
          <w:rFonts w:ascii="Arial" w:hAnsi="Arial" w:cs="Arial"/>
          <w:sz w:val="20"/>
          <w:szCs w:val="20"/>
          <w:lang w:val="es-ES"/>
        </w:rPr>
        <w:t xml:space="preserve"> lo que equivale a un aumento del 8% con respecto a 2013.</w:t>
      </w:r>
    </w:p>
    <w:p w:rsidR="0061055C" w:rsidRPr="004E674F" w:rsidRDefault="0061055C" w:rsidP="0061055C">
      <w:pPr>
        <w:spacing w:before="120"/>
        <w:rPr>
          <w:sz w:val="20"/>
        </w:rPr>
      </w:pPr>
    </w:p>
    <w:p w:rsidR="0061055C" w:rsidRPr="004E674F" w:rsidRDefault="0061055C" w:rsidP="0061055C">
      <w:pPr>
        <w:spacing w:before="120"/>
        <w:rPr>
          <w:sz w:val="20"/>
          <w:u w:val="single"/>
        </w:rPr>
      </w:pPr>
      <w:r w:rsidRPr="00E5727C">
        <w:rPr>
          <w:sz w:val="20"/>
          <w:u w:val="single"/>
        </w:rPr>
        <w:t>Decisiones</w:t>
      </w:r>
    </w:p>
    <w:p w:rsidR="0061055C" w:rsidRPr="004E674F" w:rsidRDefault="0061055C" w:rsidP="0061055C">
      <w:pPr>
        <w:spacing w:before="120" w:after="240"/>
        <w:jc w:val="center"/>
        <w:rPr>
          <w:sz w:val="18"/>
        </w:rPr>
      </w:pPr>
      <w:r w:rsidRPr="00DA116A">
        <w:rPr>
          <w:noProof/>
          <w:lang w:val="en-US" w:eastAsia="en-US"/>
        </w:rPr>
        <w:drawing>
          <wp:inline distT="0" distB="0" distL="0" distR="0" wp14:anchorId="48720122" wp14:editId="58A25675">
            <wp:extent cx="4146697" cy="2748872"/>
            <wp:effectExtent l="0" t="0" r="635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156648" cy="2755469"/>
                    </a:xfrm>
                    <a:prstGeom prst="rect">
                      <a:avLst/>
                    </a:prstGeom>
                    <a:noFill/>
                    <a:ln>
                      <a:noFill/>
                    </a:ln>
                  </pic:spPr>
                </pic:pic>
              </a:graphicData>
            </a:graphic>
          </wp:inline>
        </w:drawing>
      </w:r>
    </w:p>
    <w:p w:rsidR="0061055C" w:rsidRPr="004E674F" w:rsidRDefault="0061055C" w:rsidP="0061055C">
      <w:pPr>
        <w:pStyle w:val="ListParagraph"/>
        <w:numPr>
          <w:ilvl w:val="0"/>
          <w:numId w:val="73"/>
        </w:numPr>
        <w:spacing w:after="120"/>
        <w:ind w:left="992" w:hanging="425"/>
        <w:contextualSpacing w:val="0"/>
        <w:rPr>
          <w:rFonts w:ascii="Arial" w:hAnsi="Arial" w:cs="Arial"/>
          <w:sz w:val="20"/>
          <w:szCs w:val="20"/>
          <w:lang w:val="es-ES"/>
        </w:rPr>
      </w:pPr>
      <w:r w:rsidRPr="004E674F">
        <w:rPr>
          <w:rFonts w:ascii="Arial" w:hAnsi="Arial" w:cs="Arial"/>
          <w:sz w:val="20"/>
          <w:szCs w:val="20"/>
          <w:lang w:val="es-ES"/>
        </w:rPr>
        <w:t xml:space="preserve">El número de decisiones recibidas en 2014 aumentó del 10%, </w:t>
      </w:r>
      <w:r>
        <w:rPr>
          <w:rFonts w:ascii="Arial" w:hAnsi="Arial" w:cs="Arial"/>
          <w:sz w:val="20"/>
          <w:szCs w:val="20"/>
          <w:lang w:val="es-ES"/>
        </w:rPr>
        <w:t>totalizando</w:t>
      </w:r>
      <w:r w:rsidRPr="004E674F">
        <w:rPr>
          <w:rFonts w:ascii="Arial" w:hAnsi="Arial" w:cs="Arial"/>
          <w:sz w:val="20"/>
          <w:szCs w:val="20"/>
          <w:lang w:val="es-ES"/>
        </w:rPr>
        <w:t xml:space="preserve"> 3.169.</w:t>
      </w:r>
    </w:p>
    <w:p w:rsidR="0061055C" w:rsidRPr="004E674F" w:rsidRDefault="0061055C" w:rsidP="0061055C">
      <w:pPr>
        <w:pStyle w:val="ListParagraph"/>
        <w:numPr>
          <w:ilvl w:val="0"/>
          <w:numId w:val="73"/>
        </w:numPr>
        <w:spacing w:after="200"/>
        <w:ind w:left="993" w:hanging="426"/>
        <w:rPr>
          <w:rFonts w:ascii="Arial" w:hAnsi="Arial" w:cs="Arial"/>
          <w:sz w:val="20"/>
          <w:szCs w:val="20"/>
          <w:lang w:val="es-ES"/>
        </w:rPr>
      </w:pPr>
      <w:r w:rsidRPr="00154C70">
        <w:rPr>
          <w:rFonts w:ascii="Arial" w:hAnsi="Arial" w:cs="Arial"/>
          <w:sz w:val="20"/>
          <w:szCs w:val="20"/>
          <w:lang w:val="es-ES"/>
        </w:rPr>
        <w:t>Desde 2011</w:t>
      </w:r>
      <w:r>
        <w:rPr>
          <w:rFonts w:ascii="Arial" w:hAnsi="Arial" w:cs="Arial"/>
          <w:sz w:val="20"/>
          <w:szCs w:val="20"/>
          <w:lang w:val="es-ES"/>
        </w:rPr>
        <w:t xml:space="preserve">, </w:t>
      </w:r>
      <w:r w:rsidRPr="00154C70">
        <w:rPr>
          <w:rFonts w:ascii="Arial" w:hAnsi="Arial" w:cs="Arial"/>
          <w:sz w:val="20"/>
          <w:szCs w:val="20"/>
          <w:lang w:val="es-ES"/>
        </w:rPr>
        <w:t xml:space="preserve">se ha tramitado automáticamente </w:t>
      </w:r>
      <w:r>
        <w:rPr>
          <w:rFonts w:ascii="Arial" w:hAnsi="Arial" w:cs="Arial"/>
          <w:sz w:val="20"/>
          <w:szCs w:val="20"/>
          <w:lang w:val="es-ES"/>
        </w:rPr>
        <w:t>e</w:t>
      </w:r>
      <w:r w:rsidRPr="004E674F">
        <w:rPr>
          <w:rFonts w:ascii="Arial" w:hAnsi="Arial" w:cs="Arial"/>
          <w:sz w:val="20"/>
          <w:szCs w:val="20"/>
          <w:lang w:val="es-ES"/>
        </w:rPr>
        <w:t>ntre el 68% y el 72% de las decisiones.</w:t>
      </w:r>
    </w:p>
    <w:p w:rsidR="0061055C" w:rsidRPr="004E674F" w:rsidRDefault="0061055C" w:rsidP="0061055C">
      <w:pPr>
        <w:pStyle w:val="ListParagraph"/>
        <w:spacing w:before="120" w:after="240"/>
        <w:rPr>
          <w:rFonts w:ascii="Arial" w:hAnsi="Arial" w:cs="Arial"/>
          <w:sz w:val="20"/>
          <w:szCs w:val="20"/>
          <w:lang w:val="es-ES"/>
        </w:rPr>
      </w:pPr>
    </w:p>
    <w:p w:rsidR="0061055C" w:rsidRPr="004E674F" w:rsidRDefault="0061055C" w:rsidP="0061055C">
      <w:pPr>
        <w:pStyle w:val="ListParagraph"/>
        <w:rPr>
          <w:rFonts w:ascii="Arial" w:hAnsi="Arial" w:cs="Arial"/>
          <w:sz w:val="20"/>
          <w:szCs w:val="20"/>
          <w:lang w:val="es-ES"/>
        </w:rPr>
      </w:pPr>
    </w:p>
    <w:p w:rsidR="0061055C" w:rsidRPr="004E674F" w:rsidRDefault="0061055C" w:rsidP="0061055C">
      <w:pPr>
        <w:tabs>
          <w:tab w:val="left" w:pos="567"/>
        </w:tabs>
        <w:rPr>
          <w:b/>
          <w:sz w:val="20"/>
        </w:rPr>
      </w:pPr>
      <w:r w:rsidRPr="004E674F">
        <w:rPr>
          <w:b/>
          <w:sz w:val="20"/>
        </w:rPr>
        <w:t>II.</w:t>
      </w:r>
      <w:r w:rsidRPr="004E674F">
        <w:rPr>
          <w:b/>
          <w:sz w:val="20"/>
        </w:rPr>
        <w:tab/>
        <w:t>Volumen total de trabajo</w:t>
      </w:r>
    </w:p>
    <w:p w:rsidR="0061055C" w:rsidRPr="004E674F" w:rsidRDefault="0061055C" w:rsidP="0061055C">
      <w:pPr>
        <w:pStyle w:val="ListParagraph"/>
        <w:ind w:left="1080"/>
        <w:jc w:val="both"/>
        <w:rPr>
          <w:rFonts w:ascii="Arial" w:hAnsi="Arial" w:cs="Arial"/>
          <w:sz w:val="20"/>
          <w:szCs w:val="20"/>
          <w:lang w:val="es-ES"/>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El volumen total de trabajo representa el número total ponderado de documentos recibidos en la Oficina Internacional.  Están incluidas las cuatro categorías de documentos (solicitudes, renovaciones, cambios y decisiones).</w:t>
      </w:r>
    </w:p>
    <w:p w:rsidR="0061055C" w:rsidRPr="004E674F" w:rsidRDefault="0061055C" w:rsidP="0061055C">
      <w:pPr>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los recursos necesarios para tramitar esos tipos de documentos son diferentes, cada uno de ellos se pondera de forma distinta.  Conforme a ello, en el tiempo necesario para tramitar una solicitud internacional, un examinador puede tramitar ocho renovaciones, cuatro </w:t>
      </w:r>
      <w:r w:rsidRPr="004E674F">
        <w:rPr>
          <w:rFonts w:ascii="Arial" w:hAnsi="Arial" w:cs="Arial"/>
          <w:sz w:val="20"/>
          <w:szCs w:val="20"/>
          <w:lang w:val="es-ES"/>
        </w:rPr>
        <w:lastRenderedPageBreak/>
        <w:t>cambios y cuatro decisiones.  De manera similar, puede considerarse que en el tiempo necesario para tramitar una solicitud internacional, un empleado que interviene en el proceso de automatización puede tramitar 13 documentos.</w:t>
      </w:r>
    </w:p>
    <w:p w:rsidR="0061055C" w:rsidRPr="004E674F" w:rsidRDefault="0061055C" w:rsidP="0061055C">
      <w:pPr>
        <w:jc w:val="center"/>
        <w:rPr>
          <w:sz w:val="20"/>
        </w:rPr>
      </w:pPr>
      <w:r w:rsidRPr="00940979">
        <w:rPr>
          <w:noProof/>
          <w:lang w:val="en-US" w:eastAsia="en-US"/>
        </w:rPr>
        <w:drawing>
          <wp:inline distT="0" distB="0" distL="0" distR="0" wp14:anchorId="66DBAFED" wp14:editId="14F906BE">
            <wp:extent cx="5178055" cy="2307965"/>
            <wp:effectExtent l="0" t="0" r="381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5175574" cy="2306859"/>
                    </a:xfrm>
                    <a:prstGeom prst="rect">
                      <a:avLst/>
                    </a:prstGeom>
                    <a:noFill/>
                    <a:ln>
                      <a:noFill/>
                    </a:ln>
                  </pic:spPr>
                </pic:pic>
              </a:graphicData>
            </a:graphic>
          </wp:inline>
        </w:drawing>
      </w:r>
    </w:p>
    <w:p w:rsidR="0061055C" w:rsidRPr="004E674F" w:rsidRDefault="0061055C" w:rsidP="0061055C">
      <w:pPr>
        <w:pStyle w:val="ListParagraph"/>
        <w:numPr>
          <w:ilvl w:val="0"/>
          <w:numId w:val="70"/>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En 2014, el volumen total de trabajo permaneció estable en comparación con 2013.  En 2014, las solicitudes por sí solas representaron el 76% del volumen total de trabajo.</w:t>
      </w:r>
    </w:p>
    <w:p w:rsidR="0061055C" w:rsidRPr="004E674F" w:rsidRDefault="0061055C" w:rsidP="0061055C">
      <w:pPr>
        <w:pStyle w:val="ListParagraph"/>
        <w:numPr>
          <w:ilvl w:val="0"/>
          <w:numId w:val="70"/>
        </w:numPr>
        <w:spacing w:after="200"/>
        <w:ind w:left="993" w:hanging="426"/>
        <w:jc w:val="both"/>
        <w:rPr>
          <w:rFonts w:ascii="Arial" w:hAnsi="Arial" w:cs="Arial"/>
          <w:sz w:val="20"/>
          <w:szCs w:val="20"/>
          <w:lang w:val="es-ES"/>
        </w:rPr>
      </w:pPr>
      <w:r w:rsidRPr="004E674F">
        <w:rPr>
          <w:rFonts w:ascii="Arial" w:hAnsi="Arial" w:cs="Arial"/>
          <w:sz w:val="20"/>
          <w:szCs w:val="20"/>
          <w:lang w:val="es-ES"/>
        </w:rPr>
        <w:t>Entre 2011 y 2013, el aumento en el volumen de trabajo se debió principalmente al incremento en el número de solicitudes recibidas.</w:t>
      </w:r>
    </w:p>
    <w:p w:rsidR="0061055C" w:rsidRPr="004E674F" w:rsidRDefault="0061055C" w:rsidP="0061055C">
      <w:pPr>
        <w:rPr>
          <w:sz w:val="20"/>
        </w:rPr>
      </w:pPr>
    </w:p>
    <w:p w:rsidR="0061055C" w:rsidRPr="004E674F" w:rsidRDefault="0061055C" w:rsidP="0061055C">
      <w:pPr>
        <w:tabs>
          <w:tab w:val="left" w:pos="567"/>
        </w:tabs>
        <w:rPr>
          <w:b/>
          <w:sz w:val="20"/>
        </w:rPr>
      </w:pPr>
      <w:r w:rsidRPr="004E674F">
        <w:rPr>
          <w:b/>
          <w:sz w:val="20"/>
        </w:rPr>
        <w:t>III.</w:t>
      </w:r>
      <w:r w:rsidRPr="004E674F">
        <w:rPr>
          <w:b/>
          <w:sz w:val="20"/>
        </w:rPr>
        <w:tab/>
        <w:t>Costo de tramitación</w:t>
      </w:r>
    </w:p>
    <w:p w:rsidR="0061055C" w:rsidRPr="004E674F" w:rsidRDefault="0061055C" w:rsidP="0061055C">
      <w:pPr>
        <w:pStyle w:val="ListParagraph"/>
        <w:ind w:left="0"/>
        <w:rPr>
          <w:rFonts w:ascii="Arial" w:hAnsi="Arial" w:cs="Arial"/>
          <w:sz w:val="20"/>
          <w:szCs w:val="20"/>
          <w:lang w:val="es-ES"/>
        </w:rPr>
      </w:pPr>
    </w:p>
    <w:p w:rsidR="0061055C" w:rsidRPr="004E674F" w:rsidRDefault="0061055C" w:rsidP="0061055C">
      <w:pPr>
        <w:rPr>
          <w:sz w:val="20"/>
          <w:u w:val="single"/>
        </w:rPr>
      </w:pPr>
      <w:r w:rsidRPr="004E674F">
        <w:rPr>
          <w:sz w:val="20"/>
          <w:u w:val="single"/>
        </w:rPr>
        <w:t>Costo total de producción</w:t>
      </w:r>
    </w:p>
    <w:p w:rsidR="0061055C" w:rsidRPr="004E674F" w:rsidRDefault="0061055C" w:rsidP="0061055C">
      <w:pPr>
        <w:pStyle w:val="ListParagraph"/>
        <w:ind w:left="0"/>
        <w:jc w:val="both"/>
        <w:rPr>
          <w:rFonts w:ascii="Arial" w:hAnsi="Arial" w:cs="Arial"/>
          <w:sz w:val="20"/>
          <w:szCs w:val="20"/>
          <w:lang w:val="es-ES"/>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El costo total de producción se determina sumando el gasto total del Sistema de </w:t>
      </w:r>
      <w:r w:rsidR="003B0DF0">
        <w:rPr>
          <w:rFonts w:ascii="Arial" w:hAnsi="Arial" w:cs="Arial"/>
          <w:sz w:val="20"/>
          <w:szCs w:val="20"/>
          <w:lang w:val="es-ES"/>
        </w:rPr>
        <w:t>La Haya</w:t>
      </w:r>
      <w:r w:rsidRPr="004E674F">
        <w:rPr>
          <w:rFonts w:ascii="Arial" w:hAnsi="Arial" w:cs="Arial"/>
          <w:sz w:val="20"/>
          <w:szCs w:val="20"/>
          <w:lang w:val="es-ES"/>
        </w:rPr>
        <w:t xml:space="preserve"> a una proporción del gasto en concepto de actividades de apoyo y gestión.  Consta de componentes directos e indirectos.  Los costos directos reflejan el gasto en que ha incurrido la Oficina Internacional por la administración del Sistema de </w:t>
      </w:r>
      <w:r w:rsidR="003B0DF0">
        <w:rPr>
          <w:rFonts w:ascii="Arial" w:hAnsi="Arial" w:cs="Arial"/>
          <w:sz w:val="20"/>
          <w:szCs w:val="20"/>
          <w:lang w:val="es-ES"/>
        </w:rPr>
        <w:t>La Haya</w:t>
      </w:r>
      <w:r w:rsidRPr="004E674F">
        <w:rPr>
          <w:rStyle w:val="FootnoteReference"/>
          <w:rFonts w:ascii="Arial" w:hAnsi="Arial" w:cs="Arial"/>
          <w:sz w:val="20"/>
          <w:szCs w:val="20"/>
          <w:lang w:val="es-ES"/>
        </w:rPr>
        <w:footnoteReference w:id="23"/>
      </w:r>
      <w:r w:rsidRPr="004E674F">
        <w:rPr>
          <w:rFonts w:ascii="Arial" w:hAnsi="Arial" w:cs="Arial"/>
          <w:sz w:val="20"/>
          <w:szCs w:val="20"/>
          <w:lang w:val="es-ES"/>
        </w:rPr>
        <w:t xml:space="preserve">.  Los costos indirectos reflejan el gasto de las actividades de apoyo (por ejemplo, edificios y tecnología de la información).  Estos últimos se ponderan para tener en cuenta únicamente la proporción imputable al sistema de </w:t>
      </w:r>
      <w:r w:rsidR="003B0DF0">
        <w:rPr>
          <w:rFonts w:ascii="Arial" w:hAnsi="Arial" w:cs="Arial"/>
          <w:sz w:val="20"/>
          <w:szCs w:val="20"/>
          <w:lang w:val="es-ES"/>
        </w:rPr>
        <w:t>La Haya</w:t>
      </w:r>
      <w:r w:rsidRPr="004E674F">
        <w:rPr>
          <w:rFonts w:ascii="Arial" w:hAnsi="Arial" w:cs="Arial"/>
          <w:sz w:val="20"/>
          <w:szCs w:val="20"/>
          <w:lang w:val="es-ES"/>
        </w:rPr>
        <w:t>.</w:t>
      </w:r>
    </w:p>
    <w:p w:rsidR="0061055C" w:rsidRPr="004E674F" w:rsidRDefault="0061055C" w:rsidP="0061055C">
      <w:pPr>
        <w:pStyle w:val="ListParagraph"/>
        <w:ind w:left="1080"/>
        <w:jc w:val="both"/>
        <w:rPr>
          <w:rFonts w:ascii="Arial" w:hAnsi="Arial" w:cs="Arial"/>
          <w:sz w:val="20"/>
          <w:szCs w:val="20"/>
          <w:lang w:val="es-ES"/>
        </w:rPr>
      </w:pPr>
    </w:p>
    <w:p w:rsidR="0061055C" w:rsidRPr="004E674F" w:rsidRDefault="0061055C" w:rsidP="0061055C">
      <w:pPr>
        <w:pStyle w:val="ListParagraph"/>
        <w:ind w:left="1080"/>
        <w:rPr>
          <w:rFonts w:ascii="Arial" w:hAnsi="Arial" w:cs="Arial"/>
          <w:sz w:val="20"/>
          <w:szCs w:val="20"/>
          <w:lang w:val="es-ES"/>
        </w:rPr>
      </w:pPr>
      <w:r w:rsidRPr="000E1D63">
        <w:rPr>
          <w:noProof/>
          <w:lang w:eastAsia="en-US"/>
        </w:rPr>
        <w:drawing>
          <wp:inline distT="0" distB="0" distL="0" distR="0" wp14:anchorId="3084733A" wp14:editId="6445477E">
            <wp:extent cx="4212369" cy="2670553"/>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219358" cy="2674984"/>
                    </a:xfrm>
                    <a:prstGeom prst="rect">
                      <a:avLst/>
                    </a:prstGeom>
                    <a:noFill/>
                    <a:ln>
                      <a:noFill/>
                    </a:ln>
                  </pic:spPr>
                </pic:pic>
              </a:graphicData>
            </a:graphic>
          </wp:inline>
        </w:drawing>
      </w:r>
    </w:p>
    <w:p w:rsidR="0061055C" w:rsidRPr="004E674F" w:rsidRDefault="0061055C" w:rsidP="006E3AAB">
      <w:pPr>
        <w:pStyle w:val="ListParagraph"/>
        <w:keepNext/>
        <w:keepLines/>
        <w:numPr>
          <w:ilvl w:val="0"/>
          <w:numId w:val="71"/>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lastRenderedPageBreak/>
        <w:t xml:space="preserve">El gasto total relacionado con la tramitación en el Sistema de </w:t>
      </w:r>
      <w:r w:rsidR="003B0DF0">
        <w:rPr>
          <w:rFonts w:ascii="Arial" w:hAnsi="Arial" w:cs="Arial"/>
          <w:sz w:val="20"/>
          <w:szCs w:val="20"/>
          <w:lang w:val="es-ES"/>
        </w:rPr>
        <w:t>La Haya</w:t>
      </w:r>
      <w:r w:rsidRPr="004E674F">
        <w:rPr>
          <w:rFonts w:ascii="Arial" w:hAnsi="Arial" w:cs="Arial"/>
          <w:sz w:val="20"/>
          <w:szCs w:val="20"/>
          <w:lang w:val="es-ES"/>
        </w:rPr>
        <w:t xml:space="preserve"> se estima en 5,7</w:t>
      </w:r>
      <w:r>
        <w:rPr>
          <w:rFonts w:ascii="Arial" w:hAnsi="Arial" w:cs="Arial"/>
          <w:sz w:val="20"/>
          <w:szCs w:val="20"/>
          <w:lang w:val="es-ES"/>
        </w:rPr>
        <w:t xml:space="preserve"> </w:t>
      </w:r>
      <w:r w:rsidRPr="004E674F">
        <w:rPr>
          <w:rFonts w:ascii="Arial" w:hAnsi="Arial" w:cs="Arial"/>
          <w:sz w:val="20"/>
          <w:szCs w:val="20"/>
          <w:lang w:val="es-ES"/>
        </w:rPr>
        <w:t>millones de francos suizos en 2014.  Ello representa una disminución del 5,7% con respecto a 2013.  Los costos directos e indirectos disminuyeron, respectivamente, del 8,1% y del 2%.</w:t>
      </w:r>
    </w:p>
    <w:p w:rsidR="0061055C" w:rsidRPr="004E674F" w:rsidRDefault="0061055C" w:rsidP="0061055C">
      <w:pPr>
        <w:pStyle w:val="ListParagraph"/>
        <w:numPr>
          <w:ilvl w:val="0"/>
          <w:numId w:val="71"/>
        </w:numPr>
        <w:spacing w:after="200"/>
        <w:ind w:left="993" w:hanging="426"/>
        <w:jc w:val="both"/>
        <w:rPr>
          <w:rFonts w:ascii="Arial" w:hAnsi="Arial" w:cs="Arial"/>
          <w:sz w:val="20"/>
          <w:szCs w:val="20"/>
          <w:lang w:val="es-ES"/>
        </w:rPr>
      </w:pPr>
      <w:r w:rsidRPr="004E674F">
        <w:rPr>
          <w:rFonts w:ascii="Arial" w:hAnsi="Arial" w:cs="Arial"/>
          <w:sz w:val="20"/>
          <w:szCs w:val="20"/>
          <w:lang w:val="es-ES"/>
        </w:rPr>
        <w:t>En 2014, correspondió a los costos directos el 60% del gasto total.</w:t>
      </w:r>
    </w:p>
    <w:p w:rsidR="0061055C" w:rsidRPr="004E674F" w:rsidRDefault="0061055C" w:rsidP="0061055C">
      <w:pPr>
        <w:pStyle w:val="ListParagraph"/>
        <w:ind w:left="993" w:hanging="426"/>
        <w:rPr>
          <w:rFonts w:ascii="Arial" w:hAnsi="Arial" w:cs="Arial"/>
          <w:sz w:val="20"/>
          <w:szCs w:val="20"/>
          <w:lang w:val="es-ES"/>
        </w:rPr>
      </w:pPr>
    </w:p>
    <w:p w:rsidR="0061055C" w:rsidRPr="004E674F" w:rsidRDefault="0061055C" w:rsidP="0061055C">
      <w:pPr>
        <w:rPr>
          <w:sz w:val="20"/>
          <w:u w:val="single"/>
        </w:rPr>
      </w:pPr>
      <w:r w:rsidRPr="004E674F">
        <w:rPr>
          <w:sz w:val="20"/>
          <w:u w:val="single"/>
        </w:rPr>
        <w:t>Costo unitario</w:t>
      </w:r>
    </w:p>
    <w:p w:rsidR="0061055C" w:rsidRPr="004E674F" w:rsidRDefault="0061055C" w:rsidP="0061055C">
      <w:pPr>
        <w:rPr>
          <w:sz w:val="20"/>
          <w:u w:val="single"/>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La eficiencia de la Oficina Internacional en cuanto a la tramitación de transacciones puede medirse por el costo unitario, definido como el costo medio de producción de una unidad de producto.</w:t>
      </w:r>
    </w:p>
    <w:p w:rsidR="0061055C" w:rsidRPr="004E674F" w:rsidRDefault="0061055C" w:rsidP="0061055C">
      <w:pPr>
        <w:contextualSpacing/>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la Oficina Internacional crea registros a partir de nuevas solicitudes y mantiene los registros existentes, resulta pertinente contar con una unidad de producto que incluya un conjunto de transacciones.  Se presentan </w:t>
      </w:r>
      <w:r w:rsidRPr="004E674F">
        <w:rPr>
          <w:rFonts w:ascii="Arial" w:hAnsi="Arial" w:cs="Arial"/>
          <w:i/>
          <w:sz w:val="20"/>
          <w:szCs w:val="20"/>
          <w:lang w:val="es-ES"/>
        </w:rPr>
        <w:t>infra</w:t>
      </w:r>
      <w:r w:rsidRPr="004E674F">
        <w:rPr>
          <w:rFonts w:ascii="Arial" w:hAnsi="Arial" w:cs="Arial"/>
          <w:sz w:val="20"/>
          <w:szCs w:val="20"/>
          <w:lang w:val="es-ES"/>
        </w:rPr>
        <w:t xml:space="preserve"> dos indicadores de costo unitario, utilizando dos unidades de producto diferentes.</w:t>
      </w:r>
    </w:p>
    <w:p w:rsidR="0061055C" w:rsidRPr="004E674F" w:rsidRDefault="0061055C" w:rsidP="0061055C">
      <w:pPr>
        <w:pStyle w:val="ListParagraph"/>
        <w:tabs>
          <w:tab w:val="left" w:pos="0"/>
          <w:tab w:val="left" w:pos="567"/>
        </w:tabs>
        <w:ind w:left="0"/>
        <w:jc w:val="both"/>
        <w:rPr>
          <w:rFonts w:ascii="Arial" w:hAnsi="Arial" w:cs="Arial"/>
          <w:sz w:val="20"/>
          <w:szCs w:val="20"/>
          <w:lang w:val="es-ES"/>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En el marco de los esfuerzos de la Oficina Internacional por seguir refinando la metodología de cálculo de los costos unitarios, en el presupuesto por programas se ha revisado esa metodología para reflejar con mayor exactitud el costo de tramitación del volumen de trabajo correspondiente al Sistema de </w:t>
      </w:r>
      <w:r w:rsidR="003B0DF0">
        <w:rPr>
          <w:rFonts w:ascii="Arial" w:hAnsi="Arial" w:cs="Arial"/>
          <w:sz w:val="20"/>
          <w:szCs w:val="20"/>
          <w:lang w:val="es-ES"/>
        </w:rPr>
        <w:t>La Haya</w:t>
      </w:r>
      <w:r w:rsidRPr="004E674F">
        <w:rPr>
          <w:rFonts w:ascii="Arial" w:hAnsi="Arial" w:cs="Arial"/>
          <w:sz w:val="20"/>
          <w:szCs w:val="20"/>
          <w:lang w:val="es-ES"/>
        </w:rPr>
        <w:t xml:space="preserve"> en la Oficina Internacional</w:t>
      </w:r>
      <w:r>
        <w:rPr>
          <w:rFonts w:ascii="Arial" w:hAnsi="Arial" w:cs="Arial"/>
          <w:sz w:val="20"/>
          <w:szCs w:val="20"/>
          <w:lang w:val="es-ES"/>
        </w:rPr>
        <w:t>.</w:t>
      </w:r>
    </w:p>
    <w:p w:rsidR="0061055C" w:rsidRPr="004E674F" w:rsidRDefault="0061055C" w:rsidP="0061055C">
      <w:pPr>
        <w:pStyle w:val="ListParagraph"/>
        <w:tabs>
          <w:tab w:val="left" w:pos="0"/>
          <w:tab w:val="left" w:pos="567"/>
        </w:tabs>
        <w:ind w:left="0"/>
        <w:jc w:val="both"/>
        <w:rPr>
          <w:rFonts w:ascii="Arial" w:hAnsi="Arial" w:cs="Arial"/>
          <w:sz w:val="20"/>
          <w:szCs w:val="20"/>
          <w:lang w:val="es-ES"/>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La revisión en cuestión incluye lo siguiente:</w:t>
      </w:r>
    </w:p>
    <w:p w:rsidR="0061055C" w:rsidRPr="004E674F" w:rsidRDefault="0061055C" w:rsidP="0061055C">
      <w:pPr>
        <w:pStyle w:val="ListParagraph"/>
        <w:tabs>
          <w:tab w:val="left" w:pos="0"/>
          <w:tab w:val="left" w:pos="567"/>
        </w:tabs>
        <w:spacing w:after="120"/>
        <w:ind w:left="0"/>
        <w:jc w:val="both"/>
        <w:rPr>
          <w:rFonts w:ascii="Arial" w:hAnsi="Arial" w:cs="Arial"/>
          <w:sz w:val="20"/>
          <w:szCs w:val="20"/>
          <w:lang w:val="es-ES"/>
        </w:rPr>
      </w:pPr>
    </w:p>
    <w:p w:rsidR="0061055C" w:rsidRPr="004E674F" w:rsidRDefault="0061055C" w:rsidP="0061055C">
      <w:pPr>
        <w:pStyle w:val="ListParagraph"/>
        <w:numPr>
          <w:ilvl w:val="0"/>
          <w:numId w:val="74"/>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 xml:space="preserve">La metodología de cálculo de los costos directos e indirectos correspondientes al Sistema de </w:t>
      </w:r>
      <w:r w:rsidR="003B0DF0">
        <w:rPr>
          <w:rFonts w:ascii="Arial" w:hAnsi="Arial" w:cs="Arial"/>
          <w:sz w:val="20"/>
          <w:szCs w:val="20"/>
          <w:lang w:val="es-ES"/>
        </w:rPr>
        <w:t>La Haya</w:t>
      </w:r>
      <w:r w:rsidRPr="004E674F">
        <w:rPr>
          <w:rFonts w:ascii="Arial" w:hAnsi="Arial" w:cs="Arial"/>
          <w:sz w:val="20"/>
          <w:szCs w:val="20"/>
          <w:lang w:val="es-ES"/>
        </w:rPr>
        <w:t xml:space="preserve"> se ha puesto en sintonía con las metodologías de cálculo de los costos unitarios correspondientes al Sistema del PCT y al de Madrid.</w:t>
      </w:r>
    </w:p>
    <w:p w:rsidR="0061055C" w:rsidRPr="004E674F" w:rsidRDefault="0061055C" w:rsidP="0061055C">
      <w:pPr>
        <w:pStyle w:val="ListParagraph"/>
        <w:numPr>
          <w:ilvl w:val="0"/>
          <w:numId w:val="60"/>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Se ha introducido un sistema ponderado para reflejar con mayor precisión el trabajo necesario para tramitar las cuatro categorías de documentos, teniendo en cuenta que algunos de esos documentos suponen una carga de trabajo mayor</w:t>
      </w:r>
      <w:r w:rsidRPr="004E674F">
        <w:rPr>
          <w:rStyle w:val="FootnoteReference"/>
          <w:rFonts w:ascii="Arial" w:hAnsi="Arial" w:cs="Arial"/>
          <w:sz w:val="20"/>
          <w:szCs w:val="20"/>
          <w:lang w:val="es-ES"/>
        </w:rPr>
        <w:footnoteReference w:id="24"/>
      </w:r>
      <w:r w:rsidRPr="004E674F">
        <w:rPr>
          <w:rFonts w:ascii="Arial" w:hAnsi="Arial" w:cs="Arial"/>
          <w:sz w:val="20"/>
          <w:szCs w:val="20"/>
          <w:lang w:val="es-ES"/>
        </w:rPr>
        <w:t>.</w:t>
      </w:r>
    </w:p>
    <w:p w:rsidR="0061055C" w:rsidRPr="004E674F" w:rsidRDefault="0061055C" w:rsidP="0061055C">
      <w:pPr>
        <w:pStyle w:val="ListParagraph"/>
        <w:numPr>
          <w:ilvl w:val="0"/>
          <w:numId w:val="60"/>
        </w:numPr>
        <w:spacing w:after="120"/>
        <w:ind w:left="1134" w:hanging="567"/>
        <w:contextualSpacing w:val="0"/>
        <w:jc w:val="both"/>
        <w:rPr>
          <w:rFonts w:ascii="Arial" w:hAnsi="Arial" w:cs="Arial"/>
          <w:sz w:val="20"/>
          <w:szCs w:val="20"/>
          <w:lang w:val="es-ES"/>
        </w:rPr>
      </w:pPr>
      <w:r w:rsidRPr="004E674F">
        <w:rPr>
          <w:rFonts w:ascii="Arial" w:hAnsi="Arial" w:cs="Arial"/>
          <w:sz w:val="20"/>
          <w:szCs w:val="20"/>
          <w:lang w:val="es-ES"/>
        </w:rPr>
        <w:t xml:space="preserve">El primer costo unitario ha sido redefinido para incluir los dibujos o modelos contenidos </w:t>
      </w:r>
      <w:r>
        <w:rPr>
          <w:rFonts w:ascii="Arial" w:hAnsi="Arial" w:cs="Arial"/>
          <w:sz w:val="20"/>
          <w:szCs w:val="20"/>
          <w:lang w:val="es-ES"/>
        </w:rPr>
        <w:t xml:space="preserve">tanto </w:t>
      </w:r>
      <w:r w:rsidRPr="004E674F">
        <w:rPr>
          <w:rFonts w:ascii="Arial" w:hAnsi="Arial" w:cs="Arial"/>
          <w:sz w:val="20"/>
          <w:szCs w:val="20"/>
          <w:lang w:val="es-ES"/>
        </w:rPr>
        <w:t xml:space="preserve">en nuevos registros internacionales </w:t>
      </w:r>
      <w:r>
        <w:rPr>
          <w:rFonts w:ascii="Arial" w:hAnsi="Arial" w:cs="Arial"/>
          <w:sz w:val="20"/>
          <w:szCs w:val="20"/>
          <w:lang w:val="es-ES"/>
        </w:rPr>
        <w:t xml:space="preserve">como </w:t>
      </w:r>
      <w:r w:rsidRPr="004E674F">
        <w:rPr>
          <w:rFonts w:ascii="Arial" w:hAnsi="Arial" w:cs="Arial"/>
          <w:sz w:val="20"/>
          <w:szCs w:val="20"/>
          <w:lang w:val="es-ES"/>
        </w:rPr>
        <w:t xml:space="preserve">en renovaciones (en el presupuesto por programas de 2014/15, el costo unitario incluía solo los dibujos o modelos contenidos en registros internacionales).  El motivo por el que se añaden los dibujos o modelos contenidos en renovaciones como componente de este costo unitario es centrar más la atención en los productos centrales del Sistema de </w:t>
      </w:r>
      <w:r w:rsidR="003B0DF0">
        <w:rPr>
          <w:rFonts w:ascii="Arial" w:hAnsi="Arial" w:cs="Arial"/>
          <w:sz w:val="20"/>
          <w:szCs w:val="20"/>
          <w:lang w:val="es-ES"/>
        </w:rPr>
        <w:t>La Haya</w:t>
      </w:r>
      <w:r w:rsidRPr="004E674F">
        <w:rPr>
          <w:rFonts w:ascii="Arial" w:hAnsi="Arial" w:cs="Arial"/>
          <w:sz w:val="20"/>
          <w:szCs w:val="20"/>
          <w:lang w:val="es-ES"/>
        </w:rPr>
        <w:t>, a saber</w:t>
      </w:r>
      <w:r>
        <w:rPr>
          <w:rFonts w:ascii="Arial" w:hAnsi="Arial" w:cs="Arial"/>
          <w:sz w:val="20"/>
          <w:szCs w:val="20"/>
          <w:lang w:val="es-ES"/>
        </w:rPr>
        <w:t>,</w:t>
      </w:r>
      <w:r w:rsidRPr="004E674F">
        <w:rPr>
          <w:rFonts w:ascii="Arial" w:hAnsi="Arial" w:cs="Arial"/>
          <w:sz w:val="20"/>
          <w:szCs w:val="20"/>
          <w:lang w:val="es-ES"/>
        </w:rPr>
        <w:t xml:space="preserve"> el registro internacional y su renovación.</w:t>
      </w:r>
    </w:p>
    <w:p w:rsidR="0061055C" w:rsidRPr="004E674F" w:rsidRDefault="0061055C" w:rsidP="0061055C">
      <w:pPr>
        <w:pStyle w:val="ListParagraph"/>
        <w:numPr>
          <w:ilvl w:val="0"/>
          <w:numId w:val="60"/>
        </w:numPr>
        <w:spacing w:after="200"/>
        <w:ind w:left="1134" w:hanging="567"/>
        <w:jc w:val="both"/>
        <w:rPr>
          <w:rFonts w:ascii="Arial" w:hAnsi="Arial" w:cs="Arial"/>
          <w:sz w:val="20"/>
          <w:szCs w:val="20"/>
          <w:lang w:val="es-ES"/>
        </w:rPr>
      </w:pPr>
      <w:r w:rsidRPr="004E674F">
        <w:rPr>
          <w:rFonts w:ascii="Arial" w:hAnsi="Arial" w:cs="Arial"/>
          <w:sz w:val="20"/>
          <w:szCs w:val="20"/>
          <w:lang w:val="es-ES"/>
        </w:rPr>
        <w:t xml:space="preserve">El segundo costo unitario se basa en el número de documentos tramitados e inscritos en el Registro, antes que en el número de inscripciones, debido a los </w:t>
      </w:r>
      <w:r>
        <w:rPr>
          <w:rFonts w:ascii="Arial" w:hAnsi="Arial" w:cs="Arial"/>
          <w:sz w:val="20"/>
          <w:szCs w:val="20"/>
          <w:lang w:val="es-ES"/>
        </w:rPr>
        <w:t>diferentes</w:t>
      </w:r>
      <w:r w:rsidRPr="004E674F">
        <w:rPr>
          <w:rFonts w:ascii="Arial" w:hAnsi="Arial" w:cs="Arial"/>
          <w:sz w:val="20"/>
          <w:szCs w:val="20"/>
          <w:lang w:val="es-ES"/>
        </w:rPr>
        <w:t xml:space="preserve"> niveles de esfuerzo necesarios para tramitar los distintos documentos.</w:t>
      </w:r>
    </w:p>
    <w:p w:rsidR="0061055C" w:rsidRPr="004E674F" w:rsidRDefault="0061055C" w:rsidP="0061055C">
      <w:pPr>
        <w:pStyle w:val="ListParagraph"/>
        <w:ind w:left="0"/>
        <w:jc w:val="both"/>
        <w:rPr>
          <w:rFonts w:ascii="Arial" w:hAnsi="Arial" w:cs="Arial"/>
          <w:sz w:val="20"/>
          <w:szCs w:val="20"/>
          <w:lang w:val="es-ES"/>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Para facilitar la comparación, se ilustra en los gráficos que figuran </w:t>
      </w:r>
      <w:r w:rsidRPr="004E674F">
        <w:rPr>
          <w:rFonts w:ascii="Arial" w:hAnsi="Arial" w:cs="Arial"/>
          <w:i/>
          <w:sz w:val="20"/>
          <w:szCs w:val="20"/>
          <w:lang w:val="es-ES"/>
        </w:rPr>
        <w:t>infra</w:t>
      </w:r>
      <w:r w:rsidRPr="004E674F">
        <w:rPr>
          <w:rFonts w:ascii="Arial" w:hAnsi="Arial" w:cs="Arial"/>
          <w:sz w:val="20"/>
          <w:szCs w:val="20"/>
          <w:lang w:val="es-ES"/>
        </w:rPr>
        <w:t xml:space="preserve"> la evolución de los dos costos unitarios entre 2008 y 2014, utilizando la vieja metodología, y entre 2012 y 2014, utilizando la nueva, y se incluye un desglose de la parte correspondientes a los costos directos e indirectos.</w:t>
      </w:r>
    </w:p>
    <w:p w:rsidR="0061055C" w:rsidRPr="004E674F" w:rsidRDefault="0061055C" w:rsidP="0061055C">
      <w:pPr>
        <w:pStyle w:val="ListParagraph"/>
        <w:tabs>
          <w:tab w:val="left" w:pos="0"/>
          <w:tab w:val="left" w:pos="567"/>
        </w:tabs>
        <w:ind w:left="0"/>
        <w:jc w:val="both"/>
        <w:rPr>
          <w:rFonts w:ascii="Arial" w:hAnsi="Arial" w:cs="Arial"/>
          <w:sz w:val="20"/>
          <w:szCs w:val="20"/>
          <w:lang w:val="es-ES"/>
        </w:rPr>
      </w:pPr>
    </w:p>
    <w:p w:rsidR="0061055C" w:rsidRPr="004E674F" w:rsidRDefault="0061055C" w:rsidP="0061055C">
      <w:pPr>
        <w:jc w:val="both"/>
        <w:rPr>
          <w:i/>
          <w:sz w:val="20"/>
        </w:rPr>
      </w:pPr>
      <w:r w:rsidRPr="004E674F">
        <w:rPr>
          <w:i/>
          <w:sz w:val="20"/>
        </w:rPr>
        <w:t>Costo unitario por dibujo o modelo nuevo/renovado</w:t>
      </w:r>
    </w:p>
    <w:p w:rsidR="0061055C" w:rsidRPr="004E674F" w:rsidRDefault="0061055C" w:rsidP="0061055C">
      <w:pPr>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Los dibujos o modelos nuevos son los que están contenidos en solicitudes internacionales que </w:t>
      </w:r>
      <w:r>
        <w:rPr>
          <w:rFonts w:ascii="Arial" w:hAnsi="Arial" w:cs="Arial"/>
          <w:sz w:val="20"/>
          <w:szCs w:val="20"/>
          <w:lang w:val="es-ES"/>
        </w:rPr>
        <w:t>dan lugar a registros</w:t>
      </w:r>
      <w:r w:rsidRPr="004E674F">
        <w:rPr>
          <w:rFonts w:ascii="Arial" w:hAnsi="Arial" w:cs="Arial"/>
          <w:sz w:val="20"/>
          <w:szCs w:val="20"/>
          <w:lang w:val="es-ES"/>
        </w:rPr>
        <w:t xml:space="preserve"> en un año determinado, y los dibujos o modelos renovados son los que ya existen en registros internacionales y son objeto de renovación en un año determinado.  Combinados, los dibujos o modelos contenidos en esos dos tipos de transacción reflejan las actividades principales de la Oficina Internacional</w:t>
      </w:r>
      <w:r>
        <w:rPr>
          <w:rFonts w:ascii="Arial" w:hAnsi="Arial" w:cs="Arial"/>
          <w:sz w:val="20"/>
          <w:szCs w:val="20"/>
          <w:lang w:val="es-ES"/>
        </w:rPr>
        <w:t xml:space="preserve"> en este contexto</w:t>
      </w:r>
      <w:r w:rsidRPr="004E674F">
        <w:rPr>
          <w:rFonts w:ascii="Arial" w:hAnsi="Arial" w:cs="Arial"/>
          <w:sz w:val="20"/>
          <w:szCs w:val="20"/>
          <w:lang w:val="es-ES"/>
        </w:rPr>
        <w:t>.</w:t>
      </w:r>
    </w:p>
    <w:p w:rsidR="0061055C" w:rsidRPr="004E674F" w:rsidRDefault="0061055C" w:rsidP="0061055C">
      <w:pPr>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Habida cuenta de que </w:t>
      </w:r>
      <w:r>
        <w:rPr>
          <w:rFonts w:ascii="Arial" w:hAnsi="Arial" w:cs="Arial"/>
          <w:sz w:val="20"/>
          <w:szCs w:val="20"/>
          <w:lang w:val="es-ES"/>
        </w:rPr>
        <w:t xml:space="preserve">los recursos necesarios </w:t>
      </w:r>
      <w:r w:rsidRPr="004E674F">
        <w:rPr>
          <w:rFonts w:ascii="Arial" w:hAnsi="Arial" w:cs="Arial"/>
          <w:sz w:val="20"/>
          <w:szCs w:val="20"/>
          <w:lang w:val="es-ES"/>
        </w:rPr>
        <w:t xml:space="preserve">para tramitar los dibujos o modelos contenidos en esos dos tipos de documentos </w:t>
      </w:r>
      <w:r>
        <w:rPr>
          <w:rFonts w:ascii="Arial" w:hAnsi="Arial" w:cs="Arial"/>
          <w:sz w:val="20"/>
          <w:szCs w:val="20"/>
          <w:lang w:val="es-ES"/>
        </w:rPr>
        <w:t>son diferentes</w:t>
      </w:r>
      <w:r w:rsidRPr="004E674F">
        <w:rPr>
          <w:rFonts w:ascii="Arial" w:hAnsi="Arial" w:cs="Arial"/>
          <w:sz w:val="20"/>
          <w:szCs w:val="20"/>
          <w:lang w:val="es-ES"/>
        </w:rPr>
        <w:t>, cada uno de ellos se pondera de forma distinta</w:t>
      </w:r>
      <w:r w:rsidRPr="004E674F">
        <w:rPr>
          <w:rStyle w:val="FootnoteReference"/>
          <w:rFonts w:ascii="Arial" w:hAnsi="Arial" w:cs="Arial"/>
          <w:sz w:val="20"/>
          <w:szCs w:val="20"/>
          <w:lang w:val="es-ES"/>
        </w:rPr>
        <w:footnoteReference w:id="25"/>
      </w:r>
      <w:r w:rsidRPr="004E674F">
        <w:rPr>
          <w:rFonts w:ascii="Arial" w:hAnsi="Arial" w:cs="Arial"/>
          <w:sz w:val="20"/>
          <w:szCs w:val="20"/>
          <w:lang w:val="es-ES"/>
        </w:rPr>
        <w:t xml:space="preserve">.  El </w:t>
      </w:r>
      <w:r w:rsidRPr="004E674F">
        <w:rPr>
          <w:rFonts w:ascii="Arial" w:hAnsi="Arial" w:cs="Arial"/>
          <w:sz w:val="20"/>
          <w:szCs w:val="20"/>
          <w:lang w:val="es-ES"/>
        </w:rPr>
        <w:lastRenderedPageBreak/>
        <w:t>costo unitario se calcula dividiendo el costo total de producción por el número de dibujos o modelos nuevos/renovados.</w:t>
      </w:r>
    </w:p>
    <w:p w:rsidR="0061055C" w:rsidRPr="004E674F" w:rsidRDefault="0061055C" w:rsidP="0061055C">
      <w:pPr>
        <w:spacing w:before="120" w:after="120"/>
        <w:jc w:val="both"/>
        <w:rPr>
          <w:sz w:val="20"/>
        </w:rPr>
      </w:pPr>
    </w:p>
    <w:tbl>
      <w:tblPr>
        <w:tblStyle w:val="TableGrid"/>
        <w:tblW w:w="0" w:type="auto"/>
        <w:tblLook w:val="04A0" w:firstRow="1" w:lastRow="0" w:firstColumn="1" w:lastColumn="0" w:noHBand="0" w:noVBand="1"/>
      </w:tblPr>
      <w:tblGrid>
        <w:gridCol w:w="4346"/>
        <w:gridCol w:w="4941"/>
      </w:tblGrid>
      <w:tr w:rsidR="0061055C" w:rsidRPr="004E674F" w:rsidTr="006376BD">
        <w:tc>
          <w:tcPr>
            <w:tcW w:w="4788" w:type="dxa"/>
          </w:tcPr>
          <w:p w:rsidR="0061055C" w:rsidRPr="004E674F" w:rsidRDefault="0061055C" w:rsidP="006376BD">
            <w:pPr>
              <w:keepNext/>
              <w:keepLines/>
              <w:spacing w:after="200" w:line="276" w:lineRule="auto"/>
              <w:jc w:val="center"/>
              <w:rPr>
                <w:sz w:val="20"/>
                <w:szCs w:val="20"/>
              </w:rPr>
            </w:pPr>
            <w:r w:rsidRPr="004E674F">
              <w:rPr>
                <w:sz w:val="20"/>
                <w:szCs w:val="20"/>
              </w:rPr>
              <w:t>Método antiguo</w:t>
            </w:r>
          </w:p>
        </w:tc>
        <w:tc>
          <w:tcPr>
            <w:tcW w:w="4788" w:type="dxa"/>
          </w:tcPr>
          <w:p w:rsidR="0061055C" w:rsidRPr="004E674F" w:rsidRDefault="0061055C" w:rsidP="006376BD">
            <w:pPr>
              <w:keepNext/>
              <w:keepLines/>
              <w:spacing w:after="200" w:line="276" w:lineRule="auto"/>
              <w:jc w:val="center"/>
              <w:rPr>
                <w:sz w:val="20"/>
                <w:szCs w:val="20"/>
              </w:rPr>
            </w:pPr>
            <w:r w:rsidRPr="004E674F">
              <w:rPr>
                <w:sz w:val="20"/>
                <w:szCs w:val="20"/>
              </w:rPr>
              <w:t>Método nuevo</w:t>
            </w:r>
          </w:p>
        </w:tc>
      </w:tr>
      <w:tr w:rsidR="0061055C" w:rsidRPr="004E674F" w:rsidTr="006376BD">
        <w:tc>
          <w:tcPr>
            <w:tcW w:w="4788" w:type="dxa"/>
          </w:tcPr>
          <w:p w:rsidR="0061055C" w:rsidRPr="004E674F" w:rsidRDefault="0061055C" w:rsidP="006376BD">
            <w:pPr>
              <w:keepNext/>
              <w:keepLines/>
              <w:spacing w:after="200" w:line="276" w:lineRule="auto"/>
              <w:jc w:val="center"/>
              <w:rPr>
                <w:sz w:val="20"/>
                <w:szCs w:val="20"/>
              </w:rPr>
            </w:pPr>
            <w:r>
              <w:rPr>
                <w:noProof/>
                <w:sz w:val="20"/>
                <w:lang w:val="en-US" w:eastAsia="en-US"/>
              </w:rPr>
              <w:drawing>
                <wp:inline distT="0" distB="0" distL="0" distR="0" wp14:anchorId="50D49B4B" wp14:editId="07566304">
                  <wp:extent cx="2631514" cy="1942459"/>
                  <wp:effectExtent l="0" t="0" r="0" b="127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2642803" cy="1950792"/>
                          </a:xfrm>
                          <a:prstGeom prst="rect">
                            <a:avLst/>
                          </a:prstGeom>
                          <a:noFill/>
                          <a:ln>
                            <a:noFill/>
                          </a:ln>
                        </pic:spPr>
                      </pic:pic>
                    </a:graphicData>
                  </a:graphic>
                </wp:inline>
              </w:drawing>
            </w:r>
          </w:p>
        </w:tc>
        <w:tc>
          <w:tcPr>
            <w:tcW w:w="4788" w:type="dxa"/>
          </w:tcPr>
          <w:p w:rsidR="0061055C" w:rsidRPr="004E674F" w:rsidRDefault="0061055C" w:rsidP="006376BD">
            <w:pPr>
              <w:keepNext/>
              <w:keepLines/>
              <w:spacing w:after="200" w:line="276" w:lineRule="auto"/>
              <w:jc w:val="center"/>
              <w:rPr>
                <w:sz w:val="20"/>
                <w:szCs w:val="20"/>
              </w:rPr>
            </w:pPr>
            <w:r>
              <w:rPr>
                <w:noProof/>
                <w:sz w:val="20"/>
                <w:lang w:val="en-US" w:eastAsia="en-US"/>
              </w:rPr>
              <w:drawing>
                <wp:inline distT="0" distB="0" distL="0" distR="0" wp14:anchorId="182150F8" wp14:editId="512BFCA1">
                  <wp:extent cx="3011038" cy="2017762"/>
                  <wp:effectExtent l="0" t="0" r="0" b="1905"/>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3011993" cy="2018402"/>
                          </a:xfrm>
                          <a:prstGeom prst="rect">
                            <a:avLst/>
                          </a:prstGeom>
                          <a:noFill/>
                          <a:ln>
                            <a:noFill/>
                          </a:ln>
                        </pic:spPr>
                      </pic:pic>
                    </a:graphicData>
                  </a:graphic>
                </wp:inline>
              </w:drawing>
            </w:r>
          </w:p>
        </w:tc>
      </w:tr>
    </w:tbl>
    <w:p w:rsidR="0061055C" w:rsidRPr="004E674F" w:rsidRDefault="0061055C" w:rsidP="0061055C">
      <w:pPr>
        <w:pStyle w:val="ListParagraph"/>
        <w:spacing w:before="120" w:after="120"/>
        <w:ind w:left="1080"/>
        <w:jc w:val="center"/>
        <w:rPr>
          <w:rFonts w:ascii="Arial" w:hAnsi="Arial" w:cs="Arial"/>
          <w:sz w:val="20"/>
          <w:szCs w:val="20"/>
          <w:lang w:val="es-ES"/>
        </w:rPr>
      </w:pPr>
    </w:p>
    <w:p w:rsidR="0061055C" w:rsidRPr="004E674F" w:rsidRDefault="0061055C" w:rsidP="0061055C">
      <w:pPr>
        <w:pStyle w:val="ListParagraph"/>
        <w:numPr>
          <w:ilvl w:val="0"/>
          <w:numId w:val="72"/>
        </w:numPr>
        <w:ind w:left="993" w:hanging="426"/>
        <w:jc w:val="both"/>
        <w:rPr>
          <w:rFonts w:ascii="Arial" w:hAnsi="Arial" w:cs="Arial"/>
          <w:sz w:val="20"/>
          <w:szCs w:val="20"/>
          <w:lang w:val="es-ES"/>
        </w:rPr>
      </w:pPr>
      <w:r w:rsidRPr="00E5727C">
        <w:rPr>
          <w:rFonts w:ascii="Arial" w:hAnsi="Arial" w:cs="Arial"/>
          <w:sz w:val="20"/>
          <w:szCs w:val="20"/>
          <w:lang w:val="es-ES"/>
        </w:rPr>
        <w:t>En 2014,</w:t>
      </w:r>
      <w:r>
        <w:rPr>
          <w:rFonts w:ascii="Arial" w:hAnsi="Arial" w:cs="Arial"/>
          <w:sz w:val="20"/>
          <w:szCs w:val="20"/>
          <w:lang w:val="es-ES"/>
        </w:rPr>
        <w:t xml:space="preserve"> e</w:t>
      </w:r>
      <w:r w:rsidRPr="004E674F">
        <w:rPr>
          <w:rFonts w:ascii="Arial" w:hAnsi="Arial" w:cs="Arial"/>
          <w:sz w:val="20"/>
          <w:szCs w:val="20"/>
          <w:lang w:val="es-ES"/>
        </w:rPr>
        <w:t>l costo medio de tramitación de un dibujo o modelo</w:t>
      </w:r>
      <w:r>
        <w:rPr>
          <w:rFonts w:ascii="Arial" w:hAnsi="Arial" w:cs="Arial"/>
          <w:sz w:val="20"/>
          <w:szCs w:val="20"/>
          <w:lang w:val="es-ES"/>
        </w:rPr>
        <w:t xml:space="preserve"> nuevo/renovado fue de </w:t>
      </w:r>
      <w:r w:rsidRPr="004E674F">
        <w:rPr>
          <w:rFonts w:ascii="Arial" w:hAnsi="Arial" w:cs="Arial"/>
          <w:sz w:val="20"/>
          <w:szCs w:val="20"/>
          <w:lang w:val="es-ES"/>
        </w:rPr>
        <w:t>366 francos suizos</w:t>
      </w:r>
      <w:r>
        <w:rPr>
          <w:rFonts w:ascii="Arial" w:hAnsi="Arial" w:cs="Arial"/>
          <w:sz w:val="20"/>
          <w:szCs w:val="20"/>
          <w:lang w:val="es-ES"/>
        </w:rPr>
        <w:t>,</w:t>
      </w:r>
      <w:r w:rsidRPr="004E674F">
        <w:rPr>
          <w:rFonts w:ascii="Arial" w:hAnsi="Arial" w:cs="Arial"/>
          <w:sz w:val="20"/>
          <w:szCs w:val="20"/>
          <w:lang w:val="es-ES"/>
        </w:rPr>
        <w:t xml:space="preserve"> es decir que se produjo una disminución del 12,8% con respecto a 2013.  Esa disminución se debió principalmente a una baja del </w:t>
      </w:r>
      <w:r>
        <w:rPr>
          <w:rFonts w:ascii="Arial" w:hAnsi="Arial" w:cs="Arial"/>
          <w:sz w:val="20"/>
          <w:szCs w:val="20"/>
          <w:lang w:val="es-ES"/>
        </w:rPr>
        <w:t>5,</w:t>
      </w:r>
      <w:r w:rsidRPr="004E674F">
        <w:rPr>
          <w:rFonts w:ascii="Arial" w:hAnsi="Arial" w:cs="Arial"/>
          <w:sz w:val="20"/>
          <w:szCs w:val="20"/>
          <w:lang w:val="es-ES"/>
        </w:rPr>
        <w:t>7% en el costo de producción combinada con un aumento del 8,2% en el número de dibujos o modelos nuevos/renovados.</w:t>
      </w:r>
    </w:p>
    <w:p w:rsidR="0061055C" w:rsidRPr="004E674F" w:rsidRDefault="0061055C" w:rsidP="0061055C">
      <w:pPr>
        <w:jc w:val="center"/>
        <w:rPr>
          <w:sz w:val="20"/>
        </w:rPr>
      </w:pPr>
    </w:p>
    <w:p w:rsidR="0061055C" w:rsidRPr="004E674F" w:rsidRDefault="0061055C" w:rsidP="0061055C">
      <w:pPr>
        <w:jc w:val="both"/>
        <w:rPr>
          <w:i/>
          <w:sz w:val="20"/>
        </w:rPr>
      </w:pPr>
      <w:r w:rsidRPr="004E674F">
        <w:rPr>
          <w:i/>
          <w:sz w:val="20"/>
        </w:rPr>
        <w:t>Costo unitario por documento inscrito en el Registro</w:t>
      </w:r>
    </w:p>
    <w:p w:rsidR="0061055C" w:rsidRPr="004E674F" w:rsidRDefault="0061055C" w:rsidP="0061055C">
      <w:pPr>
        <w:jc w:val="both"/>
        <w:rPr>
          <w:sz w:val="20"/>
        </w:rPr>
      </w:pPr>
    </w:p>
    <w:p w:rsidR="0061055C" w:rsidRPr="004E674F" w:rsidRDefault="0061055C" w:rsidP="0061055C">
      <w:pPr>
        <w:pStyle w:val="ListParagraph"/>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 xml:space="preserve">Los documentos inscritos en el Registro corresponden al volumen total de trabajo (véase “Volumen total de trabajo” </w:t>
      </w:r>
      <w:r w:rsidRPr="004E674F">
        <w:rPr>
          <w:rFonts w:ascii="Arial" w:hAnsi="Arial" w:cs="Arial"/>
          <w:i/>
          <w:sz w:val="20"/>
          <w:szCs w:val="20"/>
          <w:lang w:val="es-ES"/>
        </w:rPr>
        <w:t>supra</w:t>
      </w:r>
      <w:r w:rsidRPr="004E674F">
        <w:rPr>
          <w:rFonts w:ascii="Arial" w:hAnsi="Arial" w:cs="Arial"/>
          <w:sz w:val="20"/>
          <w:szCs w:val="20"/>
          <w:lang w:val="es-ES"/>
        </w:rPr>
        <w:t>).</w:t>
      </w:r>
    </w:p>
    <w:p w:rsidR="0061055C" w:rsidRPr="004E674F" w:rsidRDefault="0061055C" w:rsidP="0061055C">
      <w:pPr>
        <w:jc w:val="both"/>
        <w:rPr>
          <w:sz w:val="20"/>
        </w:rPr>
      </w:pPr>
    </w:p>
    <w:tbl>
      <w:tblPr>
        <w:tblStyle w:val="TableGrid"/>
        <w:tblW w:w="0" w:type="auto"/>
        <w:tblLook w:val="04A0" w:firstRow="1" w:lastRow="0" w:firstColumn="1" w:lastColumn="0" w:noHBand="0" w:noVBand="1"/>
      </w:tblPr>
      <w:tblGrid>
        <w:gridCol w:w="4574"/>
        <w:gridCol w:w="4713"/>
      </w:tblGrid>
      <w:tr w:rsidR="0061055C" w:rsidRPr="004E674F" w:rsidTr="006376BD">
        <w:tc>
          <w:tcPr>
            <w:tcW w:w="4788" w:type="dxa"/>
          </w:tcPr>
          <w:p w:rsidR="0061055C" w:rsidRPr="004E674F" w:rsidRDefault="0061055C" w:rsidP="006376BD">
            <w:pPr>
              <w:spacing w:after="200" w:line="276" w:lineRule="auto"/>
              <w:jc w:val="center"/>
              <w:rPr>
                <w:sz w:val="20"/>
                <w:szCs w:val="20"/>
              </w:rPr>
            </w:pPr>
            <w:r w:rsidRPr="004E674F">
              <w:rPr>
                <w:sz w:val="20"/>
                <w:szCs w:val="20"/>
              </w:rPr>
              <w:t>Método antiguo</w:t>
            </w:r>
          </w:p>
        </w:tc>
        <w:tc>
          <w:tcPr>
            <w:tcW w:w="4788" w:type="dxa"/>
          </w:tcPr>
          <w:p w:rsidR="0061055C" w:rsidRPr="004E674F" w:rsidRDefault="0061055C" w:rsidP="006376BD">
            <w:pPr>
              <w:spacing w:after="200" w:line="276" w:lineRule="auto"/>
              <w:jc w:val="center"/>
              <w:rPr>
                <w:sz w:val="20"/>
                <w:szCs w:val="20"/>
              </w:rPr>
            </w:pPr>
            <w:r w:rsidRPr="004E674F">
              <w:rPr>
                <w:sz w:val="20"/>
                <w:szCs w:val="20"/>
              </w:rPr>
              <w:t>Método nuevo</w:t>
            </w:r>
          </w:p>
        </w:tc>
      </w:tr>
      <w:tr w:rsidR="0061055C" w:rsidRPr="004E674F" w:rsidTr="006376BD">
        <w:tc>
          <w:tcPr>
            <w:tcW w:w="4788" w:type="dxa"/>
          </w:tcPr>
          <w:p w:rsidR="0061055C" w:rsidRPr="004E674F" w:rsidRDefault="0061055C" w:rsidP="006376BD">
            <w:pPr>
              <w:spacing w:after="200" w:line="276" w:lineRule="auto"/>
              <w:jc w:val="center"/>
              <w:rPr>
                <w:sz w:val="20"/>
                <w:szCs w:val="20"/>
              </w:rPr>
            </w:pPr>
            <w:r>
              <w:rPr>
                <w:noProof/>
                <w:sz w:val="20"/>
                <w:lang w:val="en-US" w:eastAsia="en-US"/>
              </w:rPr>
              <w:drawing>
                <wp:inline distT="0" distB="0" distL="0" distR="0" wp14:anchorId="1F8791B8" wp14:editId="2EEE0288">
                  <wp:extent cx="2683848" cy="1968441"/>
                  <wp:effectExtent l="0" t="0" r="254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2686740" cy="1970562"/>
                          </a:xfrm>
                          <a:prstGeom prst="rect">
                            <a:avLst/>
                          </a:prstGeom>
                          <a:noFill/>
                          <a:ln>
                            <a:noFill/>
                          </a:ln>
                        </pic:spPr>
                      </pic:pic>
                    </a:graphicData>
                  </a:graphic>
                </wp:inline>
              </w:drawing>
            </w:r>
          </w:p>
        </w:tc>
        <w:tc>
          <w:tcPr>
            <w:tcW w:w="4788" w:type="dxa"/>
          </w:tcPr>
          <w:p w:rsidR="0061055C" w:rsidRPr="004E674F" w:rsidRDefault="0061055C" w:rsidP="006376BD">
            <w:pPr>
              <w:spacing w:after="200" w:line="276" w:lineRule="auto"/>
              <w:jc w:val="center"/>
              <w:rPr>
                <w:sz w:val="20"/>
                <w:szCs w:val="20"/>
              </w:rPr>
            </w:pPr>
            <w:r>
              <w:rPr>
                <w:noProof/>
                <w:sz w:val="20"/>
                <w:lang w:val="en-US" w:eastAsia="en-US"/>
              </w:rPr>
              <w:drawing>
                <wp:inline distT="0" distB="0" distL="0" distR="0" wp14:anchorId="7BE3E834" wp14:editId="71501A0F">
                  <wp:extent cx="2828138" cy="1959428"/>
                  <wp:effectExtent l="0" t="0" r="0" b="3175"/>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2828138" cy="1959428"/>
                          </a:xfrm>
                          <a:prstGeom prst="rect">
                            <a:avLst/>
                          </a:prstGeom>
                          <a:noFill/>
                          <a:ln>
                            <a:noFill/>
                          </a:ln>
                        </pic:spPr>
                      </pic:pic>
                    </a:graphicData>
                  </a:graphic>
                </wp:inline>
              </w:drawing>
            </w:r>
          </w:p>
        </w:tc>
      </w:tr>
    </w:tbl>
    <w:p w:rsidR="0061055C" w:rsidRPr="004E674F" w:rsidRDefault="0061055C" w:rsidP="0061055C">
      <w:pPr>
        <w:jc w:val="center"/>
        <w:rPr>
          <w:sz w:val="20"/>
        </w:rPr>
      </w:pPr>
    </w:p>
    <w:p w:rsidR="0061055C" w:rsidRPr="004E674F" w:rsidRDefault="0061055C" w:rsidP="0061055C">
      <w:pPr>
        <w:pStyle w:val="ListParagraph"/>
        <w:numPr>
          <w:ilvl w:val="0"/>
          <w:numId w:val="72"/>
        </w:numPr>
        <w:ind w:left="993" w:hanging="426"/>
        <w:jc w:val="both"/>
        <w:rPr>
          <w:rFonts w:ascii="Arial" w:hAnsi="Arial" w:cs="Arial"/>
          <w:sz w:val="20"/>
          <w:szCs w:val="20"/>
          <w:lang w:val="es-ES"/>
        </w:rPr>
      </w:pPr>
      <w:r w:rsidRPr="004E674F">
        <w:rPr>
          <w:rFonts w:ascii="Arial" w:hAnsi="Arial" w:cs="Arial"/>
          <w:sz w:val="20"/>
          <w:szCs w:val="20"/>
          <w:lang w:val="es-ES"/>
        </w:rPr>
        <w:t>El costo medio de la inscripción de un documento en el Registro disminuyó, pasando a 1.483 francos suizos en 2014.  Ello se debe a la baja del 5,7% en el costo de producción.</w:t>
      </w:r>
    </w:p>
    <w:p w:rsidR="0061055C" w:rsidRPr="004E674F" w:rsidRDefault="0061055C" w:rsidP="0061055C">
      <w:pPr>
        <w:pStyle w:val="ListParagraph"/>
        <w:ind w:left="0"/>
        <w:jc w:val="both"/>
        <w:rPr>
          <w:rFonts w:ascii="Arial" w:hAnsi="Arial" w:cs="Arial"/>
          <w:sz w:val="20"/>
          <w:szCs w:val="20"/>
          <w:lang w:val="es-ES"/>
        </w:rPr>
      </w:pPr>
    </w:p>
    <w:p w:rsidR="0061055C" w:rsidRPr="004E674F" w:rsidRDefault="0061055C" w:rsidP="0061055C">
      <w:pPr>
        <w:pStyle w:val="ListParagraph"/>
        <w:ind w:left="0"/>
        <w:rPr>
          <w:rFonts w:ascii="Arial" w:hAnsi="Arial" w:cs="Arial"/>
          <w:sz w:val="20"/>
          <w:szCs w:val="20"/>
          <w:lang w:val="es-ES"/>
        </w:rPr>
      </w:pPr>
    </w:p>
    <w:p w:rsidR="0061055C" w:rsidRPr="004E674F" w:rsidRDefault="0061055C" w:rsidP="0016283D">
      <w:pPr>
        <w:keepNext/>
        <w:keepLines/>
        <w:tabs>
          <w:tab w:val="left" w:pos="567"/>
        </w:tabs>
        <w:spacing w:before="120" w:after="240"/>
        <w:rPr>
          <w:b/>
          <w:sz w:val="20"/>
        </w:rPr>
      </w:pPr>
      <w:r w:rsidRPr="004E674F">
        <w:rPr>
          <w:b/>
          <w:sz w:val="20"/>
        </w:rPr>
        <w:lastRenderedPageBreak/>
        <w:t>III.</w:t>
      </w:r>
      <w:r w:rsidRPr="004E674F">
        <w:rPr>
          <w:b/>
          <w:sz w:val="20"/>
        </w:rPr>
        <w:tab/>
        <w:t>Tiempo necesario para tramitar las solicitudes internacionales</w:t>
      </w:r>
    </w:p>
    <w:p w:rsidR="0061055C" w:rsidRPr="004E674F" w:rsidRDefault="0061055C" w:rsidP="0016283D">
      <w:pPr>
        <w:pStyle w:val="ListParagraph"/>
        <w:keepNext/>
        <w:keepLines/>
        <w:numPr>
          <w:ilvl w:val="0"/>
          <w:numId w:val="75"/>
        </w:numPr>
        <w:tabs>
          <w:tab w:val="left" w:pos="0"/>
          <w:tab w:val="left" w:pos="567"/>
        </w:tabs>
        <w:ind w:left="0" w:firstLine="0"/>
        <w:jc w:val="both"/>
        <w:rPr>
          <w:rFonts w:ascii="Arial" w:hAnsi="Arial" w:cs="Arial"/>
          <w:sz w:val="20"/>
          <w:szCs w:val="20"/>
          <w:lang w:val="es-ES"/>
        </w:rPr>
      </w:pPr>
      <w:r w:rsidRPr="004E674F">
        <w:rPr>
          <w:rFonts w:ascii="Arial" w:hAnsi="Arial" w:cs="Arial"/>
          <w:sz w:val="20"/>
          <w:szCs w:val="20"/>
          <w:lang w:val="es-ES"/>
        </w:rPr>
        <w:t>Este indicador refleja el tiempo que la Oficina Internacional necesita para tramitar las solicitudes regulares.  El tiempo necesario se calcula según el tiempo transcurrido entre la fecha de recepción de una solicitud y la fecha de su registro.</w:t>
      </w:r>
    </w:p>
    <w:p w:rsidR="0061055C" w:rsidRPr="004E674F" w:rsidRDefault="0061055C" w:rsidP="0061055C">
      <w:pPr>
        <w:spacing w:before="120" w:after="240"/>
        <w:jc w:val="center"/>
        <w:rPr>
          <w:sz w:val="20"/>
        </w:rPr>
      </w:pPr>
      <w:r w:rsidRPr="000C71B6">
        <w:rPr>
          <w:noProof/>
          <w:lang w:val="en-US" w:eastAsia="en-US"/>
        </w:rPr>
        <w:drawing>
          <wp:inline distT="0" distB="0" distL="0" distR="0" wp14:anchorId="2904A55D" wp14:editId="3248BAA0">
            <wp:extent cx="4944139" cy="2934586"/>
            <wp:effectExtent l="0" t="0" r="8890"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956163" cy="2941723"/>
                    </a:xfrm>
                    <a:prstGeom prst="rect">
                      <a:avLst/>
                    </a:prstGeom>
                    <a:noFill/>
                    <a:ln>
                      <a:noFill/>
                    </a:ln>
                  </pic:spPr>
                </pic:pic>
              </a:graphicData>
            </a:graphic>
          </wp:inline>
        </w:drawing>
      </w:r>
      <w:r w:rsidRPr="000C71B6">
        <w:t xml:space="preserve"> </w:t>
      </w:r>
    </w:p>
    <w:p w:rsidR="0061055C" w:rsidRPr="004E674F" w:rsidRDefault="0061055C" w:rsidP="0061055C">
      <w:pPr>
        <w:pStyle w:val="ListParagraph"/>
        <w:numPr>
          <w:ilvl w:val="0"/>
          <w:numId w:val="72"/>
        </w:numPr>
        <w:spacing w:after="120"/>
        <w:ind w:left="992" w:hanging="425"/>
        <w:contextualSpacing w:val="0"/>
        <w:jc w:val="both"/>
        <w:rPr>
          <w:rFonts w:ascii="Arial" w:hAnsi="Arial" w:cs="Arial"/>
          <w:sz w:val="20"/>
          <w:szCs w:val="20"/>
          <w:lang w:val="es-ES"/>
        </w:rPr>
      </w:pPr>
      <w:r w:rsidRPr="004E674F">
        <w:rPr>
          <w:rFonts w:ascii="Arial" w:hAnsi="Arial" w:cs="Arial"/>
          <w:sz w:val="20"/>
          <w:szCs w:val="20"/>
          <w:lang w:val="es-ES"/>
        </w:rPr>
        <w:t xml:space="preserve">La proporción de solicitudes tramitadas en un </w:t>
      </w:r>
      <w:r>
        <w:rPr>
          <w:rFonts w:ascii="Arial" w:hAnsi="Arial" w:cs="Arial"/>
          <w:sz w:val="20"/>
          <w:szCs w:val="20"/>
          <w:lang w:val="es-ES"/>
        </w:rPr>
        <w:t>lapso</w:t>
      </w:r>
      <w:r w:rsidRPr="004E674F">
        <w:rPr>
          <w:rFonts w:ascii="Arial" w:hAnsi="Arial" w:cs="Arial"/>
          <w:sz w:val="20"/>
          <w:szCs w:val="20"/>
          <w:lang w:val="es-ES"/>
        </w:rPr>
        <w:t xml:space="preserve"> inferior a una semana ha aumentado sin cesar desde 2011, pasando a ser el 45% de las solicitudes en 2014.</w:t>
      </w:r>
    </w:p>
    <w:p w:rsidR="0061055C" w:rsidRPr="004E674F" w:rsidRDefault="0061055C" w:rsidP="0061055C">
      <w:pPr>
        <w:pStyle w:val="ListParagraph"/>
        <w:numPr>
          <w:ilvl w:val="0"/>
          <w:numId w:val="72"/>
        </w:numPr>
        <w:spacing w:after="120"/>
        <w:ind w:left="993" w:hanging="426"/>
        <w:contextualSpacing w:val="0"/>
        <w:jc w:val="both"/>
        <w:rPr>
          <w:rFonts w:ascii="Arial" w:hAnsi="Arial" w:cs="Arial"/>
          <w:sz w:val="20"/>
          <w:szCs w:val="20"/>
          <w:lang w:val="es-ES"/>
        </w:rPr>
      </w:pPr>
      <w:r w:rsidRPr="004E674F">
        <w:rPr>
          <w:rFonts w:ascii="Arial" w:hAnsi="Arial" w:cs="Arial"/>
          <w:sz w:val="20"/>
          <w:szCs w:val="20"/>
          <w:lang w:val="es-ES"/>
        </w:rPr>
        <w:t>En 2014, el 85% de las solicitudes se tramit</w:t>
      </w:r>
      <w:r>
        <w:rPr>
          <w:rFonts w:ascii="Arial" w:hAnsi="Arial" w:cs="Arial"/>
          <w:sz w:val="20"/>
          <w:szCs w:val="20"/>
          <w:lang w:val="es-ES"/>
        </w:rPr>
        <w:t>ó</w:t>
      </w:r>
      <w:r w:rsidRPr="004E674F">
        <w:rPr>
          <w:rFonts w:ascii="Arial" w:hAnsi="Arial" w:cs="Arial"/>
          <w:sz w:val="20"/>
          <w:szCs w:val="20"/>
          <w:lang w:val="es-ES"/>
        </w:rPr>
        <w:t xml:space="preserve"> en un </w:t>
      </w:r>
      <w:r>
        <w:rPr>
          <w:rFonts w:ascii="Arial" w:hAnsi="Arial" w:cs="Arial"/>
          <w:sz w:val="20"/>
          <w:szCs w:val="20"/>
          <w:lang w:val="es-ES"/>
        </w:rPr>
        <w:t>lapso</w:t>
      </w:r>
      <w:r w:rsidRPr="004E674F">
        <w:rPr>
          <w:rFonts w:ascii="Arial" w:hAnsi="Arial" w:cs="Arial"/>
          <w:sz w:val="20"/>
          <w:szCs w:val="20"/>
          <w:lang w:val="es-ES"/>
        </w:rPr>
        <w:t xml:space="preserve"> de </w:t>
      </w:r>
      <w:r>
        <w:rPr>
          <w:rFonts w:ascii="Arial" w:hAnsi="Arial" w:cs="Arial"/>
          <w:sz w:val="20"/>
          <w:szCs w:val="20"/>
          <w:lang w:val="es-ES"/>
        </w:rPr>
        <w:t>dos semanas a partir de su</w:t>
      </w:r>
      <w:r w:rsidRPr="004E674F">
        <w:rPr>
          <w:rFonts w:ascii="Arial" w:hAnsi="Arial" w:cs="Arial"/>
          <w:sz w:val="20"/>
          <w:szCs w:val="20"/>
          <w:lang w:val="es-ES"/>
        </w:rPr>
        <w:t xml:space="preserve"> fecha de recepción en la Oficina Internacional.</w:t>
      </w:r>
    </w:p>
    <w:p w:rsidR="0061055C" w:rsidRPr="004E674F" w:rsidRDefault="0061055C" w:rsidP="0061055C">
      <w:pPr>
        <w:jc w:val="both"/>
        <w:rPr>
          <w:sz w:val="20"/>
        </w:rPr>
      </w:pPr>
    </w:p>
    <w:p w:rsidR="0061055C" w:rsidRPr="004E674F" w:rsidRDefault="0061055C" w:rsidP="0061055C">
      <w:pPr>
        <w:jc w:val="both"/>
        <w:rPr>
          <w:sz w:val="20"/>
        </w:rPr>
      </w:pPr>
    </w:p>
    <w:p w:rsidR="00DC481A" w:rsidRDefault="00DC481A" w:rsidP="00C97D8A">
      <w:pPr>
        <w:pStyle w:val="StyleHeading3ComplexItalic"/>
        <w:keepNext w:val="0"/>
        <w:tabs>
          <w:tab w:val="clear" w:pos="1985"/>
          <w:tab w:val="left" w:pos="1418"/>
        </w:tabs>
        <w:ind w:left="1418" w:hanging="1418"/>
        <w:rPr>
          <w:b w:val="0"/>
          <w:caps w:val="0"/>
          <w:lang w:val="es-ES"/>
        </w:rPr>
        <w:sectPr w:rsidR="00DC481A" w:rsidSect="006376BD">
          <w:headerReference w:type="even" r:id="rId320"/>
          <w:headerReference w:type="default" r:id="rId321"/>
          <w:footerReference w:type="even" r:id="rId322"/>
          <w:footerReference w:type="default" r:id="rId323"/>
          <w:pgSz w:w="11907" w:h="16839" w:code="9"/>
          <w:pgMar w:top="624" w:right="1418" w:bottom="1361" w:left="1418" w:header="624" w:footer="907" w:gutter="0"/>
          <w:cols w:space="720"/>
          <w:docGrid w:linePitch="360"/>
        </w:sectPr>
      </w:pPr>
    </w:p>
    <w:p w:rsidR="00E55948" w:rsidRPr="0051240D" w:rsidRDefault="00E55948" w:rsidP="003F76B4">
      <w:pPr>
        <w:pStyle w:val="StyleHeading3ComplexItalic"/>
        <w:keepNext w:val="0"/>
        <w:tabs>
          <w:tab w:val="clear" w:pos="1985"/>
          <w:tab w:val="left" w:pos="-2694"/>
        </w:tabs>
        <w:ind w:left="1560" w:hanging="1560"/>
        <w:rPr>
          <w:lang w:val="es-ES_tradnl"/>
        </w:rPr>
      </w:pPr>
      <w:bookmarkStart w:id="103" w:name="_Toc420681177"/>
      <w:r w:rsidRPr="0051240D">
        <w:rPr>
          <w:caps w:val="0"/>
          <w:lang w:val="es-ES_tradnl"/>
        </w:rPr>
        <w:lastRenderedPageBreak/>
        <w:t>ANEXO VIII</w:t>
      </w:r>
      <w:r w:rsidRPr="0051240D">
        <w:rPr>
          <w:caps w:val="0"/>
          <w:lang w:val="es-ES_tradnl"/>
        </w:rPr>
        <w:tab/>
        <w:t>RECURSOS DE FONDOS FIDUCIARIOS DISPONIBLES POTENCIALMENTE PARA SU UTILIZACIÓN</w:t>
      </w:r>
      <w:bookmarkEnd w:id="103"/>
    </w:p>
    <w:p w:rsidR="00E55948" w:rsidRPr="0051240D" w:rsidRDefault="00E55948" w:rsidP="00E55948">
      <w:pPr>
        <w:rPr>
          <w:sz w:val="20"/>
          <w:lang w:val="es-ES_tradnl"/>
        </w:rPr>
      </w:pPr>
    </w:p>
    <w:p w:rsidR="00E55948" w:rsidRPr="0051240D" w:rsidRDefault="00E55948" w:rsidP="00E55948">
      <w:pPr>
        <w:rPr>
          <w:sz w:val="20"/>
          <w:lang w:val="es-ES_tradnl"/>
        </w:rPr>
      </w:pPr>
    </w:p>
    <w:p w:rsidR="00DA7713" w:rsidRPr="0051240D" w:rsidRDefault="00E55948" w:rsidP="00DA7713">
      <w:pPr>
        <w:jc w:val="center"/>
        <w:rPr>
          <w:b/>
          <w:sz w:val="20"/>
          <w:szCs w:val="16"/>
        </w:rPr>
      </w:pPr>
      <w:r w:rsidRPr="00870079">
        <w:rPr>
          <w:b/>
          <w:sz w:val="20"/>
          <w:szCs w:val="16"/>
        </w:rPr>
        <w:t xml:space="preserve">Cuadro 19.  </w:t>
      </w:r>
      <w:r w:rsidR="00DA7713" w:rsidRPr="0051240D">
        <w:rPr>
          <w:b/>
          <w:sz w:val="20"/>
          <w:szCs w:val="16"/>
        </w:rPr>
        <w:t xml:space="preserve">Recursos de fondos fiduciarios disponibles potencialmente </w:t>
      </w:r>
      <w:r w:rsidR="0015313F">
        <w:rPr>
          <w:b/>
          <w:sz w:val="20"/>
          <w:szCs w:val="16"/>
        </w:rPr>
        <w:br/>
      </w:r>
      <w:r w:rsidR="00DA7713" w:rsidRPr="0051240D">
        <w:rPr>
          <w:b/>
          <w:sz w:val="20"/>
          <w:szCs w:val="16"/>
        </w:rPr>
        <w:t xml:space="preserve">para su utilización </w:t>
      </w:r>
      <w:r w:rsidR="0015313F">
        <w:rPr>
          <w:b/>
          <w:sz w:val="20"/>
          <w:szCs w:val="16"/>
        </w:rPr>
        <w:t xml:space="preserve">en </w:t>
      </w:r>
      <w:r w:rsidR="00DA7713" w:rsidRPr="0051240D">
        <w:rPr>
          <w:b/>
          <w:sz w:val="20"/>
          <w:szCs w:val="16"/>
        </w:rPr>
        <w:t>2016/17</w:t>
      </w:r>
      <w:r w:rsidR="00DA7713" w:rsidRPr="0051240D">
        <w:rPr>
          <w:sz w:val="20"/>
          <w:szCs w:val="16"/>
          <w:vertAlign w:val="superscript"/>
        </w:rPr>
        <w:t>1</w:t>
      </w:r>
      <w:r w:rsidR="00DA7713" w:rsidRPr="0051240D">
        <w:rPr>
          <w:b/>
          <w:sz w:val="20"/>
          <w:szCs w:val="16"/>
        </w:rPr>
        <w:t xml:space="preserve"> </w:t>
      </w:r>
    </w:p>
    <w:p w:rsidR="00DA7713" w:rsidRPr="0051240D" w:rsidRDefault="00DA7713" w:rsidP="00DA7713">
      <w:pPr>
        <w:jc w:val="center"/>
        <w:rPr>
          <w:i/>
          <w:sz w:val="20"/>
          <w:szCs w:val="16"/>
        </w:rPr>
      </w:pPr>
      <w:r w:rsidRPr="0051240D">
        <w:rPr>
          <w:i/>
          <w:sz w:val="20"/>
          <w:szCs w:val="16"/>
        </w:rPr>
        <w:t>(en miles de francos suizos)</w:t>
      </w:r>
    </w:p>
    <w:p w:rsidR="00DA7713" w:rsidRPr="0051240D" w:rsidRDefault="00DA7713" w:rsidP="00DA7713">
      <w:pPr>
        <w:jc w:val="center"/>
        <w:rPr>
          <w:i/>
          <w:sz w:val="20"/>
          <w:szCs w:val="16"/>
        </w:rPr>
      </w:pPr>
    </w:p>
    <w:p w:rsidR="00DA7713" w:rsidRPr="0051240D" w:rsidRDefault="00A760EA" w:rsidP="00DA7713">
      <w:pPr>
        <w:jc w:val="center"/>
        <w:rPr>
          <w:i/>
          <w:sz w:val="20"/>
          <w:szCs w:val="16"/>
        </w:rPr>
      </w:pPr>
      <w:r>
        <w:rPr>
          <w:noProof/>
          <w:lang w:val="en-US" w:eastAsia="en-US"/>
        </w:rPr>
        <w:drawing>
          <wp:inline distT="0" distB="0" distL="0" distR="0" wp14:anchorId="42AD54AD" wp14:editId="0E96581A">
            <wp:extent cx="5760085" cy="3233278"/>
            <wp:effectExtent l="0" t="0" r="0" b="5715"/>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5760085" cy="3233278"/>
                    </a:xfrm>
                    <a:prstGeom prst="rect">
                      <a:avLst/>
                    </a:prstGeom>
                    <a:noFill/>
                    <a:ln>
                      <a:noFill/>
                    </a:ln>
                  </pic:spPr>
                </pic:pic>
              </a:graphicData>
            </a:graphic>
          </wp:inline>
        </w:drawing>
      </w:r>
    </w:p>
    <w:p w:rsidR="00DA7713" w:rsidRPr="0051240D" w:rsidRDefault="00DA7713" w:rsidP="00DA7713">
      <w:pPr>
        <w:jc w:val="center"/>
        <w:rPr>
          <w:sz w:val="20"/>
        </w:rPr>
      </w:pPr>
    </w:p>
    <w:p w:rsidR="00DA7713" w:rsidRPr="0051240D" w:rsidRDefault="00DA7713" w:rsidP="00DA7713">
      <w:pPr>
        <w:rPr>
          <w:i/>
          <w:sz w:val="16"/>
          <w:szCs w:val="14"/>
        </w:rPr>
      </w:pPr>
      <w:r w:rsidRPr="0051240D">
        <w:rPr>
          <w:i/>
          <w:sz w:val="16"/>
          <w:szCs w:val="14"/>
          <w:vertAlign w:val="superscript"/>
        </w:rPr>
        <w:t>1</w:t>
      </w:r>
      <w:r w:rsidRPr="0051240D">
        <w:rPr>
          <w:i/>
          <w:sz w:val="16"/>
          <w:szCs w:val="14"/>
        </w:rPr>
        <w:t>En las cifras no se han incluido los intereses ni los ajustes cambiarios.  Cabe señalar que estos fondos se destinan generalmente a actividades que cubren un período que va más allá de un solo bienio, a medida que se reciben los ingresos y se incurre en gastos.</w:t>
      </w:r>
    </w:p>
    <w:p w:rsidR="00DA7713" w:rsidRPr="0051240D" w:rsidRDefault="00DA7713" w:rsidP="00DA7713">
      <w:pPr>
        <w:rPr>
          <w:i/>
          <w:sz w:val="16"/>
          <w:szCs w:val="14"/>
        </w:rPr>
      </w:pPr>
    </w:p>
    <w:p w:rsidR="00DA7713" w:rsidRPr="0051240D" w:rsidRDefault="00DA7713" w:rsidP="00DA7713">
      <w:pPr>
        <w:rPr>
          <w:i/>
          <w:sz w:val="16"/>
          <w:szCs w:val="14"/>
        </w:rPr>
      </w:pPr>
      <w:r w:rsidRPr="0051240D">
        <w:rPr>
          <w:i/>
          <w:sz w:val="16"/>
          <w:szCs w:val="14"/>
          <w:vertAlign w:val="superscript"/>
        </w:rPr>
        <w:t>2</w:t>
      </w:r>
      <w:r w:rsidRPr="0051240D">
        <w:rPr>
          <w:i/>
          <w:sz w:val="16"/>
          <w:szCs w:val="14"/>
        </w:rPr>
        <w:t xml:space="preserve"> Estas cifras son puramente indicativas y se basan en patrones de financiación anteriores.  No representan los compromisos de los Estados miembros salvo cuando quedan incluidos en el acuerdo de fondos fiduciarios.</w:t>
      </w:r>
    </w:p>
    <w:p w:rsidR="00DA7713" w:rsidRPr="0051240D" w:rsidRDefault="00DA7713" w:rsidP="00DA7713">
      <w:pPr>
        <w:rPr>
          <w:i/>
          <w:sz w:val="16"/>
          <w:szCs w:val="14"/>
        </w:rPr>
      </w:pPr>
    </w:p>
    <w:p w:rsidR="00DA7713" w:rsidRPr="0051240D" w:rsidRDefault="00DA7713" w:rsidP="00DA7713">
      <w:pPr>
        <w:rPr>
          <w:i/>
          <w:sz w:val="16"/>
          <w:szCs w:val="14"/>
        </w:rPr>
      </w:pPr>
      <w:r w:rsidRPr="0051240D">
        <w:rPr>
          <w:i/>
          <w:sz w:val="16"/>
          <w:szCs w:val="14"/>
          <w:vertAlign w:val="superscript"/>
        </w:rPr>
        <w:t>3</w:t>
      </w:r>
      <w:r w:rsidRPr="0051240D">
        <w:rPr>
          <w:i/>
          <w:sz w:val="16"/>
          <w:szCs w:val="14"/>
        </w:rPr>
        <w:t>Las contribuciones anuales varían y se han observado fluctuaciones de un año a otro.</w:t>
      </w:r>
    </w:p>
    <w:p w:rsidR="00DA7713" w:rsidRPr="0051240D" w:rsidRDefault="00DA7713" w:rsidP="00DA7713">
      <w:pPr>
        <w:rPr>
          <w:i/>
          <w:sz w:val="16"/>
          <w:szCs w:val="14"/>
        </w:rPr>
      </w:pPr>
    </w:p>
    <w:p w:rsidR="00DA7713" w:rsidRPr="0051240D" w:rsidRDefault="00DA7713" w:rsidP="00DA7713">
      <w:pPr>
        <w:rPr>
          <w:i/>
          <w:sz w:val="16"/>
          <w:szCs w:val="14"/>
        </w:rPr>
      </w:pPr>
      <w:r w:rsidRPr="0051240D">
        <w:rPr>
          <w:i/>
          <w:sz w:val="16"/>
          <w:szCs w:val="14"/>
          <w:vertAlign w:val="superscript"/>
        </w:rPr>
        <w:t>4</w:t>
      </w:r>
      <w:r w:rsidRPr="0051240D">
        <w:rPr>
          <w:i/>
          <w:sz w:val="16"/>
          <w:szCs w:val="14"/>
        </w:rPr>
        <w:t>República de Corea (Educación) – En el saldo previsto al final de 2015 se tienen en cuenta los gravámenes y las obligaciones.</w:t>
      </w:r>
    </w:p>
    <w:p w:rsidR="00DA7713" w:rsidRPr="0051240D" w:rsidRDefault="00DA7713" w:rsidP="00984EFC"/>
    <w:p w:rsidR="00E55948" w:rsidRPr="0051240D" w:rsidRDefault="00E55948" w:rsidP="00DA7713">
      <w:pPr>
        <w:jc w:val="center"/>
      </w:pPr>
    </w:p>
    <w:p w:rsidR="00E55948" w:rsidRPr="0051240D" w:rsidRDefault="00E55948" w:rsidP="00C97D8A">
      <w:pPr>
        <w:pStyle w:val="StyleHeading3ComplexItalic"/>
        <w:keepNext w:val="0"/>
        <w:tabs>
          <w:tab w:val="clear" w:pos="1985"/>
          <w:tab w:val="left" w:pos="1418"/>
        </w:tabs>
        <w:ind w:left="1418" w:hanging="1418"/>
        <w:rPr>
          <w:b w:val="0"/>
          <w:caps w:val="0"/>
          <w:sz w:val="20"/>
          <w:szCs w:val="20"/>
          <w:lang w:val="es-ES"/>
        </w:rPr>
        <w:sectPr w:rsidR="00E55948" w:rsidRPr="0051240D" w:rsidSect="006376BD">
          <w:pgSz w:w="11907" w:h="16839" w:code="9"/>
          <w:pgMar w:top="624" w:right="1418" w:bottom="1361" w:left="1418" w:header="624" w:footer="907" w:gutter="0"/>
          <w:cols w:space="720"/>
          <w:docGrid w:linePitch="360"/>
        </w:sectPr>
      </w:pPr>
    </w:p>
    <w:p w:rsidR="00E55948" w:rsidRPr="0051240D" w:rsidRDefault="000F4331" w:rsidP="003F76B4">
      <w:pPr>
        <w:pStyle w:val="StyleHeading3ComplexItalic"/>
        <w:tabs>
          <w:tab w:val="clear" w:pos="1985"/>
          <w:tab w:val="left" w:pos="1560"/>
        </w:tabs>
        <w:ind w:left="1560" w:hanging="1560"/>
        <w:rPr>
          <w:lang w:val="es-ES_tradnl"/>
        </w:rPr>
      </w:pPr>
      <w:bookmarkStart w:id="104" w:name="_Toc419553727"/>
      <w:bookmarkStart w:id="105" w:name="_Toc420681178"/>
      <w:r w:rsidRPr="0051240D">
        <w:rPr>
          <w:caps w:val="0"/>
          <w:lang w:val="es-ES_tradnl"/>
        </w:rPr>
        <w:lastRenderedPageBreak/>
        <w:t>ANEXO IX</w:t>
      </w:r>
      <w:r w:rsidRPr="0051240D">
        <w:rPr>
          <w:caps w:val="0"/>
          <w:lang w:val="es-ES_tradnl"/>
        </w:rPr>
        <w:tab/>
        <w:t>CUADROS DEL PRESUPUESTO ANUAL PARA LA PRESENTACIÓN DE INFORMES CONFORME A LAS IPSAS</w:t>
      </w:r>
      <w:bookmarkEnd w:id="104"/>
      <w:bookmarkEnd w:id="105"/>
    </w:p>
    <w:p w:rsidR="00E55948" w:rsidRPr="0051240D" w:rsidRDefault="00E55948" w:rsidP="00E55948">
      <w:pPr>
        <w:rPr>
          <w:sz w:val="20"/>
          <w:lang w:val="es-ES_tradnl"/>
        </w:rPr>
      </w:pPr>
    </w:p>
    <w:p w:rsidR="00531FF2" w:rsidRPr="0051240D" w:rsidRDefault="00531FF2" w:rsidP="00531FF2">
      <w:pPr>
        <w:autoSpaceDE w:val="0"/>
        <w:autoSpaceDN w:val="0"/>
        <w:adjustRightInd w:val="0"/>
        <w:rPr>
          <w:sz w:val="20"/>
        </w:rPr>
      </w:pPr>
    </w:p>
    <w:p w:rsidR="00531FF2" w:rsidRPr="0051240D" w:rsidRDefault="00531FF2" w:rsidP="00531FF2">
      <w:pPr>
        <w:numPr>
          <w:ilvl w:val="0"/>
          <w:numId w:val="76"/>
        </w:numPr>
        <w:jc w:val="both"/>
        <w:rPr>
          <w:sz w:val="20"/>
        </w:rPr>
      </w:pPr>
      <w:r w:rsidRPr="0051240D">
        <w:rPr>
          <w:sz w:val="20"/>
        </w:rPr>
        <w:t>En la cuadragésima tercera serie de reuniones de las Asambleas, celebradas del 24 de septiembre al 3 de octubre de 2007, los Estados miembros aprobaron la adopción de las IPSAS en 2010 por parte de la OMPI (documentos de referencia A/43/5 y A/43/16).  La aprobación de las IPSAS guarda relación con la iniciativa, aplicable a todo el sistema de las Naciones Unidas y aprobada por la Asamblea General (A/RES/60/283(IV)I) encaminada a sustituir las normas de contabilidad del sistema de las Naciones Unidas (UNSAS) por las IPSAS, internacionalmente reconocidas.  En consecuencia, los estados financieros de la OMPI correspondientes a 2010 se elaboraron conforme a las IPSAS.</w:t>
      </w:r>
    </w:p>
    <w:p w:rsidR="00531FF2" w:rsidRPr="0051240D" w:rsidRDefault="00531FF2" w:rsidP="00531FF2">
      <w:pPr>
        <w:ind w:left="1"/>
        <w:jc w:val="both"/>
        <w:rPr>
          <w:sz w:val="20"/>
        </w:rPr>
      </w:pPr>
    </w:p>
    <w:p w:rsidR="00531FF2" w:rsidRPr="0051240D" w:rsidRDefault="00531FF2" w:rsidP="00531FF2">
      <w:pPr>
        <w:numPr>
          <w:ilvl w:val="0"/>
          <w:numId w:val="76"/>
        </w:numPr>
        <w:jc w:val="both"/>
        <w:rPr>
          <w:sz w:val="20"/>
        </w:rPr>
      </w:pPr>
      <w:r w:rsidRPr="0051240D">
        <w:rPr>
          <w:sz w:val="20"/>
        </w:rPr>
        <w:t>La aprobación del presupuesto bienal de la OMPI sigue estando a cargo de las Asambleas.   De conformidad con las IPSAS, la Organización debe presentar los estados financieros cada año.   A tal fin, los datos del presupuesto anual se presentan tanto en lo que respecta a los ingresos como a los gastos.</w:t>
      </w:r>
    </w:p>
    <w:p w:rsidR="00531FF2" w:rsidRPr="0051240D" w:rsidRDefault="00531FF2" w:rsidP="00531FF2">
      <w:pPr>
        <w:jc w:val="both"/>
        <w:rPr>
          <w:sz w:val="20"/>
        </w:rPr>
      </w:pPr>
    </w:p>
    <w:p w:rsidR="00531FF2" w:rsidRPr="0051240D" w:rsidRDefault="00531FF2" w:rsidP="00531FF2">
      <w:pPr>
        <w:numPr>
          <w:ilvl w:val="0"/>
          <w:numId w:val="76"/>
        </w:numPr>
        <w:jc w:val="both"/>
        <w:rPr>
          <w:sz w:val="20"/>
        </w:rPr>
      </w:pPr>
      <w:r w:rsidRPr="0051240D">
        <w:rPr>
          <w:sz w:val="20"/>
        </w:rPr>
        <w:t>Cabe recordar que, en relación con la aprobación del presupuesto por programas de 2010/11, los Estados miembros adoptaron la metodología de presentación anual del presupuesto bienal aprobado.  En el cuadro que figura a continuación se muestra la estimación del importe de los ingresos anuales, en consonancia con dicha metodología, correspondiente al presupuesto por programas para el bienio 2016/17.</w:t>
      </w:r>
    </w:p>
    <w:p w:rsidR="00531FF2" w:rsidRPr="0051240D" w:rsidRDefault="00531FF2" w:rsidP="00531FF2">
      <w:pPr>
        <w:rPr>
          <w:sz w:val="20"/>
        </w:rPr>
      </w:pPr>
    </w:p>
    <w:p w:rsidR="00531FF2" w:rsidRPr="0051240D" w:rsidRDefault="00531FF2" w:rsidP="00531FF2">
      <w:pPr>
        <w:jc w:val="center"/>
        <w:rPr>
          <w:b/>
          <w:sz w:val="20"/>
          <w:szCs w:val="16"/>
        </w:rPr>
      </w:pPr>
      <w:r w:rsidRPr="0051240D">
        <w:rPr>
          <w:b/>
          <w:sz w:val="20"/>
          <w:szCs w:val="16"/>
        </w:rPr>
        <w:t>Cuadro 20.  Ingresos anuales 2006-2017</w:t>
      </w:r>
    </w:p>
    <w:p w:rsidR="00531FF2" w:rsidRPr="0051240D" w:rsidRDefault="00531FF2" w:rsidP="00531FF2">
      <w:pPr>
        <w:jc w:val="center"/>
        <w:rPr>
          <w:i/>
          <w:iCs/>
          <w:sz w:val="20"/>
        </w:rPr>
      </w:pPr>
      <w:r w:rsidRPr="0051240D">
        <w:rPr>
          <w:i/>
          <w:iCs/>
          <w:sz w:val="20"/>
          <w:szCs w:val="16"/>
        </w:rPr>
        <w:t>(</w:t>
      </w:r>
      <w:r w:rsidRPr="0051240D">
        <w:rPr>
          <w:i/>
          <w:iCs/>
          <w:sz w:val="20"/>
        </w:rPr>
        <w:t>en millones de francos suizos</w:t>
      </w:r>
      <w:r w:rsidRPr="0051240D">
        <w:rPr>
          <w:i/>
          <w:iCs/>
          <w:sz w:val="20"/>
          <w:szCs w:val="16"/>
        </w:rPr>
        <w:t>)</w:t>
      </w:r>
    </w:p>
    <w:p w:rsidR="00531FF2" w:rsidRPr="0051240D" w:rsidRDefault="00531FF2" w:rsidP="00531FF2">
      <w:pPr>
        <w:rPr>
          <w:sz w:val="18"/>
        </w:rPr>
      </w:pPr>
    </w:p>
    <w:p w:rsidR="00531FF2" w:rsidRPr="0051240D" w:rsidRDefault="00A760EA" w:rsidP="00531FF2">
      <w:pPr>
        <w:jc w:val="center"/>
        <w:rPr>
          <w:sz w:val="20"/>
        </w:rPr>
      </w:pPr>
      <w:r>
        <w:rPr>
          <w:noProof/>
          <w:lang w:val="en-US" w:eastAsia="en-US"/>
        </w:rPr>
        <w:drawing>
          <wp:inline distT="0" distB="0" distL="0" distR="0" wp14:anchorId="5221AF15" wp14:editId="71468713">
            <wp:extent cx="5760085" cy="1722487"/>
            <wp:effectExtent l="0" t="0" r="0"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5760085" cy="1722487"/>
                    </a:xfrm>
                    <a:prstGeom prst="rect">
                      <a:avLst/>
                    </a:prstGeom>
                    <a:noFill/>
                    <a:ln>
                      <a:noFill/>
                    </a:ln>
                  </pic:spPr>
                </pic:pic>
              </a:graphicData>
            </a:graphic>
          </wp:inline>
        </w:drawing>
      </w:r>
    </w:p>
    <w:p w:rsidR="00531FF2" w:rsidRPr="0051240D" w:rsidRDefault="00531FF2" w:rsidP="00531FF2">
      <w:pPr>
        <w:rPr>
          <w:sz w:val="20"/>
        </w:rPr>
      </w:pPr>
    </w:p>
    <w:p w:rsidR="00531FF2" w:rsidRDefault="00531FF2" w:rsidP="00531FF2">
      <w:pPr>
        <w:rPr>
          <w:i/>
          <w:sz w:val="16"/>
          <w:szCs w:val="14"/>
        </w:rPr>
      </w:pPr>
      <w:r w:rsidRPr="0051240D">
        <w:rPr>
          <w:i/>
          <w:sz w:val="16"/>
          <w:szCs w:val="14"/>
        </w:rPr>
        <w:t>*previamente, ingresos en concepto de intereses (hasta el bienio 2014/15)</w:t>
      </w:r>
    </w:p>
    <w:p w:rsidR="00B0119F" w:rsidRPr="0051240D" w:rsidRDefault="00B0119F" w:rsidP="00531FF2">
      <w:pPr>
        <w:rPr>
          <w:i/>
          <w:sz w:val="16"/>
          <w:szCs w:val="14"/>
        </w:rPr>
      </w:pPr>
      <w:r>
        <w:rPr>
          <w:i/>
          <w:sz w:val="16"/>
          <w:szCs w:val="14"/>
        </w:rPr>
        <w:t>Nota: I</w:t>
      </w:r>
      <w:r>
        <w:rPr>
          <w:i/>
          <w:sz w:val="16"/>
          <w:szCs w:val="16"/>
        </w:rPr>
        <w:t xml:space="preserve">ngresos en concepto de tasas del Sistema de Lisboa </w:t>
      </w:r>
      <w:r w:rsidRPr="00362498">
        <w:rPr>
          <w:i/>
          <w:sz w:val="16"/>
          <w:szCs w:val="16"/>
        </w:rPr>
        <w:t>(</w:t>
      </w:r>
      <w:r>
        <w:rPr>
          <w:i/>
          <w:sz w:val="16"/>
          <w:szCs w:val="16"/>
        </w:rPr>
        <w:t>estimación presupuestaria de 2014/15</w:t>
      </w:r>
      <w:r w:rsidRPr="00362498">
        <w:rPr>
          <w:i/>
          <w:sz w:val="16"/>
          <w:szCs w:val="16"/>
        </w:rPr>
        <w:t>: 8</w:t>
      </w:r>
      <w:r>
        <w:rPr>
          <w:i/>
          <w:sz w:val="16"/>
          <w:szCs w:val="16"/>
        </w:rPr>
        <w:t>.</w:t>
      </w:r>
      <w:r w:rsidRPr="00362498">
        <w:rPr>
          <w:i/>
          <w:sz w:val="16"/>
          <w:szCs w:val="16"/>
        </w:rPr>
        <w:t xml:space="preserve">000 </w:t>
      </w:r>
      <w:r>
        <w:rPr>
          <w:i/>
          <w:sz w:val="16"/>
          <w:szCs w:val="16"/>
        </w:rPr>
        <w:t>francos suizos</w:t>
      </w:r>
      <w:r w:rsidRPr="00362498">
        <w:rPr>
          <w:i/>
          <w:sz w:val="16"/>
          <w:szCs w:val="16"/>
        </w:rPr>
        <w:t xml:space="preserve">; </w:t>
      </w:r>
      <w:r>
        <w:rPr>
          <w:i/>
          <w:sz w:val="16"/>
          <w:szCs w:val="16"/>
        </w:rPr>
        <w:t xml:space="preserve"> </w:t>
      </w:r>
      <w:r w:rsidRPr="00362498">
        <w:rPr>
          <w:i/>
          <w:sz w:val="16"/>
          <w:szCs w:val="16"/>
        </w:rPr>
        <w:t>2016/17</w:t>
      </w:r>
      <w:proofErr w:type="gramStart"/>
      <w:r w:rsidRPr="00362498">
        <w:rPr>
          <w:i/>
          <w:sz w:val="16"/>
          <w:szCs w:val="16"/>
        </w:rPr>
        <w:t xml:space="preserve">: </w:t>
      </w:r>
      <w:r>
        <w:rPr>
          <w:i/>
          <w:sz w:val="16"/>
          <w:szCs w:val="16"/>
        </w:rPr>
        <w:t xml:space="preserve"> </w:t>
      </w:r>
      <w:r w:rsidRPr="00362498">
        <w:rPr>
          <w:i/>
          <w:sz w:val="16"/>
          <w:szCs w:val="16"/>
        </w:rPr>
        <w:t>30</w:t>
      </w:r>
      <w:r>
        <w:rPr>
          <w:i/>
          <w:sz w:val="16"/>
          <w:szCs w:val="16"/>
        </w:rPr>
        <w:t>.</w:t>
      </w:r>
      <w:r w:rsidRPr="00362498">
        <w:rPr>
          <w:i/>
          <w:sz w:val="16"/>
          <w:szCs w:val="16"/>
        </w:rPr>
        <w:t>000</w:t>
      </w:r>
      <w:proofErr w:type="gramEnd"/>
      <w:r w:rsidRPr="00362498">
        <w:rPr>
          <w:i/>
          <w:sz w:val="16"/>
          <w:szCs w:val="16"/>
        </w:rPr>
        <w:t xml:space="preserve"> </w:t>
      </w:r>
      <w:r>
        <w:rPr>
          <w:i/>
          <w:sz w:val="16"/>
          <w:szCs w:val="16"/>
        </w:rPr>
        <w:t>francos suizos</w:t>
      </w:r>
      <w:r w:rsidRPr="00362498">
        <w:rPr>
          <w:i/>
          <w:sz w:val="16"/>
          <w:szCs w:val="16"/>
        </w:rPr>
        <w:t>)</w:t>
      </w:r>
      <w:r>
        <w:rPr>
          <w:i/>
          <w:sz w:val="16"/>
          <w:szCs w:val="16"/>
        </w:rPr>
        <w:t>.</w:t>
      </w:r>
    </w:p>
    <w:p w:rsidR="00531FF2" w:rsidRPr="0051240D" w:rsidRDefault="00531FF2" w:rsidP="00531FF2">
      <w:pPr>
        <w:rPr>
          <w:sz w:val="20"/>
        </w:rPr>
      </w:pPr>
    </w:p>
    <w:p w:rsidR="00E55948" w:rsidRPr="0051240D" w:rsidRDefault="00E55948" w:rsidP="00E55948">
      <w:pPr>
        <w:rPr>
          <w:rFonts w:eastAsia="Times New Roman"/>
          <w:sz w:val="20"/>
          <w:lang w:eastAsia="en-US"/>
        </w:rPr>
      </w:pPr>
      <w:r w:rsidRPr="0051240D">
        <w:rPr>
          <w:sz w:val="20"/>
        </w:rPr>
        <w:br w:type="page"/>
      </w:r>
    </w:p>
    <w:p w:rsidR="00271D3A" w:rsidRPr="0051240D" w:rsidRDefault="00271D3A" w:rsidP="00271D3A">
      <w:pPr>
        <w:pStyle w:val="Endofdocument"/>
        <w:ind w:left="0"/>
        <w:jc w:val="left"/>
        <w:rPr>
          <w:rFonts w:ascii="Arial" w:hAnsi="Arial" w:cs="Arial"/>
          <w:sz w:val="20"/>
          <w:lang w:val="es-ES"/>
        </w:rPr>
      </w:pPr>
    </w:p>
    <w:p w:rsidR="00271D3A" w:rsidRPr="0051240D" w:rsidRDefault="00271D3A" w:rsidP="00271D3A">
      <w:pPr>
        <w:numPr>
          <w:ilvl w:val="0"/>
          <w:numId w:val="76"/>
        </w:numPr>
        <w:jc w:val="both"/>
        <w:rPr>
          <w:sz w:val="20"/>
        </w:rPr>
      </w:pPr>
      <w:r w:rsidRPr="0051240D">
        <w:rPr>
          <w:sz w:val="20"/>
        </w:rPr>
        <w:t>En relación con el gasto presupuestado de la OMPI correspondiente a 2016/17, a las cifras presupuestarias bienales no relativas al personal se aplica una división porcentual del 50% a fin de presentar la situación del presupuesto anual.  El presupuesto relativo al personal se ha dividido en períodos anuales a partir de los costos calculados para los dos años.  El cuadro que figura a continuación muestra los importes de los gastos anuales en consecuencia.</w:t>
      </w:r>
    </w:p>
    <w:p w:rsidR="00271D3A" w:rsidRPr="0051240D" w:rsidRDefault="00271D3A" w:rsidP="00271D3A">
      <w:pPr>
        <w:pStyle w:val="Endofdocument"/>
        <w:ind w:left="0"/>
        <w:jc w:val="left"/>
        <w:rPr>
          <w:rFonts w:ascii="Arial" w:hAnsi="Arial" w:cs="Arial"/>
          <w:sz w:val="20"/>
          <w:lang w:val="es-ES"/>
        </w:rPr>
      </w:pPr>
    </w:p>
    <w:p w:rsidR="00271D3A" w:rsidRPr="0051240D" w:rsidRDefault="00271D3A" w:rsidP="00271D3A">
      <w:pPr>
        <w:rPr>
          <w:b/>
          <w:sz w:val="20"/>
          <w:szCs w:val="16"/>
        </w:rPr>
      </w:pPr>
    </w:p>
    <w:p w:rsidR="00271D3A" w:rsidRPr="0051240D" w:rsidRDefault="00271D3A" w:rsidP="00271D3A">
      <w:pPr>
        <w:jc w:val="center"/>
        <w:rPr>
          <w:b/>
          <w:sz w:val="20"/>
          <w:szCs w:val="16"/>
        </w:rPr>
      </w:pPr>
      <w:r w:rsidRPr="0051240D">
        <w:rPr>
          <w:b/>
          <w:sz w:val="20"/>
          <w:szCs w:val="16"/>
        </w:rPr>
        <w:t>Cuadro 21.  Gastos anuales 2006-2017</w:t>
      </w:r>
    </w:p>
    <w:p w:rsidR="00271D3A" w:rsidRPr="0051240D" w:rsidRDefault="00271D3A" w:rsidP="00271D3A">
      <w:pPr>
        <w:jc w:val="center"/>
        <w:rPr>
          <w:sz w:val="20"/>
          <w:szCs w:val="16"/>
        </w:rPr>
      </w:pPr>
      <w:r w:rsidRPr="0051240D">
        <w:rPr>
          <w:i/>
          <w:iCs/>
          <w:sz w:val="20"/>
          <w:szCs w:val="16"/>
        </w:rPr>
        <w:t>(</w:t>
      </w:r>
      <w:r w:rsidRPr="0051240D">
        <w:rPr>
          <w:i/>
          <w:sz w:val="20"/>
          <w:szCs w:val="16"/>
        </w:rPr>
        <w:t>en millones de francos suizos</w:t>
      </w:r>
      <w:r w:rsidRPr="0051240D">
        <w:rPr>
          <w:i/>
          <w:iCs/>
          <w:sz w:val="20"/>
          <w:szCs w:val="16"/>
        </w:rPr>
        <w:t>)</w:t>
      </w:r>
      <w:r w:rsidRPr="0051240D">
        <w:rPr>
          <w:sz w:val="20"/>
          <w:szCs w:val="16"/>
        </w:rPr>
        <w:t xml:space="preserve"> </w:t>
      </w:r>
    </w:p>
    <w:p w:rsidR="00271D3A" w:rsidRPr="0051240D" w:rsidRDefault="00271D3A" w:rsidP="00271D3A">
      <w:pPr>
        <w:pStyle w:val="Endofdocument"/>
        <w:ind w:left="0"/>
        <w:jc w:val="left"/>
        <w:rPr>
          <w:rFonts w:ascii="Arial" w:hAnsi="Arial" w:cs="Arial"/>
          <w:sz w:val="18"/>
          <w:lang w:val="es-ES"/>
        </w:rPr>
      </w:pPr>
    </w:p>
    <w:p w:rsidR="00271D3A" w:rsidRPr="0051240D" w:rsidRDefault="00A760EA" w:rsidP="00271D3A">
      <w:pPr>
        <w:pStyle w:val="Endofdocument"/>
        <w:ind w:left="0"/>
        <w:rPr>
          <w:rFonts w:ascii="Arial" w:hAnsi="Arial" w:cs="Arial"/>
          <w:sz w:val="20"/>
          <w:lang w:val="es-ES"/>
        </w:rPr>
      </w:pPr>
      <w:r>
        <w:rPr>
          <w:noProof/>
        </w:rPr>
        <w:drawing>
          <wp:inline distT="0" distB="0" distL="0" distR="0" wp14:anchorId="36BEBE7D" wp14:editId="4E9E8CF0">
            <wp:extent cx="5760085" cy="2665270"/>
            <wp:effectExtent l="0" t="0" r="0" b="1905"/>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5760085" cy="2665270"/>
                    </a:xfrm>
                    <a:prstGeom prst="rect">
                      <a:avLst/>
                    </a:prstGeom>
                    <a:noFill/>
                    <a:ln>
                      <a:noFill/>
                    </a:ln>
                  </pic:spPr>
                </pic:pic>
              </a:graphicData>
            </a:graphic>
          </wp:inline>
        </w:drawing>
      </w:r>
    </w:p>
    <w:p w:rsidR="00271D3A" w:rsidRPr="0051240D" w:rsidRDefault="00271D3A" w:rsidP="00271D3A">
      <w:pPr>
        <w:pStyle w:val="Endofdocument"/>
        <w:ind w:left="0"/>
        <w:rPr>
          <w:rFonts w:ascii="Arial" w:hAnsi="Arial" w:cs="Arial"/>
          <w:sz w:val="18"/>
          <w:lang w:val="es-ES"/>
        </w:rPr>
      </w:pPr>
    </w:p>
    <w:p w:rsidR="00271D3A" w:rsidRPr="0051240D" w:rsidRDefault="00271D3A" w:rsidP="00271D3A">
      <w:pPr>
        <w:rPr>
          <w:i/>
          <w:sz w:val="16"/>
          <w:szCs w:val="14"/>
        </w:rPr>
      </w:pPr>
      <w:r w:rsidRPr="0051240D">
        <w:rPr>
          <w:i/>
          <w:sz w:val="16"/>
          <w:szCs w:val="14"/>
        </w:rPr>
        <w:t>*previamente, viajes y becas para cursos (hasta el bienio 2014/15).</w:t>
      </w:r>
    </w:p>
    <w:p w:rsidR="00271D3A" w:rsidRPr="0051240D" w:rsidRDefault="00271D3A" w:rsidP="00271D3A">
      <w:pPr>
        <w:rPr>
          <w:i/>
          <w:sz w:val="16"/>
          <w:szCs w:val="14"/>
        </w:rPr>
      </w:pPr>
    </w:p>
    <w:p w:rsidR="00271D3A" w:rsidRPr="0051240D" w:rsidRDefault="00271D3A" w:rsidP="00271D3A">
      <w:pPr>
        <w:rPr>
          <w:i/>
          <w:sz w:val="16"/>
          <w:szCs w:val="14"/>
        </w:rPr>
      </w:pPr>
      <w:r w:rsidRPr="0051240D">
        <w:rPr>
          <w:i/>
          <w:sz w:val="16"/>
          <w:szCs w:val="14"/>
        </w:rPr>
        <w:t>**Los servicios contractuales fueron reexpresados para los años 2004-2009 a fin de incluir los ASE, debido al cambio introducido en abril de 2010.</w:t>
      </w:r>
    </w:p>
    <w:p w:rsidR="00271D3A" w:rsidRPr="0051240D" w:rsidRDefault="00271D3A" w:rsidP="00271D3A">
      <w:pPr>
        <w:rPr>
          <w:i/>
          <w:sz w:val="16"/>
          <w:szCs w:val="14"/>
        </w:rPr>
      </w:pPr>
    </w:p>
    <w:p w:rsidR="00271D3A" w:rsidRPr="0051240D" w:rsidRDefault="00271D3A" w:rsidP="00271D3A">
      <w:pPr>
        <w:rPr>
          <w:i/>
          <w:sz w:val="16"/>
          <w:szCs w:val="14"/>
        </w:rPr>
      </w:pPr>
      <w:r w:rsidRPr="0051240D">
        <w:rPr>
          <w:i/>
          <w:sz w:val="16"/>
          <w:szCs w:val="14"/>
        </w:rPr>
        <w:t>***previamente, incluido en el marco de gastos de operación (hasta el bienio 2014/15).</w:t>
      </w:r>
    </w:p>
    <w:p w:rsidR="00271D3A" w:rsidRPr="0051240D" w:rsidRDefault="00271D3A" w:rsidP="00271D3A">
      <w:pPr>
        <w:pStyle w:val="Endofdocument"/>
        <w:ind w:left="0"/>
        <w:jc w:val="left"/>
        <w:rPr>
          <w:rFonts w:ascii="Arial" w:hAnsi="Arial" w:cs="Arial"/>
          <w:sz w:val="20"/>
          <w:lang w:val="es-ES"/>
        </w:rPr>
      </w:pPr>
    </w:p>
    <w:p w:rsidR="00E55948" w:rsidRPr="0051240D" w:rsidRDefault="00E55948" w:rsidP="00E55948">
      <w:pPr>
        <w:rPr>
          <w:sz w:val="20"/>
        </w:rPr>
      </w:pPr>
    </w:p>
    <w:p w:rsidR="00CF5327" w:rsidRDefault="00CF5327" w:rsidP="00F0769B">
      <w:pPr>
        <w:sectPr w:rsidR="00CF5327" w:rsidSect="006376BD">
          <w:pgSz w:w="11907" w:h="16839" w:code="9"/>
          <w:pgMar w:top="624" w:right="1418" w:bottom="1361" w:left="1418" w:header="624" w:footer="907" w:gutter="0"/>
          <w:cols w:space="720"/>
          <w:docGrid w:linePitch="360"/>
        </w:sectPr>
      </w:pPr>
    </w:p>
    <w:p w:rsidR="00CF5327" w:rsidRPr="0096398C" w:rsidRDefault="0096398C" w:rsidP="00CF5327">
      <w:pPr>
        <w:pStyle w:val="StyleHeading3ComplexItalic"/>
        <w:keepNext w:val="0"/>
        <w:tabs>
          <w:tab w:val="clear" w:pos="1985"/>
          <w:tab w:val="left" w:pos="1418"/>
        </w:tabs>
        <w:ind w:left="1418" w:hanging="1418"/>
        <w:rPr>
          <w:caps w:val="0"/>
          <w:lang w:val="es-ES"/>
        </w:rPr>
      </w:pPr>
      <w:bookmarkStart w:id="106" w:name="_Toc293334848"/>
      <w:bookmarkStart w:id="107" w:name="_Toc298920430"/>
      <w:bookmarkStart w:id="108" w:name="_Toc356567795"/>
      <w:bookmarkStart w:id="109" w:name="_Toc367350621"/>
      <w:bookmarkStart w:id="110" w:name="_Toc419283289"/>
      <w:bookmarkStart w:id="111" w:name="_Toc420681179"/>
      <w:r w:rsidRPr="0096398C">
        <w:rPr>
          <w:caps w:val="0"/>
          <w:lang w:val="es-ES"/>
        </w:rPr>
        <w:lastRenderedPageBreak/>
        <w:t>AN</w:t>
      </w:r>
      <w:r w:rsidR="00CF5327" w:rsidRPr="0096398C">
        <w:rPr>
          <w:caps w:val="0"/>
          <w:lang w:val="es-ES"/>
        </w:rPr>
        <w:t>EX</w:t>
      </w:r>
      <w:r w:rsidRPr="0096398C">
        <w:rPr>
          <w:caps w:val="0"/>
          <w:lang w:val="es-ES"/>
        </w:rPr>
        <w:t>O</w:t>
      </w:r>
      <w:r w:rsidR="00CF5327" w:rsidRPr="0096398C">
        <w:rPr>
          <w:caps w:val="0"/>
          <w:lang w:val="es-ES"/>
        </w:rPr>
        <w:t xml:space="preserve"> X</w:t>
      </w:r>
      <w:r w:rsidR="00CF5327" w:rsidRPr="0096398C">
        <w:rPr>
          <w:caps w:val="0"/>
          <w:lang w:val="es-ES"/>
        </w:rPr>
        <w:tab/>
      </w:r>
      <w:r w:rsidRPr="0096398C">
        <w:rPr>
          <w:caps w:val="0"/>
          <w:lang w:val="es-ES"/>
        </w:rPr>
        <w:t xml:space="preserve">PRESUPUESTO DE </w:t>
      </w:r>
      <w:r w:rsidR="00CF5327" w:rsidRPr="0096398C">
        <w:rPr>
          <w:caps w:val="0"/>
          <w:lang w:val="es-ES"/>
        </w:rPr>
        <w:t>2016/17</w:t>
      </w:r>
      <w:r w:rsidRPr="0096398C">
        <w:rPr>
          <w:caps w:val="0"/>
          <w:lang w:val="es-ES"/>
        </w:rPr>
        <w:t>,</w:t>
      </w:r>
      <w:bookmarkEnd w:id="106"/>
      <w:bookmarkEnd w:id="107"/>
      <w:bookmarkEnd w:id="108"/>
      <w:bookmarkEnd w:id="109"/>
      <w:bookmarkEnd w:id="110"/>
      <w:r w:rsidRPr="0096398C">
        <w:rPr>
          <w:caps w:val="0"/>
          <w:lang w:val="es-ES"/>
        </w:rPr>
        <w:t xml:space="preserve"> POR RESULTADO PREVISTO Y PROGRAMA</w:t>
      </w:r>
      <w:bookmarkEnd w:id="111"/>
    </w:p>
    <w:p w:rsidR="00CF5327" w:rsidRPr="0096398C" w:rsidRDefault="00CF5327" w:rsidP="00CF5327">
      <w:pPr>
        <w:rPr>
          <w:b/>
          <w:sz w:val="20"/>
          <w:highlight w:val="lightGray"/>
        </w:rPr>
      </w:pPr>
    </w:p>
    <w:p w:rsidR="00CF5327" w:rsidRPr="0096398C" w:rsidRDefault="0096398C" w:rsidP="0096398C">
      <w:pPr>
        <w:ind w:left="-284"/>
        <w:rPr>
          <w:sz w:val="18"/>
          <w:szCs w:val="18"/>
          <w:highlight w:val="lightGray"/>
          <w:lang w:val="en-US"/>
        </w:rPr>
      </w:pPr>
      <w:r w:rsidRPr="0096398C">
        <w:rPr>
          <w:noProof/>
          <w:lang w:val="en-US" w:eastAsia="en-US"/>
        </w:rPr>
        <w:drawing>
          <wp:inline distT="0" distB="0" distL="0" distR="0" wp14:anchorId="1875E301" wp14:editId="7D924FC9">
            <wp:extent cx="9609661" cy="5290764"/>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9609661" cy="5290764"/>
                    </a:xfrm>
                    <a:prstGeom prst="rect">
                      <a:avLst/>
                    </a:prstGeom>
                    <a:noFill/>
                    <a:ln>
                      <a:noFill/>
                    </a:ln>
                  </pic:spPr>
                </pic:pic>
              </a:graphicData>
            </a:graphic>
          </wp:inline>
        </w:drawing>
      </w:r>
    </w:p>
    <w:p w:rsidR="0096398C" w:rsidRDefault="0096398C">
      <w:pPr>
        <w:rPr>
          <w:b/>
          <w:sz w:val="18"/>
          <w:szCs w:val="18"/>
          <w:highlight w:val="lightGray"/>
          <w:lang w:val="en-US"/>
        </w:rPr>
      </w:pPr>
      <w:r>
        <w:rPr>
          <w:b/>
          <w:sz w:val="18"/>
          <w:szCs w:val="18"/>
          <w:highlight w:val="lightGray"/>
          <w:lang w:val="en-US"/>
        </w:rPr>
        <w:br w:type="page"/>
      </w:r>
    </w:p>
    <w:p w:rsidR="00CF5327" w:rsidRPr="0096398C" w:rsidRDefault="0096398C" w:rsidP="00CF5327">
      <w:pPr>
        <w:ind w:left="-360"/>
        <w:rPr>
          <w:b/>
          <w:sz w:val="18"/>
          <w:szCs w:val="18"/>
          <w:lang w:val="en-US"/>
        </w:rPr>
      </w:pPr>
      <w:r w:rsidRPr="0096398C">
        <w:rPr>
          <w:b/>
          <w:sz w:val="18"/>
          <w:szCs w:val="18"/>
          <w:lang w:val="en-US"/>
        </w:rPr>
        <w:lastRenderedPageBreak/>
        <w:t>AN</w:t>
      </w:r>
      <w:r w:rsidR="00CF5327" w:rsidRPr="0096398C">
        <w:rPr>
          <w:b/>
          <w:sz w:val="18"/>
          <w:szCs w:val="18"/>
          <w:lang w:val="en-US"/>
        </w:rPr>
        <w:t>EX</w:t>
      </w:r>
      <w:r w:rsidRPr="0096398C">
        <w:rPr>
          <w:b/>
          <w:sz w:val="18"/>
          <w:szCs w:val="18"/>
          <w:lang w:val="en-US"/>
        </w:rPr>
        <w:t>O</w:t>
      </w:r>
      <w:r w:rsidR="00CF5327" w:rsidRPr="0096398C">
        <w:rPr>
          <w:b/>
          <w:sz w:val="18"/>
          <w:szCs w:val="18"/>
          <w:lang w:val="en-US"/>
        </w:rPr>
        <w:t xml:space="preserve"> X (</w:t>
      </w:r>
      <w:r w:rsidRPr="0096398C">
        <w:rPr>
          <w:b/>
          <w:sz w:val="18"/>
          <w:szCs w:val="18"/>
          <w:lang w:val="en-US"/>
        </w:rPr>
        <w:t>CONT.</w:t>
      </w:r>
      <w:r w:rsidR="00CF5327" w:rsidRPr="0096398C">
        <w:rPr>
          <w:b/>
          <w:sz w:val="18"/>
          <w:szCs w:val="18"/>
          <w:lang w:val="en-US"/>
        </w:rPr>
        <w:t>)</w:t>
      </w:r>
    </w:p>
    <w:p w:rsidR="00C57CE4" w:rsidRPr="0096398C" w:rsidRDefault="0096398C" w:rsidP="00C57CE4">
      <w:pPr>
        <w:ind w:left="-284"/>
        <w:rPr>
          <w:highlight w:val="lightGray"/>
          <w:lang w:val="en-US"/>
        </w:rPr>
        <w:sectPr w:rsidR="00C57CE4" w:rsidRPr="0096398C" w:rsidSect="0096398C">
          <w:pgSz w:w="16839" w:h="11907" w:orient="landscape" w:code="9"/>
          <w:pgMar w:top="1418" w:right="624" w:bottom="1418" w:left="1361" w:header="624" w:footer="595" w:gutter="0"/>
          <w:cols w:space="720"/>
          <w:docGrid w:linePitch="360"/>
        </w:sectPr>
      </w:pPr>
      <w:r w:rsidRPr="0096398C">
        <w:rPr>
          <w:noProof/>
          <w:lang w:val="en-US" w:eastAsia="en-US"/>
        </w:rPr>
        <w:drawing>
          <wp:inline distT="0" distB="0" distL="0" distR="0" wp14:anchorId="76038E05" wp14:editId="016C5F2A">
            <wp:extent cx="9429750" cy="55149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9429750" cy="5514975"/>
                    </a:xfrm>
                    <a:prstGeom prst="rect">
                      <a:avLst/>
                    </a:prstGeom>
                    <a:noFill/>
                    <a:ln>
                      <a:noFill/>
                    </a:ln>
                  </pic:spPr>
                </pic:pic>
              </a:graphicData>
            </a:graphic>
          </wp:inline>
        </w:drawing>
      </w:r>
    </w:p>
    <w:p w:rsidR="00C57CE4" w:rsidRPr="00444397" w:rsidRDefault="00444397" w:rsidP="0015313F">
      <w:pPr>
        <w:pStyle w:val="StyleHeading3ComplexItalic"/>
        <w:keepNext w:val="0"/>
        <w:tabs>
          <w:tab w:val="clear" w:pos="1985"/>
          <w:tab w:val="left" w:pos="1701"/>
        </w:tabs>
        <w:ind w:left="1701" w:hanging="1701"/>
        <w:rPr>
          <w:caps w:val="0"/>
          <w:lang w:val="es-ES"/>
        </w:rPr>
      </w:pPr>
      <w:bookmarkStart w:id="112" w:name="_Toc356567796"/>
      <w:bookmarkStart w:id="113" w:name="_Toc367350622"/>
      <w:bookmarkStart w:id="114" w:name="_Toc419283290"/>
      <w:bookmarkStart w:id="115" w:name="_Toc420681180"/>
      <w:r w:rsidRPr="00444397">
        <w:rPr>
          <w:caps w:val="0"/>
          <w:lang w:val="es-ES"/>
        </w:rPr>
        <w:lastRenderedPageBreak/>
        <w:t>AN</w:t>
      </w:r>
      <w:r w:rsidR="00C57CE4" w:rsidRPr="00444397">
        <w:rPr>
          <w:caps w:val="0"/>
          <w:lang w:val="es-ES"/>
        </w:rPr>
        <w:t>EX</w:t>
      </w:r>
      <w:r w:rsidRPr="00444397">
        <w:rPr>
          <w:caps w:val="0"/>
          <w:lang w:val="es-ES"/>
        </w:rPr>
        <w:t>O</w:t>
      </w:r>
      <w:r w:rsidR="00C57CE4" w:rsidRPr="00444397">
        <w:rPr>
          <w:caps w:val="0"/>
          <w:lang w:val="es-ES"/>
        </w:rPr>
        <w:t xml:space="preserve"> XI</w:t>
      </w:r>
      <w:r w:rsidR="00C57CE4" w:rsidRPr="00444397">
        <w:rPr>
          <w:caps w:val="0"/>
          <w:lang w:val="es-ES"/>
        </w:rPr>
        <w:tab/>
      </w:r>
      <w:r w:rsidRPr="00444397">
        <w:rPr>
          <w:caps w:val="0"/>
          <w:lang w:val="es-ES"/>
        </w:rPr>
        <w:t xml:space="preserve">PRESUPUESTO DE </w:t>
      </w:r>
      <w:r w:rsidR="00C57CE4" w:rsidRPr="00444397">
        <w:rPr>
          <w:caps w:val="0"/>
          <w:lang w:val="es-ES"/>
        </w:rPr>
        <w:t>2016/17</w:t>
      </w:r>
      <w:r w:rsidRPr="00444397">
        <w:rPr>
          <w:caps w:val="0"/>
          <w:lang w:val="es-ES"/>
        </w:rPr>
        <w:t>,</w:t>
      </w:r>
      <w:bookmarkEnd w:id="112"/>
      <w:bookmarkEnd w:id="113"/>
      <w:bookmarkEnd w:id="114"/>
      <w:r w:rsidRPr="00444397">
        <w:rPr>
          <w:caps w:val="0"/>
          <w:lang w:val="es-ES"/>
        </w:rPr>
        <w:t xml:space="preserve"> POR RESULTADO PREVISTO</w:t>
      </w:r>
      <w:bookmarkEnd w:id="115"/>
    </w:p>
    <w:p w:rsidR="00C57CE4" w:rsidRPr="00444397" w:rsidRDefault="00C57CE4" w:rsidP="0015313F">
      <w:pPr>
        <w:ind w:left="851" w:firstLine="850"/>
        <w:rPr>
          <w:i/>
          <w:sz w:val="20"/>
        </w:rPr>
      </w:pPr>
      <w:r w:rsidRPr="00444397">
        <w:rPr>
          <w:i/>
          <w:sz w:val="20"/>
        </w:rPr>
        <w:t>(</w:t>
      </w:r>
      <w:r w:rsidR="00444397" w:rsidRPr="00444397">
        <w:rPr>
          <w:i/>
          <w:sz w:val="20"/>
        </w:rPr>
        <w:t>en miles de francos suizos</w:t>
      </w:r>
      <w:r w:rsidRPr="00444397">
        <w:rPr>
          <w:i/>
          <w:sz w:val="20"/>
        </w:rPr>
        <w:t>)</w:t>
      </w:r>
    </w:p>
    <w:p w:rsidR="00C57CE4" w:rsidRPr="00444397" w:rsidRDefault="00C57CE4" w:rsidP="00C57CE4">
      <w:pPr>
        <w:autoSpaceDE w:val="0"/>
        <w:autoSpaceDN w:val="0"/>
        <w:adjustRightInd w:val="0"/>
        <w:rPr>
          <w:sz w:val="20"/>
          <w:highlight w:val="lightGray"/>
        </w:rPr>
      </w:pPr>
    </w:p>
    <w:p w:rsidR="00C57CE4" w:rsidRPr="0096398C" w:rsidRDefault="00444397" w:rsidP="00C57CE4">
      <w:pPr>
        <w:autoSpaceDE w:val="0"/>
        <w:autoSpaceDN w:val="0"/>
        <w:adjustRightInd w:val="0"/>
        <w:rPr>
          <w:sz w:val="20"/>
          <w:highlight w:val="lightGray"/>
          <w:lang w:val="en-US"/>
        </w:rPr>
      </w:pPr>
      <w:r w:rsidRPr="00444397">
        <w:rPr>
          <w:noProof/>
          <w:lang w:val="en-US" w:eastAsia="en-US"/>
        </w:rPr>
        <w:drawing>
          <wp:inline distT="0" distB="0" distL="0" distR="0" wp14:anchorId="6A43752C" wp14:editId="38F3082E">
            <wp:extent cx="5760085" cy="800164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5760085" cy="8001649"/>
                    </a:xfrm>
                    <a:prstGeom prst="rect">
                      <a:avLst/>
                    </a:prstGeom>
                    <a:noFill/>
                    <a:ln>
                      <a:noFill/>
                    </a:ln>
                  </pic:spPr>
                </pic:pic>
              </a:graphicData>
            </a:graphic>
          </wp:inline>
        </w:drawing>
      </w:r>
    </w:p>
    <w:p w:rsidR="00C57CE4" w:rsidRPr="0096398C" w:rsidRDefault="00C57CE4" w:rsidP="00C57CE4">
      <w:pPr>
        <w:rPr>
          <w:sz w:val="20"/>
          <w:highlight w:val="lightGray"/>
          <w:lang w:val="en-US"/>
        </w:rPr>
      </w:pPr>
      <w:r w:rsidRPr="0096398C">
        <w:rPr>
          <w:sz w:val="20"/>
          <w:highlight w:val="lightGray"/>
          <w:lang w:val="en-US"/>
        </w:rPr>
        <w:br w:type="page"/>
      </w:r>
    </w:p>
    <w:p w:rsidR="00C57CE4" w:rsidRPr="005101AB" w:rsidRDefault="00444397" w:rsidP="00C57CE4">
      <w:pPr>
        <w:autoSpaceDE w:val="0"/>
        <w:autoSpaceDN w:val="0"/>
        <w:adjustRightInd w:val="0"/>
        <w:rPr>
          <w:b/>
          <w:sz w:val="20"/>
        </w:rPr>
      </w:pPr>
      <w:r w:rsidRPr="005101AB">
        <w:rPr>
          <w:b/>
          <w:sz w:val="20"/>
        </w:rPr>
        <w:lastRenderedPageBreak/>
        <w:t>An</w:t>
      </w:r>
      <w:r w:rsidR="00C57CE4" w:rsidRPr="005101AB">
        <w:rPr>
          <w:b/>
          <w:sz w:val="20"/>
        </w:rPr>
        <w:t>ex</w:t>
      </w:r>
      <w:r w:rsidRPr="005101AB">
        <w:rPr>
          <w:b/>
          <w:sz w:val="20"/>
        </w:rPr>
        <w:t>o</w:t>
      </w:r>
      <w:r w:rsidR="00C57CE4" w:rsidRPr="005101AB">
        <w:rPr>
          <w:b/>
          <w:sz w:val="20"/>
        </w:rPr>
        <w:t xml:space="preserve"> XI</w:t>
      </w:r>
      <w:r w:rsidR="00400FAC" w:rsidRPr="005101AB">
        <w:rPr>
          <w:b/>
          <w:sz w:val="20"/>
        </w:rPr>
        <w:t>,</w:t>
      </w:r>
      <w:r w:rsidR="00C57CE4" w:rsidRPr="005101AB">
        <w:rPr>
          <w:b/>
          <w:sz w:val="20"/>
        </w:rPr>
        <w:t xml:space="preserve"> </w:t>
      </w:r>
      <w:r w:rsidR="00400FAC" w:rsidRPr="005101AB">
        <w:rPr>
          <w:b/>
          <w:sz w:val="20"/>
        </w:rPr>
        <w:t>continuación</w:t>
      </w:r>
    </w:p>
    <w:p w:rsidR="00C57CE4" w:rsidRPr="005101AB" w:rsidRDefault="00C57CE4" w:rsidP="00C57CE4">
      <w:pPr>
        <w:autoSpaceDE w:val="0"/>
        <w:autoSpaceDN w:val="0"/>
        <w:adjustRightInd w:val="0"/>
        <w:rPr>
          <w:sz w:val="20"/>
          <w:highlight w:val="lightGray"/>
        </w:rPr>
      </w:pPr>
    </w:p>
    <w:p w:rsidR="00C57CE4" w:rsidRPr="0096398C" w:rsidRDefault="00400FAC" w:rsidP="00C57CE4">
      <w:pPr>
        <w:autoSpaceDE w:val="0"/>
        <w:autoSpaceDN w:val="0"/>
        <w:adjustRightInd w:val="0"/>
        <w:rPr>
          <w:sz w:val="20"/>
          <w:highlight w:val="lightGray"/>
          <w:lang w:val="en-US"/>
        </w:rPr>
      </w:pPr>
      <w:r w:rsidRPr="00400FAC">
        <w:rPr>
          <w:noProof/>
          <w:lang w:val="en-US" w:eastAsia="en-US"/>
        </w:rPr>
        <w:drawing>
          <wp:inline distT="0" distB="0" distL="0" distR="0" wp14:anchorId="28878EA7" wp14:editId="737857B5">
            <wp:extent cx="5760085" cy="7082975"/>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5760085" cy="7082975"/>
                    </a:xfrm>
                    <a:prstGeom prst="rect">
                      <a:avLst/>
                    </a:prstGeom>
                    <a:noFill/>
                    <a:ln>
                      <a:noFill/>
                    </a:ln>
                  </pic:spPr>
                </pic:pic>
              </a:graphicData>
            </a:graphic>
          </wp:inline>
        </w:drawing>
      </w:r>
    </w:p>
    <w:p w:rsidR="00C57CE4" w:rsidRPr="0096398C" w:rsidRDefault="00C57CE4" w:rsidP="00C57CE4">
      <w:pPr>
        <w:autoSpaceDE w:val="0"/>
        <w:autoSpaceDN w:val="0"/>
        <w:adjustRightInd w:val="0"/>
        <w:rPr>
          <w:sz w:val="20"/>
          <w:highlight w:val="lightGray"/>
          <w:lang w:val="en-US"/>
        </w:rPr>
      </w:pPr>
    </w:p>
    <w:p w:rsidR="00C57CE4" w:rsidRPr="0096398C" w:rsidRDefault="00C57CE4" w:rsidP="00C57CE4">
      <w:pPr>
        <w:rPr>
          <w:sz w:val="20"/>
          <w:highlight w:val="lightGray"/>
          <w:lang w:val="en-US"/>
        </w:rPr>
      </w:pPr>
      <w:r w:rsidRPr="0096398C">
        <w:rPr>
          <w:sz w:val="20"/>
          <w:highlight w:val="lightGray"/>
          <w:lang w:val="en-US"/>
        </w:rPr>
        <w:br w:type="page"/>
      </w:r>
    </w:p>
    <w:p w:rsidR="00C57CE4" w:rsidRPr="00400FAC" w:rsidRDefault="00400FAC" w:rsidP="00C57CE4">
      <w:pPr>
        <w:autoSpaceDE w:val="0"/>
        <w:autoSpaceDN w:val="0"/>
        <w:adjustRightInd w:val="0"/>
        <w:rPr>
          <w:b/>
          <w:sz w:val="20"/>
          <w:lang w:val="en-US"/>
        </w:rPr>
      </w:pPr>
      <w:r w:rsidRPr="00400FAC">
        <w:rPr>
          <w:b/>
          <w:sz w:val="20"/>
          <w:lang w:val="en-US"/>
        </w:rPr>
        <w:lastRenderedPageBreak/>
        <w:t>An</w:t>
      </w:r>
      <w:r w:rsidR="00C57CE4" w:rsidRPr="00400FAC">
        <w:rPr>
          <w:b/>
          <w:sz w:val="20"/>
          <w:lang w:val="en-US"/>
        </w:rPr>
        <w:t>ex</w:t>
      </w:r>
      <w:r w:rsidRPr="00400FAC">
        <w:rPr>
          <w:b/>
          <w:sz w:val="20"/>
          <w:lang w:val="en-US"/>
        </w:rPr>
        <w:t>o</w:t>
      </w:r>
      <w:r w:rsidR="00C57CE4" w:rsidRPr="00400FAC">
        <w:rPr>
          <w:b/>
          <w:sz w:val="20"/>
          <w:lang w:val="en-US"/>
        </w:rPr>
        <w:t xml:space="preserve"> XI</w:t>
      </w:r>
      <w:r w:rsidRPr="00400FAC">
        <w:rPr>
          <w:b/>
          <w:sz w:val="20"/>
          <w:lang w:val="en-US"/>
        </w:rPr>
        <w:t>,</w:t>
      </w:r>
      <w:r w:rsidR="00C57CE4" w:rsidRPr="00400FAC">
        <w:rPr>
          <w:b/>
          <w:sz w:val="20"/>
          <w:lang w:val="en-US"/>
        </w:rPr>
        <w:t xml:space="preserve"> </w:t>
      </w:r>
      <w:r w:rsidRPr="00400FAC">
        <w:rPr>
          <w:b/>
          <w:sz w:val="20"/>
          <w:lang w:val="en-US"/>
        </w:rPr>
        <w:t>continuación</w:t>
      </w:r>
    </w:p>
    <w:p w:rsidR="00C57CE4" w:rsidRPr="0096398C" w:rsidRDefault="00C57CE4" w:rsidP="00C57CE4">
      <w:pPr>
        <w:autoSpaceDE w:val="0"/>
        <w:autoSpaceDN w:val="0"/>
        <w:adjustRightInd w:val="0"/>
        <w:rPr>
          <w:sz w:val="20"/>
          <w:highlight w:val="lightGray"/>
          <w:lang w:val="en-US"/>
        </w:rPr>
      </w:pPr>
    </w:p>
    <w:p w:rsidR="00C57CE4" w:rsidRPr="0096398C" w:rsidRDefault="00400FAC" w:rsidP="00C57CE4">
      <w:pPr>
        <w:autoSpaceDE w:val="0"/>
        <w:autoSpaceDN w:val="0"/>
        <w:adjustRightInd w:val="0"/>
        <w:rPr>
          <w:sz w:val="20"/>
          <w:lang w:val="en-US"/>
        </w:rPr>
      </w:pPr>
      <w:r w:rsidRPr="00400FAC">
        <w:rPr>
          <w:noProof/>
          <w:lang w:val="en-US" w:eastAsia="en-US"/>
        </w:rPr>
        <w:drawing>
          <wp:inline distT="0" distB="0" distL="0" distR="0" wp14:anchorId="1D05FB8A" wp14:editId="098FA033">
            <wp:extent cx="5760085" cy="3343973"/>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5760085" cy="3343973"/>
                    </a:xfrm>
                    <a:prstGeom prst="rect">
                      <a:avLst/>
                    </a:prstGeom>
                    <a:noFill/>
                    <a:ln>
                      <a:noFill/>
                    </a:ln>
                  </pic:spPr>
                </pic:pic>
              </a:graphicData>
            </a:graphic>
          </wp:inline>
        </w:drawing>
      </w:r>
    </w:p>
    <w:p w:rsidR="00C57CE4" w:rsidRPr="0096398C" w:rsidRDefault="00C57CE4" w:rsidP="00C57CE4">
      <w:pPr>
        <w:autoSpaceDE w:val="0"/>
        <w:autoSpaceDN w:val="0"/>
        <w:adjustRightInd w:val="0"/>
        <w:rPr>
          <w:sz w:val="20"/>
          <w:lang w:val="en-US"/>
        </w:rPr>
      </w:pPr>
    </w:p>
    <w:p w:rsidR="006561C8" w:rsidRPr="0096398C" w:rsidRDefault="006561C8" w:rsidP="00C57CE4">
      <w:pPr>
        <w:rPr>
          <w:lang w:val="en-US"/>
        </w:rPr>
        <w:sectPr w:rsidR="006561C8" w:rsidRPr="0096398C" w:rsidSect="00C57CE4">
          <w:pgSz w:w="11907" w:h="16839" w:code="9"/>
          <w:pgMar w:top="624" w:right="1418" w:bottom="1361" w:left="1418" w:header="624" w:footer="907" w:gutter="0"/>
          <w:cols w:space="720"/>
          <w:docGrid w:linePitch="360"/>
        </w:sectPr>
      </w:pPr>
    </w:p>
    <w:p w:rsidR="006561C8" w:rsidRPr="00B224EF" w:rsidRDefault="006561C8" w:rsidP="0015313F">
      <w:pPr>
        <w:pStyle w:val="StyleHeading3ComplexItalic"/>
        <w:keepNext w:val="0"/>
        <w:tabs>
          <w:tab w:val="clear" w:pos="1985"/>
          <w:tab w:val="left" w:pos="1701"/>
        </w:tabs>
        <w:ind w:left="1701" w:hanging="1701"/>
        <w:rPr>
          <w:caps w:val="0"/>
          <w:sz w:val="18"/>
          <w:lang w:val="es-ES"/>
        </w:rPr>
      </w:pPr>
      <w:bookmarkStart w:id="116" w:name="_Toc356567797"/>
      <w:bookmarkStart w:id="117" w:name="_Toc367350623"/>
      <w:bookmarkStart w:id="118" w:name="_Toc419283291"/>
      <w:bookmarkStart w:id="119" w:name="_Toc420681181"/>
      <w:r w:rsidRPr="00B224EF">
        <w:rPr>
          <w:caps w:val="0"/>
          <w:lang w:val="es-ES"/>
        </w:rPr>
        <w:lastRenderedPageBreak/>
        <w:t>ANEX</w:t>
      </w:r>
      <w:r w:rsidR="00B224EF" w:rsidRPr="00B224EF">
        <w:rPr>
          <w:caps w:val="0"/>
          <w:lang w:val="es-ES"/>
        </w:rPr>
        <w:t>O</w:t>
      </w:r>
      <w:r w:rsidRPr="00B224EF">
        <w:rPr>
          <w:caps w:val="0"/>
          <w:lang w:val="es-ES"/>
        </w:rPr>
        <w:t xml:space="preserve"> XII</w:t>
      </w:r>
      <w:r w:rsidRPr="00B224EF">
        <w:rPr>
          <w:caps w:val="0"/>
          <w:lang w:val="es-ES"/>
        </w:rPr>
        <w:tab/>
        <w:t>ORGANIGRAM</w:t>
      </w:r>
      <w:bookmarkEnd w:id="116"/>
      <w:bookmarkEnd w:id="117"/>
      <w:bookmarkEnd w:id="118"/>
      <w:r w:rsidR="00B224EF" w:rsidRPr="00B224EF">
        <w:rPr>
          <w:caps w:val="0"/>
          <w:lang w:val="es-ES"/>
        </w:rPr>
        <w:t>A DE LA OMPI</w:t>
      </w:r>
      <w:bookmarkEnd w:id="119"/>
    </w:p>
    <w:p w:rsidR="006561C8" w:rsidRPr="00B224EF" w:rsidRDefault="006561C8" w:rsidP="006561C8">
      <w:pPr>
        <w:autoSpaceDE w:val="0"/>
        <w:autoSpaceDN w:val="0"/>
        <w:adjustRightInd w:val="0"/>
        <w:rPr>
          <w:noProof/>
          <w:highlight w:val="lightGray"/>
          <w:lang w:eastAsia="en-US"/>
        </w:rPr>
      </w:pPr>
    </w:p>
    <w:p w:rsidR="00E55948" w:rsidRDefault="000B01F1" w:rsidP="00995192">
      <w:pPr>
        <w:autoSpaceDE w:val="0"/>
        <w:autoSpaceDN w:val="0"/>
        <w:adjustRightInd w:val="0"/>
        <w:ind w:left="-284"/>
        <w:jc w:val="center"/>
        <w:rPr>
          <w:lang w:val="en-US"/>
        </w:rPr>
      </w:pPr>
      <w:r w:rsidRPr="000B01F1">
        <w:rPr>
          <w:noProof/>
          <w:lang w:val="en-US" w:eastAsia="en-US"/>
        </w:rPr>
        <w:drawing>
          <wp:inline distT="0" distB="0" distL="0" distR="0" wp14:anchorId="084010A8" wp14:editId="1CCBB17C">
            <wp:extent cx="8538358" cy="575560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8545459" cy="5760393"/>
                    </a:xfrm>
                    <a:prstGeom prst="rect">
                      <a:avLst/>
                    </a:prstGeom>
                    <a:noFill/>
                    <a:ln>
                      <a:noFill/>
                    </a:ln>
                  </pic:spPr>
                </pic:pic>
              </a:graphicData>
            </a:graphic>
          </wp:inline>
        </w:drawing>
      </w:r>
    </w:p>
    <w:p w:rsidR="006561C8" w:rsidRDefault="006561C8" w:rsidP="00C57CE4">
      <w:pPr>
        <w:rPr>
          <w:lang w:val="en-US"/>
        </w:rPr>
        <w:sectPr w:rsidR="006561C8" w:rsidSect="00EA7557">
          <w:headerReference w:type="default" r:id="rId333"/>
          <w:footerReference w:type="default" r:id="rId334"/>
          <w:pgSz w:w="16839" w:h="11907" w:orient="landscape" w:code="9"/>
          <w:pgMar w:top="1126" w:right="624" w:bottom="993" w:left="1361" w:header="624" w:footer="590" w:gutter="0"/>
          <w:cols w:space="720"/>
          <w:docGrid w:linePitch="360"/>
        </w:sectPr>
      </w:pPr>
    </w:p>
    <w:p w:rsidR="006561C8" w:rsidRPr="003F76B4" w:rsidRDefault="006561C8" w:rsidP="006561C8">
      <w:pPr>
        <w:pStyle w:val="Heading1"/>
        <w:keepNext w:val="0"/>
        <w:rPr>
          <w:szCs w:val="22"/>
        </w:rPr>
      </w:pPr>
      <w:bookmarkStart w:id="120" w:name="_Toc293334850"/>
      <w:bookmarkStart w:id="121" w:name="_Toc298920432"/>
      <w:bookmarkStart w:id="122" w:name="_Toc310950812"/>
      <w:bookmarkStart w:id="123" w:name="_Toc356567798"/>
      <w:bookmarkStart w:id="124" w:name="_Toc367350624"/>
      <w:bookmarkStart w:id="125" w:name="_Toc419283292"/>
      <w:bookmarkStart w:id="126" w:name="_Toc420681182"/>
      <w:r w:rsidRPr="003F76B4">
        <w:rPr>
          <w:szCs w:val="22"/>
        </w:rPr>
        <w:lastRenderedPageBreak/>
        <w:t>IV.</w:t>
      </w:r>
      <w:r w:rsidRPr="003F76B4">
        <w:rPr>
          <w:szCs w:val="22"/>
        </w:rPr>
        <w:tab/>
        <w:t>APÉNDICES</w:t>
      </w:r>
      <w:bookmarkEnd w:id="120"/>
      <w:bookmarkEnd w:id="121"/>
      <w:bookmarkEnd w:id="122"/>
      <w:bookmarkEnd w:id="123"/>
      <w:bookmarkEnd w:id="124"/>
      <w:bookmarkEnd w:id="125"/>
      <w:bookmarkEnd w:id="126"/>
    </w:p>
    <w:p w:rsidR="006561C8" w:rsidRPr="003F76B4" w:rsidRDefault="006561C8" w:rsidP="006561C8">
      <w:pPr>
        <w:rPr>
          <w:szCs w:val="22"/>
        </w:rPr>
      </w:pPr>
    </w:p>
    <w:p w:rsidR="006561C8" w:rsidRPr="009B3DE5" w:rsidRDefault="006561C8"/>
    <w:p w:rsidR="006561C8" w:rsidRPr="008857F9" w:rsidRDefault="00984EFC" w:rsidP="006561C8">
      <w:pPr>
        <w:pStyle w:val="StyleHeading3ComplexItalic"/>
        <w:keepNext w:val="0"/>
        <w:tabs>
          <w:tab w:val="clear" w:pos="1985"/>
          <w:tab w:val="left" w:pos="0"/>
        </w:tabs>
        <w:rPr>
          <w:lang w:val="es-ES"/>
        </w:rPr>
      </w:pPr>
      <w:bookmarkStart w:id="127" w:name="_Toc420681183"/>
      <w:r w:rsidRPr="008857F9">
        <w:rPr>
          <w:caps w:val="0"/>
          <w:lang w:val="es-ES"/>
        </w:rPr>
        <w:t>APÉNDICE A</w:t>
      </w:r>
      <w:r w:rsidRPr="008857F9">
        <w:rPr>
          <w:caps w:val="0"/>
          <w:lang w:val="es-ES"/>
        </w:rPr>
        <w:br/>
        <w:t>CONTRIBUCIONES DE LOS ESTADOS MIEMBROS</w:t>
      </w:r>
      <w:bookmarkEnd w:id="127"/>
    </w:p>
    <w:p w:rsidR="006561C8" w:rsidRPr="008857F9" w:rsidRDefault="006561C8" w:rsidP="006561C8">
      <w:pPr>
        <w:rPr>
          <w:sz w:val="20"/>
        </w:rPr>
      </w:pPr>
      <w:r w:rsidRPr="008857F9">
        <w:rPr>
          <w:sz w:val="20"/>
        </w:rPr>
        <w:t>(en francos suizos)</w:t>
      </w:r>
    </w:p>
    <w:p w:rsidR="006561C8" w:rsidRPr="008857F9" w:rsidRDefault="006561C8" w:rsidP="006561C8">
      <w:pPr>
        <w:autoSpaceDE w:val="0"/>
        <w:autoSpaceDN w:val="0"/>
        <w:adjustRightInd w:val="0"/>
        <w:rPr>
          <w:sz w:val="20"/>
        </w:rPr>
      </w:pPr>
    </w:p>
    <w:p w:rsidR="006561C8" w:rsidRPr="008857F9" w:rsidRDefault="006561C8" w:rsidP="006561C8">
      <w:pPr>
        <w:autoSpaceDE w:val="0"/>
        <w:autoSpaceDN w:val="0"/>
        <w:adjustRightInd w:val="0"/>
        <w:rPr>
          <w:sz w:val="20"/>
        </w:rPr>
      </w:pPr>
    </w:p>
    <w:tbl>
      <w:tblPr>
        <w:tblW w:w="9576" w:type="dxa"/>
        <w:tblInd w:w="-190" w:type="dxa"/>
        <w:tblLayout w:type="fixed"/>
        <w:tblCellMar>
          <w:left w:w="30" w:type="dxa"/>
          <w:right w:w="30" w:type="dxa"/>
        </w:tblCellMar>
        <w:tblLook w:val="0000" w:firstRow="0" w:lastRow="0" w:firstColumn="0" w:lastColumn="0" w:noHBand="0" w:noVBand="0"/>
      </w:tblPr>
      <w:tblGrid>
        <w:gridCol w:w="2750"/>
        <w:gridCol w:w="1430"/>
        <w:gridCol w:w="1210"/>
        <w:gridCol w:w="1320"/>
        <w:gridCol w:w="1430"/>
        <w:gridCol w:w="1320"/>
        <w:gridCol w:w="116"/>
      </w:tblGrid>
      <w:tr w:rsidR="006561C8" w:rsidRPr="008857F9" w:rsidTr="001914A4">
        <w:trPr>
          <w:trHeight w:val="200"/>
          <w:tblHeader/>
        </w:trPr>
        <w:tc>
          <w:tcPr>
            <w:tcW w:w="2750" w:type="dxa"/>
            <w:shd w:val="pct15" w:color="auto" w:fill="FFFFFF"/>
          </w:tcPr>
          <w:p w:rsidR="006561C8" w:rsidRPr="006561C8" w:rsidRDefault="006561C8" w:rsidP="001914A4">
            <w:pPr>
              <w:spacing w:before="60"/>
              <w:jc w:val="center"/>
              <w:rPr>
                <w:b/>
                <w:snapToGrid w:val="0"/>
                <w:sz w:val="18"/>
                <w:szCs w:val="18"/>
              </w:rPr>
            </w:pPr>
            <w:r w:rsidRPr="006561C8">
              <w:rPr>
                <w:b/>
                <w:snapToGrid w:val="0"/>
                <w:sz w:val="18"/>
                <w:szCs w:val="18"/>
              </w:rPr>
              <w:t>Estados miembros</w:t>
            </w:r>
            <w:r w:rsidRPr="006561C8">
              <w:rPr>
                <w:b/>
                <w:snapToGrid w:val="0"/>
                <w:sz w:val="18"/>
                <w:szCs w:val="18"/>
              </w:rPr>
              <w:br/>
              <w:t>de una o más</w:t>
            </w:r>
          </w:p>
        </w:tc>
        <w:tc>
          <w:tcPr>
            <w:tcW w:w="1430" w:type="dxa"/>
            <w:vMerge w:val="restart"/>
            <w:shd w:val="pct15" w:color="auto" w:fill="FFFFFF"/>
            <w:vAlign w:val="center"/>
          </w:tcPr>
          <w:p w:rsidR="006561C8" w:rsidRPr="006561C8" w:rsidRDefault="006561C8" w:rsidP="001914A4">
            <w:pPr>
              <w:spacing w:before="60"/>
              <w:jc w:val="center"/>
              <w:rPr>
                <w:b/>
                <w:snapToGrid w:val="0"/>
                <w:sz w:val="17"/>
                <w:szCs w:val="17"/>
              </w:rPr>
            </w:pPr>
            <w:r w:rsidRPr="006561C8">
              <w:rPr>
                <w:b/>
                <w:snapToGrid w:val="0"/>
                <w:sz w:val="17"/>
                <w:szCs w:val="17"/>
              </w:rPr>
              <w:t>Clase de contribución</w:t>
            </w:r>
          </w:p>
        </w:tc>
        <w:tc>
          <w:tcPr>
            <w:tcW w:w="1210" w:type="dxa"/>
            <w:vMerge w:val="restart"/>
            <w:shd w:val="pct15" w:color="auto" w:fill="FFFFFF"/>
            <w:vAlign w:val="center"/>
          </w:tcPr>
          <w:p w:rsidR="006561C8" w:rsidRPr="006561C8" w:rsidRDefault="006561C8" w:rsidP="001914A4">
            <w:pPr>
              <w:spacing w:before="60"/>
              <w:jc w:val="center"/>
              <w:rPr>
                <w:b/>
                <w:snapToGrid w:val="0"/>
                <w:sz w:val="18"/>
                <w:szCs w:val="18"/>
              </w:rPr>
            </w:pPr>
            <w:r w:rsidRPr="006561C8">
              <w:rPr>
                <w:b/>
                <w:snapToGrid w:val="0"/>
                <w:sz w:val="18"/>
                <w:szCs w:val="18"/>
              </w:rPr>
              <w:t>Unidades de contribución</w:t>
            </w:r>
          </w:p>
          <w:p w:rsidR="006561C8" w:rsidRPr="006561C8" w:rsidRDefault="006561C8" w:rsidP="001914A4">
            <w:pPr>
              <w:spacing w:before="60"/>
              <w:jc w:val="center"/>
              <w:rPr>
                <w:b/>
                <w:snapToGrid w:val="0"/>
                <w:sz w:val="18"/>
                <w:szCs w:val="18"/>
              </w:rPr>
            </w:pPr>
            <w:r w:rsidRPr="006561C8">
              <w:rPr>
                <w:b/>
                <w:snapToGrid w:val="0"/>
                <w:sz w:val="18"/>
                <w:szCs w:val="18"/>
              </w:rPr>
              <w:t>2016/17</w:t>
            </w:r>
          </w:p>
        </w:tc>
        <w:tc>
          <w:tcPr>
            <w:tcW w:w="1320" w:type="dxa"/>
            <w:vMerge w:val="restart"/>
            <w:shd w:val="pct15" w:color="auto" w:fill="FFFFFF"/>
            <w:vAlign w:val="center"/>
          </w:tcPr>
          <w:p w:rsidR="006561C8" w:rsidRPr="006561C8" w:rsidRDefault="006561C8" w:rsidP="001914A4">
            <w:pPr>
              <w:spacing w:before="60"/>
              <w:jc w:val="center"/>
              <w:rPr>
                <w:b/>
                <w:snapToGrid w:val="0"/>
                <w:sz w:val="18"/>
                <w:szCs w:val="18"/>
              </w:rPr>
            </w:pPr>
            <w:r w:rsidRPr="006561C8">
              <w:rPr>
                <w:b/>
                <w:snapToGrid w:val="0"/>
                <w:sz w:val="18"/>
                <w:szCs w:val="18"/>
              </w:rPr>
              <w:t>Contribución</w:t>
            </w:r>
            <w:r w:rsidRPr="006561C8">
              <w:rPr>
                <w:b/>
                <w:snapToGrid w:val="0"/>
                <w:sz w:val="18"/>
                <w:szCs w:val="18"/>
                <w:vertAlign w:val="superscript"/>
              </w:rPr>
              <w:t>1</w:t>
            </w:r>
          </w:p>
          <w:p w:rsidR="006561C8" w:rsidRPr="006561C8" w:rsidRDefault="006561C8" w:rsidP="001914A4">
            <w:pPr>
              <w:spacing w:before="60"/>
              <w:jc w:val="center"/>
              <w:rPr>
                <w:b/>
                <w:snapToGrid w:val="0"/>
                <w:sz w:val="18"/>
                <w:szCs w:val="18"/>
              </w:rPr>
            </w:pPr>
            <w:r w:rsidRPr="006561C8">
              <w:rPr>
                <w:b/>
                <w:snapToGrid w:val="0"/>
                <w:sz w:val="18"/>
                <w:szCs w:val="18"/>
              </w:rPr>
              <w:t>2016</w:t>
            </w:r>
          </w:p>
        </w:tc>
        <w:tc>
          <w:tcPr>
            <w:tcW w:w="1430" w:type="dxa"/>
            <w:vMerge w:val="restart"/>
            <w:shd w:val="pct15" w:color="auto" w:fill="FFFFFF"/>
            <w:vAlign w:val="center"/>
          </w:tcPr>
          <w:p w:rsidR="006561C8" w:rsidRPr="006561C8" w:rsidRDefault="006561C8" w:rsidP="001914A4">
            <w:pPr>
              <w:spacing w:before="60"/>
              <w:jc w:val="center"/>
              <w:rPr>
                <w:b/>
                <w:snapToGrid w:val="0"/>
                <w:sz w:val="18"/>
                <w:szCs w:val="18"/>
              </w:rPr>
            </w:pPr>
            <w:r w:rsidRPr="006561C8">
              <w:rPr>
                <w:b/>
                <w:snapToGrid w:val="0"/>
                <w:sz w:val="18"/>
                <w:szCs w:val="18"/>
              </w:rPr>
              <w:t>Contribución</w:t>
            </w:r>
            <w:r w:rsidRPr="006561C8">
              <w:rPr>
                <w:b/>
                <w:snapToGrid w:val="0"/>
                <w:sz w:val="18"/>
                <w:szCs w:val="18"/>
                <w:vertAlign w:val="superscript"/>
              </w:rPr>
              <w:t>1</w:t>
            </w:r>
          </w:p>
          <w:p w:rsidR="006561C8" w:rsidRPr="006561C8" w:rsidRDefault="006561C8" w:rsidP="001914A4">
            <w:pPr>
              <w:spacing w:before="60"/>
              <w:jc w:val="center"/>
              <w:rPr>
                <w:b/>
                <w:snapToGrid w:val="0"/>
                <w:sz w:val="18"/>
                <w:szCs w:val="18"/>
              </w:rPr>
            </w:pPr>
            <w:r w:rsidRPr="006561C8">
              <w:rPr>
                <w:b/>
                <w:snapToGrid w:val="0"/>
                <w:sz w:val="18"/>
                <w:szCs w:val="18"/>
              </w:rPr>
              <w:t>2017</w:t>
            </w:r>
          </w:p>
        </w:tc>
        <w:tc>
          <w:tcPr>
            <w:tcW w:w="1436" w:type="dxa"/>
            <w:gridSpan w:val="2"/>
            <w:vMerge w:val="restart"/>
            <w:shd w:val="pct15" w:color="auto" w:fill="FFFFFF"/>
            <w:vAlign w:val="center"/>
          </w:tcPr>
          <w:p w:rsidR="006561C8" w:rsidRPr="006561C8" w:rsidRDefault="006561C8" w:rsidP="001914A4">
            <w:pPr>
              <w:spacing w:before="60"/>
              <w:jc w:val="center"/>
              <w:rPr>
                <w:b/>
                <w:snapToGrid w:val="0"/>
                <w:sz w:val="18"/>
                <w:szCs w:val="18"/>
              </w:rPr>
            </w:pPr>
            <w:r w:rsidRPr="006561C8">
              <w:rPr>
                <w:b/>
                <w:snapToGrid w:val="0"/>
                <w:sz w:val="18"/>
                <w:szCs w:val="18"/>
              </w:rPr>
              <w:t>Contribuciones</w:t>
            </w:r>
          </w:p>
          <w:p w:rsidR="006561C8" w:rsidRPr="006561C8" w:rsidRDefault="006561C8" w:rsidP="001914A4">
            <w:pPr>
              <w:spacing w:before="60"/>
              <w:jc w:val="center"/>
              <w:rPr>
                <w:b/>
                <w:snapToGrid w:val="0"/>
                <w:sz w:val="18"/>
                <w:szCs w:val="18"/>
              </w:rPr>
            </w:pPr>
            <w:r w:rsidRPr="006561C8">
              <w:rPr>
                <w:b/>
                <w:snapToGrid w:val="0"/>
                <w:sz w:val="18"/>
                <w:szCs w:val="18"/>
              </w:rPr>
              <w:t>2016/17</w:t>
            </w:r>
          </w:p>
        </w:tc>
      </w:tr>
      <w:tr w:rsidR="006561C8" w:rsidRPr="008857F9" w:rsidTr="001914A4">
        <w:trPr>
          <w:trHeight w:val="200"/>
          <w:tblHeader/>
        </w:trPr>
        <w:tc>
          <w:tcPr>
            <w:tcW w:w="2750" w:type="dxa"/>
            <w:shd w:val="pct15" w:color="auto" w:fill="FFFFFF"/>
          </w:tcPr>
          <w:p w:rsidR="006561C8" w:rsidRPr="00FB0333" w:rsidRDefault="006561C8" w:rsidP="001914A4">
            <w:pPr>
              <w:pStyle w:val="Heading6"/>
              <w:tabs>
                <w:tab w:val="num" w:pos="0"/>
              </w:tabs>
              <w:ind w:left="-46" w:firstLine="46"/>
              <w:jc w:val="center"/>
              <w:rPr>
                <w:rFonts w:cs="Arial"/>
                <w:color w:val="auto"/>
                <w:sz w:val="17"/>
                <w:szCs w:val="17"/>
                <w:lang w:val="es-ES"/>
              </w:rPr>
            </w:pPr>
            <w:r w:rsidRPr="00FB0333">
              <w:rPr>
                <w:rFonts w:cs="Arial"/>
                <w:color w:val="244061" w:themeColor="accent1" w:themeShade="80"/>
                <w:sz w:val="17"/>
                <w:szCs w:val="17"/>
                <w:lang w:val="es-ES"/>
              </w:rPr>
              <w:t>Uniones financiadas por contribuciones</w:t>
            </w:r>
          </w:p>
        </w:tc>
        <w:tc>
          <w:tcPr>
            <w:tcW w:w="1430" w:type="dxa"/>
            <w:vMerge/>
            <w:shd w:val="pct15" w:color="auto" w:fill="FFFFFF"/>
          </w:tcPr>
          <w:p w:rsidR="006561C8" w:rsidRPr="008857F9" w:rsidRDefault="006561C8" w:rsidP="001914A4">
            <w:pPr>
              <w:spacing w:before="60"/>
              <w:jc w:val="center"/>
              <w:rPr>
                <w:b/>
                <w:snapToGrid w:val="0"/>
                <w:sz w:val="18"/>
                <w:szCs w:val="18"/>
              </w:rPr>
            </w:pPr>
          </w:p>
        </w:tc>
        <w:tc>
          <w:tcPr>
            <w:tcW w:w="1210" w:type="dxa"/>
            <w:vMerge/>
            <w:shd w:val="pct15" w:color="auto" w:fill="FFFFFF"/>
            <w:vAlign w:val="center"/>
          </w:tcPr>
          <w:p w:rsidR="006561C8" w:rsidRPr="008857F9" w:rsidRDefault="006561C8" w:rsidP="001914A4">
            <w:pPr>
              <w:spacing w:before="60"/>
              <w:jc w:val="center"/>
              <w:rPr>
                <w:b/>
                <w:snapToGrid w:val="0"/>
                <w:sz w:val="18"/>
                <w:szCs w:val="18"/>
              </w:rPr>
            </w:pPr>
          </w:p>
        </w:tc>
        <w:tc>
          <w:tcPr>
            <w:tcW w:w="1320" w:type="dxa"/>
            <w:vMerge/>
            <w:shd w:val="pct15" w:color="auto" w:fill="FFFFFF"/>
            <w:vAlign w:val="center"/>
          </w:tcPr>
          <w:p w:rsidR="006561C8" w:rsidRPr="008857F9" w:rsidRDefault="006561C8" w:rsidP="001914A4">
            <w:pPr>
              <w:spacing w:before="60"/>
              <w:jc w:val="center"/>
              <w:rPr>
                <w:b/>
                <w:snapToGrid w:val="0"/>
                <w:sz w:val="18"/>
                <w:szCs w:val="18"/>
              </w:rPr>
            </w:pPr>
          </w:p>
        </w:tc>
        <w:tc>
          <w:tcPr>
            <w:tcW w:w="1430" w:type="dxa"/>
            <w:vMerge/>
            <w:shd w:val="pct15" w:color="auto" w:fill="FFFFFF"/>
            <w:vAlign w:val="center"/>
          </w:tcPr>
          <w:p w:rsidR="006561C8" w:rsidRPr="008857F9" w:rsidRDefault="006561C8" w:rsidP="001914A4">
            <w:pPr>
              <w:spacing w:before="60"/>
              <w:jc w:val="center"/>
              <w:rPr>
                <w:b/>
                <w:snapToGrid w:val="0"/>
                <w:sz w:val="18"/>
                <w:szCs w:val="18"/>
              </w:rPr>
            </w:pPr>
          </w:p>
        </w:tc>
        <w:tc>
          <w:tcPr>
            <w:tcW w:w="1436" w:type="dxa"/>
            <w:gridSpan w:val="2"/>
            <w:vMerge/>
            <w:shd w:val="pct15" w:color="auto" w:fill="FFFFFF"/>
            <w:vAlign w:val="center"/>
          </w:tcPr>
          <w:p w:rsidR="006561C8" w:rsidRPr="008857F9" w:rsidRDefault="006561C8" w:rsidP="001914A4">
            <w:pPr>
              <w:spacing w:before="60"/>
              <w:jc w:val="center"/>
              <w:rPr>
                <w:b/>
                <w:snapToGrid w:val="0"/>
                <w:sz w:val="18"/>
                <w:szCs w:val="18"/>
              </w:rPr>
            </w:pP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A</w:t>
            </w:r>
            <w:r w:rsidRPr="008857F9">
              <w:rPr>
                <w:snapToGrid w:val="0"/>
                <w:sz w:val="18"/>
                <w:szCs w:val="18"/>
              </w:rPr>
              <w:t>fganistán</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Albania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Alemania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2.278.950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Andorra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Angola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Antigua y Barbuda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Arabia Saudita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Argelia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Argentina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182.316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Armenia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Australia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683.685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683.685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1.367.370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Austria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Azerbaiyán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B</w:t>
            </w:r>
            <w:r w:rsidRPr="008857F9">
              <w:rPr>
                <w:snapToGrid w:val="0"/>
                <w:sz w:val="18"/>
                <w:szCs w:val="18"/>
              </w:rPr>
              <w:t>ahamas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Bahrein</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Bangladesh</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Barbados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Belarús</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Bélgica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455.790</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455.790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911.580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Belice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Benin</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Bhután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Bolivia (Estado Plurinacional de)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Bosnia y Herzegovina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Botswana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Brasil</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182.316 </w:t>
            </w:r>
          </w:p>
        </w:tc>
      </w:tr>
      <w:tr w:rsidR="006561C8" w:rsidRPr="008857F9" w:rsidTr="001914A4">
        <w:trPr>
          <w:gridAfter w:val="1"/>
          <w:wAfter w:w="116" w:type="dxa"/>
        </w:trPr>
        <w:tc>
          <w:tcPr>
            <w:tcW w:w="2750" w:type="dxa"/>
            <w:shd w:val="clear" w:color="auto" w:fill="auto"/>
            <w:vAlign w:val="center"/>
          </w:tcPr>
          <w:p w:rsidR="006561C8" w:rsidRPr="008857F9" w:rsidRDefault="006561C8" w:rsidP="001914A4">
            <w:pPr>
              <w:rPr>
                <w:snapToGrid w:val="0"/>
                <w:sz w:val="18"/>
                <w:szCs w:val="18"/>
                <w:vertAlign w:val="superscript"/>
              </w:rPr>
            </w:pPr>
            <w:r w:rsidRPr="008857F9">
              <w:rPr>
                <w:snapToGrid w:val="0"/>
                <w:sz w:val="18"/>
                <w:szCs w:val="18"/>
              </w:rPr>
              <w:t xml:space="preserve">Brunei Darussalam </w:t>
            </w:r>
          </w:p>
        </w:tc>
        <w:tc>
          <w:tcPr>
            <w:tcW w:w="1430" w:type="dxa"/>
            <w:shd w:val="clear" w:color="auto" w:fill="auto"/>
            <w:vAlign w:val="center"/>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vAlign w:val="center"/>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vAlign w:val="center"/>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vAlign w:val="center"/>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vAlign w:val="center"/>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Bulgaria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182.316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Burkina Faso</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Burundi</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C</w:t>
            </w:r>
            <w:r w:rsidRPr="008857F9">
              <w:rPr>
                <w:snapToGrid w:val="0"/>
                <w:sz w:val="18"/>
                <w:szCs w:val="18"/>
              </w:rPr>
              <w:t>abo Verde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Camboya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Camerún</w:t>
            </w:r>
          </w:p>
        </w:tc>
        <w:tc>
          <w:tcPr>
            <w:tcW w:w="1430" w:type="dxa"/>
            <w:shd w:val="clear" w:color="auto" w:fill="auto"/>
          </w:tcPr>
          <w:p w:rsidR="006561C8" w:rsidRPr="008857F9" w:rsidRDefault="006561C8" w:rsidP="001914A4">
            <w:pPr>
              <w:rPr>
                <w:snapToGrid w:val="0"/>
                <w:sz w:val="18"/>
                <w:szCs w:val="18"/>
              </w:rPr>
            </w:pPr>
            <w:r w:rsidRPr="008857F9">
              <w:rPr>
                <w:snapToGrid w:val="0"/>
                <w:sz w:val="18"/>
                <w:szCs w:val="18"/>
              </w:rPr>
              <w:t xml:space="preserve">          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Canadá</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455.790</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455.790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911.580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Chad</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Chile</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China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Chipre</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Colombia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Comoras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Congo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Costa Rica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Côte d'Ivoire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Croacia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22.789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22.789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45.578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Cuba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D</w:t>
            </w:r>
            <w:r w:rsidRPr="008857F9">
              <w:rPr>
                <w:snapToGrid w:val="0"/>
                <w:sz w:val="18"/>
                <w:szCs w:val="18"/>
              </w:rPr>
              <w:t>inamarca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Djibouti</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Dominica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E</w:t>
            </w:r>
            <w:r w:rsidRPr="008857F9">
              <w:rPr>
                <w:snapToGrid w:val="0"/>
                <w:sz w:val="18"/>
                <w:szCs w:val="18"/>
              </w:rPr>
              <w:t>cuador</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Egipto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El Salvador</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Emiratos Árabes Unidos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lastRenderedPageBreak/>
              <w:t xml:space="preserve">Eritrea </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Eslovaquia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Eslovenia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España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Estados Unidos de América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2.278.950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Estonia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Etiopía </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ex República Yugoslava de Macedonia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F</w:t>
            </w:r>
            <w:r w:rsidRPr="008857F9">
              <w:rPr>
                <w:snapToGrid w:val="0"/>
                <w:sz w:val="18"/>
                <w:szCs w:val="18"/>
              </w:rPr>
              <w:t xml:space="preserve">ederación de Rusia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Fiji</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Filipinas</w:t>
            </w:r>
            <w:r w:rsidRPr="008857F9">
              <w:rPr>
                <w:snapToGrid w:val="0"/>
                <w:sz w:val="18"/>
                <w:szCs w:val="18"/>
                <w:vertAlign w:val="superscript"/>
              </w:rPr>
              <w:t xml:space="preserve">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Finlandia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Francia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2.278.950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G</w:t>
            </w:r>
            <w:r w:rsidRPr="008857F9">
              <w:rPr>
                <w:snapToGrid w:val="0"/>
                <w:sz w:val="18"/>
                <w:szCs w:val="18"/>
              </w:rPr>
              <w:t>abón</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Gambia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Georgia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Ghana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Granada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Grecia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Guatemala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Guinea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Guinea Ecuatorial</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Guinea-Bissau</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Guyana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H</w:t>
            </w:r>
            <w:r w:rsidRPr="008857F9">
              <w:rPr>
                <w:snapToGrid w:val="0"/>
                <w:sz w:val="18"/>
                <w:szCs w:val="18"/>
              </w:rPr>
              <w:t>aití</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Honduras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Hungría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I</w:t>
            </w:r>
            <w:r w:rsidRPr="008857F9">
              <w:rPr>
                <w:snapToGrid w:val="0"/>
                <w:sz w:val="18"/>
                <w:szCs w:val="18"/>
              </w:rPr>
              <w:t>ndia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182.316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Indonesia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Irán (República Islámica del)</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Iraq</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5.697</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5.697</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Irlanda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Islandia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Israel</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182.316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Italia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J</w:t>
            </w:r>
            <w:r w:rsidRPr="008857F9">
              <w:rPr>
                <w:snapToGrid w:val="0"/>
                <w:sz w:val="18"/>
                <w:szCs w:val="18"/>
              </w:rPr>
              <w:t>amaica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Japón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2.278.950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Jordania</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K</w:t>
            </w:r>
            <w:r w:rsidRPr="008857F9">
              <w:rPr>
                <w:snapToGrid w:val="0"/>
                <w:sz w:val="18"/>
                <w:szCs w:val="18"/>
              </w:rPr>
              <w:t>azajstán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Kenya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Kirguistán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Kiribati</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Kuwait</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L</w:t>
            </w:r>
            <w:r w:rsidRPr="008857F9">
              <w:rPr>
                <w:snapToGrid w:val="0"/>
                <w:sz w:val="18"/>
                <w:szCs w:val="18"/>
              </w:rPr>
              <w:t>esotho</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Letonia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Líbano</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Liberia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Libia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Liechtenstein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Lituania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Luxemburgo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M</w:t>
            </w:r>
            <w:r w:rsidRPr="008857F9">
              <w:rPr>
                <w:snapToGrid w:val="0"/>
                <w:sz w:val="18"/>
                <w:szCs w:val="18"/>
              </w:rPr>
              <w:t>adagascar</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Malasia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Malawi</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Maldivas </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Malí</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Malta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Marruecos</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Mauricio</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Mauritania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México</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Micronesia (Estados Federados de)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lastRenderedPageBreak/>
              <w:t>Mónaco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Mongolia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Montenegro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Mozambique</w:t>
            </w:r>
            <w:r w:rsidRPr="008857F9">
              <w:rPr>
                <w:snapToGrid w:val="0"/>
                <w:sz w:val="18"/>
                <w:szCs w:val="18"/>
                <w:vertAlign w:val="superscript"/>
              </w:rPr>
              <w:t xml:space="preserve">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Myanmar </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N</w:t>
            </w:r>
            <w:r w:rsidRPr="008857F9">
              <w:rPr>
                <w:snapToGrid w:val="0"/>
                <w:sz w:val="18"/>
                <w:szCs w:val="18"/>
              </w:rPr>
              <w:t>amibia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Nepal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Nicaragua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Níger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Nigeria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Niue</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Noruega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IV</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10</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455.790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Nueva Zelandia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b/>
                <w:snapToGrid w:val="0"/>
                <w:sz w:val="18"/>
                <w:szCs w:val="18"/>
              </w:rPr>
              <w:t>O</w:t>
            </w:r>
            <w:r w:rsidRPr="008857F9">
              <w:rPr>
                <w:snapToGrid w:val="0"/>
                <w:sz w:val="18"/>
                <w:szCs w:val="18"/>
              </w:rPr>
              <w:t>mán</w:t>
            </w:r>
            <w:r w:rsidRPr="008857F9">
              <w:rPr>
                <w:snapToGrid w:val="0"/>
                <w:sz w:val="18"/>
                <w:szCs w:val="18"/>
                <w:vertAlign w:val="superscript"/>
              </w:rPr>
              <w:t xml:space="preserve">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P</w:t>
            </w:r>
            <w:r w:rsidRPr="008857F9">
              <w:rPr>
                <w:snapToGrid w:val="0"/>
                <w:sz w:val="18"/>
                <w:szCs w:val="18"/>
              </w:rPr>
              <w:t>aíses Bajos</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Pakistán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Panamá</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Papua Nueva Guinea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Paraguay</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Perú</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Polonia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Portugal</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Q</w:t>
            </w:r>
            <w:r w:rsidRPr="008857F9">
              <w:rPr>
                <w:snapToGrid w:val="0"/>
                <w:sz w:val="18"/>
                <w:szCs w:val="18"/>
              </w:rPr>
              <w:t xml:space="preserve">atar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R</w:t>
            </w:r>
            <w:r w:rsidRPr="008857F9">
              <w:rPr>
                <w:snapToGrid w:val="0"/>
                <w:sz w:val="18"/>
                <w:szCs w:val="18"/>
              </w:rPr>
              <w:t>eino Unido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1.139.475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2.278.950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Árabe Siria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5.697</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5.697</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Centroafricana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Checa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VI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3</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136.737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136.737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273.474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de Corea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de Moldova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Democrática del Congo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Democrática Popular Lao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Dominicana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República Popular Democrática de Corea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República Unida de Tanzanía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Rumania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182.316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Rwanda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S</w:t>
            </w:r>
            <w:r w:rsidRPr="008857F9">
              <w:rPr>
                <w:snapToGrid w:val="0"/>
                <w:sz w:val="18"/>
                <w:szCs w:val="18"/>
              </w:rPr>
              <w:t>aint Kitts y Nevis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Samoa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5.698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San Marino</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San Vicente y las Granadinas</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Santa Lucía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Santa Sede </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Santo Tomé y Príncipe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Senegal</w:t>
            </w:r>
          </w:p>
        </w:tc>
        <w:tc>
          <w:tcPr>
            <w:tcW w:w="1430" w:type="dxa"/>
            <w:shd w:val="clear" w:color="auto" w:fill="auto"/>
          </w:tcPr>
          <w:p w:rsidR="006561C8" w:rsidRPr="008857F9" w:rsidRDefault="006561C8" w:rsidP="001914A4">
            <w:pPr>
              <w:jc w:val="center"/>
              <w:rPr>
                <w:i/>
                <w:iCs/>
                <w:snapToGrid w:val="0"/>
                <w:sz w:val="18"/>
                <w:szCs w:val="18"/>
              </w:rPr>
            </w:pPr>
            <w:r w:rsidRPr="008857F9">
              <w:rPr>
                <w:i/>
                <w:iCs/>
                <w:snapToGrid w:val="0"/>
                <w:sz w:val="18"/>
                <w:szCs w:val="18"/>
              </w:rPr>
              <w:t>Ster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Serbia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22.789</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22.789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45.578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Seychelles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Sierra Leona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Singapur</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snapToGrid w:val="0"/>
                <w:sz w:val="18"/>
                <w:szCs w:val="18"/>
              </w:rPr>
              <w:t xml:space="preserve">Somalia </w:t>
            </w:r>
            <w:r w:rsidRPr="008857F9">
              <w:rPr>
                <w:snapToGrid w:val="0"/>
                <w:sz w:val="18"/>
                <w:szCs w:val="18"/>
                <w:vertAlign w:val="superscript"/>
              </w:rPr>
              <w:t>2</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Sri Lanka</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Sudáfrica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IV</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7,5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341.842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 xml:space="preserve">Sudán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Suecia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Suiza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III</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15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683.685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1.367.370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Suriname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Swazilandia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T</w:t>
            </w:r>
            <w:r w:rsidRPr="008857F9">
              <w:rPr>
                <w:snapToGrid w:val="0"/>
                <w:sz w:val="18"/>
                <w:szCs w:val="18"/>
              </w:rPr>
              <w:t>ailandia</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Tayikistán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Togo</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Tonga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lastRenderedPageBreak/>
              <w:t>Trinidad y Tabago</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Túnez</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Turkmenistán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Turquía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VI</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2</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91.158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182.316 </w:t>
            </w:r>
          </w:p>
        </w:tc>
      </w:tr>
      <w:tr w:rsidR="006561C8" w:rsidRPr="008857F9" w:rsidTr="001914A4">
        <w:trPr>
          <w:gridAfter w:val="1"/>
          <w:wAfter w:w="116" w:type="dxa"/>
        </w:trPr>
        <w:tc>
          <w:tcPr>
            <w:tcW w:w="2750" w:type="dxa"/>
            <w:shd w:val="clear" w:color="auto" w:fill="auto"/>
          </w:tcPr>
          <w:p w:rsidR="006561C8" w:rsidRPr="008857F9" w:rsidRDefault="006561C8" w:rsidP="001914A4">
            <w:pPr>
              <w:keepNext/>
              <w:rPr>
                <w:snapToGrid w:val="0"/>
                <w:sz w:val="18"/>
                <w:szCs w:val="18"/>
              </w:rPr>
            </w:pPr>
            <w:r w:rsidRPr="008857F9">
              <w:rPr>
                <w:snapToGrid w:val="0"/>
                <w:sz w:val="18"/>
                <w:szCs w:val="18"/>
              </w:rPr>
              <w:t>Tuvalu</w:t>
            </w:r>
            <w:r w:rsidRPr="008857F9">
              <w:rPr>
                <w:snapToGrid w:val="0"/>
                <w:sz w:val="18"/>
                <w:szCs w:val="18"/>
                <w:vertAlign w:val="superscript"/>
              </w:rPr>
              <w:t>2</w:t>
            </w:r>
          </w:p>
        </w:tc>
        <w:tc>
          <w:tcPr>
            <w:tcW w:w="1430" w:type="dxa"/>
            <w:shd w:val="clear" w:color="auto" w:fill="auto"/>
          </w:tcPr>
          <w:p w:rsidR="006561C8" w:rsidRPr="008857F9" w:rsidRDefault="006561C8" w:rsidP="001914A4">
            <w:pPr>
              <w:keepNext/>
              <w:jc w:val="center"/>
              <w:rPr>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keepNext/>
              <w:rPr>
                <w:snapToGrid w:val="0"/>
                <w:sz w:val="18"/>
                <w:szCs w:val="18"/>
              </w:rPr>
            </w:pPr>
            <w:r w:rsidRPr="008857F9">
              <w:rPr>
                <w:b/>
                <w:snapToGrid w:val="0"/>
                <w:sz w:val="18"/>
                <w:szCs w:val="18"/>
              </w:rPr>
              <w:t>U</w:t>
            </w:r>
            <w:r w:rsidRPr="008857F9">
              <w:rPr>
                <w:snapToGrid w:val="0"/>
                <w:sz w:val="18"/>
                <w:szCs w:val="18"/>
              </w:rPr>
              <w:t>crania</w:t>
            </w:r>
          </w:p>
        </w:tc>
        <w:tc>
          <w:tcPr>
            <w:tcW w:w="1430" w:type="dxa"/>
            <w:shd w:val="clear" w:color="auto" w:fill="auto"/>
          </w:tcPr>
          <w:p w:rsidR="006561C8" w:rsidRPr="008857F9" w:rsidRDefault="006561C8" w:rsidP="001914A4">
            <w:pPr>
              <w:keepNext/>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keepNext/>
              <w:rPr>
                <w:snapToGrid w:val="0"/>
                <w:sz w:val="18"/>
                <w:szCs w:val="18"/>
              </w:rPr>
            </w:pPr>
            <w:r w:rsidRPr="008857F9">
              <w:rPr>
                <w:snapToGrid w:val="0"/>
                <w:sz w:val="18"/>
                <w:szCs w:val="18"/>
              </w:rPr>
              <w:t>Uganda</w:t>
            </w:r>
          </w:p>
        </w:tc>
        <w:tc>
          <w:tcPr>
            <w:tcW w:w="1430" w:type="dxa"/>
            <w:shd w:val="clear" w:color="auto" w:fill="auto"/>
          </w:tcPr>
          <w:p w:rsidR="006561C8" w:rsidRPr="008857F9" w:rsidRDefault="006561C8" w:rsidP="001914A4">
            <w:pPr>
              <w:keepNext/>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Uruguay</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11.394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Uzbekistán</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11.395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22.790</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V</w:t>
            </w:r>
            <w:r w:rsidRPr="008857F9">
              <w:rPr>
                <w:snapToGrid w:val="0"/>
                <w:sz w:val="18"/>
                <w:szCs w:val="18"/>
              </w:rPr>
              <w:t>anuatu</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1.424</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2.848</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Venezuela (República Bolivariana de)</w:t>
            </w:r>
          </w:p>
        </w:tc>
        <w:tc>
          <w:tcPr>
            <w:tcW w:w="1430" w:type="dxa"/>
            <w:shd w:val="clear" w:color="auto" w:fill="auto"/>
          </w:tcPr>
          <w:p w:rsidR="006561C8" w:rsidRPr="008857F9" w:rsidRDefault="006561C8" w:rsidP="001914A4">
            <w:pPr>
              <w:jc w:val="center"/>
              <w:rPr>
                <w:snapToGrid w:val="0"/>
                <w:sz w:val="18"/>
                <w:szCs w:val="18"/>
              </w:rPr>
            </w:pPr>
            <w:r w:rsidRPr="008857F9">
              <w:rPr>
                <w:snapToGrid w:val="0"/>
                <w:sz w:val="18"/>
                <w:szCs w:val="18"/>
              </w:rPr>
              <w:t>IX</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11.395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22.790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Viet Nam</w:t>
            </w:r>
          </w:p>
        </w:tc>
        <w:tc>
          <w:tcPr>
            <w:tcW w:w="1430" w:type="dxa"/>
            <w:shd w:val="clear" w:color="auto" w:fill="auto"/>
          </w:tcPr>
          <w:p w:rsidR="006561C8" w:rsidRPr="008857F9" w:rsidRDefault="006561C8" w:rsidP="001914A4">
            <w:pPr>
              <w:jc w:val="center"/>
              <w:rPr>
                <w:i/>
                <w:snapToGrid w:val="0"/>
                <w:sz w:val="18"/>
                <w:szCs w:val="18"/>
              </w:rPr>
            </w:pPr>
            <w:r w:rsidRPr="008857F9">
              <w:rPr>
                <w:i/>
                <w:snapToGrid w:val="0"/>
                <w:sz w:val="18"/>
                <w:szCs w:val="18"/>
              </w:rPr>
              <w:t>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5.697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11.394</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vertAlign w:val="superscript"/>
              </w:rPr>
            </w:pPr>
            <w:r w:rsidRPr="008857F9">
              <w:rPr>
                <w:b/>
                <w:snapToGrid w:val="0"/>
                <w:sz w:val="18"/>
                <w:szCs w:val="18"/>
              </w:rPr>
              <w:t>Y</w:t>
            </w:r>
            <w:r w:rsidRPr="008857F9">
              <w:rPr>
                <w:snapToGrid w:val="0"/>
                <w:sz w:val="18"/>
                <w:szCs w:val="18"/>
              </w:rPr>
              <w:t xml:space="preserve">emen </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b/>
                <w:snapToGrid w:val="0"/>
                <w:sz w:val="18"/>
                <w:szCs w:val="18"/>
              </w:rPr>
              <w:t>Z</w:t>
            </w:r>
            <w:r w:rsidRPr="008857F9">
              <w:rPr>
                <w:snapToGrid w:val="0"/>
                <w:sz w:val="18"/>
                <w:szCs w:val="18"/>
              </w:rPr>
              <w:t>ambia</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ter</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0,03125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1.424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2.848 </w:t>
            </w:r>
          </w:p>
        </w:tc>
      </w:tr>
      <w:tr w:rsidR="006561C8" w:rsidRPr="008857F9" w:rsidTr="001914A4">
        <w:trPr>
          <w:gridAfter w:val="1"/>
          <w:wAfter w:w="116" w:type="dxa"/>
        </w:trPr>
        <w:tc>
          <w:tcPr>
            <w:tcW w:w="2750" w:type="dxa"/>
            <w:shd w:val="clear" w:color="auto" w:fill="auto"/>
          </w:tcPr>
          <w:p w:rsidR="006561C8" w:rsidRPr="008857F9" w:rsidRDefault="006561C8" w:rsidP="001914A4">
            <w:pPr>
              <w:rPr>
                <w:snapToGrid w:val="0"/>
                <w:sz w:val="18"/>
                <w:szCs w:val="18"/>
              </w:rPr>
            </w:pPr>
            <w:r w:rsidRPr="008857F9">
              <w:rPr>
                <w:snapToGrid w:val="0"/>
                <w:sz w:val="18"/>
                <w:szCs w:val="18"/>
              </w:rPr>
              <w:t>Zimbabwe</w:t>
            </w:r>
          </w:p>
        </w:tc>
        <w:tc>
          <w:tcPr>
            <w:tcW w:w="1430" w:type="dxa"/>
            <w:shd w:val="clear" w:color="auto" w:fill="auto"/>
          </w:tcPr>
          <w:p w:rsidR="006561C8" w:rsidRPr="008857F9" w:rsidRDefault="006561C8" w:rsidP="001914A4">
            <w:pPr>
              <w:jc w:val="center"/>
              <w:rPr>
                <w:i/>
                <w:snapToGrid w:val="0"/>
                <w:sz w:val="18"/>
                <w:szCs w:val="18"/>
              </w:rPr>
            </w:pPr>
            <w:r w:rsidRPr="008857F9">
              <w:rPr>
                <w:snapToGrid w:val="0"/>
                <w:sz w:val="18"/>
                <w:szCs w:val="18"/>
              </w:rPr>
              <w:t>S</w:t>
            </w:r>
            <w:r w:rsidRPr="008857F9">
              <w:rPr>
                <w:i/>
                <w:snapToGrid w:val="0"/>
                <w:sz w:val="18"/>
                <w:szCs w:val="18"/>
              </w:rPr>
              <w:t>bis</w:t>
            </w:r>
          </w:p>
        </w:tc>
        <w:tc>
          <w:tcPr>
            <w:tcW w:w="1210" w:type="dxa"/>
            <w:shd w:val="clear" w:color="auto" w:fill="auto"/>
          </w:tcPr>
          <w:p w:rsidR="006561C8" w:rsidRPr="008857F9" w:rsidRDefault="006561C8" w:rsidP="001914A4">
            <w:pPr>
              <w:jc w:val="right"/>
              <w:rPr>
                <w:snapToGrid w:val="0"/>
                <w:sz w:val="18"/>
                <w:szCs w:val="18"/>
              </w:rPr>
            </w:pPr>
            <w:r w:rsidRPr="008857F9">
              <w:rPr>
                <w:snapToGrid w:val="0"/>
                <w:sz w:val="18"/>
                <w:szCs w:val="18"/>
              </w:rPr>
              <w:t>0,0625</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43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2.849 </w:t>
            </w:r>
          </w:p>
        </w:tc>
        <w:tc>
          <w:tcPr>
            <w:tcW w:w="1320" w:type="dxa"/>
            <w:shd w:val="clear" w:color="auto" w:fill="auto"/>
          </w:tcPr>
          <w:p w:rsidR="006561C8" w:rsidRPr="008857F9" w:rsidRDefault="006561C8" w:rsidP="001914A4">
            <w:pPr>
              <w:jc w:val="right"/>
              <w:rPr>
                <w:snapToGrid w:val="0"/>
                <w:sz w:val="18"/>
                <w:szCs w:val="18"/>
              </w:rPr>
            </w:pPr>
            <w:r w:rsidRPr="008857F9">
              <w:rPr>
                <w:snapToGrid w:val="0"/>
                <w:sz w:val="18"/>
                <w:szCs w:val="18"/>
              </w:rPr>
              <w:t xml:space="preserve">             5.698 </w:t>
            </w:r>
          </w:p>
        </w:tc>
      </w:tr>
      <w:tr w:rsidR="006561C8" w:rsidRPr="008857F9" w:rsidTr="001914A4">
        <w:trPr>
          <w:gridAfter w:val="1"/>
          <w:wAfter w:w="116" w:type="dxa"/>
        </w:trPr>
        <w:tc>
          <w:tcPr>
            <w:tcW w:w="2750" w:type="dxa"/>
            <w:shd w:val="pct15" w:color="auto" w:fill="FFFFFF"/>
          </w:tcPr>
          <w:p w:rsidR="006561C8" w:rsidRPr="008857F9" w:rsidRDefault="006561C8" w:rsidP="001914A4">
            <w:pPr>
              <w:rPr>
                <w:b/>
                <w:snapToGrid w:val="0"/>
                <w:sz w:val="18"/>
                <w:szCs w:val="18"/>
                <w:vertAlign w:val="superscript"/>
              </w:rPr>
            </w:pPr>
            <w:r w:rsidRPr="008857F9">
              <w:rPr>
                <w:b/>
                <w:snapToGrid w:val="0"/>
                <w:sz w:val="18"/>
                <w:szCs w:val="18"/>
              </w:rPr>
              <w:t xml:space="preserve">Total de contribuciones </w:t>
            </w:r>
          </w:p>
        </w:tc>
        <w:tc>
          <w:tcPr>
            <w:tcW w:w="1430" w:type="dxa"/>
            <w:shd w:val="pct15" w:color="auto" w:fill="FFFFFF"/>
          </w:tcPr>
          <w:p w:rsidR="006561C8" w:rsidRPr="008857F9" w:rsidRDefault="006561C8" w:rsidP="001914A4">
            <w:pPr>
              <w:jc w:val="right"/>
              <w:rPr>
                <w:b/>
                <w:snapToGrid w:val="0"/>
                <w:sz w:val="18"/>
                <w:szCs w:val="18"/>
              </w:rPr>
            </w:pPr>
          </w:p>
        </w:tc>
        <w:tc>
          <w:tcPr>
            <w:tcW w:w="1210" w:type="dxa"/>
            <w:shd w:val="pct15" w:color="auto" w:fill="FFFFFF"/>
          </w:tcPr>
          <w:p w:rsidR="006561C8" w:rsidRPr="008857F9" w:rsidRDefault="006561C8" w:rsidP="001914A4">
            <w:pPr>
              <w:jc w:val="right"/>
              <w:rPr>
                <w:b/>
                <w:snapToGrid w:val="0"/>
                <w:sz w:val="18"/>
                <w:szCs w:val="18"/>
              </w:rPr>
            </w:pPr>
          </w:p>
        </w:tc>
        <w:tc>
          <w:tcPr>
            <w:tcW w:w="1320" w:type="dxa"/>
            <w:shd w:val="pct15" w:color="auto" w:fill="FFFFFF"/>
          </w:tcPr>
          <w:p w:rsidR="006561C8" w:rsidRPr="008857F9" w:rsidRDefault="006561C8" w:rsidP="001914A4">
            <w:pPr>
              <w:jc w:val="right"/>
              <w:rPr>
                <w:b/>
                <w:snapToGrid w:val="0"/>
                <w:sz w:val="18"/>
                <w:szCs w:val="18"/>
              </w:rPr>
            </w:pPr>
            <w:r w:rsidRPr="008857F9">
              <w:rPr>
                <w:b/>
                <w:snapToGrid w:val="0"/>
                <w:sz w:val="18"/>
                <w:szCs w:val="18"/>
              </w:rPr>
              <w:t>17.361.317</w:t>
            </w:r>
          </w:p>
        </w:tc>
        <w:tc>
          <w:tcPr>
            <w:tcW w:w="1430" w:type="dxa"/>
            <w:shd w:val="pct15" w:color="auto" w:fill="FFFFFF"/>
          </w:tcPr>
          <w:p w:rsidR="006561C8" w:rsidRPr="008857F9" w:rsidRDefault="006561C8" w:rsidP="001914A4">
            <w:pPr>
              <w:jc w:val="right"/>
              <w:rPr>
                <w:b/>
                <w:snapToGrid w:val="0"/>
                <w:sz w:val="18"/>
                <w:szCs w:val="18"/>
              </w:rPr>
            </w:pPr>
            <w:r w:rsidRPr="008857F9">
              <w:rPr>
                <w:b/>
                <w:snapToGrid w:val="0"/>
                <w:sz w:val="18"/>
                <w:szCs w:val="18"/>
              </w:rPr>
              <w:t>17.361.317</w:t>
            </w:r>
          </w:p>
        </w:tc>
        <w:tc>
          <w:tcPr>
            <w:tcW w:w="1320" w:type="dxa"/>
            <w:shd w:val="pct15" w:color="auto" w:fill="FFFFFF"/>
          </w:tcPr>
          <w:p w:rsidR="006561C8" w:rsidRPr="008857F9" w:rsidRDefault="006561C8" w:rsidP="001914A4">
            <w:pPr>
              <w:jc w:val="right"/>
              <w:rPr>
                <w:b/>
                <w:snapToGrid w:val="0"/>
                <w:sz w:val="18"/>
                <w:szCs w:val="18"/>
              </w:rPr>
            </w:pPr>
            <w:r w:rsidRPr="008857F9">
              <w:rPr>
                <w:b/>
                <w:snapToGrid w:val="0"/>
                <w:sz w:val="18"/>
                <w:szCs w:val="18"/>
              </w:rPr>
              <w:t>34.722.634</w:t>
            </w:r>
          </w:p>
        </w:tc>
      </w:tr>
      <w:tr w:rsidR="006561C8" w:rsidRPr="008857F9" w:rsidTr="001914A4">
        <w:trPr>
          <w:gridAfter w:val="1"/>
          <w:wAfter w:w="116" w:type="dxa"/>
        </w:trPr>
        <w:tc>
          <w:tcPr>
            <w:tcW w:w="2750" w:type="dxa"/>
            <w:shd w:val="clear" w:color="auto" w:fill="FFFFFF"/>
          </w:tcPr>
          <w:p w:rsidR="006561C8" w:rsidRPr="008857F9" w:rsidRDefault="006561C8" w:rsidP="001914A4">
            <w:pPr>
              <w:rPr>
                <w:snapToGrid w:val="0"/>
                <w:sz w:val="18"/>
                <w:szCs w:val="18"/>
              </w:rPr>
            </w:pPr>
          </w:p>
        </w:tc>
        <w:tc>
          <w:tcPr>
            <w:tcW w:w="1430" w:type="dxa"/>
            <w:shd w:val="clear" w:color="auto" w:fill="FFFFFF"/>
          </w:tcPr>
          <w:p w:rsidR="006561C8" w:rsidRPr="008857F9" w:rsidRDefault="006561C8" w:rsidP="001914A4">
            <w:pPr>
              <w:jc w:val="center"/>
              <w:rPr>
                <w:i/>
                <w:snapToGrid w:val="0"/>
                <w:sz w:val="18"/>
                <w:szCs w:val="18"/>
              </w:rPr>
            </w:pPr>
          </w:p>
        </w:tc>
        <w:tc>
          <w:tcPr>
            <w:tcW w:w="1210" w:type="dxa"/>
            <w:shd w:val="clear" w:color="auto" w:fill="FFFFFF"/>
          </w:tcPr>
          <w:p w:rsidR="006561C8" w:rsidRPr="008857F9" w:rsidRDefault="006561C8" w:rsidP="001914A4">
            <w:pPr>
              <w:jc w:val="right"/>
              <w:rPr>
                <w:snapToGrid w:val="0"/>
                <w:sz w:val="18"/>
                <w:szCs w:val="18"/>
              </w:rPr>
            </w:pPr>
          </w:p>
        </w:tc>
        <w:tc>
          <w:tcPr>
            <w:tcW w:w="1320" w:type="dxa"/>
            <w:shd w:val="clear" w:color="auto" w:fill="FFFFFF"/>
          </w:tcPr>
          <w:p w:rsidR="006561C8" w:rsidRPr="008857F9" w:rsidRDefault="006561C8" w:rsidP="001914A4">
            <w:pPr>
              <w:jc w:val="right"/>
              <w:rPr>
                <w:snapToGrid w:val="0"/>
                <w:sz w:val="18"/>
                <w:szCs w:val="18"/>
              </w:rPr>
            </w:pPr>
          </w:p>
        </w:tc>
        <w:tc>
          <w:tcPr>
            <w:tcW w:w="1430" w:type="dxa"/>
            <w:shd w:val="clear" w:color="auto" w:fill="FFFFFF"/>
          </w:tcPr>
          <w:p w:rsidR="006561C8" w:rsidRPr="008857F9" w:rsidRDefault="006561C8" w:rsidP="001914A4">
            <w:pPr>
              <w:jc w:val="right"/>
              <w:rPr>
                <w:snapToGrid w:val="0"/>
                <w:sz w:val="18"/>
                <w:szCs w:val="18"/>
              </w:rPr>
            </w:pPr>
          </w:p>
        </w:tc>
        <w:tc>
          <w:tcPr>
            <w:tcW w:w="1320" w:type="dxa"/>
            <w:shd w:val="clear" w:color="auto" w:fill="FFFFFF"/>
          </w:tcPr>
          <w:p w:rsidR="006561C8" w:rsidRPr="008857F9" w:rsidRDefault="006561C8" w:rsidP="001914A4">
            <w:pPr>
              <w:jc w:val="right"/>
              <w:rPr>
                <w:snapToGrid w:val="0"/>
                <w:sz w:val="18"/>
                <w:szCs w:val="18"/>
              </w:rPr>
            </w:pPr>
          </w:p>
        </w:tc>
      </w:tr>
    </w:tbl>
    <w:p w:rsidR="006561C8" w:rsidRPr="008857F9" w:rsidRDefault="006561C8" w:rsidP="006561C8">
      <w:pPr>
        <w:autoSpaceDE w:val="0"/>
        <w:autoSpaceDN w:val="0"/>
        <w:adjustRightInd w:val="0"/>
        <w:rPr>
          <w:sz w:val="18"/>
          <w:szCs w:val="18"/>
        </w:rPr>
      </w:pPr>
    </w:p>
    <w:p w:rsidR="006561C8" w:rsidRPr="008857F9" w:rsidRDefault="006561C8" w:rsidP="006561C8">
      <w:pPr>
        <w:tabs>
          <w:tab w:val="left" w:pos="284"/>
        </w:tabs>
        <w:ind w:hanging="6"/>
        <w:jc w:val="both"/>
        <w:rPr>
          <w:snapToGrid w:val="0"/>
          <w:sz w:val="18"/>
          <w:szCs w:val="18"/>
        </w:rPr>
      </w:pPr>
      <w:r w:rsidRPr="008857F9">
        <w:rPr>
          <w:snapToGrid w:val="0"/>
          <w:sz w:val="18"/>
          <w:szCs w:val="18"/>
          <w:vertAlign w:val="superscript"/>
        </w:rPr>
        <w:t>1</w:t>
      </w:r>
      <w:r w:rsidRPr="008857F9">
        <w:rPr>
          <w:snapToGrid w:val="0"/>
          <w:sz w:val="18"/>
          <w:szCs w:val="18"/>
        </w:rPr>
        <w:tab/>
        <w:t>El valor de la unidad para los años 2016 y 2017 es de 45.579 francos suizos, sin variación con respecto a los años 2014 y 2015.</w:t>
      </w:r>
    </w:p>
    <w:p w:rsidR="006561C8" w:rsidRPr="008857F9" w:rsidRDefault="006561C8" w:rsidP="006561C8">
      <w:pPr>
        <w:tabs>
          <w:tab w:val="left" w:pos="284"/>
        </w:tabs>
        <w:ind w:hanging="6"/>
        <w:jc w:val="both"/>
        <w:rPr>
          <w:snapToGrid w:val="0"/>
          <w:sz w:val="18"/>
          <w:szCs w:val="18"/>
        </w:rPr>
      </w:pPr>
    </w:p>
    <w:p w:rsidR="006561C8" w:rsidRPr="008857F9" w:rsidRDefault="006561C8" w:rsidP="006561C8">
      <w:pPr>
        <w:pStyle w:val="BodyTextIndent2"/>
        <w:tabs>
          <w:tab w:val="left" w:pos="0"/>
          <w:tab w:val="left" w:pos="330"/>
        </w:tabs>
        <w:spacing w:after="160"/>
        <w:rPr>
          <w:rFonts w:cs="Arial"/>
          <w:color w:val="auto"/>
          <w:sz w:val="18"/>
          <w:szCs w:val="18"/>
          <w:lang w:val="es-ES"/>
        </w:rPr>
      </w:pPr>
      <w:r w:rsidRPr="008857F9">
        <w:rPr>
          <w:rFonts w:cs="Arial"/>
          <w:color w:val="auto"/>
          <w:sz w:val="18"/>
          <w:szCs w:val="18"/>
          <w:vertAlign w:val="superscript"/>
          <w:lang w:val="es-ES"/>
        </w:rPr>
        <w:t>2</w:t>
      </w:r>
      <w:r w:rsidRPr="008857F9">
        <w:rPr>
          <w:rFonts w:cs="Arial"/>
          <w:color w:val="auto"/>
          <w:sz w:val="18"/>
          <w:szCs w:val="18"/>
          <w:lang w:val="es-ES"/>
        </w:rPr>
        <w:tab/>
        <w:t>Estados miembros de la OMPI que no son miembros de ninguna Unión.</w:t>
      </w:r>
    </w:p>
    <w:p w:rsidR="006561C8" w:rsidRPr="008857F9" w:rsidRDefault="006561C8" w:rsidP="006561C8">
      <w:pPr>
        <w:autoSpaceDE w:val="0"/>
        <w:autoSpaceDN w:val="0"/>
        <w:adjustRightInd w:val="0"/>
        <w:rPr>
          <w:sz w:val="20"/>
        </w:rPr>
      </w:pPr>
    </w:p>
    <w:p w:rsidR="006561C8" w:rsidRDefault="006561C8">
      <w:pPr>
        <w:rPr>
          <w:sz w:val="20"/>
        </w:rPr>
      </w:pPr>
      <w:r>
        <w:rPr>
          <w:sz w:val="20"/>
        </w:rPr>
        <w:br w:type="page"/>
      </w:r>
    </w:p>
    <w:p w:rsidR="006561C8" w:rsidRPr="00820E58" w:rsidRDefault="006561C8" w:rsidP="006561C8">
      <w:pPr>
        <w:pStyle w:val="StyleHeading3ComplexItalic"/>
        <w:keepNext w:val="0"/>
        <w:tabs>
          <w:tab w:val="clear" w:pos="1985"/>
          <w:tab w:val="left" w:pos="0"/>
        </w:tabs>
        <w:rPr>
          <w:caps w:val="0"/>
          <w:lang w:val="es-ES"/>
        </w:rPr>
      </w:pPr>
      <w:bookmarkStart w:id="128" w:name="_Toc420681184"/>
      <w:r w:rsidRPr="00820E58">
        <w:rPr>
          <w:caps w:val="0"/>
          <w:lang w:val="es-ES"/>
        </w:rPr>
        <w:lastRenderedPageBreak/>
        <w:t>APÉNDICE B</w:t>
      </w:r>
      <w:bookmarkEnd w:id="128"/>
    </w:p>
    <w:p w:rsidR="006561C8" w:rsidRPr="00820E58" w:rsidRDefault="006561C8" w:rsidP="006561C8">
      <w:pPr>
        <w:pStyle w:val="StyleHeading3ComplexItalic"/>
        <w:keepNext w:val="0"/>
        <w:tabs>
          <w:tab w:val="clear" w:pos="1985"/>
          <w:tab w:val="left" w:pos="0"/>
        </w:tabs>
        <w:rPr>
          <w:caps w:val="0"/>
          <w:lang w:val="es-ES"/>
        </w:rPr>
      </w:pPr>
      <w:bookmarkStart w:id="129" w:name="_Toc420681185"/>
      <w:r w:rsidRPr="00820E58">
        <w:rPr>
          <w:caps w:val="0"/>
          <w:lang w:val="es-ES"/>
        </w:rPr>
        <w:t>DEFINICIÓN DE LAS</w:t>
      </w:r>
      <w:r w:rsidR="00CD5F30">
        <w:rPr>
          <w:caps w:val="0"/>
          <w:lang w:val="es-ES"/>
        </w:rPr>
        <w:t xml:space="preserve"> CATEGORÍAS DE COSTOS</w:t>
      </w:r>
      <w:bookmarkEnd w:id="129"/>
    </w:p>
    <w:p w:rsidR="006561C8" w:rsidRPr="00820E58" w:rsidRDefault="006561C8" w:rsidP="006561C8">
      <w:pPr>
        <w:pStyle w:val="Header"/>
        <w:tabs>
          <w:tab w:val="clear" w:pos="4536"/>
          <w:tab w:val="clear" w:pos="9072"/>
        </w:tabs>
        <w:rPr>
          <w:sz w:val="26"/>
        </w:rPr>
      </w:pPr>
    </w:p>
    <w:p w:rsidR="006561C8" w:rsidRPr="00820E58" w:rsidRDefault="006561C8" w:rsidP="006561C8">
      <w:pPr>
        <w:pStyle w:val="Header"/>
        <w:tabs>
          <w:tab w:val="clear" w:pos="4536"/>
          <w:tab w:val="clear" w:pos="9072"/>
        </w:tabs>
        <w:rPr>
          <w:sz w:val="26"/>
        </w:rPr>
      </w:pPr>
    </w:p>
    <w:p w:rsidR="006561C8" w:rsidRPr="00820E58" w:rsidRDefault="006561C8" w:rsidP="006561C8">
      <w:pPr>
        <w:ind w:right="91"/>
        <w:rPr>
          <w:b/>
          <w:sz w:val="20"/>
        </w:rPr>
      </w:pPr>
      <w:r w:rsidRPr="00820E58">
        <w:rPr>
          <w:b/>
          <w:sz w:val="20"/>
        </w:rPr>
        <w:t>FUENTES DE INGRESOS</w:t>
      </w:r>
    </w:p>
    <w:p w:rsidR="006561C8" w:rsidRPr="00820E58" w:rsidRDefault="006561C8" w:rsidP="006561C8">
      <w:pPr>
        <w:ind w:right="91"/>
        <w:jc w:val="both"/>
        <w:rPr>
          <w:sz w:val="20"/>
        </w:rPr>
      </w:pPr>
    </w:p>
    <w:p w:rsidR="006561C8" w:rsidRPr="00820E58" w:rsidRDefault="006561C8" w:rsidP="006561C8">
      <w:pPr>
        <w:tabs>
          <w:tab w:val="left" w:pos="567"/>
        </w:tabs>
        <w:ind w:left="567" w:right="91"/>
        <w:jc w:val="both"/>
        <w:rPr>
          <w:sz w:val="20"/>
        </w:rPr>
      </w:pPr>
      <w:r w:rsidRPr="00820E58">
        <w:rPr>
          <w:b/>
          <w:i/>
          <w:sz w:val="20"/>
        </w:rPr>
        <w:t>Contribuciones</w:t>
      </w:r>
      <w:r w:rsidRPr="00820E58">
        <w:rPr>
          <w:sz w:val="20"/>
        </w:rPr>
        <w:t>:  Contribuciones pagaderas por los Estados miembros a la Organización con arreglo al sistema de contribución única.</w:t>
      </w:r>
    </w:p>
    <w:p w:rsidR="006561C8" w:rsidRPr="00302C4D" w:rsidRDefault="006561C8" w:rsidP="006561C8">
      <w:pPr>
        <w:pStyle w:val="zanxtext"/>
        <w:spacing w:before="0"/>
        <w:ind w:right="91"/>
        <w:jc w:val="both"/>
        <w:rPr>
          <w:rFonts w:ascii="Arial" w:hAnsi="Arial" w:cs="Arial"/>
          <w:sz w:val="20"/>
          <w:lang w:val="es-ES"/>
        </w:rPr>
      </w:pPr>
    </w:p>
    <w:p w:rsidR="006561C8" w:rsidRPr="00302C4D" w:rsidRDefault="006561C8" w:rsidP="006561C8">
      <w:pPr>
        <w:tabs>
          <w:tab w:val="left" w:pos="567"/>
        </w:tabs>
        <w:ind w:left="567" w:right="91"/>
        <w:jc w:val="both"/>
        <w:rPr>
          <w:color w:val="000000"/>
          <w:sz w:val="20"/>
        </w:rPr>
      </w:pPr>
      <w:r w:rsidRPr="00302C4D">
        <w:rPr>
          <w:b/>
          <w:bCs/>
          <w:i/>
          <w:iCs/>
          <w:color w:val="000000"/>
          <w:sz w:val="20"/>
        </w:rPr>
        <w:t>Tasas</w:t>
      </w:r>
      <w:r w:rsidRPr="00302C4D">
        <w:rPr>
          <w:color w:val="000000"/>
          <w:sz w:val="20"/>
        </w:rPr>
        <w:t xml:space="preserve">:  Tasas pagaderas a la Oficina </w:t>
      </w:r>
      <w:r>
        <w:rPr>
          <w:color w:val="000000"/>
          <w:sz w:val="20"/>
        </w:rPr>
        <w:t>Internac</w:t>
      </w:r>
      <w:r w:rsidRPr="00302C4D">
        <w:rPr>
          <w:color w:val="000000"/>
          <w:sz w:val="20"/>
        </w:rPr>
        <w:t xml:space="preserve">ional </w:t>
      </w:r>
      <w:r>
        <w:rPr>
          <w:color w:val="000000"/>
          <w:sz w:val="20"/>
        </w:rPr>
        <w:t xml:space="preserve">en virtud de los Sistemas del PCT, Madrid, </w:t>
      </w:r>
      <w:r w:rsidR="003B0DF0">
        <w:rPr>
          <w:color w:val="000000"/>
          <w:sz w:val="20"/>
        </w:rPr>
        <w:t>La Haya</w:t>
      </w:r>
      <w:r>
        <w:rPr>
          <w:color w:val="000000"/>
          <w:sz w:val="20"/>
        </w:rPr>
        <w:t xml:space="preserve"> y Lisboa</w:t>
      </w:r>
      <w:r w:rsidRPr="00302C4D">
        <w:rPr>
          <w:color w:val="000000"/>
          <w:sz w:val="20"/>
        </w:rPr>
        <w:t>,  net</w:t>
      </w:r>
      <w:r>
        <w:rPr>
          <w:color w:val="000000"/>
          <w:sz w:val="20"/>
        </w:rPr>
        <w:t>as de ajustes por fluctuación cambiaria</w:t>
      </w:r>
      <w:r w:rsidRPr="00302C4D">
        <w:rPr>
          <w:color w:val="000000"/>
          <w:sz w:val="20"/>
        </w:rPr>
        <w:t xml:space="preserve">. </w:t>
      </w:r>
    </w:p>
    <w:p w:rsidR="006561C8" w:rsidRPr="00302C4D" w:rsidRDefault="006561C8" w:rsidP="006561C8">
      <w:pPr>
        <w:pStyle w:val="zanxtext"/>
        <w:spacing w:before="0"/>
        <w:ind w:right="91"/>
        <w:jc w:val="both"/>
        <w:rPr>
          <w:rFonts w:ascii="Arial" w:hAnsi="Arial" w:cs="Arial"/>
          <w:sz w:val="20"/>
          <w:lang w:val="es-ES"/>
        </w:rPr>
      </w:pPr>
    </w:p>
    <w:p w:rsidR="006561C8" w:rsidRPr="00302C4D" w:rsidRDefault="006561C8" w:rsidP="006561C8">
      <w:pPr>
        <w:tabs>
          <w:tab w:val="left" w:pos="567"/>
        </w:tabs>
        <w:ind w:left="567" w:right="91"/>
        <w:jc w:val="both"/>
        <w:rPr>
          <w:b/>
          <w:bCs/>
          <w:i/>
          <w:iCs/>
          <w:color w:val="000000"/>
          <w:sz w:val="20"/>
        </w:rPr>
      </w:pPr>
      <w:r w:rsidRPr="00302C4D">
        <w:rPr>
          <w:b/>
          <w:bCs/>
          <w:i/>
          <w:iCs/>
          <w:color w:val="000000"/>
          <w:sz w:val="20"/>
        </w:rPr>
        <w:t>Arbitra</w:t>
      </w:r>
      <w:r>
        <w:rPr>
          <w:b/>
          <w:bCs/>
          <w:i/>
          <w:iCs/>
          <w:color w:val="000000"/>
          <w:sz w:val="20"/>
        </w:rPr>
        <w:t>je</w:t>
      </w:r>
      <w:r w:rsidRPr="00F029DA">
        <w:rPr>
          <w:bCs/>
          <w:iCs/>
          <w:color w:val="000000"/>
          <w:sz w:val="20"/>
        </w:rPr>
        <w:t xml:space="preserve">:  </w:t>
      </w:r>
      <w:r>
        <w:rPr>
          <w:color w:val="000000"/>
          <w:sz w:val="20"/>
        </w:rPr>
        <w:t>Tasas pagaderas por el arbitraje en materia de nombres de dominio y por la inscripción a reuniones organizadas por el Centro de Arbitraje y Mediación de la OMPI</w:t>
      </w:r>
      <w:r w:rsidRPr="00302C4D">
        <w:rPr>
          <w:color w:val="000000"/>
          <w:sz w:val="20"/>
        </w:rPr>
        <w:t>, net</w:t>
      </w:r>
      <w:r>
        <w:rPr>
          <w:color w:val="000000"/>
          <w:sz w:val="20"/>
        </w:rPr>
        <w:t>as de ajustes por fluctuación cambiaria.</w:t>
      </w:r>
    </w:p>
    <w:p w:rsidR="006561C8" w:rsidRPr="00302C4D" w:rsidRDefault="006561C8" w:rsidP="006561C8">
      <w:pPr>
        <w:tabs>
          <w:tab w:val="left" w:pos="567"/>
        </w:tabs>
        <w:ind w:right="91"/>
        <w:jc w:val="both"/>
        <w:rPr>
          <w:bCs/>
          <w:iCs/>
          <w:color w:val="000000"/>
          <w:sz w:val="20"/>
        </w:rPr>
      </w:pPr>
    </w:p>
    <w:p w:rsidR="006561C8" w:rsidRPr="00302C4D" w:rsidRDefault="006561C8" w:rsidP="006561C8">
      <w:pPr>
        <w:tabs>
          <w:tab w:val="left" w:pos="567"/>
        </w:tabs>
        <w:ind w:left="567" w:right="91"/>
        <w:jc w:val="both"/>
        <w:rPr>
          <w:color w:val="000000"/>
          <w:sz w:val="20"/>
        </w:rPr>
      </w:pPr>
      <w:r>
        <w:rPr>
          <w:b/>
          <w:bCs/>
          <w:i/>
          <w:iCs/>
          <w:color w:val="000000"/>
          <w:sz w:val="20"/>
        </w:rPr>
        <w:t>Rédito de inversiones</w:t>
      </w:r>
      <w:r w:rsidRPr="00302C4D">
        <w:rPr>
          <w:color w:val="000000"/>
          <w:sz w:val="20"/>
        </w:rPr>
        <w:t xml:space="preserve">:  </w:t>
      </w:r>
      <w:r>
        <w:rPr>
          <w:color w:val="000000"/>
          <w:sz w:val="20"/>
        </w:rPr>
        <w:t>Renta generada por las inversiones, incluido el interés devengado por los depósitos de capital</w:t>
      </w:r>
      <w:r w:rsidRPr="00302C4D">
        <w:rPr>
          <w:color w:val="000000"/>
          <w:sz w:val="20"/>
        </w:rPr>
        <w:t>.</w:t>
      </w:r>
    </w:p>
    <w:p w:rsidR="006561C8" w:rsidRPr="00302C4D" w:rsidRDefault="006561C8" w:rsidP="006561C8">
      <w:pPr>
        <w:pStyle w:val="zanxtext"/>
        <w:spacing w:before="0"/>
        <w:ind w:right="91"/>
        <w:jc w:val="both"/>
        <w:rPr>
          <w:rFonts w:ascii="Arial" w:hAnsi="Arial" w:cs="Arial"/>
          <w:sz w:val="20"/>
          <w:lang w:val="es-ES"/>
        </w:rPr>
      </w:pPr>
    </w:p>
    <w:p w:rsidR="006561C8" w:rsidRPr="00820E58" w:rsidRDefault="006561C8" w:rsidP="006561C8">
      <w:pPr>
        <w:tabs>
          <w:tab w:val="left" w:pos="567"/>
        </w:tabs>
        <w:ind w:left="567" w:right="91"/>
        <w:jc w:val="both"/>
        <w:rPr>
          <w:sz w:val="20"/>
        </w:rPr>
      </w:pPr>
      <w:r w:rsidRPr="00302C4D">
        <w:rPr>
          <w:b/>
          <w:i/>
          <w:color w:val="000000"/>
          <w:sz w:val="20"/>
        </w:rPr>
        <w:t>Publicaci</w:t>
      </w:r>
      <w:r w:rsidR="009E58E8">
        <w:rPr>
          <w:b/>
          <w:i/>
          <w:color w:val="000000"/>
          <w:sz w:val="20"/>
        </w:rPr>
        <w:t>o</w:t>
      </w:r>
      <w:r w:rsidRPr="00302C4D">
        <w:rPr>
          <w:b/>
          <w:i/>
          <w:color w:val="000000"/>
          <w:sz w:val="20"/>
        </w:rPr>
        <w:t>n</w:t>
      </w:r>
      <w:r w:rsidR="009E58E8">
        <w:rPr>
          <w:b/>
          <w:i/>
          <w:color w:val="000000"/>
          <w:sz w:val="20"/>
        </w:rPr>
        <w:t>es</w:t>
      </w:r>
      <w:r w:rsidRPr="00820E58">
        <w:rPr>
          <w:sz w:val="20"/>
        </w:rPr>
        <w:t>:  Ingresos procedentes de la venta de publicaciones y de suscripciones a las publicaciones periódicas de la Secretaría en papel, CD-ROM y otros soportes.</w:t>
      </w:r>
    </w:p>
    <w:p w:rsidR="006561C8" w:rsidRPr="00302C4D" w:rsidRDefault="006561C8" w:rsidP="006561C8">
      <w:pPr>
        <w:pStyle w:val="zanxtext"/>
        <w:spacing w:before="0"/>
        <w:ind w:right="91"/>
        <w:jc w:val="both"/>
        <w:rPr>
          <w:rFonts w:ascii="Arial" w:hAnsi="Arial" w:cs="Arial"/>
          <w:sz w:val="20"/>
          <w:lang w:val="es-ES"/>
        </w:rPr>
      </w:pPr>
    </w:p>
    <w:p w:rsidR="006561C8" w:rsidRPr="00820E58" w:rsidRDefault="006561C8" w:rsidP="006561C8">
      <w:pPr>
        <w:tabs>
          <w:tab w:val="left" w:pos="567"/>
        </w:tabs>
        <w:ind w:left="567" w:right="91"/>
        <w:jc w:val="both"/>
        <w:rPr>
          <w:sz w:val="20"/>
        </w:rPr>
      </w:pPr>
      <w:r w:rsidRPr="00820E58">
        <w:rPr>
          <w:b/>
          <w:i/>
          <w:sz w:val="20"/>
        </w:rPr>
        <w:t>Ingresos diversos</w:t>
      </w:r>
      <w:r w:rsidRPr="00820E58">
        <w:rPr>
          <w:sz w:val="20"/>
        </w:rPr>
        <w:t>:  Tasas de inscripción en conferencias y cursos de formación, gastos de apoyo en relación con actividades extrapresupuestarias ejecutadas por la OMPI y financiadas por el PNUD y mediante fondos fiduciarios, ajustes contables (créditos) en relación con años anteriores y ajustes por fluctuación cambiaria, alquiler de locales de la OMPI, pagos de la UPOV a la OMPI por servicios administrativos de apoyo.</w:t>
      </w:r>
    </w:p>
    <w:p w:rsidR="006561C8" w:rsidRPr="00302C4D" w:rsidRDefault="006561C8" w:rsidP="006561C8">
      <w:pPr>
        <w:pStyle w:val="zanxtext"/>
        <w:spacing w:before="0"/>
        <w:ind w:right="91"/>
        <w:jc w:val="both"/>
        <w:rPr>
          <w:rFonts w:ascii="Arial" w:hAnsi="Arial" w:cs="Arial"/>
          <w:sz w:val="20"/>
          <w:lang w:val="es-ES"/>
        </w:rPr>
      </w:pPr>
    </w:p>
    <w:p w:rsidR="006561C8" w:rsidRPr="00302C4D" w:rsidRDefault="006561C8" w:rsidP="006561C8">
      <w:pPr>
        <w:pStyle w:val="zanxtext"/>
        <w:spacing w:before="0"/>
        <w:ind w:right="91"/>
        <w:jc w:val="both"/>
        <w:rPr>
          <w:rFonts w:ascii="Arial" w:hAnsi="Arial" w:cs="Arial"/>
          <w:sz w:val="20"/>
          <w:lang w:val="es-ES"/>
        </w:rPr>
      </w:pPr>
    </w:p>
    <w:p w:rsidR="006561C8" w:rsidRPr="007E335A" w:rsidRDefault="006561C8" w:rsidP="006561C8">
      <w:pPr>
        <w:pStyle w:val="Footer"/>
        <w:ind w:right="91"/>
        <w:jc w:val="both"/>
        <w:rPr>
          <w:b/>
          <w:sz w:val="20"/>
        </w:rPr>
      </w:pPr>
      <w:r w:rsidRPr="007E335A">
        <w:rPr>
          <w:b/>
          <w:sz w:val="20"/>
        </w:rPr>
        <w:t>OBJETOS DE GASTO</w:t>
      </w:r>
    </w:p>
    <w:p w:rsidR="006561C8" w:rsidRPr="007E335A" w:rsidRDefault="006561C8" w:rsidP="006561C8">
      <w:pPr>
        <w:pStyle w:val="zanxtext"/>
        <w:spacing w:before="0"/>
        <w:ind w:right="91"/>
        <w:jc w:val="both"/>
        <w:rPr>
          <w:rFonts w:ascii="Arial" w:hAnsi="Arial" w:cs="Arial"/>
          <w:sz w:val="20"/>
          <w:lang w:val="es-ES"/>
        </w:rPr>
      </w:pPr>
    </w:p>
    <w:p w:rsidR="006561C8" w:rsidRPr="007E335A" w:rsidRDefault="006561C8" w:rsidP="006561C8">
      <w:pPr>
        <w:pStyle w:val="zanxtext"/>
        <w:spacing w:before="0"/>
        <w:ind w:right="91"/>
        <w:jc w:val="both"/>
        <w:rPr>
          <w:rFonts w:ascii="Arial" w:hAnsi="Arial" w:cs="Arial"/>
          <w:bCs/>
          <w:sz w:val="20"/>
          <w:lang w:val="es-ES"/>
        </w:rPr>
      </w:pPr>
      <w:r w:rsidRPr="007E335A">
        <w:rPr>
          <w:rFonts w:ascii="Arial" w:hAnsi="Arial" w:cs="Arial"/>
          <w:bCs/>
          <w:sz w:val="20"/>
          <w:lang w:val="es-ES"/>
        </w:rPr>
        <w:t>RECURSOS DE PERSONAL</w:t>
      </w:r>
    </w:p>
    <w:p w:rsidR="006561C8" w:rsidRPr="007E335A" w:rsidRDefault="006561C8" w:rsidP="006561C8">
      <w:pPr>
        <w:pStyle w:val="zanxtext"/>
        <w:spacing w:before="0"/>
        <w:ind w:right="91"/>
        <w:jc w:val="both"/>
        <w:rPr>
          <w:rFonts w:ascii="Arial" w:hAnsi="Arial" w:cs="Arial"/>
          <w:b/>
          <w:sz w:val="20"/>
          <w:u w:val="single"/>
          <w:lang w:val="es-ES"/>
        </w:rPr>
      </w:pPr>
    </w:p>
    <w:p w:rsidR="006561C8" w:rsidRPr="007E335A" w:rsidRDefault="006561C8" w:rsidP="006561C8">
      <w:pPr>
        <w:tabs>
          <w:tab w:val="left" w:pos="567"/>
        </w:tabs>
        <w:ind w:left="567" w:right="91"/>
        <w:jc w:val="both"/>
        <w:rPr>
          <w:sz w:val="20"/>
        </w:rPr>
      </w:pPr>
      <w:r w:rsidRPr="007E335A">
        <w:rPr>
          <w:b/>
          <w:i/>
          <w:sz w:val="20"/>
        </w:rPr>
        <w:t>Puestos</w:t>
      </w:r>
      <w:r w:rsidRPr="0068265C">
        <w:rPr>
          <w:sz w:val="20"/>
        </w:rPr>
        <w:t>:</w:t>
      </w:r>
      <w:r w:rsidRPr="007E335A">
        <w:rPr>
          <w:sz w:val="20"/>
        </w:rPr>
        <w:t xml:space="preserve">  Remuneración recibida por los miembros del personal, en particular, sueldos, ajuste por lugar de destino, subsidios por personas a cargo, primas de idiomas y horas extraordinarias, subsidios de no residente, primas de asignación y subsidio por gastos de representación.</w:t>
      </w:r>
    </w:p>
    <w:p w:rsidR="006561C8" w:rsidRPr="007E335A" w:rsidRDefault="006561C8" w:rsidP="006561C8">
      <w:pPr>
        <w:tabs>
          <w:tab w:val="left" w:pos="567"/>
        </w:tabs>
        <w:ind w:left="567" w:right="91"/>
        <w:jc w:val="both"/>
        <w:rPr>
          <w:i/>
          <w:sz w:val="20"/>
        </w:rPr>
      </w:pPr>
    </w:p>
    <w:p w:rsidR="006561C8" w:rsidRPr="007E335A" w:rsidRDefault="006561C8" w:rsidP="006561C8">
      <w:pPr>
        <w:tabs>
          <w:tab w:val="left" w:pos="567"/>
        </w:tabs>
        <w:ind w:left="567" w:right="91"/>
        <w:jc w:val="both"/>
        <w:rPr>
          <w:sz w:val="20"/>
        </w:rPr>
      </w:pPr>
      <w:r w:rsidRPr="006B0C94">
        <w:rPr>
          <w:b/>
          <w:i/>
          <w:sz w:val="20"/>
        </w:rPr>
        <w:t>Personal temporal</w:t>
      </w:r>
      <w:r w:rsidRPr="007E335A">
        <w:rPr>
          <w:sz w:val="20"/>
        </w:rPr>
        <w:t>:  Remuneración y subsidios pagados a profesionales o empleados de servicios generales con contratos de corta duración.</w:t>
      </w:r>
    </w:p>
    <w:p w:rsidR="006561C8" w:rsidRPr="00302C4D" w:rsidRDefault="006561C8" w:rsidP="006561C8">
      <w:pPr>
        <w:tabs>
          <w:tab w:val="left" w:pos="567"/>
        </w:tabs>
        <w:ind w:right="91"/>
        <w:jc w:val="both"/>
        <w:rPr>
          <w:color w:val="000000"/>
          <w:sz w:val="20"/>
        </w:rPr>
      </w:pPr>
    </w:p>
    <w:p w:rsidR="006561C8" w:rsidRPr="00302C4D" w:rsidRDefault="006561C8" w:rsidP="006561C8">
      <w:pPr>
        <w:tabs>
          <w:tab w:val="left" w:pos="567"/>
        </w:tabs>
        <w:ind w:left="567" w:right="91"/>
        <w:jc w:val="both"/>
        <w:rPr>
          <w:color w:val="000000"/>
          <w:sz w:val="20"/>
        </w:rPr>
      </w:pPr>
      <w:r w:rsidRPr="00302C4D">
        <w:rPr>
          <w:b/>
          <w:bCs/>
          <w:i/>
          <w:iCs/>
          <w:color w:val="000000"/>
          <w:sz w:val="20"/>
        </w:rPr>
        <w:t>Ot</w:t>
      </w:r>
      <w:r>
        <w:rPr>
          <w:b/>
          <w:bCs/>
          <w:i/>
          <w:iCs/>
          <w:color w:val="000000"/>
          <w:sz w:val="20"/>
        </w:rPr>
        <w:t>ros gastos de personal</w:t>
      </w:r>
      <w:r w:rsidRPr="00302C4D">
        <w:rPr>
          <w:color w:val="000000"/>
          <w:sz w:val="20"/>
        </w:rPr>
        <w:t xml:space="preserve">: </w:t>
      </w:r>
      <w:r>
        <w:rPr>
          <w:color w:val="000000"/>
          <w:sz w:val="20"/>
        </w:rPr>
        <w:t xml:space="preserve"> Previsión para cubrir el seguro de accidentes profesionales</w:t>
      </w:r>
      <w:r w:rsidRPr="00302C4D">
        <w:rPr>
          <w:color w:val="000000"/>
          <w:sz w:val="20"/>
        </w:rPr>
        <w:t>,</w:t>
      </w:r>
      <w:r>
        <w:rPr>
          <w:color w:val="000000"/>
          <w:sz w:val="20"/>
        </w:rPr>
        <w:t xml:space="preserve"> la Caja Cerrada de Pensiones, las costas procesales y el programa de recompensa y reconocimiento</w:t>
      </w:r>
      <w:r w:rsidRPr="00302C4D">
        <w:rPr>
          <w:color w:val="000000"/>
          <w:sz w:val="20"/>
        </w:rPr>
        <w:t xml:space="preserve">. </w:t>
      </w:r>
    </w:p>
    <w:p w:rsidR="006561C8" w:rsidRPr="00302C4D" w:rsidRDefault="006561C8" w:rsidP="006561C8">
      <w:pPr>
        <w:jc w:val="both"/>
        <w:rPr>
          <w:b/>
          <w:bCs/>
          <w:sz w:val="20"/>
        </w:rPr>
      </w:pPr>
    </w:p>
    <w:p w:rsidR="006561C8" w:rsidRPr="00302C4D" w:rsidRDefault="006561C8" w:rsidP="006561C8">
      <w:pPr>
        <w:jc w:val="both"/>
        <w:rPr>
          <w:sz w:val="20"/>
        </w:rPr>
      </w:pPr>
    </w:p>
    <w:p w:rsidR="006561C8" w:rsidRPr="003E75F4" w:rsidRDefault="006561C8" w:rsidP="006561C8">
      <w:pPr>
        <w:jc w:val="both"/>
        <w:rPr>
          <w:sz w:val="20"/>
        </w:rPr>
      </w:pPr>
      <w:r w:rsidRPr="003E75F4">
        <w:rPr>
          <w:sz w:val="20"/>
        </w:rPr>
        <w:t xml:space="preserve">RECURSOS NO </w:t>
      </w:r>
      <w:r w:rsidR="00ED0A05">
        <w:rPr>
          <w:sz w:val="20"/>
        </w:rPr>
        <w:t>RELATIVOS</w:t>
      </w:r>
      <w:r w:rsidRPr="003E75F4">
        <w:rPr>
          <w:sz w:val="20"/>
        </w:rPr>
        <w:t xml:space="preserve"> A PERSONAL</w:t>
      </w:r>
    </w:p>
    <w:p w:rsidR="006561C8" w:rsidRPr="003E75F4" w:rsidRDefault="006561C8" w:rsidP="006561C8">
      <w:pPr>
        <w:jc w:val="both"/>
        <w:rPr>
          <w:sz w:val="20"/>
        </w:rPr>
      </w:pPr>
    </w:p>
    <w:p w:rsidR="006561C8" w:rsidRPr="003E75F4" w:rsidRDefault="006561C8" w:rsidP="006561C8">
      <w:pPr>
        <w:jc w:val="both"/>
        <w:rPr>
          <w:b/>
          <w:bCs/>
          <w:sz w:val="20"/>
        </w:rPr>
      </w:pPr>
      <w:r w:rsidRPr="003E75F4">
        <w:rPr>
          <w:b/>
          <w:bCs/>
          <w:sz w:val="20"/>
        </w:rPr>
        <w:t>Pasantías y becas de la OMPI</w:t>
      </w:r>
    </w:p>
    <w:p w:rsidR="006561C8" w:rsidRPr="003E75F4" w:rsidRDefault="006561C8" w:rsidP="006561C8">
      <w:pPr>
        <w:jc w:val="both"/>
        <w:rPr>
          <w:sz w:val="20"/>
        </w:rPr>
      </w:pPr>
    </w:p>
    <w:p w:rsidR="006561C8" w:rsidRPr="003E75F4" w:rsidRDefault="006561C8" w:rsidP="006561C8">
      <w:pPr>
        <w:numPr>
          <w:ilvl w:val="0"/>
          <w:numId w:val="82"/>
        </w:numPr>
        <w:tabs>
          <w:tab w:val="clear" w:pos="1287"/>
          <w:tab w:val="num" w:pos="567"/>
        </w:tabs>
        <w:ind w:left="567" w:hanging="283"/>
        <w:jc w:val="both"/>
        <w:rPr>
          <w:sz w:val="20"/>
        </w:rPr>
      </w:pPr>
      <w:r w:rsidRPr="003E75F4">
        <w:rPr>
          <w:b/>
          <w:i/>
          <w:sz w:val="20"/>
        </w:rPr>
        <w:t>Pasantías</w:t>
      </w:r>
      <w:r w:rsidRPr="003E75F4">
        <w:rPr>
          <w:sz w:val="20"/>
        </w:rPr>
        <w:t xml:space="preserve">:  Remuneración y subsidios pagados a los pasantes. </w:t>
      </w:r>
    </w:p>
    <w:p w:rsidR="006561C8" w:rsidRPr="003E75F4" w:rsidRDefault="006561C8" w:rsidP="006561C8">
      <w:pPr>
        <w:ind w:left="567"/>
        <w:jc w:val="both"/>
        <w:rPr>
          <w:sz w:val="20"/>
        </w:rPr>
      </w:pPr>
    </w:p>
    <w:p w:rsidR="006561C8" w:rsidRPr="003E75F4" w:rsidRDefault="006561C8" w:rsidP="006561C8">
      <w:pPr>
        <w:numPr>
          <w:ilvl w:val="0"/>
          <w:numId w:val="82"/>
        </w:numPr>
        <w:tabs>
          <w:tab w:val="clear" w:pos="1287"/>
          <w:tab w:val="num" w:pos="567"/>
        </w:tabs>
        <w:ind w:left="567" w:hanging="283"/>
        <w:jc w:val="both"/>
        <w:rPr>
          <w:sz w:val="20"/>
        </w:rPr>
      </w:pPr>
      <w:r w:rsidRPr="003E75F4">
        <w:rPr>
          <w:b/>
          <w:i/>
          <w:sz w:val="20"/>
        </w:rPr>
        <w:t>Becas de la OMPI</w:t>
      </w:r>
      <w:r w:rsidRPr="003E75F4">
        <w:rPr>
          <w:i/>
          <w:sz w:val="20"/>
        </w:rPr>
        <w:t>:</w:t>
      </w:r>
      <w:r w:rsidRPr="003E75F4">
        <w:rPr>
          <w:sz w:val="20"/>
        </w:rPr>
        <w:t xml:space="preserve">  Gastos relacionados con una actividad de formación para la cual se concede una beca monetaria a personas cualificadas </w:t>
      </w:r>
      <w:r>
        <w:rPr>
          <w:sz w:val="20"/>
        </w:rPr>
        <w:t>a fin de</w:t>
      </w:r>
      <w:r w:rsidRPr="003E75F4">
        <w:rPr>
          <w:sz w:val="20"/>
        </w:rPr>
        <w:t xml:space="preserve"> que puedan cumplir objetivos especiales de aprendizaje. </w:t>
      </w:r>
    </w:p>
    <w:p w:rsidR="006561C8" w:rsidRPr="003E75F4" w:rsidRDefault="006561C8" w:rsidP="006561C8">
      <w:pPr>
        <w:rPr>
          <w:b/>
          <w:bCs/>
          <w:sz w:val="20"/>
        </w:rPr>
      </w:pPr>
    </w:p>
    <w:p w:rsidR="006561C8" w:rsidRPr="00302C4D" w:rsidRDefault="006561C8" w:rsidP="006561C8">
      <w:pPr>
        <w:rPr>
          <w:b/>
          <w:bCs/>
          <w:sz w:val="20"/>
        </w:rPr>
      </w:pPr>
      <w:r>
        <w:rPr>
          <w:b/>
          <w:bCs/>
          <w:sz w:val="20"/>
        </w:rPr>
        <w:t>Viajes, formación y subvenciones conexas</w:t>
      </w:r>
    </w:p>
    <w:p w:rsidR="006561C8" w:rsidRPr="00BD2E93" w:rsidRDefault="006561C8" w:rsidP="006561C8">
      <w:pPr>
        <w:rPr>
          <w:sz w:val="20"/>
        </w:rPr>
      </w:pPr>
    </w:p>
    <w:p w:rsidR="006561C8" w:rsidRPr="00BD2E93" w:rsidRDefault="006561C8" w:rsidP="006561C8">
      <w:pPr>
        <w:numPr>
          <w:ilvl w:val="0"/>
          <w:numId w:val="83"/>
        </w:numPr>
        <w:tabs>
          <w:tab w:val="clear" w:pos="1120"/>
          <w:tab w:val="num" w:pos="567"/>
        </w:tabs>
        <w:ind w:left="567" w:hanging="283"/>
        <w:jc w:val="both"/>
        <w:rPr>
          <w:sz w:val="20"/>
        </w:rPr>
      </w:pPr>
      <w:r w:rsidRPr="00BD2E93">
        <w:rPr>
          <w:b/>
          <w:i/>
          <w:sz w:val="20"/>
        </w:rPr>
        <w:t>Misiones del personal</w:t>
      </w:r>
      <w:r w:rsidRPr="00BD2E93">
        <w:rPr>
          <w:sz w:val="20"/>
        </w:rPr>
        <w:t>:  Gastos de viaje y dietas para el personal que efectúe viajes oficiales.</w:t>
      </w:r>
    </w:p>
    <w:p w:rsidR="006561C8" w:rsidRPr="00BD2E93" w:rsidRDefault="006561C8" w:rsidP="006561C8">
      <w:pPr>
        <w:tabs>
          <w:tab w:val="num" w:pos="567"/>
        </w:tabs>
        <w:ind w:left="567" w:hanging="283"/>
        <w:jc w:val="both"/>
        <w:rPr>
          <w:sz w:val="20"/>
        </w:rPr>
      </w:pPr>
    </w:p>
    <w:p w:rsidR="006561C8" w:rsidRPr="00BD2E93" w:rsidRDefault="006561C8" w:rsidP="006561C8">
      <w:pPr>
        <w:numPr>
          <w:ilvl w:val="0"/>
          <w:numId w:val="83"/>
        </w:numPr>
        <w:tabs>
          <w:tab w:val="clear" w:pos="1120"/>
          <w:tab w:val="num" w:pos="567"/>
        </w:tabs>
        <w:ind w:left="567" w:hanging="283"/>
        <w:jc w:val="both"/>
        <w:rPr>
          <w:sz w:val="20"/>
        </w:rPr>
      </w:pPr>
      <w:r w:rsidRPr="00BD2E93">
        <w:rPr>
          <w:b/>
          <w:i/>
          <w:sz w:val="20"/>
        </w:rPr>
        <w:lastRenderedPageBreak/>
        <w:t>Viajes de terceros</w:t>
      </w:r>
      <w:r w:rsidRPr="00BD2E93">
        <w:rPr>
          <w:sz w:val="20"/>
        </w:rPr>
        <w:t>:  Gastos de viaje y dietas para terceros, incluidos los gastos de viaje de funcionarios gubernamentales, participantes y conferenciantes que asistan a reuniones financiadas por la OMPI.</w:t>
      </w:r>
    </w:p>
    <w:p w:rsidR="006561C8" w:rsidRPr="00BD2E93" w:rsidRDefault="006561C8" w:rsidP="006561C8">
      <w:pPr>
        <w:tabs>
          <w:tab w:val="num" w:pos="567"/>
        </w:tabs>
        <w:ind w:left="567" w:hanging="283"/>
        <w:jc w:val="both"/>
        <w:rPr>
          <w:sz w:val="20"/>
        </w:rPr>
      </w:pPr>
    </w:p>
    <w:p w:rsidR="006561C8" w:rsidRPr="00302C4D" w:rsidRDefault="006561C8" w:rsidP="006561C8">
      <w:pPr>
        <w:numPr>
          <w:ilvl w:val="0"/>
          <w:numId w:val="83"/>
        </w:numPr>
        <w:tabs>
          <w:tab w:val="clear" w:pos="1120"/>
          <w:tab w:val="num" w:pos="567"/>
        </w:tabs>
        <w:ind w:left="567" w:hanging="283"/>
        <w:jc w:val="both"/>
        <w:rPr>
          <w:color w:val="000000"/>
          <w:sz w:val="20"/>
        </w:rPr>
      </w:pPr>
      <w:r>
        <w:rPr>
          <w:b/>
          <w:bCs/>
          <w:i/>
          <w:iCs/>
          <w:color w:val="000000"/>
          <w:sz w:val="20"/>
        </w:rPr>
        <w:t>Subvenciones para formación y viajes conexos</w:t>
      </w:r>
      <w:r w:rsidRPr="00302C4D">
        <w:rPr>
          <w:color w:val="000000"/>
          <w:sz w:val="20"/>
        </w:rPr>
        <w:t xml:space="preserve">: </w:t>
      </w:r>
      <w:r>
        <w:rPr>
          <w:color w:val="000000"/>
          <w:sz w:val="20"/>
        </w:rPr>
        <w:t xml:space="preserve"> Gastos de viaje, dietas, formación y otros gastos de personas en formación inscritas en cursos, seminarios y becas.</w:t>
      </w:r>
      <w:r w:rsidRPr="00302C4D">
        <w:rPr>
          <w:color w:val="000000"/>
          <w:sz w:val="20"/>
        </w:rPr>
        <w:t xml:space="preserve"> </w:t>
      </w:r>
    </w:p>
    <w:p w:rsidR="006561C8" w:rsidRPr="00302C4D" w:rsidRDefault="006561C8" w:rsidP="006561C8">
      <w:pPr>
        <w:tabs>
          <w:tab w:val="num" w:pos="567"/>
        </w:tabs>
        <w:ind w:left="567" w:hanging="283"/>
        <w:jc w:val="both"/>
        <w:rPr>
          <w:sz w:val="20"/>
        </w:rPr>
      </w:pPr>
    </w:p>
    <w:p w:rsidR="006561C8" w:rsidRPr="00BD2E93" w:rsidRDefault="006561C8" w:rsidP="006561C8">
      <w:pPr>
        <w:rPr>
          <w:b/>
          <w:bCs/>
          <w:sz w:val="20"/>
        </w:rPr>
      </w:pPr>
    </w:p>
    <w:p w:rsidR="006561C8" w:rsidRPr="00BD2E93" w:rsidRDefault="006561C8" w:rsidP="006561C8">
      <w:pPr>
        <w:rPr>
          <w:b/>
          <w:bCs/>
          <w:sz w:val="20"/>
        </w:rPr>
      </w:pPr>
      <w:r w:rsidRPr="00BD2E93">
        <w:rPr>
          <w:b/>
          <w:bCs/>
          <w:sz w:val="20"/>
        </w:rPr>
        <w:t>Servicios contractuales</w:t>
      </w:r>
    </w:p>
    <w:p w:rsidR="006561C8" w:rsidRPr="00BD2E93" w:rsidRDefault="006561C8" w:rsidP="006561C8">
      <w:pPr>
        <w:rPr>
          <w:sz w:val="20"/>
        </w:rPr>
      </w:pPr>
    </w:p>
    <w:p w:rsidR="006561C8" w:rsidRPr="00BD2E93" w:rsidRDefault="006561C8" w:rsidP="006561C8">
      <w:pPr>
        <w:numPr>
          <w:ilvl w:val="0"/>
          <w:numId w:val="83"/>
        </w:numPr>
        <w:tabs>
          <w:tab w:val="clear" w:pos="1120"/>
          <w:tab w:val="num" w:pos="567"/>
        </w:tabs>
        <w:ind w:left="567" w:hanging="283"/>
        <w:jc w:val="both"/>
        <w:rPr>
          <w:sz w:val="20"/>
        </w:rPr>
      </w:pPr>
      <w:r w:rsidRPr="00BD2E93">
        <w:rPr>
          <w:b/>
          <w:i/>
          <w:sz w:val="20"/>
        </w:rPr>
        <w:t>Conferencias</w:t>
      </w:r>
      <w:r w:rsidRPr="00BD2E93">
        <w:rPr>
          <w:sz w:val="20"/>
        </w:rPr>
        <w:t xml:space="preserve">:  Remuneración, gastos de viaje y dietas para intérpretes;  alquiler de locales para conferencias y de equipo para la interpretación;  refrigerios y recepciones;  y costos por servicios directamente relacionados con la organización de conferencias. </w:t>
      </w:r>
    </w:p>
    <w:p w:rsidR="006561C8" w:rsidRPr="00BD2E93" w:rsidRDefault="006561C8" w:rsidP="006561C8">
      <w:pPr>
        <w:ind w:left="568" w:hanging="284"/>
        <w:rPr>
          <w:sz w:val="20"/>
        </w:rPr>
      </w:pPr>
    </w:p>
    <w:p w:rsidR="006561C8" w:rsidRPr="00374BD8" w:rsidRDefault="006561C8" w:rsidP="006561C8">
      <w:pPr>
        <w:numPr>
          <w:ilvl w:val="0"/>
          <w:numId w:val="83"/>
        </w:numPr>
        <w:tabs>
          <w:tab w:val="clear" w:pos="1120"/>
        </w:tabs>
        <w:ind w:left="567" w:hanging="283"/>
        <w:jc w:val="both"/>
        <w:rPr>
          <w:sz w:val="20"/>
        </w:rPr>
      </w:pPr>
      <w:r w:rsidRPr="00374BD8">
        <w:rPr>
          <w:b/>
          <w:i/>
          <w:sz w:val="20"/>
        </w:rPr>
        <w:t>Publicaciones</w:t>
      </w:r>
      <w:r w:rsidRPr="00374BD8">
        <w:rPr>
          <w:sz w:val="20"/>
        </w:rPr>
        <w:t>:  Impresión y encuadernación externas;  revistas;  papel e impresión;  otro material impreso:  impresión de artículos publicados en revistas;  folletos;  tratados;  colecciones de textos;  manuales;  formularios de trabajo y otro material impreso;  producción de CD–ROM, vídeos, cintas magnéticas y otras formas de publicación electrónica.</w:t>
      </w:r>
    </w:p>
    <w:p w:rsidR="006561C8" w:rsidRPr="00374BD8" w:rsidRDefault="006561C8" w:rsidP="006561C8">
      <w:pPr>
        <w:ind w:left="567" w:firstLineChars="200" w:firstLine="400"/>
        <w:jc w:val="both"/>
        <w:rPr>
          <w:sz w:val="20"/>
        </w:rPr>
      </w:pPr>
    </w:p>
    <w:p w:rsidR="006561C8" w:rsidRPr="00374BD8" w:rsidRDefault="006561C8" w:rsidP="006561C8">
      <w:pPr>
        <w:numPr>
          <w:ilvl w:val="0"/>
          <w:numId w:val="83"/>
        </w:numPr>
        <w:tabs>
          <w:tab w:val="clear" w:pos="1120"/>
        </w:tabs>
        <w:ind w:left="567" w:hanging="283"/>
        <w:jc w:val="both"/>
        <w:rPr>
          <w:sz w:val="20"/>
        </w:rPr>
      </w:pPr>
      <w:r w:rsidRPr="00374BD8">
        <w:rPr>
          <w:b/>
          <w:i/>
          <w:sz w:val="20"/>
        </w:rPr>
        <w:t>Servicios contractuales individuales</w:t>
      </w:r>
      <w:r w:rsidRPr="00374BD8">
        <w:rPr>
          <w:sz w:val="20"/>
        </w:rPr>
        <w:t xml:space="preserve">:  Se refiere a la remuneración pagada en concepto de servicios </w:t>
      </w:r>
      <w:r>
        <w:rPr>
          <w:sz w:val="20"/>
        </w:rPr>
        <w:t>prestados por individuos bajo contrato</w:t>
      </w:r>
      <w:r w:rsidRPr="00374BD8">
        <w:rPr>
          <w:sz w:val="20"/>
        </w:rPr>
        <w:t xml:space="preserve">.  </w:t>
      </w:r>
    </w:p>
    <w:p w:rsidR="006561C8" w:rsidRPr="00302C4D" w:rsidRDefault="006561C8" w:rsidP="006561C8">
      <w:pPr>
        <w:ind w:left="567" w:hanging="283"/>
        <w:jc w:val="both"/>
        <w:rPr>
          <w:color w:val="808080"/>
          <w:sz w:val="20"/>
        </w:rPr>
      </w:pPr>
    </w:p>
    <w:p w:rsidR="006561C8" w:rsidRPr="00457943" w:rsidRDefault="006561C8" w:rsidP="006561C8">
      <w:pPr>
        <w:numPr>
          <w:ilvl w:val="0"/>
          <w:numId w:val="83"/>
        </w:numPr>
        <w:tabs>
          <w:tab w:val="clear" w:pos="1120"/>
        </w:tabs>
        <w:ind w:left="567" w:hanging="283"/>
        <w:jc w:val="both"/>
        <w:rPr>
          <w:sz w:val="20"/>
        </w:rPr>
      </w:pPr>
      <w:r w:rsidRPr="00457943">
        <w:rPr>
          <w:b/>
          <w:i/>
          <w:sz w:val="20"/>
        </w:rPr>
        <w:t xml:space="preserve">Otros servicios contractuales:  </w:t>
      </w:r>
      <w:r w:rsidRPr="00457943">
        <w:rPr>
          <w:sz w:val="20"/>
        </w:rPr>
        <w:t>Engloba los servicios contractuales restantes prestados por prestadores comerciales y no comerciales.</w:t>
      </w:r>
    </w:p>
    <w:p w:rsidR="006561C8" w:rsidRPr="00302C4D" w:rsidRDefault="006561C8" w:rsidP="006561C8">
      <w:pPr>
        <w:jc w:val="both"/>
        <w:rPr>
          <w:sz w:val="20"/>
        </w:rPr>
      </w:pPr>
    </w:p>
    <w:p w:rsidR="006561C8" w:rsidRPr="00302C4D" w:rsidRDefault="006561C8" w:rsidP="006561C8">
      <w:pPr>
        <w:jc w:val="both"/>
        <w:rPr>
          <w:sz w:val="20"/>
        </w:rPr>
      </w:pPr>
    </w:p>
    <w:p w:rsidR="006561C8" w:rsidRPr="00302C4D" w:rsidRDefault="006561C8" w:rsidP="006561C8">
      <w:pPr>
        <w:jc w:val="both"/>
        <w:rPr>
          <w:b/>
          <w:sz w:val="20"/>
        </w:rPr>
      </w:pPr>
      <w:r>
        <w:rPr>
          <w:b/>
          <w:bCs/>
          <w:iCs/>
          <w:sz w:val="20"/>
        </w:rPr>
        <w:t>Costos financieros</w:t>
      </w:r>
      <w:r w:rsidRPr="00302C4D">
        <w:rPr>
          <w:b/>
          <w:sz w:val="20"/>
        </w:rPr>
        <w:t xml:space="preserve"> </w:t>
      </w:r>
    </w:p>
    <w:p w:rsidR="006561C8" w:rsidRPr="00302C4D" w:rsidRDefault="006561C8" w:rsidP="006561C8">
      <w:pPr>
        <w:jc w:val="both"/>
        <w:rPr>
          <w:b/>
          <w:sz w:val="20"/>
        </w:rPr>
      </w:pPr>
    </w:p>
    <w:p w:rsidR="006561C8" w:rsidRPr="00302C4D" w:rsidRDefault="006561C8" w:rsidP="006561C8">
      <w:pPr>
        <w:pStyle w:val="ListParagraph"/>
        <w:numPr>
          <w:ilvl w:val="0"/>
          <w:numId w:val="86"/>
        </w:numPr>
        <w:spacing w:after="200" w:line="276" w:lineRule="auto"/>
        <w:jc w:val="both"/>
        <w:rPr>
          <w:rFonts w:ascii="Arial" w:hAnsi="Arial" w:cs="Arial"/>
          <w:b/>
          <w:bCs/>
          <w:sz w:val="20"/>
          <w:lang w:val="es-ES"/>
        </w:rPr>
      </w:pPr>
      <w:r>
        <w:rPr>
          <w:rFonts w:ascii="Arial" w:hAnsi="Arial" w:cs="Arial"/>
          <w:b/>
          <w:i/>
          <w:sz w:val="20"/>
          <w:lang w:val="es-ES"/>
        </w:rPr>
        <w:t>Costos financieros</w:t>
      </w:r>
      <w:r w:rsidRPr="0068265C">
        <w:rPr>
          <w:rFonts w:ascii="Arial" w:hAnsi="Arial" w:cs="Arial"/>
          <w:sz w:val="20"/>
          <w:lang w:val="es-ES"/>
        </w:rPr>
        <w:t>:</w:t>
      </w:r>
      <w:r w:rsidRPr="00302C4D">
        <w:rPr>
          <w:rFonts w:ascii="Arial" w:hAnsi="Arial" w:cs="Arial"/>
          <w:sz w:val="20"/>
          <w:lang w:val="es-ES"/>
        </w:rPr>
        <w:t xml:space="preserve"> </w:t>
      </w:r>
      <w:r>
        <w:rPr>
          <w:rFonts w:ascii="Arial" w:hAnsi="Arial" w:cs="Arial"/>
          <w:sz w:val="20"/>
          <w:lang w:val="es-ES"/>
        </w:rPr>
        <w:t xml:space="preserve"> </w:t>
      </w:r>
      <w:r w:rsidRPr="00302C4D">
        <w:rPr>
          <w:rFonts w:ascii="Arial" w:hAnsi="Arial" w:cs="Arial"/>
          <w:sz w:val="20"/>
          <w:lang w:val="es-ES"/>
        </w:rPr>
        <w:t>Inter</w:t>
      </w:r>
      <w:r>
        <w:rPr>
          <w:rFonts w:ascii="Arial" w:hAnsi="Arial" w:cs="Arial"/>
          <w:sz w:val="20"/>
          <w:lang w:val="es-ES"/>
        </w:rPr>
        <w:t>eses pagaderos por empréstitos;  cargos bancarios</w:t>
      </w:r>
      <w:r w:rsidRPr="00302C4D">
        <w:rPr>
          <w:rFonts w:ascii="Arial" w:hAnsi="Arial" w:cs="Arial"/>
          <w:sz w:val="20"/>
          <w:lang w:val="es-ES"/>
        </w:rPr>
        <w:t>.</w:t>
      </w:r>
    </w:p>
    <w:p w:rsidR="006561C8" w:rsidRPr="00302C4D" w:rsidRDefault="006561C8" w:rsidP="006561C8">
      <w:pPr>
        <w:jc w:val="both"/>
        <w:rPr>
          <w:b/>
          <w:bCs/>
          <w:sz w:val="20"/>
        </w:rPr>
      </w:pPr>
    </w:p>
    <w:p w:rsidR="006561C8" w:rsidRPr="00F029DA" w:rsidRDefault="006561C8" w:rsidP="006561C8">
      <w:pPr>
        <w:jc w:val="both"/>
        <w:rPr>
          <w:b/>
          <w:bCs/>
          <w:sz w:val="20"/>
        </w:rPr>
      </w:pPr>
      <w:r w:rsidRPr="00F029DA">
        <w:rPr>
          <w:b/>
          <w:bCs/>
          <w:sz w:val="20"/>
        </w:rPr>
        <w:t>Gastos de operación</w:t>
      </w:r>
    </w:p>
    <w:p w:rsidR="006561C8" w:rsidRPr="00F029DA" w:rsidRDefault="006561C8" w:rsidP="006561C8">
      <w:pPr>
        <w:jc w:val="both"/>
        <w:rPr>
          <w:sz w:val="20"/>
        </w:rPr>
      </w:pPr>
    </w:p>
    <w:p w:rsidR="006561C8" w:rsidRPr="00302C4D" w:rsidRDefault="006561C8" w:rsidP="006561C8">
      <w:pPr>
        <w:numPr>
          <w:ilvl w:val="0"/>
          <w:numId w:val="84"/>
        </w:numPr>
        <w:tabs>
          <w:tab w:val="clear" w:pos="1160"/>
          <w:tab w:val="num" w:pos="567"/>
        </w:tabs>
        <w:ind w:left="567" w:hanging="283"/>
        <w:jc w:val="both"/>
        <w:rPr>
          <w:color w:val="000000"/>
          <w:sz w:val="20"/>
        </w:rPr>
      </w:pPr>
      <w:r>
        <w:rPr>
          <w:b/>
          <w:bCs/>
          <w:i/>
          <w:iCs/>
          <w:color w:val="000000"/>
          <w:sz w:val="20"/>
        </w:rPr>
        <w:t>Locales y mantenimiento</w:t>
      </w:r>
      <w:r w:rsidRPr="00302C4D">
        <w:rPr>
          <w:color w:val="000000"/>
          <w:sz w:val="20"/>
        </w:rPr>
        <w:t xml:space="preserve">: </w:t>
      </w:r>
      <w:r>
        <w:rPr>
          <w:color w:val="000000"/>
          <w:sz w:val="20"/>
        </w:rPr>
        <w:t xml:space="preserve"> </w:t>
      </w:r>
      <w:r w:rsidRPr="00183CE4">
        <w:rPr>
          <w:color w:val="000000"/>
          <w:sz w:val="20"/>
        </w:rPr>
        <w:t>Adquisición, alquiler, mejora y mantenimiento del espacio de oficinas y alquiler o mantenimiento de equipo</w:t>
      </w:r>
      <w:r>
        <w:rPr>
          <w:color w:val="000000"/>
          <w:sz w:val="20"/>
        </w:rPr>
        <w:t xml:space="preserve">s y </w:t>
      </w:r>
      <w:r w:rsidRPr="00183CE4">
        <w:rPr>
          <w:color w:val="000000"/>
          <w:sz w:val="20"/>
        </w:rPr>
        <w:t>mobiliario; consultores externos contratados para la gestión de las obras del nuevo edificio</w:t>
      </w:r>
      <w:r w:rsidRPr="00302C4D">
        <w:rPr>
          <w:color w:val="000000"/>
          <w:sz w:val="20"/>
        </w:rPr>
        <w:t>.</w:t>
      </w:r>
    </w:p>
    <w:p w:rsidR="006561C8" w:rsidRPr="00302C4D" w:rsidRDefault="006561C8" w:rsidP="006561C8">
      <w:pPr>
        <w:tabs>
          <w:tab w:val="num" w:pos="567"/>
        </w:tabs>
        <w:ind w:left="567" w:hanging="283"/>
        <w:jc w:val="both"/>
        <w:rPr>
          <w:sz w:val="20"/>
        </w:rPr>
      </w:pPr>
    </w:p>
    <w:p w:rsidR="006561C8" w:rsidRPr="00183CE4" w:rsidRDefault="006561C8" w:rsidP="006561C8">
      <w:pPr>
        <w:numPr>
          <w:ilvl w:val="0"/>
          <w:numId w:val="84"/>
        </w:numPr>
        <w:tabs>
          <w:tab w:val="clear" w:pos="1160"/>
          <w:tab w:val="num" w:pos="567"/>
        </w:tabs>
        <w:ind w:left="567" w:hanging="283"/>
        <w:jc w:val="both"/>
        <w:rPr>
          <w:sz w:val="20"/>
        </w:rPr>
      </w:pPr>
      <w:r w:rsidRPr="00183CE4">
        <w:rPr>
          <w:b/>
          <w:i/>
          <w:sz w:val="20"/>
        </w:rPr>
        <w:t>Comunicación</w:t>
      </w:r>
      <w:r w:rsidRPr="00183CE4">
        <w:rPr>
          <w:sz w:val="20"/>
        </w:rPr>
        <w:t xml:space="preserve">:  Gastos de comunicación como los gastos de teléfono, Internet, fax y correo, franqueo y transporte de documentos. </w:t>
      </w:r>
    </w:p>
    <w:p w:rsidR="006561C8" w:rsidRPr="00183CE4" w:rsidRDefault="006561C8" w:rsidP="006561C8">
      <w:pPr>
        <w:tabs>
          <w:tab w:val="num" w:pos="567"/>
        </w:tabs>
        <w:jc w:val="both"/>
        <w:rPr>
          <w:sz w:val="20"/>
        </w:rPr>
      </w:pPr>
    </w:p>
    <w:p w:rsidR="006561C8" w:rsidRPr="00302C4D" w:rsidRDefault="006561C8" w:rsidP="006561C8">
      <w:pPr>
        <w:numPr>
          <w:ilvl w:val="0"/>
          <w:numId w:val="84"/>
        </w:numPr>
        <w:tabs>
          <w:tab w:val="clear" w:pos="1160"/>
          <w:tab w:val="num" w:pos="567"/>
        </w:tabs>
        <w:ind w:left="567" w:hanging="283"/>
        <w:jc w:val="both"/>
        <w:rPr>
          <w:color w:val="000000"/>
          <w:sz w:val="20"/>
        </w:rPr>
      </w:pPr>
      <w:r w:rsidRPr="00302C4D">
        <w:rPr>
          <w:b/>
          <w:bCs/>
          <w:i/>
          <w:iCs/>
          <w:sz w:val="20"/>
        </w:rPr>
        <w:t>Representa</w:t>
      </w:r>
      <w:r>
        <w:rPr>
          <w:b/>
          <w:bCs/>
          <w:i/>
          <w:iCs/>
          <w:sz w:val="20"/>
        </w:rPr>
        <w:t>ción</w:t>
      </w:r>
      <w:r w:rsidRPr="00302C4D">
        <w:rPr>
          <w:b/>
          <w:bCs/>
          <w:i/>
          <w:iCs/>
          <w:sz w:val="20"/>
        </w:rPr>
        <w:t xml:space="preserve"> </w:t>
      </w:r>
      <w:r>
        <w:rPr>
          <w:b/>
          <w:bCs/>
          <w:i/>
          <w:iCs/>
          <w:sz w:val="20"/>
        </w:rPr>
        <w:t>y gastos de operación diversos</w:t>
      </w:r>
      <w:r>
        <w:rPr>
          <w:sz w:val="20"/>
        </w:rPr>
        <w:t>:  Gastos en atenciones sociales oficiales</w:t>
      </w:r>
      <w:r w:rsidRPr="00302C4D">
        <w:rPr>
          <w:sz w:val="20"/>
        </w:rPr>
        <w:t xml:space="preserve">, </w:t>
      </w:r>
      <w:r>
        <w:rPr>
          <w:sz w:val="20"/>
        </w:rPr>
        <w:t>contribución de la OMPI a la Asociación del Personal y gastos de operación varios</w:t>
      </w:r>
      <w:r w:rsidRPr="00302C4D">
        <w:rPr>
          <w:sz w:val="20"/>
        </w:rPr>
        <w:t>.</w:t>
      </w:r>
    </w:p>
    <w:p w:rsidR="006561C8" w:rsidRPr="00302C4D" w:rsidRDefault="006561C8" w:rsidP="006561C8">
      <w:pPr>
        <w:tabs>
          <w:tab w:val="num" w:pos="567"/>
        </w:tabs>
        <w:jc w:val="both"/>
        <w:rPr>
          <w:color w:val="000000"/>
          <w:sz w:val="20"/>
        </w:rPr>
      </w:pPr>
    </w:p>
    <w:p w:rsidR="006561C8" w:rsidRPr="00F029DA" w:rsidRDefault="006561C8" w:rsidP="006561C8">
      <w:pPr>
        <w:numPr>
          <w:ilvl w:val="0"/>
          <w:numId w:val="84"/>
        </w:numPr>
        <w:tabs>
          <w:tab w:val="clear" w:pos="1160"/>
          <w:tab w:val="num" w:pos="567"/>
        </w:tabs>
        <w:ind w:left="567" w:hanging="283"/>
        <w:jc w:val="both"/>
        <w:rPr>
          <w:sz w:val="20"/>
        </w:rPr>
      </w:pPr>
      <w:r w:rsidRPr="00F029DA">
        <w:rPr>
          <w:b/>
          <w:sz w:val="20"/>
        </w:rPr>
        <w:t>Servicios en común con las NN.UU</w:t>
      </w:r>
      <w:r w:rsidRPr="00F029DA">
        <w:rPr>
          <w:sz w:val="20"/>
        </w:rPr>
        <w:t>.:  Asistencia médica, contribuciones a las actividades administrativas comunes en el sistema de NN.UU., actividades cofinanciadas por las NN.UU., y el Tribunal Administrativo.</w:t>
      </w:r>
    </w:p>
    <w:p w:rsidR="006561C8" w:rsidRPr="00F029DA" w:rsidRDefault="006561C8" w:rsidP="006561C8">
      <w:pPr>
        <w:jc w:val="both"/>
        <w:rPr>
          <w:b/>
          <w:bCs/>
          <w:sz w:val="20"/>
        </w:rPr>
      </w:pPr>
    </w:p>
    <w:p w:rsidR="006561C8" w:rsidRPr="00F029DA" w:rsidRDefault="006561C8" w:rsidP="006561C8">
      <w:pPr>
        <w:jc w:val="both"/>
        <w:rPr>
          <w:b/>
          <w:bCs/>
          <w:sz w:val="20"/>
        </w:rPr>
      </w:pPr>
    </w:p>
    <w:p w:rsidR="006561C8" w:rsidRPr="00F029DA" w:rsidRDefault="006561C8" w:rsidP="006561C8">
      <w:pPr>
        <w:rPr>
          <w:b/>
          <w:bCs/>
          <w:sz w:val="20"/>
        </w:rPr>
      </w:pPr>
      <w:r w:rsidRPr="00F029DA">
        <w:rPr>
          <w:b/>
          <w:bCs/>
          <w:sz w:val="20"/>
        </w:rPr>
        <w:t>Equipo y suministros</w:t>
      </w:r>
    </w:p>
    <w:p w:rsidR="006561C8" w:rsidRPr="00302C4D" w:rsidRDefault="006561C8" w:rsidP="006561C8">
      <w:pPr>
        <w:jc w:val="both"/>
        <w:rPr>
          <w:color w:val="808080"/>
          <w:sz w:val="20"/>
        </w:rPr>
      </w:pPr>
    </w:p>
    <w:p w:rsidR="006561C8" w:rsidRPr="00F029DA" w:rsidRDefault="006561C8" w:rsidP="006561C8">
      <w:pPr>
        <w:numPr>
          <w:ilvl w:val="0"/>
          <w:numId w:val="85"/>
        </w:numPr>
        <w:tabs>
          <w:tab w:val="num" w:pos="567"/>
        </w:tabs>
        <w:ind w:left="567" w:hanging="283"/>
        <w:jc w:val="both"/>
        <w:rPr>
          <w:sz w:val="20"/>
        </w:rPr>
      </w:pPr>
      <w:r w:rsidRPr="00F029DA">
        <w:rPr>
          <w:b/>
          <w:i/>
          <w:sz w:val="20"/>
        </w:rPr>
        <w:t>Mobiliario y equipo</w:t>
      </w:r>
      <w:r w:rsidRPr="00F029DA">
        <w:rPr>
          <w:sz w:val="20"/>
        </w:rPr>
        <w:t>:  Compra de mobiliario y máquinas de oficina;  equipo informático (computadoras de escritorio y portátiles, impresoras, servidores, etc.);  equipo para servicios de conferencias;  equipo de reproducción;  y equipo de transporte.</w:t>
      </w:r>
    </w:p>
    <w:p w:rsidR="006561C8" w:rsidRPr="00F029DA" w:rsidRDefault="006561C8" w:rsidP="006561C8">
      <w:pPr>
        <w:tabs>
          <w:tab w:val="num" w:pos="567"/>
        </w:tabs>
        <w:ind w:left="567" w:hanging="283"/>
        <w:jc w:val="both"/>
        <w:rPr>
          <w:sz w:val="20"/>
        </w:rPr>
      </w:pPr>
    </w:p>
    <w:p w:rsidR="006561C8" w:rsidRPr="00F029DA" w:rsidRDefault="006561C8" w:rsidP="006561C8">
      <w:pPr>
        <w:numPr>
          <w:ilvl w:val="0"/>
          <w:numId w:val="85"/>
        </w:numPr>
        <w:tabs>
          <w:tab w:val="num" w:pos="567"/>
        </w:tabs>
        <w:ind w:left="567" w:hanging="283"/>
        <w:jc w:val="both"/>
        <w:rPr>
          <w:sz w:val="20"/>
        </w:rPr>
      </w:pPr>
      <w:r w:rsidRPr="00F029DA">
        <w:rPr>
          <w:b/>
          <w:i/>
          <w:sz w:val="20"/>
        </w:rPr>
        <w:t>Suministros y material</w:t>
      </w:r>
      <w:r w:rsidRPr="00F029DA">
        <w:rPr>
          <w:sz w:val="20"/>
        </w:rPr>
        <w:t>:  Papel y material para oficina;  material de reproducción interna (offset, microfilms, etc.);  libros para la Biblioteca y suscripciones a revistas y publicaciones periódicas;  uniformes;  material para computadoras;  programas informáticos y licencias para computadoras.</w:t>
      </w:r>
    </w:p>
    <w:p w:rsidR="006561C8" w:rsidRPr="008857F9" w:rsidRDefault="006561C8" w:rsidP="00984EFC"/>
    <w:p w:rsidR="006561C8" w:rsidRPr="008857F9" w:rsidRDefault="006561C8" w:rsidP="006561C8">
      <w:pPr>
        <w:rPr>
          <w:sz w:val="20"/>
        </w:rPr>
      </w:pPr>
      <w:r w:rsidRPr="008857F9">
        <w:rPr>
          <w:sz w:val="20"/>
        </w:rPr>
        <w:br w:type="page"/>
      </w:r>
    </w:p>
    <w:p w:rsidR="006561C8" w:rsidRPr="008857F9" w:rsidRDefault="006561C8" w:rsidP="006561C8">
      <w:pPr>
        <w:pStyle w:val="StyleHeading3ComplexItalic"/>
        <w:keepNext w:val="0"/>
        <w:tabs>
          <w:tab w:val="clear" w:pos="1985"/>
          <w:tab w:val="left" w:pos="0"/>
        </w:tabs>
        <w:rPr>
          <w:caps w:val="0"/>
          <w:lang w:val="es-ES"/>
        </w:rPr>
      </w:pPr>
      <w:bookmarkStart w:id="130" w:name="_Toc310950815"/>
      <w:bookmarkStart w:id="131" w:name="_Toc356567801"/>
      <w:bookmarkStart w:id="132" w:name="_Toc367350627"/>
      <w:bookmarkStart w:id="133" w:name="_Toc419283295"/>
      <w:bookmarkStart w:id="134" w:name="_Toc420681186"/>
      <w:r w:rsidRPr="008857F9">
        <w:rPr>
          <w:caps w:val="0"/>
          <w:lang w:val="es-ES"/>
        </w:rPr>
        <w:lastRenderedPageBreak/>
        <w:t>APÉNDICE C</w:t>
      </w:r>
      <w:r w:rsidRPr="008857F9">
        <w:rPr>
          <w:caps w:val="0"/>
          <w:lang w:val="es-ES"/>
        </w:rPr>
        <w:br/>
        <w:t>C</w:t>
      </w:r>
      <w:r w:rsidR="00CD5F30">
        <w:rPr>
          <w:caps w:val="0"/>
          <w:lang w:val="es-ES"/>
        </w:rPr>
        <w:t>ÁLCULO DEL C</w:t>
      </w:r>
      <w:r w:rsidRPr="008857F9">
        <w:rPr>
          <w:caps w:val="0"/>
          <w:lang w:val="es-ES"/>
        </w:rPr>
        <w:t>OSTO DE PERSON</w:t>
      </w:r>
      <w:bookmarkEnd w:id="130"/>
      <w:bookmarkEnd w:id="131"/>
      <w:bookmarkEnd w:id="132"/>
      <w:bookmarkEnd w:id="133"/>
      <w:r w:rsidRPr="008857F9">
        <w:rPr>
          <w:caps w:val="0"/>
          <w:lang w:val="es-ES"/>
        </w:rPr>
        <w:t>AL</w:t>
      </w:r>
      <w:bookmarkEnd w:id="134"/>
    </w:p>
    <w:p w:rsidR="006561C8" w:rsidRPr="008857F9" w:rsidRDefault="006561C8" w:rsidP="006561C8">
      <w:pPr>
        <w:pStyle w:val="Header"/>
        <w:rPr>
          <w:sz w:val="20"/>
        </w:rPr>
      </w:pPr>
    </w:p>
    <w:p w:rsidR="006561C8" w:rsidRPr="008857F9" w:rsidRDefault="006561C8" w:rsidP="006561C8">
      <w:pPr>
        <w:pStyle w:val="Header"/>
        <w:rPr>
          <w:sz w:val="20"/>
        </w:rPr>
      </w:pPr>
    </w:p>
    <w:p w:rsidR="006561C8" w:rsidRPr="008857F9" w:rsidRDefault="006561C8" w:rsidP="006561C8">
      <w:pPr>
        <w:pStyle w:val="ListParagraph"/>
        <w:numPr>
          <w:ilvl w:val="0"/>
          <w:numId w:val="80"/>
        </w:numPr>
        <w:tabs>
          <w:tab w:val="left" w:pos="567"/>
        </w:tabs>
        <w:ind w:left="0" w:firstLine="0"/>
        <w:rPr>
          <w:rFonts w:ascii="Arial" w:hAnsi="Arial" w:cs="Arial"/>
          <w:sz w:val="20"/>
          <w:lang w:val="es-ES"/>
        </w:rPr>
      </w:pPr>
      <w:r w:rsidRPr="008857F9">
        <w:rPr>
          <w:rFonts w:ascii="Arial" w:hAnsi="Arial" w:cs="Arial"/>
          <w:sz w:val="20"/>
          <w:lang w:val="es-ES"/>
        </w:rPr>
        <w:t>Tras la puesta en marcha del sistema de gestión del rendimiento institucional y la aplicación de la PRI (RR.HH. y nómina) y en el marco de la consolidación continua de la gestión por resultados, en particular, en lo que atañe a reforzar el vínculo entre la labor realizada y los recursos conexos necesarios para la aplicación, se ha introducido para el bienio 2016/17 un cambio en la metodología de cálculo de los costos de personal.  El presupuesto correspondiente a los recursos de personal de la Organización se ha obtenido a partir de una presupuestación basada en costos reales.</w:t>
      </w:r>
    </w:p>
    <w:p w:rsidR="006561C8" w:rsidRPr="008857F9" w:rsidRDefault="006561C8" w:rsidP="006561C8">
      <w:pPr>
        <w:rPr>
          <w:sz w:val="20"/>
        </w:rPr>
      </w:pPr>
    </w:p>
    <w:p w:rsidR="006561C8" w:rsidRPr="008857F9" w:rsidRDefault="006561C8" w:rsidP="006561C8">
      <w:pPr>
        <w:pStyle w:val="ListParagraph"/>
        <w:numPr>
          <w:ilvl w:val="0"/>
          <w:numId w:val="80"/>
        </w:numPr>
        <w:tabs>
          <w:tab w:val="left" w:pos="567"/>
        </w:tabs>
        <w:ind w:left="0" w:firstLine="0"/>
        <w:rPr>
          <w:rFonts w:ascii="Arial" w:hAnsi="Arial"/>
          <w:sz w:val="20"/>
          <w:lang w:val="es-ES"/>
        </w:rPr>
      </w:pPr>
      <w:r w:rsidRPr="008857F9">
        <w:rPr>
          <w:rFonts w:ascii="Arial" w:hAnsi="Arial" w:cs="Arial"/>
          <w:sz w:val="20"/>
          <w:lang w:val="es-ES"/>
        </w:rPr>
        <w:t>El cálculo de costos basado en importes reales se funda en las escalas de sueldos y remuneración pensionable disponibles más recientes</w:t>
      </w:r>
      <w:r w:rsidRPr="008857F9">
        <w:rPr>
          <w:rFonts w:ascii="Arial" w:hAnsi="Arial" w:cs="Arial"/>
          <w:sz w:val="20"/>
          <w:vertAlign w:val="superscript"/>
          <w:lang w:val="es-ES"/>
        </w:rPr>
        <w:footnoteReference w:id="26"/>
      </w:r>
      <w:r w:rsidRPr="008857F9">
        <w:rPr>
          <w:rFonts w:ascii="Arial" w:hAnsi="Arial" w:cs="Arial"/>
          <w:sz w:val="20"/>
          <w:lang w:val="es-ES"/>
        </w:rPr>
        <w:t xml:space="preserve">, de las NN.UU., para las categorías profesional y superior y </w:t>
      </w:r>
      <w:r w:rsidRPr="008857F9">
        <w:rPr>
          <w:rFonts w:ascii="Arial" w:hAnsi="Arial"/>
          <w:sz w:val="20"/>
          <w:lang w:val="es-ES"/>
        </w:rPr>
        <w:t>funcionarios de la categoría de servicios generales, datos históricos sobre familiares a cargo y políticas y prestaciones aplicables.  Se ha aplicado una metodología de cálculo de los costos que incorpora varios elementos de costo para obtener los costos al nivel de los cargos, que se utilizan luego para calcular los costos globales de recursos de personal.  A continuación se exponen sucintamente los elementos de costo incluidos en el cálculo de costos basado en importes reales y los supuestos en que se basan.</w:t>
      </w:r>
    </w:p>
    <w:p w:rsidR="006561C8" w:rsidRPr="00D56677" w:rsidRDefault="006561C8" w:rsidP="006561C8">
      <w:pPr>
        <w:rPr>
          <w:sz w:val="16"/>
          <w:szCs w:val="16"/>
        </w:rPr>
      </w:pPr>
    </w:p>
    <w:p w:rsidR="006561C8" w:rsidRPr="008857F9" w:rsidRDefault="006561C8" w:rsidP="006561C8">
      <w:pPr>
        <w:jc w:val="center"/>
      </w:pPr>
      <w:r w:rsidRPr="008857F9">
        <w:rPr>
          <w:b/>
          <w:sz w:val="20"/>
        </w:rPr>
        <w:t>Cálculo de costos basado en</w:t>
      </w:r>
      <w:r w:rsidR="009E58E8">
        <w:rPr>
          <w:b/>
          <w:sz w:val="20"/>
        </w:rPr>
        <w:t xml:space="preserve"> los</w:t>
      </w:r>
      <w:r w:rsidRPr="008857F9">
        <w:rPr>
          <w:b/>
          <w:sz w:val="20"/>
        </w:rPr>
        <w:t xml:space="preserve"> importes reales y </w:t>
      </w:r>
      <w:r w:rsidR="009E58E8">
        <w:rPr>
          <w:b/>
          <w:sz w:val="20"/>
        </w:rPr>
        <w:t xml:space="preserve">los </w:t>
      </w:r>
      <w:r w:rsidRPr="008857F9">
        <w:rPr>
          <w:b/>
          <w:sz w:val="20"/>
        </w:rPr>
        <w:t xml:space="preserve">supuestos en </w:t>
      </w:r>
      <w:r w:rsidR="009E58E8">
        <w:rPr>
          <w:b/>
          <w:sz w:val="20"/>
        </w:rPr>
        <w:t xml:space="preserve">los </w:t>
      </w:r>
      <w:r w:rsidRPr="008857F9">
        <w:rPr>
          <w:b/>
          <w:sz w:val="20"/>
        </w:rPr>
        <w:t>que se basan</w:t>
      </w:r>
    </w:p>
    <w:p w:rsidR="006561C8" w:rsidRPr="00D56677" w:rsidRDefault="006561C8" w:rsidP="006561C8">
      <w:pPr>
        <w:jc w:val="center"/>
        <w:rPr>
          <w:sz w:val="16"/>
          <w:szCs w:val="16"/>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3870"/>
        <w:gridCol w:w="3870"/>
      </w:tblGrid>
      <w:tr w:rsidR="006561C8" w:rsidRPr="008857F9" w:rsidTr="001914A4">
        <w:tc>
          <w:tcPr>
            <w:tcW w:w="1548" w:type="dxa"/>
            <w:shd w:val="clear" w:color="auto" w:fill="auto"/>
          </w:tcPr>
          <w:p w:rsidR="006561C8" w:rsidRPr="008857F9" w:rsidRDefault="006561C8" w:rsidP="001914A4">
            <w:pPr>
              <w:spacing w:before="60" w:after="60"/>
              <w:rPr>
                <w:b/>
                <w:sz w:val="18"/>
              </w:rPr>
            </w:pPr>
          </w:p>
        </w:tc>
        <w:tc>
          <w:tcPr>
            <w:tcW w:w="3870" w:type="dxa"/>
            <w:shd w:val="clear" w:color="auto" w:fill="auto"/>
          </w:tcPr>
          <w:p w:rsidR="006561C8" w:rsidRPr="008857F9" w:rsidRDefault="006561C8" w:rsidP="001914A4">
            <w:pPr>
              <w:spacing w:before="60" w:after="60"/>
              <w:jc w:val="center"/>
              <w:rPr>
                <w:bCs/>
                <w:sz w:val="18"/>
              </w:rPr>
            </w:pPr>
            <w:r w:rsidRPr="008857F9">
              <w:rPr>
                <w:b/>
                <w:sz w:val="18"/>
              </w:rPr>
              <w:t>Puestos</w:t>
            </w:r>
          </w:p>
          <w:p w:rsidR="006561C8" w:rsidRPr="008857F9" w:rsidRDefault="006561C8" w:rsidP="001914A4">
            <w:pPr>
              <w:spacing w:before="60" w:after="60"/>
              <w:jc w:val="center"/>
              <w:rPr>
                <w:bCs/>
                <w:sz w:val="18"/>
              </w:rPr>
            </w:pPr>
            <w:r w:rsidRPr="008857F9">
              <w:rPr>
                <w:bCs/>
                <w:sz w:val="18"/>
              </w:rPr>
              <w:t>(</w:t>
            </w:r>
            <w:r w:rsidRPr="008857F9">
              <w:rPr>
                <w:bCs/>
                <w:i/>
                <w:iCs/>
                <w:sz w:val="18"/>
              </w:rPr>
              <w:t xml:space="preserve">Categorías profesional y superior y </w:t>
            </w:r>
            <w:r w:rsidRPr="008857F9">
              <w:rPr>
                <w:bCs/>
                <w:i/>
                <w:iCs/>
                <w:sz w:val="18"/>
              </w:rPr>
              <w:br/>
              <w:t>servicios generales</w:t>
            </w:r>
            <w:r w:rsidRPr="008857F9">
              <w:rPr>
                <w:bCs/>
                <w:sz w:val="18"/>
              </w:rPr>
              <w:t>)</w:t>
            </w:r>
          </w:p>
        </w:tc>
        <w:tc>
          <w:tcPr>
            <w:tcW w:w="3870" w:type="dxa"/>
          </w:tcPr>
          <w:p w:rsidR="006561C8" w:rsidRPr="008857F9" w:rsidRDefault="006561C8" w:rsidP="001914A4">
            <w:pPr>
              <w:spacing w:before="60" w:after="60"/>
              <w:jc w:val="center"/>
              <w:rPr>
                <w:b/>
                <w:sz w:val="18"/>
              </w:rPr>
            </w:pPr>
            <w:r w:rsidRPr="008857F9">
              <w:rPr>
                <w:b/>
                <w:sz w:val="18"/>
              </w:rPr>
              <w:t>Personal temporal</w:t>
            </w:r>
          </w:p>
          <w:p w:rsidR="006561C8" w:rsidRPr="008857F9" w:rsidRDefault="006561C8" w:rsidP="001914A4">
            <w:pPr>
              <w:spacing w:before="60" w:after="60"/>
              <w:jc w:val="center"/>
              <w:rPr>
                <w:bCs/>
                <w:sz w:val="18"/>
              </w:rPr>
            </w:pPr>
            <w:r w:rsidRPr="008857F9">
              <w:rPr>
                <w:bCs/>
                <w:sz w:val="18"/>
              </w:rPr>
              <w:t>(</w:t>
            </w:r>
            <w:r w:rsidRPr="008857F9">
              <w:rPr>
                <w:bCs/>
                <w:i/>
                <w:iCs/>
                <w:sz w:val="18"/>
              </w:rPr>
              <w:t xml:space="preserve">Categorías profesional y superior y </w:t>
            </w:r>
            <w:r w:rsidRPr="008857F9">
              <w:rPr>
                <w:bCs/>
                <w:i/>
                <w:iCs/>
                <w:sz w:val="18"/>
              </w:rPr>
              <w:br/>
              <w:t>servicios generales</w:t>
            </w:r>
            <w:r w:rsidRPr="008857F9">
              <w:rPr>
                <w:bCs/>
                <w:sz w:val="18"/>
              </w:rPr>
              <w:t>)</w:t>
            </w:r>
          </w:p>
        </w:tc>
      </w:tr>
      <w:tr w:rsidR="006561C8" w:rsidRPr="008857F9" w:rsidTr="00D56677">
        <w:trPr>
          <w:trHeight w:val="2569"/>
        </w:trPr>
        <w:tc>
          <w:tcPr>
            <w:tcW w:w="1548" w:type="dxa"/>
          </w:tcPr>
          <w:p w:rsidR="006561C8" w:rsidRPr="008857F9" w:rsidRDefault="006561C8" w:rsidP="001914A4">
            <w:pPr>
              <w:spacing w:before="60"/>
              <w:rPr>
                <w:b/>
                <w:sz w:val="18"/>
              </w:rPr>
            </w:pPr>
            <w:r w:rsidRPr="008857F9">
              <w:rPr>
                <w:b/>
                <w:sz w:val="18"/>
              </w:rPr>
              <w:t>Sueldo</w:t>
            </w:r>
          </w:p>
        </w:tc>
        <w:tc>
          <w:tcPr>
            <w:tcW w:w="3870" w:type="dxa"/>
          </w:tcPr>
          <w:p w:rsidR="006561C8" w:rsidRPr="008857F9" w:rsidRDefault="006561C8" w:rsidP="001914A4">
            <w:pPr>
              <w:spacing w:before="60"/>
              <w:rPr>
                <w:sz w:val="16"/>
              </w:rPr>
            </w:pPr>
            <w:r w:rsidRPr="008857F9">
              <w:rPr>
                <w:sz w:val="16"/>
              </w:rPr>
              <w:t xml:space="preserve">El sueldo de un cargo cubierto se calcula al nivel del cargo, aplicando las escalas de sueldo (CAPI) para funcionarios con o sin familiares a cargo en el grado/escalón previsto.  Para los cargos vacantes, se aplica la escala para funcionarios con familiares a cargo en un escalón y grado promedio.  Luego, se convierte en francos suizos el importe calculado en dólares EE.UU., y se aplica el multiplicador de ajuste por lugar de destino, cuando proceda (para las categorías profesional y superior). </w:t>
            </w:r>
          </w:p>
          <w:p w:rsidR="006561C8" w:rsidRPr="008857F9" w:rsidRDefault="006561C8" w:rsidP="001914A4">
            <w:pPr>
              <w:spacing w:before="60"/>
              <w:rPr>
                <w:sz w:val="16"/>
              </w:rPr>
            </w:pPr>
            <w:r w:rsidRPr="008857F9">
              <w:rPr>
                <w:sz w:val="16"/>
              </w:rPr>
              <w:t>Se añade al importe total el porcentaje de la remuneración pensionable (CCPPNU) correspondiente a la Organización.</w:t>
            </w:r>
          </w:p>
        </w:tc>
        <w:tc>
          <w:tcPr>
            <w:tcW w:w="3870" w:type="dxa"/>
          </w:tcPr>
          <w:p w:rsidR="006561C8" w:rsidRPr="008857F9" w:rsidRDefault="006561C8" w:rsidP="001914A4">
            <w:pPr>
              <w:spacing w:before="60"/>
              <w:rPr>
                <w:sz w:val="16"/>
              </w:rPr>
            </w:pPr>
            <w:r w:rsidRPr="008857F9">
              <w:rPr>
                <w:sz w:val="16"/>
              </w:rPr>
              <w:t>El sueldo de un cargo cubierto se calcula al nivel del cargo, aplicando las escalas de sueldo (CAPI) para funcionarios con o sin familiares a cargo en el grado/escalón previsto.  Para los cargos vacantes, se aplica la escala para funcionarios con familiares a cargo en un escalón y grado promedio.  Luego, se convierte en francos suizos el importe calculado en dólares EE.UU., y se aplica el multiplicador de ajuste por lugar de destino, cuando proceda (para las categorías profesional y superior).</w:t>
            </w:r>
          </w:p>
          <w:p w:rsidR="006561C8" w:rsidRPr="008857F9" w:rsidRDefault="006561C8" w:rsidP="00067C99">
            <w:pPr>
              <w:spacing w:before="60"/>
              <w:rPr>
                <w:sz w:val="16"/>
              </w:rPr>
            </w:pPr>
            <w:r w:rsidRPr="008857F9">
              <w:rPr>
                <w:sz w:val="16"/>
              </w:rPr>
              <w:t>Se añade al importe total el porcentaje de la remuneración pensionable (CCPPNU) correspondiente a la Organización.</w:t>
            </w:r>
          </w:p>
        </w:tc>
      </w:tr>
      <w:tr w:rsidR="006561C8" w:rsidRPr="008857F9" w:rsidTr="00D56677">
        <w:trPr>
          <w:trHeight w:val="2406"/>
        </w:trPr>
        <w:tc>
          <w:tcPr>
            <w:tcW w:w="1548" w:type="dxa"/>
            <w:tcBorders>
              <w:bottom w:val="nil"/>
            </w:tcBorders>
          </w:tcPr>
          <w:p w:rsidR="006561C8" w:rsidRPr="008857F9" w:rsidRDefault="006561C8" w:rsidP="001914A4">
            <w:pPr>
              <w:spacing w:before="60" w:after="60"/>
              <w:rPr>
                <w:b/>
                <w:sz w:val="18"/>
              </w:rPr>
            </w:pPr>
            <w:r w:rsidRPr="008857F9">
              <w:rPr>
                <w:b/>
                <w:sz w:val="18"/>
              </w:rPr>
              <w:t>Costos corrientes de personal (CCP)</w:t>
            </w:r>
          </w:p>
        </w:tc>
        <w:tc>
          <w:tcPr>
            <w:tcW w:w="3870" w:type="dxa"/>
            <w:tcBorders>
              <w:bottom w:val="nil"/>
            </w:tcBorders>
          </w:tcPr>
          <w:p w:rsidR="006561C8" w:rsidRPr="008857F9" w:rsidRDefault="006561C8" w:rsidP="00CF3566">
            <w:pPr>
              <w:spacing w:before="60" w:after="120"/>
              <w:rPr>
                <w:sz w:val="16"/>
              </w:rPr>
            </w:pPr>
            <w:r w:rsidRPr="008857F9">
              <w:rPr>
                <w:sz w:val="16"/>
              </w:rPr>
              <w:t>El CCP abarca todos los beneficios y prestaciones, distintos del sueldo, que se asignan de conformidad con el Estatuto y Reglamento del Personal (tales como el subsidio por familiares a cargo, las vacaciones en el país de origen, el subsidio de educación, etc.).  El costo corriente de personal se aplica al nivel del cargo sobre la base de un patrón histórico de gastos y previsiones efectuados.</w:t>
            </w:r>
          </w:p>
          <w:p w:rsidR="006561C8" w:rsidRPr="008857F9" w:rsidRDefault="006561C8" w:rsidP="00067C99">
            <w:pPr>
              <w:spacing w:after="120"/>
              <w:rPr>
                <w:sz w:val="16"/>
              </w:rPr>
            </w:pPr>
            <w:r w:rsidRPr="008857F9">
              <w:rPr>
                <w:sz w:val="16"/>
              </w:rPr>
              <w:t>Para los cargos vacantes, se aplica la presunción de cónyuge y un hijo a cargo para calcular los beneficios previstos.</w:t>
            </w:r>
          </w:p>
        </w:tc>
        <w:tc>
          <w:tcPr>
            <w:tcW w:w="3870" w:type="dxa"/>
            <w:tcBorders>
              <w:bottom w:val="nil"/>
            </w:tcBorders>
          </w:tcPr>
          <w:p w:rsidR="006561C8" w:rsidRPr="008857F9" w:rsidRDefault="006561C8" w:rsidP="00CF3566">
            <w:pPr>
              <w:spacing w:before="60" w:after="120"/>
              <w:rPr>
                <w:sz w:val="16"/>
              </w:rPr>
            </w:pPr>
            <w:r w:rsidRPr="008857F9">
              <w:rPr>
                <w:sz w:val="16"/>
              </w:rPr>
              <w:t>El CCP abarca todos los beneficios y prestaciones, distintos del sueldo, que se asignan de conformidad con el Estatuto y Reglamento del Personal (tales como el subsidio por familiares a cargo, las vacaciones en el país de origen, el subsidio de educación, etc.).  El costo corriente de personal se aplica al nivel del cargo sobre la base de un patrón histórico de gastos y previsiones efectuados.</w:t>
            </w:r>
          </w:p>
          <w:p w:rsidR="006561C8" w:rsidRPr="008857F9" w:rsidRDefault="006561C8" w:rsidP="00067C99">
            <w:pPr>
              <w:rPr>
                <w:sz w:val="16"/>
              </w:rPr>
            </w:pPr>
            <w:r w:rsidRPr="008857F9">
              <w:rPr>
                <w:sz w:val="16"/>
              </w:rPr>
              <w:t>Para los cargos vacantes, se aplica la presunción de cónyuge y un hijo a cargo para calcular los beneficios previstos.</w:t>
            </w:r>
          </w:p>
        </w:tc>
      </w:tr>
      <w:tr w:rsidR="006561C8" w:rsidRPr="008857F9" w:rsidTr="00D56677">
        <w:trPr>
          <w:trHeight w:val="595"/>
        </w:trPr>
        <w:tc>
          <w:tcPr>
            <w:tcW w:w="1548" w:type="dxa"/>
            <w:tcBorders>
              <w:top w:val="single" w:sz="6" w:space="0" w:color="auto"/>
              <w:left w:val="single" w:sz="6" w:space="0" w:color="auto"/>
              <w:bottom w:val="single" w:sz="6" w:space="0" w:color="auto"/>
              <w:right w:val="single" w:sz="6" w:space="0" w:color="auto"/>
            </w:tcBorders>
          </w:tcPr>
          <w:p w:rsidR="006561C8" w:rsidRPr="008857F9" w:rsidRDefault="006561C8" w:rsidP="001914A4">
            <w:pPr>
              <w:spacing w:beforeLines="60" w:before="144"/>
              <w:rPr>
                <w:b/>
                <w:sz w:val="18"/>
              </w:rPr>
            </w:pPr>
            <w:r w:rsidRPr="008857F9">
              <w:rPr>
                <w:b/>
                <w:sz w:val="18"/>
              </w:rPr>
              <w:t xml:space="preserve">Ajuste </w:t>
            </w:r>
          </w:p>
        </w:tc>
        <w:tc>
          <w:tcPr>
            <w:tcW w:w="3870" w:type="dxa"/>
            <w:tcBorders>
              <w:top w:val="single" w:sz="6" w:space="0" w:color="auto"/>
              <w:left w:val="single" w:sz="6" w:space="0" w:color="auto"/>
              <w:bottom w:val="single" w:sz="6" w:space="0" w:color="auto"/>
              <w:right w:val="single" w:sz="6" w:space="0" w:color="auto"/>
            </w:tcBorders>
          </w:tcPr>
          <w:p w:rsidR="006561C8" w:rsidRPr="008857F9" w:rsidRDefault="006561C8" w:rsidP="00CF3566">
            <w:pPr>
              <w:spacing w:before="60" w:after="120"/>
              <w:rPr>
                <w:sz w:val="16"/>
              </w:rPr>
            </w:pPr>
            <w:r w:rsidRPr="008857F9">
              <w:rPr>
                <w:sz w:val="16"/>
              </w:rPr>
              <w:t>El costo correspondiente a todos los cargos se ajusta a la baja para tener en cuenta el índice de vacantes previsto del 3%.</w:t>
            </w:r>
          </w:p>
        </w:tc>
        <w:tc>
          <w:tcPr>
            <w:tcW w:w="3870" w:type="dxa"/>
            <w:tcBorders>
              <w:top w:val="single" w:sz="6" w:space="0" w:color="auto"/>
              <w:left w:val="single" w:sz="6" w:space="0" w:color="auto"/>
              <w:bottom w:val="single" w:sz="6" w:space="0" w:color="auto"/>
              <w:right w:val="single" w:sz="6" w:space="0" w:color="auto"/>
            </w:tcBorders>
          </w:tcPr>
          <w:p w:rsidR="006561C8" w:rsidRPr="008857F9" w:rsidRDefault="006561C8" w:rsidP="00CF3566">
            <w:pPr>
              <w:spacing w:before="60" w:after="120"/>
              <w:rPr>
                <w:sz w:val="16"/>
              </w:rPr>
            </w:pPr>
            <w:r w:rsidRPr="008857F9">
              <w:rPr>
                <w:sz w:val="16"/>
              </w:rPr>
              <w:t xml:space="preserve">No se aplica el índice de vacantes a los cargos temporales. </w:t>
            </w:r>
          </w:p>
        </w:tc>
      </w:tr>
      <w:tr w:rsidR="006561C8" w:rsidRPr="008857F9" w:rsidTr="001914A4">
        <w:tc>
          <w:tcPr>
            <w:tcW w:w="1548" w:type="dxa"/>
            <w:tcBorders>
              <w:top w:val="single" w:sz="6" w:space="0" w:color="auto"/>
              <w:left w:val="single" w:sz="6" w:space="0" w:color="auto"/>
              <w:bottom w:val="single" w:sz="6" w:space="0" w:color="auto"/>
              <w:right w:val="single" w:sz="6" w:space="0" w:color="auto"/>
            </w:tcBorders>
          </w:tcPr>
          <w:p w:rsidR="006561C8" w:rsidRPr="008857F9" w:rsidRDefault="009E58E8" w:rsidP="009E58E8">
            <w:pPr>
              <w:spacing w:before="60" w:after="60"/>
              <w:rPr>
                <w:b/>
                <w:sz w:val="18"/>
              </w:rPr>
            </w:pPr>
            <w:r>
              <w:rPr>
                <w:b/>
                <w:sz w:val="18"/>
              </w:rPr>
              <w:t>Asignac</w:t>
            </w:r>
            <w:r w:rsidR="006561C8" w:rsidRPr="008857F9">
              <w:rPr>
                <w:b/>
                <w:sz w:val="18"/>
              </w:rPr>
              <w:t>ión relativa a la separación del servicio y costos conexos</w:t>
            </w:r>
          </w:p>
        </w:tc>
        <w:tc>
          <w:tcPr>
            <w:tcW w:w="3870" w:type="dxa"/>
            <w:tcBorders>
              <w:top w:val="single" w:sz="6" w:space="0" w:color="auto"/>
              <w:left w:val="single" w:sz="6" w:space="0" w:color="auto"/>
              <w:bottom w:val="single" w:sz="6" w:space="0" w:color="auto"/>
              <w:right w:val="single" w:sz="6" w:space="0" w:color="auto"/>
            </w:tcBorders>
          </w:tcPr>
          <w:p w:rsidR="006561C8" w:rsidRPr="008857F9" w:rsidRDefault="006561C8" w:rsidP="009E58E8">
            <w:pPr>
              <w:spacing w:before="60" w:after="60"/>
              <w:rPr>
                <w:sz w:val="16"/>
              </w:rPr>
            </w:pPr>
            <w:r w:rsidRPr="008857F9">
              <w:rPr>
                <w:sz w:val="16"/>
              </w:rPr>
              <w:t xml:space="preserve">Se aplica una </w:t>
            </w:r>
            <w:r w:rsidR="009E58E8">
              <w:rPr>
                <w:sz w:val="16"/>
              </w:rPr>
              <w:t>asignac</w:t>
            </w:r>
            <w:r w:rsidRPr="008857F9">
              <w:rPr>
                <w:sz w:val="16"/>
              </w:rPr>
              <w:t>ión del 6% respecto del costo total para sufragar los gastos relativos a la separación del servicio y para prestaciones pagaderas a los empleados después de</w:t>
            </w:r>
            <w:r w:rsidR="009E58E8">
              <w:rPr>
                <w:sz w:val="16"/>
              </w:rPr>
              <w:t xml:space="preserve"> </w:t>
            </w:r>
            <w:r w:rsidRPr="008857F9">
              <w:rPr>
                <w:sz w:val="16"/>
              </w:rPr>
              <w:t>l</w:t>
            </w:r>
            <w:r w:rsidR="009E58E8">
              <w:rPr>
                <w:sz w:val="16"/>
              </w:rPr>
              <w:t>a separación</w:t>
            </w:r>
            <w:r w:rsidRPr="008857F9">
              <w:rPr>
                <w:sz w:val="16"/>
              </w:rPr>
              <w:t>.</w:t>
            </w:r>
          </w:p>
        </w:tc>
        <w:tc>
          <w:tcPr>
            <w:tcW w:w="3870" w:type="dxa"/>
            <w:tcBorders>
              <w:top w:val="single" w:sz="6" w:space="0" w:color="auto"/>
              <w:left w:val="single" w:sz="6" w:space="0" w:color="auto"/>
              <w:bottom w:val="single" w:sz="6" w:space="0" w:color="auto"/>
              <w:right w:val="single" w:sz="6" w:space="0" w:color="auto"/>
            </w:tcBorders>
          </w:tcPr>
          <w:p w:rsidR="006561C8" w:rsidRPr="008857F9" w:rsidRDefault="006561C8" w:rsidP="009E58E8">
            <w:pPr>
              <w:spacing w:before="60" w:after="60"/>
              <w:rPr>
                <w:sz w:val="16"/>
              </w:rPr>
            </w:pPr>
            <w:r w:rsidRPr="008857F9">
              <w:rPr>
                <w:sz w:val="16"/>
              </w:rPr>
              <w:t>Se aplica una provisión del 2% respecto del costo total para sufragar los gastos relativos a la separación del servicio y para prestaciones pagaderas a los empleados después de</w:t>
            </w:r>
            <w:r w:rsidR="009E58E8">
              <w:rPr>
                <w:sz w:val="16"/>
              </w:rPr>
              <w:t xml:space="preserve"> </w:t>
            </w:r>
            <w:r w:rsidRPr="008857F9">
              <w:rPr>
                <w:sz w:val="16"/>
              </w:rPr>
              <w:t>l</w:t>
            </w:r>
            <w:r w:rsidR="009E58E8">
              <w:rPr>
                <w:sz w:val="16"/>
              </w:rPr>
              <w:t>a</w:t>
            </w:r>
            <w:r w:rsidRPr="008857F9">
              <w:rPr>
                <w:sz w:val="16"/>
              </w:rPr>
              <w:t xml:space="preserve"> se</w:t>
            </w:r>
            <w:r w:rsidR="009E58E8">
              <w:rPr>
                <w:sz w:val="16"/>
              </w:rPr>
              <w:t>paración</w:t>
            </w:r>
            <w:r w:rsidRPr="008857F9">
              <w:rPr>
                <w:sz w:val="16"/>
              </w:rPr>
              <w:t>.</w:t>
            </w:r>
          </w:p>
        </w:tc>
      </w:tr>
    </w:tbl>
    <w:p w:rsidR="006561C8" w:rsidRPr="008857F9" w:rsidRDefault="006561C8" w:rsidP="006561C8">
      <w:pPr>
        <w:rPr>
          <w:rFonts w:eastAsia="Times New Roman"/>
          <w:b/>
          <w:iCs/>
        </w:rPr>
      </w:pPr>
      <w:r w:rsidRPr="008857F9">
        <w:rPr>
          <w:caps/>
        </w:rPr>
        <w:br w:type="page"/>
      </w:r>
    </w:p>
    <w:p w:rsidR="006561C8" w:rsidRPr="008857F9" w:rsidRDefault="006561C8" w:rsidP="006561C8">
      <w:pPr>
        <w:pStyle w:val="StyleHeading3ComplexItalic"/>
        <w:keepNext w:val="0"/>
        <w:tabs>
          <w:tab w:val="clear" w:pos="1985"/>
          <w:tab w:val="left" w:pos="0"/>
        </w:tabs>
        <w:rPr>
          <w:caps w:val="0"/>
          <w:lang w:val="es-ES"/>
        </w:rPr>
      </w:pPr>
      <w:bookmarkStart w:id="135" w:name="_Toc420681187"/>
      <w:r w:rsidRPr="008857F9">
        <w:rPr>
          <w:caps w:val="0"/>
          <w:lang w:val="es-ES"/>
        </w:rPr>
        <w:lastRenderedPageBreak/>
        <w:t>APÉNDICE D</w:t>
      </w:r>
      <w:r w:rsidRPr="008857F9">
        <w:rPr>
          <w:caps w:val="0"/>
          <w:lang w:val="es-ES"/>
        </w:rPr>
        <w:br/>
        <w:t>FÓRMULAS DE FLEXIBILIDAD</w:t>
      </w:r>
      <w:bookmarkEnd w:id="135"/>
    </w:p>
    <w:p w:rsidR="006561C8" w:rsidRPr="008857F9" w:rsidRDefault="006561C8" w:rsidP="006561C8">
      <w:pPr>
        <w:rPr>
          <w:sz w:val="20"/>
        </w:rPr>
      </w:pPr>
    </w:p>
    <w:p w:rsidR="006561C8" w:rsidRPr="008857F9" w:rsidRDefault="006561C8" w:rsidP="006561C8">
      <w:pPr>
        <w:autoSpaceDE w:val="0"/>
        <w:autoSpaceDN w:val="0"/>
        <w:adjustRightInd w:val="0"/>
        <w:rPr>
          <w:sz w:val="20"/>
        </w:rPr>
      </w:pPr>
    </w:p>
    <w:p w:rsidR="006561C8" w:rsidRPr="008857F9" w:rsidRDefault="006561C8" w:rsidP="006561C8">
      <w:pPr>
        <w:pStyle w:val="Body"/>
        <w:rPr>
          <w:rFonts w:ascii="Arial" w:hAnsi="Arial" w:cs="Arial"/>
          <w:color w:val="auto"/>
          <w:sz w:val="20"/>
          <w:lang w:val="es-ES"/>
        </w:rPr>
      </w:pPr>
      <w:r w:rsidRPr="008857F9">
        <w:rPr>
          <w:rFonts w:ascii="Arial" w:hAnsi="Arial" w:cs="Arial"/>
          <w:color w:val="auto"/>
          <w:sz w:val="20"/>
          <w:lang w:val="es-ES"/>
        </w:rPr>
        <w:t>GENERALIDADES</w:t>
      </w:r>
    </w:p>
    <w:p w:rsidR="006561C8" w:rsidRPr="008857F9" w:rsidRDefault="006561C8" w:rsidP="006561C8">
      <w:pPr>
        <w:jc w:val="both"/>
        <w:rPr>
          <w:sz w:val="20"/>
        </w:rPr>
      </w:pPr>
    </w:p>
    <w:p w:rsidR="006561C8" w:rsidRPr="008857F9" w:rsidRDefault="006561C8" w:rsidP="006561C8">
      <w:pPr>
        <w:jc w:val="both"/>
        <w:rPr>
          <w:sz w:val="20"/>
        </w:rPr>
      </w:pPr>
      <w:r w:rsidRPr="008857F9">
        <w:rPr>
          <w:sz w:val="20"/>
        </w:rPr>
        <w:t xml:space="preserve">Las fórmulas de flexibilidad constituyen el mecanismo que permite introducir variaciones en los niveles de recursos financieros asignados a los sistemas de protección mundial (del PCT, de Madrid, de </w:t>
      </w:r>
      <w:r w:rsidR="003B0DF0">
        <w:rPr>
          <w:sz w:val="20"/>
        </w:rPr>
        <w:t>La Haya</w:t>
      </w:r>
      <w:r w:rsidRPr="008857F9">
        <w:rPr>
          <w:sz w:val="20"/>
        </w:rPr>
        <w:t xml:space="preserve">) para reflejar las variaciones en el volumen global de actividades de registro que no hayan sido previstas en el presupuesto.  Las fórmulas de flexibilidad correspondientes a los sistemas del PCT, de Madrid y de </w:t>
      </w:r>
      <w:r w:rsidR="003B0DF0">
        <w:rPr>
          <w:sz w:val="20"/>
        </w:rPr>
        <w:t>La Haya</w:t>
      </w:r>
      <w:r w:rsidRPr="008857F9">
        <w:rPr>
          <w:sz w:val="20"/>
        </w:rPr>
        <w:t xml:space="preserve"> fueron revisadas y aprobadas por sus respectivas Asambleas, reunidas del 24 de septiembre al 3 de Octubre de 2007.</w:t>
      </w:r>
    </w:p>
    <w:p w:rsidR="006561C8" w:rsidRPr="008857F9" w:rsidRDefault="006561C8" w:rsidP="006561C8">
      <w:pPr>
        <w:jc w:val="both"/>
        <w:rPr>
          <w:sz w:val="20"/>
        </w:rPr>
      </w:pPr>
    </w:p>
    <w:p w:rsidR="006561C8" w:rsidRPr="008857F9" w:rsidRDefault="006561C8" w:rsidP="006561C8">
      <w:pPr>
        <w:jc w:val="both"/>
        <w:rPr>
          <w:sz w:val="20"/>
        </w:rPr>
      </w:pPr>
    </w:p>
    <w:p w:rsidR="006561C8" w:rsidRPr="008857F9" w:rsidRDefault="006561C8" w:rsidP="006561C8">
      <w:pPr>
        <w:pStyle w:val="Body"/>
        <w:jc w:val="both"/>
        <w:rPr>
          <w:rFonts w:ascii="Arial" w:hAnsi="Arial" w:cs="Arial"/>
          <w:color w:val="auto"/>
          <w:lang w:val="es-ES"/>
        </w:rPr>
      </w:pPr>
      <w:r w:rsidRPr="008857F9">
        <w:rPr>
          <w:rFonts w:ascii="Arial" w:hAnsi="Arial" w:cs="Arial"/>
          <w:color w:val="auto"/>
          <w:lang w:val="es-ES"/>
        </w:rPr>
        <w:t>SISTEMA DEL PCT</w:t>
      </w:r>
    </w:p>
    <w:p w:rsidR="006561C8" w:rsidRPr="008857F9" w:rsidRDefault="006561C8" w:rsidP="006561C8">
      <w:pPr>
        <w:jc w:val="both"/>
        <w:rPr>
          <w:sz w:val="20"/>
        </w:rPr>
      </w:pPr>
    </w:p>
    <w:p w:rsidR="006561C8" w:rsidRPr="008857F9" w:rsidRDefault="006561C8" w:rsidP="006561C8">
      <w:pPr>
        <w:jc w:val="both"/>
        <w:rPr>
          <w:sz w:val="20"/>
        </w:rPr>
      </w:pPr>
      <w:r w:rsidRPr="008857F9">
        <w:rPr>
          <w:sz w:val="20"/>
        </w:rPr>
        <w:t xml:space="preserve">Para el sistema del PCT, la fórmula de flexibilidad revisada se describe en el documento PCT/A/36/5 y fue aprobada por la Asamblea del PCT, como se indica en el documento PCT/A/36/13.  Tal como consta en esos documentos, la fórmula de flexibilidad para el PCT fue revisada para reflejar una variación presupuestaria de 341.870 francos suizos por cada 1.000 solicitudes internacionales del PCT no previstas en el presupuesto.  En la fórmula revisada, las variaciones en el número de solicitudes ya no están vinculadas a las variaciones en el número de puestos de plantilla, como era el caso anteriormente.  En cambio, con arreglo a esta fórmula, la propuesta es modificar los recursos globales asignados a los programas en cuestión para utilizar tanto recursos de personal (puestos de plantilla, empleados temporeros, empleados con contratos derivados de acuerdos de servicios especiales, etc.) como recursos </w:t>
      </w:r>
      <w:r w:rsidR="00DE0A62">
        <w:rPr>
          <w:sz w:val="20"/>
        </w:rPr>
        <w:t>no relativos a personal</w:t>
      </w:r>
      <w:r w:rsidRPr="008857F9">
        <w:rPr>
          <w:sz w:val="20"/>
        </w:rPr>
        <w:t xml:space="preserve"> (por ejemplo, contratos de subcontratación externa).  Los ajustes se asignan a la administración del sistema del PCT y a los servicios de apoyo en una proporción del 87,5% y del 12,5%, respectivamente.</w:t>
      </w:r>
    </w:p>
    <w:p w:rsidR="006561C8" w:rsidRPr="008857F9" w:rsidRDefault="006561C8" w:rsidP="006561C8">
      <w:pPr>
        <w:jc w:val="both"/>
        <w:rPr>
          <w:sz w:val="20"/>
        </w:rPr>
      </w:pPr>
    </w:p>
    <w:p w:rsidR="006561C8" w:rsidRPr="008857F9" w:rsidRDefault="006561C8" w:rsidP="006561C8">
      <w:pPr>
        <w:jc w:val="both"/>
        <w:rPr>
          <w:sz w:val="20"/>
        </w:rPr>
      </w:pPr>
    </w:p>
    <w:p w:rsidR="006561C8" w:rsidRPr="008857F9" w:rsidRDefault="006561C8" w:rsidP="006561C8">
      <w:pPr>
        <w:pStyle w:val="Body"/>
        <w:jc w:val="both"/>
        <w:rPr>
          <w:rFonts w:ascii="Arial" w:hAnsi="Arial" w:cs="Arial"/>
          <w:color w:val="auto"/>
          <w:lang w:val="es-ES"/>
        </w:rPr>
      </w:pPr>
      <w:r w:rsidRPr="008857F9">
        <w:rPr>
          <w:rFonts w:ascii="Arial" w:hAnsi="Arial" w:cs="Arial"/>
          <w:color w:val="auto"/>
          <w:lang w:val="es-ES"/>
        </w:rPr>
        <w:t>SISTEMA DE MADRID</w:t>
      </w:r>
    </w:p>
    <w:p w:rsidR="006561C8" w:rsidRPr="008857F9" w:rsidRDefault="006561C8" w:rsidP="006561C8">
      <w:pPr>
        <w:jc w:val="both"/>
        <w:rPr>
          <w:sz w:val="20"/>
        </w:rPr>
      </w:pPr>
    </w:p>
    <w:p w:rsidR="006561C8" w:rsidRPr="008857F9" w:rsidRDefault="006561C8" w:rsidP="006561C8">
      <w:pPr>
        <w:jc w:val="both"/>
        <w:rPr>
          <w:sz w:val="20"/>
        </w:rPr>
      </w:pPr>
      <w:r w:rsidRPr="008857F9">
        <w:rPr>
          <w:sz w:val="20"/>
        </w:rPr>
        <w:t xml:space="preserve">Para el sistema de Madrid, la fórmula de flexibilidad revisada se describe en el documento MM/A/38/5 y fue aprobada por la Asamblea de Madrid, como se indica en el documento MM/A/38/6.  La nueva fórmula permite efectuar ajustes en el presupuesto de la Unión de Madrid correspondientes a 197.060 francos suizos por cada variación de 500 registros o renovaciones inscritos, en comparación con las estimaciones iniciales aprobadas.  Con arreglo a esta fórmula, los ajustes ya no se relacionan únicamente con los puestos de plantilla;  en cambio, se realizan ajustes en la totalidad de los recursos financieros asignados a los programas directamente relacionados con la ejecución del volumen de trabajo resultante.  Estos pueden ser recursos de personal (puestos de plantilla, empleados temporeros, etc.) y recursos </w:t>
      </w:r>
      <w:r w:rsidR="00DE0A62">
        <w:rPr>
          <w:sz w:val="20"/>
        </w:rPr>
        <w:t>no relativos a personal</w:t>
      </w:r>
      <w:r w:rsidRPr="008857F9">
        <w:rPr>
          <w:sz w:val="20"/>
        </w:rPr>
        <w:t xml:space="preserve"> (por ejemplo, contratos de subcontratación externa).  Los ajustes se asignan a la administración del Registro Internacional de Marcas y a los servicios de apoyo en una proporción del 87,5% y del 12,5%, respectivamente.</w:t>
      </w:r>
    </w:p>
    <w:p w:rsidR="006561C8" w:rsidRPr="008857F9" w:rsidRDefault="006561C8" w:rsidP="006561C8">
      <w:pPr>
        <w:jc w:val="both"/>
        <w:rPr>
          <w:sz w:val="20"/>
        </w:rPr>
      </w:pPr>
    </w:p>
    <w:p w:rsidR="006561C8" w:rsidRPr="008857F9" w:rsidRDefault="006561C8" w:rsidP="006561C8">
      <w:pPr>
        <w:jc w:val="both"/>
        <w:rPr>
          <w:sz w:val="20"/>
        </w:rPr>
      </w:pPr>
    </w:p>
    <w:p w:rsidR="006561C8" w:rsidRPr="008857F9" w:rsidRDefault="006561C8" w:rsidP="006561C8">
      <w:pPr>
        <w:pStyle w:val="Body"/>
        <w:jc w:val="both"/>
        <w:rPr>
          <w:rFonts w:ascii="Arial" w:hAnsi="Arial" w:cs="Arial"/>
          <w:color w:val="auto"/>
          <w:lang w:val="es-ES"/>
        </w:rPr>
      </w:pPr>
      <w:r w:rsidRPr="008857F9">
        <w:rPr>
          <w:rFonts w:ascii="Arial" w:hAnsi="Arial" w:cs="Arial"/>
          <w:color w:val="auto"/>
          <w:lang w:val="es-ES"/>
        </w:rPr>
        <w:t>SISTEMA DE LA HAYA</w:t>
      </w:r>
    </w:p>
    <w:p w:rsidR="006561C8" w:rsidRPr="008857F9" w:rsidRDefault="006561C8" w:rsidP="006561C8">
      <w:pPr>
        <w:jc w:val="both"/>
        <w:rPr>
          <w:sz w:val="20"/>
        </w:rPr>
      </w:pPr>
    </w:p>
    <w:p w:rsidR="006561C8" w:rsidRPr="008857F9" w:rsidRDefault="006561C8" w:rsidP="006561C8">
      <w:pPr>
        <w:pStyle w:val="BodyText2"/>
        <w:spacing w:line="240" w:lineRule="auto"/>
        <w:jc w:val="both"/>
        <w:rPr>
          <w:rFonts w:ascii="Arial" w:hAnsi="Arial" w:cs="Arial"/>
          <w:sz w:val="20"/>
          <w:szCs w:val="20"/>
          <w:lang w:val="es-ES"/>
        </w:rPr>
      </w:pPr>
      <w:r w:rsidRPr="008857F9">
        <w:rPr>
          <w:rFonts w:ascii="Arial" w:hAnsi="Arial" w:cs="Arial"/>
          <w:sz w:val="20"/>
          <w:szCs w:val="20"/>
          <w:lang w:val="es-ES"/>
        </w:rPr>
        <w:t xml:space="preserve">Para el sistema de la Haya, la fórmula de flexibilidad revisada se describe en el documento H/A/24/3 y fue aprobada por la Asamblea de la Haya, tal como consta en el documento H/A/24/4.  La nueva fórmula prevé efectuar ajustes en el presupuesto de la Unión de la Haya por un importe de 99.024 francos suizos por cada variación de 300 registros o renovaciones inscritos en el Registro de la Unión de la Haya, en comparación con las estimaciones iniciales aprobadas.  Los recursos pueden ser de personal o </w:t>
      </w:r>
      <w:r w:rsidR="00DE0A62">
        <w:rPr>
          <w:rFonts w:ascii="Arial" w:hAnsi="Arial" w:cs="Arial"/>
          <w:sz w:val="20"/>
          <w:szCs w:val="20"/>
          <w:lang w:val="es-ES"/>
        </w:rPr>
        <w:t>no relativos a personal</w:t>
      </w:r>
      <w:r w:rsidRPr="008857F9">
        <w:rPr>
          <w:rFonts w:ascii="Arial" w:hAnsi="Arial" w:cs="Arial"/>
          <w:sz w:val="20"/>
          <w:szCs w:val="20"/>
          <w:lang w:val="es-ES"/>
        </w:rPr>
        <w:t xml:space="preserve"> y estos se asignan a la administración del Registro de la Unión de la Haya y a los servicios de apoyo en una proporción del 87,5% y del 12,5%, respectivamente.</w:t>
      </w:r>
    </w:p>
    <w:p w:rsidR="006561C8" w:rsidRPr="008857F9" w:rsidRDefault="006561C8" w:rsidP="006561C8">
      <w:pPr>
        <w:rPr>
          <w:sz w:val="20"/>
        </w:rPr>
      </w:pPr>
      <w:r w:rsidRPr="008857F9">
        <w:rPr>
          <w:sz w:val="20"/>
        </w:rPr>
        <w:br w:type="page"/>
      </w:r>
    </w:p>
    <w:p w:rsidR="001A551C" w:rsidRDefault="006561C8" w:rsidP="006561C8">
      <w:pPr>
        <w:pStyle w:val="StyleHeading3ComplexItalic"/>
        <w:keepNext w:val="0"/>
        <w:tabs>
          <w:tab w:val="clear" w:pos="1985"/>
          <w:tab w:val="left" w:pos="0"/>
        </w:tabs>
        <w:rPr>
          <w:bCs/>
          <w:caps w:val="0"/>
          <w:lang w:val="es-ES"/>
        </w:rPr>
      </w:pPr>
      <w:bookmarkStart w:id="136" w:name="_Toc420681188"/>
      <w:r w:rsidRPr="008857F9">
        <w:rPr>
          <w:bCs/>
          <w:caps w:val="0"/>
          <w:lang w:val="es-ES"/>
        </w:rPr>
        <w:lastRenderedPageBreak/>
        <w:t>APÉNDICE E</w:t>
      </w:r>
      <w:bookmarkEnd w:id="136"/>
    </w:p>
    <w:p w:rsidR="006561C8" w:rsidRPr="008857F9" w:rsidRDefault="006561C8" w:rsidP="006561C8">
      <w:pPr>
        <w:pStyle w:val="StyleHeading3ComplexItalic"/>
        <w:keepNext w:val="0"/>
        <w:tabs>
          <w:tab w:val="clear" w:pos="1985"/>
          <w:tab w:val="left" w:pos="0"/>
        </w:tabs>
        <w:rPr>
          <w:bCs/>
          <w:caps w:val="0"/>
          <w:lang w:val="es-ES"/>
        </w:rPr>
      </w:pPr>
      <w:bookmarkStart w:id="137" w:name="_Toc420681189"/>
      <w:r w:rsidRPr="008857F9">
        <w:rPr>
          <w:bCs/>
          <w:caps w:val="0"/>
          <w:lang w:val="es-ES"/>
        </w:rPr>
        <w:t>SIGLAS Y ABREVIATURAS EMPLEADAS EN EL PRESENTE DOCUMENTO</w:t>
      </w:r>
      <w:bookmarkEnd w:id="137"/>
    </w:p>
    <w:p w:rsidR="006561C8" w:rsidRDefault="006561C8" w:rsidP="00D56677">
      <w:pPr>
        <w:tabs>
          <w:tab w:val="left" w:pos="1980"/>
          <w:tab w:val="left" w:pos="3261"/>
        </w:tabs>
        <w:ind w:left="2268" w:hanging="2268"/>
        <w:jc w:val="both"/>
        <w:rPr>
          <w:sz w:val="20"/>
        </w:rPr>
      </w:pPr>
    </w:p>
    <w:p w:rsidR="00A27770" w:rsidRPr="008857F9" w:rsidRDefault="00A27770" w:rsidP="00A27770">
      <w:pPr>
        <w:tabs>
          <w:tab w:val="left" w:pos="3227"/>
        </w:tabs>
        <w:spacing w:after="40"/>
        <w:ind w:left="3227" w:hanging="2507"/>
        <w:rPr>
          <w:sz w:val="20"/>
        </w:rPr>
      </w:pPr>
      <w:r w:rsidRPr="008857F9">
        <w:rPr>
          <w:b/>
          <w:sz w:val="20"/>
        </w:rPr>
        <w:t>A</w:t>
      </w:r>
      <w:r w:rsidRPr="008857F9">
        <w:rPr>
          <w:sz w:val="20"/>
        </w:rPr>
        <w:t>BC</w:t>
      </w:r>
      <w:r w:rsidRPr="008857F9">
        <w:rPr>
          <w:sz w:val="20"/>
        </w:rPr>
        <w:tab/>
        <w:t>Consorcio de Libros Accesibles</w:t>
      </w:r>
    </w:p>
    <w:p w:rsidR="00A27770" w:rsidRPr="008857F9" w:rsidRDefault="00A27770" w:rsidP="00A27770">
      <w:pPr>
        <w:tabs>
          <w:tab w:val="left" w:pos="3227"/>
        </w:tabs>
        <w:spacing w:after="40"/>
        <w:ind w:left="3227" w:hanging="2507"/>
        <w:rPr>
          <w:sz w:val="20"/>
        </w:rPr>
      </w:pPr>
      <w:r w:rsidRPr="008857F9">
        <w:rPr>
          <w:bCs/>
          <w:sz w:val="20"/>
        </w:rPr>
        <w:t>A</w:t>
      </w:r>
      <w:r w:rsidRPr="008857F9">
        <w:rPr>
          <w:sz w:val="20"/>
        </w:rPr>
        <w:t>CE</w:t>
      </w:r>
      <w:r w:rsidRPr="008857F9">
        <w:rPr>
          <w:sz w:val="20"/>
        </w:rPr>
        <w:tab/>
        <w:t xml:space="preserve">Comité Asesor sobre Observancia </w:t>
      </w:r>
    </w:p>
    <w:p w:rsidR="00A27770" w:rsidRPr="008857F9" w:rsidRDefault="00A27770" w:rsidP="00A27770">
      <w:pPr>
        <w:tabs>
          <w:tab w:val="left" w:pos="3227"/>
        </w:tabs>
        <w:spacing w:after="40"/>
        <w:ind w:left="3227" w:hanging="2507"/>
        <w:rPr>
          <w:sz w:val="20"/>
        </w:rPr>
      </w:pPr>
      <w:r w:rsidRPr="008857F9">
        <w:rPr>
          <w:bCs/>
          <w:sz w:val="20"/>
        </w:rPr>
        <w:t>A.D.</w:t>
      </w:r>
      <w:r w:rsidRPr="008857F9">
        <w:rPr>
          <w:sz w:val="20"/>
        </w:rPr>
        <w:tab/>
        <w:t>Agenda para el Desarrollo</w:t>
      </w:r>
    </w:p>
    <w:p w:rsidR="00A27770" w:rsidRDefault="00A27770" w:rsidP="00A27770">
      <w:pPr>
        <w:tabs>
          <w:tab w:val="left" w:pos="3227"/>
        </w:tabs>
        <w:spacing w:after="40"/>
        <w:ind w:left="3227" w:hanging="2507"/>
        <w:rPr>
          <w:sz w:val="20"/>
        </w:rPr>
      </w:pPr>
      <w:r w:rsidRPr="008857F9">
        <w:rPr>
          <w:sz w:val="20"/>
        </w:rPr>
        <w:t>AGICOA</w:t>
      </w:r>
      <w:r w:rsidRPr="008857F9">
        <w:rPr>
          <w:sz w:val="20"/>
        </w:rPr>
        <w:tab/>
        <w:t>Asociación para la Gestión Internacional y Colectiva de Obras Audiovisuales</w:t>
      </w:r>
    </w:p>
    <w:p w:rsidR="009D26E1" w:rsidRPr="008857F9" w:rsidRDefault="009D26E1" w:rsidP="00A27770">
      <w:pPr>
        <w:tabs>
          <w:tab w:val="left" w:pos="3227"/>
        </w:tabs>
        <w:spacing w:after="40"/>
        <w:ind w:left="3227" w:hanging="2507"/>
        <w:rPr>
          <w:sz w:val="20"/>
        </w:rPr>
      </w:pPr>
      <w:r>
        <w:rPr>
          <w:sz w:val="20"/>
        </w:rPr>
        <w:t>AIMS</w:t>
      </w:r>
      <w:r>
        <w:rPr>
          <w:sz w:val="20"/>
        </w:rPr>
        <w:tab/>
      </w:r>
      <w:r w:rsidRPr="009D26E1">
        <w:rPr>
          <w:sz w:val="20"/>
        </w:rPr>
        <w:t>Sistema automatizado de gestión de la información</w:t>
      </w:r>
    </w:p>
    <w:p w:rsidR="00A27770" w:rsidRPr="008857F9" w:rsidRDefault="00A27770" w:rsidP="00A27770">
      <w:pPr>
        <w:tabs>
          <w:tab w:val="left" w:pos="3227"/>
        </w:tabs>
        <w:spacing w:after="40"/>
        <w:ind w:left="3227" w:hanging="2507"/>
        <w:rPr>
          <w:sz w:val="20"/>
        </w:rPr>
      </w:pPr>
      <w:r w:rsidRPr="008857F9">
        <w:rPr>
          <w:sz w:val="20"/>
        </w:rPr>
        <w:t>AIPMS</w:t>
      </w:r>
      <w:r w:rsidRPr="008857F9">
        <w:rPr>
          <w:sz w:val="20"/>
        </w:rPr>
        <w:tab/>
        <w:t>Sistema de Gestión de la Propiedad Intelectual en Árabe</w:t>
      </w:r>
    </w:p>
    <w:p w:rsidR="00A27770" w:rsidRPr="008857F9" w:rsidRDefault="00A27770" w:rsidP="00A27770">
      <w:pPr>
        <w:tabs>
          <w:tab w:val="left" w:pos="3227"/>
        </w:tabs>
        <w:spacing w:after="40"/>
        <w:ind w:left="3227" w:hanging="2507"/>
        <w:rPr>
          <w:sz w:val="20"/>
        </w:rPr>
      </w:pPr>
      <w:r w:rsidRPr="008857F9">
        <w:rPr>
          <w:sz w:val="20"/>
        </w:rPr>
        <w:t>aRDi</w:t>
      </w:r>
      <w:r w:rsidRPr="008857F9">
        <w:rPr>
          <w:sz w:val="20"/>
        </w:rPr>
        <w:tab/>
        <w:t>Acceso a la Investigación para el Desarrollo y la Innovación</w:t>
      </w:r>
    </w:p>
    <w:p w:rsidR="00A27770" w:rsidRPr="008857F9" w:rsidRDefault="00A27770" w:rsidP="00A27770">
      <w:pPr>
        <w:tabs>
          <w:tab w:val="left" w:pos="3227"/>
        </w:tabs>
        <w:spacing w:after="40"/>
        <w:ind w:left="3227" w:hanging="2507"/>
        <w:rPr>
          <w:sz w:val="20"/>
        </w:rPr>
      </w:pPr>
      <w:r w:rsidRPr="008857F9">
        <w:rPr>
          <w:sz w:val="20"/>
        </w:rPr>
        <w:t>ASE</w:t>
      </w:r>
      <w:r w:rsidRPr="008857F9">
        <w:rPr>
          <w:sz w:val="20"/>
        </w:rPr>
        <w:tab/>
        <w:t>Acuerdos de servicios especiales</w:t>
      </w:r>
    </w:p>
    <w:p w:rsidR="00A27770" w:rsidRPr="008857F9" w:rsidRDefault="00A27770" w:rsidP="00A27770">
      <w:pPr>
        <w:tabs>
          <w:tab w:val="left" w:pos="3227"/>
        </w:tabs>
        <w:spacing w:after="40"/>
        <w:ind w:left="3227" w:hanging="2507"/>
        <w:rPr>
          <w:sz w:val="20"/>
        </w:rPr>
      </w:pPr>
      <w:r w:rsidRPr="001A551C">
        <w:rPr>
          <w:bCs/>
          <w:sz w:val="20"/>
        </w:rPr>
        <w:t>A</w:t>
      </w:r>
      <w:r w:rsidRPr="001A551C">
        <w:rPr>
          <w:sz w:val="20"/>
        </w:rPr>
        <w:t>SEA</w:t>
      </w:r>
      <w:r w:rsidRPr="008857F9">
        <w:rPr>
          <w:sz w:val="20"/>
        </w:rPr>
        <w:t>N</w:t>
      </w:r>
      <w:r w:rsidRPr="008857F9">
        <w:rPr>
          <w:sz w:val="20"/>
        </w:rPr>
        <w:tab/>
        <w:t>Asociación de Naciones del Asia Sudoriental</w:t>
      </w:r>
    </w:p>
    <w:p w:rsidR="00A27770" w:rsidRPr="008857F9" w:rsidRDefault="00A27770" w:rsidP="00A27770">
      <w:pPr>
        <w:tabs>
          <w:tab w:val="left" w:pos="3227"/>
        </w:tabs>
        <w:spacing w:after="40"/>
        <w:ind w:left="3227" w:hanging="2507"/>
        <w:rPr>
          <w:sz w:val="20"/>
        </w:rPr>
      </w:pPr>
      <w:r w:rsidRPr="008857F9">
        <w:rPr>
          <w:sz w:val="20"/>
        </w:rPr>
        <w:t>ASPI</w:t>
      </w:r>
      <w:r w:rsidRPr="008857F9">
        <w:rPr>
          <w:sz w:val="20"/>
        </w:rPr>
        <w:tab/>
        <w:t xml:space="preserve">Acceso a la Información Especializada sobre </w:t>
      </w:r>
      <w:r w:rsidR="00CD5F30" w:rsidRPr="008857F9">
        <w:rPr>
          <w:sz w:val="20"/>
        </w:rPr>
        <w:t>Patentes</w:t>
      </w:r>
    </w:p>
    <w:p w:rsidR="00A27770" w:rsidRPr="006561C8" w:rsidRDefault="00A27770" w:rsidP="00A27770">
      <w:pPr>
        <w:tabs>
          <w:tab w:val="left" w:pos="3227"/>
        </w:tabs>
        <w:spacing w:after="40"/>
        <w:ind w:left="3227" w:hanging="2507"/>
        <w:rPr>
          <w:i/>
          <w:sz w:val="20"/>
          <w:lang w:val="en-US"/>
        </w:rPr>
      </w:pPr>
      <w:r w:rsidRPr="006561C8">
        <w:rPr>
          <w:sz w:val="20"/>
          <w:lang w:val="en-US"/>
        </w:rPr>
        <w:t>AUTM</w:t>
      </w:r>
      <w:r w:rsidRPr="006561C8">
        <w:rPr>
          <w:sz w:val="20"/>
          <w:lang w:val="en-US"/>
        </w:rPr>
        <w:tab/>
      </w:r>
      <w:r w:rsidRPr="006561C8">
        <w:rPr>
          <w:i/>
          <w:sz w:val="20"/>
          <w:lang w:val="en-US"/>
        </w:rPr>
        <w:t>Association of University Technology Managers</w:t>
      </w:r>
    </w:p>
    <w:p w:rsidR="00A27770" w:rsidRPr="00A27770" w:rsidRDefault="00A27770" w:rsidP="00A27770">
      <w:pPr>
        <w:tabs>
          <w:tab w:val="left" w:pos="3227"/>
        </w:tabs>
        <w:spacing w:after="40"/>
        <w:ind w:left="3227" w:hanging="2507"/>
        <w:rPr>
          <w:sz w:val="20"/>
          <w:lang w:val="en-US"/>
        </w:rPr>
      </w:pPr>
    </w:p>
    <w:p w:rsidR="00A27770" w:rsidRPr="008857F9" w:rsidRDefault="00A27770" w:rsidP="00A27770">
      <w:pPr>
        <w:tabs>
          <w:tab w:val="left" w:pos="3227"/>
        </w:tabs>
        <w:spacing w:after="40"/>
        <w:ind w:left="3227" w:hanging="2507"/>
        <w:rPr>
          <w:sz w:val="20"/>
        </w:rPr>
      </w:pPr>
      <w:r w:rsidRPr="008857F9">
        <w:rPr>
          <w:b/>
          <w:sz w:val="20"/>
        </w:rPr>
        <w:t>B</w:t>
      </w:r>
      <w:r w:rsidRPr="008857F9">
        <w:rPr>
          <w:sz w:val="20"/>
        </w:rPr>
        <w:t>OIP</w:t>
      </w:r>
      <w:r w:rsidRPr="008857F9">
        <w:rPr>
          <w:sz w:val="20"/>
        </w:rPr>
        <w:tab/>
        <w:t>Organización de Propiedad Intelectual del Benelux</w:t>
      </w:r>
    </w:p>
    <w:p w:rsidR="00A27770" w:rsidRDefault="00A27770" w:rsidP="00A27770">
      <w:pPr>
        <w:tabs>
          <w:tab w:val="left" w:pos="3227"/>
        </w:tabs>
        <w:ind w:left="3227" w:hanging="2507"/>
        <w:rPr>
          <w:sz w:val="20"/>
        </w:rPr>
      </w:pPr>
    </w:p>
    <w:p w:rsidR="00CD5F30" w:rsidRDefault="00A27770" w:rsidP="00A27770">
      <w:pPr>
        <w:tabs>
          <w:tab w:val="left" w:pos="3227"/>
        </w:tabs>
        <w:ind w:left="3227" w:hanging="2507"/>
        <w:rPr>
          <w:sz w:val="20"/>
        </w:rPr>
      </w:pPr>
      <w:r w:rsidRPr="00D12C13">
        <w:rPr>
          <w:b/>
          <w:sz w:val="20"/>
        </w:rPr>
        <w:t>C</w:t>
      </w:r>
      <w:r w:rsidRPr="008857F9">
        <w:rPr>
          <w:sz w:val="20"/>
        </w:rPr>
        <w:t>A</w:t>
      </w:r>
      <w:r w:rsidR="00CD5F30">
        <w:rPr>
          <w:sz w:val="20"/>
        </w:rPr>
        <w:t>D</w:t>
      </w:r>
      <w:r w:rsidR="00CD5F30">
        <w:rPr>
          <w:sz w:val="20"/>
        </w:rPr>
        <w:tab/>
        <w:t>Coordinación de la Agenda para el Desarrollo</w:t>
      </w:r>
    </w:p>
    <w:p w:rsidR="00CD5F30" w:rsidRPr="00CD5F30" w:rsidRDefault="00CD5F30" w:rsidP="00CD5F30">
      <w:pPr>
        <w:tabs>
          <w:tab w:val="left" w:pos="3227"/>
        </w:tabs>
        <w:ind w:left="3227" w:hanging="2507"/>
        <w:rPr>
          <w:sz w:val="20"/>
        </w:rPr>
      </w:pPr>
      <w:r w:rsidRPr="00CD5F30">
        <w:rPr>
          <w:sz w:val="20"/>
        </w:rPr>
        <w:t>CAM</w:t>
      </w:r>
      <w:r>
        <w:rPr>
          <w:sz w:val="20"/>
        </w:rPr>
        <w:tab/>
        <w:t>Centro de Arbitraje y Mediación de la OMPI</w:t>
      </w:r>
    </w:p>
    <w:p w:rsidR="00A27770" w:rsidRPr="008857F9" w:rsidRDefault="00CD5F30" w:rsidP="00A27770">
      <w:pPr>
        <w:tabs>
          <w:tab w:val="left" w:pos="3227"/>
        </w:tabs>
        <w:ind w:left="3227" w:hanging="2507"/>
        <w:rPr>
          <w:sz w:val="20"/>
        </w:rPr>
      </w:pPr>
      <w:r w:rsidRPr="00CD5F30">
        <w:rPr>
          <w:sz w:val="20"/>
        </w:rPr>
        <w:t>CA</w:t>
      </w:r>
      <w:r w:rsidR="00A27770" w:rsidRPr="008857F9">
        <w:rPr>
          <w:sz w:val="20"/>
        </w:rPr>
        <w:t>PI</w:t>
      </w:r>
      <w:r w:rsidR="00A27770" w:rsidRPr="008857F9">
        <w:rPr>
          <w:sz w:val="20"/>
        </w:rPr>
        <w:tab/>
        <w:t>Comisión de Administración Pública Internacional</w:t>
      </w:r>
    </w:p>
    <w:p w:rsidR="00A27770" w:rsidRPr="008857F9" w:rsidRDefault="00A27770" w:rsidP="00A27770">
      <w:pPr>
        <w:tabs>
          <w:tab w:val="left" w:pos="3227"/>
        </w:tabs>
        <w:spacing w:after="40"/>
        <w:ind w:left="3227" w:hanging="2507"/>
        <w:rPr>
          <w:sz w:val="20"/>
        </w:rPr>
      </w:pPr>
      <w:r w:rsidRPr="00D12C13">
        <w:rPr>
          <w:bCs/>
          <w:sz w:val="20"/>
        </w:rPr>
        <w:t>C</w:t>
      </w:r>
      <w:r w:rsidRPr="00D12C13">
        <w:rPr>
          <w:sz w:val="20"/>
        </w:rPr>
        <w:t>ASE</w:t>
      </w:r>
      <w:r w:rsidRPr="008857F9">
        <w:rPr>
          <w:sz w:val="20"/>
        </w:rPr>
        <w:tab/>
        <w:t>Acceso Centralizado a la Búsqueda y el Examen</w:t>
      </w:r>
    </w:p>
    <w:p w:rsidR="00A27770" w:rsidRPr="008857F9" w:rsidRDefault="00A27770" w:rsidP="00A27770">
      <w:pPr>
        <w:tabs>
          <w:tab w:val="left" w:pos="3227"/>
        </w:tabs>
        <w:spacing w:after="40"/>
        <w:ind w:left="3227" w:hanging="2507"/>
        <w:rPr>
          <w:sz w:val="20"/>
        </w:rPr>
      </w:pPr>
      <w:r w:rsidRPr="008857F9">
        <w:rPr>
          <w:sz w:val="20"/>
        </w:rPr>
        <w:t>CATI</w:t>
      </w:r>
      <w:r w:rsidRPr="008857F9">
        <w:rPr>
          <w:sz w:val="20"/>
        </w:rPr>
        <w:tab/>
        <w:t>Centros de apoyo a la tecnología y la innovación</w:t>
      </w:r>
    </w:p>
    <w:p w:rsidR="00A27770" w:rsidRPr="008857F9" w:rsidRDefault="00A27770" w:rsidP="00A27770">
      <w:pPr>
        <w:tabs>
          <w:tab w:val="left" w:pos="3227"/>
        </w:tabs>
        <w:spacing w:after="40"/>
        <w:ind w:left="3227" w:hanging="2507"/>
        <w:rPr>
          <w:sz w:val="20"/>
        </w:rPr>
      </w:pPr>
      <w:r w:rsidRPr="008857F9">
        <w:rPr>
          <w:sz w:val="20"/>
        </w:rPr>
        <w:t>CC.TT.</w:t>
      </w:r>
      <w:r w:rsidRPr="008857F9">
        <w:rPr>
          <w:sz w:val="20"/>
        </w:rPr>
        <w:tab/>
        <w:t>Conocimientos tradicionales</w:t>
      </w:r>
    </w:p>
    <w:p w:rsidR="00A27770" w:rsidRPr="008857F9" w:rsidRDefault="00A27770" w:rsidP="00A27770">
      <w:pPr>
        <w:tabs>
          <w:tab w:val="left" w:pos="3227"/>
        </w:tabs>
        <w:spacing w:after="40"/>
        <w:ind w:left="3227" w:hanging="2507"/>
        <w:rPr>
          <w:sz w:val="20"/>
        </w:rPr>
      </w:pPr>
      <w:r w:rsidRPr="00D12C13">
        <w:rPr>
          <w:bCs/>
          <w:sz w:val="20"/>
        </w:rPr>
        <w:t>CCIS</w:t>
      </w:r>
      <w:r w:rsidRPr="008857F9">
        <w:rPr>
          <w:sz w:val="20"/>
        </w:rPr>
        <w:tab/>
        <w:t>Comisión Consultiva Independiente de Supervisión</w:t>
      </w:r>
    </w:p>
    <w:p w:rsidR="00A27770" w:rsidRPr="008857F9" w:rsidRDefault="00A27770" w:rsidP="00A27770">
      <w:pPr>
        <w:tabs>
          <w:tab w:val="left" w:pos="3227"/>
        </w:tabs>
        <w:spacing w:after="40"/>
        <w:ind w:left="3227" w:hanging="2507"/>
        <w:rPr>
          <w:sz w:val="20"/>
        </w:rPr>
      </w:pPr>
      <w:r w:rsidRPr="008857F9">
        <w:rPr>
          <w:sz w:val="20"/>
        </w:rPr>
        <w:t>ccTLD</w:t>
      </w:r>
      <w:r w:rsidRPr="008857F9">
        <w:rPr>
          <w:sz w:val="20"/>
        </w:rPr>
        <w:tab/>
        <w:t>Dominios de nivel superior correspondientes a códigos de países</w:t>
      </w:r>
    </w:p>
    <w:p w:rsidR="00A27770" w:rsidRPr="008857F9" w:rsidRDefault="00A27770" w:rsidP="00A27770">
      <w:pPr>
        <w:pStyle w:val="BlockText"/>
        <w:tabs>
          <w:tab w:val="clear" w:pos="2127"/>
          <w:tab w:val="left" w:pos="3227"/>
        </w:tabs>
        <w:ind w:left="3227" w:right="0" w:hanging="2507"/>
        <w:rPr>
          <w:rFonts w:ascii="Arial" w:hAnsi="Arial" w:cs="Arial"/>
          <w:sz w:val="20"/>
          <w:lang w:val="es-ES"/>
        </w:rPr>
      </w:pPr>
      <w:r w:rsidRPr="008857F9">
        <w:rPr>
          <w:rFonts w:ascii="Arial" w:hAnsi="Arial" w:cs="Arial"/>
          <w:sz w:val="20"/>
          <w:lang w:val="es-ES"/>
        </w:rPr>
        <w:t>CDIP</w:t>
      </w:r>
      <w:r w:rsidRPr="008857F9">
        <w:rPr>
          <w:rFonts w:ascii="Arial" w:hAnsi="Arial" w:cs="Arial"/>
          <w:sz w:val="20"/>
          <w:lang w:val="es-ES"/>
        </w:rPr>
        <w:tab/>
        <w:t>Comité de Desarrollo y Propiedad Intelectual</w:t>
      </w:r>
    </w:p>
    <w:p w:rsidR="00A27770" w:rsidRPr="008857F9" w:rsidRDefault="00A27770" w:rsidP="00A27770">
      <w:pPr>
        <w:tabs>
          <w:tab w:val="left" w:pos="3227"/>
        </w:tabs>
        <w:spacing w:after="40"/>
        <w:ind w:left="3227" w:hanging="2507"/>
        <w:rPr>
          <w:iCs/>
          <w:sz w:val="20"/>
        </w:rPr>
      </w:pPr>
      <w:r w:rsidRPr="008857F9">
        <w:rPr>
          <w:iCs/>
          <w:sz w:val="20"/>
        </w:rPr>
        <w:t>CEE</w:t>
      </w:r>
      <w:r w:rsidRPr="008857F9">
        <w:rPr>
          <w:iCs/>
          <w:sz w:val="20"/>
        </w:rPr>
        <w:tab/>
        <w:t>Comisión Económica Eurasiática</w:t>
      </w:r>
    </w:p>
    <w:p w:rsidR="00A27770" w:rsidRPr="008857F9" w:rsidRDefault="00A27770" w:rsidP="00A27770">
      <w:pPr>
        <w:pStyle w:val="BlockText"/>
        <w:tabs>
          <w:tab w:val="clear" w:pos="2127"/>
          <w:tab w:val="left" w:pos="3227"/>
        </w:tabs>
        <w:ind w:left="3227" w:right="0" w:hanging="2507"/>
        <w:rPr>
          <w:rFonts w:ascii="Arial" w:hAnsi="Arial" w:cs="Arial"/>
          <w:sz w:val="20"/>
          <w:lang w:val="es-ES"/>
        </w:rPr>
      </w:pPr>
      <w:r w:rsidRPr="008857F9">
        <w:rPr>
          <w:rFonts w:ascii="Arial" w:hAnsi="Arial" w:cs="Arial"/>
          <w:sz w:val="20"/>
          <w:lang w:val="es-ES"/>
        </w:rPr>
        <w:t>CEI</w:t>
      </w:r>
      <w:r w:rsidRPr="008857F9">
        <w:rPr>
          <w:rFonts w:ascii="Arial" w:hAnsi="Arial" w:cs="Arial"/>
          <w:sz w:val="20"/>
          <w:lang w:val="es-ES"/>
        </w:rPr>
        <w:tab/>
        <w:t>Comunidad de Estados Independientes</w:t>
      </w:r>
    </w:p>
    <w:p w:rsidR="00A27770" w:rsidRPr="008857F9" w:rsidRDefault="00A27770" w:rsidP="00A27770">
      <w:pPr>
        <w:tabs>
          <w:tab w:val="left" w:pos="3227"/>
        </w:tabs>
        <w:spacing w:after="40"/>
        <w:ind w:left="3227" w:hanging="2507"/>
        <w:rPr>
          <w:sz w:val="20"/>
        </w:rPr>
      </w:pPr>
      <w:r w:rsidRPr="008857F9">
        <w:rPr>
          <w:sz w:val="20"/>
        </w:rPr>
        <w:t>CICE</w:t>
      </w:r>
      <w:r w:rsidRPr="008857F9">
        <w:rPr>
          <w:sz w:val="20"/>
        </w:rPr>
        <w:tab/>
        <w:t>Centro Internacional de Cálculos Electrónicos de las Naciones Unidas</w:t>
      </w:r>
    </w:p>
    <w:p w:rsidR="00A27770" w:rsidRPr="008857F9" w:rsidRDefault="00A27770" w:rsidP="00A27770">
      <w:pPr>
        <w:tabs>
          <w:tab w:val="left" w:pos="3227"/>
        </w:tabs>
        <w:spacing w:after="40"/>
        <w:ind w:left="3227" w:hanging="2507"/>
        <w:rPr>
          <w:sz w:val="20"/>
        </w:rPr>
      </w:pPr>
      <w:r w:rsidRPr="008857F9">
        <w:rPr>
          <w:sz w:val="20"/>
        </w:rPr>
        <w:t>CIG</w:t>
      </w:r>
      <w:r w:rsidRPr="008857F9">
        <w:rPr>
          <w:sz w:val="20"/>
        </w:rPr>
        <w:tab/>
        <w:t>Comité Intergubernamental sobre Propiedad Intelectual y Recursos Genéticos, Conocimientos Tradicionales y Folclore</w:t>
      </w:r>
    </w:p>
    <w:p w:rsidR="00A27770" w:rsidRPr="008857F9" w:rsidRDefault="00A27770" w:rsidP="00A27770">
      <w:pPr>
        <w:tabs>
          <w:tab w:val="left" w:pos="3227"/>
        </w:tabs>
        <w:spacing w:after="40"/>
        <w:ind w:left="3227" w:hanging="2507"/>
        <w:rPr>
          <w:sz w:val="20"/>
        </w:rPr>
      </w:pPr>
      <w:r w:rsidRPr="008857F9">
        <w:rPr>
          <w:sz w:val="20"/>
        </w:rPr>
        <w:t>CIP</w:t>
      </w:r>
      <w:r w:rsidRPr="008857F9">
        <w:rPr>
          <w:sz w:val="20"/>
        </w:rPr>
        <w:tab/>
        <w:t>Clasificación Internacional de Patentes</w:t>
      </w:r>
    </w:p>
    <w:p w:rsidR="00A27770" w:rsidRPr="008857F9" w:rsidRDefault="00A27770" w:rsidP="00A27770">
      <w:pPr>
        <w:tabs>
          <w:tab w:val="left" w:pos="3227"/>
        </w:tabs>
        <w:spacing w:after="40"/>
        <w:ind w:left="3227" w:hanging="2507"/>
        <w:rPr>
          <w:i/>
          <w:sz w:val="20"/>
        </w:rPr>
      </w:pPr>
      <w:r w:rsidRPr="008857F9">
        <w:rPr>
          <w:bCs/>
          <w:sz w:val="20"/>
        </w:rPr>
        <w:t>CLIR</w:t>
      </w:r>
      <w:r w:rsidRPr="008857F9">
        <w:rPr>
          <w:sz w:val="20"/>
        </w:rPr>
        <w:tab/>
      </w:r>
      <w:r w:rsidRPr="008857F9">
        <w:rPr>
          <w:bCs/>
          <w:i/>
          <w:sz w:val="20"/>
        </w:rPr>
        <w:t>Cross Lingual Information Retrieval</w:t>
      </w:r>
    </w:p>
    <w:p w:rsidR="00A27770" w:rsidRPr="008857F9" w:rsidRDefault="00A27770" w:rsidP="00A27770">
      <w:pPr>
        <w:tabs>
          <w:tab w:val="left" w:pos="3227"/>
        </w:tabs>
        <w:spacing w:after="40"/>
        <w:ind w:left="3227" w:hanging="2507"/>
        <w:rPr>
          <w:sz w:val="20"/>
        </w:rPr>
      </w:pPr>
      <w:r w:rsidRPr="008857F9">
        <w:rPr>
          <w:sz w:val="20"/>
        </w:rPr>
        <w:t>CMG</w:t>
      </w:r>
      <w:r w:rsidRPr="008857F9">
        <w:rPr>
          <w:sz w:val="20"/>
        </w:rPr>
        <w:tab/>
        <w:t>Grupo de Gestión de Crisis</w:t>
      </w:r>
    </w:p>
    <w:p w:rsidR="00A27770" w:rsidRPr="008857F9" w:rsidRDefault="00A27770" w:rsidP="00A27770">
      <w:pPr>
        <w:tabs>
          <w:tab w:val="left" w:pos="3227"/>
        </w:tabs>
        <w:spacing w:after="40"/>
        <w:ind w:left="3227" w:hanging="2507"/>
        <w:rPr>
          <w:sz w:val="20"/>
        </w:rPr>
      </w:pPr>
      <w:r w:rsidRPr="008857F9">
        <w:rPr>
          <w:sz w:val="20"/>
        </w:rPr>
        <w:t>CMNUCC</w:t>
      </w:r>
      <w:r w:rsidRPr="008857F9">
        <w:rPr>
          <w:sz w:val="20"/>
        </w:rPr>
        <w:tab/>
        <w:t>Convención Marco de las Naciones Unidas sobre el Cambio Climático</w:t>
      </w:r>
    </w:p>
    <w:p w:rsidR="00A27770" w:rsidRDefault="00A27770" w:rsidP="00A27770">
      <w:pPr>
        <w:tabs>
          <w:tab w:val="left" w:pos="3227"/>
        </w:tabs>
        <w:spacing w:after="40"/>
        <w:ind w:left="3227" w:hanging="2507"/>
        <w:rPr>
          <w:sz w:val="20"/>
        </w:rPr>
      </w:pPr>
      <w:r w:rsidRPr="008857F9">
        <w:rPr>
          <w:sz w:val="20"/>
        </w:rPr>
        <w:t>CMSI</w:t>
      </w:r>
      <w:r w:rsidRPr="008857F9">
        <w:rPr>
          <w:sz w:val="20"/>
        </w:rPr>
        <w:tab/>
        <w:t>Cumbre Mundial sobre la Sociedad de la Información</w:t>
      </w:r>
    </w:p>
    <w:p w:rsidR="0026220F" w:rsidRPr="008857F9" w:rsidRDefault="0026220F" w:rsidP="00A27770">
      <w:pPr>
        <w:tabs>
          <w:tab w:val="left" w:pos="3227"/>
        </w:tabs>
        <w:spacing w:after="40"/>
        <w:ind w:left="3227" w:hanging="2507"/>
        <w:rPr>
          <w:sz w:val="20"/>
        </w:rPr>
      </w:pPr>
      <w:r>
        <w:rPr>
          <w:sz w:val="20"/>
        </w:rPr>
        <w:t>CRTC</w:t>
      </w:r>
      <w:r>
        <w:rPr>
          <w:sz w:val="20"/>
        </w:rPr>
        <w:tab/>
        <w:t>Centro y Red de Tecnología del Clima</w:t>
      </w:r>
    </w:p>
    <w:p w:rsidR="00A27770" w:rsidRDefault="00A27770" w:rsidP="00A27770">
      <w:pPr>
        <w:tabs>
          <w:tab w:val="left" w:pos="3227"/>
        </w:tabs>
        <w:spacing w:after="40"/>
        <w:ind w:left="3227" w:hanging="2507"/>
        <w:rPr>
          <w:sz w:val="20"/>
        </w:rPr>
      </w:pPr>
    </w:p>
    <w:p w:rsidR="00CD5F30" w:rsidRDefault="00A27770" w:rsidP="00A27770">
      <w:pPr>
        <w:tabs>
          <w:tab w:val="left" w:pos="3227"/>
        </w:tabs>
        <w:spacing w:after="40"/>
        <w:ind w:left="3227" w:hanging="2507"/>
        <w:rPr>
          <w:sz w:val="20"/>
        </w:rPr>
      </w:pPr>
      <w:r w:rsidRPr="00D12C13">
        <w:rPr>
          <w:b/>
          <w:sz w:val="20"/>
        </w:rPr>
        <w:t>D</w:t>
      </w:r>
      <w:r w:rsidRPr="008857F9">
        <w:rPr>
          <w:sz w:val="20"/>
        </w:rPr>
        <w:t>A</w:t>
      </w:r>
      <w:r w:rsidR="00CD5F30">
        <w:rPr>
          <w:sz w:val="20"/>
        </w:rPr>
        <w:t>DC</w:t>
      </w:r>
      <w:r w:rsidR="00CD5F30">
        <w:rPr>
          <w:sz w:val="20"/>
        </w:rPr>
        <w:tab/>
        <w:t>Derecho de autor y derechos conexos</w:t>
      </w:r>
      <w:r w:rsidR="00CD5F30">
        <w:rPr>
          <w:sz w:val="20"/>
        </w:rPr>
        <w:tab/>
      </w:r>
    </w:p>
    <w:p w:rsidR="00A27770" w:rsidRPr="008857F9" w:rsidRDefault="00CD5F30" w:rsidP="00A27770">
      <w:pPr>
        <w:tabs>
          <w:tab w:val="left" w:pos="3227"/>
        </w:tabs>
        <w:spacing w:after="40"/>
        <w:ind w:left="3227" w:hanging="2507"/>
        <w:rPr>
          <w:sz w:val="20"/>
        </w:rPr>
      </w:pPr>
      <w:r>
        <w:rPr>
          <w:sz w:val="20"/>
        </w:rPr>
        <w:t>DA</w:t>
      </w:r>
      <w:r w:rsidR="00A27770" w:rsidRPr="008857F9">
        <w:rPr>
          <w:sz w:val="20"/>
        </w:rPr>
        <w:t>ES</w:t>
      </w:r>
      <w:r w:rsidR="00A27770" w:rsidRPr="008857F9">
        <w:rPr>
          <w:sz w:val="20"/>
        </w:rPr>
        <w:tab/>
        <w:t>Departamento de Asuntos Económicos y Sociales de las Naciones Unidas</w:t>
      </w:r>
    </w:p>
    <w:p w:rsidR="00A27770" w:rsidRPr="008857F9" w:rsidRDefault="00A27770" w:rsidP="00A27770">
      <w:pPr>
        <w:tabs>
          <w:tab w:val="left" w:pos="3227"/>
        </w:tabs>
        <w:spacing w:after="40"/>
        <w:ind w:left="3227" w:hanging="2507"/>
        <w:rPr>
          <w:sz w:val="20"/>
        </w:rPr>
      </w:pPr>
      <w:r w:rsidRPr="00D12C13">
        <w:rPr>
          <w:sz w:val="20"/>
        </w:rPr>
        <w:t>DAS</w:t>
      </w:r>
      <w:r w:rsidRPr="008857F9">
        <w:rPr>
          <w:sz w:val="20"/>
        </w:rPr>
        <w:tab/>
        <w:t>Servicios de Acceso Digital a los Documentos de Prioridad</w:t>
      </w:r>
    </w:p>
    <w:p w:rsidR="00A27770" w:rsidRPr="008857F9" w:rsidRDefault="00A27770" w:rsidP="00A27770">
      <w:pPr>
        <w:tabs>
          <w:tab w:val="left" w:pos="3227"/>
        </w:tabs>
        <w:spacing w:after="40"/>
        <w:ind w:left="3227" w:hanging="2507"/>
        <w:rPr>
          <w:sz w:val="20"/>
        </w:rPr>
      </w:pPr>
      <w:r w:rsidRPr="008857F9">
        <w:rPr>
          <w:sz w:val="20"/>
        </w:rPr>
        <w:t>DGIPR</w:t>
      </w:r>
      <w:r w:rsidRPr="008857F9">
        <w:rPr>
          <w:sz w:val="20"/>
        </w:rPr>
        <w:tab/>
        <w:t>Dirección General de Derechos de Propiedad Intelectual (Indonesia)</w:t>
      </w:r>
    </w:p>
    <w:p w:rsidR="00A27770" w:rsidRPr="008857F9" w:rsidRDefault="00A27770" w:rsidP="00A27770">
      <w:pPr>
        <w:tabs>
          <w:tab w:val="left" w:pos="3227"/>
        </w:tabs>
        <w:spacing w:after="40"/>
        <w:ind w:left="3227" w:hanging="2507"/>
        <w:rPr>
          <w:sz w:val="20"/>
        </w:rPr>
      </w:pPr>
      <w:r w:rsidRPr="008857F9">
        <w:rPr>
          <w:sz w:val="20"/>
        </w:rPr>
        <w:t>DGRRHH</w:t>
      </w:r>
      <w:r w:rsidRPr="008857F9">
        <w:rPr>
          <w:sz w:val="20"/>
        </w:rPr>
        <w:tab/>
        <w:t>Departamento de Gestión de los Recursos Humanos</w:t>
      </w:r>
    </w:p>
    <w:p w:rsidR="00A27770" w:rsidRPr="008857F9" w:rsidRDefault="00A27770" w:rsidP="00A27770">
      <w:pPr>
        <w:tabs>
          <w:tab w:val="left" w:pos="3227"/>
        </w:tabs>
        <w:spacing w:after="40"/>
        <w:ind w:left="3227" w:hanging="2507"/>
        <w:rPr>
          <w:sz w:val="20"/>
        </w:rPr>
      </w:pPr>
      <w:r w:rsidRPr="008857F9">
        <w:rPr>
          <w:sz w:val="20"/>
        </w:rPr>
        <w:t>DNS</w:t>
      </w:r>
      <w:r w:rsidRPr="008857F9">
        <w:rPr>
          <w:sz w:val="20"/>
        </w:rPr>
        <w:tab/>
        <w:t>Sistemas de Nombres de Dominio de Internet</w:t>
      </w:r>
    </w:p>
    <w:p w:rsidR="00A27770" w:rsidRPr="008857F9" w:rsidRDefault="00A27770" w:rsidP="00A27770">
      <w:pPr>
        <w:tabs>
          <w:tab w:val="left" w:pos="3227"/>
        </w:tabs>
        <w:spacing w:after="40"/>
        <w:ind w:left="3227" w:hanging="2507"/>
        <w:rPr>
          <w:sz w:val="20"/>
        </w:rPr>
      </w:pPr>
      <w:r w:rsidRPr="008857F9">
        <w:rPr>
          <w:sz w:val="20"/>
        </w:rPr>
        <w:t>DPI</w:t>
      </w:r>
      <w:r w:rsidRPr="008857F9">
        <w:rPr>
          <w:sz w:val="20"/>
        </w:rPr>
        <w:tab/>
        <w:t>Derechos de propiedad intelectual</w:t>
      </w:r>
    </w:p>
    <w:p w:rsidR="00A27770" w:rsidRPr="008857F9" w:rsidRDefault="00A27770" w:rsidP="00A27770">
      <w:pPr>
        <w:tabs>
          <w:tab w:val="left" w:pos="3227"/>
        </w:tabs>
        <w:spacing w:after="40"/>
        <w:ind w:left="3227" w:hanging="2507"/>
        <w:rPr>
          <w:sz w:val="20"/>
        </w:rPr>
      </w:pPr>
      <w:r w:rsidRPr="008857F9">
        <w:rPr>
          <w:sz w:val="20"/>
        </w:rPr>
        <w:t>DSI</w:t>
      </w:r>
      <w:r w:rsidRPr="008857F9">
        <w:rPr>
          <w:sz w:val="20"/>
        </w:rPr>
        <w:tab/>
        <w:t>División de Supervisión Interna</w:t>
      </w:r>
    </w:p>
    <w:p w:rsidR="00A27770" w:rsidRPr="00A27770" w:rsidRDefault="00A27770" w:rsidP="00A27770">
      <w:pPr>
        <w:tabs>
          <w:tab w:val="left" w:pos="3227"/>
        </w:tabs>
        <w:spacing w:after="40"/>
        <w:ind w:left="3227" w:hanging="2507"/>
        <w:rPr>
          <w:iCs/>
          <w:sz w:val="20"/>
          <w:lang w:val="es-ES_tradnl"/>
        </w:rPr>
      </w:pPr>
    </w:p>
    <w:p w:rsidR="00A27770" w:rsidRPr="006561C8" w:rsidRDefault="00A27770" w:rsidP="00A27770">
      <w:pPr>
        <w:tabs>
          <w:tab w:val="left" w:pos="3227"/>
        </w:tabs>
        <w:spacing w:after="40"/>
        <w:ind w:left="3227" w:hanging="2507"/>
        <w:rPr>
          <w:iCs/>
          <w:sz w:val="20"/>
          <w:lang w:val="en-US"/>
        </w:rPr>
      </w:pPr>
      <w:r w:rsidRPr="006561C8">
        <w:rPr>
          <w:b/>
          <w:iCs/>
          <w:sz w:val="20"/>
          <w:lang w:val="en-US"/>
        </w:rPr>
        <w:t>E</w:t>
      </w:r>
      <w:r w:rsidRPr="006561C8">
        <w:rPr>
          <w:iCs/>
          <w:sz w:val="20"/>
          <w:lang w:val="en-US"/>
        </w:rPr>
        <w:t>ACIN</w:t>
      </w:r>
      <w:r w:rsidRPr="006561C8">
        <w:rPr>
          <w:iCs/>
          <w:sz w:val="20"/>
          <w:lang w:val="en-US"/>
        </w:rPr>
        <w:tab/>
      </w:r>
      <w:r w:rsidRPr="006561C8">
        <w:rPr>
          <w:i/>
          <w:iCs/>
          <w:sz w:val="20"/>
          <w:lang w:val="en-US"/>
        </w:rPr>
        <w:t>East Africa Climate Innovation Network</w:t>
      </w:r>
    </w:p>
    <w:p w:rsidR="00A27770" w:rsidRPr="008857F9" w:rsidRDefault="00A27770" w:rsidP="00A27770">
      <w:pPr>
        <w:tabs>
          <w:tab w:val="left" w:pos="3227"/>
        </w:tabs>
        <w:spacing w:after="40"/>
        <w:ind w:left="3227" w:hanging="2507"/>
        <w:rPr>
          <w:sz w:val="20"/>
        </w:rPr>
      </w:pPr>
      <w:r w:rsidRPr="008857F9">
        <w:rPr>
          <w:sz w:val="20"/>
        </w:rPr>
        <w:t>ECT</w:t>
      </w:r>
      <w:r w:rsidRPr="008857F9">
        <w:rPr>
          <w:sz w:val="20"/>
        </w:rPr>
        <w:tab/>
        <w:t>Expresiones culturales tradicionales</w:t>
      </w:r>
    </w:p>
    <w:p w:rsidR="00A27770" w:rsidRPr="008857F9" w:rsidRDefault="00A27770" w:rsidP="00A27770">
      <w:pPr>
        <w:tabs>
          <w:tab w:val="left" w:pos="3227"/>
        </w:tabs>
        <w:spacing w:after="40"/>
        <w:ind w:left="3227" w:hanging="2507"/>
        <w:rPr>
          <w:iCs/>
          <w:sz w:val="20"/>
        </w:rPr>
      </w:pPr>
      <w:r w:rsidRPr="008857F9">
        <w:rPr>
          <w:iCs/>
          <w:sz w:val="20"/>
        </w:rPr>
        <w:lastRenderedPageBreak/>
        <w:t>EDMS</w:t>
      </w:r>
      <w:r w:rsidRPr="008857F9">
        <w:rPr>
          <w:iCs/>
          <w:sz w:val="20"/>
        </w:rPr>
        <w:tab/>
        <w:t>Sistema de Gestión Electrónica de Documentos</w:t>
      </w:r>
    </w:p>
    <w:p w:rsidR="00A27770" w:rsidRPr="008857F9" w:rsidRDefault="00A27770" w:rsidP="00A27770">
      <w:pPr>
        <w:tabs>
          <w:tab w:val="left" w:pos="3227"/>
        </w:tabs>
        <w:spacing w:after="40"/>
        <w:ind w:left="3227" w:hanging="2507"/>
        <w:rPr>
          <w:sz w:val="20"/>
        </w:rPr>
      </w:pPr>
      <w:r w:rsidRPr="008857F9">
        <w:rPr>
          <w:sz w:val="20"/>
        </w:rPr>
        <w:t>EGEDA</w:t>
      </w:r>
      <w:r w:rsidRPr="008857F9">
        <w:rPr>
          <w:sz w:val="20"/>
        </w:rPr>
        <w:tab/>
      </w:r>
      <w:r w:rsidRPr="008857F9">
        <w:rPr>
          <w:iCs/>
          <w:sz w:val="20"/>
        </w:rPr>
        <w:t>Entidad de Gestión de Derechos de los Productores Audiovisuales</w:t>
      </w:r>
    </w:p>
    <w:p w:rsidR="00A27770" w:rsidRPr="008857F9" w:rsidRDefault="00A27770" w:rsidP="00A27770">
      <w:pPr>
        <w:tabs>
          <w:tab w:val="left" w:pos="3227"/>
        </w:tabs>
        <w:ind w:left="3227" w:hanging="2507"/>
        <w:rPr>
          <w:sz w:val="20"/>
        </w:rPr>
      </w:pPr>
      <w:r w:rsidRPr="008857F9">
        <w:rPr>
          <w:sz w:val="20"/>
        </w:rPr>
        <w:t>ETSI</w:t>
      </w:r>
      <w:r w:rsidRPr="008857F9">
        <w:rPr>
          <w:sz w:val="20"/>
        </w:rPr>
        <w:tab/>
        <w:t>Instituto Europeo de Normas de Telecomunicación</w:t>
      </w:r>
    </w:p>
    <w:p w:rsidR="00A27770" w:rsidRPr="00D12C13" w:rsidRDefault="00A27770" w:rsidP="00A27770">
      <w:pPr>
        <w:tabs>
          <w:tab w:val="left" w:pos="3227"/>
        </w:tabs>
        <w:spacing w:after="40"/>
        <w:ind w:left="3227" w:hanging="2507"/>
        <w:rPr>
          <w:bCs/>
          <w:sz w:val="20"/>
        </w:rPr>
      </w:pPr>
    </w:p>
    <w:p w:rsidR="00A27770" w:rsidRDefault="00A27770" w:rsidP="00A27770">
      <w:pPr>
        <w:tabs>
          <w:tab w:val="left" w:pos="3227"/>
        </w:tabs>
        <w:spacing w:after="40"/>
        <w:ind w:left="3227" w:hanging="2507"/>
        <w:rPr>
          <w:sz w:val="20"/>
        </w:rPr>
      </w:pPr>
      <w:r w:rsidRPr="008857F9">
        <w:rPr>
          <w:b/>
          <w:bCs/>
          <w:sz w:val="20"/>
        </w:rPr>
        <w:t>F</w:t>
      </w:r>
      <w:r w:rsidRPr="008857F9">
        <w:rPr>
          <w:sz w:val="20"/>
        </w:rPr>
        <w:t>AO</w:t>
      </w:r>
      <w:r w:rsidRPr="008857F9">
        <w:rPr>
          <w:sz w:val="20"/>
        </w:rPr>
        <w:tab/>
        <w:t>Organización de las Naciones Unidas para la Alimentación y la Agricultura</w:t>
      </w:r>
    </w:p>
    <w:p w:rsidR="00A27770" w:rsidRPr="008857F9" w:rsidRDefault="00A27770" w:rsidP="00A27770">
      <w:pPr>
        <w:tabs>
          <w:tab w:val="left" w:pos="3227"/>
        </w:tabs>
        <w:spacing w:after="40"/>
        <w:ind w:left="3227" w:hanging="2507"/>
        <w:rPr>
          <w:sz w:val="20"/>
        </w:rPr>
      </w:pPr>
      <w:r w:rsidRPr="008857F9">
        <w:rPr>
          <w:sz w:val="20"/>
        </w:rPr>
        <w:t>FIT</w:t>
      </w:r>
      <w:r w:rsidRPr="008857F9">
        <w:rPr>
          <w:sz w:val="20"/>
        </w:rPr>
        <w:tab/>
        <w:t>fondos fiduciarios</w:t>
      </w:r>
    </w:p>
    <w:p w:rsidR="00A27770" w:rsidRPr="007C679A" w:rsidRDefault="00A27770" w:rsidP="00A27770">
      <w:pPr>
        <w:tabs>
          <w:tab w:val="left" w:pos="3227"/>
        </w:tabs>
        <w:spacing w:after="40"/>
        <w:ind w:left="3227" w:hanging="2507"/>
        <w:rPr>
          <w:sz w:val="20"/>
        </w:rPr>
      </w:pPr>
      <w:r w:rsidRPr="007C679A">
        <w:rPr>
          <w:bCs/>
          <w:sz w:val="20"/>
        </w:rPr>
        <w:t>FRPI</w:t>
      </w:r>
      <w:r w:rsidRPr="007C679A">
        <w:rPr>
          <w:bCs/>
          <w:sz w:val="20"/>
        </w:rPr>
        <w:tab/>
        <w:t>Fomentar el respeto por la propiedad intelectual</w:t>
      </w:r>
    </w:p>
    <w:p w:rsidR="00A27770" w:rsidRPr="00A27770" w:rsidRDefault="00A27770" w:rsidP="00A27770">
      <w:pPr>
        <w:tabs>
          <w:tab w:val="left" w:pos="3227"/>
        </w:tabs>
        <w:spacing w:after="40"/>
        <w:ind w:left="3227" w:hanging="2507"/>
        <w:rPr>
          <w:bCs/>
          <w:sz w:val="20"/>
          <w:lang w:val="es-ES_tradnl"/>
        </w:rPr>
      </w:pPr>
    </w:p>
    <w:p w:rsidR="003D53A9" w:rsidRPr="00125CDD" w:rsidRDefault="00A27770" w:rsidP="00A27770">
      <w:pPr>
        <w:tabs>
          <w:tab w:val="left" w:pos="3227"/>
        </w:tabs>
        <w:spacing w:after="40"/>
        <w:ind w:left="3227" w:hanging="2507"/>
        <w:rPr>
          <w:bCs/>
          <w:sz w:val="20"/>
        </w:rPr>
      </w:pPr>
      <w:r w:rsidRPr="00125CDD">
        <w:rPr>
          <w:b/>
          <w:bCs/>
          <w:sz w:val="20"/>
        </w:rPr>
        <w:t>G</w:t>
      </w:r>
      <w:r w:rsidR="003D53A9" w:rsidRPr="00125CDD">
        <w:rPr>
          <w:bCs/>
          <w:sz w:val="20"/>
        </w:rPr>
        <w:t>BD</w:t>
      </w:r>
      <w:r w:rsidR="00125CDD" w:rsidRPr="00125CDD">
        <w:rPr>
          <w:bCs/>
          <w:sz w:val="20"/>
        </w:rPr>
        <w:tab/>
        <w:t>Base Mundial de Datos sobre Marcas</w:t>
      </w:r>
    </w:p>
    <w:p w:rsidR="00125CDD" w:rsidRPr="00125CDD" w:rsidRDefault="003D53A9" w:rsidP="00A27770">
      <w:pPr>
        <w:tabs>
          <w:tab w:val="left" w:pos="3227"/>
        </w:tabs>
        <w:spacing w:after="40"/>
        <w:ind w:left="3227" w:hanging="2507"/>
        <w:rPr>
          <w:bCs/>
          <w:sz w:val="20"/>
        </w:rPr>
      </w:pPr>
      <w:r w:rsidRPr="00125CDD">
        <w:rPr>
          <w:bCs/>
          <w:sz w:val="20"/>
        </w:rPr>
        <w:t>GDD</w:t>
      </w:r>
      <w:r w:rsidR="00125CDD" w:rsidRPr="00125CDD">
        <w:rPr>
          <w:bCs/>
          <w:sz w:val="20"/>
        </w:rPr>
        <w:tab/>
        <w:t>Base Mundial de Datos sobre Diseños</w:t>
      </w:r>
    </w:p>
    <w:p w:rsidR="00A27770" w:rsidRPr="00D12C13" w:rsidRDefault="00125CDD" w:rsidP="00A27770">
      <w:pPr>
        <w:tabs>
          <w:tab w:val="left" w:pos="3227"/>
        </w:tabs>
        <w:spacing w:after="40"/>
        <w:ind w:left="3227" w:hanging="2507"/>
        <w:rPr>
          <w:b/>
          <w:bCs/>
          <w:sz w:val="20"/>
          <w:lang w:val="en-US"/>
        </w:rPr>
      </w:pPr>
      <w:r w:rsidRPr="00125CDD">
        <w:rPr>
          <w:bCs/>
          <w:sz w:val="20"/>
          <w:lang w:val="en-US"/>
        </w:rPr>
        <w:t>G</w:t>
      </w:r>
      <w:r w:rsidR="00A27770" w:rsidRPr="00D12C13">
        <w:rPr>
          <w:sz w:val="20"/>
          <w:lang w:val="en-US"/>
        </w:rPr>
        <w:t>NIPA</w:t>
      </w:r>
      <w:r w:rsidR="00A27770" w:rsidRPr="00D12C13">
        <w:rPr>
          <w:b/>
          <w:bCs/>
          <w:sz w:val="20"/>
          <w:lang w:val="en-US"/>
        </w:rPr>
        <w:tab/>
      </w:r>
      <w:r w:rsidR="00A27770" w:rsidRPr="00D12C13">
        <w:rPr>
          <w:i/>
          <w:sz w:val="20"/>
          <w:lang w:val="en-US"/>
        </w:rPr>
        <w:t>Global Network of IP Academies</w:t>
      </w:r>
    </w:p>
    <w:p w:rsidR="00A27770" w:rsidRPr="008857F9" w:rsidRDefault="00A27770" w:rsidP="00A27770">
      <w:pPr>
        <w:tabs>
          <w:tab w:val="left" w:pos="3227"/>
        </w:tabs>
        <w:spacing w:after="40"/>
        <w:ind w:left="3227" w:hanging="2507"/>
        <w:rPr>
          <w:sz w:val="20"/>
        </w:rPr>
      </w:pPr>
      <w:r w:rsidRPr="008857F9">
        <w:rPr>
          <w:sz w:val="20"/>
        </w:rPr>
        <w:t>gTLD</w:t>
      </w:r>
      <w:r w:rsidRPr="008857F9">
        <w:rPr>
          <w:sz w:val="20"/>
        </w:rPr>
        <w:tab/>
        <w:t>Dominios genéricos de nivel superior</w:t>
      </w:r>
    </w:p>
    <w:p w:rsidR="00A27770" w:rsidRDefault="00A27770" w:rsidP="00A27770">
      <w:pPr>
        <w:tabs>
          <w:tab w:val="left" w:pos="3227"/>
        </w:tabs>
        <w:spacing w:after="40"/>
        <w:ind w:left="3227" w:hanging="2507"/>
        <w:rPr>
          <w:sz w:val="20"/>
        </w:rPr>
      </w:pPr>
    </w:p>
    <w:p w:rsidR="00A27770" w:rsidRPr="008857F9" w:rsidRDefault="00A27770" w:rsidP="00A27770">
      <w:pPr>
        <w:tabs>
          <w:tab w:val="left" w:pos="3227"/>
        </w:tabs>
        <w:ind w:left="3227" w:hanging="2507"/>
        <w:rPr>
          <w:sz w:val="20"/>
        </w:rPr>
      </w:pPr>
      <w:r w:rsidRPr="00D12C13">
        <w:rPr>
          <w:b/>
          <w:sz w:val="20"/>
        </w:rPr>
        <w:t>I</w:t>
      </w:r>
      <w:r w:rsidRPr="008857F9">
        <w:rPr>
          <w:sz w:val="20"/>
        </w:rPr>
        <w:t>CANN</w:t>
      </w:r>
      <w:r w:rsidRPr="008857F9">
        <w:rPr>
          <w:sz w:val="20"/>
        </w:rPr>
        <w:tab/>
        <w:t>Corporación para la Asignación de Nombres y Números en Internet</w:t>
      </w:r>
    </w:p>
    <w:p w:rsidR="00A27770" w:rsidRPr="008857F9" w:rsidRDefault="00A27770" w:rsidP="00A27770">
      <w:pPr>
        <w:tabs>
          <w:tab w:val="left" w:pos="3227"/>
        </w:tabs>
        <w:spacing w:after="40"/>
        <w:ind w:left="3227" w:hanging="2507"/>
        <w:rPr>
          <w:sz w:val="20"/>
        </w:rPr>
      </w:pPr>
      <w:r w:rsidRPr="008857F9">
        <w:rPr>
          <w:sz w:val="20"/>
        </w:rPr>
        <w:t>ICOM</w:t>
      </w:r>
      <w:r w:rsidRPr="008857F9">
        <w:rPr>
          <w:sz w:val="20"/>
        </w:rPr>
        <w:tab/>
        <w:t>Consejo Internacional de Museos</w:t>
      </w:r>
    </w:p>
    <w:p w:rsidR="00A27770" w:rsidRPr="008857F9" w:rsidRDefault="00A27770" w:rsidP="00A27770">
      <w:pPr>
        <w:tabs>
          <w:tab w:val="left" w:pos="3227"/>
        </w:tabs>
        <w:ind w:left="3227" w:hanging="2507"/>
        <w:rPr>
          <w:sz w:val="20"/>
        </w:rPr>
      </w:pPr>
      <w:r w:rsidRPr="008857F9">
        <w:rPr>
          <w:sz w:val="20"/>
        </w:rPr>
        <w:t>ICPIP</w:t>
      </w:r>
      <w:r w:rsidRPr="008857F9">
        <w:rPr>
          <w:sz w:val="20"/>
        </w:rPr>
        <w:tab/>
        <w:t xml:space="preserve">Consejo Interestatal </w:t>
      </w:r>
      <w:r w:rsidR="002E2404">
        <w:rPr>
          <w:sz w:val="20"/>
        </w:rPr>
        <w:t>para</w:t>
      </w:r>
      <w:r w:rsidRPr="008857F9">
        <w:rPr>
          <w:sz w:val="20"/>
        </w:rPr>
        <w:t xml:space="preserve"> la Protección</w:t>
      </w:r>
      <w:r w:rsidR="002E2404">
        <w:rPr>
          <w:sz w:val="20"/>
        </w:rPr>
        <w:t xml:space="preserve"> Jurídica y la Observancia </w:t>
      </w:r>
      <w:r w:rsidRPr="008857F9">
        <w:rPr>
          <w:sz w:val="20"/>
        </w:rPr>
        <w:t>de la Propiedad In</w:t>
      </w:r>
      <w:r w:rsidR="002E2404">
        <w:rPr>
          <w:sz w:val="20"/>
        </w:rPr>
        <w:t>telectual</w:t>
      </w:r>
    </w:p>
    <w:p w:rsidR="00A27770" w:rsidRPr="008857F9" w:rsidRDefault="00A27770" w:rsidP="00A27770">
      <w:pPr>
        <w:tabs>
          <w:tab w:val="left" w:pos="3227"/>
        </w:tabs>
        <w:ind w:left="3227" w:hanging="2507"/>
        <w:rPr>
          <w:sz w:val="20"/>
        </w:rPr>
      </w:pPr>
      <w:r w:rsidRPr="008857F9">
        <w:rPr>
          <w:sz w:val="20"/>
        </w:rPr>
        <w:t>ICSEI</w:t>
      </w:r>
      <w:r w:rsidRPr="008857F9">
        <w:rPr>
          <w:sz w:val="20"/>
        </w:rPr>
        <w:tab/>
        <w:t>Cooperación Internacional para la Búsqueda y el Examen de Invenciones</w:t>
      </w:r>
    </w:p>
    <w:p w:rsidR="00A27770" w:rsidRPr="008857F9" w:rsidRDefault="00A27770" w:rsidP="00A27770">
      <w:pPr>
        <w:tabs>
          <w:tab w:val="left" w:pos="3227"/>
        </w:tabs>
        <w:spacing w:after="40"/>
        <w:ind w:left="3227" w:hanging="2507"/>
        <w:rPr>
          <w:sz w:val="20"/>
        </w:rPr>
      </w:pPr>
      <w:r w:rsidRPr="008857F9">
        <w:rPr>
          <w:sz w:val="20"/>
        </w:rPr>
        <w:t>I+D</w:t>
      </w:r>
      <w:r w:rsidRPr="008857F9">
        <w:rPr>
          <w:sz w:val="20"/>
        </w:rPr>
        <w:tab/>
        <w:t>Investigación y Desarrollo</w:t>
      </w:r>
    </w:p>
    <w:p w:rsidR="00A27770" w:rsidRPr="008857F9" w:rsidRDefault="00A27770" w:rsidP="00A27770">
      <w:pPr>
        <w:tabs>
          <w:tab w:val="left" w:pos="3227"/>
        </w:tabs>
        <w:spacing w:after="40"/>
        <w:ind w:left="3227" w:hanging="2507"/>
        <w:rPr>
          <w:sz w:val="20"/>
        </w:rPr>
      </w:pPr>
      <w:r w:rsidRPr="008857F9">
        <w:rPr>
          <w:sz w:val="20"/>
        </w:rPr>
        <w:t>IIA</w:t>
      </w:r>
      <w:r w:rsidRPr="008857F9">
        <w:rPr>
          <w:sz w:val="20"/>
        </w:rPr>
        <w:tab/>
        <w:t>Instituto de Auditores Internos</w:t>
      </w:r>
    </w:p>
    <w:p w:rsidR="00A27770" w:rsidRPr="008857F9" w:rsidRDefault="00A27770" w:rsidP="00A27770">
      <w:pPr>
        <w:tabs>
          <w:tab w:val="left" w:pos="3227"/>
        </w:tabs>
        <w:spacing w:after="40"/>
        <w:ind w:left="3227" w:hanging="2507"/>
        <w:rPr>
          <w:sz w:val="20"/>
        </w:rPr>
      </w:pPr>
      <w:r w:rsidRPr="008857F9">
        <w:rPr>
          <w:sz w:val="20"/>
        </w:rPr>
        <w:t>IMPI</w:t>
      </w:r>
      <w:r w:rsidRPr="008857F9">
        <w:rPr>
          <w:sz w:val="20"/>
        </w:rPr>
        <w:tab/>
        <w:t>Instituto Mexicano de la Propiedad Industrial</w:t>
      </w:r>
    </w:p>
    <w:p w:rsidR="00A27770" w:rsidRDefault="00A27770" w:rsidP="00A27770">
      <w:pPr>
        <w:tabs>
          <w:tab w:val="left" w:pos="3227"/>
        </w:tabs>
        <w:spacing w:after="40"/>
        <w:ind w:left="3227" w:hanging="2507"/>
        <w:rPr>
          <w:sz w:val="20"/>
        </w:rPr>
      </w:pPr>
      <w:r w:rsidRPr="008857F9">
        <w:rPr>
          <w:sz w:val="20"/>
        </w:rPr>
        <w:t>INPI</w:t>
      </w:r>
      <w:r w:rsidRPr="008857F9">
        <w:rPr>
          <w:sz w:val="20"/>
        </w:rPr>
        <w:tab/>
        <w:t>Instituto Nacional de la Propiedad Industrial (Brasil)</w:t>
      </w:r>
    </w:p>
    <w:p w:rsidR="009309A0" w:rsidRDefault="009309A0" w:rsidP="00A27770">
      <w:pPr>
        <w:tabs>
          <w:tab w:val="left" w:pos="3227"/>
        </w:tabs>
        <w:spacing w:after="40"/>
        <w:ind w:left="3227" w:hanging="2507"/>
        <w:rPr>
          <w:sz w:val="20"/>
        </w:rPr>
      </w:pPr>
      <w:r>
        <w:rPr>
          <w:sz w:val="20"/>
        </w:rPr>
        <w:t>IP-DMD</w:t>
      </w:r>
      <w:r>
        <w:rPr>
          <w:sz w:val="20"/>
        </w:rPr>
        <w:tab/>
      </w:r>
      <w:r w:rsidRPr="009309A0">
        <w:rPr>
          <w:sz w:val="20"/>
        </w:rPr>
        <w:t>Base de datos de vinculaci</w:t>
      </w:r>
      <w:r w:rsidRPr="009309A0">
        <w:rPr>
          <w:rFonts w:ascii="Tahoma" w:hAnsi="Tahoma" w:cs="Tahoma"/>
          <w:sz w:val="20"/>
        </w:rPr>
        <w:t>ó</w:t>
      </w:r>
      <w:r w:rsidRPr="009309A0">
        <w:rPr>
          <w:sz w:val="20"/>
        </w:rPr>
        <w:t>n para atender las necesidades de desarrollo en materia de P.I.</w:t>
      </w:r>
    </w:p>
    <w:p w:rsidR="009309A0" w:rsidRDefault="009309A0" w:rsidP="00A27770">
      <w:pPr>
        <w:tabs>
          <w:tab w:val="left" w:pos="3227"/>
        </w:tabs>
        <w:spacing w:after="40"/>
        <w:ind w:left="3227" w:hanging="2507"/>
        <w:rPr>
          <w:sz w:val="20"/>
        </w:rPr>
      </w:pPr>
      <w:r>
        <w:rPr>
          <w:sz w:val="20"/>
        </w:rPr>
        <w:t>IP-ROC</w:t>
      </w:r>
      <w:r>
        <w:rPr>
          <w:sz w:val="20"/>
        </w:rPr>
        <w:tab/>
        <w:t>Lista de consultores en propiedad intelectual</w:t>
      </w:r>
    </w:p>
    <w:p w:rsidR="009309A0" w:rsidRPr="008857F9" w:rsidRDefault="009309A0" w:rsidP="00A27770">
      <w:pPr>
        <w:tabs>
          <w:tab w:val="left" w:pos="3227"/>
        </w:tabs>
        <w:spacing w:after="40"/>
        <w:ind w:left="3227" w:hanging="2507"/>
        <w:rPr>
          <w:sz w:val="20"/>
        </w:rPr>
      </w:pPr>
      <w:r>
        <w:rPr>
          <w:sz w:val="20"/>
        </w:rPr>
        <w:t>IP-TAD</w:t>
      </w:r>
      <w:r>
        <w:rPr>
          <w:sz w:val="20"/>
        </w:rPr>
        <w:tab/>
      </w:r>
      <w:r w:rsidRPr="009309A0">
        <w:rPr>
          <w:sz w:val="20"/>
        </w:rPr>
        <w:t>Base de datos de asistencia técnica en materia de propiedad intelectual</w:t>
      </w:r>
    </w:p>
    <w:p w:rsidR="00A27770" w:rsidRPr="008857F9" w:rsidRDefault="00A27770" w:rsidP="00A27770">
      <w:pPr>
        <w:tabs>
          <w:tab w:val="left" w:pos="3227"/>
        </w:tabs>
        <w:ind w:left="3227" w:hanging="2507"/>
        <w:rPr>
          <w:sz w:val="20"/>
        </w:rPr>
      </w:pPr>
      <w:r w:rsidRPr="008857F9">
        <w:rPr>
          <w:sz w:val="20"/>
        </w:rPr>
        <w:t>IPACIS</w:t>
      </w:r>
      <w:r w:rsidRPr="008857F9">
        <w:rPr>
          <w:sz w:val="20"/>
        </w:rPr>
        <w:tab/>
        <w:t>Asamblea de los Estados miembros de la CEI</w:t>
      </w:r>
    </w:p>
    <w:p w:rsidR="00A27770" w:rsidRPr="00D12C13" w:rsidRDefault="00A27770" w:rsidP="00A27770">
      <w:pPr>
        <w:tabs>
          <w:tab w:val="left" w:pos="3227"/>
        </w:tabs>
        <w:spacing w:after="40"/>
        <w:ind w:left="3227" w:hanging="2507"/>
        <w:rPr>
          <w:sz w:val="20"/>
          <w:lang w:val="es-ES_tradnl"/>
        </w:rPr>
      </w:pPr>
      <w:r w:rsidRPr="00D12C13">
        <w:rPr>
          <w:sz w:val="20"/>
          <w:lang w:val="es-ES_tradnl"/>
        </w:rPr>
        <w:t>IPAG</w:t>
      </w:r>
      <w:r w:rsidRPr="00D12C13">
        <w:rPr>
          <w:sz w:val="20"/>
          <w:lang w:val="es-ES_tradnl"/>
        </w:rPr>
        <w:tab/>
      </w:r>
      <w:r w:rsidRPr="00D12C13">
        <w:rPr>
          <w:i/>
          <w:sz w:val="20"/>
          <w:lang w:val="es-ES_tradnl"/>
        </w:rPr>
        <w:t>Intellectual Property Agreement Guide</w:t>
      </w:r>
    </w:p>
    <w:p w:rsidR="00A27770" w:rsidRPr="008857F9" w:rsidRDefault="00A27770" w:rsidP="00A27770">
      <w:pPr>
        <w:tabs>
          <w:tab w:val="left" w:pos="3227"/>
        </w:tabs>
        <w:spacing w:after="40"/>
        <w:ind w:left="3227" w:hanging="2507"/>
        <w:rPr>
          <w:sz w:val="20"/>
        </w:rPr>
      </w:pPr>
      <w:r w:rsidRPr="008857F9">
        <w:rPr>
          <w:sz w:val="20"/>
        </w:rPr>
        <w:t>IPAS</w:t>
      </w:r>
      <w:r w:rsidRPr="008857F9">
        <w:rPr>
          <w:sz w:val="20"/>
        </w:rPr>
        <w:tab/>
        <w:t>Sistema de Automatización de la Propiedad Industrial</w:t>
      </w:r>
    </w:p>
    <w:p w:rsidR="00A27770" w:rsidRDefault="00A27770" w:rsidP="00A27770">
      <w:pPr>
        <w:tabs>
          <w:tab w:val="left" w:pos="3227"/>
        </w:tabs>
        <w:spacing w:after="40"/>
        <w:ind w:left="3227" w:hanging="2507"/>
        <w:rPr>
          <w:sz w:val="20"/>
        </w:rPr>
      </w:pPr>
      <w:r w:rsidRPr="008857F9">
        <w:rPr>
          <w:sz w:val="20"/>
        </w:rPr>
        <w:t>IPSAS</w:t>
      </w:r>
      <w:r w:rsidRPr="008857F9">
        <w:rPr>
          <w:sz w:val="20"/>
        </w:rPr>
        <w:tab/>
        <w:t>Normas Internacionales de Contabilidad del Sector Público</w:t>
      </w:r>
    </w:p>
    <w:p w:rsidR="009309A0" w:rsidRPr="008857F9" w:rsidRDefault="009309A0" w:rsidP="00A27770">
      <w:pPr>
        <w:tabs>
          <w:tab w:val="left" w:pos="3227"/>
        </w:tabs>
        <w:spacing w:after="40"/>
        <w:ind w:left="3227" w:hanging="2507"/>
        <w:rPr>
          <w:sz w:val="20"/>
        </w:rPr>
      </w:pPr>
      <w:r>
        <w:rPr>
          <w:sz w:val="20"/>
        </w:rPr>
        <w:t>ISO</w:t>
      </w:r>
      <w:r>
        <w:rPr>
          <w:sz w:val="20"/>
        </w:rPr>
        <w:tab/>
        <w:t>Organización Internacional de Normalización</w:t>
      </w:r>
    </w:p>
    <w:p w:rsidR="00A27770" w:rsidRPr="008857F9" w:rsidRDefault="00A27770" w:rsidP="00A27770">
      <w:pPr>
        <w:tabs>
          <w:tab w:val="left" w:pos="3227"/>
        </w:tabs>
        <w:spacing w:after="40"/>
        <w:ind w:left="3227" w:hanging="2507"/>
        <w:rPr>
          <w:sz w:val="20"/>
        </w:rPr>
      </w:pPr>
      <w:r w:rsidRPr="008857F9">
        <w:rPr>
          <w:sz w:val="20"/>
        </w:rPr>
        <w:t>ITIL</w:t>
      </w:r>
      <w:r w:rsidRPr="008857F9">
        <w:rPr>
          <w:sz w:val="20"/>
        </w:rPr>
        <w:tab/>
        <w:t>Biblioteca de Infraestructura de T.I.</w:t>
      </w:r>
    </w:p>
    <w:p w:rsidR="00A27770" w:rsidRPr="008857F9" w:rsidRDefault="00A27770" w:rsidP="00A27770">
      <w:pPr>
        <w:tabs>
          <w:tab w:val="left" w:pos="3227"/>
        </w:tabs>
        <w:ind w:left="3227" w:hanging="2507"/>
        <w:rPr>
          <w:sz w:val="20"/>
        </w:rPr>
      </w:pPr>
      <w:r w:rsidRPr="008857F9">
        <w:rPr>
          <w:sz w:val="20"/>
        </w:rPr>
        <w:t>ITPGRFA</w:t>
      </w:r>
      <w:r w:rsidRPr="008857F9">
        <w:rPr>
          <w:sz w:val="20"/>
        </w:rPr>
        <w:tab/>
        <w:t>Tratado Internacional sobre los Recursos Fitogenéticos para la Alimentación y la Agricultura</w:t>
      </w:r>
    </w:p>
    <w:p w:rsidR="00A27770" w:rsidRDefault="00A27770" w:rsidP="00A27770">
      <w:pPr>
        <w:tabs>
          <w:tab w:val="left" w:pos="3227"/>
        </w:tabs>
        <w:spacing w:after="40"/>
        <w:ind w:left="3227" w:hanging="2507"/>
        <w:rPr>
          <w:sz w:val="20"/>
        </w:rPr>
      </w:pPr>
    </w:p>
    <w:p w:rsidR="00A27770" w:rsidRPr="008857F9" w:rsidRDefault="00A27770" w:rsidP="00A27770">
      <w:pPr>
        <w:tabs>
          <w:tab w:val="left" w:pos="3227"/>
        </w:tabs>
        <w:spacing w:after="40"/>
        <w:ind w:left="3227" w:hanging="2507"/>
        <w:rPr>
          <w:sz w:val="20"/>
        </w:rPr>
      </w:pPr>
      <w:r w:rsidRPr="00D12C13">
        <w:rPr>
          <w:b/>
          <w:sz w:val="20"/>
        </w:rPr>
        <w:t>K</w:t>
      </w:r>
      <w:r w:rsidRPr="008857F9">
        <w:rPr>
          <w:sz w:val="20"/>
        </w:rPr>
        <w:t>OTEC</w:t>
      </w:r>
      <w:r w:rsidRPr="008857F9">
        <w:rPr>
          <w:sz w:val="20"/>
        </w:rPr>
        <w:tab/>
      </w:r>
      <w:r w:rsidRPr="008857F9">
        <w:rPr>
          <w:i/>
          <w:sz w:val="20"/>
        </w:rPr>
        <w:t>Korea Technology Finance Corporation</w:t>
      </w:r>
    </w:p>
    <w:p w:rsidR="00A27770" w:rsidRDefault="00A27770" w:rsidP="00A27770">
      <w:pPr>
        <w:tabs>
          <w:tab w:val="left" w:pos="3227"/>
        </w:tabs>
        <w:spacing w:after="40"/>
        <w:ind w:left="3227" w:hanging="2507"/>
        <w:rPr>
          <w:sz w:val="20"/>
        </w:rPr>
      </w:pPr>
    </w:p>
    <w:p w:rsidR="00A27770" w:rsidRPr="008857F9" w:rsidRDefault="00A27770" w:rsidP="00A27770">
      <w:pPr>
        <w:tabs>
          <w:tab w:val="left" w:pos="3227"/>
        </w:tabs>
        <w:spacing w:after="40"/>
        <w:ind w:left="3227" w:hanging="2507"/>
        <w:rPr>
          <w:sz w:val="20"/>
        </w:rPr>
      </w:pPr>
      <w:r w:rsidRPr="00D12C13">
        <w:rPr>
          <w:b/>
          <w:sz w:val="20"/>
        </w:rPr>
        <w:t>M</w:t>
      </w:r>
      <w:r w:rsidRPr="008857F9">
        <w:rPr>
          <w:sz w:val="20"/>
        </w:rPr>
        <w:t>GS</w:t>
      </w:r>
      <w:r w:rsidRPr="008857F9">
        <w:rPr>
          <w:sz w:val="20"/>
        </w:rPr>
        <w:tab/>
        <w:t>Gestor de Productos y Servicios de Madrid</w:t>
      </w:r>
    </w:p>
    <w:p w:rsidR="00A27770" w:rsidRDefault="00A27770" w:rsidP="00A27770">
      <w:pPr>
        <w:tabs>
          <w:tab w:val="left" w:pos="3227"/>
        </w:tabs>
        <w:spacing w:after="40"/>
        <w:ind w:left="3227" w:hanging="2507"/>
        <w:rPr>
          <w:sz w:val="20"/>
        </w:rPr>
      </w:pPr>
    </w:p>
    <w:p w:rsidR="00A27770" w:rsidRDefault="00A27770" w:rsidP="00A27770">
      <w:pPr>
        <w:tabs>
          <w:tab w:val="left" w:pos="3227"/>
        </w:tabs>
        <w:spacing w:after="40"/>
        <w:ind w:left="3227" w:hanging="2507"/>
        <w:rPr>
          <w:sz w:val="20"/>
        </w:rPr>
      </w:pPr>
      <w:r w:rsidRPr="00D12C13">
        <w:rPr>
          <w:b/>
          <w:sz w:val="20"/>
        </w:rPr>
        <w:t>N</w:t>
      </w:r>
      <w:r w:rsidRPr="008857F9">
        <w:rPr>
          <w:sz w:val="20"/>
        </w:rPr>
        <w:t>N.UU.</w:t>
      </w:r>
      <w:r w:rsidRPr="008857F9">
        <w:rPr>
          <w:sz w:val="20"/>
        </w:rPr>
        <w:tab/>
        <w:t>Naciones Unidas</w:t>
      </w:r>
    </w:p>
    <w:p w:rsidR="00A27770" w:rsidRPr="008857F9" w:rsidRDefault="00A27770" w:rsidP="00A27770">
      <w:pPr>
        <w:tabs>
          <w:tab w:val="left" w:pos="3227"/>
        </w:tabs>
        <w:spacing w:after="40"/>
        <w:ind w:left="3227" w:hanging="2507"/>
        <w:rPr>
          <w:sz w:val="20"/>
        </w:rPr>
      </w:pPr>
    </w:p>
    <w:p w:rsidR="00A27770" w:rsidRPr="00D12C13" w:rsidRDefault="00A27770" w:rsidP="00A27770">
      <w:pPr>
        <w:tabs>
          <w:tab w:val="left" w:pos="3227"/>
        </w:tabs>
        <w:spacing w:after="40"/>
        <w:ind w:left="3227" w:hanging="2507"/>
        <w:rPr>
          <w:sz w:val="20"/>
        </w:rPr>
      </w:pPr>
      <w:r w:rsidRPr="008857F9">
        <w:rPr>
          <w:b/>
          <w:sz w:val="20"/>
        </w:rPr>
        <w:t>O</w:t>
      </w:r>
      <w:r w:rsidRPr="00D12C13">
        <w:rPr>
          <w:sz w:val="20"/>
        </w:rPr>
        <w:t>AMI</w:t>
      </w:r>
      <w:r w:rsidRPr="00D12C13">
        <w:rPr>
          <w:sz w:val="20"/>
        </w:rPr>
        <w:tab/>
        <w:t>Oficina de Armonización del Mercado Interior</w:t>
      </w:r>
    </w:p>
    <w:p w:rsidR="00A27770" w:rsidRPr="008857F9" w:rsidRDefault="00A27770" w:rsidP="00A27770">
      <w:pPr>
        <w:tabs>
          <w:tab w:val="left" w:pos="3227"/>
        </w:tabs>
        <w:spacing w:after="40"/>
        <w:ind w:left="3227" w:hanging="2507"/>
        <w:rPr>
          <w:sz w:val="20"/>
        </w:rPr>
      </w:pPr>
      <w:r w:rsidRPr="00D12C13">
        <w:rPr>
          <w:bCs/>
          <w:sz w:val="20"/>
        </w:rPr>
        <w:t>ODM</w:t>
      </w:r>
      <w:r w:rsidRPr="008857F9">
        <w:rPr>
          <w:sz w:val="20"/>
        </w:rPr>
        <w:tab/>
        <w:t>Objetivos de Desarrollo del Milenio</w:t>
      </w:r>
    </w:p>
    <w:p w:rsidR="00CD5F30" w:rsidRDefault="00CD5F30" w:rsidP="00A27770">
      <w:pPr>
        <w:tabs>
          <w:tab w:val="left" w:pos="3227"/>
        </w:tabs>
        <w:spacing w:after="40"/>
        <w:ind w:left="3227" w:hanging="2507"/>
        <w:rPr>
          <w:sz w:val="20"/>
        </w:rPr>
      </w:pPr>
      <w:r>
        <w:rPr>
          <w:sz w:val="20"/>
        </w:rPr>
        <w:t>ODS</w:t>
      </w:r>
      <w:r>
        <w:rPr>
          <w:sz w:val="20"/>
        </w:rPr>
        <w:tab/>
        <w:t>Objetivos de desarrollo sostenible</w:t>
      </w:r>
    </w:p>
    <w:p w:rsidR="00A27770" w:rsidRPr="008857F9" w:rsidRDefault="00A27770" w:rsidP="00A27770">
      <w:pPr>
        <w:tabs>
          <w:tab w:val="left" w:pos="3227"/>
        </w:tabs>
        <w:spacing w:after="40"/>
        <w:ind w:left="3227" w:hanging="2507"/>
        <w:rPr>
          <w:sz w:val="20"/>
        </w:rPr>
      </w:pPr>
      <w:r w:rsidRPr="008857F9">
        <w:rPr>
          <w:sz w:val="20"/>
        </w:rPr>
        <w:t>OEP</w:t>
      </w:r>
      <w:r w:rsidRPr="008857F9">
        <w:rPr>
          <w:sz w:val="20"/>
        </w:rPr>
        <w:tab/>
        <w:t>Oficina Europea de Patentes</w:t>
      </w:r>
    </w:p>
    <w:p w:rsidR="00A27770" w:rsidRPr="008857F9" w:rsidRDefault="00A27770" w:rsidP="00A27770">
      <w:pPr>
        <w:tabs>
          <w:tab w:val="left" w:pos="3227"/>
        </w:tabs>
        <w:spacing w:after="40"/>
        <w:ind w:left="3227" w:hanging="2507"/>
        <w:rPr>
          <w:sz w:val="20"/>
        </w:rPr>
      </w:pPr>
      <w:r w:rsidRPr="008857F9">
        <w:rPr>
          <w:sz w:val="20"/>
        </w:rPr>
        <w:t>OGC</w:t>
      </w:r>
      <w:r w:rsidRPr="008857F9">
        <w:rPr>
          <w:sz w:val="20"/>
        </w:rPr>
        <w:tab/>
        <w:t>Organismos de gestión colectiva</w:t>
      </w:r>
    </w:p>
    <w:p w:rsidR="00A27770" w:rsidRPr="008857F9" w:rsidRDefault="00A27770" w:rsidP="00A27770">
      <w:pPr>
        <w:tabs>
          <w:tab w:val="left" w:pos="3227"/>
        </w:tabs>
        <w:spacing w:after="40"/>
        <w:ind w:left="3227" w:hanging="2507"/>
        <w:rPr>
          <w:sz w:val="20"/>
        </w:rPr>
      </w:pPr>
      <w:r w:rsidRPr="008857F9">
        <w:rPr>
          <w:sz w:val="20"/>
        </w:rPr>
        <w:t>OIG</w:t>
      </w:r>
      <w:r w:rsidRPr="008857F9">
        <w:rPr>
          <w:sz w:val="20"/>
        </w:rPr>
        <w:tab/>
        <w:t>Organizaciones intergubernamentales</w:t>
      </w:r>
    </w:p>
    <w:p w:rsidR="00A27770" w:rsidRPr="00D12C13" w:rsidRDefault="00A27770" w:rsidP="00A27770">
      <w:pPr>
        <w:tabs>
          <w:tab w:val="left" w:pos="3227"/>
        </w:tabs>
        <w:spacing w:after="40"/>
        <w:ind w:left="3227" w:hanging="2507"/>
        <w:rPr>
          <w:sz w:val="20"/>
        </w:rPr>
      </w:pPr>
      <w:r w:rsidRPr="00D12C13">
        <w:rPr>
          <w:bCs/>
          <w:sz w:val="20"/>
        </w:rPr>
        <w:t>OMA</w:t>
      </w:r>
      <w:r w:rsidRPr="00D12C13">
        <w:rPr>
          <w:sz w:val="20"/>
        </w:rPr>
        <w:tab/>
        <w:t>Organización Mundial de Aduanas</w:t>
      </w:r>
    </w:p>
    <w:p w:rsidR="00A27770" w:rsidRPr="00D12C13" w:rsidRDefault="00A27770" w:rsidP="00A27770">
      <w:pPr>
        <w:tabs>
          <w:tab w:val="left" w:pos="3227"/>
        </w:tabs>
        <w:spacing w:after="40"/>
        <w:ind w:left="3227" w:hanging="2507"/>
        <w:rPr>
          <w:sz w:val="20"/>
        </w:rPr>
      </w:pPr>
      <w:r w:rsidRPr="00D12C13">
        <w:rPr>
          <w:sz w:val="20"/>
        </w:rPr>
        <w:t>OMC</w:t>
      </w:r>
      <w:r w:rsidRPr="00D12C13">
        <w:rPr>
          <w:sz w:val="20"/>
        </w:rPr>
        <w:tab/>
        <w:t>Organización Mundial del Comercio</w:t>
      </w:r>
    </w:p>
    <w:p w:rsidR="00A27770" w:rsidRPr="00D12C13" w:rsidRDefault="00A27770" w:rsidP="00A27770">
      <w:pPr>
        <w:tabs>
          <w:tab w:val="left" w:pos="3227"/>
        </w:tabs>
        <w:spacing w:after="40"/>
        <w:ind w:left="3227" w:hanging="2507"/>
        <w:rPr>
          <w:sz w:val="20"/>
        </w:rPr>
      </w:pPr>
      <w:r w:rsidRPr="00D12C13">
        <w:rPr>
          <w:sz w:val="20"/>
        </w:rPr>
        <w:t>OMS</w:t>
      </w:r>
      <w:r w:rsidRPr="00D12C13">
        <w:rPr>
          <w:sz w:val="20"/>
        </w:rPr>
        <w:tab/>
        <w:t>Organización Mundial de la Salud</w:t>
      </w:r>
    </w:p>
    <w:p w:rsidR="00A27770" w:rsidRPr="008857F9" w:rsidRDefault="00A27770" w:rsidP="00A27770">
      <w:pPr>
        <w:tabs>
          <w:tab w:val="left" w:pos="3227"/>
        </w:tabs>
        <w:spacing w:after="40"/>
        <w:ind w:left="3227" w:hanging="2507"/>
        <w:rPr>
          <w:sz w:val="20"/>
        </w:rPr>
      </w:pPr>
      <w:r w:rsidRPr="00D12C13">
        <w:rPr>
          <w:bCs/>
          <w:sz w:val="20"/>
        </w:rPr>
        <w:lastRenderedPageBreak/>
        <w:t>ONG</w:t>
      </w:r>
      <w:r w:rsidRPr="008857F9">
        <w:rPr>
          <w:sz w:val="20"/>
        </w:rPr>
        <w:tab/>
        <w:t>Organizaci</w:t>
      </w:r>
      <w:r>
        <w:rPr>
          <w:sz w:val="20"/>
        </w:rPr>
        <w:t>ones</w:t>
      </w:r>
      <w:r w:rsidRPr="008857F9">
        <w:rPr>
          <w:sz w:val="20"/>
        </w:rPr>
        <w:t xml:space="preserve"> no gubernamental</w:t>
      </w:r>
      <w:r>
        <w:rPr>
          <w:sz w:val="20"/>
        </w:rPr>
        <w:t>es</w:t>
      </w:r>
    </w:p>
    <w:p w:rsidR="00A27770" w:rsidRPr="008857F9" w:rsidRDefault="00A27770" w:rsidP="00A27770">
      <w:pPr>
        <w:tabs>
          <w:tab w:val="left" w:pos="3227"/>
        </w:tabs>
        <w:spacing w:after="40"/>
        <w:ind w:left="3227" w:hanging="2507"/>
        <w:rPr>
          <w:sz w:val="20"/>
        </w:rPr>
      </w:pPr>
      <w:r w:rsidRPr="008857F9">
        <w:rPr>
          <w:sz w:val="20"/>
        </w:rPr>
        <w:t>ONUDI</w:t>
      </w:r>
      <w:r w:rsidRPr="008857F9">
        <w:rPr>
          <w:sz w:val="20"/>
        </w:rPr>
        <w:tab/>
        <w:t>Organización de las Naciones Unidas para el Desarrollo Industrial</w:t>
      </w:r>
    </w:p>
    <w:p w:rsidR="00A27770" w:rsidRPr="008857F9" w:rsidRDefault="009309A0" w:rsidP="00A27770">
      <w:pPr>
        <w:tabs>
          <w:tab w:val="left" w:pos="3227"/>
        </w:tabs>
        <w:spacing w:after="40"/>
        <w:ind w:left="3227" w:hanging="2507"/>
        <w:rPr>
          <w:sz w:val="20"/>
        </w:rPr>
      </w:pPr>
      <w:r>
        <w:rPr>
          <w:sz w:val="20"/>
        </w:rPr>
        <w:t>OOB</w:t>
      </w:r>
      <w:r w:rsidR="00A27770" w:rsidRPr="008857F9">
        <w:rPr>
          <w:sz w:val="20"/>
        </w:rPr>
        <w:tab/>
        <w:t xml:space="preserve">Oficina de la OMPI en </w:t>
      </w:r>
      <w:r>
        <w:rPr>
          <w:sz w:val="20"/>
        </w:rPr>
        <w:t>el Brasil</w:t>
      </w:r>
    </w:p>
    <w:p w:rsidR="009309A0" w:rsidRPr="008857F9" w:rsidRDefault="009309A0" w:rsidP="009309A0">
      <w:pPr>
        <w:tabs>
          <w:tab w:val="left" w:pos="3227"/>
        </w:tabs>
        <w:spacing w:after="40"/>
        <w:ind w:left="3227" w:hanging="2507"/>
        <w:rPr>
          <w:sz w:val="20"/>
        </w:rPr>
      </w:pPr>
      <w:r w:rsidRPr="008857F9">
        <w:rPr>
          <w:sz w:val="20"/>
        </w:rPr>
        <w:t>OO</w:t>
      </w:r>
      <w:r>
        <w:rPr>
          <w:sz w:val="20"/>
        </w:rPr>
        <w:t>C</w:t>
      </w:r>
      <w:r w:rsidRPr="008857F9">
        <w:rPr>
          <w:sz w:val="20"/>
        </w:rPr>
        <w:tab/>
        <w:t xml:space="preserve">Oficina de la OMPI en </w:t>
      </w:r>
      <w:r>
        <w:rPr>
          <w:sz w:val="20"/>
        </w:rPr>
        <w:t>China</w:t>
      </w:r>
    </w:p>
    <w:p w:rsidR="009309A0" w:rsidRPr="008857F9" w:rsidRDefault="009309A0" w:rsidP="009309A0">
      <w:pPr>
        <w:tabs>
          <w:tab w:val="left" w:pos="3227"/>
        </w:tabs>
        <w:spacing w:after="40"/>
        <w:ind w:left="3227" w:hanging="2507"/>
        <w:rPr>
          <w:sz w:val="20"/>
        </w:rPr>
      </w:pPr>
      <w:r>
        <w:rPr>
          <w:sz w:val="20"/>
        </w:rPr>
        <w:t>OOJ</w:t>
      </w:r>
      <w:r w:rsidRPr="008857F9">
        <w:rPr>
          <w:sz w:val="20"/>
        </w:rPr>
        <w:tab/>
        <w:t xml:space="preserve">Oficina de la OMPI en </w:t>
      </w:r>
      <w:r>
        <w:rPr>
          <w:sz w:val="20"/>
        </w:rPr>
        <w:t>el Japón</w:t>
      </w:r>
    </w:p>
    <w:p w:rsidR="009309A0" w:rsidRPr="008857F9" w:rsidRDefault="009309A0" w:rsidP="009309A0">
      <w:pPr>
        <w:tabs>
          <w:tab w:val="left" w:pos="3227"/>
        </w:tabs>
        <w:spacing w:after="40"/>
        <w:ind w:left="3227" w:hanging="2507"/>
        <w:rPr>
          <w:sz w:val="20"/>
        </w:rPr>
      </w:pPr>
      <w:r w:rsidRPr="008857F9">
        <w:rPr>
          <w:sz w:val="20"/>
        </w:rPr>
        <w:t>OO</w:t>
      </w:r>
      <w:r>
        <w:rPr>
          <w:sz w:val="20"/>
        </w:rPr>
        <w:t>R</w:t>
      </w:r>
      <w:r w:rsidRPr="008857F9">
        <w:rPr>
          <w:sz w:val="20"/>
        </w:rPr>
        <w:tab/>
        <w:t xml:space="preserve">Oficina de la OMPI en </w:t>
      </w:r>
      <w:r>
        <w:rPr>
          <w:sz w:val="20"/>
        </w:rPr>
        <w:t>la Federación de Rusia</w:t>
      </w:r>
    </w:p>
    <w:p w:rsidR="009309A0" w:rsidRPr="008857F9" w:rsidRDefault="009309A0" w:rsidP="009309A0">
      <w:pPr>
        <w:tabs>
          <w:tab w:val="left" w:pos="3227"/>
        </w:tabs>
        <w:spacing w:after="40"/>
        <w:ind w:left="3227" w:hanging="2507"/>
        <w:rPr>
          <w:sz w:val="20"/>
        </w:rPr>
      </w:pPr>
      <w:r w:rsidRPr="008857F9">
        <w:rPr>
          <w:sz w:val="20"/>
        </w:rPr>
        <w:t>OOS</w:t>
      </w:r>
      <w:r w:rsidRPr="008857F9">
        <w:rPr>
          <w:sz w:val="20"/>
        </w:rPr>
        <w:tab/>
        <w:t>Oficina de la OMPI en Singapur</w:t>
      </w:r>
    </w:p>
    <w:p w:rsidR="00A27770" w:rsidRPr="008857F9" w:rsidRDefault="00A27770" w:rsidP="00A27770">
      <w:pPr>
        <w:tabs>
          <w:tab w:val="left" w:pos="3227"/>
        </w:tabs>
        <w:spacing w:after="40"/>
        <w:ind w:left="3227" w:hanging="2507"/>
        <w:rPr>
          <w:sz w:val="20"/>
        </w:rPr>
      </w:pPr>
      <w:r w:rsidRPr="008857F9">
        <w:rPr>
          <w:sz w:val="20"/>
        </w:rPr>
        <w:t>OPI</w:t>
      </w:r>
      <w:r w:rsidRPr="008857F9">
        <w:rPr>
          <w:sz w:val="20"/>
        </w:rPr>
        <w:tab/>
        <w:t>Oficina</w:t>
      </w:r>
      <w:r>
        <w:rPr>
          <w:sz w:val="20"/>
        </w:rPr>
        <w:t>(s)</w:t>
      </w:r>
      <w:r w:rsidRPr="008857F9">
        <w:rPr>
          <w:sz w:val="20"/>
        </w:rPr>
        <w:t xml:space="preserve"> de propiedad intelectual</w:t>
      </w:r>
    </w:p>
    <w:p w:rsidR="00A27770" w:rsidRPr="008857F9" w:rsidRDefault="00A27770" w:rsidP="00A27770">
      <w:pPr>
        <w:tabs>
          <w:tab w:val="left" w:pos="3227"/>
        </w:tabs>
        <w:spacing w:after="40"/>
        <w:ind w:left="3227" w:hanging="2507"/>
        <w:rPr>
          <w:sz w:val="20"/>
        </w:rPr>
      </w:pPr>
      <w:r w:rsidRPr="008857F9">
        <w:rPr>
          <w:sz w:val="20"/>
        </w:rPr>
        <w:t>OPOPHL</w:t>
      </w:r>
      <w:r w:rsidRPr="008857F9">
        <w:rPr>
          <w:sz w:val="20"/>
        </w:rPr>
        <w:tab/>
        <w:t>Oficina de Propiedad Intelectual de Filipinas</w:t>
      </w:r>
    </w:p>
    <w:p w:rsidR="00A27770" w:rsidRPr="008857F9" w:rsidRDefault="00A27770" w:rsidP="00A27770">
      <w:pPr>
        <w:tabs>
          <w:tab w:val="left" w:pos="3227"/>
        </w:tabs>
        <w:spacing w:after="40"/>
        <w:ind w:left="3227" w:hanging="2507"/>
        <w:rPr>
          <w:sz w:val="20"/>
        </w:rPr>
      </w:pPr>
      <w:r w:rsidRPr="008857F9">
        <w:rPr>
          <w:sz w:val="20"/>
        </w:rPr>
        <w:t>OTT</w:t>
      </w:r>
      <w:r w:rsidRPr="008857F9">
        <w:rPr>
          <w:sz w:val="20"/>
        </w:rPr>
        <w:tab/>
        <w:t xml:space="preserve">Oficina de </w:t>
      </w:r>
      <w:r w:rsidR="00CD5F30" w:rsidRPr="008857F9">
        <w:rPr>
          <w:sz w:val="20"/>
        </w:rPr>
        <w:t>transferencia de tecnología</w:t>
      </w:r>
    </w:p>
    <w:p w:rsidR="00A27770" w:rsidRDefault="00A27770" w:rsidP="002E578C">
      <w:pPr>
        <w:keepNext/>
        <w:keepLines/>
        <w:tabs>
          <w:tab w:val="left" w:pos="3227"/>
        </w:tabs>
        <w:spacing w:after="40"/>
        <w:ind w:left="3227" w:hanging="2507"/>
        <w:rPr>
          <w:sz w:val="20"/>
          <w:lang w:val="es-ES_tradnl"/>
        </w:rPr>
      </w:pPr>
    </w:p>
    <w:p w:rsidR="00CD5F30" w:rsidRDefault="00A27770" w:rsidP="002E578C">
      <w:pPr>
        <w:keepNext/>
        <w:keepLines/>
        <w:tabs>
          <w:tab w:val="left" w:pos="3227"/>
        </w:tabs>
        <w:spacing w:after="40"/>
        <w:ind w:left="3227" w:hanging="2507"/>
        <w:rPr>
          <w:b/>
          <w:sz w:val="20"/>
        </w:rPr>
      </w:pPr>
      <w:r w:rsidRPr="00D12C13">
        <w:rPr>
          <w:b/>
          <w:sz w:val="20"/>
        </w:rPr>
        <w:t>P</w:t>
      </w:r>
      <w:r w:rsidR="00CD5F30" w:rsidRPr="00CD5F30">
        <w:rPr>
          <w:sz w:val="20"/>
        </w:rPr>
        <w:t>AI</w:t>
      </w:r>
      <w:r w:rsidR="00CD5F30">
        <w:rPr>
          <w:b/>
          <w:sz w:val="20"/>
        </w:rPr>
        <w:tab/>
      </w:r>
      <w:r w:rsidR="00CD5F30" w:rsidRPr="00CD5F30">
        <w:rPr>
          <w:sz w:val="20"/>
        </w:rPr>
        <w:t>Programa de asistencia a inventores</w:t>
      </w:r>
      <w:r w:rsidR="00CD5F30">
        <w:rPr>
          <w:b/>
          <w:sz w:val="20"/>
        </w:rPr>
        <w:tab/>
      </w:r>
    </w:p>
    <w:p w:rsidR="00A27770" w:rsidRPr="008857F9" w:rsidRDefault="00CD5F30" w:rsidP="002E578C">
      <w:pPr>
        <w:keepNext/>
        <w:keepLines/>
        <w:tabs>
          <w:tab w:val="left" w:pos="3227"/>
        </w:tabs>
        <w:spacing w:after="40"/>
        <w:ind w:left="3227" w:hanging="2507"/>
        <w:rPr>
          <w:sz w:val="20"/>
        </w:rPr>
      </w:pPr>
      <w:r w:rsidRPr="00CD5F30">
        <w:rPr>
          <w:sz w:val="20"/>
        </w:rPr>
        <w:t>P</w:t>
      </w:r>
      <w:r w:rsidR="00A27770" w:rsidRPr="008857F9">
        <w:rPr>
          <w:sz w:val="20"/>
        </w:rPr>
        <w:t>aíses T/D</w:t>
      </w:r>
      <w:r w:rsidR="00A27770" w:rsidRPr="008857F9">
        <w:rPr>
          <w:sz w:val="20"/>
        </w:rPr>
        <w:tab/>
        <w:t>Países con economías en transición</w:t>
      </w:r>
      <w:r>
        <w:rPr>
          <w:sz w:val="20"/>
        </w:rPr>
        <w:t xml:space="preserve"> y países </w:t>
      </w:r>
      <w:r w:rsidR="00A27770" w:rsidRPr="008857F9">
        <w:rPr>
          <w:sz w:val="20"/>
        </w:rPr>
        <w:t>desarrollados</w:t>
      </w:r>
    </w:p>
    <w:p w:rsidR="00A27770" w:rsidRPr="008857F9" w:rsidRDefault="00A27770" w:rsidP="00125CDD">
      <w:pPr>
        <w:tabs>
          <w:tab w:val="left" w:pos="3227"/>
        </w:tabs>
        <w:spacing w:after="40"/>
        <w:ind w:left="3227" w:hanging="2507"/>
        <w:rPr>
          <w:sz w:val="20"/>
        </w:rPr>
      </w:pPr>
      <w:r w:rsidRPr="008857F9">
        <w:rPr>
          <w:sz w:val="20"/>
        </w:rPr>
        <w:t>PCT</w:t>
      </w:r>
      <w:r w:rsidRPr="008857F9">
        <w:rPr>
          <w:sz w:val="20"/>
        </w:rPr>
        <w:tab/>
        <w:t>Tratado de Cooperación en materia de Patentes</w:t>
      </w:r>
    </w:p>
    <w:p w:rsidR="00A27770" w:rsidRPr="008857F9" w:rsidRDefault="00A27770" w:rsidP="00125CDD">
      <w:pPr>
        <w:tabs>
          <w:tab w:val="left" w:pos="3227"/>
        </w:tabs>
        <w:spacing w:after="40"/>
        <w:ind w:left="3227" w:hanging="2507"/>
        <w:rPr>
          <w:sz w:val="20"/>
        </w:rPr>
      </w:pPr>
      <w:r w:rsidRPr="008857F9">
        <w:rPr>
          <w:sz w:val="20"/>
        </w:rPr>
        <w:t>PEMP</w:t>
      </w:r>
      <w:r w:rsidRPr="008857F9">
        <w:rPr>
          <w:sz w:val="20"/>
        </w:rPr>
        <w:tab/>
        <w:t>Plan Estratégico a Mediano Plazo</w:t>
      </w:r>
    </w:p>
    <w:p w:rsidR="00A27770" w:rsidRPr="00D12C13" w:rsidRDefault="00A27770" w:rsidP="00A27770">
      <w:pPr>
        <w:tabs>
          <w:tab w:val="left" w:pos="3227"/>
        </w:tabs>
        <w:spacing w:after="40"/>
        <w:ind w:left="3227" w:hanging="2507"/>
        <w:rPr>
          <w:sz w:val="20"/>
          <w:lang w:val="es-ES_tradnl"/>
        </w:rPr>
      </w:pPr>
      <w:r w:rsidRPr="00D12C13">
        <w:rPr>
          <w:sz w:val="20"/>
          <w:lang w:val="es-ES_tradnl"/>
        </w:rPr>
        <w:t>P.I.</w:t>
      </w:r>
      <w:r w:rsidRPr="00D12C13">
        <w:rPr>
          <w:sz w:val="20"/>
          <w:lang w:val="es-ES_tradnl"/>
        </w:rPr>
        <w:tab/>
        <w:t>Propiedad intelectual</w:t>
      </w:r>
    </w:p>
    <w:p w:rsidR="00A27770" w:rsidRPr="00D12C13" w:rsidRDefault="00A27770" w:rsidP="00A27770">
      <w:pPr>
        <w:tabs>
          <w:tab w:val="left" w:pos="3227"/>
        </w:tabs>
        <w:spacing w:after="40"/>
        <w:ind w:left="3227" w:hanging="2507"/>
        <w:rPr>
          <w:sz w:val="20"/>
        </w:rPr>
      </w:pPr>
      <w:r w:rsidRPr="00D12C13">
        <w:rPr>
          <w:sz w:val="20"/>
        </w:rPr>
        <w:t>PLT</w:t>
      </w:r>
      <w:r w:rsidRPr="00D12C13">
        <w:rPr>
          <w:sz w:val="20"/>
        </w:rPr>
        <w:tab/>
        <w:t>Tratado sobre el Derecho de Patentes</w:t>
      </w:r>
    </w:p>
    <w:p w:rsidR="00A27770" w:rsidRPr="00D12C13" w:rsidRDefault="00A27770" w:rsidP="00A27770">
      <w:pPr>
        <w:tabs>
          <w:tab w:val="left" w:pos="3227"/>
        </w:tabs>
        <w:spacing w:after="40"/>
        <w:ind w:left="3227" w:hanging="2507"/>
        <w:rPr>
          <w:sz w:val="20"/>
        </w:rPr>
      </w:pPr>
      <w:r w:rsidRPr="00D12C13">
        <w:rPr>
          <w:bCs/>
          <w:sz w:val="20"/>
        </w:rPr>
        <w:t>PMA</w:t>
      </w:r>
      <w:r w:rsidRPr="00D12C13">
        <w:rPr>
          <w:sz w:val="20"/>
        </w:rPr>
        <w:tab/>
        <w:t>Países menos adelantados</w:t>
      </w:r>
    </w:p>
    <w:p w:rsidR="00A27770" w:rsidRPr="008857F9" w:rsidRDefault="00A27770" w:rsidP="00A27770">
      <w:pPr>
        <w:tabs>
          <w:tab w:val="left" w:pos="3227"/>
        </w:tabs>
        <w:spacing w:after="40"/>
        <w:ind w:left="3227" w:hanging="2507"/>
        <w:rPr>
          <w:sz w:val="20"/>
        </w:rPr>
      </w:pPr>
      <w:r w:rsidRPr="00D12C13">
        <w:rPr>
          <w:sz w:val="20"/>
        </w:rPr>
        <w:t>PMSDS</w:t>
      </w:r>
      <w:r w:rsidRPr="008857F9">
        <w:rPr>
          <w:sz w:val="20"/>
        </w:rPr>
        <w:tab/>
      </w:r>
      <w:r w:rsidRPr="008857F9">
        <w:rPr>
          <w:snapToGrid w:val="0"/>
          <w:sz w:val="20"/>
        </w:rPr>
        <w:t>Sistema de Gestión del Desempeño y el Perfeccionamiento del Personal</w:t>
      </w:r>
    </w:p>
    <w:p w:rsidR="00A27770" w:rsidRPr="008857F9" w:rsidRDefault="00A27770" w:rsidP="00A27770">
      <w:pPr>
        <w:tabs>
          <w:tab w:val="left" w:pos="3227"/>
        </w:tabs>
        <w:spacing w:after="40"/>
        <w:ind w:left="3227" w:hanging="2507"/>
        <w:rPr>
          <w:sz w:val="20"/>
        </w:rPr>
      </w:pPr>
      <w:r w:rsidRPr="008857F9">
        <w:rPr>
          <w:noProof/>
          <w:sz w:val="20"/>
          <w:lang w:val="en-US" w:eastAsia="en-US"/>
        </w:rPr>
        <mc:AlternateContent>
          <mc:Choice Requires="wps">
            <w:drawing>
              <wp:anchor distT="0" distB="0" distL="114300" distR="114300" simplePos="0" relativeHeight="251671552" behindDoc="0" locked="0" layoutInCell="0" allowOverlap="1" wp14:anchorId="5F0D5EC6" wp14:editId="1EF9BB35">
                <wp:simplePos x="0" y="0"/>
                <wp:positionH relativeFrom="column">
                  <wp:posOffset>-2118995</wp:posOffset>
                </wp:positionH>
                <wp:positionV relativeFrom="paragraph">
                  <wp:posOffset>83185</wp:posOffset>
                </wp:positionV>
                <wp:extent cx="731520" cy="1097280"/>
                <wp:effectExtent l="10160" t="10795" r="10795" b="6350"/>
                <wp:wrapNone/>
                <wp:docPr id="983"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D72D2B" w:rsidRDefault="00D72D2B" w:rsidP="00A27770">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83" o:spid="_x0000_s1118" type="#_x0000_t202" style="position:absolute;left:0;text-align:left;margin-left:-166.85pt;margin-top:6.55pt;width:57.6pt;height:86.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" o:allowincell="f">
                <v:textbox>
                  <w:txbxContent>
                    <w:p w:rsidR="00D72D2B" w:rsidRDefault="00D72D2B" w:rsidP="00A27770">
                      <w:pPr>
                        <w:pStyle w:val="BodyText2"/>
                      </w:pPr>
                    </w:p>
                  </w:txbxContent>
                </v:textbox>
              </v:shape>
            </w:pict>
          </mc:Fallback>
        </mc:AlternateContent>
      </w:r>
      <w:r w:rsidRPr="008857F9">
        <w:rPr>
          <w:sz w:val="20"/>
        </w:rPr>
        <w:t>PNUMA</w:t>
      </w:r>
      <w:r w:rsidRPr="008857F9">
        <w:rPr>
          <w:sz w:val="20"/>
        </w:rPr>
        <w:tab/>
        <w:t>Programa de las Naciones Unidas para el Medio Ambiente</w:t>
      </w:r>
    </w:p>
    <w:p w:rsidR="00A27770" w:rsidRPr="008857F9" w:rsidRDefault="00A27770" w:rsidP="00A27770">
      <w:pPr>
        <w:tabs>
          <w:tab w:val="left" w:pos="3227"/>
        </w:tabs>
        <w:spacing w:after="40"/>
        <w:ind w:left="3227" w:hanging="2507"/>
        <w:rPr>
          <w:sz w:val="20"/>
        </w:rPr>
      </w:pPr>
      <w:r w:rsidRPr="00D12C13">
        <w:rPr>
          <w:bCs/>
          <w:sz w:val="20"/>
        </w:rPr>
        <w:t>Política Uniforme</w:t>
      </w:r>
      <w:r w:rsidRPr="00D12C13">
        <w:rPr>
          <w:sz w:val="20"/>
        </w:rPr>
        <w:tab/>
        <w:t xml:space="preserve">Política Uniforme de Solución de Controversias en materia de </w:t>
      </w:r>
      <w:r w:rsidRPr="008857F9">
        <w:rPr>
          <w:sz w:val="20"/>
        </w:rPr>
        <w:t>Nombres de Dominio</w:t>
      </w:r>
    </w:p>
    <w:p w:rsidR="00A27770" w:rsidRPr="008857F9" w:rsidRDefault="00A27770" w:rsidP="00A27770">
      <w:pPr>
        <w:tabs>
          <w:tab w:val="left" w:pos="3227"/>
        </w:tabs>
        <w:spacing w:after="180"/>
        <w:ind w:left="3227" w:hanging="2507"/>
        <w:rPr>
          <w:sz w:val="20"/>
        </w:rPr>
      </w:pPr>
      <w:r w:rsidRPr="008857F9">
        <w:rPr>
          <w:sz w:val="20"/>
        </w:rPr>
        <w:t>PPR</w:t>
      </w:r>
      <w:r w:rsidRPr="008857F9">
        <w:rPr>
          <w:sz w:val="20"/>
        </w:rPr>
        <w:tab/>
        <w:t>Informe sobre el rendimiento de los programas</w:t>
      </w:r>
    </w:p>
    <w:p w:rsidR="00A27770" w:rsidRPr="008857F9" w:rsidRDefault="00A27770" w:rsidP="00A27770">
      <w:pPr>
        <w:tabs>
          <w:tab w:val="left" w:pos="3227"/>
        </w:tabs>
        <w:ind w:left="3227" w:hanging="2507"/>
        <w:rPr>
          <w:sz w:val="20"/>
        </w:rPr>
      </w:pPr>
      <w:r w:rsidRPr="008857F9">
        <w:rPr>
          <w:sz w:val="20"/>
        </w:rPr>
        <w:t>PRI</w:t>
      </w:r>
      <w:r w:rsidRPr="008857F9">
        <w:rPr>
          <w:sz w:val="20"/>
        </w:rPr>
        <w:tab/>
        <w:t>Planificación de los recursos institucionales</w:t>
      </w:r>
    </w:p>
    <w:p w:rsidR="00A27770" w:rsidRPr="008857F9" w:rsidRDefault="00A27770" w:rsidP="00A27770">
      <w:pPr>
        <w:tabs>
          <w:tab w:val="left" w:pos="3227"/>
        </w:tabs>
        <w:spacing w:after="40"/>
        <w:ind w:left="3227" w:hanging="2507"/>
        <w:rPr>
          <w:sz w:val="20"/>
        </w:rPr>
      </w:pPr>
      <w:r w:rsidRPr="008857F9">
        <w:rPr>
          <w:sz w:val="20"/>
        </w:rPr>
        <w:t>Pyme</w:t>
      </w:r>
      <w:r>
        <w:rPr>
          <w:sz w:val="20"/>
        </w:rPr>
        <w:t>s</w:t>
      </w:r>
      <w:r w:rsidRPr="008857F9">
        <w:rPr>
          <w:sz w:val="20"/>
        </w:rPr>
        <w:tab/>
        <w:t>Pequeñas y medianas empresas</w:t>
      </w:r>
    </w:p>
    <w:p w:rsidR="00A27770" w:rsidRDefault="00A27770" w:rsidP="00A27770">
      <w:pPr>
        <w:tabs>
          <w:tab w:val="left" w:pos="3227"/>
        </w:tabs>
        <w:spacing w:after="40"/>
        <w:ind w:left="3227" w:hanging="2507"/>
        <w:rPr>
          <w:sz w:val="20"/>
        </w:rPr>
      </w:pPr>
    </w:p>
    <w:p w:rsidR="00A27770" w:rsidRDefault="00A27770" w:rsidP="00A27770">
      <w:pPr>
        <w:tabs>
          <w:tab w:val="left" w:pos="3227"/>
        </w:tabs>
        <w:spacing w:after="40"/>
        <w:ind w:left="3227" w:hanging="2507"/>
        <w:rPr>
          <w:sz w:val="20"/>
        </w:rPr>
      </w:pPr>
      <w:r w:rsidRPr="00D12C13">
        <w:rPr>
          <w:b/>
          <w:sz w:val="20"/>
        </w:rPr>
        <w:t>R</w:t>
      </w:r>
      <w:r w:rsidRPr="008857F9">
        <w:rPr>
          <w:sz w:val="20"/>
        </w:rPr>
        <w:t>O</w:t>
      </w:r>
      <w:r w:rsidRPr="008857F9">
        <w:rPr>
          <w:sz w:val="20"/>
        </w:rPr>
        <w:tab/>
        <w:t>Oficina receptora</w:t>
      </w:r>
    </w:p>
    <w:p w:rsidR="009309A0" w:rsidRPr="009309A0" w:rsidRDefault="009309A0" w:rsidP="00A27770">
      <w:pPr>
        <w:tabs>
          <w:tab w:val="left" w:pos="3227"/>
        </w:tabs>
        <w:spacing w:after="40"/>
        <w:ind w:left="3227" w:hanging="2507"/>
        <w:rPr>
          <w:sz w:val="20"/>
        </w:rPr>
      </w:pPr>
      <w:r w:rsidRPr="009309A0">
        <w:rPr>
          <w:sz w:val="20"/>
        </w:rPr>
        <w:t>ROC</w:t>
      </w:r>
      <w:r>
        <w:rPr>
          <w:sz w:val="20"/>
        </w:rPr>
        <w:tab/>
        <w:t>Reconocimiento óptico de caracteres</w:t>
      </w:r>
    </w:p>
    <w:p w:rsidR="00A27770" w:rsidRPr="008857F9" w:rsidRDefault="00A27770" w:rsidP="00A27770">
      <w:pPr>
        <w:tabs>
          <w:tab w:val="left" w:pos="3227"/>
        </w:tabs>
        <w:spacing w:after="40"/>
        <w:ind w:left="3227" w:hanging="2507"/>
        <w:rPr>
          <w:sz w:val="20"/>
        </w:rPr>
      </w:pPr>
      <w:r w:rsidRPr="008857F9">
        <w:rPr>
          <w:sz w:val="20"/>
        </w:rPr>
        <w:t>RR.GG.</w:t>
      </w:r>
      <w:r w:rsidRPr="008857F9">
        <w:rPr>
          <w:sz w:val="20"/>
        </w:rPr>
        <w:tab/>
        <w:t>Recursos genéticos</w:t>
      </w:r>
    </w:p>
    <w:p w:rsidR="00A27770" w:rsidRDefault="00A27770" w:rsidP="00A27770">
      <w:pPr>
        <w:tabs>
          <w:tab w:val="left" w:pos="3227"/>
        </w:tabs>
        <w:spacing w:after="40"/>
        <w:ind w:left="3227" w:hanging="2507"/>
        <w:rPr>
          <w:sz w:val="20"/>
        </w:rPr>
      </w:pPr>
      <w:r w:rsidRPr="00D12C13">
        <w:rPr>
          <w:sz w:val="20"/>
        </w:rPr>
        <w:t>RR.HH.</w:t>
      </w:r>
      <w:r w:rsidRPr="008857F9">
        <w:rPr>
          <w:sz w:val="20"/>
        </w:rPr>
        <w:tab/>
        <w:t>Recursos humanos</w:t>
      </w:r>
    </w:p>
    <w:p w:rsidR="00A27770" w:rsidRPr="008857F9" w:rsidRDefault="00A27770" w:rsidP="00A27770">
      <w:pPr>
        <w:tabs>
          <w:tab w:val="left" w:pos="3227"/>
        </w:tabs>
        <w:spacing w:after="40"/>
        <w:ind w:left="3227" w:hanging="2507"/>
        <w:rPr>
          <w:sz w:val="20"/>
        </w:rPr>
      </w:pPr>
    </w:p>
    <w:p w:rsidR="00A27770" w:rsidRPr="008857F9" w:rsidRDefault="00A27770" w:rsidP="00A27770">
      <w:pPr>
        <w:tabs>
          <w:tab w:val="left" w:pos="3227"/>
        </w:tabs>
        <w:spacing w:after="40"/>
        <w:ind w:left="3227" w:hanging="2507"/>
        <w:rPr>
          <w:sz w:val="20"/>
        </w:rPr>
      </w:pPr>
      <w:r w:rsidRPr="008857F9">
        <w:rPr>
          <w:b/>
          <w:bCs/>
          <w:sz w:val="20"/>
        </w:rPr>
        <w:t>S</w:t>
      </w:r>
      <w:r w:rsidRPr="008857F9">
        <w:rPr>
          <w:sz w:val="20"/>
        </w:rPr>
        <w:t>CCR</w:t>
      </w:r>
      <w:r w:rsidRPr="008857F9">
        <w:rPr>
          <w:sz w:val="20"/>
        </w:rPr>
        <w:tab/>
        <w:t>Comité Permanente de Derecho de Autor y Derechos Conexos</w:t>
      </w:r>
    </w:p>
    <w:p w:rsidR="00A27770" w:rsidRPr="008857F9" w:rsidRDefault="00A27770" w:rsidP="00A27770">
      <w:pPr>
        <w:tabs>
          <w:tab w:val="left" w:pos="3227"/>
        </w:tabs>
        <w:spacing w:after="40"/>
        <w:ind w:left="3227" w:hanging="2507"/>
        <w:rPr>
          <w:sz w:val="20"/>
        </w:rPr>
      </w:pPr>
      <w:r w:rsidRPr="008857F9">
        <w:rPr>
          <w:sz w:val="20"/>
        </w:rPr>
        <w:t>SCP</w:t>
      </w:r>
      <w:r w:rsidRPr="008857F9">
        <w:rPr>
          <w:sz w:val="20"/>
        </w:rPr>
        <w:tab/>
        <w:t>Comité Permanente sobre el Derecho de Patentes</w:t>
      </w:r>
    </w:p>
    <w:p w:rsidR="00A27770" w:rsidRPr="008857F9" w:rsidRDefault="00A27770" w:rsidP="00A27770">
      <w:pPr>
        <w:tabs>
          <w:tab w:val="left" w:pos="3227"/>
        </w:tabs>
        <w:spacing w:after="40"/>
        <w:ind w:left="3227" w:hanging="2507"/>
        <w:rPr>
          <w:sz w:val="20"/>
        </w:rPr>
      </w:pPr>
      <w:r w:rsidRPr="008857F9">
        <w:rPr>
          <w:sz w:val="20"/>
        </w:rPr>
        <w:t>SCT</w:t>
      </w:r>
      <w:r w:rsidRPr="008857F9">
        <w:rPr>
          <w:sz w:val="20"/>
        </w:rPr>
        <w:tab/>
        <w:t>Comité Permanente sobre el Derecho de Marcas, Diseños Industriales e Indicaciones Geográficas</w:t>
      </w:r>
    </w:p>
    <w:p w:rsidR="00A27770" w:rsidRDefault="00A27770" w:rsidP="00A27770">
      <w:pPr>
        <w:tabs>
          <w:tab w:val="left" w:pos="3227"/>
        </w:tabs>
        <w:spacing w:after="40"/>
        <w:ind w:left="3227" w:hanging="2507"/>
        <w:rPr>
          <w:sz w:val="20"/>
        </w:rPr>
      </w:pPr>
    </w:p>
    <w:p w:rsidR="00A27770" w:rsidRPr="008857F9" w:rsidRDefault="00A27770" w:rsidP="00A27770">
      <w:pPr>
        <w:tabs>
          <w:tab w:val="left" w:pos="3227"/>
        </w:tabs>
        <w:spacing w:after="40"/>
        <w:ind w:left="3227" w:hanging="2507"/>
        <w:rPr>
          <w:b/>
          <w:bCs/>
          <w:sz w:val="20"/>
        </w:rPr>
      </w:pPr>
      <w:r w:rsidRPr="008857F9">
        <w:rPr>
          <w:b/>
          <w:bCs/>
          <w:sz w:val="20"/>
        </w:rPr>
        <w:t>T</w:t>
      </w:r>
      <w:r w:rsidRPr="008857F9">
        <w:rPr>
          <w:sz w:val="20"/>
        </w:rPr>
        <w:t>A</w:t>
      </w:r>
      <w:r w:rsidRPr="008857F9">
        <w:rPr>
          <w:b/>
          <w:bCs/>
          <w:sz w:val="20"/>
        </w:rPr>
        <w:tab/>
      </w:r>
      <w:r w:rsidRPr="008857F9">
        <w:rPr>
          <w:sz w:val="20"/>
        </w:rPr>
        <w:t>Autorización de viaje (formulario)</w:t>
      </w:r>
    </w:p>
    <w:p w:rsidR="00A27770" w:rsidRPr="008857F9" w:rsidRDefault="00A27770" w:rsidP="00A27770">
      <w:pPr>
        <w:tabs>
          <w:tab w:val="left" w:pos="3227"/>
        </w:tabs>
        <w:spacing w:after="40"/>
        <w:ind w:left="3227" w:hanging="2507"/>
        <w:rPr>
          <w:sz w:val="20"/>
        </w:rPr>
      </w:pPr>
      <w:r w:rsidRPr="008857F9">
        <w:rPr>
          <w:sz w:val="20"/>
        </w:rPr>
        <w:t>T.I.</w:t>
      </w:r>
      <w:r w:rsidRPr="008857F9">
        <w:rPr>
          <w:sz w:val="20"/>
        </w:rPr>
        <w:tab/>
        <w:t>Tecnologías de la Información</w:t>
      </w:r>
    </w:p>
    <w:p w:rsidR="00A27770" w:rsidRPr="008857F9" w:rsidRDefault="00A27770" w:rsidP="00A27770">
      <w:pPr>
        <w:tabs>
          <w:tab w:val="left" w:pos="3227"/>
        </w:tabs>
        <w:ind w:left="3227" w:hanging="2507"/>
        <w:rPr>
          <w:sz w:val="20"/>
        </w:rPr>
      </w:pPr>
      <w:r w:rsidRPr="008857F9">
        <w:rPr>
          <w:sz w:val="20"/>
        </w:rPr>
        <w:t>TIC</w:t>
      </w:r>
      <w:r w:rsidRPr="008857F9">
        <w:rPr>
          <w:sz w:val="20"/>
        </w:rPr>
        <w:tab/>
        <w:t xml:space="preserve">Tecnologías de la información y de las comunicaciones </w:t>
      </w:r>
    </w:p>
    <w:p w:rsidR="00A27770" w:rsidRPr="006561C8" w:rsidRDefault="00A27770" w:rsidP="00A27770">
      <w:pPr>
        <w:tabs>
          <w:tab w:val="left" w:pos="3227"/>
        </w:tabs>
        <w:spacing w:after="40"/>
        <w:ind w:left="3227" w:hanging="2507"/>
        <w:rPr>
          <w:i/>
          <w:sz w:val="20"/>
          <w:lang w:val="en-US"/>
        </w:rPr>
      </w:pPr>
      <w:r w:rsidRPr="006561C8">
        <w:rPr>
          <w:sz w:val="20"/>
          <w:lang w:val="en-US"/>
        </w:rPr>
        <w:t>TIGAR</w:t>
      </w:r>
      <w:r w:rsidRPr="006561C8">
        <w:rPr>
          <w:sz w:val="20"/>
          <w:lang w:val="en-US"/>
        </w:rPr>
        <w:tab/>
      </w:r>
      <w:r w:rsidRPr="006561C8">
        <w:rPr>
          <w:i/>
          <w:sz w:val="20"/>
          <w:lang w:val="en-US"/>
        </w:rPr>
        <w:t>Trusted Intermediary Global Accessible Resources</w:t>
      </w:r>
    </w:p>
    <w:p w:rsidR="00A27770" w:rsidRPr="00A27770" w:rsidRDefault="00A27770" w:rsidP="00A27770">
      <w:pPr>
        <w:tabs>
          <w:tab w:val="left" w:pos="3227"/>
        </w:tabs>
        <w:spacing w:after="40"/>
        <w:ind w:left="3227" w:hanging="2507"/>
        <w:rPr>
          <w:sz w:val="20"/>
          <w:lang w:val="en-US"/>
        </w:rPr>
      </w:pPr>
    </w:p>
    <w:p w:rsidR="00A27770" w:rsidRPr="008857F9" w:rsidRDefault="00A27770" w:rsidP="00A27770">
      <w:pPr>
        <w:tabs>
          <w:tab w:val="left" w:pos="3227"/>
        </w:tabs>
        <w:spacing w:after="40"/>
        <w:ind w:left="3227" w:hanging="2507"/>
        <w:rPr>
          <w:sz w:val="20"/>
        </w:rPr>
      </w:pPr>
      <w:r w:rsidRPr="00D12C13">
        <w:rPr>
          <w:b/>
          <w:sz w:val="20"/>
        </w:rPr>
        <w:t>U</w:t>
      </w:r>
      <w:r w:rsidRPr="008857F9">
        <w:rPr>
          <w:sz w:val="20"/>
        </w:rPr>
        <w:t>E</w:t>
      </w:r>
      <w:r w:rsidRPr="008857F9">
        <w:rPr>
          <w:sz w:val="20"/>
        </w:rPr>
        <w:tab/>
        <w:t>Unión Europea</w:t>
      </w:r>
    </w:p>
    <w:p w:rsidR="00A27770" w:rsidRPr="008857F9" w:rsidRDefault="00A27770" w:rsidP="00A27770">
      <w:pPr>
        <w:tabs>
          <w:tab w:val="left" w:pos="3227"/>
        </w:tabs>
        <w:spacing w:after="40"/>
        <w:ind w:left="3227" w:hanging="2507"/>
        <w:rPr>
          <w:sz w:val="20"/>
        </w:rPr>
      </w:pPr>
      <w:r w:rsidRPr="008857F9">
        <w:rPr>
          <w:sz w:val="20"/>
        </w:rPr>
        <w:t>UIT</w:t>
      </w:r>
      <w:r w:rsidRPr="008857F9">
        <w:rPr>
          <w:sz w:val="20"/>
        </w:rPr>
        <w:tab/>
        <w:t>Unión Internacional de Telecomunicaciones</w:t>
      </w:r>
    </w:p>
    <w:p w:rsidR="00A27770" w:rsidRPr="008857F9" w:rsidRDefault="00A27770" w:rsidP="00A27770">
      <w:pPr>
        <w:tabs>
          <w:tab w:val="left" w:pos="3227"/>
        </w:tabs>
        <w:spacing w:after="40"/>
        <w:ind w:left="3227" w:hanging="2507"/>
        <w:rPr>
          <w:sz w:val="20"/>
        </w:rPr>
      </w:pPr>
      <w:r w:rsidRPr="008857F9">
        <w:rPr>
          <w:sz w:val="20"/>
        </w:rPr>
        <w:t>UNCTAD</w:t>
      </w:r>
      <w:r w:rsidRPr="008857F9">
        <w:rPr>
          <w:sz w:val="20"/>
        </w:rPr>
        <w:tab/>
        <w:t>Conferencia de las Naciones Unidas sobre Comercio y Desarrollo</w:t>
      </w:r>
    </w:p>
    <w:p w:rsidR="00A27770" w:rsidRPr="008857F9" w:rsidRDefault="00A27770" w:rsidP="00A27770">
      <w:pPr>
        <w:tabs>
          <w:tab w:val="left" w:pos="3227"/>
        </w:tabs>
        <w:spacing w:after="40"/>
        <w:ind w:left="3227" w:hanging="2507"/>
        <w:rPr>
          <w:sz w:val="20"/>
        </w:rPr>
      </w:pPr>
      <w:r w:rsidRPr="008857F9">
        <w:rPr>
          <w:sz w:val="20"/>
        </w:rPr>
        <w:t>UNESCO</w:t>
      </w:r>
      <w:r w:rsidRPr="008857F9">
        <w:rPr>
          <w:sz w:val="20"/>
        </w:rPr>
        <w:tab/>
        <w:t>Organización de las Naciones Unidas para la Educación, la Ciencia y la Cultura</w:t>
      </w:r>
    </w:p>
    <w:p w:rsidR="00A27770" w:rsidRPr="008857F9" w:rsidRDefault="00A27770" w:rsidP="00A27770">
      <w:pPr>
        <w:tabs>
          <w:tab w:val="left" w:pos="3227"/>
        </w:tabs>
        <w:spacing w:after="40"/>
        <w:ind w:left="3227" w:hanging="2507"/>
        <w:rPr>
          <w:sz w:val="20"/>
        </w:rPr>
      </w:pPr>
      <w:r w:rsidRPr="008857F9">
        <w:rPr>
          <w:sz w:val="20"/>
        </w:rPr>
        <w:t>UN-H-MOSS</w:t>
      </w:r>
      <w:r w:rsidRPr="008857F9">
        <w:rPr>
          <w:sz w:val="20"/>
        </w:rPr>
        <w:tab/>
        <w:t>Normas Mínimas de Seguridad Operacional de las Naciones Unidas</w:t>
      </w:r>
    </w:p>
    <w:p w:rsidR="00A27770" w:rsidRPr="008857F9" w:rsidRDefault="00A27770" w:rsidP="00A27770">
      <w:pPr>
        <w:tabs>
          <w:tab w:val="left" w:pos="3227"/>
        </w:tabs>
        <w:spacing w:after="40"/>
        <w:ind w:left="3227" w:hanging="2507"/>
        <w:rPr>
          <w:sz w:val="20"/>
        </w:rPr>
      </w:pPr>
      <w:r w:rsidRPr="008857F9">
        <w:rPr>
          <w:sz w:val="20"/>
        </w:rPr>
        <w:t>UNOSSC</w:t>
      </w:r>
      <w:r w:rsidRPr="008857F9">
        <w:rPr>
          <w:sz w:val="20"/>
        </w:rPr>
        <w:tab/>
        <w:t>Oficina de las Naciones Unidas para la Cooperación Sur-Sur</w:t>
      </w:r>
    </w:p>
    <w:p w:rsidR="00A27770" w:rsidRPr="008857F9" w:rsidRDefault="00A27770" w:rsidP="00A27770">
      <w:pPr>
        <w:tabs>
          <w:tab w:val="left" w:pos="3227"/>
        </w:tabs>
        <w:spacing w:after="40"/>
        <w:ind w:left="3227" w:hanging="2507"/>
        <w:rPr>
          <w:sz w:val="20"/>
        </w:rPr>
      </w:pPr>
      <w:r w:rsidRPr="008857F9">
        <w:rPr>
          <w:sz w:val="20"/>
        </w:rPr>
        <w:t>UNSAS</w:t>
      </w:r>
      <w:r w:rsidRPr="008857F9">
        <w:rPr>
          <w:sz w:val="20"/>
        </w:rPr>
        <w:tab/>
        <w:t>Normas de contabilidad del sistema de Naciones Unidas</w:t>
      </w:r>
    </w:p>
    <w:p w:rsidR="00A27770" w:rsidRPr="008857F9" w:rsidRDefault="00A27770" w:rsidP="00A27770">
      <w:pPr>
        <w:tabs>
          <w:tab w:val="left" w:pos="3227"/>
        </w:tabs>
        <w:spacing w:after="40"/>
        <w:ind w:left="3227" w:hanging="2507"/>
        <w:rPr>
          <w:sz w:val="20"/>
        </w:rPr>
      </w:pPr>
      <w:r w:rsidRPr="008857F9">
        <w:rPr>
          <w:sz w:val="20"/>
        </w:rPr>
        <w:t>UPOV</w:t>
      </w:r>
      <w:r w:rsidRPr="008857F9">
        <w:rPr>
          <w:sz w:val="20"/>
        </w:rPr>
        <w:tab/>
        <w:t>Unión Internacional para la Protección de las Obtenciones Vegetales</w:t>
      </w:r>
    </w:p>
    <w:p w:rsidR="00A27770" w:rsidRPr="008857F9" w:rsidRDefault="00A27770" w:rsidP="00A27770">
      <w:pPr>
        <w:tabs>
          <w:tab w:val="left" w:pos="3227"/>
        </w:tabs>
        <w:spacing w:after="40"/>
        <w:ind w:left="3227" w:hanging="2507"/>
        <w:rPr>
          <w:sz w:val="20"/>
        </w:rPr>
      </w:pPr>
      <w:r w:rsidRPr="008857F9">
        <w:rPr>
          <w:sz w:val="20"/>
        </w:rPr>
        <w:lastRenderedPageBreak/>
        <w:t>USPTO</w:t>
      </w:r>
      <w:r w:rsidRPr="008857F9">
        <w:rPr>
          <w:sz w:val="20"/>
        </w:rPr>
        <w:tab/>
        <w:t>Oficina de Patentes y Marcas de los Estados Unidos de América</w:t>
      </w:r>
    </w:p>
    <w:p w:rsidR="00A27770" w:rsidRDefault="00A27770" w:rsidP="00A27770">
      <w:pPr>
        <w:tabs>
          <w:tab w:val="left" w:pos="3227"/>
        </w:tabs>
        <w:spacing w:after="40"/>
        <w:ind w:left="3227" w:hanging="2507"/>
        <w:rPr>
          <w:sz w:val="20"/>
        </w:rPr>
      </w:pPr>
    </w:p>
    <w:p w:rsidR="00A27770" w:rsidRDefault="00A27770" w:rsidP="00A27770">
      <w:pPr>
        <w:tabs>
          <w:tab w:val="left" w:pos="3227"/>
        </w:tabs>
        <w:spacing w:after="40"/>
        <w:ind w:left="3227" w:hanging="2507"/>
        <w:rPr>
          <w:sz w:val="20"/>
        </w:rPr>
      </w:pPr>
      <w:r w:rsidRPr="00D12C13">
        <w:rPr>
          <w:b/>
          <w:sz w:val="20"/>
        </w:rPr>
        <w:t>W</w:t>
      </w:r>
      <w:r>
        <w:rPr>
          <w:sz w:val="20"/>
        </w:rPr>
        <w:t>CC</w:t>
      </w:r>
      <w:r>
        <w:rPr>
          <w:sz w:val="20"/>
        </w:rPr>
        <w:tab/>
      </w:r>
      <w:r w:rsidRPr="009E58E8">
        <w:rPr>
          <w:i/>
          <w:sz w:val="20"/>
        </w:rPr>
        <w:t>WIPO Copyright Connection</w:t>
      </w:r>
    </w:p>
    <w:p w:rsidR="00A27770" w:rsidRDefault="00A27770" w:rsidP="00A27770">
      <w:pPr>
        <w:tabs>
          <w:tab w:val="left" w:pos="3227"/>
        </w:tabs>
        <w:spacing w:after="40"/>
        <w:ind w:left="3227" w:hanging="2507"/>
        <w:rPr>
          <w:sz w:val="20"/>
        </w:rPr>
      </w:pPr>
      <w:r w:rsidRPr="008857F9">
        <w:rPr>
          <w:sz w:val="20"/>
        </w:rPr>
        <w:t>WCT</w:t>
      </w:r>
      <w:r w:rsidRPr="008857F9">
        <w:rPr>
          <w:sz w:val="20"/>
        </w:rPr>
        <w:tab/>
        <w:t>Tratado de la OMPI sobre Derecho de Autor</w:t>
      </w:r>
    </w:p>
    <w:p w:rsidR="009309A0" w:rsidRPr="008857F9" w:rsidRDefault="009309A0" w:rsidP="00A27770">
      <w:pPr>
        <w:tabs>
          <w:tab w:val="left" w:pos="3227"/>
        </w:tabs>
        <w:spacing w:after="40"/>
        <w:ind w:left="3227" w:hanging="2507"/>
        <w:rPr>
          <w:sz w:val="20"/>
        </w:rPr>
      </w:pPr>
      <w:r>
        <w:rPr>
          <w:sz w:val="20"/>
        </w:rPr>
        <w:t>WIPO CASE</w:t>
      </w:r>
      <w:r>
        <w:rPr>
          <w:sz w:val="20"/>
        </w:rPr>
        <w:tab/>
        <w:t>Acceso centralizado a los resultados de la búsqueda y el examen</w:t>
      </w:r>
    </w:p>
    <w:p w:rsidR="00A27770" w:rsidRPr="008857F9" w:rsidRDefault="00A27770" w:rsidP="00A27770">
      <w:pPr>
        <w:tabs>
          <w:tab w:val="left" w:pos="3227"/>
        </w:tabs>
        <w:spacing w:after="40"/>
        <w:ind w:left="3227" w:hanging="2507"/>
        <w:rPr>
          <w:sz w:val="20"/>
        </w:rPr>
      </w:pPr>
      <w:r w:rsidRPr="008857F9">
        <w:rPr>
          <w:sz w:val="20"/>
        </w:rPr>
        <w:t>WIPOCOS</w:t>
      </w:r>
      <w:r w:rsidRPr="008857F9">
        <w:rPr>
          <w:sz w:val="20"/>
        </w:rPr>
        <w:tab/>
        <w:t>Programa informático de la OMPI para la gestión colectiva del derecho de autor y los derechos conexos</w:t>
      </w:r>
    </w:p>
    <w:p w:rsidR="00A27770" w:rsidRPr="008857F9" w:rsidRDefault="00A27770" w:rsidP="005101AB">
      <w:pPr>
        <w:tabs>
          <w:tab w:val="left" w:pos="3227"/>
        </w:tabs>
        <w:spacing w:after="40"/>
        <w:ind w:left="3227" w:right="-285" w:hanging="2507"/>
        <w:rPr>
          <w:sz w:val="20"/>
        </w:rPr>
      </w:pPr>
      <w:r w:rsidRPr="008857F9">
        <w:rPr>
          <w:sz w:val="20"/>
        </w:rPr>
        <w:t>WPPT</w:t>
      </w:r>
      <w:r w:rsidRPr="008857F9">
        <w:rPr>
          <w:sz w:val="20"/>
        </w:rPr>
        <w:tab/>
        <w:t>Tratado de la OMPI sobre Interpretación o Ejecución y Fonogramas</w:t>
      </w:r>
    </w:p>
    <w:p w:rsidR="00A27770" w:rsidRDefault="00A27770" w:rsidP="00D56677">
      <w:pPr>
        <w:tabs>
          <w:tab w:val="left" w:pos="1980"/>
          <w:tab w:val="left" w:pos="3261"/>
        </w:tabs>
        <w:ind w:left="2268" w:hanging="2268"/>
        <w:jc w:val="both"/>
        <w:rPr>
          <w:sz w:val="20"/>
        </w:rPr>
      </w:pPr>
    </w:p>
    <w:p w:rsidR="009309A0" w:rsidRDefault="009309A0" w:rsidP="00D56677">
      <w:pPr>
        <w:tabs>
          <w:tab w:val="left" w:pos="1980"/>
          <w:tab w:val="left" w:pos="3261"/>
        </w:tabs>
        <w:ind w:left="2268" w:hanging="2268"/>
        <w:jc w:val="both"/>
        <w:rPr>
          <w:sz w:val="20"/>
        </w:rPr>
      </w:pPr>
    </w:p>
    <w:p w:rsidR="001A551C" w:rsidRPr="002E578C" w:rsidRDefault="001A551C" w:rsidP="002E578C">
      <w:pPr>
        <w:pStyle w:val="Endofdocument"/>
        <w:spacing w:before="360"/>
        <w:rPr>
          <w:rFonts w:ascii="Arial" w:hAnsi="Arial" w:cs="Arial"/>
          <w:sz w:val="20"/>
          <w:lang w:val="es-ES"/>
        </w:rPr>
      </w:pPr>
      <w:r>
        <w:rPr>
          <w:rFonts w:ascii="Arial" w:hAnsi="Arial" w:cs="Arial"/>
          <w:sz w:val="20"/>
          <w:lang w:val="es-ES"/>
        </w:rPr>
        <w:t>[</w:t>
      </w:r>
      <w:r w:rsidRPr="008857F9">
        <w:rPr>
          <w:rFonts w:ascii="Arial" w:hAnsi="Arial" w:cs="Arial"/>
          <w:sz w:val="20"/>
          <w:lang w:val="es-ES"/>
        </w:rPr>
        <w:t>Fin del documento]</w:t>
      </w:r>
    </w:p>
    <w:sectPr w:rsidR="001A551C" w:rsidRPr="002E578C" w:rsidSect="006561C8">
      <w:pgSz w:w="11907" w:h="16839" w:code="9"/>
      <w:pgMar w:top="624" w:right="1418" w:bottom="1361" w:left="1418" w:header="624" w:footer="90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2D2B" w:rsidRDefault="00D72D2B">
      <w:r>
        <w:separator/>
      </w:r>
    </w:p>
  </w:endnote>
  <w:endnote w:type="continuationSeparator" w:id="0">
    <w:p w:rsidR="00D72D2B" w:rsidRPr="009D30E6" w:rsidRDefault="00D72D2B" w:rsidP="007E663E">
      <w:pPr>
        <w:rPr>
          <w:sz w:val="17"/>
          <w:szCs w:val="17"/>
        </w:rPr>
      </w:pPr>
      <w:r w:rsidRPr="009D30E6">
        <w:rPr>
          <w:sz w:val="17"/>
          <w:szCs w:val="17"/>
        </w:rPr>
        <w:separator/>
      </w:r>
    </w:p>
    <w:p w:rsidR="00D72D2B" w:rsidRPr="007E663E" w:rsidRDefault="00D72D2B" w:rsidP="007E663E">
      <w:pPr>
        <w:spacing w:after="60"/>
        <w:rPr>
          <w:sz w:val="17"/>
          <w:szCs w:val="17"/>
        </w:rPr>
      </w:pPr>
      <w:r>
        <w:rPr>
          <w:sz w:val="17"/>
        </w:rPr>
        <w:t>[Continuación de la nota de la página anterior]</w:t>
      </w:r>
    </w:p>
  </w:endnote>
  <w:endnote w:type="continuationNotice" w:id="1">
    <w:p w:rsidR="00D72D2B" w:rsidRPr="007E663E" w:rsidRDefault="00D72D2B"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AA2152" w:rsidRDefault="00D72D2B" w:rsidP="009B7558">
    <w:pPr>
      <w:pStyle w:val="Footer"/>
      <w:jc w:val="cente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A4879" w:rsidRDefault="00D72D2B" w:rsidP="009B7558">
    <w:pPr>
      <w:pStyle w:val="Footer"/>
      <w:jc w:val="center"/>
      <w:rPr>
        <w:sz w:val="20"/>
      </w:rPr>
    </w:pPr>
    <w:r w:rsidRPr="00DA4879">
      <w:rPr>
        <w:sz w:val="20"/>
      </w:rPr>
      <w:fldChar w:fldCharType="begin"/>
    </w:r>
    <w:r w:rsidRPr="00DA4879">
      <w:rPr>
        <w:sz w:val="20"/>
      </w:rPr>
      <w:instrText xml:space="preserve"> PAGE   \* MERGEFORMAT </w:instrText>
    </w:r>
    <w:r w:rsidRPr="00DA4879">
      <w:rPr>
        <w:sz w:val="20"/>
      </w:rPr>
      <w:fldChar w:fldCharType="separate"/>
    </w:r>
    <w:r w:rsidR="009A0CA2">
      <w:rPr>
        <w:noProof/>
        <w:sz w:val="20"/>
      </w:rPr>
      <w:t>175</w:t>
    </w:r>
    <w:r w:rsidRPr="00DA4879">
      <w:rPr>
        <w:noProof/>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Default="00D72D2B" w:rsidP="002E3E28">
    <w:pPr>
      <w:pStyle w:val="Footer"/>
      <w:jc w:val="center"/>
    </w:pPr>
  </w:p>
  <w:p w:rsidR="00D72D2B" w:rsidRDefault="00D72D2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Default="00D72D2B" w:rsidP="002E3E28">
    <w:pPr>
      <w:pStyle w:val="Footer"/>
      <w:jc w:val="center"/>
    </w:pPr>
  </w:p>
  <w:p w:rsidR="00D72D2B" w:rsidRDefault="00D72D2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AA2152" w:rsidRDefault="00D72D2B" w:rsidP="009B7558">
    <w:pPr>
      <w:pStyle w:val="Footer"/>
      <w:jc w:val="center"/>
      <w:rPr>
        <w:sz w:val="20"/>
      </w:rPr>
    </w:pPr>
    <w:r w:rsidRPr="00EA2603">
      <w:rPr>
        <w:sz w:val="20"/>
      </w:rPr>
      <w:fldChar w:fldCharType="begin"/>
    </w:r>
    <w:r w:rsidRPr="00EA2603">
      <w:rPr>
        <w:sz w:val="20"/>
      </w:rPr>
      <w:instrText xml:space="preserve"> PAGE   \* MERGEFORMAT </w:instrText>
    </w:r>
    <w:r w:rsidRPr="00EA2603">
      <w:rPr>
        <w:sz w:val="20"/>
      </w:rPr>
      <w:fldChar w:fldCharType="separate"/>
    </w:r>
    <w:r w:rsidR="009A0CA2">
      <w:rPr>
        <w:noProof/>
        <w:sz w:val="20"/>
      </w:rPr>
      <w:t>176</w:t>
    </w:r>
    <w:r w:rsidRPr="00EA2603">
      <w:rPr>
        <w:noProof/>
        <w:sz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B91526" w:rsidRDefault="00D72D2B" w:rsidP="002E3E28">
    <w:pPr>
      <w:pStyle w:val="Footer"/>
      <w:jc w:val="center"/>
      <w:rPr>
        <w:sz w:val="20"/>
      </w:rPr>
    </w:pPr>
    <w:r w:rsidRPr="00B91526">
      <w:rPr>
        <w:sz w:val="20"/>
      </w:rPr>
      <w:fldChar w:fldCharType="begin"/>
    </w:r>
    <w:r w:rsidRPr="00B91526">
      <w:rPr>
        <w:sz w:val="20"/>
      </w:rPr>
      <w:instrText xml:space="preserve"> PAGE   \* MERGEFORMAT </w:instrText>
    </w:r>
    <w:r w:rsidRPr="00B91526">
      <w:rPr>
        <w:sz w:val="20"/>
      </w:rPr>
      <w:fldChar w:fldCharType="separate"/>
    </w:r>
    <w:r w:rsidR="009A0CA2">
      <w:rPr>
        <w:noProof/>
        <w:sz w:val="20"/>
      </w:rPr>
      <w:t>3</w:t>
    </w:r>
    <w:r w:rsidRPr="00B91526">
      <w:rPr>
        <w:noProof/>
        <w:sz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2377730"/>
      <w:docPartObj>
        <w:docPartGallery w:val="Page Numbers (Bottom of Page)"/>
        <w:docPartUnique/>
      </w:docPartObj>
    </w:sdtPr>
    <w:sdtEndPr>
      <w:rPr>
        <w:noProof/>
        <w:sz w:val="20"/>
      </w:rPr>
    </w:sdtEndPr>
    <w:sdtContent>
      <w:p w:rsidR="00D72D2B" w:rsidRPr="00ED73D1" w:rsidRDefault="00D72D2B" w:rsidP="00781224">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9A0CA2">
          <w:rPr>
            <w:noProof/>
            <w:sz w:val="20"/>
          </w:rPr>
          <w:t>208</w:t>
        </w:r>
        <w:r w:rsidRPr="00BF43CC">
          <w:rPr>
            <w:noProof/>
            <w:sz w:val="20"/>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9327753"/>
      <w:docPartObj>
        <w:docPartGallery w:val="Page Numbers (Bottom of Page)"/>
        <w:docPartUnique/>
      </w:docPartObj>
    </w:sdtPr>
    <w:sdtEndPr>
      <w:rPr>
        <w:noProof/>
        <w:sz w:val="20"/>
      </w:rPr>
    </w:sdtEndPr>
    <w:sdtContent>
      <w:p w:rsidR="00D72D2B" w:rsidRPr="00ED73D1" w:rsidRDefault="00D72D2B" w:rsidP="00781224">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9A0CA2">
          <w:rPr>
            <w:noProof/>
            <w:sz w:val="20"/>
          </w:rPr>
          <w:t>209</w:t>
        </w:r>
        <w:r w:rsidRPr="00BF43CC">
          <w:rPr>
            <w:noProof/>
            <w:sz w:val="2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C32732" w:rsidRDefault="00D72D2B" w:rsidP="00781224">
    <w:pPr>
      <w:pStyle w:val="Footer"/>
      <w:jc w:val="center"/>
      <w:rPr>
        <w:sz w:val="20"/>
      </w:rPr>
    </w:pPr>
    <w:r w:rsidRPr="00C32732">
      <w:rPr>
        <w:rStyle w:val="PageNumber"/>
        <w:sz w:val="20"/>
      </w:rPr>
      <w:fldChar w:fldCharType="begin"/>
    </w:r>
    <w:r w:rsidRPr="00C32732">
      <w:rPr>
        <w:rStyle w:val="PageNumber"/>
        <w:sz w:val="20"/>
      </w:rPr>
      <w:instrText xml:space="preserve"> PAGE </w:instrText>
    </w:r>
    <w:r w:rsidRPr="00C32732">
      <w:rPr>
        <w:rStyle w:val="PageNumber"/>
        <w:sz w:val="20"/>
      </w:rPr>
      <w:fldChar w:fldCharType="separate"/>
    </w:r>
    <w:r w:rsidR="009A0CA2">
      <w:rPr>
        <w:rStyle w:val="PageNumber"/>
        <w:noProof/>
        <w:sz w:val="20"/>
      </w:rPr>
      <w:t>230</w:t>
    </w:r>
    <w:r w:rsidRPr="00C32732">
      <w:rPr>
        <w:rStyle w:val="PageNumber"/>
        <w:sz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792502" w:rsidRDefault="00D72D2B" w:rsidP="00781224">
    <w:pPr>
      <w:pStyle w:val="Footer"/>
      <w:jc w:val="center"/>
      <w:rPr>
        <w:sz w:val="20"/>
      </w:rPr>
    </w:pPr>
    <w:r w:rsidRPr="00792502">
      <w:rPr>
        <w:rStyle w:val="PageNumber"/>
        <w:sz w:val="20"/>
      </w:rPr>
      <w:fldChar w:fldCharType="begin"/>
    </w:r>
    <w:r w:rsidRPr="00792502">
      <w:rPr>
        <w:rStyle w:val="PageNumber"/>
        <w:sz w:val="20"/>
      </w:rPr>
      <w:instrText xml:space="preserve"> PAGE </w:instrText>
    </w:r>
    <w:r w:rsidRPr="00792502">
      <w:rPr>
        <w:rStyle w:val="PageNumber"/>
        <w:sz w:val="20"/>
      </w:rPr>
      <w:fldChar w:fldCharType="separate"/>
    </w:r>
    <w:r w:rsidR="009A0CA2">
      <w:rPr>
        <w:rStyle w:val="PageNumber"/>
        <w:noProof/>
        <w:sz w:val="20"/>
      </w:rPr>
      <w:t>249</w:t>
    </w:r>
    <w:r w:rsidRPr="00792502">
      <w:rPr>
        <w:rStyle w:val="PageNumber"/>
        <w:sz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455864"/>
      <w:docPartObj>
        <w:docPartGallery w:val="Page Numbers (Bottom of Page)"/>
        <w:docPartUnique/>
      </w:docPartObj>
    </w:sdtPr>
    <w:sdtEndPr>
      <w:rPr>
        <w:noProof/>
        <w:sz w:val="20"/>
      </w:rPr>
    </w:sdtEndPr>
    <w:sdtContent>
      <w:p w:rsidR="00D72D2B" w:rsidRPr="006A0DF9" w:rsidRDefault="00D72D2B" w:rsidP="006376BD">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9A0CA2">
          <w:rPr>
            <w:noProof/>
            <w:sz w:val="20"/>
          </w:rPr>
          <w:t>278</w:t>
        </w:r>
        <w:r w:rsidRPr="00BF43CC">
          <w:rPr>
            <w:noProof/>
            <w:sz w:val="20"/>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550110"/>
      <w:docPartObj>
        <w:docPartGallery w:val="Page Numbers (Bottom of Page)"/>
        <w:docPartUnique/>
      </w:docPartObj>
    </w:sdtPr>
    <w:sdtEndPr>
      <w:rPr>
        <w:noProof/>
        <w:sz w:val="20"/>
      </w:rPr>
    </w:sdtEndPr>
    <w:sdtContent>
      <w:p w:rsidR="00D72D2B" w:rsidRPr="006A0DF9" w:rsidRDefault="00D72D2B" w:rsidP="006376BD">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9A0CA2">
          <w:rPr>
            <w:noProof/>
            <w:sz w:val="20"/>
          </w:rPr>
          <w:t>265</w:t>
        </w:r>
        <w:r w:rsidRPr="00BF43CC">
          <w:rPr>
            <w:noProof/>
            <w:sz w:val="20"/>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099448"/>
      <w:docPartObj>
        <w:docPartGallery w:val="Page Numbers (Bottom of Page)"/>
        <w:docPartUnique/>
      </w:docPartObj>
    </w:sdtPr>
    <w:sdtEndPr>
      <w:rPr>
        <w:noProof/>
        <w:sz w:val="20"/>
      </w:rPr>
    </w:sdtEndPr>
    <w:sdtContent>
      <w:p w:rsidR="00D72D2B" w:rsidRPr="006A0DF9" w:rsidRDefault="00D72D2B" w:rsidP="006376BD">
        <w:pPr>
          <w:pStyle w:val="Footer"/>
          <w:jc w:val="center"/>
          <w:rPr>
            <w:sz w:val="20"/>
          </w:rPr>
        </w:pPr>
        <w:r w:rsidRPr="00BF43CC">
          <w:rPr>
            <w:sz w:val="20"/>
          </w:rPr>
          <w:fldChar w:fldCharType="begin"/>
        </w:r>
        <w:r w:rsidRPr="00BF43CC">
          <w:rPr>
            <w:sz w:val="20"/>
          </w:rPr>
          <w:instrText xml:space="preserve"> PAGE   \* MERGEFORMAT </w:instrText>
        </w:r>
        <w:r w:rsidRPr="00BF43CC">
          <w:rPr>
            <w:sz w:val="20"/>
          </w:rPr>
          <w:fldChar w:fldCharType="separate"/>
        </w:r>
        <w:r w:rsidR="009A0CA2">
          <w:rPr>
            <w:noProof/>
            <w:sz w:val="20"/>
          </w:rPr>
          <w:t>279</w:t>
        </w:r>
        <w:r w:rsidRPr="00BF43CC">
          <w:rPr>
            <w:noProof/>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2D2B" w:rsidRDefault="00D72D2B">
      <w:r>
        <w:separator/>
      </w:r>
    </w:p>
  </w:footnote>
  <w:footnote w:type="continuationSeparator" w:id="0">
    <w:p w:rsidR="00D72D2B" w:rsidRPr="009D30E6" w:rsidRDefault="00D72D2B" w:rsidP="007E663E">
      <w:pPr>
        <w:rPr>
          <w:sz w:val="17"/>
          <w:szCs w:val="17"/>
        </w:rPr>
      </w:pPr>
      <w:r w:rsidRPr="009D30E6">
        <w:rPr>
          <w:sz w:val="17"/>
          <w:szCs w:val="17"/>
        </w:rPr>
        <w:separator/>
      </w:r>
    </w:p>
    <w:p w:rsidR="00D72D2B" w:rsidRPr="007E663E" w:rsidRDefault="00D72D2B" w:rsidP="007E663E">
      <w:pPr>
        <w:spacing w:after="60"/>
        <w:rPr>
          <w:sz w:val="17"/>
          <w:szCs w:val="17"/>
        </w:rPr>
      </w:pPr>
      <w:r>
        <w:rPr>
          <w:sz w:val="17"/>
        </w:rPr>
        <w:t>[Continuación de la nota de la página anterior]</w:t>
      </w:r>
    </w:p>
  </w:footnote>
  <w:footnote w:type="continuationNotice" w:id="1">
    <w:p w:rsidR="00D72D2B" w:rsidRPr="007E663E" w:rsidRDefault="00D72D2B" w:rsidP="007E663E">
      <w:pPr>
        <w:spacing w:before="60"/>
        <w:jc w:val="right"/>
        <w:rPr>
          <w:sz w:val="17"/>
          <w:szCs w:val="17"/>
        </w:rPr>
      </w:pPr>
      <w:r w:rsidRPr="007E663E">
        <w:rPr>
          <w:sz w:val="17"/>
          <w:szCs w:val="17"/>
        </w:rPr>
        <w:t>[Sigue la nota en la página siguiente]</w:t>
      </w:r>
    </w:p>
  </w:footnote>
  <w:footnote w:id="2">
    <w:p w:rsidR="00D72D2B" w:rsidRPr="00433F95" w:rsidRDefault="00D72D2B" w:rsidP="00A94E7D">
      <w:pPr>
        <w:pStyle w:val="FootnoteText"/>
        <w:rPr>
          <w:sz w:val="16"/>
          <w:szCs w:val="16"/>
        </w:rPr>
      </w:pPr>
      <w:r w:rsidRPr="00433F95">
        <w:rPr>
          <w:rStyle w:val="FootnoteReference"/>
          <w:sz w:val="16"/>
          <w:szCs w:val="16"/>
        </w:rPr>
        <w:footnoteRef/>
      </w:r>
      <w:r w:rsidRPr="00433F95">
        <w:rPr>
          <w:sz w:val="16"/>
          <w:szCs w:val="16"/>
          <w:vertAlign w:val="superscript"/>
        </w:rPr>
        <w:t xml:space="preserve"> </w:t>
      </w:r>
      <w:r w:rsidRPr="00433F95">
        <w:rPr>
          <w:sz w:val="16"/>
          <w:szCs w:val="16"/>
        </w:rPr>
        <w:t>Las previsiones detalladas figuran en el Anexo IV.</w:t>
      </w:r>
    </w:p>
  </w:footnote>
  <w:footnote w:id="3">
    <w:p w:rsidR="00D72D2B" w:rsidRPr="00433F95" w:rsidRDefault="00D72D2B" w:rsidP="00A94E7D">
      <w:pPr>
        <w:pStyle w:val="FootnoteText"/>
        <w:rPr>
          <w:sz w:val="16"/>
          <w:szCs w:val="16"/>
        </w:rPr>
      </w:pPr>
      <w:r w:rsidRPr="00433F95">
        <w:rPr>
          <w:sz w:val="16"/>
          <w:szCs w:val="16"/>
          <w:vertAlign w:val="superscript"/>
        </w:rPr>
        <w:footnoteRef/>
      </w:r>
      <w:r w:rsidRPr="00433F95">
        <w:rPr>
          <w:sz w:val="16"/>
          <w:szCs w:val="16"/>
          <w:vertAlign w:val="superscript"/>
        </w:rPr>
        <w:t xml:space="preserve"> </w:t>
      </w:r>
      <w:r>
        <w:rPr>
          <w:sz w:val="16"/>
          <w:szCs w:val="16"/>
        </w:rPr>
        <w:t>En</w:t>
      </w:r>
      <w:r w:rsidRPr="00433F95">
        <w:rPr>
          <w:sz w:val="16"/>
          <w:szCs w:val="16"/>
        </w:rPr>
        <w:t xml:space="preserve"> </w:t>
      </w:r>
      <w:r>
        <w:rPr>
          <w:sz w:val="16"/>
          <w:szCs w:val="16"/>
        </w:rPr>
        <w:t xml:space="preserve">abril de </w:t>
      </w:r>
      <w:r w:rsidRPr="00433F95">
        <w:rPr>
          <w:sz w:val="16"/>
          <w:szCs w:val="16"/>
        </w:rPr>
        <w:t>2015.</w:t>
      </w:r>
    </w:p>
  </w:footnote>
  <w:footnote w:id="4">
    <w:p w:rsidR="00D72D2B" w:rsidRPr="00433F95" w:rsidRDefault="00D72D2B" w:rsidP="00A94E7D">
      <w:pPr>
        <w:pStyle w:val="FootnoteText"/>
        <w:rPr>
          <w:sz w:val="16"/>
          <w:szCs w:val="16"/>
        </w:rPr>
      </w:pPr>
      <w:r w:rsidRPr="00433F95">
        <w:rPr>
          <w:rStyle w:val="FootnoteReference"/>
          <w:sz w:val="16"/>
          <w:szCs w:val="16"/>
        </w:rPr>
        <w:footnoteRef/>
      </w:r>
      <w:r>
        <w:rPr>
          <w:sz w:val="16"/>
          <w:szCs w:val="16"/>
        </w:rPr>
        <w:t xml:space="preserve"> Cabe remitirse al Apéndice A para obtener informaciones detalladas sobre las contribuciones de los Estados miembros</w:t>
      </w:r>
      <w:r w:rsidRPr="00433F95">
        <w:rPr>
          <w:sz w:val="16"/>
          <w:szCs w:val="16"/>
        </w:rPr>
        <w:t xml:space="preserve">. </w:t>
      </w:r>
    </w:p>
  </w:footnote>
  <w:footnote w:id="5">
    <w:p w:rsidR="00D72D2B" w:rsidRPr="00433F95" w:rsidRDefault="00D72D2B" w:rsidP="00A94E7D">
      <w:pPr>
        <w:pStyle w:val="FootnoteText"/>
        <w:rPr>
          <w:sz w:val="16"/>
          <w:szCs w:val="16"/>
        </w:rPr>
      </w:pPr>
      <w:r w:rsidRPr="00433F95">
        <w:rPr>
          <w:rStyle w:val="FootnoteReference"/>
          <w:sz w:val="16"/>
          <w:szCs w:val="16"/>
        </w:rPr>
        <w:footnoteRef/>
      </w:r>
      <w:r w:rsidRPr="00433F95">
        <w:rPr>
          <w:sz w:val="16"/>
          <w:szCs w:val="16"/>
          <w:vertAlign w:val="superscript"/>
        </w:rPr>
        <w:t xml:space="preserve"> </w:t>
      </w:r>
      <w:r>
        <w:rPr>
          <w:sz w:val="16"/>
          <w:szCs w:val="16"/>
        </w:rPr>
        <w:t>Cabe remitirse al Apéndice B para las definiciones de las fuentes de ingresos</w:t>
      </w:r>
      <w:r w:rsidRPr="00433F95">
        <w:rPr>
          <w:sz w:val="16"/>
          <w:szCs w:val="16"/>
        </w:rPr>
        <w:t>.</w:t>
      </w:r>
    </w:p>
  </w:footnote>
  <w:footnote w:id="6">
    <w:p w:rsidR="00D72D2B" w:rsidRPr="00250BC6" w:rsidRDefault="00D72D2B" w:rsidP="002333C0">
      <w:pPr>
        <w:pStyle w:val="FootnoteText"/>
        <w:rPr>
          <w:sz w:val="16"/>
          <w:szCs w:val="16"/>
        </w:rPr>
      </w:pPr>
      <w:r w:rsidRPr="00250BC6">
        <w:rPr>
          <w:rStyle w:val="FootnoteReference"/>
          <w:sz w:val="16"/>
          <w:szCs w:val="16"/>
        </w:rPr>
        <w:footnoteRef/>
      </w:r>
      <w:r w:rsidRPr="00250BC6">
        <w:rPr>
          <w:sz w:val="16"/>
          <w:szCs w:val="16"/>
        </w:rPr>
        <w:t xml:space="preserve"> Desde 2010, los estados financieros de la OMPI se preparan de conformidad con las IPSAS, sobre la base contable int</w:t>
      </w:r>
      <w:r>
        <w:rPr>
          <w:sz w:val="16"/>
          <w:szCs w:val="16"/>
        </w:rPr>
        <w:t>egral de acumulación (o deveng</w:t>
      </w:r>
      <w:r w:rsidRPr="00250BC6">
        <w:rPr>
          <w:sz w:val="16"/>
          <w:szCs w:val="16"/>
        </w:rPr>
        <w:t xml:space="preserve">o).  </w:t>
      </w:r>
    </w:p>
  </w:footnote>
  <w:footnote w:id="7">
    <w:p w:rsidR="00D72D2B" w:rsidRPr="00433F95" w:rsidRDefault="00D72D2B" w:rsidP="002333C0">
      <w:pPr>
        <w:pStyle w:val="FootnoteText"/>
      </w:pPr>
      <w:r w:rsidRPr="00433F95">
        <w:rPr>
          <w:rStyle w:val="FootnoteReference"/>
        </w:rPr>
        <w:footnoteRef/>
      </w:r>
      <w:r w:rsidRPr="00433F95">
        <w:t xml:space="preserve"> </w:t>
      </w:r>
      <w:r>
        <w:rPr>
          <w:sz w:val="16"/>
          <w:szCs w:val="16"/>
        </w:rPr>
        <w:t>Véase el cuadro</w:t>
      </w:r>
      <w:r w:rsidRPr="00433F95">
        <w:rPr>
          <w:sz w:val="16"/>
          <w:szCs w:val="16"/>
        </w:rPr>
        <w:t xml:space="preserve"> 6</w:t>
      </w:r>
      <w:r>
        <w:rPr>
          <w:sz w:val="16"/>
          <w:szCs w:val="16"/>
        </w:rPr>
        <w:t>.</w:t>
      </w:r>
    </w:p>
  </w:footnote>
  <w:footnote w:id="8">
    <w:p w:rsidR="00D72D2B" w:rsidRPr="00C47CC3" w:rsidRDefault="00D72D2B" w:rsidP="002333C0">
      <w:pPr>
        <w:pStyle w:val="FootnoteText"/>
        <w:rPr>
          <w:sz w:val="16"/>
          <w:szCs w:val="16"/>
        </w:rPr>
      </w:pPr>
      <w:r w:rsidRPr="00C47CC3">
        <w:rPr>
          <w:rStyle w:val="FootnoteReference"/>
          <w:sz w:val="16"/>
          <w:szCs w:val="16"/>
        </w:rPr>
        <w:footnoteRef/>
      </w:r>
      <w:r w:rsidRPr="00C47CC3">
        <w:rPr>
          <w:sz w:val="16"/>
          <w:szCs w:val="16"/>
        </w:rPr>
        <w:t xml:space="preserve"> Examen del proceso presupuestario aplicado a los proyectos propuestos por el Comité de Desarrollo y Propiedad Intelectual (CDIP) para dar aplicación a las recomendaciones de la Agenda para el Desarrollo (A/48/5 Rev.).</w:t>
      </w:r>
    </w:p>
  </w:footnote>
  <w:footnote w:id="9">
    <w:p w:rsidR="00D72D2B" w:rsidRPr="00C47CC3" w:rsidRDefault="00D72D2B" w:rsidP="002333C0">
      <w:pPr>
        <w:pStyle w:val="FootnoteText"/>
        <w:rPr>
          <w:sz w:val="16"/>
          <w:szCs w:val="16"/>
        </w:rPr>
      </w:pPr>
      <w:r w:rsidRPr="00C47CC3">
        <w:rPr>
          <w:szCs w:val="16"/>
          <w:vertAlign w:val="superscript"/>
        </w:rPr>
        <w:footnoteRef/>
      </w:r>
      <w:r w:rsidRPr="00C47CC3">
        <w:rPr>
          <w:szCs w:val="16"/>
        </w:rPr>
        <w:t xml:space="preserve"> </w:t>
      </w:r>
      <w:r w:rsidRPr="00C47CC3">
        <w:rPr>
          <w:sz w:val="16"/>
          <w:szCs w:val="16"/>
        </w:rPr>
        <w:t>Sujeto a la aprobación del Comité de Desarrollo y Propiedad Intelectual (CDIP).</w:t>
      </w:r>
    </w:p>
  </w:footnote>
  <w:footnote w:id="10">
    <w:p w:rsidR="00D72D2B" w:rsidRPr="00C47CC3" w:rsidRDefault="00D72D2B" w:rsidP="002333C0">
      <w:pPr>
        <w:pStyle w:val="FootnoteText"/>
        <w:rPr>
          <w:sz w:val="16"/>
          <w:szCs w:val="16"/>
        </w:rPr>
      </w:pPr>
      <w:r w:rsidRPr="002F7400">
        <w:rPr>
          <w:szCs w:val="16"/>
          <w:vertAlign w:val="superscript"/>
        </w:rPr>
        <w:footnoteRef/>
      </w:r>
      <w:r w:rsidRPr="00C47CC3">
        <w:rPr>
          <w:sz w:val="16"/>
          <w:szCs w:val="16"/>
        </w:rPr>
        <w:t xml:space="preserve"> Véase el cuadro 7.</w:t>
      </w:r>
    </w:p>
  </w:footnote>
  <w:footnote w:id="11">
    <w:p w:rsidR="00D72D2B" w:rsidRPr="00433F95" w:rsidRDefault="00D72D2B" w:rsidP="002333C0">
      <w:pPr>
        <w:pStyle w:val="FootnoteText"/>
        <w:rPr>
          <w:sz w:val="16"/>
          <w:szCs w:val="16"/>
        </w:rPr>
      </w:pPr>
      <w:r w:rsidRPr="00433F95">
        <w:rPr>
          <w:rStyle w:val="FootnoteReference"/>
          <w:szCs w:val="16"/>
        </w:rPr>
        <w:footnoteRef/>
      </w:r>
      <w:r w:rsidRPr="00433F95">
        <w:rPr>
          <w:szCs w:val="16"/>
        </w:rPr>
        <w:t xml:space="preserve"> </w:t>
      </w:r>
      <w:r>
        <w:rPr>
          <w:sz w:val="16"/>
          <w:szCs w:val="16"/>
        </w:rPr>
        <w:t>Debido al hecho de que el presupuesto por programas y el PPR de 2014 se elaboran paralelamente, las discrepancias entre los dos documentos se ajustarán al actualizar las referencias.</w:t>
      </w:r>
    </w:p>
  </w:footnote>
  <w:footnote w:id="12">
    <w:p w:rsidR="00D72D2B" w:rsidRPr="00433F95" w:rsidRDefault="00D72D2B" w:rsidP="002333C0">
      <w:pPr>
        <w:pStyle w:val="FootnoteText"/>
        <w:rPr>
          <w:sz w:val="16"/>
          <w:szCs w:val="16"/>
        </w:rPr>
      </w:pPr>
      <w:r w:rsidRPr="00433F95">
        <w:rPr>
          <w:rStyle w:val="FootnoteReference"/>
          <w:sz w:val="16"/>
          <w:szCs w:val="16"/>
        </w:rPr>
        <w:footnoteRef/>
      </w:r>
      <w:r w:rsidRPr="00433F95">
        <w:rPr>
          <w:sz w:val="16"/>
          <w:szCs w:val="16"/>
        </w:rPr>
        <w:t xml:space="preserve"> </w:t>
      </w:r>
      <w:r>
        <w:rPr>
          <w:sz w:val="16"/>
          <w:szCs w:val="16"/>
        </w:rPr>
        <w:t>El total correspondiente a recursos no relativos a personal del presupuesto aprobado de</w:t>
      </w:r>
      <w:r w:rsidRPr="00433F95">
        <w:rPr>
          <w:sz w:val="16"/>
          <w:szCs w:val="16"/>
        </w:rPr>
        <w:t xml:space="preserve"> 2012/13 </w:t>
      </w:r>
      <w:r>
        <w:rPr>
          <w:sz w:val="16"/>
          <w:szCs w:val="16"/>
        </w:rPr>
        <w:t xml:space="preserve">ascendía a </w:t>
      </w:r>
      <w:r w:rsidRPr="00433F95">
        <w:rPr>
          <w:sz w:val="16"/>
          <w:szCs w:val="16"/>
        </w:rPr>
        <w:t>238</w:t>
      </w:r>
      <w:r>
        <w:rPr>
          <w:sz w:val="16"/>
          <w:szCs w:val="16"/>
        </w:rPr>
        <w:t>,</w:t>
      </w:r>
      <w:r w:rsidRPr="00433F95">
        <w:rPr>
          <w:sz w:val="16"/>
          <w:szCs w:val="16"/>
        </w:rPr>
        <w:t xml:space="preserve">8 </w:t>
      </w:r>
      <w:r>
        <w:rPr>
          <w:sz w:val="16"/>
          <w:szCs w:val="16"/>
        </w:rPr>
        <w:t>millones de francos suizos.</w:t>
      </w:r>
    </w:p>
  </w:footnote>
  <w:footnote w:id="13">
    <w:p w:rsidR="00D72D2B" w:rsidRPr="007F229B" w:rsidRDefault="00D72D2B" w:rsidP="00BC4BF1">
      <w:pPr>
        <w:pStyle w:val="FootnoteText"/>
        <w:rPr>
          <w:sz w:val="16"/>
          <w:szCs w:val="16"/>
        </w:rPr>
      </w:pPr>
      <w:r w:rsidRPr="007F229B">
        <w:rPr>
          <w:rStyle w:val="FootnoteReference"/>
        </w:rPr>
        <w:footnoteRef/>
      </w:r>
      <w:r w:rsidRPr="007F229B">
        <w:t xml:space="preserve"> </w:t>
      </w:r>
      <w:r w:rsidRPr="007F229B">
        <w:rPr>
          <w:sz w:val="16"/>
          <w:szCs w:val="16"/>
        </w:rPr>
        <w:t>Se ofrece una descripción detallada de las categorías de costos en el Apéndice B.</w:t>
      </w:r>
    </w:p>
  </w:footnote>
  <w:footnote w:id="14">
    <w:p w:rsidR="00D72D2B" w:rsidRPr="007F229B" w:rsidRDefault="00D72D2B" w:rsidP="00BC4BF1">
      <w:pPr>
        <w:jc w:val="both"/>
        <w:rPr>
          <w:color w:val="000000"/>
          <w:sz w:val="16"/>
          <w:szCs w:val="16"/>
        </w:rPr>
      </w:pPr>
      <w:r w:rsidRPr="007F229B">
        <w:rPr>
          <w:rStyle w:val="FootnoteReference"/>
          <w:sz w:val="16"/>
          <w:szCs w:val="16"/>
        </w:rPr>
        <w:footnoteRef/>
      </w:r>
      <w:r w:rsidRPr="007F229B">
        <w:rPr>
          <w:sz w:val="16"/>
          <w:szCs w:val="16"/>
        </w:rPr>
        <w:t xml:space="preserve"> </w:t>
      </w:r>
      <w:r w:rsidRPr="007F229B">
        <w:rPr>
          <w:b/>
          <w:sz w:val="16"/>
          <w:szCs w:val="16"/>
        </w:rPr>
        <w:t>Puestos</w:t>
      </w:r>
      <w:r w:rsidRPr="007F229B">
        <w:rPr>
          <w:sz w:val="16"/>
          <w:szCs w:val="16"/>
        </w:rPr>
        <w:t>: Esta categoría abarca el personal con contratos de plazo fijo, continuos o permanentes, en relación con los</w:t>
      </w:r>
      <w:r>
        <w:rPr>
          <w:sz w:val="16"/>
          <w:szCs w:val="16"/>
        </w:rPr>
        <w:t xml:space="preserve"> </w:t>
      </w:r>
      <w:r w:rsidRPr="007F229B">
        <w:rPr>
          <w:sz w:val="16"/>
          <w:szCs w:val="16"/>
        </w:rPr>
        <w:t>puestos aprobados en las categorías profesional y de servicios generales</w:t>
      </w:r>
      <w:r w:rsidRPr="007F229B">
        <w:rPr>
          <w:color w:val="000000"/>
          <w:sz w:val="16"/>
          <w:szCs w:val="16"/>
        </w:rPr>
        <w:t>.</w:t>
      </w:r>
    </w:p>
    <w:p w:rsidR="00D72D2B" w:rsidRPr="007F229B" w:rsidRDefault="00D72D2B" w:rsidP="00BC4BF1">
      <w:pPr>
        <w:pStyle w:val="FootnoteText"/>
        <w:rPr>
          <w:sz w:val="2"/>
          <w:szCs w:val="2"/>
        </w:rPr>
      </w:pPr>
    </w:p>
  </w:footnote>
  <w:footnote w:id="15">
    <w:p w:rsidR="00D72D2B" w:rsidRPr="007F229B" w:rsidRDefault="00D72D2B" w:rsidP="00BC4BF1">
      <w:pPr>
        <w:pStyle w:val="FootnoteText"/>
        <w:rPr>
          <w:sz w:val="16"/>
          <w:szCs w:val="16"/>
        </w:rPr>
      </w:pPr>
      <w:r w:rsidRPr="007F229B">
        <w:rPr>
          <w:rStyle w:val="FootnoteReference"/>
          <w:sz w:val="16"/>
          <w:szCs w:val="16"/>
        </w:rPr>
        <w:footnoteRef/>
      </w:r>
      <w:r w:rsidRPr="007F229B">
        <w:rPr>
          <w:sz w:val="16"/>
          <w:szCs w:val="16"/>
        </w:rPr>
        <w:t xml:space="preserve"> </w:t>
      </w:r>
      <w:r w:rsidRPr="007F229B">
        <w:rPr>
          <w:b/>
          <w:bCs/>
          <w:color w:val="000000"/>
          <w:sz w:val="16"/>
          <w:szCs w:val="16"/>
        </w:rPr>
        <w:t>Personal temporal:</w:t>
      </w:r>
      <w:r w:rsidRPr="007F229B">
        <w:rPr>
          <w:color w:val="000000"/>
          <w:sz w:val="16"/>
          <w:szCs w:val="16"/>
        </w:rPr>
        <w:t xml:space="preserve"> Esta categoría abarca el personal con contratos temporales.</w:t>
      </w:r>
    </w:p>
  </w:footnote>
  <w:footnote w:id="16">
    <w:p w:rsidR="00D72D2B" w:rsidRPr="007A557B" w:rsidRDefault="00D72D2B" w:rsidP="007A557B">
      <w:pPr>
        <w:autoSpaceDE w:val="0"/>
        <w:autoSpaceDN w:val="0"/>
        <w:adjustRightInd w:val="0"/>
        <w:rPr>
          <w:sz w:val="16"/>
          <w:szCs w:val="16"/>
        </w:rPr>
      </w:pPr>
      <w:r w:rsidRPr="007F229B">
        <w:rPr>
          <w:rStyle w:val="FootnoteReference"/>
          <w:sz w:val="16"/>
          <w:szCs w:val="16"/>
        </w:rPr>
        <w:footnoteRef/>
      </w:r>
      <w:r w:rsidRPr="007F229B">
        <w:rPr>
          <w:sz w:val="16"/>
          <w:szCs w:val="16"/>
        </w:rPr>
        <w:t xml:space="preserve"> </w:t>
      </w:r>
      <w:r w:rsidRPr="007F229B">
        <w:rPr>
          <w:rFonts w:eastAsia="Times New Roman"/>
          <w:sz w:val="16"/>
          <w:szCs w:val="16"/>
          <w:lang w:eastAsia="en-US"/>
        </w:rPr>
        <w:t>Conforme a lo que se viene haciendo hasta la fecha, a los fines del presupuesto por programas se incluye a los países con</w:t>
      </w:r>
      <w:r>
        <w:rPr>
          <w:rFonts w:eastAsia="Times New Roman"/>
          <w:sz w:val="16"/>
          <w:szCs w:val="16"/>
          <w:lang w:eastAsia="en-US"/>
        </w:rPr>
        <w:t xml:space="preserve"> </w:t>
      </w:r>
      <w:r w:rsidRPr="007F229B">
        <w:rPr>
          <w:rFonts w:eastAsia="Times New Roman"/>
          <w:sz w:val="16"/>
          <w:szCs w:val="16"/>
          <w:lang w:eastAsia="en-US"/>
        </w:rPr>
        <w:t>economías en transición</w:t>
      </w:r>
      <w:r w:rsidRPr="007F229B">
        <w:rPr>
          <w:sz w:val="16"/>
          <w:szCs w:val="16"/>
        </w:rPr>
        <w:t>.</w:t>
      </w:r>
    </w:p>
  </w:footnote>
  <w:footnote w:id="17">
    <w:p w:rsidR="00D72D2B" w:rsidRPr="00E0093C" w:rsidRDefault="00D72D2B" w:rsidP="00533D8D">
      <w:pPr>
        <w:pStyle w:val="FootnoteText"/>
        <w:rPr>
          <w:sz w:val="16"/>
          <w:szCs w:val="16"/>
        </w:rPr>
      </w:pPr>
      <w:r w:rsidRPr="00E0093C">
        <w:rPr>
          <w:rStyle w:val="FootnoteReference"/>
          <w:sz w:val="16"/>
          <w:szCs w:val="16"/>
        </w:rPr>
        <w:footnoteRef/>
      </w:r>
      <w:r w:rsidRPr="006A3CA4">
        <w:rPr>
          <w:sz w:val="16"/>
          <w:szCs w:val="16"/>
          <w:lang w:val="es-ES_tradnl"/>
        </w:rPr>
        <w:t xml:space="preserve">  </w:t>
      </w:r>
      <w:r w:rsidRPr="00E0093C">
        <w:rPr>
          <w:sz w:val="16"/>
          <w:szCs w:val="16"/>
        </w:rPr>
        <w:t xml:space="preserve">Se determinarán los valores de referencia y los objetivos a fines de 2015, una vez que se hayan comprobado y confirmado las nuevas herramientas y metodologías </w:t>
      </w:r>
      <w:r>
        <w:rPr>
          <w:sz w:val="16"/>
          <w:szCs w:val="16"/>
        </w:rPr>
        <w:t>en línea</w:t>
      </w:r>
      <w:r w:rsidRPr="00E0093C">
        <w:rPr>
          <w:sz w:val="16"/>
          <w:szCs w:val="16"/>
        </w:rPr>
        <w:t>.</w:t>
      </w:r>
    </w:p>
  </w:footnote>
  <w:footnote w:id="18">
    <w:p w:rsidR="00D72D2B" w:rsidRPr="009A0BB4" w:rsidRDefault="00D72D2B" w:rsidP="0026052C">
      <w:pPr>
        <w:pStyle w:val="FootnoteText"/>
        <w:tabs>
          <w:tab w:val="left" w:pos="567"/>
        </w:tabs>
        <w:rPr>
          <w:lang w:val="es-ES_tradnl"/>
        </w:rPr>
      </w:pPr>
      <w:r>
        <w:rPr>
          <w:rStyle w:val="FootnoteReference"/>
        </w:rPr>
        <w:footnoteRef/>
      </w:r>
      <w:r w:rsidRPr="009A0BB4">
        <w:rPr>
          <w:lang w:val="es-ES_tradnl"/>
        </w:rPr>
        <w:t xml:space="preserve"> </w:t>
      </w:r>
      <w:r>
        <w:rPr>
          <w:lang w:val="es-ES_tradnl"/>
        </w:rPr>
        <w:tab/>
      </w:r>
      <w:r w:rsidRPr="009A0BB4">
        <w:rPr>
          <w:sz w:val="16"/>
          <w:szCs w:val="16"/>
          <w:lang w:val="es-ES_tradnl"/>
        </w:rPr>
        <w:t>Todas las estadísticas se basan en la fecha de presentación de las solicitudes PCT o de las solicitudes según el procedimiento previsto en el Capítulo II.</w:t>
      </w:r>
    </w:p>
  </w:footnote>
  <w:footnote w:id="19">
    <w:p w:rsidR="00D72D2B" w:rsidRPr="00943EE4" w:rsidRDefault="00D72D2B" w:rsidP="00924611">
      <w:pPr>
        <w:tabs>
          <w:tab w:val="left" w:pos="330"/>
        </w:tabs>
        <w:spacing w:after="120"/>
        <w:rPr>
          <w:sz w:val="16"/>
          <w:szCs w:val="16"/>
          <w:lang w:val="es-ES_tradnl"/>
        </w:rPr>
      </w:pPr>
      <w:r>
        <w:rPr>
          <w:rStyle w:val="FootnoteReference"/>
          <w:sz w:val="20"/>
        </w:rPr>
        <w:footnoteRef/>
      </w:r>
      <w:r w:rsidRPr="00943EE4">
        <w:rPr>
          <w:sz w:val="18"/>
          <w:lang w:val="es-ES_tradnl"/>
        </w:rPr>
        <w:t xml:space="preserve"> </w:t>
      </w:r>
      <w:r w:rsidRPr="00943EE4">
        <w:rPr>
          <w:sz w:val="18"/>
          <w:lang w:val="es-ES_tradnl"/>
        </w:rPr>
        <w:tab/>
      </w:r>
      <w:r w:rsidRPr="00943EE4">
        <w:rPr>
          <w:sz w:val="16"/>
          <w:szCs w:val="16"/>
          <w:lang w:val="es-ES_tradnl"/>
        </w:rPr>
        <w:t>Se entiende por ejemplar original una solicitud PCT que, una vez presentada ante una Oficina receptora, es tramitada y remitida por ésta a la Oficina Internacional.  Puesto que los ejemplares originales son remitidos a la Oficina Internacional una vez que fueron tramitados por una Oficina receptora, los plazos de tramitación aplicados por dichas oficinas tendrán una marcada incidencia en las estadísticas.  Por ello, si bien las tendencias relativas a la recepción de ejemplares originales son indicadores válidos del volumen de trabajo de la Oficina Internacional, no se ajustan fielmente a las tendencias relativas a la presentación de solicitudes PCT.</w:t>
      </w:r>
    </w:p>
  </w:footnote>
  <w:footnote w:id="20">
    <w:p w:rsidR="00D72D2B" w:rsidRPr="003D774E" w:rsidRDefault="00D72D2B" w:rsidP="00924611">
      <w:pPr>
        <w:rPr>
          <w:lang w:val="es-ES_tradnl"/>
        </w:rPr>
      </w:pPr>
      <w:r w:rsidRPr="00EE0539">
        <w:rPr>
          <w:rStyle w:val="FootnoteReference"/>
          <w:sz w:val="18"/>
          <w:szCs w:val="18"/>
        </w:rPr>
        <w:footnoteRef/>
      </w:r>
      <w:r w:rsidRPr="003D774E">
        <w:rPr>
          <w:sz w:val="18"/>
          <w:szCs w:val="18"/>
          <w:lang w:val="es-ES_tradnl"/>
        </w:rPr>
        <w:t xml:space="preserve"> Tras una revisión independiente de los parámetros de rendimiento del Servicio de Sistemas de Información del PCT, </w:t>
      </w:r>
      <w:r>
        <w:rPr>
          <w:sz w:val="18"/>
          <w:szCs w:val="18"/>
          <w:lang w:val="es-ES_tradnl"/>
        </w:rPr>
        <w:t xml:space="preserve">su definición se modificó ligeramente con respecto a la que se describe en el presupuesto por programas de </w:t>
      </w:r>
      <w:r w:rsidRPr="003D774E">
        <w:rPr>
          <w:sz w:val="18"/>
          <w:szCs w:val="18"/>
          <w:highlight w:val="white"/>
          <w:lang w:val="es-ES_tradnl"/>
        </w:rPr>
        <w:t>2014/15</w:t>
      </w:r>
    </w:p>
  </w:footnote>
  <w:footnote w:id="21">
    <w:p w:rsidR="00D72D2B" w:rsidRPr="00D17A47" w:rsidRDefault="00D72D2B" w:rsidP="00223D78">
      <w:pPr>
        <w:pStyle w:val="FootnoteText"/>
      </w:pPr>
      <w:r w:rsidRPr="0043175E">
        <w:rPr>
          <w:rStyle w:val="FootnoteReference"/>
        </w:rPr>
        <w:footnoteRef/>
      </w:r>
      <w:r w:rsidRPr="00D40249">
        <w:t xml:space="preserve">  </w:t>
      </w:r>
      <w:r>
        <w:t>Véase el</w:t>
      </w:r>
      <w:r w:rsidRPr="00D17A47">
        <w:t xml:space="preserve"> “Volumen total de trabajo” más arriba.</w:t>
      </w:r>
    </w:p>
  </w:footnote>
  <w:footnote w:id="22">
    <w:p w:rsidR="00D72D2B" w:rsidRPr="00D40249" w:rsidRDefault="00D72D2B" w:rsidP="00223D78">
      <w:pPr>
        <w:pStyle w:val="FootnoteText"/>
        <w:rPr>
          <w:szCs w:val="18"/>
        </w:rPr>
      </w:pPr>
      <w:r w:rsidRPr="00D17A47">
        <w:rPr>
          <w:rStyle w:val="FootnoteReference"/>
          <w:szCs w:val="18"/>
        </w:rPr>
        <w:footnoteRef/>
      </w:r>
      <w:r>
        <w:rPr>
          <w:szCs w:val="18"/>
        </w:rPr>
        <w:t xml:space="preserve">  Véase </w:t>
      </w:r>
      <w:r w:rsidRPr="00D17A47">
        <w:rPr>
          <w:szCs w:val="18"/>
        </w:rPr>
        <w:t>“Volumen total de trabajo” más arriba.</w:t>
      </w:r>
    </w:p>
  </w:footnote>
  <w:footnote w:id="23">
    <w:p w:rsidR="00D72D2B" w:rsidRPr="003F38A8" w:rsidRDefault="00D72D2B" w:rsidP="0061055C">
      <w:pPr>
        <w:pStyle w:val="FootnoteText"/>
        <w:rPr>
          <w:lang w:val="es-ES_tradnl"/>
        </w:rPr>
      </w:pPr>
      <w:r w:rsidRPr="00DC6A4E">
        <w:rPr>
          <w:rStyle w:val="FootnoteReference"/>
        </w:rPr>
        <w:footnoteRef/>
      </w:r>
      <w:r w:rsidRPr="003F38A8">
        <w:rPr>
          <w:lang w:val="es-ES_tradnl"/>
        </w:rPr>
        <w:t xml:space="preserve"> </w:t>
      </w:r>
      <w:r w:rsidRPr="00BE0750">
        <w:rPr>
          <w:sz w:val="16"/>
          <w:lang w:val="es-ES_tradnl"/>
        </w:rPr>
        <w:t>El Sistema de Madrid brinda apoyo al Sistema de La Haya, en particular en tareas de traducción y actividades de T.I.  En este método no se tienen en cuenta esos costos</w:t>
      </w:r>
      <w:r w:rsidRPr="00BE0750">
        <w:rPr>
          <w:sz w:val="14"/>
          <w:lang w:val="es-ES_tradnl"/>
        </w:rPr>
        <w:t>.</w:t>
      </w:r>
    </w:p>
  </w:footnote>
  <w:footnote w:id="24">
    <w:p w:rsidR="00D72D2B" w:rsidRPr="00E5727C" w:rsidRDefault="00D72D2B" w:rsidP="0061055C">
      <w:pPr>
        <w:pStyle w:val="FootnoteText"/>
        <w:rPr>
          <w:sz w:val="16"/>
          <w:szCs w:val="16"/>
          <w:lang w:val="es-ES_tradnl"/>
        </w:rPr>
      </w:pPr>
      <w:r w:rsidRPr="00DC6A4E">
        <w:rPr>
          <w:rStyle w:val="FootnoteReference"/>
        </w:rPr>
        <w:footnoteRef/>
      </w:r>
      <w:r w:rsidRPr="00542194">
        <w:rPr>
          <w:lang w:val="es-ES_tradnl"/>
        </w:rPr>
        <w:t xml:space="preserve"> </w:t>
      </w:r>
      <w:r w:rsidRPr="00E5727C">
        <w:rPr>
          <w:sz w:val="16"/>
          <w:szCs w:val="16"/>
          <w:lang w:val="es-ES_tradnl"/>
        </w:rPr>
        <w:t xml:space="preserve">Véase “Volumen total de trabajo” </w:t>
      </w:r>
      <w:r w:rsidRPr="00E5727C">
        <w:rPr>
          <w:i/>
          <w:sz w:val="16"/>
          <w:szCs w:val="16"/>
          <w:lang w:val="es-ES_tradnl"/>
        </w:rPr>
        <w:t>supra</w:t>
      </w:r>
      <w:r w:rsidRPr="00E5727C">
        <w:rPr>
          <w:sz w:val="16"/>
          <w:szCs w:val="16"/>
          <w:lang w:val="es-ES_tradnl"/>
        </w:rPr>
        <w:t>.</w:t>
      </w:r>
    </w:p>
  </w:footnote>
  <w:footnote w:id="25">
    <w:p w:rsidR="00D72D2B" w:rsidRPr="00542194" w:rsidRDefault="00D72D2B" w:rsidP="0061055C">
      <w:pPr>
        <w:pStyle w:val="FootnoteText"/>
        <w:rPr>
          <w:sz w:val="16"/>
          <w:szCs w:val="16"/>
          <w:lang w:val="es-ES_tradnl"/>
        </w:rPr>
      </w:pPr>
      <w:r w:rsidRPr="00E5727C">
        <w:rPr>
          <w:rStyle w:val="FootnoteReference"/>
          <w:szCs w:val="16"/>
        </w:rPr>
        <w:footnoteRef/>
      </w:r>
      <w:r w:rsidRPr="00E5727C">
        <w:rPr>
          <w:sz w:val="16"/>
          <w:szCs w:val="16"/>
          <w:lang w:val="es-ES_tradnl"/>
        </w:rPr>
        <w:t xml:space="preserve"> Véase la relación entre solicitudes y renovaciones</w:t>
      </w:r>
      <w:r w:rsidRPr="00542194">
        <w:rPr>
          <w:sz w:val="16"/>
          <w:szCs w:val="16"/>
          <w:lang w:val="es-ES_tradnl"/>
        </w:rPr>
        <w:t xml:space="preserve"> en “</w:t>
      </w:r>
      <w:r>
        <w:rPr>
          <w:sz w:val="16"/>
          <w:szCs w:val="16"/>
          <w:lang w:val="es-ES_tradnl"/>
        </w:rPr>
        <w:t>Volumen total de trabajo</w:t>
      </w:r>
      <w:r w:rsidRPr="00542194">
        <w:rPr>
          <w:sz w:val="16"/>
          <w:szCs w:val="16"/>
          <w:lang w:val="es-ES_tradnl"/>
        </w:rPr>
        <w:t xml:space="preserve">”, </w:t>
      </w:r>
      <w:r>
        <w:rPr>
          <w:i/>
          <w:sz w:val="16"/>
          <w:szCs w:val="16"/>
          <w:lang w:val="es-ES_tradnl"/>
        </w:rPr>
        <w:t>supra</w:t>
      </w:r>
      <w:r>
        <w:rPr>
          <w:sz w:val="16"/>
          <w:szCs w:val="16"/>
          <w:lang w:val="es-ES_tradnl"/>
        </w:rPr>
        <w:t>.</w:t>
      </w:r>
    </w:p>
  </w:footnote>
  <w:footnote w:id="26">
    <w:p w:rsidR="00D72D2B" w:rsidRPr="008C03DB" w:rsidRDefault="00D72D2B" w:rsidP="006561C8">
      <w:pPr>
        <w:pStyle w:val="FootnoteText"/>
        <w:rPr>
          <w:lang w:val="es-ES_tradnl"/>
        </w:rPr>
      </w:pPr>
      <w:r w:rsidRPr="003F630B">
        <w:rPr>
          <w:rStyle w:val="FootnoteReference"/>
          <w:rFonts w:eastAsia="Times New Roman"/>
          <w:sz w:val="16"/>
          <w:szCs w:val="16"/>
          <w:lang w:eastAsia="en-US"/>
        </w:rPr>
        <w:footnoteRef/>
      </w:r>
      <w:r w:rsidRPr="008C03DB">
        <w:rPr>
          <w:rFonts w:eastAsia="Times New Roman"/>
          <w:sz w:val="16"/>
          <w:szCs w:val="16"/>
          <w:lang w:val="es-ES_tradnl" w:eastAsia="en-US"/>
        </w:rPr>
        <w:t xml:space="preserve"> </w:t>
      </w:r>
      <w:r w:rsidRPr="00353615">
        <w:rPr>
          <w:rFonts w:eastAsia="Times New Roman"/>
          <w:sz w:val="16"/>
          <w:szCs w:val="16"/>
          <w:lang w:val="es-ES_tradnl" w:eastAsia="en-US"/>
        </w:rPr>
        <w:t>Escala de sueldos</w:t>
      </w:r>
      <w:r w:rsidRPr="00353615">
        <w:rPr>
          <w:rFonts w:eastAsiaTheme="minorHAnsi"/>
          <w:bCs/>
          <w:i/>
          <w:sz w:val="16"/>
          <w:szCs w:val="16"/>
          <w:lang w:val="es-ES_tradnl" w:eastAsia="en-US"/>
        </w:rPr>
        <w:t xml:space="preserve"> para la categoría profesional y superior al 1 de enero de 2015;  escala de remuneración pensionable al mes de febrero de 2013</w:t>
      </w:r>
      <w:r w:rsidRPr="00353615">
        <w:rPr>
          <w:rFonts w:eastAsiaTheme="minorHAnsi"/>
          <w:bCs/>
          <w:i/>
          <w:sz w:val="16"/>
          <w:szCs w:val="16"/>
          <w:lang w:val="es-ES_tradnl"/>
        </w:rPr>
        <w:t>;  sueldos y subsidios anuales de la categoría de servicios generales a</w:t>
      </w:r>
      <w:r>
        <w:rPr>
          <w:rFonts w:eastAsiaTheme="minorHAnsi"/>
          <w:bCs/>
          <w:i/>
          <w:sz w:val="16"/>
          <w:szCs w:val="16"/>
          <w:lang w:val="es-ES_tradnl"/>
        </w:rPr>
        <w:t>l</w:t>
      </w:r>
      <w:r w:rsidRPr="00353615">
        <w:rPr>
          <w:rFonts w:eastAsiaTheme="minorHAnsi"/>
          <w:bCs/>
          <w:i/>
          <w:sz w:val="16"/>
          <w:szCs w:val="16"/>
          <w:lang w:val="es-ES_tradnl"/>
        </w:rPr>
        <w:t xml:space="preserve"> 1 de abril de </w:t>
      </w:r>
      <w:r w:rsidRPr="008C03DB">
        <w:rPr>
          <w:rFonts w:eastAsiaTheme="minorHAnsi"/>
          <w:bCs/>
          <w:i/>
          <w:sz w:val="16"/>
          <w:szCs w:val="16"/>
          <w:lang w:val="es-ES_tradnl"/>
        </w:rPr>
        <w:t>2011</w:t>
      </w:r>
      <w:r>
        <w:rPr>
          <w:rFonts w:eastAsiaTheme="minorHAnsi"/>
          <w:bCs/>
          <w:i/>
          <w:sz w:val="16"/>
          <w:szCs w:val="16"/>
          <w:lang w:val="es-ES_tradn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332C7" w:rsidRDefault="00D72D2B" w:rsidP="00D332C7">
    <w:pPr>
      <w:pStyle w:val="Header"/>
      <w:jc w:val="right"/>
      <w:rPr>
        <w:b/>
        <w:sz w:val="18"/>
        <w:szCs w:val="18"/>
        <w:lang w:val="es-ES_tradnl"/>
      </w:rPr>
    </w:pPr>
  </w:p>
  <w:p w:rsidR="00D72D2B" w:rsidRPr="00D332C7" w:rsidRDefault="00D72D2B" w:rsidP="00D332C7">
    <w:pPr>
      <w:pStyle w:val="Header"/>
      <w:rPr>
        <w:b/>
        <w:sz w:val="18"/>
        <w:szCs w:val="18"/>
        <w:lang w:val="es-ES_tradnl"/>
      </w:rPr>
    </w:pPr>
  </w:p>
  <w:p w:rsidR="00D72D2B" w:rsidRPr="00D332C7" w:rsidRDefault="00D72D2B" w:rsidP="00D332C7">
    <w:pPr>
      <w:pStyle w:val="Header"/>
      <w:rPr>
        <w:b/>
        <w:sz w:val="18"/>
        <w:szCs w:val="18"/>
        <w:lang w:val="es-ES_tradn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Default="00D72D2B" w:rsidP="00477D6B">
    <w:pPr>
      <w:jc w:val="right"/>
    </w:pPr>
    <w:bookmarkStart w:id="5" w:name="Code2"/>
    <w:bookmarkEnd w:id="5"/>
    <w:r>
      <w:t>WO/PBC/23/3</w:t>
    </w:r>
  </w:p>
  <w:p w:rsidR="00D72D2B" w:rsidRDefault="00D72D2B" w:rsidP="00477D6B">
    <w:pPr>
      <w:jc w:val="right"/>
    </w:pPr>
    <w:proofErr w:type="gramStart"/>
    <w:r>
      <w:t>página</w:t>
    </w:r>
    <w:proofErr w:type="gramEnd"/>
    <w:r>
      <w:t xml:space="preserve"> </w:t>
    </w:r>
    <w:r>
      <w:fldChar w:fldCharType="begin"/>
    </w:r>
    <w:r>
      <w:instrText xml:space="preserve"> PAGE  \* MERGEFORMAT </w:instrText>
    </w:r>
    <w:r>
      <w:fldChar w:fldCharType="separate"/>
    </w:r>
    <w:r w:rsidR="009A0CA2">
      <w:rPr>
        <w:noProof/>
      </w:rPr>
      <w:t>276</w:t>
    </w:r>
    <w:r>
      <w:fldChar w:fldCharType="end"/>
    </w:r>
  </w:p>
  <w:p w:rsidR="00D72D2B" w:rsidRDefault="00D72D2B"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332C7" w:rsidRDefault="00D72D2B" w:rsidP="00D332C7">
    <w:pPr>
      <w:pStyle w:val="Header"/>
      <w:jc w:val="right"/>
      <w:rPr>
        <w:b/>
        <w:sz w:val="18"/>
        <w:szCs w:val="18"/>
        <w:lang w:val="es-ES_tradnl"/>
      </w:rPr>
    </w:pPr>
  </w:p>
  <w:p w:rsidR="00D72D2B" w:rsidRPr="00D332C7" w:rsidRDefault="00D72D2B" w:rsidP="00D332C7">
    <w:pPr>
      <w:pStyle w:val="Header"/>
      <w:rPr>
        <w:b/>
        <w:sz w:val="18"/>
        <w:szCs w:val="18"/>
        <w:lang w:val="es-ES_tradnl"/>
      </w:rPr>
    </w:pPr>
  </w:p>
  <w:p w:rsidR="00D72D2B" w:rsidRPr="00D332C7" w:rsidRDefault="00D72D2B" w:rsidP="00D332C7">
    <w:pPr>
      <w:pStyle w:val="Header"/>
      <w:rPr>
        <w:b/>
        <w:sz w:val="18"/>
        <w:szCs w:val="18"/>
        <w:lang w:val="es-ES_tradn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332C7" w:rsidRDefault="00D72D2B" w:rsidP="00D332C7">
    <w:pPr>
      <w:pStyle w:val="Header"/>
      <w:rPr>
        <w:b/>
        <w:sz w:val="18"/>
        <w:szCs w:val="18"/>
        <w:lang w:val="es-ES_tradnl"/>
      </w:rPr>
    </w:pPr>
    <w:r w:rsidRPr="00D332C7">
      <w:rPr>
        <w:b/>
        <w:sz w:val="18"/>
        <w:szCs w:val="18"/>
        <w:highlight w:val="white"/>
      </w:rPr>
      <w:t>Proyecto de propuesta de presupuesto por programas para</w:t>
    </w:r>
    <w:r w:rsidRPr="00D332C7">
      <w:rPr>
        <w:b/>
        <w:sz w:val="18"/>
        <w:szCs w:val="18"/>
      </w:rPr>
      <w:t xml:space="preserve"> 2016/17</w:t>
    </w:r>
  </w:p>
  <w:p w:rsidR="00D72D2B" w:rsidRPr="00D332C7" w:rsidRDefault="00D72D2B" w:rsidP="00D332C7">
    <w:pPr>
      <w:pStyle w:val="Header"/>
      <w:rPr>
        <w:b/>
        <w:sz w:val="18"/>
        <w:szCs w:val="18"/>
        <w:lang w:val="es-ES_tradnl"/>
      </w:rPr>
    </w:pPr>
  </w:p>
  <w:p w:rsidR="00D72D2B" w:rsidRPr="00D332C7" w:rsidRDefault="00D72D2B" w:rsidP="00D332C7">
    <w:pPr>
      <w:pStyle w:val="Header"/>
      <w:rPr>
        <w:sz w:val="18"/>
        <w:szCs w:val="18"/>
        <w:lang w:val="es-ES_tradn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2E3E28" w:rsidRDefault="00D72D2B" w:rsidP="002E3E2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332C7" w:rsidRDefault="00D72D2B" w:rsidP="00272D37">
    <w:pPr>
      <w:pStyle w:val="Header"/>
      <w:rPr>
        <w:b/>
        <w:sz w:val="18"/>
        <w:szCs w:val="18"/>
        <w:lang w:val="es-ES_tradnl"/>
      </w:rPr>
    </w:pPr>
    <w:r w:rsidRPr="00FC1EC9">
      <w:rPr>
        <w:b/>
        <w:sz w:val="18"/>
        <w:highlight w:val="white"/>
      </w:rPr>
      <w:t>Pro</w:t>
    </w:r>
    <w:r>
      <w:rPr>
        <w:b/>
        <w:sz w:val="18"/>
        <w:highlight w:val="white"/>
      </w:rPr>
      <w:t>yecto de pro</w:t>
    </w:r>
    <w:r w:rsidRPr="00FC1EC9">
      <w:rPr>
        <w:b/>
        <w:sz w:val="18"/>
        <w:highlight w:val="white"/>
      </w:rPr>
      <w:t>puesta de presupuesto por programas para</w:t>
    </w:r>
    <w:r w:rsidRPr="00FC1EC9">
      <w:rPr>
        <w:b/>
        <w:sz w:val="18"/>
      </w:rPr>
      <w:t xml:space="preserve"> 2016/17</w:t>
    </w:r>
  </w:p>
  <w:p w:rsidR="00D72D2B" w:rsidRPr="00D332C7" w:rsidRDefault="00D72D2B" w:rsidP="00D332C7">
    <w:pPr>
      <w:pStyle w:val="Header"/>
      <w:rPr>
        <w:b/>
        <w:sz w:val="18"/>
        <w:szCs w:val="18"/>
        <w:lang w:val="es-ES_tradnl"/>
      </w:rPr>
    </w:pPr>
  </w:p>
  <w:p w:rsidR="00D72D2B" w:rsidRPr="00D332C7" w:rsidRDefault="00D72D2B" w:rsidP="00D332C7">
    <w:pPr>
      <w:pStyle w:val="Header"/>
      <w:rPr>
        <w:b/>
        <w:sz w:val="18"/>
        <w:szCs w:val="18"/>
        <w:lang w:val="es-ES_tradnl"/>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332C7" w:rsidRDefault="00D72D2B" w:rsidP="00272D37">
    <w:pPr>
      <w:pStyle w:val="Header"/>
      <w:jc w:val="right"/>
      <w:rPr>
        <w:b/>
        <w:sz w:val="18"/>
        <w:szCs w:val="18"/>
        <w:lang w:val="es-ES_tradnl"/>
      </w:rPr>
    </w:pPr>
    <w:r w:rsidRPr="00D332C7">
      <w:rPr>
        <w:b/>
        <w:sz w:val="18"/>
        <w:szCs w:val="18"/>
        <w:highlight w:val="white"/>
      </w:rPr>
      <w:t>Proyecto de propuesta de presupuesto por programas para</w:t>
    </w:r>
    <w:r w:rsidRPr="00D332C7">
      <w:rPr>
        <w:b/>
        <w:sz w:val="18"/>
        <w:szCs w:val="18"/>
      </w:rPr>
      <w:t xml:space="preserve"> 2016/17</w:t>
    </w:r>
  </w:p>
  <w:p w:rsidR="00D72D2B" w:rsidRPr="00DA4879" w:rsidRDefault="00D72D2B" w:rsidP="00DA4879">
    <w:pPr>
      <w:pStyle w:val="Header"/>
      <w:jc w:val="right"/>
      <w:rPr>
        <w:sz w:val="18"/>
        <w:szCs w:val="18"/>
        <w:lang w:val="es-ES_tradnl"/>
      </w:rPr>
    </w:pPr>
  </w:p>
  <w:p w:rsidR="00D72D2B" w:rsidRPr="00DA4879" w:rsidRDefault="00D72D2B" w:rsidP="00DA4879">
    <w:pPr>
      <w:pStyle w:val="Header"/>
      <w:jc w:val="right"/>
      <w:rPr>
        <w:sz w:val="18"/>
        <w:szCs w:val="18"/>
        <w:lang w:val="es-ES_tradnl"/>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A5A7D" w:rsidRDefault="00D72D2B" w:rsidP="00272D37">
    <w:pPr>
      <w:pStyle w:val="Header"/>
      <w:jc w:val="right"/>
      <w:rPr>
        <w:b/>
        <w:sz w:val="18"/>
        <w:lang w:val="es-ES_tradnl"/>
      </w:rPr>
    </w:pPr>
    <w:r w:rsidRPr="00FC1EC9">
      <w:rPr>
        <w:b/>
        <w:sz w:val="18"/>
        <w:highlight w:val="white"/>
      </w:rPr>
      <w:t>Pro</w:t>
    </w:r>
    <w:r>
      <w:rPr>
        <w:b/>
        <w:sz w:val="18"/>
        <w:highlight w:val="white"/>
      </w:rPr>
      <w:t>yecto de pro</w:t>
    </w:r>
    <w:r w:rsidRPr="00FC1EC9">
      <w:rPr>
        <w:b/>
        <w:sz w:val="18"/>
        <w:highlight w:val="white"/>
      </w:rPr>
      <w:t>puesta de presupuesto por programas para</w:t>
    </w:r>
    <w:r w:rsidRPr="00FC1EC9">
      <w:rPr>
        <w:b/>
        <w:sz w:val="18"/>
      </w:rPr>
      <w:t xml:space="preserve"> 2016/17</w:t>
    </w:r>
  </w:p>
  <w:p w:rsidR="00D72D2B" w:rsidRPr="00DA5A7D" w:rsidRDefault="00D72D2B" w:rsidP="002E3E28">
    <w:pPr>
      <w:pStyle w:val="Header"/>
      <w:jc w:val="right"/>
      <w:rPr>
        <w:b/>
        <w:sz w:val="18"/>
        <w:lang w:val="es-ES_tradnl"/>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A5A7D" w:rsidRDefault="00D72D2B" w:rsidP="002333C0">
    <w:pPr>
      <w:pStyle w:val="Header"/>
      <w:rPr>
        <w:b/>
        <w:sz w:val="18"/>
        <w:lang w:val="es-ES_tradnl"/>
      </w:rPr>
    </w:pPr>
    <w:r w:rsidRPr="00FC1EC9">
      <w:rPr>
        <w:b/>
        <w:sz w:val="18"/>
        <w:highlight w:val="white"/>
      </w:rPr>
      <w:t>Pro</w:t>
    </w:r>
    <w:r>
      <w:rPr>
        <w:b/>
        <w:sz w:val="18"/>
        <w:highlight w:val="white"/>
      </w:rPr>
      <w:t>yecto de pro</w:t>
    </w:r>
    <w:r w:rsidRPr="00FC1EC9">
      <w:rPr>
        <w:b/>
        <w:sz w:val="18"/>
        <w:highlight w:val="white"/>
      </w:rPr>
      <w:t>puesta de presupuesto por programas para</w:t>
    </w:r>
    <w:r w:rsidRPr="00FC1EC9">
      <w:rPr>
        <w:b/>
        <w:sz w:val="18"/>
      </w:rPr>
      <w:t xml:space="preserve"> 2016/17</w:t>
    </w:r>
  </w:p>
  <w:p w:rsidR="00D72D2B" w:rsidRDefault="00D72D2B" w:rsidP="002E12B3">
    <w:pPr>
      <w:pStyle w:val="Header"/>
      <w:rPr>
        <w:b/>
        <w:sz w:val="18"/>
        <w:lang w:val="es-ES_tradnl"/>
      </w:rPr>
    </w:pPr>
  </w:p>
  <w:p w:rsidR="00D72D2B" w:rsidRPr="00DA5A7D" w:rsidRDefault="00D72D2B" w:rsidP="002E12B3">
    <w:pPr>
      <w:pStyle w:val="Header"/>
      <w:rPr>
        <w:b/>
        <w:sz w:val="18"/>
        <w:lang w:val="es-ES_tradnl"/>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DA5A7D" w:rsidRDefault="00D72D2B" w:rsidP="00FF1939">
    <w:pPr>
      <w:pStyle w:val="Header"/>
      <w:rPr>
        <w:b/>
        <w:sz w:val="18"/>
        <w:lang w:val="es-ES_tradnl"/>
      </w:rPr>
    </w:pPr>
    <w:r w:rsidRPr="00FC1EC9">
      <w:rPr>
        <w:b/>
        <w:sz w:val="18"/>
        <w:highlight w:val="white"/>
      </w:rPr>
      <w:t>Pro</w:t>
    </w:r>
    <w:r>
      <w:rPr>
        <w:b/>
        <w:sz w:val="18"/>
        <w:highlight w:val="white"/>
      </w:rPr>
      <w:t>yecto de pro</w:t>
    </w:r>
    <w:r w:rsidRPr="00FC1EC9">
      <w:rPr>
        <w:b/>
        <w:sz w:val="18"/>
        <w:highlight w:val="white"/>
      </w:rPr>
      <w:t>puesta de presupuesto por programas para</w:t>
    </w:r>
    <w:r w:rsidRPr="00FC1EC9">
      <w:rPr>
        <w:b/>
        <w:sz w:val="18"/>
      </w:rPr>
      <w:t xml:space="preserve"> 2016/17</w:t>
    </w:r>
  </w:p>
  <w:p w:rsidR="00D72D2B" w:rsidRDefault="00D72D2B" w:rsidP="002E12B3">
    <w:pPr>
      <w:pStyle w:val="Header"/>
      <w:rPr>
        <w:b/>
        <w:sz w:val="18"/>
        <w:lang w:val="es-ES_tradnl"/>
      </w:rPr>
    </w:pPr>
  </w:p>
  <w:p w:rsidR="00D72D2B" w:rsidRPr="00DA5A7D" w:rsidRDefault="00D72D2B" w:rsidP="002E12B3">
    <w:pPr>
      <w:pStyle w:val="Header"/>
      <w:rPr>
        <w:b/>
        <w:sz w:val="18"/>
        <w:lang w:val="es-ES_tradnl"/>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6E4BFE" w:rsidRDefault="00D72D2B" w:rsidP="00781224">
    <w:pPr>
      <w:pStyle w:val="Header"/>
      <w:rPr>
        <w:b/>
        <w:sz w:val="18"/>
        <w:szCs w:val="18"/>
      </w:rPr>
    </w:pPr>
    <w:r w:rsidRPr="00C6048D">
      <w:rPr>
        <w:b/>
        <w:sz w:val="18"/>
        <w:szCs w:val="18"/>
        <w:lang w:val="es-ES_tradnl"/>
      </w:rPr>
      <w:t>Pr</w:t>
    </w:r>
    <w:r>
      <w:rPr>
        <w:b/>
        <w:sz w:val="18"/>
        <w:szCs w:val="18"/>
        <w:lang w:val="es-ES_tradnl"/>
      </w:rPr>
      <w:t>oyecto de pr</w:t>
    </w:r>
    <w:r w:rsidRPr="00C6048D">
      <w:rPr>
        <w:b/>
        <w:sz w:val="18"/>
        <w:szCs w:val="18"/>
        <w:lang w:val="es-ES_tradnl"/>
      </w:rPr>
      <w:t>opuesta de presupuesto por programas para 2016/17</w:t>
    </w:r>
  </w:p>
  <w:p w:rsidR="00D72D2B" w:rsidRPr="006E4BFE" w:rsidRDefault="00D72D2B" w:rsidP="00781224">
    <w:pPr>
      <w:pStyle w:val="Header"/>
      <w:rPr>
        <w:sz w:val="18"/>
        <w:szCs w:val="18"/>
      </w:rPr>
    </w:pPr>
  </w:p>
  <w:p w:rsidR="00D72D2B" w:rsidRPr="006E4BFE" w:rsidRDefault="00D72D2B" w:rsidP="00781224">
    <w:pPr>
      <w:pStyle w:val="Header"/>
      <w:jc w:val="right"/>
      <w:rPr>
        <w:sz w:val="18"/>
        <w:szCs w:val="18"/>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6172BC" w:rsidRDefault="00D72D2B" w:rsidP="00781224">
    <w:pPr>
      <w:pStyle w:val="Header"/>
      <w:jc w:val="right"/>
      <w:rPr>
        <w:b/>
        <w:sz w:val="18"/>
        <w:szCs w:val="18"/>
      </w:rPr>
    </w:pPr>
    <w:r w:rsidRPr="00C6048D">
      <w:rPr>
        <w:b/>
        <w:sz w:val="18"/>
        <w:szCs w:val="18"/>
        <w:lang w:val="es-ES_tradnl"/>
      </w:rPr>
      <w:t>Pr</w:t>
    </w:r>
    <w:r>
      <w:rPr>
        <w:b/>
        <w:sz w:val="18"/>
        <w:szCs w:val="18"/>
        <w:lang w:val="es-ES_tradnl"/>
      </w:rPr>
      <w:t>oyecto de pr</w:t>
    </w:r>
    <w:r w:rsidRPr="00C6048D">
      <w:rPr>
        <w:b/>
        <w:sz w:val="18"/>
        <w:szCs w:val="18"/>
        <w:lang w:val="es-ES_tradnl"/>
      </w:rPr>
      <w:t>opuesta de presupuesto por programas para 2016/17</w:t>
    </w:r>
  </w:p>
  <w:p w:rsidR="00D72D2B" w:rsidRPr="006172BC" w:rsidRDefault="00D72D2B" w:rsidP="00781224">
    <w:pPr>
      <w:pStyle w:val="Header"/>
      <w:jc w:val="right"/>
      <w:rPr>
        <w:sz w:val="18"/>
        <w:szCs w:val="18"/>
      </w:rPr>
    </w:pPr>
  </w:p>
  <w:p w:rsidR="00D72D2B" w:rsidRPr="006172BC" w:rsidRDefault="00D72D2B" w:rsidP="00781224">
    <w:pPr>
      <w:pStyle w:val="Header"/>
      <w:jc w:val="right"/>
      <w:rPr>
        <w:sz w:val="18"/>
        <w:szCs w:val="18"/>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C004C9" w:rsidRDefault="00D72D2B" w:rsidP="00781224">
    <w:pPr>
      <w:pStyle w:val="Header"/>
      <w:ind w:right="360"/>
      <w:rPr>
        <w:b/>
        <w:bCs/>
        <w:color w:val="333333"/>
        <w:sz w:val="18"/>
        <w:szCs w:val="18"/>
        <w:lang w:val="es-ES_tradnl"/>
      </w:rPr>
    </w:pPr>
    <w:r w:rsidRPr="007A60C1">
      <w:rPr>
        <w:b/>
        <w:sz w:val="18"/>
        <w:highlight w:val="white"/>
      </w:rPr>
      <w:t>Pro</w:t>
    </w:r>
    <w:r>
      <w:rPr>
        <w:b/>
        <w:sz w:val="18"/>
        <w:highlight w:val="white"/>
      </w:rPr>
      <w:t>yecto de pro</w:t>
    </w:r>
    <w:r w:rsidRPr="007A60C1">
      <w:rPr>
        <w:b/>
        <w:sz w:val="18"/>
        <w:highlight w:val="white"/>
      </w:rPr>
      <w:t xml:space="preserve">puesta de presupuesto por programas para </w:t>
    </w:r>
    <w:r w:rsidRPr="007A60C1">
      <w:rPr>
        <w:b/>
        <w:sz w:val="18"/>
      </w:rPr>
      <w:t>2016/17</w:t>
    </w:r>
  </w:p>
  <w:p w:rsidR="00D72D2B" w:rsidRPr="00C004C9" w:rsidRDefault="00D72D2B" w:rsidP="00781224">
    <w:pPr>
      <w:pStyle w:val="Header"/>
      <w:ind w:right="360"/>
      <w:rPr>
        <w:b/>
        <w:bCs/>
        <w:color w:val="333333"/>
        <w:sz w:val="18"/>
        <w:szCs w:val="18"/>
        <w:lang w:val="es-ES_tradnl"/>
      </w:rPr>
    </w:pPr>
  </w:p>
  <w:p w:rsidR="00D72D2B" w:rsidRPr="00C004C9" w:rsidRDefault="00D72D2B" w:rsidP="00781224">
    <w:pPr>
      <w:pStyle w:val="Header"/>
      <w:ind w:right="360"/>
      <w:rPr>
        <w:color w:val="333333"/>
        <w:sz w:val="18"/>
        <w:szCs w:val="18"/>
        <w:lang w:val="es-ES_tradnl"/>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C004C9" w:rsidRDefault="00D72D2B" w:rsidP="00FF1939">
    <w:pPr>
      <w:pStyle w:val="Header"/>
      <w:ind w:right="-1"/>
      <w:jc w:val="right"/>
      <w:rPr>
        <w:b/>
        <w:bCs/>
        <w:color w:val="333333"/>
        <w:sz w:val="18"/>
        <w:szCs w:val="18"/>
        <w:lang w:val="es-ES_tradnl"/>
      </w:rPr>
    </w:pPr>
    <w:r w:rsidRPr="007A60C1">
      <w:rPr>
        <w:b/>
        <w:sz w:val="18"/>
        <w:highlight w:val="white"/>
      </w:rPr>
      <w:t>Pro</w:t>
    </w:r>
    <w:r>
      <w:rPr>
        <w:b/>
        <w:sz w:val="18"/>
        <w:highlight w:val="white"/>
      </w:rPr>
      <w:t>yecto de pro</w:t>
    </w:r>
    <w:r w:rsidRPr="007A60C1">
      <w:rPr>
        <w:b/>
        <w:sz w:val="18"/>
        <w:highlight w:val="white"/>
      </w:rPr>
      <w:t xml:space="preserve">puesta de presupuesto por programas para </w:t>
    </w:r>
    <w:r w:rsidRPr="007A60C1">
      <w:rPr>
        <w:b/>
        <w:sz w:val="18"/>
      </w:rPr>
      <w:t>2016/17</w:t>
    </w:r>
  </w:p>
  <w:p w:rsidR="00D72D2B" w:rsidRPr="00C004C9" w:rsidRDefault="00D72D2B" w:rsidP="00FF1939">
    <w:pPr>
      <w:pStyle w:val="Header"/>
      <w:ind w:right="-1"/>
      <w:jc w:val="right"/>
      <w:rPr>
        <w:b/>
        <w:bCs/>
        <w:color w:val="333333"/>
        <w:sz w:val="18"/>
        <w:szCs w:val="18"/>
        <w:lang w:val="es-ES_tradnl"/>
      </w:rPr>
    </w:pPr>
  </w:p>
  <w:p w:rsidR="00D72D2B" w:rsidRPr="00C004C9" w:rsidRDefault="00D72D2B" w:rsidP="00FF1939">
    <w:pPr>
      <w:pStyle w:val="Header"/>
      <w:ind w:right="-1"/>
      <w:jc w:val="right"/>
      <w:rPr>
        <w:color w:val="333333"/>
        <w:sz w:val="18"/>
        <w:szCs w:val="18"/>
        <w:lang w:val="es-ES_tradn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4E674F" w:rsidRDefault="00D72D2B" w:rsidP="006376BD">
    <w:pPr>
      <w:pStyle w:val="Header"/>
      <w:rPr>
        <w:b/>
        <w:sz w:val="18"/>
        <w:szCs w:val="18"/>
        <w:lang w:val="es-ES_tradnl"/>
      </w:rPr>
    </w:pPr>
    <w:r w:rsidRPr="004E674F">
      <w:rPr>
        <w:b/>
        <w:sz w:val="18"/>
        <w:szCs w:val="18"/>
        <w:lang w:val="es-ES_tradnl"/>
      </w:rPr>
      <w:t>Proyecto de propuesta de presupuesto por programas para 2016/17</w:t>
    </w:r>
  </w:p>
  <w:p w:rsidR="00D72D2B" w:rsidRPr="004E674F" w:rsidRDefault="00D72D2B" w:rsidP="006376BD">
    <w:pPr>
      <w:pStyle w:val="Header"/>
      <w:rPr>
        <w:sz w:val="18"/>
        <w:szCs w:val="18"/>
        <w:lang w:val="es-ES_tradnl"/>
      </w:rPr>
    </w:pPr>
  </w:p>
  <w:p w:rsidR="00D72D2B" w:rsidRPr="004E674F" w:rsidRDefault="00D72D2B" w:rsidP="006376BD">
    <w:pPr>
      <w:pStyle w:val="Header"/>
      <w:rPr>
        <w:sz w:val="18"/>
        <w:szCs w:val="18"/>
        <w:lang w:val="es-ES_tradnl"/>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4E674F" w:rsidRDefault="00D72D2B" w:rsidP="006376BD">
    <w:pPr>
      <w:pStyle w:val="Header"/>
      <w:jc w:val="right"/>
      <w:rPr>
        <w:b/>
        <w:sz w:val="18"/>
        <w:szCs w:val="18"/>
        <w:lang w:val="es-ES_tradnl"/>
      </w:rPr>
    </w:pPr>
    <w:r w:rsidRPr="004E674F">
      <w:rPr>
        <w:b/>
        <w:sz w:val="18"/>
        <w:szCs w:val="18"/>
        <w:lang w:val="es-ES_tradnl"/>
      </w:rPr>
      <w:t>Proyecto de propuesta de presupuesto por programas para 2016/17</w:t>
    </w:r>
  </w:p>
  <w:p w:rsidR="00D72D2B" w:rsidRPr="004E674F" w:rsidRDefault="00D72D2B" w:rsidP="006376BD">
    <w:pPr>
      <w:pStyle w:val="Header"/>
      <w:jc w:val="right"/>
      <w:rPr>
        <w:sz w:val="18"/>
        <w:szCs w:val="18"/>
        <w:lang w:val="es-ES_tradnl"/>
      </w:rPr>
    </w:pPr>
  </w:p>
  <w:p w:rsidR="00D72D2B" w:rsidRPr="004E674F" w:rsidRDefault="00D72D2B" w:rsidP="006376BD">
    <w:pPr>
      <w:pStyle w:val="Header"/>
      <w:jc w:val="right"/>
      <w:rPr>
        <w:sz w:val="18"/>
        <w:szCs w:val="18"/>
        <w:lang w:val="es-ES_tradnl"/>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2D2B" w:rsidRPr="004E674F" w:rsidRDefault="00D72D2B" w:rsidP="006376BD">
    <w:pPr>
      <w:pStyle w:val="Header"/>
      <w:jc w:val="right"/>
      <w:rPr>
        <w:b/>
        <w:sz w:val="18"/>
        <w:szCs w:val="18"/>
        <w:lang w:val="es-ES_tradnl"/>
      </w:rPr>
    </w:pPr>
    <w:r w:rsidRPr="004E674F">
      <w:rPr>
        <w:b/>
        <w:sz w:val="18"/>
        <w:szCs w:val="18"/>
        <w:lang w:val="es-ES_tradnl"/>
      </w:rPr>
      <w:t>Proyecto de propuesta de presupuesto por programas para 2016/17</w:t>
    </w:r>
  </w:p>
  <w:p w:rsidR="00D72D2B" w:rsidRPr="004E674F" w:rsidRDefault="00D72D2B" w:rsidP="006376BD">
    <w:pPr>
      <w:pStyle w:val="Header"/>
      <w:jc w:val="right"/>
      <w:rPr>
        <w:sz w:val="18"/>
        <w:szCs w:val="18"/>
        <w:lang w:val="es-ES_trad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0000005"/>
    <w:multiLevelType w:val="multilevel"/>
    <w:tmpl w:val="89981690"/>
    <w:name w:val="WW8Num10"/>
    <w:lvl w:ilvl="0">
      <w:start w:val="1"/>
      <w:numFmt w:val="decimal"/>
      <w:lvlText w:val="15.%1."/>
      <w:lvlJc w:val="left"/>
      <w:pPr>
        <w:tabs>
          <w:tab w:val="num" w:pos="0"/>
        </w:tabs>
        <w:ind w:left="360" w:hanging="360"/>
      </w:pPr>
      <w:rPr>
        <w:rFonts w:hint="default"/>
        <w:color w:val="000000"/>
        <w:sz w:val="20"/>
        <w:szCs w:val="20"/>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nsid w:val="00000006"/>
    <w:multiLevelType w:val="singleLevel"/>
    <w:tmpl w:val="00000006"/>
    <w:name w:val="WW8Num15"/>
    <w:lvl w:ilvl="0">
      <w:start w:val="1"/>
      <w:numFmt w:val="bullet"/>
      <w:lvlText w:val=""/>
      <w:lvlJc w:val="left"/>
      <w:pPr>
        <w:tabs>
          <w:tab w:val="num" w:pos="0"/>
        </w:tabs>
        <w:ind w:left="720" w:hanging="360"/>
      </w:pPr>
      <w:rPr>
        <w:rFonts w:ascii="Symbol" w:hAnsi="Symbol" w:cs="Symbol" w:hint="default"/>
      </w:rPr>
    </w:lvl>
  </w:abstractNum>
  <w:abstractNum w:abstractNumId="3">
    <w:nsid w:val="05B068E2"/>
    <w:multiLevelType w:val="hybridMultilevel"/>
    <w:tmpl w:val="44549FEC"/>
    <w:lvl w:ilvl="0" w:tplc="F676B65C">
      <w:start w:val="1"/>
      <w:numFmt w:val="bullet"/>
      <w:lvlText w:val="-"/>
      <w:lvlJc w:val="left"/>
      <w:pPr>
        <w:ind w:left="720" w:hanging="360"/>
      </w:pPr>
      <w:rPr>
        <w:rFonts w:ascii="Arial" w:eastAsiaTheme="minorEastAsia" w:hAnsi="Arial" w:cs="Arial" w:hint="default"/>
      </w:rPr>
    </w:lvl>
    <w:lvl w:ilvl="1" w:tplc="C8088452">
      <w:start w:val="1"/>
      <w:numFmt w:val="bullet"/>
      <w:lvlText w:val="−"/>
      <w:lvlJc w:val="left"/>
      <w:pPr>
        <w:ind w:left="1440" w:hanging="360"/>
      </w:pPr>
      <w:rPr>
        <w:rFonts w:ascii="Arial" w:eastAsiaTheme="minorEastAsia"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79B6BCD"/>
    <w:multiLevelType w:val="hybridMultilevel"/>
    <w:tmpl w:val="E32E1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BB7A06"/>
    <w:multiLevelType w:val="hybridMultilevel"/>
    <w:tmpl w:val="339EACD6"/>
    <w:lvl w:ilvl="0" w:tplc="04090001">
      <w:start w:val="1"/>
      <w:numFmt w:val="bullet"/>
      <w:lvlText w:val=""/>
      <w:lvlJc w:val="left"/>
      <w:pPr>
        <w:ind w:left="910" w:hanging="360"/>
      </w:pPr>
      <w:rPr>
        <w:rFonts w:ascii="Symbol" w:hAnsi="Symbo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7">
    <w:nsid w:val="09F65EB6"/>
    <w:multiLevelType w:val="hybridMultilevel"/>
    <w:tmpl w:val="2FE6E0EA"/>
    <w:lvl w:ilvl="0" w:tplc="C8143936">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CDF6A28"/>
    <w:multiLevelType w:val="hybridMultilevel"/>
    <w:tmpl w:val="93443F26"/>
    <w:lvl w:ilvl="0" w:tplc="E7FE915A">
      <w:start w:val="1"/>
      <w:numFmt w:val="decimal"/>
      <w:lvlText w:val="2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E03326C"/>
    <w:multiLevelType w:val="hybridMultilevel"/>
    <w:tmpl w:val="3C0877DC"/>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F097619"/>
    <w:multiLevelType w:val="hybridMultilevel"/>
    <w:tmpl w:val="0D6A0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F2B244F"/>
    <w:multiLevelType w:val="hybridMultilevel"/>
    <w:tmpl w:val="097E91E2"/>
    <w:lvl w:ilvl="0" w:tplc="0C1A8E8A">
      <w:start w:val="1"/>
      <w:numFmt w:val="decimal"/>
      <w:lvlText w:val="%1."/>
      <w:lvlJc w:val="left"/>
      <w:pPr>
        <w:tabs>
          <w:tab w:val="num" w:pos="567"/>
        </w:tabs>
        <w:ind w:left="0" w:firstLine="0"/>
      </w:pPr>
      <w:rPr>
        <w:rFonts w:ascii="Arial" w:hAnsi="Arial" w:cs="Arial" w:hint="default"/>
        <w:b w:val="0"/>
        <w:bCs w:val="0"/>
        <w:i w:val="0"/>
        <w:iCs w:val="0"/>
        <w:sz w:val="20"/>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12">
    <w:nsid w:val="10122768"/>
    <w:multiLevelType w:val="hybridMultilevel"/>
    <w:tmpl w:val="422AAD12"/>
    <w:lvl w:ilvl="0" w:tplc="3502E3B6">
      <w:start w:val="1"/>
      <w:numFmt w:val="decimal"/>
      <w:lvlText w:val="25.%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1547780"/>
    <w:multiLevelType w:val="hybridMultilevel"/>
    <w:tmpl w:val="14986566"/>
    <w:lvl w:ilvl="0" w:tplc="A3C68D84">
      <w:start w:val="1"/>
      <w:numFmt w:val="decimal"/>
      <w:lvlRestart w:val="0"/>
      <w:lvlText w:val="21.%1."/>
      <w:lvlJc w:val="left"/>
      <w:pPr>
        <w:tabs>
          <w:tab w:val="num" w:pos="680"/>
        </w:tabs>
        <w:ind w:left="0" w:firstLine="0"/>
      </w:pPr>
      <w:rPr>
        <w:rFonts w:ascii="Arial" w:hAnsi="Arial" w:hint="default"/>
        <w:sz w:val="20"/>
        <w:szCs w:val="20"/>
      </w:rPr>
    </w:lvl>
    <w:lvl w:ilvl="1" w:tplc="C0A656DA">
      <w:start w:val="1"/>
      <w:numFmt w:val="lowerRoman"/>
      <w:lvlText w:val="%2)"/>
      <w:lvlJc w:val="left"/>
      <w:pPr>
        <w:tabs>
          <w:tab w:val="num" w:pos="1250"/>
        </w:tabs>
        <w:ind w:left="1080" w:firstLine="0"/>
      </w:pPr>
      <w:rPr>
        <w:rFonts w:ascii="Arial" w:eastAsiaTheme="minorHAnsi" w:hAnsi="Arial" w:cs="Arial"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3794905"/>
    <w:multiLevelType w:val="hybridMultilevel"/>
    <w:tmpl w:val="1EFACF80"/>
    <w:lvl w:ilvl="0" w:tplc="C65EA48A">
      <w:start w:val="315"/>
      <w:numFmt w:val="bullet"/>
      <w:lvlText w:val=""/>
      <w:lvlJc w:val="left"/>
      <w:pPr>
        <w:tabs>
          <w:tab w:val="num" w:pos="1174"/>
        </w:tabs>
        <w:ind w:left="1174" w:hanging="454"/>
      </w:pPr>
      <w:rPr>
        <w:rFonts w:ascii="Symbol" w:eastAsia="Times New Roman" w:hAnsi="Symbol" w:cs="Times New Roman" w:hint="default"/>
        <w:sz w:val="22"/>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6">
    <w:nsid w:val="177D5000"/>
    <w:multiLevelType w:val="singleLevel"/>
    <w:tmpl w:val="0409000F"/>
    <w:lvl w:ilvl="0">
      <w:start w:val="1"/>
      <w:numFmt w:val="decimal"/>
      <w:lvlText w:val="%1."/>
      <w:lvlJc w:val="left"/>
      <w:pPr>
        <w:tabs>
          <w:tab w:val="num" w:pos="360"/>
        </w:tabs>
        <w:ind w:left="360" w:hanging="360"/>
      </w:pPr>
    </w:lvl>
  </w:abstractNum>
  <w:abstractNum w:abstractNumId="17">
    <w:nsid w:val="178B5A9C"/>
    <w:multiLevelType w:val="multilevel"/>
    <w:tmpl w:val="B7583D98"/>
    <w:lvl w:ilvl="0">
      <w:start w:val="1"/>
      <w:numFmt w:val="decimal"/>
      <w:lvlRestart w:val="0"/>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1A920F3B"/>
    <w:multiLevelType w:val="hybridMultilevel"/>
    <w:tmpl w:val="1560413E"/>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9">
    <w:nsid w:val="1B605764"/>
    <w:multiLevelType w:val="hybridMultilevel"/>
    <w:tmpl w:val="5C1E54E8"/>
    <w:lvl w:ilvl="0" w:tplc="5B683A3A">
      <w:start w:val="1"/>
      <w:numFmt w:val="upperRoman"/>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1">
    <w:nsid w:val="21207CBF"/>
    <w:multiLevelType w:val="hybridMultilevel"/>
    <w:tmpl w:val="E5D4A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DD2783"/>
    <w:multiLevelType w:val="hybridMultilevel"/>
    <w:tmpl w:val="1EBA25D8"/>
    <w:lvl w:ilvl="0" w:tplc="D166BB9E">
      <w:start w:val="1"/>
      <w:numFmt w:val="decimal"/>
      <w:lvlText w:val="10.%1."/>
      <w:lvlJc w:val="left"/>
      <w:pPr>
        <w:ind w:left="723" w:hanging="360"/>
      </w:pPr>
      <w:rPr>
        <w:rFonts w:hint="default"/>
      </w:rPr>
    </w:lvl>
    <w:lvl w:ilvl="1" w:tplc="04090019" w:tentative="1">
      <w:start w:val="1"/>
      <w:numFmt w:val="lowerLetter"/>
      <w:lvlText w:val="%2."/>
      <w:lvlJc w:val="left"/>
      <w:pPr>
        <w:ind w:left="1443" w:hanging="360"/>
      </w:pPr>
    </w:lvl>
    <w:lvl w:ilvl="2" w:tplc="0409001B" w:tentative="1">
      <w:start w:val="1"/>
      <w:numFmt w:val="lowerRoman"/>
      <w:lvlText w:val="%3."/>
      <w:lvlJc w:val="right"/>
      <w:pPr>
        <w:ind w:left="2163" w:hanging="180"/>
      </w:pPr>
    </w:lvl>
    <w:lvl w:ilvl="3" w:tplc="0409000F" w:tentative="1">
      <w:start w:val="1"/>
      <w:numFmt w:val="decimal"/>
      <w:lvlText w:val="%4."/>
      <w:lvlJc w:val="left"/>
      <w:pPr>
        <w:ind w:left="2883" w:hanging="360"/>
      </w:pPr>
    </w:lvl>
    <w:lvl w:ilvl="4" w:tplc="04090019" w:tentative="1">
      <w:start w:val="1"/>
      <w:numFmt w:val="lowerLetter"/>
      <w:lvlText w:val="%5."/>
      <w:lvlJc w:val="left"/>
      <w:pPr>
        <w:ind w:left="3603" w:hanging="360"/>
      </w:pPr>
    </w:lvl>
    <w:lvl w:ilvl="5" w:tplc="0409001B" w:tentative="1">
      <w:start w:val="1"/>
      <w:numFmt w:val="lowerRoman"/>
      <w:lvlText w:val="%6."/>
      <w:lvlJc w:val="right"/>
      <w:pPr>
        <w:ind w:left="4323" w:hanging="180"/>
      </w:pPr>
    </w:lvl>
    <w:lvl w:ilvl="6" w:tplc="0409000F" w:tentative="1">
      <w:start w:val="1"/>
      <w:numFmt w:val="decimal"/>
      <w:lvlText w:val="%7."/>
      <w:lvlJc w:val="left"/>
      <w:pPr>
        <w:ind w:left="5043" w:hanging="360"/>
      </w:pPr>
    </w:lvl>
    <w:lvl w:ilvl="7" w:tplc="04090019" w:tentative="1">
      <w:start w:val="1"/>
      <w:numFmt w:val="lowerLetter"/>
      <w:lvlText w:val="%8."/>
      <w:lvlJc w:val="left"/>
      <w:pPr>
        <w:ind w:left="5763" w:hanging="360"/>
      </w:pPr>
    </w:lvl>
    <w:lvl w:ilvl="8" w:tplc="0409001B" w:tentative="1">
      <w:start w:val="1"/>
      <w:numFmt w:val="lowerRoman"/>
      <w:lvlText w:val="%9."/>
      <w:lvlJc w:val="right"/>
      <w:pPr>
        <w:ind w:left="6483" w:hanging="180"/>
      </w:pPr>
    </w:lvl>
  </w:abstractNum>
  <w:abstractNum w:abstractNumId="23">
    <w:nsid w:val="246747EC"/>
    <w:multiLevelType w:val="hybridMultilevel"/>
    <w:tmpl w:val="34AABE42"/>
    <w:lvl w:ilvl="0" w:tplc="AB8C9374">
      <w:start w:val="1"/>
      <w:numFmt w:val="decimal"/>
      <w:lvlText w:val="14.%1."/>
      <w:lvlJc w:val="left"/>
      <w:pPr>
        <w:tabs>
          <w:tab w:val="num" w:pos="825"/>
        </w:tabs>
        <w:ind w:left="142" w:firstLine="0"/>
      </w:pPr>
      <w:rPr>
        <w:rFonts w:ascii="Arial" w:hAnsi="Arial" w:cs="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24726D81"/>
    <w:multiLevelType w:val="hybridMultilevel"/>
    <w:tmpl w:val="259AE5A4"/>
    <w:lvl w:ilvl="0" w:tplc="04090001">
      <w:start w:val="1"/>
      <w:numFmt w:val="bullet"/>
      <w:lvlText w:val=""/>
      <w:lvlJc w:val="left"/>
      <w:pPr>
        <w:tabs>
          <w:tab w:val="num" w:pos="786"/>
        </w:tabs>
        <w:ind w:left="786" w:hanging="360"/>
      </w:pPr>
      <w:rPr>
        <w:rFonts w:ascii="Symbol" w:hAnsi="Symbol"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abstractNum w:abstractNumId="25">
    <w:nsid w:val="24742D0B"/>
    <w:multiLevelType w:val="hybridMultilevel"/>
    <w:tmpl w:val="1BD0795C"/>
    <w:lvl w:ilvl="0" w:tplc="79A8C800">
      <w:start w:val="1"/>
      <w:numFmt w:val="decimal"/>
      <w:lvlText w:val="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26D44243"/>
    <w:multiLevelType w:val="hybridMultilevel"/>
    <w:tmpl w:val="2E9459EA"/>
    <w:lvl w:ilvl="0" w:tplc="035C5FD4">
      <w:start w:val="1"/>
      <w:numFmt w:val="decimal"/>
      <w:lvlText w:val="13.%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76A3D44"/>
    <w:multiLevelType w:val="hybridMultilevel"/>
    <w:tmpl w:val="9E909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9">
    <w:nsid w:val="28C009DF"/>
    <w:multiLevelType w:val="hybridMultilevel"/>
    <w:tmpl w:val="E752DE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2ADE3087"/>
    <w:multiLevelType w:val="multilevel"/>
    <w:tmpl w:val="D3785F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nsid w:val="2B0F0EBA"/>
    <w:multiLevelType w:val="hybridMultilevel"/>
    <w:tmpl w:val="9794A932"/>
    <w:lvl w:ilvl="0" w:tplc="6E3692C8">
      <w:start w:val="1"/>
      <w:numFmt w:val="decimal"/>
      <w:lvlText w:val="%1."/>
      <w:lvlJc w:val="left"/>
      <w:pPr>
        <w:tabs>
          <w:tab w:val="num" w:pos="567"/>
        </w:tabs>
        <w:ind w:left="0" w:firstLine="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34">
    <w:nsid w:val="2EEA14E7"/>
    <w:multiLevelType w:val="hybridMultilevel"/>
    <w:tmpl w:val="3FB2F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F5B64AE"/>
    <w:multiLevelType w:val="hybridMultilevel"/>
    <w:tmpl w:val="FB465BA4"/>
    <w:lvl w:ilvl="0" w:tplc="17FC7604">
      <w:start w:val="1"/>
      <w:numFmt w:val="bullet"/>
      <w:lvlText w:val=""/>
      <w:lvlJc w:val="left"/>
      <w:pPr>
        <w:tabs>
          <w:tab w:val="num" w:pos="720"/>
        </w:tabs>
        <w:ind w:left="720" w:hanging="360"/>
      </w:pPr>
      <w:rPr>
        <w:rFonts w:ascii="Symbol" w:hAnsi="Symbol" w:hint="default"/>
        <w:lang w:val="es-ES"/>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31136CF2"/>
    <w:multiLevelType w:val="hybridMultilevel"/>
    <w:tmpl w:val="F9828D0E"/>
    <w:lvl w:ilvl="0" w:tplc="7A84B2F6">
      <w:start w:val="1"/>
      <w:numFmt w:val="decimal"/>
      <w:lvlRestart w:val="0"/>
      <w:lvlText w:val="22.%1."/>
      <w:lvlJc w:val="left"/>
      <w:pPr>
        <w:tabs>
          <w:tab w:val="num" w:pos="692"/>
        </w:tabs>
        <w:ind w:left="6" w:firstLine="0"/>
      </w:pPr>
      <w:rPr>
        <w:rFonts w:ascii="Arial" w:hAnsi="Arial" w:hint="default"/>
        <w:b w:val="0"/>
        <w:bCs/>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38">
    <w:nsid w:val="359C70C3"/>
    <w:multiLevelType w:val="hybridMultilevel"/>
    <w:tmpl w:val="6BA8A470"/>
    <w:lvl w:ilvl="0" w:tplc="BAAC1246">
      <w:start w:val="26"/>
      <w:numFmt w:val="bullet"/>
      <w:lvlText w:val="-"/>
      <w:lvlJc w:val="left"/>
      <w:pPr>
        <w:ind w:left="2138" w:hanging="360"/>
      </w:pPr>
      <w:rPr>
        <w:rFonts w:ascii="Arial" w:eastAsia="SimSun" w:hAnsi="Arial" w:cs="Aria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9">
    <w:nsid w:val="35B069A5"/>
    <w:multiLevelType w:val="hybridMultilevel"/>
    <w:tmpl w:val="40B6D66E"/>
    <w:lvl w:ilvl="0" w:tplc="CC684D3C">
      <w:start w:val="1"/>
      <w:numFmt w:val="lowerRoman"/>
      <w:lvlText w:val="%1)"/>
      <w:lvlJc w:val="left"/>
      <w:pPr>
        <w:ind w:left="1429" w:hanging="720"/>
      </w:pPr>
      <w:rPr>
        <w:rFonts w:hint="default"/>
        <w:color w:val="auto"/>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40">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8DD3D4B"/>
    <w:multiLevelType w:val="multilevel"/>
    <w:tmpl w:val="769CC524"/>
    <w:lvl w:ilvl="0">
      <w:start w:val="8"/>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nsid w:val="38F41C59"/>
    <w:multiLevelType w:val="hybridMultilevel"/>
    <w:tmpl w:val="A0C2C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B0736D2"/>
    <w:multiLevelType w:val="multilevel"/>
    <w:tmpl w:val="555C19E6"/>
    <w:lvl w:ilvl="0">
      <w:start w:val="7"/>
      <w:numFmt w:val="decimal"/>
      <w:lvlText w:val="%1"/>
      <w:lvlJc w:val="left"/>
      <w:pPr>
        <w:ind w:hanging="692"/>
      </w:pPr>
      <w:rPr>
        <w:rFonts w:hint="default"/>
      </w:rPr>
    </w:lvl>
    <w:lvl w:ilvl="1">
      <w:start w:val="1"/>
      <w:numFmt w:val="decimal"/>
      <w:lvlText w:val="%1.%2."/>
      <w:lvlJc w:val="left"/>
      <w:pPr>
        <w:ind w:hanging="692"/>
        <w:jc w:val="right"/>
      </w:pPr>
      <w:rPr>
        <w:rFonts w:ascii="Arial" w:eastAsia="Arial" w:hAnsi="Arial" w:hint="default"/>
        <w:w w:val="100"/>
        <w:position w:val="0"/>
        <w:sz w:val="20"/>
        <w:szCs w:val="20"/>
      </w:rPr>
    </w:lvl>
    <w:lvl w:ilvl="2">
      <w:start w:val="1"/>
      <w:numFmt w:val="lowerRoman"/>
      <w:lvlText w:val="%3)"/>
      <w:lvlJc w:val="left"/>
      <w:pPr>
        <w:ind w:hanging="562"/>
      </w:pPr>
      <w:rPr>
        <w:rFonts w:cs="Times New Roman"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5">
    <w:nsid w:val="3B9C7EF3"/>
    <w:multiLevelType w:val="hybridMultilevel"/>
    <w:tmpl w:val="BE263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C821317"/>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3D03526B"/>
    <w:multiLevelType w:val="hybridMultilevel"/>
    <w:tmpl w:val="7E726122"/>
    <w:lvl w:ilvl="0" w:tplc="83246E14">
      <w:start w:val="1"/>
      <w:numFmt w:val="decimal"/>
      <w:lvlText w:val="2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E8703BF"/>
    <w:multiLevelType w:val="hybridMultilevel"/>
    <w:tmpl w:val="DF60092C"/>
    <w:lvl w:ilvl="0" w:tplc="5144F034">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3EAF0971"/>
    <w:multiLevelType w:val="hybridMultilevel"/>
    <w:tmpl w:val="FD4E56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3FB71A0F"/>
    <w:multiLevelType w:val="hybridMultilevel"/>
    <w:tmpl w:val="EC283824"/>
    <w:lvl w:ilvl="0" w:tplc="C53C0112">
      <w:start w:val="1"/>
      <w:numFmt w:val="decimal"/>
      <w:lvlRestart w:val="0"/>
      <w:lvlText w:val="16.%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410F0D6F"/>
    <w:multiLevelType w:val="hybridMultilevel"/>
    <w:tmpl w:val="98E2BEEE"/>
    <w:lvl w:ilvl="0" w:tplc="C0A656DA">
      <w:start w:val="1"/>
      <w:numFmt w:val="lowerRoman"/>
      <w:lvlText w:val="%1)"/>
      <w:lvlJc w:val="left"/>
      <w:pPr>
        <w:ind w:left="1080" w:hanging="720"/>
      </w:pPr>
      <w:rPr>
        <w:rFonts w:ascii="Arial" w:eastAsiaTheme="minorHAns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3">
    <w:nsid w:val="44DE445F"/>
    <w:multiLevelType w:val="hybridMultilevel"/>
    <w:tmpl w:val="2E92E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56276BB"/>
    <w:multiLevelType w:val="multilevel"/>
    <w:tmpl w:val="8F6C9D52"/>
    <w:lvl w:ilvl="0">
      <w:start w:val="1"/>
      <w:numFmt w:val="decimal"/>
      <w:lvlText w:val="9.%1."/>
      <w:lvlJc w:val="left"/>
      <w:pPr>
        <w:ind w:left="0" w:firstLine="0"/>
      </w:pPr>
      <w:rPr>
        <w:rFonts w:hint="default"/>
        <w:b w:val="0"/>
        <w:sz w:val="20"/>
      </w:rPr>
    </w:lvl>
    <w:lvl w:ilvl="1">
      <w:start w:val="1"/>
      <w:numFmt w:val="none"/>
      <w:lvlText w:val=""/>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49005B30"/>
    <w:multiLevelType w:val="hybridMultilevel"/>
    <w:tmpl w:val="695A2CCC"/>
    <w:lvl w:ilvl="0" w:tplc="00867520">
      <w:start w:val="1"/>
      <w:numFmt w:val="decimal"/>
      <w:lvlText w:val="30.%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49A91F7F"/>
    <w:multiLevelType w:val="hybridMultilevel"/>
    <w:tmpl w:val="A4DACE0E"/>
    <w:lvl w:ilvl="0" w:tplc="732827D4">
      <w:start w:val="1"/>
      <w:numFmt w:val="decimal"/>
      <w:lvlRestart w:val="0"/>
      <w:lvlText w:val="3.%1."/>
      <w:lvlJc w:val="left"/>
      <w:pPr>
        <w:tabs>
          <w:tab w:val="num" w:pos="680"/>
        </w:tabs>
        <w:ind w:left="0" w:firstLine="0"/>
      </w:pPr>
      <w:rPr>
        <w:rFonts w:ascii="Arial" w:hAnsi="Arial" w:cs="Arial" w:hint="default"/>
        <w:b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nsid w:val="4A4034CD"/>
    <w:multiLevelType w:val="hybridMultilevel"/>
    <w:tmpl w:val="C61E1F84"/>
    <w:lvl w:ilvl="0" w:tplc="2E60A370">
      <w:start w:val="1"/>
      <w:numFmt w:val="decimal"/>
      <w:lvlRestart w:val="0"/>
      <w:lvlText w:val="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4A4579BD"/>
    <w:multiLevelType w:val="hybridMultilevel"/>
    <w:tmpl w:val="11123082"/>
    <w:lvl w:ilvl="0" w:tplc="BDB20DE6">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4C5F1D14"/>
    <w:multiLevelType w:val="hybridMultilevel"/>
    <w:tmpl w:val="64B4A4B8"/>
    <w:lvl w:ilvl="0" w:tplc="386031BA">
      <w:start w:val="1"/>
      <w:numFmt w:val="decimal"/>
      <w:lvlRestart w:val="0"/>
      <w:lvlText w:val="31.%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nsid w:val="567C110A"/>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56F411C0"/>
    <w:multiLevelType w:val="hybridMultilevel"/>
    <w:tmpl w:val="F0322F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A232C8B"/>
    <w:multiLevelType w:val="hybridMultilevel"/>
    <w:tmpl w:val="0276A39C"/>
    <w:lvl w:ilvl="0" w:tplc="75FA653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5CB25FBF"/>
    <w:multiLevelType w:val="multilevel"/>
    <w:tmpl w:val="F82A02DC"/>
    <w:lvl w:ilvl="0">
      <w:start w:val="25"/>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nsid w:val="5D3D3D0D"/>
    <w:multiLevelType w:val="hybridMultilevel"/>
    <w:tmpl w:val="7A4297A0"/>
    <w:lvl w:ilvl="0" w:tplc="51185FBE">
      <w:start w:val="1"/>
      <w:numFmt w:val="decimal"/>
      <w:lvlRestart w:val="0"/>
      <w:lvlText w:val="19.%1."/>
      <w:lvlJc w:val="left"/>
      <w:pPr>
        <w:tabs>
          <w:tab w:val="num" w:pos="680"/>
        </w:tabs>
        <w:ind w:left="0" w:firstLine="0"/>
      </w:pPr>
      <w:rPr>
        <w:rFonts w:ascii="Arial" w:hAnsi="Arial" w:hint="default"/>
        <w:color w:val="auto"/>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5E342860"/>
    <w:multiLevelType w:val="hybridMultilevel"/>
    <w:tmpl w:val="98F464D2"/>
    <w:lvl w:ilvl="0" w:tplc="51185FBE">
      <w:start w:val="1"/>
      <w:numFmt w:val="decimal"/>
      <w:lvlRestart w:val="0"/>
      <w:lvlText w:val="1.%1."/>
      <w:lvlJc w:val="left"/>
      <w:pPr>
        <w:tabs>
          <w:tab w:val="num" w:pos="567"/>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62563674"/>
    <w:multiLevelType w:val="hybridMultilevel"/>
    <w:tmpl w:val="50449E1C"/>
    <w:lvl w:ilvl="0" w:tplc="9F8EB1FA">
      <w:start w:val="1"/>
      <w:numFmt w:val="decimal"/>
      <w:lvlText w:val="2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64055856"/>
    <w:multiLevelType w:val="hybridMultilevel"/>
    <w:tmpl w:val="DB529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667A16AF"/>
    <w:multiLevelType w:val="hybridMultilevel"/>
    <w:tmpl w:val="72D277D2"/>
    <w:lvl w:ilvl="0" w:tplc="5EAED6BA">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73">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6D2A2112"/>
    <w:multiLevelType w:val="hybridMultilevel"/>
    <w:tmpl w:val="EDDE20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6F514886"/>
    <w:multiLevelType w:val="hybridMultilevel"/>
    <w:tmpl w:val="39A839DA"/>
    <w:lvl w:ilvl="0" w:tplc="8214C132">
      <w:start w:val="1"/>
      <w:numFmt w:val="decimal"/>
      <w:lvlText w:val="11.%1."/>
      <w:lvlJc w:val="left"/>
      <w:pPr>
        <w:ind w:left="4188" w:hanging="360"/>
      </w:pPr>
      <w:rPr>
        <w:rFonts w:hint="default"/>
      </w:rPr>
    </w:lvl>
    <w:lvl w:ilvl="1" w:tplc="04090019" w:tentative="1">
      <w:start w:val="1"/>
      <w:numFmt w:val="lowerLetter"/>
      <w:lvlText w:val="%2."/>
      <w:lvlJc w:val="left"/>
      <w:pPr>
        <w:ind w:left="4908" w:hanging="360"/>
      </w:pPr>
    </w:lvl>
    <w:lvl w:ilvl="2" w:tplc="0409001B" w:tentative="1">
      <w:start w:val="1"/>
      <w:numFmt w:val="lowerRoman"/>
      <w:lvlText w:val="%3."/>
      <w:lvlJc w:val="right"/>
      <w:pPr>
        <w:ind w:left="5628" w:hanging="180"/>
      </w:pPr>
    </w:lvl>
    <w:lvl w:ilvl="3" w:tplc="0409000F" w:tentative="1">
      <w:start w:val="1"/>
      <w:numFmt w:val="decimal"/>
      <w:lvlText w:val="%4."/>
      <w:lvlJc w:val="left"/>
      <w:pPr>
        <w:ind w:left="6348" w:hanging="360"/>
      </w:pPr>
    </w:lvl>
    <w:lvl w:ilvl="4" w:tplc="04090019" w:tentative="1">
      <w:start w:val="1"/>
      <w:numFmt w:val="lowerLetter"/>
      <w:lvlText w:val="%5."/>
      <w:lvlJc w:val="left"/>
      <w:pPr>
        <w:ind w:left="7068" w:hanging="360"/>
      </w:pPr>
    </w:lvl>
    <w:lvl w:ilvl="5" w:tplc="0409001B" w:tentative="1">
      <w:start w:val="1"/>
      <w:numFmt w:val="lowerRoman"/>
      <w:lvlText w:val="%6."/>
      <w:lvlJc w:val="right"/>
      <w:pPr>
        <w:ind w:left="7788" w:hanging="180"/>
      </w:pPr>
    </w:lvl>
    <w:lvl w:ilvl="6" w:tplc="0409000F" w:tentative="1">
      <w:start w:val="1"/>
      <w:numFmt w:val="decimal"/>
      <w:lvlText w:val="%7."/>
      <w:lvlJc w:val="left"/>
      <w:pPr>
        <w:ind w:left="8508" w:hanging="360"/>
      </w:pPr>
    </w:lvl>
    <w:lvl w:ilvl="7" w:tplc="04090019" w:tentative="1">
      <w:start w:val="1"/>
      <w:numFmt w:val="lowerLetter"/>
      <w:lvlText w:val="%8."/>
      <w:lvlJc w:val="left"/>
      <w:pPr>
        <w:ind w:left="9228" w:hanging="360"/>
      </w:pPr>
    </w:lvl>
    <w:lvl w:ilvl="8" w:tplc="0409001B" w:tentative="1">
      <w:start w:val="1"/>
      <w:numFmt w:val="lowerRoman"/>
      <w:lvlText w:val="%9."/>
      <w:lvlJc w:val="right"/>
      <w:pPr>
        <w:ind w:left="9948" w:hanging="180"/>
      </w:pPr>
    </w:lvl>
  </w:abstractNum>
  <w:abstractNum w:abstractNumId="76">
    <w:nsid w:val="71146A48"/>
    <w:multiLevelType w:val="hybridMultilevel"/>
    <w:tmpl w:val="32DC7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35A0CB6"/>
    <w:multiLevelType w:val="hybridMultilevel"/>
    <w:tmpl w:val="053655DC"/>
    <w:lvl w:ilvl="0" w:tplc="04090001">
      <w:start w:val="1"/>
      <w:numFmt w:val="bullet"/>
      <w:lvlText w:val=""/>
      <w:lvlJc w:val="left"/>
      <w:pPr>
        <w:ind w:left="1800" w:hanging="360"/>
      </w:pPr>
      <w:rPr>
        <w:rFonts w:ascii="Symbol" w:hAnsi="Symbol" w:hint="default"/>
        <w:color w:val="000000"/>
        <w:sz w:val="22"/>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8">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745E1086"/>
    <w:multiLevelType w:val="hybridMultilevel"/>
    <w:tmpl w:val="1D86F986"/>
    <w:lvl w:ilvl="0" w:tplc="83EC8574">
      <w:start w:val="1"/>
      <w:numFmt w:val="decimal"/>
      <w:lvlText w:val="1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81">
    <w:nsid w:val="77850D78"/>
    <w:multiLevelType w:val="hybridMultilevel"/>
    <w:tmpl w:val="87B0E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77E73C2A"/>
    <w:multiLevelType w:val="hybridMultilevel"/>
    <w:tmpl w:val="37426470"/>
    <w:lvl w:ilvl="0" w:tplc="E788FC56">
      <w:start w:val="1"/>
      <w:numFmt w:val="decimal"/>
      <w:lvlText w:val="23.%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nsid w:val="79DE1A8F"/>
    <w:multiLevelType w:val="hybridMultilevel"/>
    <w:tmpl w:val="C9460A80"/>
    <w:lvl w:ilvl="0" w:tplc="2892CBB2">
      <w:start w:val="1"/>
      <w:numFmt w:val="decimal"/>
      <w:lvlRestart w:val="0"/>
      <w:lvlText w:val="20.%1."/>
      <w:lvlJc w:val="left"/>
      <w:pPr>
        <w:tabs>
          <w:tab w:val="num" w:pos="680"/>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7BEA236F"/>
    <w:multiLevelType w:val="hybridMultilevel"/>
    <w:tmpl w:val="B7DC0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7FC21B01"/>
    <w:multiLevelType w:val="hybridMultilevel"/>
    <w:tmpl w:val="82E29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52"/>
  </w:num>
  <w:num w:numId="3">
    <w:abstractNumId w:val="0"/>
  </w:num>
  <w:num w:numId="4">
    <w:abstractNumId w:val="60"/>
  </w:num>
  <w:num w:numId="5">
    <w:abstractNumId w:val="4"/>
  </w:num>
  <w:num w:numId="6">
    <w:abstractNumId w:val="20"/>
  </w:num>
  <w:num w:numId="7">
    <w:abstractNumId w:val="17"/>
  </w:num>
  <w:num w:numId="8">
    <w:abstractNumId w:val="74"/>
  </w:num>
  <w:num w:numId="9">
    <w:abstractNumId w:val="30"/>
  </w:num>
  <w:num w:numId="10">
    <w:abstractNumId w:val="77"/>
  </w:num>
  <w:num w:numId="11">
    <w:abstractNumId w:val="38"/>
  </w:num>
  <w:num w:numId="12">
    <w:abstractNumId w:val="49"/>
  </w:num>
  <w:num w:numId="13">
    <w:abstractNumId w:val="3"/>
  </w:num>
  <w:num w:numId="14">
    <w:abstractNumId w:val="67"/>
  </w:num>
  <w:num w:numId="15">
    <w:abstractNumId w:val="57"/>
  </w:num>
  <w:num w:numId="16">
    <w:abstractNumId w:val="56"/>
  </w:num>
  <w:num w:numId="17">
    <w:abstractNumId w:val="58"/>
  </w:num>
  <w:num w:numId="18">
    <w:abstractNumId w:val="48"/>
  </w:num>
  <w:num w:numId="19">
    <w:abstractNumId w:val="9"/>
  </w:num>
  <w:num w:numId="20">
    <w:abstractNumId w:val="25"/>
  </w:num>
  <w:num w:numId="21">
    <w:abstractNumId w:val="59"/>
  </w:num>
  <w:num w:numId="22">
    <w:abstractNumId w:val="39"/>
  </w:num>
  <w:num w:numId="23">
    <w:abstractNumId w:val="44"/>
  </w:num>
  <w:num w:numId="24">
    <w:abstractNumId w:val="42"/>
  </w:num>
  <w:num w:numId="25">
    <w:abstractNumId w:val="54"/>
  </w:num>
  <w:num w:numId="26">
    <w:abstractNumId w:val="22"/>
  </w:num>
  <w:num w:numId="27">
    <w:abstractNumId w:val="51"/>
  </w:num>
  <w:num w:numId="28">
    <w:abstractNumId w:val="75"/>
  </w:num>
  <w:num w:numId="29">
    <w:abstractNumId w:val="55"/>
  </w:num>
  <w:num w:numId="30">
    <w:abstractNumId w:val="79"/>
  </w:num>
  <w:num w:numId="31">
    <w:abstractNumId w:val="26"/>
  </w:num>
  <w:num w:numId="32">
    <w:abstractNumId w:val="23"/>
  </w:num>
  <w:num w:numId="33">
    <w:abstractNumId w:val="1"/>
  </w:num>
  <w:num w:numId="34">
    <w:abstractNumId w:val="2"/>
  </w:num>
  <w:num w:numId="35">
    <w:abstractNumId w:val="50"/>
  </w:num>
  <w:num w:numId="36">
    <w:abstractNumId w:val="71"/>
  </w:num>
  <w:num w:numId="37">
    <w:abstractNumId w:val="61"/>
  </w:num>
  <w:num w:numId="38">
    <w:abstractNumId w:val="46"/>
  </w:num>
  <w:num w:numId="39">
    <w:abstractNumId w:val="65"/>
  </w:num>
  <w:num w:numId="40">
    <w:abstractNumId w:val="83"/>
  </w:num>
  <w:num w:numId="41">
    <w:abstractNumId w:val="15"/>
  </w:num>
  <w:num w:numId="42">
    <w:abstractNumId w:val="13"/>
  </w:num>
  <w:num w:numId="43">
    <w:abstractNumId w:val="36"/>
  </w:num>
  <w:num w:numId="44">
    <w:abstractNumId w:val="82"/>
  </w:num>
  <w:num w:numId="45">
    <w:abstractNumId w:val="7"/>
  </w:num>
  <w:num w:numId="46">
    <w:abstractNumId w:val="12"/>
  </w:num>
  <w:num w:numId="47">
    <w:abstractNumId w:val="64"/>
  </w:num>
  <w:num w:numId="48">
    <w:abstractNumId w:val="69"/>
  </w:num>
  <w:num w:numId="49">
    <w:abstractNumId w:val="47"/>
  </w:num>
  <w:num w:numId="50">
    <w:abstractNumId w:val="8"/>
  </w:num>
  <w:num w:numId="51">
    <w:abstractNumId w:val="11"/>
  </w:num>
  <w:num w:numId="52">
    <w:abstractNumId w:val="31"/>
  </w:num>
  <w:num w:numId="53">
    <w:abstractNumId w:val="40"/>
  </w:num>
  <w:num w:numId="54">
    <w:abstractNumId w:val="68"/>
  </w:num>
  <w:num w:numId="55">
    <w:abstractNumId w:val="14"/>
  </w:num>
  <w:num w:numId="56">
    <w:abstractNumId w:val="73"/>
  </w:num>
  <w:num w:numId="57">
    <w:abstractNumId w:val="6"/>
  </w:num>
  <w:num w:numId="58">
    <w:abstractNumId w:val="19"/>
  </w:num>
  <w:num w:numId="59">
    <w:abstractNumId w:val="35"/>
  </w:num>
  <w:num w:numId="60">
    <w:abstractNumId w:val="76"/>
  </w:num>
  <w:num w:numId="61">
    <w:abstractNumId w:val="43"/>
  </w:num>
  <w:num w:numId="62">
    <w:abstractNumId w:val="41"/>
  </w:num>
  <w:num w:numId="63">
    <w:abstractNumId w:val="78"/>
  </w:num>
  <w:num w:numId="64">
    <w:abstractNumId w:val="85"/>
  </w:num>
  <w:num w:numId="65">
    <w:abstractNumId w:val="63"/>
  </w:num>
  <w:num w:numId="66">
    <w:abstractNumId w:val="18"/>
  </w:num>
  <w:num w:numId="67">
    <w:abstractNumId w:val="84"/>
  </w:num>
  <w:num w:numId="68">
    <w:abstractNumId w:val="27"/>
  </w:num>
  <w:num w:numId="69">
    <w:abstractNumId w:val="45"/>
  </w:num>
  <w:num w:numId="70">
    <w:abstractNumId w:val="70"/>
  </w:num>
  <w:num w:numId="71">
    <w:abstractNumId w:val="62"/>
  </w:num>
  <w:num w:numId="72">
    <w:abstractNumId w:val="81"/>
  </w:num>
  <w:num w:numId="73">
    <w:abstractNumId w:val="53"/>
  </w:num>
  <w:num w:numId="74">
    <w:abstractNumId w:val="21"/>
  </w:num>
  <w:num w:numId="75">
    <w:abstractNumId w:val="5"/>
  </w:num>
  <w:num w:numId="76">
    <w:abstractNumId w:val="32"/>
  </w:num>
  <w:num w:numId="77">
    <w:abstractNumId w:val="80"/>
  </w:num>
  <w:num w:numId="78">
    <w:abstractNumId w:val="72"/>
  </w:num>
  <w:num w:numId="79">
    <w:abstractNumId w:val="66"/>
  </w:num>
  <w:num w:numId="80">
    <w:abstractNumId w:val="10"/>
  </w:num>
  <w:num w:numId="81">
    <w:abstractNumId w:val="29"/>
  </w:num>
  <w:num w:numId="82">
    <w:abstractNumId w:val="37"/>
  </w:num>
  <w:num w:numId="83">
    <w:abstractNumId w:val="33"/>
  </w:num>
  <w:num w:numId="84">
    <w:abstractNumId w:val="28"/>
  </w:num>
  <w:num w:numId="85">
    <w:abstractNumId w:val="24"/>
  </w:num>
  <w:num w:numId="86">
    <w:abstractNumId w:val="34"/>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12083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3E28"/>
    <w:rsid w:val="0000219A"/>
    <w:rsid w:val="00003B21"/>
    <w:rsid w:val="00010686"/>
    <w:rsid w:val="000124C5"/>
    <w:rsid w:val="00013C21"/>
    <w:rsid w:val="00014788"/>
    <w:rsid w:val="000160D1"/>
    <w:rsid w:val="00020394"/>
    <w:rsid w:val="00025C8D"/>
    <w:rsid w:val="000267B2"/>
    <w:rsid w:val="00027288"/>
    <w:rsid w:val="00037E5E"/>
    <w:rsid w:val="00042939"/>
    <w:rsid w:val="00044170"/>
    <w:rsid w:val="00052915"/>
    <w:rsid w:val="0005447B"/>
    <w:rsid w:val="000650E6"/>
    <w:rsid w:val="00067C99"/>
    <w:rsid w:val="00071638"/>
    <w:rsid w:val="000733CB"/>
    <w:rsid w:val="00077271"/>
    <w:rsid w:val="0008232C"/>
    <w:rsid w:val="000827C6"/>
    <w:rsid w:val="000831C3"/>
    <w:rsid w:val="00083821"/>
    <w:rsid w:val="00084172"/>
    <w:rsid w:val="00085C7B"/>
    <w:rsid w:val="00086E2A"/>
    <w:rsid w:val="00091208"/>
    <w:rsid w:val="00094538"/>
    <w:rsid w:val="00097996"/>
    <w:rsid w:val="000A0481"/>
    <w:rsid w:val="000A7734"/>
    <w:rsid w:val="000B01F1"/>
    <w:rsid w:val="000B3016"/>
    <w:rsid w:val="000B44C5"/>
    <w:rsid w:val="000C09D2"/>
    <w:rsid w:val="000C438B"/>
    <w:rsid w:val="000D153F"/>
    <w:rsid w:val="000D1D33"/>
    <w:rsid w:val="000D72F6"/>
    <w:rsid w:val="000E03B1"/>
    <w:rsid w:val="000E073C"/>
    <w:rsid w:val="000E21BB"/>
    <w:rsid w:val="000E2CFF"/>
    <w:rsid w:val="000E3BB3"/>
    <w:rsid w:val="000E61DB"/>
    <w:rsid w:val="000E740E"/>
    <w:rsid w:val="000F0050"/>
    <w:rsid w:val="000F4331"/>
    <w:rsid w:val="000F5E56"/>
    <w:rsid w:val="0010019E"/>
    <w:rsid w:val="00100C89"/>
    <w:rsid w:val="00102AF5"/>
    <w:rsid w:val="00111CA6"/>
    <w:rsid w:val="00112CCF"/>
    <w:rsid w:val="00115754"/>
    <w:rsid w:val="00115879"/>
    <w:rsid w:val="00122E09"/>
    <w:rsid w:val="00123681"/>
    <w:rsid w:val="00125CDD"/>
    <w:rsid w:val="00126359"/>
    <w:rsid w:val="00130414"/>
    <w:rsid w:val="001316CD"/>
    <w:rsid w:val="001335FC"/>
    <w:rsid w:val="001362EE"/>
    <w:rsid w:val="00146E3A"/>
    <w:rsid w:val="00146FE9"/>
    <w:rsid w:val="00147560"/>
    <w:rsid w:val="0015093B"/>
    <w:rsid w:val="00150F07"/>
    <w:rsid w:val="00150FA5"/>
    <w:rsid w:val="00152CEA"/>
    <w:rsid w:val="0015313F"/>
    <w:rsid w:val="00155092"/>
    <w:rsid w:val="0016283D"/>
    <w:rsid w:val="00162F59"/>
    <w:rsid w:val="00166352"/>
    <w:rsid w:val="00171714"/>
    <w:rsid w:val="00171EF4"/>
    <w:rsid w:val="00172953"/>
    <w:rsid w:val="001744A9"/>
    <w:rsid w:val="00177320"/>
    <w:rsid w:val="00177522"/>
    <w:rsid w:val="001832A6"/>
    <w:rsid w:val="001840FB"/>
    <w:rsid w:val="001914A4"/>
    <w:rsid w:val="001916EF"/>
    <w:rsid w:val="001949C9"/>
    <w:rsid w:val="001A551C"/>
    <w:rsid w:val="001B0506"/>
    <w:rsid w:val="001B0668"/>
    <w:rsid w:val="001B2FBB"/>
    <w:rsid w:val="001C0654"/>
    <w:rsid w:val="001C42F2"/>
    <w:rsid w:val="001C5117"/>
    <w:rsid w:val="001C536D"/>
    <w:rsid w:val="001C77D9"/>
    <w:rsid w:val="001C77E2"/>
    <w:rsid w:val="001D6AA6"/>
    <w:rsid w:val="001D7111"/>
    <w:rsid w:val="001E22AE"/>
    <w:rsid w:val="001E30CF"/>
    <w:rsid w:val="001E4764"/>
    <w:rsid w:val="001E701B"/>
    <w:rsid w:val="001F08EF"/>
    <w:rsid w:val="001F608E"/>
    <w:rsid w:val="001F63E6"/>
    <w:rsid w:val="001F6DC8"/>
    <w:rsid w:val="0020391E"/>
    <w:rsid w:val="00206C29"/>
    <w:rsid w:val="00207108"/>
    <w:rsid w:val="00207B7E"/>
    <w:rsid w:val="00211D12"/>
    <w:rsid w:val="00214894"/>
    <w:rsid w:val="00220D3A"/>
    <w:rsid w:val="00222859"/>
    <w:rsid w:val="002235B4"/>
    <w:rsid w:val="00223D78"/>
    <w:rsid w:val="00230327"/>
    <w:rsid w:val="00230685"/>
    <w:rsid w:val="002333C0"/>
    <w:rsid w:val="0023719B"/>
    <w:rsid w:val="00241BBB"/>
    <w:rsid w:val="00243548"/>
    <w:rsid w:val="00244241"/>
    <w:rsid w:val="00245CAF"/>
    <w:rsid w:val="002471B4"/>
    <w:rsid w:val="00250BC6"/>
    <w:rsid w:val="0025311B"/>
    <w:rsid w:val="00253813"/>
    <w:rsid w:val="00254709"/>
    <w:rsid w:val="0025474A"/>
    <w:rsid w:val="0026052C"/>
    <w:rsid w:val="0026220F"/>
    <w:rsid w:val="002634C4"/>
    <w:rsid w:val="00267EBE"/>
    <w:rsid w:val="00271D3A"/>
    <w:rsid w:val="00272D37"/>
    <w:rsid w:val="002742EB"/>
    <w:rsid w:val="00276CE8"/>
    <w:rsid w:val="00276D33"/>
    <w:rsid w:val="002820CE"/>
    <w:rsid w:val="002833AD"/>
    <w:rsid w:val="002846CF"/>
    <w:rsid w:val="0028472C"/>
    <w:rsid w:val="00290055"/>
    <w:rsid w:val="002908DF"/>
    <w:rsid w:val="00291B9D"/>
    <w:rsid w:val="00295415"/>
    <w:rsid w:val="002976D3"/>
    <w:rsid w:val="002A0E5F"/>
    <w:rsid w:val="002C23BA"/>
    <w:rsid w:val="002C4249"/>
    <w:rsid w:val="002C551C"/>
    <w:rsid w:val="002C7B29"/>
    <w:rsid w:val="002D0E6B"/>
    <w:rsid w:val="002E0669"/>
    <w:rsid w:val="002E0F47"/>
    <w:rsid w:val="002E12B3"/>
    <w:rsid w:val="002E2404"/>
    <w:rsid w:val="002E2F34"/>
    <w:rsid w:val="002E3E28"/>
    <w:rsid w:val="002E578C"/>
    <w:rsid w:val="002F1327"/>
    <w:rsid w:val="002F4E68"/>
    <w:rsid w:val="002F6B1E"/>
    <w:rsid w:val="002F7400"/>
    <w:rsid w:val="00303FD9"/>
    <w:rsid w:val="0031429F"/>
    <w:rsid w:val="0031788B"/>
    <w:rsid w:val="0032233B"/>
    <w:rsid w:val="003227E7"/>
    <w:rsid w:val="00324B68"/>
    <w:rsid w:val="003302C6"/>
    <w:rsid w:val="00331385"/>
    <w:rsid w:val="00336FF1"/>
    <w:rsid w:val="00340C4D"/>
    <w:rsid w:val="003411CE"/>
    <w:rsid w:val="00342AAA"/>
    <w:rsid w:val="003463B5"/>
    <w:rsid w:val="0035057D"/>
    <w:rsid w:val="00350611"/>
    <w:rsid w:val="00353C41"/>
    <w:rsid w:val="00354647"/>
    <w:rsid w:val="0037163B"/>
    <w:rsid w:val="00372D5D"/>
    <w:rsid w:val="00373200"/>
    <w:rsid w:val="00374E14"/>
    <w:rsid w:val="003768A9"/>
    <w:rsid w:val="00377273"/>
    <w:rsid w:val="003845C1"/>
    <w:rsid w:val="00387230"/>
    <w:rsid w:val="00387287"/>
    <w:rsid w:val="003959A6"/>
    <w:rsid w:val="003A5E3D"/>
    <w:rsid w:val="003A64FB"/>
    <w:rsid w:val="003B0DF0"/>
    <w:rsid w:val="003B4601"/>
    <w:rsid w:val="003B53E3"/>
    <w:rsid w:val="003B58BA"/>
    <w:rsid w:val="003B5F3A"/>
    <w:rsid w:val="003B754B"/>
    <w:rsid w:val="003B7808"/>
    <w:rsid w:val="003B79C7"/>
    <w:rsid w:val="003C14CD"/>
    <w:rsid w:val="003C4B08"/>
    <w:rsid w:val="003D2CE5"/>
    <w:rsid w:val="003D2EFE"/>
    <w:rsid w:val="003D4434"/>
    <w:rsid w:val="003D46E3"/>
    <w:rsid w:val="003D53A9"/>
    <w:rsid w:val="003D5946"/>
    <w:rsid w:val="003D70DF"/>
    <w:rsid w:val="003D73BE"/>
    <w:rsid w:val="003E0119"/>
    <w:rsid w:val="003E466F"/>
    <w:rsid w:val="003E48F1"/>
    <w:rsid w:val="003E6776"/>
    <w:rsid w:val="003E6D67"/>
    <w:rsid w:val="003F0A8C"/>
    <w:rsid w:val="003F17D8"/>
    <w:rsid w:val="003F347A"/>
    <w:rsid w:val="003F46BE"/>
    <w:rsid w:val="003F76B4"/>
    <w:rsid w:val="00400FAC"/>
    <w:rsid w:val="00403B64"/>
    <w:rsid w:val="00404978"/>
    <w:rsid w:val="00404CF4"/>
    <w:rsid w:val="004055E5"/>
    <w:rsid w:val="0041456A"/>
    <w:rsid w:val="0041743A"/>
    <w:rsid w:val="00423E3E"/>
    <w:rsid w:val="004252B2"/>
    <w:rsid w:val="0042698A"/>
    <w:rsid w:val="00426D53"/>
    <w:rsid w:val="00427AF4"/>
    <w:rsid w:val="00434A47"/>
    <w:rsid w:val="00435504"/>
    <w:rsid w:val="00440E91"/>
    <w:rsid w:val="00442004"/>
    <w:rsid w:val="0044351D"/>
    <w:rsid w:val="00444397"/>
    <w:rsid w:val="00446960"/>
    <w:rsid w:val="00446D89"/>
    <w:rsid w:val="0045231F"/>
    <w:rsid w:val="004647DA"/>
    <w:rsid w:val="00473C96"/>
    <w:rsid w:val="004771AC"/>
    <w:rsid w:val="00477808"/>
    <w:rsid w:val="00477D6B"/>
    <w:rsid w:val="00483C77"/>
    <w:rsid w:val="004902A2"/>
    <w:rsid w:val="0049229A"/>
    <w:rsid w:val="004974AC"/>
    <w:rsid w:val="00497DA7"/>
    <w:rsid w:val="004A6C37"/>
    <w:rsid w:val="004B02F2"/>
    <w:rsid w:val="004B1FA8"/>
    <w:rsid w:val="004B302D"/>
    <w:rsid w:val="004B371E"/>
    <w:rsid w:val="004B4FB0"/>
    <w:rsid w:val="004B5B96"/>
    <w:rsid w:val="004B6D01"/>
    <w:rsid w:val="004C05E1"/>
    <w:rsid w:val="004C14C4"/>
    <w:rsid w:val="004C4F1A"/>
    <w:rsid w:val="004C5044"/>
    <w:rsid w:val="004D5B05"/>
    <w:rsid w:val="004E297D"/>
    <w:rsid w:val="004E3E19"/>
    <w:rsid w:val="004E7955"/>
    <w:rsid w:val="004F01A1"/>
    <w:rsid w:val="004F3E8F"/>
    <w:rsid w:val="004F590E"/>
    <w:rsid w:val="004F79D7"/>
    <w:rsid w:val="005012AC"/>
    <w:rsid w:val="00504BC8"/>
    <w:rsid w:val="005101AB"/>
    <w:rsid w:val="00510672"/>
    <w:rsid w:val="005109ED"/>
    <w:rsid w:val="0051240D"/>
    <w:rsid w:val="0051271B"/>
    <w:rsid w:val="005131C2"/>
    <w:rsid w:val="0051477B"/>
    <w:rsid w:val="005151CB"/>
    <w:rsid w:val="00523279"/>
    <w:rsid w:val="005251B8"/>
    <w:rsid w:val="0052708D"/>
    <w:rsid w:val="00530FE6"/>
    <w:rsid w:val="00531FF2"/>
    <w:rsid w:val="00532020"/>
    <w:rsid w:val="00532057"/>
    <w:rsid w:val="005332F0"/>
    <w:rsid w:val="00533D8D"/>
    <w:rsid w:val="005354CF"/>
    <w:rsid w:val="005376EA"/>
    <w:rsid w:val="00540685"/>
    <w:rsid w:val="00540A38"/>
    <w:rsid w:val="005460FA"/>
    <w:rsid w:val="00546B32"/>
    <w:rsid w:val="00546F02"/>
    <w:rsid w:val="0055013B"/>
    <w:rsid w:val="00550C8B"/>
    <w:rsid w:val="00553847"/>
    <w:rsid w:val="0056502B"/>
    <w:rsid w:val="00570FF2"/>
    <w:rsid w:val="00571B99"/>
    <w:rsid w:val="00572F9F"/>
    <w:rsid w:val="00580FDD"/>
    <w:rsid w:val="005843E3"/>
    <w:rsid w:val="005B1060"/>
    <w:rsid w:val="005B1F64"/>
    <w:rsid w:val="005B3FF4"/>
    <w:rsid w:val="005B48BE"/>
    <w:rsid w:val="005B580B"/>
    <w:rsid w:val="005D0358"/>
    <w:rsid w:val="005D2BC6"/>
    <w:rsid w:val="005D524D"/>
    <w:rsid w:val="005D7081"/>
    <w:rsid w:val="005E2929"/>
    <w:rsid w:val="005E6EE7"/>
    <w:rsid w:val="00601A3B"/>
    <w:rsid w:val="00602252"/>
    <w:rsid w:val="0060377B"/>
    <w:rsid w:val="006038F1"/>
    <w:rsid w:val="00604E62"/>
    <w:rsid w:val="00605827"/>
    <w:rsid w:val="0061055C"/>
    <w:rsid w:val="006105F6"/>
    <w:rsid w:val="006141A4"/>
    <w:rsid w:val="0061608B"/>
    <w:rsid w:val="006205FC"/>
    <w:rsid w:val="00624F1C"/>
    <w:rsid w:val="0062624E"/>
    <w:rsid w:val="006346EF"/>
    <w:rsid w:val="006348AA"/>
    <w:rsid w:val="00636DD6"/>
    <w:rsid w:val="006376BD"/>
    <w:rsid w:val="00640B5E"/>
    <w:rsid w:val="00640D6A"/>
    <w:rsid w:val="006561C8"/>
    <w:rsid w:val="006561F7"/>
    <w:rsid w:val="00662D9E"/>
    <w:rsid w:val="00664A79"/>
    <w:rsid w:val="0066536D"/>
    <w:rsid w:val="006719E9"/>
    <w:rsid w:val="00675021"/>
    <w:rsid w:val="00683BA2"/>
    <w:rsid w:val="00685F71"/>
    <w:rsid w:val="00691624"/>
    <w:rsid w:val="00696AF1"/>
    <w:rsid w:val="006A06C6"/>
    <w:rsid w:val="006A1438"/>
    <w:rsid w:val="006A1E3C"/>
    <w:rsid w:val="006A36C0"/>
    <w:rsid w:val="006A3CA4"/>
    <w:rsid w:val="006B2538"/>
    <w:rsid w:val="006B2A19"/>
    <w:rsid w:val="006B46F5"/>
    <w:rsid w:val="006B63C7"/>
    <w:rsid w:val="006C23D5"/>
    <w:rsid w:val="006C2BFB"/>
    <w:rsid w:val="006C4775"/>
    <w:rsid w:val="006D0FAC"/>
    <w:rsid w:val="006E1F57"/>
    <w:rsid w:val="006E36FB"/>
    <w:rsid w:val="006E3AAB"/>
    <w:rsid w:val="006F2F5E"/>
    <w:rsid w:val="006F39F7"/>
    <w:rsid w:val="006F6B72"/>
    <w:rsid w:val="00705810"/>
    <w:rsid w:val="00713077"/>
    <w:rsid w:val="00714766"/>
    <w:rsid w:val="00714E8E"/>
    <w:rsid w:val="007224C8"/>
    <w:rsid w:val="00727FF6"/>
    <w:rsid w:val="00736AC4"/>
    <w:rsid w:val="007378C1"/>
    <w:rsid w:val="00737978"/>
    <w:rsid w:val="00740337"/>
    <w:rsid w:val="00740F1F"/>
    <w:rsid w:val="0074205B"/>
    <w:rsid w:val="00742732"/>
    <w:rsid w:val="00743840"/>
    <w:rsid w:val="00743D4A"/>
    <w:rsid w:val="0074473B"/>
    <w:rsid w:val="00746B2C"/>
    <w:rsid w:val="00747BF7"/>
    <w:rsid w:val="00750A49"/>
    <w:rsid w:val="007530DD"/>
    <w:rsid w:val="00756414"/>
    <w:rsid w:val="00757C09"/>
    <w:rsid w:val="007659FF"/>
    <w:rsid w:val="00775FAA"/>
    <w:rsid w:val="0077661E"/>
    <w:rsid w:val="00781224"/>
    <w:rsid w:val="00783702"/>
    <w:rsid w:val="007855B2"/>
    <w:rsid w:val="0079353A"/>
    <w:rsid w:val="00794BE2"/>
    <w:rsid w:val="007954E3"/>
    <w:rsid w:val="0079687E"/>
    <w:rsid w:val="007A557B"/>
    <w:rsid w:val="007A7915"/>
    <w:rsid w:val="007B2125"/>
    <w:rsid w:val="007B412B"/>
    <w:rsid w:val="007B4F5B"/>
    <w:rsid w:val="007B71FE"/>
    <w:rsid w:val="007C0516"/>
    <w:rsid w:val="007C54AC"/>
    <w:rsid w:val="007C679A"/>
    <w:rsid w:val="007D781E"/>
    <w:rsid w:val="007D7911"/>
    <w:rsid w:val="007E09B2"/>
    <w:rsid w:val="007E5EE2"/>
    <w:rsid w:val="007E663E"/>
    <w:rsid w:val="007E7189"/>
    <w:rsid w:val="007F0AB4"/>
    <w:rsid w:val="007F345A"/>
    <w:rsid w:val="007F6A26"/>
    <w:rsid w:val="00801092"/>
    <w:rsid w:val="0080389A"/>
    <w:rsid w:val="00803935"/>
    <w:rsid w:val="0080529E"/>
    <w:rsid w:val="00810833"/>
    <w:rsid w:val="00810964"/>
    <w:rsid w:val="00810B44"/>
    <w:rsid w:val="00814C7F"/>
    <w:rsid w:val="00815082"/>
    <w:rsid w:val="008178E1"/>
    <w:rsid w:val="00822543"/>
    <w:rsid w:val="008245AE"/>
    <w:rsid w:val="008309BC"/>
    <w:rsid w:val="00835617"/>
    <w:rsid w:val="00835A8E"/>
    <w:rsid w:val="00835B2E"/>
    <w:rsid w:val="00840700"/>
    <w:rsid w:val="00841227"/>
    <w:rsid w:val="0084332F"/>
    <w:rsid w:val="0084503F"/>
    <w:rsid w:val="00850C40"/>
    <w:rsid w:val="00855BC9"/>
    <w:rsid w:val="00855C3A"/>
    <w:rsid w:val="008616DD"/>
    <w:rsid w:val="00863578"/>
    <w:rsid w:val="00863764"/>
    <w:rsid w:val="00870079"/>
    <w:rsid w:val="0087305A"/>
    <w:rsid w:val="00873DF1"/>
    <w:rsid w:val="00875C38"/>
    <w:rsid w:val="0087732D"/>
    <w:rsid w:val="0088087D"/>
    <w:rsid w:val="0088192C"/>
    <w:rsid w:val="0088395E"/>
    <w:rsid w:val="00892617"/>
    <w:rsid w:val="00892EA5"/>
    <w:rsid w:val="008A1CA6"/>
    <w:rsid w:val="008A366C"/>
    <w:rsid w:val="008A49C4"/>
    <w:rsid w:val="008B2CC1"/>
    <w:rsid w:val="008B4061"/>
    <w:rsid w:val="008B4DB8"/>
    <w:rsid w:val="008B57C1"/>
    <w:rsid w:val="008B59C6"/>
    <w:rsid w:val="008B6455"/>
    <w:rsid w:val="008C3520"/>
    <w:rsid w:val="008C3B9A"/>
    <w:rsid w:val="008C5583"/>
    <w:rsid w:val="008C5F94"/>
    <w:rsid w:val="008D0192"/>
    <w:rsid w:val="008D2EB6"/>
    <w:rsid w:val="008E3147"/>
    <w:rsid w:val="008E6BD6"/>
    <w:rsid w:val="008E6FDE"/>
    <w:rsid w:val="008E745B"/>
    <w:rsid w:val="008F3F6F"/>
    <w:rsid w:val="008F69B8"/>
    <w:rsid w:val="00904569"/>
    <w:rsid w:val="00906DF3"/>
    <w:rsid w:val="0090731E"/>
    <w:rsid w:val="00910037"/>
    <w:rsid w:val="009121C1"/>
    <w:rsid w:val="0091739D"/>
    <w:rsid w:val="009200D8"/>
    <w:rsid w:val="00924611"/>
    <w:rsid w:val="009309A0"/>
    <w:rsid w:val="00931A32"/>
    <w:rsid w:val="00932EC2"/>
    <w:rsid w:val="00941870"/>
    <w:rsid w:val="00946521"/>
    <w:rsid w:val="00947358"/>
    <w:rsid w:val="009572EA"/>
    <w:rsid w:val="00962A97"/>
    <w:rsid w:val="0096398C"/>
    <w:rsid w:val="00966A22"/>
    <w:rsid w:val="00972F03"/>
    <w:rsid w:val="00974FCC"/>
    <w:rsid w:val="009817C4"/>
    <w:rsid w:val="00983325"/>
    <w:rsid w:val="00984EFC"/>
    <w:rsid w:val="00987F62"/>
    <w:rsid w:val="00990DBC"/>
    <w:rsid w:val="00991069"/>
    <w:rsid w:val="00993B51"/>
    <w:rsid w:val="00995192"/>
    <w:rsid w:val="00995B30"/>
    <w:rsid w:val="009A0C8B"/>
    <w:rsid w:val="009A0CA2"/>
    <w:rsid w:val="009A0E7D"/>
    <w:rsid w:val="009A11F1"/>
    <w:rsid w:val="009A610E"/>
    <w:rsid w:val="009B12B3"/>
    <w:rsid w:val="009B3DE5"/>
    <w:rsid w:val="009B5944"/>
    <w:rsid w:val="009B6241"/>
    <w:rsid w:val="009B7558"/>
    <w:rsid w:val="009C0A28"/>
    <w:rsid w:val="009C12F8"/>
    <w:rsid w:val="009C2D2A"/>
    <w:rsid w:val="009C5E03"/>
    <w:rsid w:val="009C6B48"/>
    <w:rsid w:val="009D11D1"/>
    <w:rsid w:val="009D26E1"/>
    <w:rsid w:val="009D2B34"/>
    <w:rsid w:val="009D5C8D"/>
    <w:rsid w:val="009E0F69"/>
    <w:rsid w:val="009E0FFC"/>
    <w:rsid w:val="009E3E00"/>
    <w:rsid w:val="009E58E8"/>
    <w:rsid w:val="009F1BC7"/>
    <w:rsid w:val="00A021EC"/>
    <w:rsid w:val="00A040DB"/>
    <w:rsid w:val="00A065F4"/>
    <w:rsid w:val="00A10081"/>
    <w:rsid w:val="00A16FC0"/>
    <w:rsid w:val="00A22ABF"/>
    <w:rsid w:val="00A27770"/>
    <w:rsid w:val="00A32C9E"/>
    <w:rsid w:val="00A339B4"/>
    <w:rsid w:val="00A371EF"/>
    <w:rsid w:val="00A441A3"/>
    <w:rsid w:val="00A45432"/>
    <w:rsid w:val="00A47448"/>
    <w:rsid w:val="00A5378F"/>
    <w:rsid w:val="00A53F11"/>
    <w:rsid w:val="00A55208"/>
    <w:rsid w:val="00A55FC5"/>
    <w:rsid w:val="00A63F20"/>
    <w:rsid w:val="00A65614"/>
    <w:rsid w:val="00A669CA"/>
    <w:rsid w:val="00A714D4"/>
    <w:rsid w:val="00A71FE7"/>
    <w:rsid w:val="00A750F3"/>
    <w:rsid w:val="00A760EA"/>
    <w:rsid w:val="00A7655F"/>
    <w:rsid w:val="00A77C9A"/>
    <w:rsid w:val="00A77E09"/>
    <w:rsid w:val="00A82DEC"/>
    <w:rsid w:val="00A9080E"/>
    <w:rsid w:val="00A94E7D"/>
    <w:rsid w:val="00A953A2"/>
    <w:rsid w:val="00AA0351"/>
    <w:rsid w:val="00AA2152"/>
    <w:rsid w:val="00AA43B6"/>
    <w:rsid w:val="00AB2407"/>
    <w:rsid w:val="00AB613D"/>
    <w:rsid w:val="00AC50B8"/>
    <w:rsid w:val="00AC5C67"/>
    <w:rsid w:val="00AD1FD7"/>
    <w:rsid w:val="00AD3267"/>
    <w:rsid w:val="00AD5AC5"/>
    <w:rsid w:val="00AE0E58"/>
    <w:rsid w:val="00AE2CFF"/>
    <w:rsid w:val="00AE426F"/>
    <w:rsid w:val="00AE7A1F"/>
    <w:rsid w:val="00AE7F20"/>
    <w:rsid w:val="00AE7F26"/>
    <w:rsid w:val="00AF23F9"/>
    <w:rsid w:val="00B0119F"/>
    <w:rsid w:val="00B04E4B"/>
    <w:rsid w:val="00B1269E"/>
    <w:rsid w:val="00B16DE0"/>
    <w:rsid w:val="00B2103B"/>
    <w:rsid w:val="00B224EF"/>
    <w:rsid w:val="00B36C9B"/>
    <w:rsid w:val="00B36ED0"/>
    <w:rsid w:val="00B37E9B"/>
    <w:rsid w:val="00B40BEB"/>
    <w:rsid w:val="00B43107"/>
    <w:rsid w:val="00B45F6B"/>
    <w:rsid w:val="00B51FDD"/>
    <w:rsid w:val="00B53C80"/>
    <w:rsid w:val="00B55A86"/>
    <w:rsid w:val="00B61B68"/>
    <w:rsid w:val="00B62209"/>
    <w:rsid w:val="00B62686"/>
    <w:rsid w:val="00B65A0A"/>
    <w:rsid w:val="00B6701D"/>
    <w:rsid w:val="00B67CDC"/>
    <w:rsid w:val="00B72D36"/>
    <w:rsid w:val="00B74100"/>
    <w:rsid w:val="00B8795A"/>
    <w:rsid w:val="00B90226"/>
    <w:rsid w:val="00B91526"/>
    <w:rsid w:val="00B9182C"/>
    <w:rsid w:val="00B95EEC"/>
    <w:rsid w:val="00B972F6"/>
    <w:rsid w:val="00BA0889"/>
    <w:rsid w:val="00BA1546"/>
    <w:rsid w:val="00BA3325"/>
    <w:rsid w:val="00BA57D4"/>
    <w:rsid w:val="00BA58A3"/>
    <w:rsid w:val="00BB3049"/>
    <w:rsid w:val="00BB4E31"/>
    <w:rsid w:val="00BB5FAF"/>
    <w:rsid w:val="00BB705E"/>
    <w:rsid w:val="00BC4164"/>
    <w:rsid w:val="00BC4BF1"/>
    <w:rsid w:val="00BC5F8F"/>
    <w:rsid w:val="00BD0A0B"/>
    <w:rsid w:val="00BD2DCC"/>
    <w:rsid w:val="00BD4275"/>
    <w:rsid w:val="00BE5784"/>
    <w:rsid w:val="00BE6047"/>
    <w:rsid w:val="00BE73E8"/>
    <w:rsid w:val="00BE77EA"/>
    <w:rsid w:val="00BE7B0B"/>
    <w:rsid w:val="00BF3246"/>
    <w:rsid w:val="00BF3A4A"/>
    <w:rsid w:val="00BF4D0F"/>
    <w:rsid w:val="00BF536B"/>
    <w:rsid w:val="00BF5CF4"/>
    <w:rsid w:val="00C1052E"/>
    <w:rsid w:val="00C12506"/>
    <w:rsid w:val="00C12F15"/>
    <w:rsid w:val="00C155C9"/>
    <w:rsid w:val="00C24B14"/>
    <w:rsid w:val="00C3526B"/>
    <w:rsid w:val="00C35C71"/>
    <w:rsid w:val="00C36A29"/>
    <w:rsid w:val="00C37CCD"/>
    <w:rsid w:val="00C413C9"/>
    <w:rsid w:val="00C47CC3"/>
    <w:rsid w:val="00C54904"/>
    <w:rsid w:val="00C57CE4"/>
    <w:rsid w:val="00C6366D"/>
    <w:rsid w:val="00C644DC"/>
    <w:rsid w:val="00C74E58"/>
    <w:rsid w:val="00C750A5"/>
    <w:rsid w:val="00C7553F"/>
    <w:rsid w:val="00C75BF9"/>
    <w:rsid w:val="00C82EDD"/>
    <w:rsid w:val="00C8341F"/>
    <w:rsid w:val="00C84458"/>
    <w:rsid w:val="00C87E1F"/>
    <w:rsid w:val="00C90559"/>
    <w:rsid w:val="00C97161"/>
    <w:rsid w:val="00C97D8A"/>
    <w:rsid w:val="00CA145E"/>
    <w:rsid w:val="00CA1B43"/>
    <w:rsid w:val="00CA2251"/>
    <w:rsid w:val="00CA4E6C"/>
    <w:rsid w:val="00CA6C5E"/>
    <w:rsid w:val="00CB2AAF"/>
    <w:rsid w:val="00CD363C"/>
    <w:rsid w:val="00CD54ED"/>
    <w:rsid w:val="00CD5F30"/>
    <w:rsid w:val="00CD6880"/>
    <w:rsid w:val="00CD722F"/>
    <w:rsid w:val="00CE0801"/>
    <w:rsid w:val="00CE0A60"/>
    <w:rsid w:val="00CE106D"/>
    <w:rsid w:val="00CE4183"/>
    <w:rsid w:val="00CE5677"/>
    <w:rsid w:val="00CE5745"/>
    <w:rsid w:val="00CF18C3"/>
    <w:rsid w:val="00CF3566"/>
    <w:rsid w:val="00CF5327"/>
    <w:rsid w:val="00CF552A"/>
    <w:rsid w:val="00D02B11"/>
    <w:rsid w:val="00D057FB"/>
    <w:rsid w:val="00D06A71"/>
    <w:rsid w:val="00D06C6A"/>
    <w:rsid w:val="00D15986"/>
    <w:rsid w:val="00D20CE0"/>
    <w:rsid w:val="00D23F8D"/>
    <w:rsid w:val="00D26095"/>
    <w:rsid w:val="00D30DC7"/>
    <w:rsid w:val="00D323ED"/>
    <w:rsid w:val="00D332C7"/>
    <w:rsid w:val="00D36C61"/>
    <w:rsid w:val="00D37C04"/>
    <w:rsid w:val="00D446FA"/>
    <w:rsid w:val="00D455EB"/>
    <w:rsid w:val="00D463D6"/>
    <w:rsid w:val="00D512DB"/>
    <w:rsid w:val="00D56677"/>
    <w:rsid w:val="00D56B8F"/>
    <w:rsid w:val="00D56C7C"/>
    <w:rsid w:val="00D603D7"/>
    <w:rsid w:val="00D609BF"/>
    <w:rsid w:val="00D71B4D"/>
    <w:rsid w:val="00D72D2B"/>
    <w:rsid w:val="00D74262"/>
    <w:rsid w:val="00D76F71"/>
    <w:rsid w:val="00D770B4"/>
    <w:rsid w:val="00D77D77"/>
    <w:rsid w:val="00D842AD"/>
    <w:rsid w:val="00D8453F"/>
    <w:rsid w:val="00D90289"/>
    <w:rsid w:val="00D93D55"/>
    <w:rsid w:val="00D95E7D"/>
    <w:rsid w:val="00DA0A15"/>
    <w:rsid w:val="00DA0EB0"/>
    <w:rsid w:val="00DA24D6"/>
    <w:rsid w:val="00DA31CA"/>
    <w:rsid w:val="00DA34AE"/>
    <w:rsid w:val="00DA3EED"/>
    <w:rsid w:val="00DA4879"/>
    <w:rsid w:val="00DA5DA3"/>
    <w:rsid w:val="00DA7713"/>
    <w:rsid w:val="00DA7754"/>
    <w:rsid w:val="00DA7A75"/>
    <w:rsid w:val="00DB0150"/>
    <w:rsid w:val="00DB14B1"/>
    <w:rsid w:val="00DB2A74"/>
    <w:rsid w:val="00DB3008"/>
    <w:rsid w:val="00DB7566"/>
    <w:rsid w:val="00DC3B9F"/>
    <w:rsid w:val="00DC481A"/>
    <w:rsid w:val="00DC4C60"/>
    <w:rsid w:val="00DD333A"/>
    <w:rsid w:val="00DE0A62"/>
    <w:rsid w:val="00DE4A6F"/>
    <w:rsid w:val="00DE56AC"/>
    <w:rsid w:val="00DF0438"/>
    <w:rsid w:val="00DF7167"/>
    <w:rsid w:val="00DF7339"/>
    <w:rsid w:val="00E0079A"/>
    <w:rsid w:val="00E0093C"/>
    <w:rsid w:val="00E02444"/>
    <w:rsid w:val="00E036E7"/>
    <w:rsid w:val="00E05E1F"/>
    <w:rsid w:val="00E11325"/>
    <w:rsid w:val="00E11D26"/>
    <w:rsid w:val="00E12F14"/>
    <w:rsid w:val="00E22F01"/>
    <w:rsid w:val="00E316DE"/>
    <w:rsid w:val="00E362B6"/>
    <w:rsid w:val="00E37FED"/>
    <w:rsid w:val="00E40C7C"/>
    <w:rsid w:val="00E442BF"/>
    <w:rsid w:val="00E444DA"/>
    <w:rsid w:val="00E45C84"/>
    <w:rsid w:val="00E504E5"/>
    <w:rsid w:val="00E55948"/>
    <w:rsid w:val="00E61383"/>
    <w:rsid w:val="00E61A24"/>
    <w:rsid w:val="00E61CA1"/>
    <w:rsid w:val="00E71A7C"/>
    <w:rsid w:val="00E74047"/>
    <w:rsid w:val="00E757F4"/>
    <w:rsid w:val="00E83628"/>
    <w:rsid w:val="00E87A92"/>
    <w:rsid w:val="00E90DA7"/>
    <w:rsid w:val="00E924AF"/>
    <w:rsid w:val="00E95213"/>
    <w:rsid w:val="00E95A09"/>
    <w:rsid w:val="00EA2603"/>
    <w:rsid w:val="00EA32E6"/>
    <w:rsid w:val="00EA7557"/>
    <w:rsid w:val="00EB06D0"/>
    <w:rsid w:val="00EB667A"/>
    <w:rsid w:val="00EB7A3E"/>
    <w:rsid w:val="00EC401A"/>
    <w:rsid w:val="00EC59E2"/>
    <w:rsid w:val="00ED0A05"/>
    <w:rsid w:val="00ED369F"/>
    <w:rsid w:val="00ED6167"/>
    <w:rsid w:val="00ED693D"/>
    <w:rsid w:val="00EE0781"/>
    <w:rsid w:val="00EE0981"/>
    <w:rsid w:val="00EE44E7"/>
    <w:rsid w:val="00EE73F4"/>
    <w:rsid w:val="00EF23F5"/>
    <w:rsid w:val="00EF530A"/>
    <w:rsid w:val="00EF5C0E"/>
    <w:rsid w:val="00EF6622"/>
    <w:rsid w:val="00F00D2E"/>
    <w:rsid w:val="00F01A74"/>
    <w:rsid w:val="00F0769B"/>
    <w:rsid w:val="00F103E9"/>
    <w:rsid w:val="00F12627"/>
    <w:rsid w:val="00F12B73"/>
    <w:rsid w:val="00F1696F"/>
    <w:rsid w:val="00F210C1"/>
    <w:rsid w:val="00F22DBA"/>
    <w:rsid w:val="00F32F10"/>
    <w:rsid w:val="00F3466F"/>
    <w:rsid w:val="00F376E1"/>
    <w:rsid w:val="00F4044A"/>
    <w:rsid w:val="00F44421"/>
    <w:rsid w:val="00F4741E"/>
    <w:rsid w:val="00F5102E"/>
    <w:rsid w:val="00F51FA2"/>
    <w:rsid w:val="00F55408"/>
    <w:rsid w:val="00F568EA"/>
    <w:rsid w:val="00F57A93"/>
    <w:rsid w:val="00F60365"/>
    <w:rsid w:val="00F61220"/>
    <w:rsid w:val="00F66152"/>
    <w:rsid w:val="00F668BB"/>
    <w:rsid w:val="00F6717D"/>
    <w:rsid w:val="00F67793"/>
    <w:rsid w:val="00F74B7D"/>
    <w:rsid w:val="00F77CA1"/>
    <w:rsid w:val="00F80845"/>
    <w:rsid w:val="00F8163F"/>
    <w:rsid w:val="00F84474"/>
    <w:rsid w:val="00F922F0"/>
    <w:rsid w:val="00F93C0E"/>
    <w:rsid w:val="00F9567D"/>
    <w:rsid w:val="00FA0F0D"/>
    <w:rsid w:val="00FA196F"/>
    <w:rsid w:val="00FA6741"/>
    <w:rsid w:val="00FB0333"/>
    <w:rsid w:val="00FB2CC2"/>
    <w:rsid w:val="00FB3DF6"/>
    <w:rsid w:val="00FB4478"/>
    <w:rsid w:val="00FB4929"/>
    <w:rsid w:val="00FC3136"/>
    <w:rsid w:val="00FC3704"/>
    <w:rsid w:val="00FC41CE"/>
    <w:rsid w:val="00FD2ABF"/>
    <w:rsid w:val="00FD5088"/>
    <w:rsid w:val="00FD59D1"/>
    <w:rsid w:val="00FE1137"/>
    <w:rsid w:val="00FE556D"/>
    <w:rsid w:val="00FE7DAE"/>
    <w:rsid w:val="00FF0F83"/>
    <w:rsid w:val="00FF1939"/>
    <w:rsid w:val="00FF3EBA"/>
    <w:rsid w:val="00FF5B89"/>
    <w:rsid w:val="00FF75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08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6561C8"/>
    <w:pPr>
      <w:tabs>
        <w:tab w:val="num" w:pos="1008"/>
      </w:tabs>
      <w:spacing w:before="0" w:after="0" w:line="300" w:lineRule="atLeast"/>
      <w:ind w:left="1008" w:hanging="1008"/>
      <w:outlineLvl w:val="4"/>
    </w:pPr>
    <w:rPr>
      <w:rFonts w:asciiTheme="minorHAnsi" w:eastAsia="Times New Roman" w:hAnsiTheme="minorHAnsi" w:cstheme="minorBidi"/>
      <w:b/>
      <w:i w:val="0"/>
      <w:caps/>
      <w:color w:val="3E484E"/>
      <w:szCs w:val="26"/>
      <w:lang w:val="en-GB" w:eastAsia="da-DK"/>
    </w:rPr>
  </w:style>
  <w:style w:type="paragraph" w:styleId="Heading6">
    <w:name w:val="heading 6"/>
    <w:basedOn w:val="Normal"/>
    <w:next w:val="Normal"/>
    <w:link w:val="Heading6Char"/>
    <w:unhideWhenUsed/>
    <w:qFormat/>
    <w:rsid w:val="006561C8"/>
    <w:pPr>
      <w:keepNext/>
      <w:keepLines/>
      <w:spacing w:before="200"/>
      <w:outlineLvl w:val="5"/>
    </w:pPr>
    <w:rPr>
      <w:rFonts w:asciiTheme="majorHAnsi" w:eastAsiaTheme="majorEastAsia" w:hAnsiTheme="majorHAnsi" w:cstheme="majorBidi"/>
      <w:i/>
      <w:iCs/>
      <w:color w:val="243F60" w:themeColor="accent1" w:themeShade="7F"/>
      <w:szCs w:val="22"/>
      <w:lang w:val="en-US" w:eastAsia="ja-JP"/>
    </w:rPr>
  </w:style>
  <w:style w:type="paragraph" w:styleId="Heading7">
    <w:name w:val="heading 7"/>
    <w:basedOn w:val="Heading6"/>
    <w:next w:val="Normal"/>
    <w:link w:val="Heading7Char"/>
    <w:qFormat/>
    <w:rsid w:val="006561C8"/>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6561C8"/>
    <w:pPr>
      <w:keepNext/>
      <w:keepLines/>
      <w:spacing w:before="200"/>
      <w:outlineLvl w:val="7"/>
    </w:pPr>
    <w:rPr>
      <w:rFonts w:asciiTheme="majorHAnsi" w:eastAsiaTheme="majorEastAsia" w:hAnsiTheme="majorHAnsi" w:cstheme="majorBidi"/>
      <w:color w:val="404040" w:themeColor="text1" w:themeTint="BF"/>
      <w:sz w:val="20"/>
      <w:lang w:val="en-US" w:eastAsia="ja-JP"/>
    </w:rPr>
  </w:style>
  <w:style w:type="paragraph" w:styleId="Heading9">
    <w:name w:val="heading 9"/>
    <w:basedOn w:val="Heading8"/>
    <w:next w:val="Normal"/>
    <w:link w:val="Heading9Char"/>
    <w:qFormat/>
    <w:rsid w:val="006561C8"/>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paragraph" w:styleId="BalloonText">
    <w:name w:val="Balloon Text"/>
    <w:basedOn w:val="Normal"/>
    <w:link w:val="BalloonTextChar"/>
    <w:rsid w:val="00743840"/>
    <w:rPr>
      <w:rFonts w:ascii="Tahoma" w:hAnsi="Tahoma" w:cs="Tahoma"/>
      <w:sz w:val="16"/>
      <w:szCs w:val="16"/>
    </w:rPr>
  </w:style>
  <w:style w:type="character" w:customStyle="1" w:styleId="BalloonTextChar">
    <w:name w:val="Balloon Text Char"/>
    <w:basedOn w:val="DefaultParagraphFont"/>
    <w:link w:val="BalloonText"/>
    <w:rsid w:val="00743840"/>
    <w:rPr>
      <w:rFonts w:ascii="Tahoma" w:eastAsia="SimSun" w:hAnsi="Tahoma" w:cs="Tahoma"/>
      <w:sz w:val="16"/>
      <w:szCs w:val="16"/>
      <w:lang w:val="es-ES" w:eastAsia="zh-CN"/>
    </w:rPr>
  </w:style>
  <w:style w:type="character" w:customStyle="1" w:styleId="ONUMEChar">
    <w:name w:val="ONUM E Char"/>
    <w:link w:val="ONUME"/>
    <w:rsid w:val="002E3E28"/>
    <w:rPr>
      <w:rFonts w:ascii="Arial" w:eastAsia="SimSun" w:hAnsi="Arial" w:cs="Arial"/>
      <w:sz w:val="22"/>
      <w:lang w:val="es-ES" w:eastAsia="zh-CN"/>
    </w:rPr>
  </w:style>
  <w:style w:type="character" w:customStyle="1" w:styleId="HeaderChar">
    <w:name w:val="Header Char"/>
    <w:link w:val="Header"/>
    <w:uiPriority w:val="99"/>
    <w:rsid w:val="002E3E28"/>
    <w:rPr>
      <w:rFonts w:ascii="Arial" w:eastAsia="SimSun" w:hAnsi="Arial" w:cs="Arial"/>
      <w:sz w:val="22"/>
      <w:lang w:val="es-ES" w:eastAsia="zh-CN"/>
    </w:rPr>
  </w:style>
  <w:style w:type="character" w:customStyle="1" w:styleId="FooterChar">
    <w:name w:val="Footer Char"/>
    <w:basedOn w:val="DefaultParagraphFont"/>
    <w:link w:val="Footer"/>
    <w:rsid w:val="002E3E28"/>
    <w:rPr>
      <w:rFonts w:ascii="Arial" w:eastAsia="SimSun" w:hAnsi="Arial" w:cs="Arial"/>
      <w:sz w:val="22"/>
      <w:lang w:val="es-ES" w:eastAsia="zh-CN"/>
    </w:rPr>
  </w:style>
  <w:style w:type="character" w:customStyle="1" w:styleId="Heading1Char">
    <w:name w:val="Heading 1 Char"/>
    <w:basedOn w:val="DefaultParagraphFont"/>
    <w:link w:val="Heading1"/>
    <w:rsid w:val="00841227"/>
    <w:rPr>
      <w:rFonts w:ascii="Arial" w:eastAsia="SimSun" w:hAnsi="Arial" w:cs="Arial"/>
      <w:b/>
      <w:bCs/>
      <w:caps/>
      <w:kern w:val="32"/>
      <w:sz w:val="22"/>
      <w:szCs w:val="32"/>
      <w:lang w:val="es-ES" w:eastAsia="zh-CN"/>
    </w:rPr>
  </w:style>
  <w:style w:type="paragraph" w:styleId="ListParagraph">
    <w:name w:val="List Paragraph"/>
    <w:basedOn w:val="Normal"/>
    <w:uiPriority w:val="34"/>
    <w:qFormat/>
    <w:rsid w:val="00272D37"/>
    <w:pPr>
      <w:ind w:left="720"/>
      <w:contextualSpacing/>
    </w:pPr>
    <w:rPr>
      <w:rFonts w:asciiTheme="minorHAnsi" w:eastAsiaTheme="minorEastAsia" w:hAnsiTheme="minorHAnsi" w:cstheme="minorBidi"/>
      <w:szCs w:val="22"/>
      <w:lang w:val="en-US" w:eastAsia="ja-JP"/>
    </w:rPr>
  </w:style>
  <w:style w:type="paragraph" w:customStyle="1" w:styleId="StyleHeading3ComplexItalic">
    <w:name w:val="Style Heading 3 + (Complex) Italic"/>
    <w:basedOn w:val="Heading3"/>
    <w:link w:val="StyleHeading3ComplexItalicChar"/>
    <w:rsid w:val="00272D37"/>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272D37"/>
    <w:rPr>
      <w:rFonts w:ascii="Arial" w:hAnsi="Arial" w:cs="Arial"/>
      <w:b/>
      <w:iCs/>
      <w:caps/>
      <w:sz w:val="22"/>
      <w:szCs w:val="22"/>
    </w:rPr>
  </w:style>
  <w:style w:type="character" w:customStyle="1" w:styleId="BodyTextChar">
    <w:name w:val="Body Text Char"/>
    <w:basedOn w:val="DefaultParagraphFont"/>
    <w:link w:val="BodyText"/>
    <w:rsid w:val="00272D37"/>
    <w:rPr>
      <w:rFonts w:ascii="Arial" w:eastAsia="SimSun" w:hAnsi="Arial" w:cs="Arial"/>
      <w:sz w:val="22"/>
      <w:lang w:val="es-ES" w:eastAsia="zh-CN"/>
    </w:rPr>
  </w:style>
  <w:style w:type="paragraph" w:customStyle="1" w:styleId="Body1">
    <w:name w:val="Body 1"/>
    <w:rsid w:val="00272D37"/>
    <w:rPr>
      <w:rFonts w:ascii="Helvetica" w:eastAsia="Arial Unicode MS" w:hAnsi="Helvetica"/>
      <w:color w:val="000000"/>
      <w:sz w:val="24"/>
    </w:rPr>
  </w:style>
  <w:style w:type="character" w:customStyle="1" w:styleId="FootnoteTextChar">
    <w:name w:val="Footnote Text Char"/>
    <w:basedOn w:val="DefaultParagraphFont"/>
    <w:link w:val="FootnoteText"/>
    <w:rsid w:val="00272D37"/>
    <w:rPr>
      <w:rFonts w:ascii="Arial" w:eastAsia="SimSun" w:hAnsi="Arial" w:cs="Arial"/>
      <w:sz w:val="18"/>
      <w:lang w:val="es-ES" w:eastAsia="zh-CN"/>
    </w:rPr>
  </w:style>
  <w:style w:type="character" w:styleId="FootnoteReference">
    <w:name w:val="footnote reference"/>
    <w:aliases w:val="Footnote"/>
    <w:rsid w:val="00272D37"/>
    <w:rPr>
      <w:vertAlign w:val="superscript"/>
    </w:rPr>
  </w:style>
  <w:style w:type="paragraph" w:customStyle="1" w:styleId="StyleStyleHeading3ComplexItalicLatin12pt">
    <w:name w:val="Style Style Heading 3 + (Complex) Italic + (Latin) 12 pt"/>
    <w:basedOn w:val="StyleHeading3ComplexItalic"/>
    <w:link w:val="StyleStyleHeading3ComplexItalicLatin12ptChar"/>
    <w:rsid w:val="002E12B3"/>
  </w:style>
  <w:style w:type="character" w:customStyle="1" w:styleId="StyleStyleHeading3ComplexItalicLatin12ptChar">
    <w:name w:val="Style Style Heading 3 + (Complex) Italic + (Latin) 12 pt Char"/>
    <w:basedOn w:val="StyleHeading3ComplexItalicChar"/>
    <w:link w:val="StyleStyleHeading3ComplexItalicLatin12pt"/>
    <w:rsid w:val="002E12B3"/>
    <w:rPr>
      <w:rFonts w:ascii="Arial" w:hAnsi="Arial" w:cs="Arial"/>
      <w:b/>
      <w:iCs/>
      <w:caps/>
      <w:sz w:val="22"/>
      <w:szCs w:val="22"/>
    </w:rPr>
  </w:style>
  <w:style w:type="paragraph" w:styleId="NormalWeb">
    <w:name w:val="Normal (Web)"/>
    <w:basedOn w:val="Normal"/>
    <w:unhideWhenUsed/>
    <w:rsid w:val="002E12B3"/>
    <w:rPr>
      <w:rFonts w:ascii="Times New Roman" w:eastAsiaTheme="minorHAnsi" w:hAnsi="Times New Roman" w:cs="Times New Roman"/>
      <w:sz w:val="24"/>
      <w:szCs w:val="24"/>
      <w:lang w:val="en-US" w:eastAsia="en-US"/>
    </w:rPr>
  </w:style>
  <w:style w:type="paragraph" w:styleId="BodyTextIndent">
    <w:name w:val="Body Text Indent"/>
    <w:basedOn w:val="Normal"/>
    <w:link w:val="BodyTextIndentChar"/>
    <w:rsid w:val="00855C3A"/>
    <w:pPr>
      <w:spacing w:after="120"/>
      <w:ind w:left="283"/>
    </w:pPr>
  </w:style>
  <w:style w:type="character" w:customStyle="1" w:styleId="BodyTextIndentChar">
    <w:name w:val="Body Text Indent Char"/>
    <w:basedOn w:val="DefaultParagraphFont"/>
    <w:link w:val="BodyTextIndent"/>
    <w:rsid w:val="00855C3A"/>
    <w:rPr>
      <w:rFonts w:ascii="Arial" w:eastAsia="SimSun" w:hAnsi="Arial" w:cs="Arial"/>
      <w:sz w:val="22"/>
      <w:lang w:val="es-ES" w:eastAsia="zh-CN"/>
    </w:rPr>
  </w:style>
  <w:style w:type="paragraph" w:styleId="TOCHeading">
    <w:name w:val="TOC Heading"/>
    <w:basedOn w:val="Heading1"/>
    <w:next w:val="Normal"/>
    <w:uiPriority w:val="39"/>
    <w:unhideWhenUsed/>
    <w:qFormat/>
    <w:rsid w:val="000A048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3">
    <w:name w:val="toc 3"/>
    <w:basedOn w:val="Normal"/>
    <w:next w:val="Normal"/>
    <w:autoRedefine/>
    <w:uiPriority w:val="39"/>
    <w:unhideWhenUsed/>
    <w:rsid w:val="007B4F5B"/>
    <w:pPr>
      <w:tabs>
        <w:tab w:val="left" w:pos="1843"/>
        <w:tab w:val="right" w:leader="dot" w:pos="9350"/>
      </w:tabs>
      <w:spacing w:after="100" w:line="276" w:lineRule="auto"/>
      <w:ind w:left="1843" w:hanging="1276"/>
    </w:pPr>
    <w:rPr>
      <w:rFonts w:asciiTheme="minorHAnsi" w:eastAsiaTheme="minorHAnsi" w:hAnsiTheme="minorHAnsi" w:cstheme="minorBidi"/>
      <w:szCs w:val="22"/>
      <w:lang w:val="en-US" w:eastAsia="en-US"/>
    </w:rPr>
  </w:style>
  <w:style w:type="character" w:styleId="Hyperlink">
    <w:name w:val="Hyperlink"/>
    <w:basedOn w:val="DefaultParagraphFont"/>
    <w:uiPriority w:val="99"/>
    <w:unhideWhenUsed/>
    <w:rsid w:val="000A0481"/>
    <w:rPr>
      <w:color w:val="0000FF" w:themeColor="hyperlink"/>
      <w:u w:val="single"/>
    </w:rPr>
  </w:style>
  <w:style w:type="character" w:customStyle="1" w:styleId="CommentTextChar">
    <w:name w:val="Comment Text Char"/>
    <w:basedOn w:val="DefaultParagraphFont"/>
    <w:link w:val="CommentText"/>
    <w:rsid w:val="00DF0438"/>
    <w:rPr>
      <w:rFonts w:ascii="Arial" w:eastAsia="SimSun" w:hAnsi="Arial" w:cs="Arial"/>
      <w:sz w:val="18"/>
      <w:lang w:val="es-ES" w:eastAsia="zh-CN"/>
    </w:rPr>
  </w:style>
  <w:style w:type="paragraph" w:customStyle="1" w:styleId="p1">
    <w:name w:val="p1"/>
    <w:basedOn w:val="Normal"/>
    <w:rsid w:val="005460FA"/>
    <w:pPr>
      <w:suppressAutoHyphens/>
    </w:pPr>
    <w:rPr>
      <w:rFonts w:ascii="Times New Roman" w:eastAsia="Calibri" w:hAnsi="Times New Roman" w:cs="Times New Roman"/>
      <w:sz w:val="24"/>
      <w:szCs w:val="24"/>
      <w:lang w:val="en-US" w:eastAsia="ar-SA"/>
    </w:rPr>
  </w:style>
  <w:style w:type="paragraph" w:customStyle="1" w:styleId="p2">
    <w:name w:val="p2"/>
    <w:basedOn w:val="Normal"/>
    <w:rsid w:val="005460FA"/>
    <w:pPr>
      <w:suppressAutoHyphens/>
    </w:pPr>
    <w:rPr>
      <w:rFonts w:ascii="Times New Roman" w:eastAsia="Calibri" w:hAnsi="Times New Roman" w:cs="Times New Roman"/>
      <w:sz w:val="24"/>
      <w:szCs w:val="24"/>
      <w:lang w:val="en-US" w:eastAsia="ar-SA"/>
    </w:rPr>
  </w:style>
  <w:style w:type="character" w:customStyle="1" w:styleId="Heading2Char">
    <w:name w:val="Heading 2 Char"/>
    <w:basedOn w:val="DefaultParagraphFont"/>
    <w:link w:val="Heading2"/>
    <w:rsid w:val="00E02444"/>
    <w:rPr>
      <w:rFonts w:ascii="Arial" w:eastAsia="SimSun" w:hAnsi="Arial" w:cs="Arial"/>
      <w:bCs/>
      <w:iCs/>
      <w:caps/>
      <w:sz w:val="22"/>
      <w:szCs w:val="28"/>
      <w:lang w:val="es-ES" w:eastAsia="zh-CN"/>
    </w:rPr>
  </w:style>
  <w:style w:type="paragraph" w:customStyle="1" w:styleId="Default">
    <w:name w:val="Default"/>
    <w:basedOn w:val="Normal"/>
    <w:rsid w:val="00BB3049"/>
    <w:pPr>
      <w:autoSpaceDE w:val="0"/>
      <w:autoSpaceDN w:val="0"/>
    </w:pPr>
    <w:rPr>
      <w:rFonts w:eastAsiaTheme="minorHAnsi"/>
      <w:color w:val="000000"/>
      <w:sz w:val="24"/>
      <w:szCs w:val="24"/>
      <w:lang w:val="en-US" w:eastAsia="en-US"/>
    </w:rPr>
  </w:style>
  <w:style w:type="character" w:styleId="PageNumber">
    <w:name w:val="page number"/>
    <w:basedOn w:val="DefaultParagraphFont"/>
    <w:rsid w:val="0026052C"/>
  </w:style>
  <w:style w:type="paragraph" w:styleId="BodyText2">
    <w:name w:val="Body Text 2"/>
    <w:basedOn w:val="Normal"/>
    <w:link w:val="BodyText2Char"/>
    <w:rsid w:val="00924611"/>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924611"/>
    <w:rPr>
      <w:rFonts w:eastAsia="MS Mincho"/>
      <w:sz w:val="24"/>
      <w:szCs w:val="24"/>
    </w:rPr>
  </w:style>
  <w:style w:type="paragraph" w:styleId="PlainText">
    <w:name w:val="Plain Text"/>
    <w:basedOn w:val="Normal"/>
    <w:link w:val="PlainTextChar"/>
    <w:uiPriority w:val="99"/>
    <w:rsid w:val="00924611"/>
    <w:rPr>
      <w:rFonts w:ascii="Courier New" w:hAnsi="Courier New" w:cs="Courier New"/>
      <w:color w:val="0000FF"/>
      <w:sz w:val="20"/>
      <w:lang w:val="en-US"/>
    </w:rPr>
  </w:style>
  <w:style w:type="character" w:customStyle="1" w:styleId="PlainTextChar">
    <w:name w:val="Plain Text Char"/>
    <w:basedOn w:val="DefaultParagraphFont"/>
    <w:link w:val="PlainText"/>
    <w:uiPriority w:val="99"/>
    <w:rsid w:val="00924611"/>
    <w:rPr>
      <w:rFonts w:ascii="Courier New" w:eastAsia="SimSun" w:hAnsi="Courier New" w:cs="Courier New"/>
      <w:color w:val="0000FF"/>
      <w:lang w:eastAsia="zh-CN"/>
    </w:rPr>
  </w:style>
  <w:style w:type="table" w:styleId="TableGrid">
    <w:name w:val="Table Grid"/>
    <w:basedOn w:val="TableNormal"/>
    <w:rsid w:val="00223D7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E55948"/>
    <w:pPr>
      <w:ind w:left="4536"/>
      <w:jc w:val="center"/>
    </w:pPr>
    <w:rPr>
      <w:rFonts w:ascii="Times New Roman" w:eastAsia="Times New Roman" w:hAnsi="Times New Roman" w:cs="Times New Roman"/>
      <w:sz w:val="24"/>
      <w:lang w:val="en-US" w:eastAsia="en-US"/>
    </w:rPr>
  </w:style>
  <w:style w:type="paragraph" w:styleId="TOC1">
    <w:name w:val="toc 1"/>
    <w:basedOn w:val="Normal"/>
    <w:next w:val="Normal"/>
    <w:autoRedefine/>
    <w:uiPriority w:val="39"/>
    <w:rsid w:val="00984EFC"/>
    <w:pPr>
      <w:tabs>
        <w:tab w:val="left" w:pos="567"/>
        <w:tab w:val="right" w:leader="dot" w:pos="9345"/>
      </w:tabs>
      <w:spacing w:after="100"/>
    </w:pPr>
    <w:rPr>
      <w:b/>
      <w:noProof/>
      <w:szCs w:val="22"/>
    </w:rPr>
  </w:style>
  <w:style w:type="paragraph" w:customStyle="1" w:styleId="Body">
    <w:name w:val="Body"/>
    <w:rsid w:val="006561C8"/>
    <w:rPr>
      <w:rFonts w:ascii="Helvetica" w:eastAsia="ヒラギノ角ゴ Pro W3" w:hAnsi="Helvetica" w:cs="Angsana New"/>
      <w:color w:val="000000"/>
      <w:sz w:val="24"/>
      <w:lang w:bidi="th-TH"/>
    </w:rPr>
  </w:style>
  <w:style w:type="character" w:customStyle="1" w:styleId="Heading5Char">
    <w:name w:val="Heading 5 Char"/>
    <w:basedOn w:val="DefaultParagraphFont"/>
    <w:link w:val="Heading5"/>
    <w:rsid w:val="006561C8"/>
    <w:rPr>
      <w:rFonts w:asciiTheme="minorHAnsi" w:hAnsiTheme="minorHAnsi" w:cstheme="minorBidi"/>
      <w:b/>
      <w:bCs/>
      <w:caps/>
      <w:color w:val="3E484E"/>
      <w:sz w:val="22"/>
      <w:szCs w:val="26"/>
      <w:lang w:val="en-GB" w:eastAsia="da-DK"/>
    </w:rPr>
  </w:style>
  <w:style w:type="character" w:customStyle="1" w:styleId="Heading6Char">
    <w:name w:val="Heading 6 Char"/>
    <w:basedOn w:val="DefaultParagraphFont"/>
    <w:link w:val="Heading6"/>
    <w:rsid w:val="006561C8"/>
    <w:rPr>
      <w:rFonts w:asciiTheme="majorHAnsi" w:eastAsiaTheme="majorEastAsia" w:hAnsiTheme="majorHAnsi" w:cstheme="majorBidi"/>
      <w:i/>
      <w:iCs/>
      <w:color w:val="243F60" w:themeColor="accent1" w:themeShade="7F"/>
      <w:sz w:val="22"/>
      <w:szCs w:val="22"/>
      <w:lang w:eastAsia="ja-JP"/>
    </w:rPr>
  </w:style>
  <w:style w:type="character" w:customStyle="1" w:styleId="Heading7Char">
    <w:name w:val="Heading 7 Char"/>
    <w:basedOn w:val="DefaultParagraphFont"/>
    <w:link w:val="Heading7"/>
    <w:rsid w:val="006561C8"/>
    <w:rPr>
      <w:rFonts w:ascii="Arial" w:hAnsi="Arial" w:cs="Arial"/>
      <w:b/>
      <w:bCs/>
      <w:caps/>
      <w:color w:val="3E484E"/>
      <w:sz w:val="22"/>
      <w:szCs w:val="26"/>
      <w:lang w:val="en-GB" w:eastAsia="da-DK"/>
    </w:rPr>
  </w:style>
  <w:style w:type="character" w:customStyle="1" w:styleId="Heading8Char">
    <w:name w:val="Heading 8 Char"/>
    <w:basedOn w:val="DefaultParagraphFont"/>
    <w:link w:val="Heading8"/>
    <w:rsid w:val="006561C8"/>
    <w:rPr>
      <w:rFonts w:asciiTheme="majorHAnsi" w:eastAsiaTheme="majorEastAsia" w:hAnsiTheme="majorHAnsi" w:cstheme="majorBidi"/>
      <w:color w:val="404040" w:themeColor="text1" w:themeTint="BF"/>
      <w:lang w:eastAsia="ja-JP"/>
    </w:rPr>
  </w:style>
  <w:style w:type="character" w:customStyle="1" w:styleId="Heading9Char">
    <w:name w:val="Heading 9 Char"/>
    <w:basedOn w:val="DefaultParagraphFont"/>
    <w:link w:val="Heading9"/>
    <w:rsid w:val="006561C8"/>
    <w:rPr>
      <w:rFonts w:ascii="Arial" w:hAnsi="Arial" w:cs="Arial"/>
      <w:b/>
      <w:bCs/>
      <w:caps/>
      <w:color w:val="3E484E"/>
      <w:sz w:val="22"/>
      <w:szCs w:val="26"/>
      <w:lang w:val="en-GB" w:eastAsia="da-DK"/>
    </w:rPr>
  </w:style>
  <w:style w:type="character" w:styleId="CommentReference">
    <w:name w:val="annotation reference"/>
    <w:basedOn w:val="DefaultParagraphFont"/>
    <w:unhideWhenUsed/>
    <w:rsid w:val="006561C8"/>
    <w:rPr>
      <w:sz w:val="16"/>
      <w:szCs w:val="16"/>
    </w:rPr>
  </w:style>
  <w:style w:type="paragraph" w:styleId="CommentSubject">
    <w:name w:val="annotation subject"/>
    <w:basedOn w:val="CommentText"/>
    <w:next w:val="CommentText"/>
    <w:link w:val="CommentSubjectChar"/>
    <w:unhideWhenUsed/>
    <w:rsid w:val="006561C8"/>
    <w:rPr>
      <w:rFonts w:asciiTheme="minorHAnsi" w:eastAsiaTheme="minorEastAsia" w:hAnsiTheme="minorHAnsi" w:cstheme="minorBidi"/>
      <w:b/>
      <w:bCs/>
      <w:sz w:val="20"/>
      <w:szCs w:val="22"/>
      <w:lang w:val="en-US" w:eastAsia="ja-JP"/>
    </w:rPr>
  </w:style>
  <w:style w:type="character" w:customStyle="1" w:styleId="CommentSubjectChar">
    <w:name w:val="Comment Subject Char"/>
    <w:basedOn w:val="CommentTextChar"/>
    <w:link w:val="CommentSubject"/>
    <w:rsid w:val="006561C8"/>
    <w:rPr>
      <w:rFonts w:asciiTheme="minorHAnsi" w:eastAsiaTheme="minorEastAsia" w:hAnsiTheme="minorHAnsi" w:cstheme="minorBidi"/>
      <w:b/>
      <w:bCs/>
      <w:sz w:val="18"/>
      <w:szCs w:val="22"/>
      <w:lang w:val="es-ES" w:eastAsia="ja-JP"/>
    </w:rPr>
  </w:style>
  <w:style w:type="character" w:customStyle="1" w:styleId="CommentTextChar1">
    <w:name w:val="Comment Text Char1"/>
    <w:basedOn w:val="DefaultParagraphFont"/>
    <w:rsid w:val="006561C8"/>
    <w:rPr>
      <w:rFonts w:ascii="Arial" w:hAnsi="Arial" w:cs="Arial"/>
      <w:sz w:val="18"/>
    </w:rPr>
  </w:style>
  <w:style w:type="character" w:customStyle="1" w:styleId="Heading3Char">
    <w:name w:val="Heading 3 Char"/>
    <w:basedOn w:val="DefaultParagraphFont"/>
    <w:link w:val="Heading3"/>
    <w:rsid w:val="006561C8"/>
    <w:rPr>
      <w:rFonts w:ascii="Arial" w:eastAsia="SimSun" w:hAnsi="Arial" w:cs="Arial"/>
      <w:bCs/>
      <w:sz w:val="22"/>
      <w:szCs w:val="26"/>
      <w:u w:val="single"/>
      <w:lang w:val="es-ES" w:eastAsia="zh-CN"/>
    </w:rPr>
  </w:style>
  <w:style w:type="paragraph" w:styleId="Revision">
    <w:name w:val="Revision"/>
    <w:hidden/>
    <w:uiPriority w:val="99"/>
    <w:semiHidden/>
    <w:rsid w:val="006561C8"/>
    <w:rPr>
      <w:rFonts w:asciiTheme="minorHAnsi" w:eastAsiaTheme="minorEastAsia" w:hAnsiTheme="minorHAnsi" w:cstheme="minorBidi"/>
      <w:sz w:val="22"/>
      <w:szCs w:val="22"/>
      <w:lang w:eastAsia="ja-JP"/>
    </w:rPr>
  </w:style>
  <w:style w:type="paragraph" w:customStyle="1" w:styleId="StyleHeading214ptAuto">
    <w:name w:val="Style Heading 2 + 14 pt Auto"/>
    <w:basedOn w:val="Heading2"/>
    <w:rsid w:val="006561C8"/>
    <w:pPr>
      <w:keepNext w:val="0"/>
      <w:widowControl w:val="0"/>
      <w:tabs>
        <w:tab w:val="num" w:pos="567"/>
      </w:tabs>
      <w:spacing w:before="0" w:after="0" w:line="300" w:lineRule="atLeast"/>
      <w:ind w:left="567" w:hanging="567"/>
      <w:jc w:val="center"/>
    </w:pPr>
    <w:rPr>
      <w:rFonts w:ascii="Arial Bold" w:eastAsia="Times New Roman" w:hAnsi="Arial Bold" w:cstheme="minorBidi"/>
      <w:b/>
      <w:sz w:val="24"/>
      <w:lang w:val="en-GB" w:eastAsia="da-DK"/>
    </w:rPr>
  </w:style>
  <w:style w:type="paragraph" w:styleId="TOC2">
    <w:name w:val="toc 2"/>
    <w:basedOn w:val="Normal"/>
    <w:next w:val="Normal"/>
    <w:autoRedefine/>
    <w:uiPriority w:val="39"/>
    <w:unhideWhenUsed/>
    <w:rsid w:val="006561C8"/>
    <w:pPr>
      <w:tabs>
        <w:tab w:val="left" w:pos="9072"/>
      </w:tabs>
      <w:spacing w:after="120"/>
      <w:ind w:left="221"/>
    </w:pPr>
    <w:rPr>
      <w:rFonts w:eastAsiaTheme="minorEastAsia" w:cstheme="minorBidi"/>
      <w:caps/>
      <w:noProof/>
      <w:sz w:val="20"/>
      <w:szCs w:val="22"/>
      <w:lang w:val="en-US" w:eastAsia="ja-JP"/>
    </w:rPr>
  </w:style>
  <w:style w:type="paragraph" w:styleId="BlockText">
    <w:name w:val="Block Text"/>
    <w:basedOn w:val="Normal"/>
    <w:rsid w:val="006561C8"/>
    <w:pPr>
      <w:tabs>
        <w:tab w:val="left" w:pos="2127"/>
      </w:tabs>
      <w:spacing w:after="40"/>
      <w:ind w:left="2127" w:right="896" w:hanging="2127"/>
    </w:pPr>
    <w:rPr>
      <w:rFonts w:ascii="Times New Roman" w:eastAsia="Times New Roman" w:hAnsi="Times New Roman" w:cs="Times New Roman"/>
      <w:sz w:val="24"/>
      <w:lang w:val="en-US" w:eastAsia="en-US"/>
    </w:rPr>
  </w:style>
  <w:style w:type="paragraph" w:customStyle="1" w:styleId="zanxtext">
    <w:name w:val="zanxtext"/>
    <w:basedOn w:val="Normal"/>
    <w:rsid w:val="006561C8"/>
    <w:pPr>
      <w:spacing w:before="120"/>
    </w:pPr>
    <w:rPr>
      <w:rFonts w:ascii="Times New Roman" w:eastAsia="Times New Roman" w:hAnsi="Times New Roman" w:cs="Times New Roman"/>
      <w:sz w:val="24"/>
      <w:lang w:val="en-US" w:eastAsia="en-US"/>
    </w:rPr>
  </w:style>
  <w:style w:type="character" w:customStyle="1" w:styleId="Heading4Char">
    <w:name w:val="Heading 4 Char"/>
    <w:basedOn w:val="DefaultParagraphFont"/>
    <w:link w:val="Heading4"/>
    <w:rsid w:val="006561C8"/>
    <w:rPr>
      <w:rFonts w:ascii="Arial" w:eastAsia="SimSun" w:hAnsi="Arial" w:cs="Arial"/>
      <w:bCs/>
      <w:i/>
      <w:sz w:val="22"/>
      <w:szCs w:val="28"/>
      <w:lang w:val="es-ES" w:eastAsia="zh-CN"/>
    </w:rPr>
  </w:style>
  <w:style w:type="paragraph" w:customStyle="1" w:styleId="CharCharCharChar">
    <w:name w:val="Char Char Char Char"/>
    <w:basedOn w:val="Normal"/>
    <w:rsid w:val="006561C8"/>
    <w:pPr>
      <w:spacing w:after="160" w:line="240" w:lineRule="exact"/>
    </w:pPr>
    <w:rPr>
      <w:rFonts w:ascii="Verdana" w:eastAsia="Times New Roman" w:hAnsi="Verdana" w:cs="Times New Roman"/>
      <w:sz w:val="20"/>
      <w:lang w:val="en-GB" w:eastAsia="en-US"/>
    </w:rPr>
  </w:style>
  <w:style w:type="character" w:customStyle="1" w:styleId="hps">
    <w:name w:val="hps"/>
    <w:basedOn w:val="DefaultParagraphFont"/>
    <w:rsid w:val="006561C8"/>
  </w:style>
  <w:style w:type="paragraph" w:customStyle="1" w:styleId="1">
    <w:name w:val="1"/>
    <w:basedOn w:val="Normal"/>
    <w:rsid w:val="006561C8"/>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ListParagraph"/>
    <w:rsid w:val="006561C8"/>
    <w:pPr>
      <w:ind w:left="-28"/>
      <w:contextualSpacing w:val="0"/>
    </w:pPr>
    <w:rPr>
      <w:rFonts w:ascii="Arial" w:eastAsia="MS Mincho" w:hAnsi="Arial" w:cs="Arial"/>
      <w:bCs/>
      <w:sz w:val="20"/>
      <w:szCs w:val="20"/>
    </w:rPr>
  </w:style>
  <w:style w:type="paragraph" w:customStyle="1" w:styleId="Normal6">
    <w:name w:val="Normal+6"/>
    <w:basedOn w:val="Normal"/>
    <w:next w:val="Normal"/>
    <w:rsid w:val="006561C8"/>
    <w:pPr>
      <w:autoSpaceDE w:val="0"/>
      <w:autoSpaceDN w:val="0"/>
      <w:adjustRightInd w:val="0"/>
    </w:pPr>
    <w:rPr>
      <w:rFonts w:eastAsia="Times New Roman" w:cs="Times New Roman"/>
      <w:sz w:val="24"/>
      <w:szCs w:val="24"/>
      <w:lang w:val="en-US" w:eastAsia="en-US"/>
    </w:rPr>
  </w:style>
  <w:style w:type="character" w:customStyle="1" w:styleId="paracolourtext1">
    <w:name w:val="paracolourtext1"/>
    <w:rsid w:val="006561C8"/>
    <w:rPr>
      <w:b w:val="0"/>
      <w:bCs w:val="0"/>
      <w:i w:val="0"/>
      <w:iCs w:val="0"/>
      <w:color w:val="800000"/>
      <w:sz w:val="20"/>
      <w:szCs w:val="20"/>
    </w:rPr>
  </w:style>
  <w:style w:type="paragraph" w:customStyle="1" w:styleId="tes1">
    <w:name w:val="tes1"/>
    <w:basedOn w:val="Normal"/>
    <w:rsid w:val="006561C8"/>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6561C8"/>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6561C8"/>
    <w:pPr>
      <w:suppressAutoHyphens/>
      <w:ind w:firstLine="340"/>
      <w:jc w:val="both"/>
    </w:pPr>
    <w:rPr>
      <w:rFonts w:ascii="Times New Roman" w:eastAsiaTheme="minorEastAsia" w:hAnsi="Times New Roman" w:cs="Times New Roman"/>
      <w:snapToGrid w:val="0"/>
      <w:sz w:val="16"/>
      <w:szCs w:val="22"/>
      <w:lang w:val="en-US" w:eastAsia="ja-JP"/>
    </w:rPr>
  </w:style>
  <w:style w:type="paragraph" w:styleId="Title">
    <w:name w:val="Title"/>
    <w:basedOn w:val="Normal"/>
    <w:link w:val="TitleChar"/>
    <w:qFormat/>
    <w:rsid w:val="006561C8"/>
    <w:pPr>
      <w:jc w:val="center"/>
    </w:pPr>
    <w:rPr>
      <w:rFonts w:ascii="Times New Roman" w:eastAsia="Times New Roman" w:hAnsi="Times New Roman" w:cs="Times New Roman"/>
      <w:b/>
      <w:sz w:val="24"/>
      <w:lang w:val="en-US" w:eastAsia="en-US"/>
    </w:rPr>
  </w:style>
  <w:style w:type="character" w:customStyle="1" w:styleId="TitleChar">
    <w:name w:val="Title Char"/>
    <w:basedOn w:val="DefaultParagraphFont"/>
    <w:link w:val="Title"/>
    <w:rsid w:val="006561C8"/>
    <w:rPr>
      <w:b/>
      <w:sz w:val="24"/>
    </w:rPr>
  </w:style>
  <w:style w:type="paragraph" w:styleId="Subtitle">
    <w:name w:val="Subtitle"/>
    <w:basedOn w:val="Normal"/>
    <w:link w:val="SubtitleChar"/>
    <w:qFormat/>
    <w:rsid w:val="006561C8"/>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basedOn w:val="DefaultParagraphFont"/>
    <w:link w:val="Subtitle"/>
    <w:rsid w:val="006561C8"/>
    <w:rPr>
      <w:b/>
      <w:caps/>
      <w:color w:val="0000FF"/>
      <w:sz w:val="28"/>
    </w:rPr>
  </w:style>
  <w:style w:type="paragraph" w:styleId="BodyTextIndent2">
    <w:name w:val="Body Text Indent 2"/>
    <w:basedOn w:val="Normal"/>
    <w:link w:val="BodyTextIndent2Char"/>
    <w:rsid w:val="006561C8"/>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6561C8"/>
    <w:rPr>
      <w:rFonts w:ascii="Arial" w:hAnsi="Arial"/>
      <w:snapToGrid w:val="0"/>
      <w:color w:val="000000"/>
    </w:rPr>
  </w:style>
  <w:style w:type="paragraph" w:customStyle="1" w:styleId="3029-Titrechapitre">
    <w:name w:val="3029-Titre chapitre"/>
    <w:basedOn w:val="Heading1"/>
    <w:rsid w:val="006561C8"/>
    <w:pPr>
      <w:spacing w:before="0" w:after="0"/>
    </w:pPr>
    <w:rPr>
      <w:rFonts w:ascii="Arial Black" w:eastAsia="Times" w:hAnsi="Arial Black" w:cs="Times New Roman"/>
      <w:b w:val="0"/>
      <w:bCs w:val="0"/>
      <w:caps w:val="0"/>
      <w:color w:val="000080"/>
      <w:kern w:val="0"/>
      <w:sz w:val="30"/>
      <w:szCs w:val="20"/>
      <w:lang w:val="fr-FR" w:eastAsia="ja-JP"/>
    </w:rPr>
  </w:style>
  <w:style w:type="character" w:customStyle="1" w:styleId="underline">
    <w:name w:val="underline"/>
    <w:rsid w:val="006561C8"/>
    <w:rPr>
      <w:u w:val="single"/>
    </w:rPr>
  </w:style>
  <w:style w:type="paragraph" w:customStyle="1" w:styleId="zanxhead">
    <w:name w:val="zanxhead"/>
    <w:basedOn w:val="Normal"/>
    <w:rsid w:val="006561C8"/>
    <w:pPr>
      <w:spacing w:before="200"/>
    </w:pPr>
    <w:rPr>
      <w:rFonts w:ascii="Times New Roman" w:eastAsia="Times New Roman" w:hAnsi="Times New Roman" w:cs="Times New Roman"/>
      <w:b/>
      <w:color w:val="0000FF"/>
      <w:sz w:val="24"/>
      <w:lang w:val="en-US" w:eastAsia="en-US"/>
    </w:rPr>
  </w:style>
  <w:style w:type="character" w:styleId="Emphasis">
    <w:name w:val="Emphasis"/>
    <w:uiPriority w:val="20"/>
    <w:qFormat/>
    <w:rsid w:val="006561C8"/>
    <w:rPr>
      <w:i/>
      <w:iCs/>
    </w:rPr>
  </w:style>
  <w:style w:type="character" w:styleId="Strong">
    <w:name w:val="Strong"/>
    <w:qFormat/>
    <w:rsid w:val="006561C8"/>
    <w:rPr>
      <w:b/>
      <w:bCs/>
    </w:rPr>
  </w:style>
  <w:style w:type="paragraph" w:customStyle="1" w:styleId="preparedby">
    <w:name w:val="prepared by"/>
    <w:basedOn w:val="Normal"/>
    <w:next w:val="Normal"/>
    <w:rsid w:val="006561C8"/>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6561C8"/>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6561C8"/>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6561C8"/>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6561C8"/>
    <w:pPr>
      <w:spacing w:before="480"/>
      <w:contextualSpacing/>
    </w:pPr>
    <w:rPr>
      <w:sz w:val="24"/>
    </w:rPr>
  </w:style>
  <w:style w:type="paragraph" w:customStyle="1" w:styleId="Meetingplacedate">
    <w:name w:val="Meeting place &amp; date"/>
    <w:basedOn w:val="Sessiontitle"/>
    <w:next w:val="Documenttitle"/>
    <w:rsid w:val="006561C8"/>
    <w:pPr>
      <w:spacing w:before="0"/>
      <w:contextualSpacing w:val="0"/>
    </w:pPr>
  </w:style>
  <w:style w:type="paragraph" w:customStyle="1" w:styleId="Language">
    <w:name w:val="Language"/>
    <w:basedOn w:val="Normal"/>
    <w:next w:val="Normal"/>
    <w:rsid w:val="006561C8"/>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6561C8"/>
    <w:pPr>
      <w:spacing w:before="1800" w:after="0"/>
    </w:pPr>
  </w:style>
  <w:style w:type="paragraph" w:customStyle="1" w:styleId="CarCarCar">
    <w:name w:val="Car Car Car"/>
    <w:basedOn w:val="Normal"/>
    <w:rsid w:val="006561C8"/>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6561C8"/>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6561C8"/>
    <w:rPr>
      <w:color w:val="606420"/>
      <w:u w:val="single"/>
    </w:rPr>
  </w:style>
  <w:style w:type="character" w:customStyle="1" w:styleId="SalutationChar">
    <w:name w:val="Salutation Char"/>
    <w:basedOn w:val="DefaultParagraphFont"/>
    <w:link w:val="Salutation"/>
    <w:semiHidden/>
    <w:rsid w:val="006561C8"/>
    <w:rPr>
      <w:rFonts w:ascii="Arial" w:eastAsia="SimSun" w:hAnsi="Arial" w:cs="Arial"/>
      <w:sz w:val="22"/>
      <w:lang w:val="es-ES" w:eastAsia="zh-CN"/>
    </w:rPr>
  </w:style>
  <w:style w:type="character" w:customStyle="1" w:styleId="SignatureChar">
    <w:name w:val="Signature Char"/>
    <w:basedOn w:val="DefaultParagraphFont"/>
    <w:link w:val="Signature"/>
    <w:semiHidden/>
    <w:rsid w:val="006561C8"/>
    <w:rPr>
      <w:rFonts w:ascii="Arial" w:eastAsia="SimSun" w:hAnsi="Arial" w:cs="Arial"/>
      <w:sz w:val="22"/>
      <w:lang w:val="es-ES" w:eastAsia="zh-CN"/>
    </w:rPr>
  </w:style>
  <w:style w:type="character" w:customStyle="1" w:styleId="EndnoteTextChar">
    <w:name w:val="Endnote Text Char"/>
    <w:basedOn w:val="DefaultParagraphFont"/>
    <w:link w:val="EndnoteText"/>
    <w:semiHidden/>
    <w:rsid w:val="006561C8"/>
    <w:rPr>
      <w:rFonts w:ascii="Arial" w:eastAsia="SimSun" w:hAnsi="Arial" w:cs="Arial"/>
      <w:sz w:val="18"/>
      <w:lang w:val="es-ES" w:eastAsia="zh-CN"/>
    </w:rPr>
  </w:style>
  <w:style w:type="character" w:customStyle="1" w:styleId="Bona">
    <w:name w:val="Bona"/>
    <w:semiHidden/>
    <w:rsid w:val="006561C8"/>
    <w:rPr>
      <w:rFonts w:ascii="Arial" w:hAnsi="Arial" w:cs="Arial"/>
      <w:color w:val="000080"/>
      <w:sz w:val="20"/>
      <w:szCs w:val="20"/>
    </w:rPr>
  </w:style>
  <w:style w:type="character" w:customStyle="1" w:styleId="st">
    <w:name w:val="st"/>
    <w:basedOn w:val="DefaultParagraphFont"/>
    <w:rsid w:val="006561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Title" w:qFormat="1"/>
    <w:lsdException w:name="Body Text" w:qFormat="1"/>
    <w:lsdException w:name="Subtitle" w:qFormat="1"/>
    <w:lsdException w:name="Hyperlink" w:uiPriority="99"/>
    <w:lsdException w:name="Strong" w:qFormat="1"/>
    <w:lsdException w:name="Emphasis" w:uiPriority="20"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Heading4"/>
    <w:next w:val="Normal"/>
    <w:link w:val="Heading5Char"/>
    <w:qFormat/>
    <w:rsid w:val="006561C8"/>
    <w:pPr>
      <w:tabs>
        <w:tab w:val="num" w:pos="1008"/>
      </w:tabs>
      <w:spacing w:before="0" w:after="0" w:line="300" w:lineRule="atLeast"/>
      <w:ind w:left="1008" w:hanging="1008"/>
      <w:outlineLvl w:val="4"/>
    </w:pPr>
    <w:rPr>
      <w:rFonts w:asciiTheme="minorHAnsi" w:eastAsia="Times New Roman" w:hAnsiTheme="minorHAnsi" w:cstheme="minorBidi"/>
      <w:b/>
      <w:i w:val="0"/>
      <w:caps/>
      <w:color w:val="3E484E"/>
      <w:szCs w:val="26"/>
      <w:lang w:val="en-GB" w:eastAsia="da-DK"/>
    </w:rPr>
  </w:style>
  <w:style w:type="paragraph" w:styleId="Heading6">
    <w:name w:val="heading 6"/>
    <w:basedOn w:val="Normal"/>
    <w:next w:val="Normal"/>
    <w:link w:val="Heading6Char"/>
    <w:unhideWhenUsed/>
    <w:qFormat/>
    <w:rsid w:val="006561C8"/>
    <w:pPr>
      <w:keepNext/>
      <w:keepLines/>
      <w:spacing w:before="200"/>
      <w:outlineLvl w:val="5"/>
    </w:pPr>
    <w:rPr>
      <w:rFonts w:asciiTheme="majorHAnsi" w:eastAsiaTheme="majorEastAsia" w:hAnsiTheme="majorHAnsi" w:cstheme="majorBidi"/>
      <w:i/>
      <w:iCs/>
      <w:color w:val="243F60" w:themeColor="accent1" w:themeShade="7F"/>
      <w:szCs w:val="22"/>
      <w:lang w:val="en-US" w:eastAsia="ja-JP"/>
    </w:rPr>
  </w:style>
  <w:style w:type="paragraph" w:styleId="Heading7">
    <w:name w:val="heading 7"/>
    <w:basedOn w:val="Heading6"/>
    <w:next w:val="Normal"/>
    <w:link w:val="Heading7Char"/>
    <w:qFormat/>
    <w:rsid w:val="006561C8"/>
    <w:pPr>
      <w:keepLines w:val="0"/>
      <w:tabs>
        <w:tab w:val="num" w:pos="1296"/>
      </w:tabs>
      <w:spacing w:before="0" w:line="300" w:lineRule="atLeast"/>
      <w:ind w:left="1296" w:hanging="1296"/>
      <w:outlineLvl w:val="6"/>
    </w:pPr>
    <w:rPr>
      <w:rFonts w:ascii="Arial" w:eastAsia="Times New Roman" w:hAnsi="Arial" w:cs="Arial"/>
      <w:b/>
      <w:bCs/>
      <w:i w:val="0"/>
      <w:iCs w:val="0"/>
      <w:caps/>
      <w:color w:val="3E484E"/>
      <w:szCs w:val="26"/>
      <w:lang w:val="en-GB" w:eastAsia="da-DK"/>
    </w:rPr>
  </w:style>
  <w:style w:type="paragraph" w:styleId="Heading8">
    <w:name w:val="heading 8"/>
    <w:basedOn w:val="Normal"/>
    <w:next w:val="Normal"/>
    <w:link w:val="Heading8Char"/>
    <w:unhideWhenUsed/>
    <w:qFormat/>
    <w:rsid w:val="006561C8"/>
    <w:pPr>
      <w:keepNext/>
      <w:keepLines/>
      <w:spacing w:before="200"/>
      <w:outlineLvl w:val="7"/>
    </w:pPr>
    <w:rPr>
      <w:rFonts w:asciiTheme="majorHAnsi" w:eastAsiaTheme="majorEastAsia" w:hAnsiTheme="majorHAnsi" w:cstheme="majorBidi"/>
      <w:color w:val="404040" w:themeColor="text1" w:themeTint="BF"/>
      <w:sz w:val="20"/>
      <w:lang w:val="en-US" w:eastAsia="ja-JP"/>
    </w:rPr>
  </w:style>
  <w:style w:type="paragraph" w:styleId="Heading9">
    <w:name w:val="heading 9"/>
    <w:basedOn w:val="Heading8"/>
    <w:next w:val="Normal"/>
    <w:link w:val="Heading9Char"/>
    <w:qFormat/>
    <w:rsid w:val="006561C8"/>
    <w:pPr>
      <w:keepLines w:val="0"/>
      <w:tabs>
        <w:tab w:val="num" w:pos="1584"/>
      </w:tabs>
      <w:spacing w:before="0" w:line="300" w:lineRule="atLeast"/>
      <w:ind w:left="1584" w:hanging="1584"/>
      <w:outlineLvl w:val="8"/>
    </w:pPr>
    <w:rPr>
      <w:rFonts w:ascii="Arial" w:eastAsia="Times New Roman" w:hAnsi="Arial" w:cs="Arial"/>
      <w:b/>
      <w:bCs/>
      <w:caps/>
      <w:color w:val="3E484E"/>
      <w:sz w:val="22"/>
      <w:szCs w:val="26"/>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rsid w:val="00A32C9E"/>
    <w:rPr>
      <w:sz w:val="18"/>
    </w:rPr>
  </w:style>
  <w:style w:type="paragraph" w:styleId="EndnoteText">
    <w:name w:val="endnote text"/>
    <w:basedOn w:val="Normal"/>
    <w:link w:val="EndnoteTextChar"/>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semiHidden/>
    <w:rsid w:val="00A32C9E"/>
  </w:style>
  <w:style w:type="paragraph" w:styleId="Signature">
    <w:name w:val="Signature"/>
    <w:basedOn w:val="Normal"/>
    <w:link w:val="SignatureChar"/>
    <w:semiHidden/>
    <w:rsid w:val="00A32C9E"/>
    <w:pPr>
      <w:ind w:left="5250"/>
    </w:pPr>
  </w:style>
  <w:style w:type="paragraph" w:styleId="BalloonText">
    <w:name w:val="Balloon Text"/>
    <w:basedOn w:val="Normal"/>
    <w:link w:val="BalloonTextChar"/>
    <w:rsid w:val="00743840"/>
    <w:rPr>
      <w:rFonts w:ascii="Tahoma" w:hAnsi="Tahoma" w:cs="Tahoma"/>
      <w:sz w:val="16"/>
      <w:szCs w:val="16"/>
    </w:rPr>
  </w:style>
  <w:style w:type="character" w:customStyle="1" w:styleId="BalloonTextChar">
    <w:name w:val="Balloon Text Char"/>
    <w:basedOn w:val="DefaultParagraphFont"/>
    <w:link w:val="BalloonText"/>
    <w:rsid w:val="00743840"/>
    <w:rPr>
      <w:rFonts w:ascii="Tahoma" w:eastAsia="SimSun" w:hAnsi="Tahoma" w:cs="Tahoma"/>
      <w:sz w:val="16"/>
      <w:szCs w:val="16"/>
      <w:lang w:val="es-ES" w:eastAsia="zh-CN"/>
    </w:rPr>
  </w:style>
  <w:style w:type="character" w:customStyle="1" w:styleId="ONUMEChar">
    <w:name w:val="ONUM E Char"/>
    <w:link w:val="ONUME"/>
    <w:rsid w:val="002E3E28"/>
    <w:rPr>
      <w:rFonts w:ascii="Arial" w:eastAsia="SimSun" w:hAnsi="Arial" w:cs="Arial"/>
      <w:sz w:val="22"/>
      <w:lang w:val="es-ES" w:eastAsia="zh-CN"/>
    </w:rPr>
  </w:style>
  <w:style w:type="character" w:customStyle="1" w:styleId="HeaderChar">
    <w:name w:val="Header Char"/>
    <w:link w:val="Header"/>
    <w:uiPriority w:val="99"/>
    <w:rsid w:val="002E3E28"/>
    <w:rPr>
      <w:rFonts w:ascii="Arial" w:eastAsia="SimSun" w:hAnsi="Arial" w:cs="Arial"/>
      <w:sz w:val="22"/>
      <w:lang w:val="es-ES" w:eastAsia="zh-CN"/>
    </w:rPr>
  </w:style>
  <w:style w:type="character" w:customStyle="1" w:styleId="FooterChar">
    <w:name w:val="Footer Char"/>
    <w:basedOn w:val="DefaultParagraphFont"/>
    <w:link w:val="Footer"/>
    <w:rsid w:val="002E3E28"/>
    <w:rPr>
      <w:rFonts w:ascii="Arial" w:eastAsia="SimSun" w:hAnsi="Arial" w:cs="Arial"/>
      <w:sz w:val="22"/>
      <w:lang w:val="es-ES" w:eastAsia="zh-CN"/>
    </w:rPr>
  </w:style>
  <w:style w:type="character" w:customStyle="1" w:styleId="Heading1Char">
    <w:name w:val="Heading 1 Char"/>
    <w:basedOn w:val="DefaultParagraphFont"/>
    <w:link w:val="Heading1"/>
    <w:rsid w:val="00841227"/>
    <w:rPr>
      <w:rFonts w:ascii="Arial" w:eastAsia="SimSun" w:hAnsi="Arial" w:cs="Arial"/>
      <w:b/>
      <w:bCs/>
      <w:caps/>
      <w:kern w:val="32"/>
      <w:sz w:val="22"/>
      <w:szCs w:val="32"/>
      <w:lang w:val="es-ES" w:eastAsia="zh-CN"/>
    </w:rPr>
  </w:style>
  <w:style w:type="paragraph" w:styleId="ListParagraph">
    <w:name w:val="List Paragraph"/>
    <w:basedOn w:val="Normal"/>
    <w:uiPriority w:val="34"/>
    <w:qFormat/>
    <w:rsid w:val="00272D37"/>
    <w:pPr>
      <w:ind w:left="720"/>
      <w:contextualSpacing/>
    </w:pPr>
    <w:rPr>
      <w:rFonts w:asciiTheme="minorHAnsi" w:eastAsiaTheme="minorEastAsia" w:hAnsiTheme="minorHAnsi" w:cstheme="minorBidi"/>
      <w:szCs w:val="22"/>
      <w:lang w:val="en-US" w:eastAsia="ja-JP"/>
    </w:rPr>
  </w:style>
  <w:style w:type="paragraph" w:customStyle="1" w:styleId="StyleHeading3ComplexItalic">
    <w:name w:val="Style Heading 3 + (Complex) Italic"/>
    <w:basedOn w:val="Heading3"/>
    <w:link w:val="StyleHeading3ComplexItalicChar"/>
    <w:rsid w:val="00272D37"/>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272D37"/>
    <w:rPr>
      <w:rFonts w:ascii="Arial" w:hAnsi="Arial" w:cs="Arial"/>
      <w:b/>
      <w:iCs/>
      <w:caps/>
      <w:sz w:val="22"/>
      <w:szCs w:val="22"/>
    </w:rPr>
  </w:style>
  <w:style w:type="character" w:customStyle="1" w:styleId="BodyTextChar">
    <w:name w:val="Body Text Char"/>
    <w:basedOn w:val="DefaultParagraphFont"/>
    <w:link w:val="BodyText"/>
    <w:rsid w:val="00272D37"/>
    <w:rPr>
      <w:rFonts w:ascii="Arial" w:eastAsia="SimSun" w:hAnsi="Arial" w:cs="Arial"/>
      <w:sz w:val="22"/>
      <w:lang w:val="es-ES" w:eastAsia="zh-CN"/>
    </w:rPr>
  </w:style>
  <w:style w:type="paragraph" w:customStyle="1" w:styleId="Body1">
    <w:name w:val="Body 1"/>
    <w:rsid w:val="00272D37"/>
    <w:rPr>
      <w:rFonts w:ascii="Helvetica" w:eastAsia="Arial Unicode MS" w:hAnsi="Helvetica"/>
      <w:color w:val="000000"/>
      <w:sz w:val="24"/>
    </w:rPr>
  </w:style>
  <w:style w:type="character" w:customStyle="1" w:styleId="FootnoteTextChar">
    <w:name w:val="Footnote Text Char"/>
    <w:basedOn w:val="DefaultParagraphFont"/>
    <w:link w:val="FootnoteText"/>
    <w:rsid w:val="00272D37"/>
    <w:rPr>
      <w:rFonts w:ascii="Arial" w:eastAsia="SimSun" w:hAnsi="Arial" w:cs="Arial"/>
      <w:sz w:val="18"/>
      <w:lang w:val="es-ES" w:eastAsia="zh-CN"/>
    </w:rPr>
  </w:style>
  <w:style w:type="character" w:styleId="FootnoteReference">
    <w:name w:val="footnote reference"/>
    <w:aliases w:val="Footnote"/>
    <w:rsid w:val="00272D37"/>
    <w:rPr>
      <w:vertAlign w:val="superscript"/>
    </w:rPr>
  </w:style>
  <w:style w:type="paragraph" w:customStyle="1" w:styleId="StyleStyleHeading3ComplexItalicLatin12pt">
    <w:name w:val="Style Style Heading 3 + (Complex) Italic + (Latin) 12 pt"/>
    <w:basedOn w:val="StyleHeading3ComplexItalic"/>
    <w:link w:val="StyleStyleHeading3ComplexItalicLatin12ptChar"/>
    <w:rsid w:val="002E12B3"/>
  </w:style>
  <w:style w:type="character" w:customStyle="1" w:styleId="StyleStyleHeading3ComplexItalicLatin12ptChar">
    <w:name w:val="Style Style Heading 3 + (Complex) Italic + (Latin) 12 pt Char"/>
    <w:basedOn w:val="StyleHeading3ComplexItalicChar"/>
    <w:link w:val="StyleStyleHeading3ComplexItalicLatin12pt"/>
    <w:rsid w:val="002E12B3"/>
    <w:rPr>
      <w:rFonts w:ascii="Arial" w:hAnsi="Arial" w:cs="Arial"/>
      <w:b/>
      <w:iCs/>
      <w:caps/>
      <w:sz w:val="22"/>
      <w:szCs w:val="22"/>
    </w:rPr>
  </w:style>
  <w:style w:type="paragraph" w:styleId="NormalWeb">
    <w:name w:val="Normal (Web)"/>
    <w:basedOn w:val="Normal"/>
    <w:unhideWhenUsed/>
    <w:rsid w:val="002E12B3"/>
    <w:rPr>
      <w:rFonts w:ascii="Times New Roman" w:eastAsiaTheme="minorHAnsi" w:hAnsi="Times New Roman" w:cs="Times New Roman"/>
      <w:sz w:val="24"/>
      <w:szCs w:val="24"/>
      <w:lang w:val="en-US" w:eastAsia="en-US"/>
    </w:rPr>
  </w:style>
  <w:style w:type="paragraph" w:styleId="BodyTextIndent">
    <w:name w:val="Body Text Indent"/>
    <w:basedOn w:val="Normal"/>
    <w:link w:val="BodyTextIndentChar"/>
    <w:rsid w:val="00855C3A"/>
    <w:pPr>
      <w:spacing w:after="120"/>
      <w:ind w:left="283"/>
    </w:pPr>
  </w:style>
  <w:style w:type="character" w:customStyle="1" w:styleId="BodyTextIndentChar">
    <w:name w:val="Body Text Indent Char"/>
    <w:basedOn w:val="DefaultParagraphFont"/>
    <w:link w:val="BodyTextIndent"/>
    <w:rsid w:val="00855C3A"/>
    <w:rPr>
      <w:rFonts w:ascii="Arial" w:eastAsia="SimSun" w:hAnsi="Arial" w:cs="Arial"/>
      <w:sz w:val="22"/>
      <w:lang w:val="es-ES" w:eastAsia="zh-CN"/>
    </w:rPr>
  </w:style>
  <w:style w:type="paragraph" w:styleId="TOCHeading">
    <w:name w:val="TOC Heading"/>
    <w:basedOn w:val="Heading1"/>
    <w:next w:val="Normal"/>
    <w:uiPriority w:val="39"/>
    <w:unhideWhenUsed/>
    <w:qFormat/>
    <w:rsid w:val="000A048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eastAsia="ja-JP"/>
    </w:rPr>
  </w:style>
  <w:style w:type="paragraph" w:styleId="TOC3">
    <w:name w:val="toc 3"/>
    <w:basedOn w:val="Normal"/>
    <w:next w:val="Normal"/>
    <w:autoRedefine/>
    <w:uiPriority w:val="39"/>
    <w:unhideWhenUsed/>
    <w:rsid w:val="007B4F5B"/>
    <w:pPr>
      <w:tabs>
        <w:tab w:val="left" w:pos="1843"/>
        <w:tab w:val="right" w:leader="dot" w:pos="9350"/>
      </w:tabs>
      <w:spacing w:after="100" w:line="276" w:lineRule="auto"/>
      <w:ind w:left="1843" w:hanging="1276"/>
    </w:pPr>
    <w:rPr>
      <w:rFonts w:asciiTheme="minorHAnsi" w:eastAsiaTheme="minorHAnsi" w:hAnsiTheme="minorHAnsi" w:cstheme="minorBidi"/>
      <w:szCs w:val="22"/>
      <w:lang w:val="en-US" w:eastAsia="en-US"/>
    </w:rPr>
  </w:style>
  <w:style w:type="character" w:styleId="Hyperlink">
    <w:name w:val="Hyperlink"/>
    <w:basedOn w:val="DefaultParagraphFont"/>
    <w:uiPriority w:val="99"/>
    <w:unhideWhenUsed/>
    <w:rsid w:val="000A0481"/>
    <w:rPr>
      <w:color w:val="0000FF" w:themeColor="hyperlink"/>
      <w:u w:val="single"/>
    </w:rPr>
  </w:style>
  <w:style w:type="character" w:customStyle="1" w:styleId="CommentTextChar">
    <w:name w:val="Comment Text Char"/>
    <w:basedOn w:val="DefaultParagraphFont"/>
    <w:link w:val="CommentText"/>
    <w:rsid w:val="00DF0438"/>
    <w:rPr>
      <w:rFonts w:ascii="Arial" w:eastAsia="SimSun" w:hAnsi="Arial" w:cs="Arial"/>
      <w:sz w:val="18"/>
      <w:lang w:val="es-ES" w:eastAsia="zh-CN"/>
    </w:rPr>
  </w:style>
  <w:style w:type="paragraph" w:customStyle="1" w:styleId="p1">
    <w:name w:val="p1"/>
    <w:basedOn w:val="Normal"/>
    <w:rsid w:val="005460FA"/>
    <w:pPr>
      <w:suppressAutoHyphens/>
    </w:pPr>
    <w:rPr>
      <w:rFonts w:ascii="Times New Roman" w:eastAsia="Calibri" w:hAnsi="Times New Roman" w:cs="Times New Roman"/>
      <w:sz w:val="24"/>
      <w:szCs w:val="24"/>
      <w:lang w:val="en-US" w:eastAsia="ar-SA"/>
    </w:rPr>
  </w:style>
  <w:style w:type="paragraph" w:customStyle="1" w:styleId="p2">
    <w:name w:val="p2"/>
    <w:basedOn w:val="Normal"/>
    <w:rsid w:val="005460FA"/>
    <w:pPr>
      <w:suppressAutoHyphens/>
    </w:pPr>
    <w:rPr>
      <w:rFonts w:ascii="Times New Roman" w:eastAsia="Calibri" w:hAnsi="Times New Roman" w:cs="Times New Roman"/>
      <w:sz w:val="24"/>
      <w:szCs w:val="24"/>
      <w:lang w:val="en-US" w:eastAsia="ar-SA"/>
    </w:rPr>
  </w:style>
  <w:style w:type="character" w:customStyle="1" w:styleId="Heading2Char">
    <w:name w:val="Heading 2 Char"/>
    <w:basedOn w:val="DefaultParagraphFont"/>
    <w:link w:val="Heading2"/>
    <w:rsid w:val="00E02444"/>
    <w:rPr>
      <w:rFonts w:ascii="Arial" w:eastAsia="SimSun" w:hAnsi="Arial" w:cs="Arial"/>
      <w:bCs/>
      <w:iCs/>
      <w:caps/>
      <w:sz w:val="22"/>
      <w:szCs w:val="28"/>
      <w:lang w:val="es-ES" w:eastAsia="zh-CN"/>
    </w:rPr>
  </w:style>
  <w:style w:type="paragraph" w:customStyle="1" w:styleId="Default">
    <w:name w:val="Default"/>
    <w:basedOn w:val="Normal"/>
    <w:rsid w:val="00BB3049"/>
    <w:pPr>
      <w:autoSpaceDE w:val="0"/>
      <w:autoSpaceDN w:val="0"/>
    </w:pPr>
    <w:rPr>
      <w:rFonts w:eastAsiaTheme="minorHAnsi"/>
      <w:color w:val="000000"/>
      <w:sz w:val="24"/>
      <w:szCs w:val="24"/>
      <w:lang w:val="en-US" w:eastAsia="en-US"/>
    </w:rPr>
  </w:style>
  <w:style w:type="character" w:styleId="PageNumber">
    <w:name w:val="page number"/>
    <w:basedOn w:val="DefaultParagraphFont"/>
    <w:rsid w:val="0026052C"/>
  </w:style>
  <w:style w:type="paragraph" w:styleId="BodyText2">
    <w:name w:val="Body Text 2"/>
    <w:basedOn w:val="Normal"/>
    <w:link w:val="BodyText2Char"/>
    <w:rsid w:val="00924611"/>
    <w:pPr>
      <w:spacing w:after="120" w:line="480" w:lineRule="auto"/>
    </w:pPr>
    <w:rPr>
      <w:rFonts w:ascii="Times New Roman" w:eastAsia="MS Mincho" w:hAnsi="Times New Roman" w:cs="Times New Roman"/>
      <w:sz w:val="24"/>
      <w:szCs w:val="24"/>
      <w:lang w:val="en-US" w:eastAsia="en-US"/>
    </w:rPr>
  </w:style>
  <w:style w:type="character" w:customStyle="1" w:styleId="BodyText2Char">
    <w:name w:val="Body Text 2 Char"/>
    <w:basedOn w:val="DefaultParagraphFont"/>
    <w:link w:val="BodyText2"/>
    <w:rsid w:val="00924611"/>
    <w:rPr>
      <w:rFonts w:eastAsia="MS Mincho"/>
      <w:sz w:val="24"/>
      <w:szCs w:val="24"/>
    </w:rPr>
  </w:style>
  <w:style w:type="paragraph" w:styleId="PlainText">
    <w:name w:val="Plain Text"/>
    <w:basedOn w:val="Normal"/>
    <w:link w:val="PlainTextChar"/>
    <w:uiPriority w:val="99"/>
    <w:rsid w:val="00924611"/>
    <w:rPr>
      <w:rFonts w:ascii="Courier New" w:hAnsi="Courier New" w:cs="Courier New"/>
      <w:color w:val="0000FF"/>
      <w:sz w:val="20"/>
      <w:lang w:val="en-US"/>
    </w:rPr>
  </w:style>
  <w:style w:type="character" w:customStyle="1" w:styleId="PlainTextChar">
    <w:name w:val="Plain Text Char"/>
    <w:basedOn w:val="DefaultParagraphFont"/>
    <w:link w:val="PlainText"/>
    <w:uiPriority w:val="99"/>
    <w:rsid w:val="00924611"/>
    <w:rPr>
      <w:rFonts w:ascii="Courier New" w:eastAsia="SimSun" w:hAnsi="Courier New" w:cs="Courier New"/>
      <w:color w:val="0000FF"/>
      <w:lang w:eastAsia="zh-CN"/>
    </w:rPr>
  </w:style>
  <w:style w:type="table" w:styleId="TableGrid">
    <w:name w:val="Table Grid"/>
    <w:basedOn w:val="TableNormal"/>
    <w:rsid w:val="00223D7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ofdocument">
    <w:name w:val="End of document"/>
    <w:basedOn w:val="Normal"/>
    <w:rsid w:val="00E55948"/>
    <w:pPr>
      <w:ind w:left="4536"/>
      <w:jc w:val="center"/>
    </w:pPr>
    <w:rPr>
      <w:rFonts w:ascii="Times New Roman" w:eastAsia="Times New Roman" w:hAnsi="Times New Roman" w:cs="Times New Roman"/>
      <w:sz w:val="24"/>
      <w:lang w:val="en-US" w:eastAsia="en-US"/>
    </w:rPr>
  </w:style>
  <w:style w:type="paragraph" w:styleId="TOC1">
    <w:name w:val="toc 1"/>
    <w:basedOn w:val="Normal"/>
    <w:next w:val="Normal"/>
    <w:autoRedefine/>
    <w:uiPriority w:val="39"/>
    <w:rsid w:val="00984EFC"/>
    <w:pPr>
      <w:tabs>
        <w:tab w:val="left" w:pos="567"/>
        <w:tab w:val="right" w:leader="dot" w:pos="9345"/>
      </w:tabs>
      <w:spacing w:after="100"/>
    </w:pPr>
    <w:rPr>
      <w:b/>
      <w:noProof/>
      <w:szCs w:val="22"/>
    </w:rPr>
  </w:style>
  <w:style w:type="paragraph" w:customStyle="1" w:styleId="Body">
    <w:name w:val="Body"/>
    <w:rsid w:val="006561C8"/>
    <w:rPr>
      <w:rFonts w:ascii="Helvetica" w:eastAsia="ヒラギノ角ゴ Pro W3" w:hAnsi="Helvetica" w:cs="Angsana New"/>
      <w:color w:val="000000"/>
      <w:sz w:val="24"/>
      <w:lang w:bidi="th-TH"/>
    </w:rPr>
  </w:style>
  <w:style w:type="character" w:customStyle="1" w:styleId="Heading5Char">
    <w:name w:val="Heading 5 Char"/>
    <w:basedOn w:val="DefaultParagraphFont"/>
    <w:link w:val="Heading5"/>
    <w:rsid w:val="006561C8"/>
    <w:rPr>
      <w:rFonts w:asciiTheme="minorHAnsi" w:hAnsiTheme="minorHAnsi" w:cstheme="minorBidi"/>
      <w:b/>
      <w:bCs/>
      <w:caps/>
      <w:color w:val="3E484E"/>
      <w:sz w:val="22"/>
      <w:szCs w:val="26"/>
      <w:lang w:val="en-GB" w:eastAsia="da-DK"/>
    </w:rPr>
  </w:style>
  <w:style w:type="character" w:customStyle="1" w:styleId="Heading6Char">
    <w:name w:val="Heading 6 Char"/>
    <w:basedOn w:val="DefaultParagraphFont"/>
    <w:link w:val="Heading6"/>
    <w:rsid w:val="006561C8"/>
    <w:rPr>
      <w:rFonts w:asciiTheme="majorHAnsi" w:eastAsiaTheme="majorEastAsia" w:hAnsiTheme="majorHAnsi" w:cstheme="majorBidi"/>
      <w:i/>
      <w:iCs/>
      <w:color w:val="243F60" w:themeColor="accent1" w:themeShade="7F"/>
      <w:sz w:val="22"/>
      <w:szCs w:val="22"/>
      <w:lang w:eastAsia="ja-JP"/>
    </w:rPr>
  </w:style>
  <w:style w:type="character" w:customStyle="1" w:styleId="Heading7Char">
    <w:name w:val="Heading 7 Char"/>
    <w:basedOn w:val="DefaultParagraphFont"/>
    <w:link w:val="Heading7"/>
    <w:rsid w:val="006561C8"/>
    <w:rPr>
      <w:rFonts w:ascii="Arial" w:hAnsi="Arial" w:cs="Arial"/>
      <w:b/>
      <w:bCs/>
      <w:caps/>
      <w:color w:val="3E484E"/>
      <w:sz w:val="22"/>
      <w:szCs w:val="26"/>
      <w:lang w:val="en-GB" w:eastAsia="da-DK"/>
    </w:rPr>
  </w:style>
  <w:style w:type="character" w:customStyle="1" w:styleId="Heading8Char">
    <w:name w:val="Heading 8 Char"/>
    <w:basedOn w:val="DefaultParagraphFont"/>
    <w:link w:val="Heading8"/>
    <w:rsid w:val="006561C8"/>
    <w:rPr>
      <w:rFonts w:asciiTheme="majorHAnsi" w:eastAsiaTheme="majorEastAsia" w:hAnsiTheme="majorHAnsi" w:cstheme="majorBidi"/>
      <w:color w:val="404040" w:themeColor="text1" w:themeTint="BF"/>
      <w:lang w:eastAsia="ja-JP"/>
    </w:rPr>
  </w:style>
  <w:style w:type="character" w:customStyle="1" w:styleId="Heading9Char">
    <w:name w:val="Heading 9 Char"/>
    <w:basedOn w:val="DefaultParagraphFont"/>
    <w:link w:val="Heading9"/>
    <w:rsid w:val="006561C8"/>
    <w:rPr>
      <w:rFonts w:ascii="Arial" w:hAnsi="Arial" w:cs="Arial"/>
      <w:b/>
      <w:bCs/>
      <w:caps/>
      <w:color w:val="3E484E"/>
      <w:sz w:val="22"/>
      <w:szCs w:val="26"/>
      <w:lang w:val="en-GB" w:eastAsia="da-DK"/>
    </w:rPr>
  </w:style>
  <w:style w:type="character" w:styleId="CommentReference">
    <w:name w:val="annotation reference"/>
    <w:basedOn w:val="DefaultParagraphFont"/>
    <w:unhideWhenUsed/>
    <w:rsid w:val="006561C8"/>
    <w:rPr>
      <w:sz w:val="16"/>
      <w:szCs w:val="16"/>
    </w:rPr>
  </w:style>
  <w:style w:type="paragraph" w:styleId="CommentSubject">
    <w:name w:val="annotation subject"/>
    <w:basedOn w:val="CommentText"/>
    <w:next w:val="CommentText"/>
    <w:link w:val="CommentSubjectChar"/>
    <w:unhideWhenUsed/>
    <w:rsid w:val="006561C8"/>
    <w:rPr>
      <w:rFonts w:asciiTheme="minorHAnsi" w:eastAsiaTheme="minorEastAsia" w:hAnsiTheme="minorHAnsi" w:cstheme="minorBidi"/>
      <w:b/>
      <w:bCs/>
      <w:sz w:val="20"/>
      <w:szCs w:val="22"/>
      <w:lang w:val="en-US" w:eastAsia="ja-JP"/>
    </w:rPr>
  </w:style>
  <w:style w:type="character" w:customStyle="1" w:styleId="CommentSubjectChar">
    <w:name w:val="Comment Subject Char"/>
    <w:basedOn w:val="CommentTextChar"/>
    <w:link w:val="CommentSubject"/>
    <w:rsid w:val="006561C8"/>
    <w:rPr>
      <w:rFonts w:asciiTheme="minorHAnsi" w:eastAsiaTheme="minorEastAsia" w:hAnsiTheme="minorHAnsi" w:cstheme="minorBidi"/>
      <w:b/>
      <w:bCs/>
      <w:sz w:val="18"/>
      <w:szCs w:val="22"/>
      <w:lang w:val="es-ES" w:eastAsia="ja-JP"/>
    </w:rPr>
  </w:style>
  <w:style w:type="character" w:customStyle="1" w:styleId="CommentTextChar1">
    <w:name w:val="Comment Text Char1"/>
    <w:basedOn w:val="DefaultParagraphFont"/>
    <w:rsid w:val="006561C8"/>
    <w:rPr>
      <w:rFonts w:ascii="Arial" w:hAnsi="Arial" w:cs="Arial"/>
      <w:sz w:val="18"/>
    </w:rPr>
  </w:style>
  <w:style w:type="character" w:customStyle="1" w:styleId="Heading3Char">
    <w:name w:val="Heading 3 Char"/>
    <w:basedOn w:val="DefaultParagraphFont"/>
    <w:link w:val="Heading3"/>
    <w:rsid w:val="006561C8"/>
    <w:rPr>
      <w:rFonts w:ascii="Arial" w:eastAsia="SimSun" w:hAnsi="Arial" w:cs="Arial"/>
      <w:bCs/>
      <w:sz w:val="22"/>
      <w:szCs w:val="26"/>
      <w:u w:val="single"/>
      <w:lang w:val="es-ES" w:eastAsia="zh-CN"/>
    </w:rPr>
  </w:style>
  <w:style w:type="paragraph" w:styleId="Revision">
    <w:name w:val="Revision"/>
    <w:hidden/>
    <w:uiPriority w:val="99"/>
    <w:semiHidden/>
    <w:rsid w:val="006561C8"/>
    <w:rPr>
      <w:rFonts w:asciiTheme="minorHAnsi" w:eastAsiaTheme="minorEastAsia" w:hAnsiTheme="minorHAnsi" w:cstheme="minorBidi"/>
      <w:sz w:val="22"/>
      <w:szCs w:val="22"/>
      <w:lang w:eastAsia="ja-JP"/>
    </w:rPr>
  </w:style>
  <w:style w:type="paragraph" w:customStyle="1" w:styleId="StyleHeading214ptAuto">
    <w:name w:val="Style Heading 2 + 14 pt Auto"/>
    <w:basedOn w:val="Heading2"/>
    <w:rsid w:val="006561C8"/>
    <w:pPr>
      <w:keepNext w:val="0"/>
      <w:widowControl w:val="0"/>
      <w:tabs>
        <w:tab w:val="num" w:pos="567"/>
      </w:tabs>
      <w:spacing w:before="0" w:after="0" w:line="300" w:lineRule="atLeast"/>
      <w:ind w:left="567" w:hanging="567"/>
      <w:jc w:val="center"/>
    </w:pPr>
    <w:rPr>
      <w:rFonts w:ascii="Arial Bold" w:eastAsia="Times New Roman" w:hAnsi="Arial Bold" w:cstheme="minorBidi"/>
      <w:b/>
      <w:sz w:val="24"/>
      <w:lang w:val="en-GB" w:eastAsia="da-DK"/>
    </w:rPr>
  </w:style>
  <w:style w:type="paragraph" w:styleId="TOC2">
    <w:name w:val="toc 2"/>
    <w:basedOn w:val="Normal"/>
    <w:next w:val="Normal"/>
    <w:autoRedefine/>
    <w:uiPriority w:val="39"/>
    <w:unhideWhenUsed/>
    <w:rsid w:val="006561C8"/>
    <w:pPr>
      <w:tabs>
        <w:tab w:val="left" w:pos="9072"/>
      </w:tabs>
      <w:spacing w:after="120"/>
      <w:ind w:left="221"/>
    </w:pPr>
    <w:rPr>
      <w:rFonts w:eastAsiaTheme="minorEastAsia" w:cstheme="minorBidi"/>
      <w:caps/>
      <w:noProof/>
      <w:sz w:val="20"/>
      <w:szCs w:val="22"/>
      <w:lang w:val="en-US" w:eastAsia="ja-JP"/>
    </w:rPr>
  </w:style>
  <w:style w:type="paragraph" w:styleId="BlockText">
    <w:name w:val="Block Text"/>
    <w:basedOn w:val="Normal"/>
    <w:rsid w:val="006561C8"/>
    <w:pPr>
      <w:tabs>
        <w:tab w:val="left" w:pos="2127"/>
      </w:tabs>
      <w:spacing w:after="40"/>
      <w:ind w:left="2127" w:right="896" w:hanging="2127"/>
    </w:pPr>
    <w:rPr>
      <w:rFonts w:ascii="Times New Roman" w:eastAsia="Times New Roman" w:hAnsi="Times New Roman" w:cs="Times New Roman"/>
      <w:sz w:val="24"/>
      <w:lang w:val="en-US" w:eastAsia="en-US"/>
    </w:rPr>
  </w:style>
  <w:style w:type="paragraph" w:customStyle="1" w:styleId="zanxtext">
    <w:name w:val="zanxtext"/>
    <w:basedOn w:val="Normal"/>
    <w:rsid w:val="006561C8"/>
    <w:pPr>
      <w:spacing w:before="120"/>
    </w:pPr>
    <w:rPr>
      <w:rFonts w:ascii="Times New Roman" w:eastAsia="Times New Roman" w:hAnsi="Times New Roman" w:cs="Times New Roman"/>
      <w:sz w:val="24"/>
      <w:lang w:val="en-US" w:eastAsia="en-US"/>
    </w:rPr>
  </w:style>
  <w:style w:type="character" w:customStyle="1" w:styleId="Heading4Char">
    <w:name w:val="Heading 4 Char"/>
    <w:basedOn w:val="DefaultParagraphFont"/>
    <w:link w:val="Heading4"/>
    <w:rsid w:val="006561C8"/>
    <w:rPr>
      <w:rFonts w:ascii="Arial" w:eastAsia="SimSun" w:hAnsi="Arial" w:cs="Arial"/>
      <w:bCs/>
      <w:i/>
      <w:sz w:val="22"/>
      <w:szCs w:val="28"/>
      <w:lang w:val="es-ES" w:eastAsia="zh-CN"/>
    </w:rPr>
  </w:style>
  <w:style w:type="paragraph" w:customStyle="1" w:styleId="CharCharCharChar">
    <w:name w:val="Char Char Char Char"/>
    <w:basedOn w:val="Normal"/>
    <w:rsid w:val="006561C8"/>
    <w:pPr>
      <w:spacing w:after="160" w:line="240" w:lineRule="exact"/>
    </w:pPr>
    <w:rPr>
      <w:rFonts w:ascii="Verdana" w:eastAsia="Times New Roman" w:hAnsi="Verdana" w:cs="Times New Roman"/>
      <w:sz w:val="20"/>
      <w:lang w:val="en-GB" w:eastAsia="en-US"/>
    </w:rPr>
  </w:style>
  <w:style w:type="character" w:customStyle="1" w:styleId="hps">
    <w:name w:val="hps"/>
    <w:basedOn w:val="DefaultParagraphFont"/>
    <w:rsid w:val="006561C8"/>
  </w:style>
  <w:style w:type="paragraph" w:customStyle="1" w:styleId="1">
    <w:name w:val="1"/>
    <w:basedOn w:val="Normal"/>
    <w:rsid w:val="006561C8"/>
    <w:pPr>
      <w:spacing w:after="160" w:line="240" w:lineRule="exact"/>
    </w:pPr>
    <w:rPr>
      <w:rFonts w:ascii="Verdana" w:eastAsia="Times New Roman" w:hAnsi="Verdana" w:cs="Times New Roman"/>
      <w:sz w:val="20"/>
      <w:lang w:val="en-GB" w:eastAsia="en-US"/>
    </w:rPr>
  </w:style>
  <w:style w:type="paragraph" w:customStyle="1" w:styleId="NormalArial">
    <w:name w:val="Normal + Arial"/>
    <w:aliases w:val="10 pt"/>
    <w:basedOn w:val="ListParagraph"/>
    <w:rsid w:val="006561C8"/>
    <w:pPr>
      <w:ind w:left="-28"/>
      <w:contextualSpacing w:val="0"/>
    </w:pPr>
    <w:rPr>
      <w:rFonts w:ascii="Arial" w:eastAsia="MS Mincho" w:hAnsi="Arial" w:cs="Arial"/>
      <w:bCs/>
      <w:sz w:val="20"/>
      <w:szCs w:val="20"/>
    </w:rPr>
  </w:style>
  <w:style w:type="paragraph" w:customStyle="1" w:styleId="Normal6">
    <w:name w:val="Normal+6"/>
    <w:basedOn w:val="Normal"/>
    <w:next w:val="Normal"/>
    <w:rsid w:val="006561C8"/>
    <w:pPr>
      <w:autoSpaceDE w:val="0"/>
      <w:autoSpaceDN w:val="0"/>
      <w:adjustRightInd w:val="0"/>
    </w:pPr>
    <w:rPr>
      <w:rFonts w:eastAsia="Times New Roman" w:cs="Times New Roman"/>
      <w:sz w:val="24"/>
      <w:szCs w:val="24"/>
      <w:lang w:val="en-US" w:eastAsia="en-US"/>
    </w:rPr>
  </w:style>
  <w:style w:type="character" w:customStyle="1" w:styleId="paracolourtext1">
    <w:name w:val="paracolourtext1"/>
    <w:rsid w:val="006561C8"/>
    <w:rPr>
      <w:b w:val="0"/>
      <w:bCs w:val="0"/>
      <w:i w:val="0"/>
      <w:iCs w:val="0"/>
      <w:color w:val="800000"/>
      <w:sz w:val="20"/>
      <w:szCs w:val="20"/>
    </w:rPr>
  </w:style>
  <w:style w:type="paragraph" w:customStyle="1" w:styleId="tes1">
    <w:name w:val="tes1"/>
    <w:basedOn w:val="Normal"/>
    <w:rsid w:val="006561C8"/>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6561C8"/>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6561C8"/>
    <w:pPr>
      <w:suppressAutoHyphens/>
      <w:ind w:firstLine="340"/>
      <w:jc w:val="both"/>
    </w:pPr>
    <w:rPr>
      <w:rFonts w:ascii="Times New Roman" w:eastAsiaTheme="minorEastAsia" w:hAnsi="Times New Roman" w:cs="Times New Roman"/>
      <w:snapToGrid w:val="0"/>
      <w:sz w:val="16"/>
      <w:szCs w:val="22"/>
      <w:lang w:val="en-US" w:eastAsia="ja-JP"/>
    </w:rPr>
  </w:style>
  <w:style w:type="paragraph" w:styleId="Title">
    <w:name w:val="Title"/>
    <w:basedOn w:val="Normal"/>
    <w:link w:val="TitleChar"/>
    <w:qFormat/>
    <w:rsid w:val="006561C8"/>
    <w:pPr>
      <w:jc w:val="center"/>
    </w:pPr>
    <w:rPr>
      <w:rFonts w:ascii="Times New Roman" w:eastAsia="Times New Roman" w:hAnsi="Times New Roman" w:cs="Times New Roman"/>
      <w:b/>
      <w:sz w:val="24"/>
      <w:lang w:val="en-US" w:eastAsia="en-US"/>
    </w:rPr>
  </w:style>
  <w:style w:type="character" w:customStyle="1" w:styleId="TitleChar">
    <w:name w:val="Title Char"/>
    <w:basedOn w:val="DefaultParagraphFont"/>
    <w:link w:val="Title"/>
    <w:rsid w:val="006561C8"/>
    <w:rPr>
      <w:b/>
      <w:sz w:val="24"/>
    </w:rPr>
  </w:style>
  <w:style w:type="paragraph" w:styleId="Subtitle">
    <w:name w:val="Subtitle"/>
    <w:basedOn w:val="Normal"/>
    <w:link w:val="SubtitleChar"/>
    <w:qFormat/>
    <w:rsid w:val="006561C8"/>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basedOn w:val="DefaultParagraphFont"/>
    <w:link w:val="Subtitle"/>
    <w:rsid w:val="006561C8"/>
    <w:rPr>
      <w:b/>
      <w:caps/>
      <w:color w:val="0000FF"/>
      <w:sz w:val="28"/>
    </w:rPr>
  </w:style>
  <w:style w:type="paragraph" w:styleId="BodyTextIndent2">
    <w:name w:val="Body Text Indent 2"/>
    <w:basedOn w:val="Normal"/>
    <w:link w:val="BodyTextIndent2Char"/>
    <w:rsid w:val="006561C8"/>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basedOn w:val="DefaultParagraphFont"/>
    <w:link w:val="BodyTextIndent2"/>
    <w:rsid w:val="006561C8"/>
    <w:rPr>
      <w:rFonts w:ascii="Arial" w:hAnsi="Arial"/>
      <w:snapToGrid w:val="0"/>
      <w:color w:val="000000"/>
    </w:rPr>
  </w:style>
  <w:style w:type="paragraph" w:customStyle="1" w:styleId="3029-Titrechapitre">
    <w:name w:val="3029-Titre chapitre"/>
    <w:basedOn w:val="Heading1"/>
    <w:rsid w:val="006561C8"/>
    <w:pPr>
      <w:spacing w:before="0" w:after="0"/>
    </w:pPr>
    <w:rPr>
      <w:rFonts w:ascii="Arial Black" w:eastAsia="Times" w:hAnsi="Arial Black" w:cs="Times New Roman"/>
      <w:b w:val="0"/>
      <w:bCs w:val="0"/>
      <w:caps w:val="0"/>
      <w:color w:val="000080"/>
      <w:kern w:val="0"/>
      <w:sz w:val="30"/>
      <w:szCs w:val="20"/>
      <w:lang w:val="fr-FR" w:eastAsia="ja-JP"/>
    </w:rPr>
  </w:style>
  <w:style w:type="character" w:customStyle="1" w:styleId="underline">
    <w:name w:val="underline"/>
    <w:rsid w:val="006561C8"/>
    <w:rPr>
      <w:u w:val="single"/>
    </w:rPr>
  </w:style>
  <w:style w:type="paragraph" w:customStyle="1" w:styleId="zanxhead">
    <w:name w:val="zanxhead"/>
    <w:basedOn w:val="Normal"/>
    <w:rsid w:val="006561C8"/>
    <w:pPr>
      <w:spacing w:before="200"/>
    </w:pPr>
    <w:rPr>
      <w:rFonts w:ascii="Times New Roman" w:eastAsia="Times New Roman" w:hAnsi="Times New Roman" w:cs="Times New Roman"/>
      <w:b/>
      <w:color w:val="0000FF"/>
      <w:sz w:val="24"/>
      <w:lang w:val="en-US" w:eastAsia="en-US"/>
    </w:rPr>
  </w:style>
  <w:style w:type="character" w:styleId="Emphasis">
    <w:name w:val="Emphasis"/>
    <w:uiPriority w:val="20"/>
    <w:qFormat/>
    <w:rsid w:val="006561C8"/>
    <w:rPr>
      <w:i/>
      <w:iCs/>
    </w:rPr>
  </w:style>
  <w:style w:type="character" w:styleId="Strong">
    <w:name w:val="Strong"/>
    <w:qFormat/>
    <w:rsid w:val="006561C8"/>
    <w:rPr>
      <w:b/>
      <w:bCs/>
    </w:rPr>
  </w:style>
  <w:style w:type="paragraph" w:customStyle="1" w:styleId="preparedby">
    <w:name w:val="prepared by"/>
    <w:basedOn w:val="Normal"/>
    <w:next w:val="Normal"/>
    <w:rsid w:val="006561C8"/>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6561C8"/>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6561C8"/>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6561C8"/>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6561C8"/>
    <w:pPr>
      <w:spacing w:before="480"/>
      <w:contextualSpacing/>
    </w:pPr>
    <w:rPr>
      <w:sz w:val="24"/>
    </w:rPr>
  </w:style>
  <w:style w:type="paragraph" w:customStyle="1" w:styleId="Meetingplacedate">
    <w:name w:val="Meeting place &amp; date"/>
    <w:basedOn w:val="Sessiontitle"/>
    <w:next w:val="Documenttitle"/>
    <w:rsid w:val="006561C8"/>
    <w:pPr>
      <w:spacing w:before="0"/>
      <w:contextualSpacing w:val="0"/>
    </w:pPr>
  </w:style>
  <w:style w:type="paragraph" w:customStyle="1" w:styleId="Language">
    <w:name w:val="Language"/>
    <w:basedOn w:val="Normal"/>
    <w:next w:val="Normal"/>
    <w:rsid w:val="006561C8"/>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6561C8"/>
    <w:pPr>
      <w:spacing w:before="1800" w:after="0"/>
    </w:pPr>
  </w:style>
  <w:style w:type="paragraph" w:customStyle="1" w:styleId="CarCarCar">
    <w:name w:val="Car Car Car"/>
    <w:basedOn w:val="Normal"/>
    <w:rsid w:val="006561C8"/>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6561C8"/>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6561C8"/>
    <w:rPr>
      <w:color w:val="606420"/>
      <w:u w:val="single"/>
    </w:rPr>
  </w:style>
  <w:style w:type="character" w:customStyle="1" w:styleId="SalutationChar">
    <w:name w:val="Salutation Char"/>
    <w:basedOn w:val="DefaultParagraphFont"/>
    <w:link w:val="Salutation"/>
    <w:semiHidden/>
    <w:rsid w:val="006561C8"/>
    <w:rPr>
      <w:rFonts w:ascii="Arial" w:eastAsia="SimSun" w:hAnsi="Arial" w:cs="Arial"/>
      <w:sz w:val="22"/>
      <w:lang w:val="es-ES" w:eastAsia="zh-CN"/>
    </w:rPr>
  </w:style>
  <w:style w:type="character" w:customStyle="1" w:styleId="SignatureChar">
    <w:name w:val="Signature Char"/>
    <w:basedOn w:val="DefaultParagraphFont"/>
    <w:link w:val="Signature"/>
    <w:semiHidden/>
    <w:rsid w:val="006561C8"/>
    <w:rPr>
      <w:rFonts w:ascii="Arial" w:eastAsia="SimSun" w:hAnsi="Arial" w:cs="Arial"/>
      <w:sz w:val="22"/>
      <w:lang w:val="es-ES" w:eastAsia="zh-CN"/>
    </w:rPr>
  </w:style>
  <w:style w:type="character" w:customStyle="1" w:styleId="EndnoteTextChar">
    <w:name w:val="Endnote Text Char"/>
    <w:basedOn w:val="DefaultParagraphFont"/>
    <w:link w:val="EndnoteText"/>
    <w:semiHidden/>
    <w:rsid w:val="006561C8"/>
    <w:rPr>
      <w:rFonts w:ascii="Arial" w:eastAsia="SimSun" w:hAnsi="Arial" w:cs="Arial"/>
      <w:sz w:val="18"/>
      <w:lang w:val="es-ES" w:eastAsia="zh-CN"/>
    </w:rPr>
  </w:style>
  <w:style w:type="character" w:customStyle="1" w:styleId="Bona">
    <w:name w:val="Bona"/>
    <w:semiHidden/>
    <w:rsid w:val="006561C8"/>
    <w:rPr>
      <w:rFonts w:ascii="Arial" w:hAnsi="Arial" w:cs="Arial"/>
      <w:color w:val="000080"/>
      <w:sz w:val="20"/>
      <w:szCs w:val="20"/>
    </w:rPr>
  </w:style>
  <w:style w:type="character" w:customStyle="1" w:styleId="st">
    <w:name w:val="st"/>
    <w:basedOn w:val="DefaultParagraphFont"/>
    <w:rsid w:val="006561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856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39.emf"/><Relationship Id="rId299" Type="http://schemas.openxmlformats.org/officeDocument/2006/relationships/image" Target="media/image170.emf"/><Relationship Id="rId303" Type="http://schemas.openxmlformats.org/officeDocument/2006/relationships/header" Target="header14.xml"/><Relationship Id="rId21" Type="http://schemas.openxmlformats.org/officeDocument/2006/relationships/image" Target="media/image4.emf"/><Relationship Id="rId42" Type="http://schemas.openxmlformats.org/officeDocument/2006/relationships/image" Target="media/image15.emf"/><Relationship Id="rId63" Type="http://schemas.openxmlformats.org/officeDocument/2006/relationships/image" Target="media/image21.emf"/><Relationship Id="rId84" Type="http://schemas.microsoft.com/office/2007/relationships/diagramDrawing" Target="diagrams/drawing7.xml"/><Relationship Id="rId138" Type="http://schemas.openxmlformats.org/officeDocument/2006/relationships/image" Target="media/image45.emf"/><Relationship Id="rId159" Type="http://schemas.microsoft.com/office/2007/relationships/diagramDrawing" Target="diagrams/drawing17.xml"/><Relationship Id="rId324" Type="http://schemas.openxmlformats.org/officeDocument/2006/relationships/image" Target="media/image187.emf"/><Relationship Id="rId170" Type="http://schemas.openxmlformats.org/officeDocument/2006/relationships/diagramData" Target="diagrams/data19.xml"/><Relationship Id="rId191" Type="http://schemas.openxmlformats.org/officeDocument/2006/relationships/image" Target="media/image68.emf"/><Relationship Id="rId205" Type="http://schemas.openxmlformats.org/officeDocument/2006/relationships/image" Target="media/image82.emf"/><Relationship Id="rId226" Type="http://schemas.openxmlformats.org/officeDocument/2006/relationships/image" Target="media/image98.emf"/><Relationship Id="rId247" Type="http://schemas.openxmlformats.org/officeDocument/2006/relationships/image" Target="media/image119.emf"/><Relationship Id="rId107" Type="http://schemas.openxmlformats.org/officeDocument/2006/relationships/diagramColors" Target="diagrams/colors10.xml"/><Relationship Id="rId268" Type="http://schemas.openxmlformats.org/officeDocument/2006/relationships/image" Target="media/image139.png"/><Relationship Id="rId289" Type="http://schemas.openxmlformats.org/officeDocument/2006/relationships/image" Target="media/image160.emf"/><Relationship Id="rId11" Type="http://schemas.openxmlformats.org/officeDocument/2006/relationships/header" Target="header2.xml"/><Relationship Id="rId32" Type="http://schemas.openxmlformats.org/officeDocument/2006/relationships/image" Target="media/image10.emf"/><Relationship Id="rId53" Type="http://schemas.openxmlformats.org/officeDocument/2006/relationships/diagramColors" Target="diagrams/colors3.xml"/><Relationship Id="rId74" Type="http://schemas.openxmlformats.org/officeDocument/2006/relationships/diagramLayout" Target="diagrams/layout6.xml"/><Relationship Id="rId128" Type="http://schemas.openxmlformats.org/officeDocument/2006/relationships/diagramQuickStyle" Target="diagrams/quickStyle13.xml"/><Relationship Id="rId149" Type="http://schemas.openxmlformats.org/officeDocument/2006/relationships/diagramLayout" Target="diagrams/layout16.xml"/><Relationship Id="rId314" Type="http://schemas.openxmlformats.org/officeDocument/2006/relationships/image" Target="media/image181.emf"/><Relationship Id="rId335" Type="http://schemas.openxmlformats.org/officeDocument/2006/relationships/fontTable" Target="fontTable.xml"/><Relationship Id="rId5" Type="http://schemas.openxmlformats.org/officeDocument/2006/relationships/settings" Target="settings.xml"/><Relationship Id="rId95" Type="http://schemas.openxmlformats.org/officeDocument/2006/relationships/image" Target="media/image32.emf"/><Relationship Id="rId160" Type="http://schemas.openxmlformats.org/officeDocument/2006/relationships/image" Target="media/image52.emf"/><Relationship Id="rId181" Type="http://schemas.openxmlformats.org/officeDocument/2006/relationships/diagramQuickStyle" Target="diagrams/quickStyle20.xml"/><Relationship Id="rId216" Type="http://schemas.openxmlformats.org/officeDocument/2006/relationships/image" Target="media/image88.emf"/><Relationship Id="rId237" Type="http://schemas.openxmlformats.org/officeDocument/2006/relationships/image" Target="media/image109.emf"/><Relationship Id="rId258" Type="http://schemas.openxmlformats.org/officeDocument/2006/relationships/image" Target="media/image130.emf"/><Relationship Id="rId279" Type="http://schemas.openxmlformats.org/officeDocument/2006/relationships/image" Target="media/image150.emf"/><Relationship Id="rId22" Type="http://schemas.openxmlformats.org/officeDocument/2006/relationships/image" Target="media/image5.emf"/><Relationship Id="rId43" Type="http://schemas.openxmlformats.org/officeDocument/2006/relationships/diagramData" Target="diagrams/data2.xml"/><Relationship Id="rId64" Type="http://schemas.openxmlformats.org/officeDocument/2006/relationships/image" Target="media/image22.emf"/><Relationship Id="rId118" Type="http://schemas.openxmlformats.org/officeDocument/2006/relationships/image" Target="media/image40.emf"/><Relationship Id="rId139" Type="http://schemas.openxmlformats.org/officeDocument/2006/relationships/image" Target="media/image46.emf"/><Relationship Id="rId290" Type="http://schemas.openxmlformats.org/officeDocument/2006/relationships/image" Target="media/image161.emf"/><Relationship Id="rId304" Type="http://schemas.openxmlformats.org/officeDocument/2006/relationships/footer" Target="footer9.xml"/><Relationship Id="rId325" Type="http://schemas.openxmlformats.org/officeDocument/2006/relationships/image" Target="media/image188.emf"/><Relationship Id="rId85" Type="http://schemas.openxmlformats.org/officeDocument/2006/relationships/image" Target="media/image27.emf"/><Relationship Id="rId150" Type="http://schemas.openxmlformats.org/officeDocument/2006/relationships/diagramQuickStyle" Target="diagrams/quickStyle16.xml"/><Relationship Id="rId171" Type="http://schemas.openxmlformats.org/officeDocument/2006/relationships/diagramLayout" Target="diagrams/layout19.xml"/><Relationship Id="rId192" Type="http://schemas.openxmlformats.org/officeDocument/2006/relationships/image" Target="media/image69.emf"/><Relationship Id="rId206" Type="http://schemas.openxmlformats.org/officeDocument/2006/relationships/image" Target="media/image83.emf"/><Relationship Id="rId227" Type="http://schemas.openxmlformats.org/officeDocument/2006/relationships/image" Target="media/image99.emf"/><Relationship Id="rId248" Type="http://schemas.openxmlformats.org/officeDocument/2006/relationships/image" Target="media/image120.emf"/><Relationship Id="rId269" Type="http://schemas.openxmlformats.org/officeDocument/2006/relationships/image" Target="media/image140.png"/><Relationship Id="rId12" Type="http://schemas.openxmlformats.org/officeDocument/2006/relationships/footer" Target="footer1.xml"/><Relationship Id="rId33" Type="http://schemas.openxmlformats.org/officeDocument/2006/relationships/image" Target="media/image11.emf"/><Relationship Id="rId108" Type="http://schemas.microsoft.com/office/2007/relationships/diagramDrawing" Target="diagrams/drawing10.xml"/><Relationship Id="rId129" Type="http://schemas.openxmlformats.org/officeDocument/2006/relationships/diagramColors" Target="diagrams/colors13.xml"/><Relationship Id="rId280" Type="http://schemas.openxmlformats.org/officeDocument/2006/relationships/image" Target="media/image151.emf"/><Relationship Id="rId315" Type="http://schemas.openxmlformats.org/officeDocument/2006/relationships/image" Target="media/image182.emf"/><Relationship Id="rId336" Type="http://schemas.openxmlformats.org/officeDocument/2006/relationships/theme" Target="theme/theme1.xml"/><Relationship Id="rId54" Type="http://schemas.microsoft.com/office/2007/relationships/diagramDrawing" Target="diagrams/drawing3.xml"/><Relationship Id="rId75" Type="http://schemas.openxmlformats.org/officeDocument/2006/relationships/diagramQuickStyle" Target="diagrams/quickStyle6.xml"/><Relationship Id="rId96" Type="http://schemas.openxmlformats.org/officeDocument/2006/relationships/diagramData" Target="diagrams/data9.xml"/><Relationship Id="rId140" Type="http://schemas.openxmlformats.org/officeDocument/2006/relationships/diagramData" Target="diagrams/data15.xml"/><Relationship Id="rId161" Type="http://schemas.openxmlformats.org/officeDocument/2006/relationships/image" Target="media/image53.emf"/><Relationship Id="rId182" Type="http://schemas.openxmlformats.org/officeDocument/2006/relationships/diagramColors" Target="diagrams/colors20.xml"/><Relationship Id="rId217" Type="http://schemas.openxmlformats.org/officeDocument/2006/relationships/image" Target="media/image89.emf"/><Relationship Id="rId6" Type="http://schemas.openxmlformats.org/officeDocument/2006/relationships/webSettings" Target="webSettings.xml"/><Relationship Id="rId238" Type="http://schemas.openxmlformats.org/officeDocument/2006/relationships/image" Target="media/image110.emf"/><Relationship Id="rId259" Type="http://schemas.openxmlformats.org/officeDocument/2006/relationships/image" Target="media/image131.emf"/><Relationship Id="rId23" Type="http://schemas.openxmlformats.org/officeDocument/2006/relationships/image" Target="media/image6.emf"/><Relationship Id="rId119" Type="http://schemas.openxmlformats.org/officeDocument/2006/relationships/diagramData" Target="diagrams/data12.xml"/><Relationship Id="rId270" Type="http://schemas.openxmlformats.org/officeDocument/2006/relationships/image" Target="media/image141.png"/><Relationship Id="rId291" Type="http://schemas.openxmlformats.org/officeDocument/2006/relationships/image" Target="media/image162.emf"/><Relationship Id="rId305" Type="http://schemas.openxmlformats.org/officeDocument/2006/relationships/footer" Target="footer10.xml"/><Relationship Id="rId326" Type="http://schemas.openxmlformats.org/officeDocument/2006/relationships/image" Target="media/image189.emf"/><Relationship Id="rId44" Type="http://schemas.openxmlformats.org/officeDocument/2006/relationships/diagramLayout" Target="diagrams/layout2.xml"/><Relationship Id="rId65" Type="http://schemas.openxmlformats.org/officeDocument/2006/relationships/header" Target="header9.xml"/><Relationship Id="rId86" Type="http://schemas.openxmlformats.org/officeDocument/2006/relationships/image" Target="media/image28.emf"/><Relationship Id="rId130" Type="http://schemas.microsoft.com/office/2007/relationships/diagramDrawing" Target="diagrams/drawing13.xml"/><Relationship Id="rId151" Type="http://schemas.openxmlformats.org/officeDocument/2006/relationships/diagramColors" Target="diagrams/colors16.xml"/><Relationship Id="rId172" Type="http://schemas.openxmlformats.org/officeDocument/2006/relationships/diagramQuickStyle" Target="diagrams/quickStyle19.xml"/><Relationship Id="rId193" Type="http://schemas.openxmlformats.org/officeDocument/2006/relationships/image" Target="media/image70.emf"/><Relationship Id="rId207" Type="http://schemas.openxmlformats.org/officeDocument/2006/relationships/header" Target="header10.xml"/><Relationship Id="rId228" Type="http://schemas.openxmlformats.org/officeDocument/2006/relationships/image" Target="media/image100.emf"/><Relationship Id="rId249" Type="http://schemas.openxmlformats.org/officeDocument/2006/relationships/image" Target="media/image121.emf"/><Relationship Id="rId13" Type="http://schemas.openxmlformats.org/officeDocument/2006/relationships/footer" Target="footer2.xml"/><Relationship Id="rId109" Type="http://schemas.openxmlformats.org/officeDocument/2006/relationships/image" Target="media/image36.emf"/><Relationship Id="rId260" Type="http://schemas.openxmlformats.org/officeDocument/2006/relationships/image" Target="media/image132.emf"/><Relationship Id="rId281" Type="http://schemas.openxmlformats.org/officeDocument/2006/relationships/image" Target="media/image152.png"/><Relationship Id="rId316" Type="http://schemas.openxmlformats.org/officeDocument/2006/relationships/image" Target="media/image183.emf"/><Relationship Id="rId34" Type="http://schemas.openxmlformats.org/officeDocument/2006/relationships/image" Target="media/image12.emf"/><Relationship Id="rId55" Type="http://schemas.openxmlformats.org/officeDocument/2006/relationships/image" Target="media/image18.emf"/><Relationship Id="rId76" Type="http://schemas.openxmlformats.org/officeDocument/2006/relationships/diagramColors" Target="diagrams/colors6.xml"/><Relationship Id="rId97" Type="http://schemas.openxmlformats.org/officeDocument/2006/relationships/diagramLayout" Target="diagrams/layout9.xml"/><Relationship Id="rId120" Type="http://schemas.openxmlformats.org/officeDocument/2006/relationships/diagramLayout" Target="diagrams/layout12.xml"/><Relationship Id="rId141" Type="http://schemas.openxmlformats.org/officeDocument/2006/relationships/diagramLayout" Target="diagrams/layout15.xml"/><Relationship Id="rId7" Type="http://schemas.openxmlformats.org/officeDocument/2006/relationships/footnotes" Target="footnotes.xml"/><Relationship Id="rId162" Type="http://schemas.openxmlformats.org/officeDocument/2006/relationships/diagramData" Target="diagrams/data18.xml"/><Relationship Id="rId183" Type="http://schemas.microsoft.com/office/2007/relationships/diagramDrawing" Target="diagrams/drawing20.xml"/><Relationship Id="rId218" Type="http://schemas.openxmlformats.org/officeDocument/2006/relationships/image" Target="media/image90.emf"/><Relationship Id="rId239" Type="http://schemas.openxmlformats.org/officeDocument/2006/relationships/image" Target="media/image111.emf"/><Relationship Id="rId250" Type="http://schemas.openxmlformats.org/officeDocument/2006/relationships/image" Target="media/image122.emf"/><Relationship Id="rId271" Type="http://schemas.openxmlformats.org/officeDocument/2006/relationships/image" Target="media/image142.emf"/><Relationship Id="rId292" Type="http://schemas.openxmlformats.org/officeDocument/2006/relationships/image" Target="media/image163.emf"/><Relationship Id="rId306" Type="http://schemas.openxmlformats.org/officeDocument/2006/relationships/image" Target="media/image173.emf"/><Relationship Id="rId24" Type="http://schemas.openxmlformats.org/officeDocument/2006/relationships/image" Target="media/image7.emf"/><Relationship Id="rId45" Type="http://schemas.openxmlformats.org/officeDocument/2006/relationships/diagramQuickStyle" Target="diagrams/quickStyle2.xml"/><Relationship Id="rId66" Type="http://schemas.openxmlformats.org/officeDocument/2006/relationships/diagramData" Target="diagrams/data5.xml"/><Relationship Id="rId87" Type="http://schemas.openxmlformats.org/officeDocument/2006/relationships/diagramData" Target="diagrams/data8.xml"/><Relationship Id="rId110" Type="http://schemas.openxmlformats.org/officeDocument/2006/relationships/image" Target="media/image37.emf"/><Relationship Id="rId131" Type="http://schemas.openxmlformats.org/officeDocument/2006/relationships/image" Target="media/image43.emf"/><Relationship Id="rId327" Type="http://schemas.openxmlformats.org/officeDocument/2006/relationships/image" Target="media/image190.emf"/><Relationship Id="rId152" Type="http://schemas.microsoft.com/office/2007/relationships/diagramDrawing" Target="diagrams/drawing16.xml"/><Relationship Id="rId173" Type="http://schemas.openxmlformats.org/officeDocument/2006/relationships/diagramColors" Target="diagrams/colors19.xml"/><Relationship Id="rId194" Type="http://schemas.openxmlformats.org/officeDocument/2006/relationships/image" Target="media/image71.emf"/><Relationship Id="rId208" Type="http://schemas.openxmlformats.org/officeDocument/2006/relationships/image" Target="media/image84.emf"/><Relationship Id="rId229" Type="http://schemas.openxmlformats.org/officeDocument/2006/relationships/image" Target="media/image101.emf"/><Relationship Id="rId240" Type="http://schemas.openxmlformats.org/officeDocument/2006/relationships/image" Target="media/image112.emf"/><Relationship Id="rId261" Type="http://schemas.openxmlformats.org/officeDocument/2006/relationships/image" Target="media/image133.png"/><Relationship Id="rId14" Type="http://schemas.openxmlformats.org/officeDocument/2006/relationships/footer" Target="footer3.xml"/><Relationship Id="rId35" Type="http://schemas.openxmlformats.org/officeDocument/2006/relationships/image" Target="media/image13.emf"/><Relationship Id="rId56" Type="http://schemas.openxmlformats.org/officeDocument/2006/relationships/image" Target="media/image19.emf"/><Relationship Id="rId77" Type="http://schemas.microsoft.com/office/2007/relationships/diagramDrawing" Target="diagrams/drawing6.xml"/><Relationship Id="rId100" Type="http://schemas.microsoft.com/office/2007/relationships/diagramDrawing" Target="diagrams/drawing9.xml"/><Relationship Id="rId282" Type="http://schemas.openxmlformats.org/officeDocument/2006/relationships/image" Target="media/image153.emf"/><Relationship Id="rId317" Type="http://schemas.openxmlformats.org/officeDocument/2006/relationships/image" Target="media/image184.emf"/><Relationship Id="rId8" Type="http://schemas.openxmlformats.org/officeDocument/2006/relationships/endnotes" Target="endnotes.xml"/><Relationship Id="rId51" Type="http://schemas.openxmlformats.org/officeDocument/2006/relationships/diagramLayout" Target="diagrams/layout3.xml"/><Relationship Id="rId72" Type="http://schemas.openxmlformats.org/officeDocument/2006/relationships/image" Target="media/image24.emf"/><Relationship Id="rId93" Type="http://schemas.openxmlformats.org/officeDocument/2006/relationships/image" Target="media/image30.emf"/><Relationship Id="rId98" Type="http://schemas.openxmlformats.org/officeDocument/2006/relationships/diagramQuickStyle" Target="diagrams/quickStyle9.xml"/><Relationship Id="rId121" Type="http://schemas.openxmlformats.org/officeDocument/2006/relationships/diagramQuickStyle" Target="diagrams/quickStyle12.xml"/><Relationship Id="rId142" Type="http://schemas.openxmlformats.org/officeDocument/2006/relationships/diagramQuickStyle" Target="diagrams/quickStyle15.xml"/><Relationship Id="rId163" Type="http://schemas.openxmlformats.org/officeDocument/2006/relationships/diagramLayout" Target="diagrams/layout18.xml"/><Relationship Id="rId184" Type="http://schemas.openxmlformats.org/officeDocument/2006/relationships/image" Target="media/image61.emf"/><Relationship Id="rId189" Type="http://schemas.openxmlformats.org/officeDocument/2006/relationships/image" Target="media/image66.emf"/><Relationship Id="rId219" Type="http://schemas.openxmlformats.org/officeDocument/2006/relationships/image" Target="media/image91.emf"/><Relationship Id="rId3" Type="http://schemas.openxmlformats.org/officeDocument/2006/relationships/styles" Target="styles.xml"/><Relationship Id="rId214" Type="http://schemas.openxmlformats.org/officeDocument/2006/relationships/image" Target="media/image86.emf"/><Relationship Id="rId230" Type="http://schemas.openxmlformats.org/officeDocument/2006/relationships/image" Target="media/image102.emf"/><Relationship Id="rId235" Type="http://schemas.openxmlformats.org/officeDocument/2006/relationships/image" Target="media/image107.emf"/><Relationship Id="rId251" Type="http://schemas.openxmlformats.org/officeDocument/2006/relationships/image" Target="media/image123.emf"/><Relationship Id="rId256" Type="http://schemas.openxmlformats.org/officeDocument/2006/relationships/image" Target="media/image128.png"/><Relationship Id="rId277" Type="http://schemas.openxmlformats.org/officeDocument/2006/relationships/image" Target="media/image148.emf"/><Relationship Id="rId298" Type="http://schemas.openxmlformats.org/officeDocument/2006/relationships/image" Target="media/image169.emf"/><Relationship Id="rId25" Type="http://schemas.openxmlformats.org/officeDocument/2006/relationships/header" Target="header6.xml"/><Relationship Id="rId46" Type="http://schemas.openxmlformats.org/officeDocument/2006/relationships/diagramColors" Target="diagrams/colors2.xml"/><Relationship Id="rId67" Type="http://schemas.openxmlformats.org/officeDocument/2006/relationships/diagramLayout" Target="diagrams/layout5.xml"/><Relationship Id="rId116" Type="http://schemas.openxmlformats.org/officeDocument/2006/relationships/image" Target="media/image38.emf"/><Relationship Id="rId137" Type="http://schemas.microsoft.com/office/2007/relationships/diagramDrawing" Target="diagrams/drawing14.xml"/><Relationship Id="rId158" Type="http://schemas.openxmlformats.org/officeDocument/2006/relationships/diagramColors" Target="diagrams/colors17.xml"/><Relationship Id="rId272" Type="http://schemas.openxmlformats.org/officeDocument/2006/relationships/image" Target="media/image143.png"/><Relationship Id="rId293" Type="http://schemas.openxmlformats.org/officeDocument/2006/relationships/image" Target="media/image164.emf"/><Relationship Id="rId302" Type="http://schemas.openxmlformats.org/officeDocument/2006/relationships/header" Target="header13.xml"/><Relationship Id="rId307" Type="http://schemas.openxmlformats.org/officeDocument/2006/relationships/image" Target="media/image174.emf"/><Relationship Id="rId323" Type="http://schemas.openxmlformats.org/officeDocument/2006/relationships/footer" Target="footer12.xml"/><Relationship Id="rId328" Type="http://schemas.openxmlformats.org/officeDocument/2006/relationships/image" Target="media/image191.emf"/><Relationship Id="rId20" Type="http://schemas.openxmlformats.org/officeDocument/2006/relationships/image" Target="media/image3.emf"/><Relationship Id="rId41" Type="http://schemas.openxmlformats.org/officeDocument/2006/relationships/image" Target="media/image14.emf"/><Relationship Id="rId62" Type="http://schemas.microsoft.com/office/2007/relationships/diagramDrawing" Target="diagrams/drawing4.xml"/><Relationship Id="rId83" Type="http://schemas.openxmlformats.org/officeDocument/2006/relationships/diagramColors" Target="diagrams/colors7.xml"/><Relationship Id="rId88" Type="http://schemas.openxmlformats.org/officeDocument/2006/relationships/diagramLayout" Target="diagrams/layout8.xml"/><Relationship Id="rId111" Type="http://schemas.openxmlformats.org/officeDocument/2006/relationships/diagramData" Target="diagrams/data11.xml"/><Relationship Id="rId132" Type="http://schemas.openxmlformats.org/officeDocument/2006/relationships/image" Target="media/image44.emf"/><Relationship Id="rId153" Type="http://schemas.openxmlformats.org/officeDocument/2006/relationships/image" Target="media/image50.emf"/><Relationship Id="rId174" Type="http://schemas.microsoft.com/office/2007/relationships/diagramDrawing" Target="diagrams/drawing19.xml"/><Relationship Id="rId179" Type="http://schemas.openxmlformats.org/officeDocument/2006/relationships/diagramData" Target="diagrams/data20.xml"/><Relationship Id="rId195" Type="http://schemas.openxmlformats.org/officeDocument/2006/relationships/image" Target="media/image72.emf"/><Relationship Id="rId209" Type="http://schemas.openxmlformats.org/officeDocument/2006/relationships/image" Target="media/image85.emf"/><Relationship Id="rId190" Type="http://schemas.openxmlformats.org/officeDocument/2006/relationships/image" Target="media/image67.emf"/><Relationship Id="rId204" Type="http://schemas.openxmlformats.org/officeDocument/2006/relationships/image" Target="media/image81.emf"/><Relationship Id="rId220" Type="http://schemas.openxmlformats.org/officeDocument/2006/relationships/image" Target="media/image92.emf"/><Relationship Id="rId225" Type="http://schemas.openxmlformats.org/officeDocument/2006/relationships/image" Target="media/image97.emf"/><Relationship Id="rId241" Type="http://schemas.openxmlformats.org/officeDocument/2006/relationships/image" Target="media/image113.emf"/><Relationship Id="rId246" Type="http://schemas.openxmlformats.org/officeDocument/2006/relationships/image" Target="media/image118.emf"/><Relationship Id="rId267" Type="http://schemas.openxmlformats.org/officeDocument/2006/relationships/image" Target="media/image138.png"/><Relationship Id="rId288" Type="http://schemas.openxmlformats.org/officeDocument/2006/relationships/image" Target="media/image159.emf"/><Relationship Id="rId15" Type="http://schemas.openxmlformats.org/officeDocument/2006/relationships/header" Target="header3.xml"/><Relationship Id="rId36" Type="http://schemas.openxmlformats.org/officeDocument/2006/relationships/diagramData" Target="diagrams/data1.xml"/><Relationship Id="rId57" Type="http://schemas.openxmlformats.org/officeDocument/2006/relationships/image" Target="media/image20.emf"/><Relationship Id="rId106" Type="http://schemas.openxmlformats.org/officeDocument/2006/relationships/diagramQuickStyle" Target="diagrams/quickStyle10.xml"/><Relationship Id="rId127" Type="http://schemas.openxmlformats.org/officeDocument/2006/relationships/diagramLayout" Target="diagrams/layout13.xml"/><Relationship Id="rId262" Type="http://schemas.openxmlformats.org/officeDocument/2006/relationships/image" Target="media/image134.png"/><Relationship Id="rId283" Type="http://schemas.openxmlformats.org/officeDocument/2006/relationships/image" Target="media/image154.emf"/><Relationship Id="rId313" Type="http://schemas.openxmlformats.org/officeDocument/2006/relationships/image" Target="media/image180.emf"/><Relationship Id="rId318" Type="http://schemas.openxmlformats.org/officeDocument/2006/relationships/image" Target="media/image185.emf"/><Relationship Id="rId10" Type="http://schemas.openxmlformats.org/officeDocument/2006/relationships/header" Target="header1.xml"/><Relationship Id="rId31" Type="http://schemas.openxmlformats.org/officeDocument/2006/relationships/image" Target="media/image9.emf"/><Relationship Id="rId52" Type="http://schemas.openxmlformats.org/officeDocument/2006/relationships/diagramQuickStyle" Target="diagrams/quickStyle3.xml"/><Relationship Id="rId73" Type="http://schemas.openxmlformats.org/officeDocument/2006/relationships/diagramData" Target="diagrams/data6.xml"/><Relationship Id="rId78" Type="http://schemas.openxmlformats.org/officeDocument/2006/relationships/image" Target="media/image25.emf"/><Relationship Id="rId94" Type="http://schemas.openxmlformats.org/officeDocument/2006/relationships/image" Target="media/image31.emf"/><Relationship Id="rId99" Type="http://schemas.openxmlformats.org/officeDocument/2006/relationships/diagramColors" Target="diagrams/colors9.xml"/><Relationship Id="rId101" Type="http://schemas.openxmlformats.org/officeDocument/2006/relationships/image" Target="media/image33.emf"/><Relationship Id="rId122" Type="http://schemas.openxmlformats.org/officeDocument/2006/relationships/diagramColors" Target="diagrams/colors12.xml"/><Relationship Id="rId143" Type="http://schemas.openxmlformats.org/officeDocument/2006/relationships/diagramColors" Target="diagrams/colors15.xml"/><Relationship Id="rId148" Type="http://schemas.openxmlformats.org/officeDocument/2006/relationships/diagramData" Target="diagrams/data16.xml"/><Relationship Id="rId164" Type="http://schemas.openxmlformats.org/officeDocument/2006/relationships/diagramQuickStyle" Target="diagrams/quickStyle18.xml"/><Relationship Id="rId169" Type="http://schemas.openxmlformats.org/officeDocument/2006/relationships/image" Target="media/image56.emf"/><Relationship Id="rId185" Type="http://schemas.openxmlformats.org/officeDocument/2006/relationships/image" Target="media/image62.emf"/><Relationship Id="rId334" Type="http://schemas.openxmlformats.org/officeDocument/2006/relationships/footer" Target="footer13.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diagramLayout" Target="diagrams/layout20.xml"/><Relationship Id="rId210" Type="http://schemas.openxmlformats.org/officeDocument/2006/relationships/header" Target="header11.xml"/><Relationship Id="rId215" Type="http://schemas.openxmlformats.org/officeDocument/2006/relationships/image" Target="media/image87.emf"/><Relationship Id="rId236" Type="http://schemas.openxmlformats.org/officeDocument/2006/relationships/image" Target="media/image108.emf"/><Relationship Id="rId257" Type="http://schemas.openxmlformats.org/officeDocument/2006/relationships/image" Target="media/image129.png"/><Relationship Id="rId278" Type="http://schemas.openxmlformats.org/officeDocument/2006/relationships/image" Target="media/image149.emf"/><Relationship Id="rId26" Type="http://schemas.openxmlformats.org/officeDocument/2006/relationships/header" Target="header7.xml"/><Relationship Id="rId231" Type="http://schemas.openxmlformats.org/officeDocument/2006/relationships/image" Target="media/image103.emf"/><Relationship Id="rId252" Type="http://schemas.openxmlformats.org/officeDocument/2006/relationships/image" Target="media/image124.emf"/><Relationship Id="rId273" Type="http://schemas.openxmlformats.org/officeDocument/2006/relationships/image" Target="media/image144.png"/><Relationship Id="rId294" Type="http://schemas.openxmlformats.org/officeDocument/2006/relationships/image" Target="media/image165.emf"/><Relationship Id="rId308" Type="http://schemas.openxmlformats.org/officeDocument/2006/relationships/image" Target="media/image175.emf"/><Relationship Id="rId329" Type="http://schemas.openxmlformats.org/officeDocument/2006/relationships/image" Target="media/image192.emf"/><Relationship Id="rId47" Type="http://schemas.microsoft.com/office/2007/relationships/diagramDrawing" Target="diagrams/drawing2.xml"/><Relationship Id="rId68" Type="http://schemas.openxmlformats.org/officeDocument/2006/relationships/diagramQuickStyle" Target="diagrams/quickStyle5.xml"/><Relationship Id="rId89" Type="http://schemas.openxmlformats.org/officeDocument/2006/relationships/diagramQuickStyle" Target="diagrams/quickStyle8.xml"/><Relationship Id="rId112" Type="http://schemas.openxmlformats.org/officeDocument/2006/relationships/diagramLayout" Target="diagrams/layout11.xml"/><Relationship Id="rId133" Type="http://schemas.openxmlformats.org/officeDocument/2006/relationships/diagramData" Target="diagrams/data14.xml"/><Relationship Id="rId154" Type="http://schemas.openxmlformats.org/officeDocument/2006/relationships/image" Target="media/image51.emf"/><Relationship Id="rId175" Type="http://schemas.openxmlformats.org/officeDocument/2006/relationships/image" Target="media/image57.emf"/><Relationship Id="rId196" Type="http://schemas.openxmlformats.org/officeDocument/2006/relationships/image" Target="media/image73.emf"/><Relationship Id="rId200" Type="http://schemas.openxmlformats.org/officeDocument/2006/relationships/image" Target="media/image77.emf"/><Relationship Id="rId16" Type="http://schemas.openxmlformats.org/officeDocument/2006/relationships/header" Target="header4.xml"/><Relationship Id="rId221" Type="http://schemas.openxmlformats.org/officeDocument/2006/relationships/image" Target="media/image93.emf"/><Relationship Id="rId242" Type="http://schemas.openxmlformats.org/officeDocument/2006/relationships/image" Target="media/image114.emf"/><Relationship Id="rId263" Type="http://schemas.openxmlformats.org/officeDocument/2006/relationships/oleObject" Target="embeddings/oleObject1.bin"/><Relationship Id="rId284" Type="http://schemas.openxmlformats.org/officeDocument/2006/relationships/image" Target="media/image155.emf"/><Relationship Id="rId319" Type="http://schemas.openxmlformats.org/officeDocument/2006/relationships/image" Target="media/image186.emf"/><Relationship Id="rId37" Type="http://schemas.openxmlformats.org/officeDocument/2006/relationships/diagramLayout" Target="diagrams/layout1.xml"/><Relationship Id="rId58" Type="http://schemas.openxmlformats.org/officeDocument/2006/relationships/diagramData" Target="diagrams/data4.xml"/><Relationship Id="rId79" Type="http://schemas.openxmlformats.org/officeDocument/2006/relationships/image" Target="media/image26.emf"/><Relationship Id="rId102" Type="http://schemas.openxmlformats.org/officeDocument/2006/relationships/image" Target="media/image34.emf"/><Relationship Id="rId123" Type="http://schemas.microsoft.com/office/2007/relationships/diagramDrawing" Target="diagrams/drawing12.xml"/><Relationship Id="rId144" Type="http://schemas.microsoft.com/office/2007/relationships/diagramDrawing" Target="diagrams/drawing15.xml"/><Relationship Id="rId330" Type="http://schemas.openxmlformats.org/officeDocument/2006/relationships/image" Target="media/image193.emf"/><Relationship Id="rId90" Type="http://schemas.openxmlformats.org/officeDocument/2006/relationships/diagramColors" Target="diagrams/colors8.xml"/><Relationship Id="rId165" Type="http://schemas.openxmlformats.org/officeDocument/2006/relationships/diagramColors" Target="diagrams/colors18.xml"/><Relationship Id="rId186" Type="http://schemas.openxmlformats.org/officeDocument/2006/relationships/image" Target="media/image63.emf"/><Relationship Id="rId211" Type="http://schemas.openxmlformats.org/officeDocument/2006/relationships/header" Target="header12.xml"/><Relationship Id="rId232" Type="http://schemas.openxmlformats.org/officeDocument/2006/relationships/image" Target="media/image104.emf"/><Relationship Id="rId253" Type="http://schemas.openxmlformats.org/officeDocument/2006/relationships/image" Target="media/image125.emf"/><Relationship Id="rId274" Type="http://schemas.openxmlformats.org/officeDocument/2006/relationships/image" Target="media/image145.png"/><Relationship Id="rId295" Type="http://schemas.openxmlformats.org/officeDocument/2006/relationships/image" Target="media/image166.png"/><Relationship Id="rId309" Type="http://schemas.openxmlformats.org/officeDocument/2006/relationships/image" Target="media/image176.emf"/><Relationship Id="rId27" Type="http://schemas.openxmlformats.org/officeDocument/2006/relationships/footer" Target="footer5.xml"/><Relationship Id="rId48" Type="http://schemas.openxmlformats.org/officeDocument/2006/relationships/image" Target="media/image16.emf"/><Relationship Id="rId69" Type="http://schemas.openxmlformats.org/officeDocument/2006/relationships/diagramColors" Target="diagrams/colors5.xml"/><Relationship Id="rId113" Type="http://schemas.openxmlformats.org/officeDocument/2006/relationships/diagramQuickStyle" Target="diagrams/quickStyle11.xml"/><Relationship Id="rId134" Type="http://schemas.openxmlformats.org/officeDocument/2006/relationships/diagramLayout" Target="diagrams/layout14.xml"/><Relationship Id="rId320" Type="http://schemas.openxmlformats.org/officeDocument/2006/relationships/header" Target="header15.xml"/><Relationship Id="rId80" Type="http://schemas.openxmlformats.org/officeDocument/2006/relationships/diagramData" Target="diagrams/data7.xml"/><Relationship Id="rId155" Type="http://schemas.openxmlformats.org/officeDocument/2006/relationships/diagramData" Target="diagrams/data17.xml"/><Relationship Id="rId176" Type="http://schemas.openxmlformats.org/officeDocument/2006/relationships/image" Target="media/image58.emf"/><Relationship Id="rId197" Type="http://schemas.openxmlformats.org/officeDocument/2006/relationships/image" Target="media/image74.emf"/><Relationship Id="rId201" Type="http://schemas.openxmlformats.org/officeDocument/2006/relationships/image" Target="media/image78.emf"/><Relationship Id="rId222" Type="http://schemas.openxmlformats.org/officeDocument/2006/relationships/image" Target="media/image94.emf"/><Relationship Id="rId243" Type="http://schemas.openxmlformats.org/officeDocument/2006/relationships/image" Target="media/image115.emf"/><Relationship Id="rId264" Type="http://schemas.openxmlformats.org/officeDocument/2006/relationships/image" Target="media/image135.png"/><Relationship Id="rId285" Type="http://schemas.openxmlformats.org/officeDocument/2006/relationships/image" Target="media/image156.emf"/><Relationship Id="rId17" Type="http://schemas.openxmlformats.org/officeDocument/2006/relationships/header" Target="header5.xml"/><Relationship Id="rId38" Type="http://schemas.openxmlformats.org/officeDocument/2006/relationships/diagramQuickStyle" Target="diagrams/quickStyle1.xml"/><Relationship Id="rId59" Type="http://schemas.openxmlformats.org/officeDocument/2006/relationships/diagramLayout" Target="diagrams/layout4.xml"/><Relationship Id="rId103" Type="http://schemas.openxmlformats.org/officeDocument/2006/relationships/image" Target="media/image35.emf"/><Relationship Id="rId124" Type="http://schemas.openxmlformats.org/officeDocument/2006/relationships/image" Target="media/image41.emf"/><Relationship Id="rId310" Type="http://schemas.openxmlformats.org/officeDocument/2006/relationships/image" Target="media/image177.emf"/><Relationship Id="rId70" Type="http://schemas.microsoft.com/office/2007/relationships/diagramDrawing" Target="diagrams/drawing5.xml"/><Relationship Id="rId91" Type="http://schemas.microsoft.com/office/2007/relationships/diagramDrawing" Target="diagrams/drawing8.xml"/><Relationship Id="rId145" Type="http://schemas.openxmlformats.org/officeDocument/2006/relationships/image" Target="media/image47.emf"/><Relationship Id="rId166" Type="http://schemas.microsoft.com/office/2007/relationships/diagramDrawing" Target="diagrams/drawing18.xml"/><Relationship Id="rId187" Type="http://schemas.openxmlformats.org/officeDocument/2006/relationships/image" Target="media/image64.emf"/><Relationship Id="rId331" Type="http://schemas.openxmlformats.org/officeDocument/2006/relationships/image" Target="media/image194.emf"/><Relationship Id="rId1" Type="http://schemas.openxmlformats.org/officeDocument/2006/relationships/customXml" Target="../customXml/item1.xml"/><Relationship Id="rId212" Type="http://schemas.openxmlformats.org/officeDocument/2006/relationships/footer" Target="footer7.xml"/><Relationship Id="rId233" Type="http://schemas.openxmlformats.org/officeDocument/2006/relationships/image" Target="media/image105.emf"/><Relationship Id="rId254" Type="http://schemas.openxmlformats.org/officeDocument/2006/relationships/image" Target="media/image126.emf"/><Relationship Id="rId28" Type="http://schemas.openxmlformats.org/officeDocument/2006/relationships/header" Target="header8.xml"/><Relationship Id="rId49" Type="http://schemas.openxmlformats.org/officeDocument/2006/relationships/image" Target="media/image17.emf"/><Relationship Id="rId114" Type="http://schemas.openxmlformats.org/officeDocument/2006/relationships/diagramColors" Target="diagrams/colors11.xml"/><Relationship Id="rId275" Type="http://schemas.openxmlformats.org/officeDocument/2006/relationships/image" Target="media/image146.png"/><Relationship Id="rId296" Type="http://schemas.openxmlformats.org/officeDocument/2006/relationships/image" Target="media/image167.emf"/><Relationship Id="rId300" Type="http://schemas.openxmlformats.org/officeDocument/2006/relationships/image" Target="media/image171.emf"/><Relationship Id="rId60" Type="http://schemas.openxmlformats.org/officeDocument/2006/relationships/diagramQuickStyle" Target="diagrams/quickStyle4.xml"/><Relationship Id="rId81" Type="http://schemas.openxmlformats.org/officeDocument/2006/relationships/diagramLayout" Target="diagrams/layout7.xml"/><Relationship Id="rId135" Type="http://schemas.openxmlformats.org/officeDocument/2006/relationships/diagramQuickStyle" Target="diagrams/quickStyle14.xml"/><Relationship Id="rId156" Type="http://schemas.openxmlformats.org/officeDocument/2006/relationships/diagramLayout" Target="diagrams/layout17.xml"/><Relationship Id="rId177" Type="http://schemas.openxmlformats.org/officeDocument/2006/relationships/image" Target="media/image59.emf"/><Relationship Id="rId198" Type="http://schemas.openxmlformats.org/officeDocument/2006/relationships/image" Target="media/image75.emf"/><Relationship Id="rId321" Type="http://schemas.openxmlformats.org/officeDocument/2006/relationships/header" Target="header16.xml"/><Relationship Id="rId202" Type="http://schemas.openxmlformats.org/officeDocument/2006/relationships/image" Target="media/image79.emf"/><Relationship Id="rId223" Type="http://schemas.openxmlformats.org/officeDocument/2006/relationships/image" Target="media/image95.emf"/><Relationship Id="rId244" Type="http://schemas.openxmlformats.org/officeDocument/2006/relationships/image" Target="media/image116.emf"/><Relationship Id="rId18" Type="http://schemas.openxmlformats.org/officeDocument/2006/relationships/footer" Target="footer4.xml"/><Relationship Id="rId39" Type="http://schemas.openxmlformats.org/officeDocument/2006/relationships/diagramColors" Target="diagrams/colors1.xml"/><Relationship Id="rId265" Type="http://schemas.openxmlformats.org/officeDocument/2006/relationships/image" Target="media/image136.emf"/><Relationship Id="rId286" Type="http://schemas.openxmlformats.org/officeDocument/2006/relationships/image" Target="media/image157.emf"/><Relationship Id="rId50" Type="http://schemas.openxmlformats.org/officeDocument/2006/relationships/diagramData" Target="diagrams/data3.xml"/><Relationship Id="rId104" Type="http://schemas.openxmlformats.org/officeDocument/2006/relationships/diagramData" Target="diagrams/data10.xml"/><Relationship Id="rId125" Type="http://schemas.openxmlformats.org/officeDocument/2006/relationships/image" Target="media/image42.emf"/><Relationship Id="rId146" Type="http://schemas.openxmlformats.org/officeDocument/2006/relationships/image" Target="media/image48.emf"/><Relationship Id="rId167" Type="http://schemas.openxmlformats.org/officeDocument/2006/relationships/image" Target="media/image54.emf"/><Relationship Id="rId188" Type="http://schemas.openxmlformats.org/officeDocument/2006/relationships/image" Target="media/image65.emf"/><Relationship Id="rId311" Type="http://schemas.openxmlformats.org/officeDocument/2006/relationships/image" Target="media/image178.emf"/><Relationship Id="rId332" Type="http://schemas.openxmlformats.org/officeDocument/2006/relationships/image" Target="media/image195.emf"/><Relationship Id="rId71" Type="http://schemas.openxmlformats.org/officeDocument/2006/relationships/image" Target="media/image23.emf"/><Relationship Id="rId92" Type="http://schemas.openxmlformats.org/officeDocument/2006/relationships/image" Target="media/image29.emf"/><Relationship Id="rId213" Type="http://schemas.openxmlformats.org/officeDocument/2006/relationships/footer" Target="footer8.xml"/><Relationship Id="rId234" Type="http://schemas.openxmlformats.org/officeDocument/2006/relationships/image" Target="media/image106.emf"/><Relationship Id="rId2" Type="http://schemas.openxmlformats.org/officeDocument/2006/relationships/numbering" Target="numbering.xml"/><Relationship Id="rId29" Type="http://schemas.openxmlformats.org/officeDocument/2006/relationships/footer" Target="footer6.xml"/><Relationship Id="rId255" Type="http://schemas.openxmlformats.org/officeDocument/2006/relationships/image" Target="media/image127.emf"/><Relationship Id="rId276" Type="http://schemas.openxmlformats.org/officeDocument/2006/relationships/image" Target="media/image147.emf"/><Relationship Id="rId297" Type="http://schemas.openxmlformats.org/officeDocument/2006/relationships/image" Target="media/image168.emf"/><Relationship Id="rId40" Type="http://schemas.microsoft.com/office/2007/relationships/diagramDrawing" Target="diagrams/drawing1.xml"/><Relationship Id="rId115" Type="http://schemas.microsoft.com/office/2007/relationships/diagramDrawing" Target="diagrams/drawing11.xml"/><Relationship Id="rId136" Type="http://schemas.openxmlformats.org/officeDocument/2006/relationships/diagramColors" Target="diagrams/colors14.xml"/><Relationship Id="rId157" Type="http://schemas.openxmlformats.org/officeDocument/2006/relationships/diagramQuickStyle" Target="diagrams/quickStyle17.xml"/><Relationship Id="rId178" Type="http://schemas.openxmlformats.org/officeDocument/2006/relationships/image" Target="media/image60.emf"/><Relationship Id="rId301" Type="http://schemas.openxmlformats.org/officeDocument/2006/relationships/image" Target="media/image172.emf"/><Relationship Id="rId322" Type="http://schemas.openxmlformats.org/officeDocument/2006/relationships/footer" Target="footer11.xml"/><Relationship Id="rId61" Type="http://schemas.openxmlformats.org/officeDocument/2006/relationships/diagramColors" Target="diagrams/colors4.xml"/><Relationship Id="rId82" Type="http://schemas.openxmlformats.org/officeDocument/2006/relationships/diagramQuickStyle" Target="diagrams/quickStyle7.xml"/><Relationship Id="rId199" Type="http://schemas.openxmlformats.org/officeDocument/2006/relationships/image" Target="media/image76.emf"/><Relationship Id="rId203" Type="http://schemas.openxmlformats.org/officeDocument/2006/relationships/image" Target="media/image80.emf"/><Relationship Id="rId19" Type="http://schemas.openxmlformats.org/officeDocument/2006/relationships/image" Target="media/image2.emf"/><Relationship Id="rId224" Type="http://schemas.openxmlformats.org/officeDocument/2006/relationships/image" Target="media/image96.emf"/><Relationship Id="rId245" Type="http://schemas.openxmlformats.org/officeDocument/2006/relationships/image" Target="media/image117.emf"/><Relationship Id="rId266" Type="http://schemas.openxmlformats.org/officeDocument/2006/relationships/image" Target="media/image137.png"/><Relationship Id="rId287" Type="http://schemas.openxmlformats.org/officeDocument/2006/relationships/image" Target="media/image158.emf"/><Relationship Id="rId30" Type="http://schemas.openxmlformats.org/officeDocument/2006/relationships/image" Target="media/image8.emf"/><Relationship Id="rId105" Type="http://schemas.openxmlformats.org/officeDocument/2006/relationships/diagramLayout" Target="diagrams/layout10.xml"/><Relationship Id="rId126" Type="http://schemas.openxmlformats.org/officeDocument/2006/relationships/diagramData" Target="diagrams/data13.xml"/><Relationship Id="rId147" Type="http://schemas.openxmlformats.org/officeDocument/2006/relationships/image" Target="media/image49.png"/><Relationship Id="rId168" Type="http://schemas.openxmlformats.org/officeDocument/2006/relationships/image" Target="media/image55.emf"/><Relationship Id="rId312" Type="http://schemas.openxmlformats.org/officeDocument/2006/relationships/image" Target="media/image179.emf"/><Relationship Id="rId333" Type="http://schemas.openxmlformats.org/officeDocument/2006/relationships/header" Target="header17.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3%20(S).dotm"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D2E3765-25B6-48F8-B902-5C026C284173}"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15A8A4C-3386-41CB-B004-75AA2E0C8E7E}">
      <dgm:prSet phldrT="[Text]" custT="1"/>
      <dgm:spPr>
        <a:xfrm>
          <a:off x="2435300" y="805713"/>
          <a:ext cx="1030037" cy="4794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dgm:t>
    </dgm:pt>
    <dgm:pt modelId="{E2BD043E-B694-4760-8FC3-4BE59593050C}" type="parTrans" cxnId="{E55333C4-687C-4186-B8C3-1AC5CE56517A}">
      <dgm:prSet/>
      <dgm:spPr/>
      <dgm:t>
        <a:bodyPr/>
        <a:lstStyle/>
        <a:p>
          <a:endParaRPr lang="en-US"/>
        </a:p>
      </dgm:t>
    </dgm:pt>
    <dgm:pt modelId="{A7B35DF3-2893-4CFA-8C75-4D2DB5615E44}" type="sibTrans" cxnId="{E55333C4-687C-4186-B8C3-1AC5CE56517A}">
      <dgm:prSet/>
      <dgm:spPr/>
      <dgm:t>
        <a:bodyPr/>
        <a:lstStyle/>
        <a:p>
          <a:endParaRPr lang="en-US"/>
        </a:p>
      </dgm:t>
    </dgm:pt>
    <dgm:pt modelId="{C1693A50-4E68-4912-9A70-0C97C87B3D7E}">
      <dgm:prSet phldrT="[Text]" custT="1"/>
      <dgm:spPr>
        <a:xfrm>
          <a:off x="2492451" y="-9592"/>
          <a:ext cx="915735" cy="4794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gm:t>
    </dgm:pt>
    <dgm:pt modelId="{CF74A6F9-BA34-45B8-91B4-D30611FDBA60}" type="parTrans" cxnId="{9A60E343-BDF2-491A-A7D5-5299DFF2BE0A}">
      <dgm:prSet/>
      <dgm:spPr>
        <a:xfrm rot="16200000">
          <a:off x="2782382" y="630516"/>
          <a:ext cx="335872"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B485C48-2801-485C-A89E-B43F912DB680}" type="sibTrans" cxnId="{9A60E343-BDF2-491A-A7D5-5299DFF2BE0A}">
      <dgm:prSet/>
      <dgm:spPr/>
      <dgm:t>
        <a:bodyPr/>
        <a:lstStyle/>
        <a:p>
          <a:endParaRPr lang="en-US"/>
        </a:p>
      </dgm:t>
    </dgm:pt>
    <dgm:pt modelId="{FB911F09-22D9-48A7-A087-AEF5110B6682}">
      <dgm:prSet phldrT="[Text]" custT="1"/>
      <dgm:spPr>
        <a:xfrm>
          <a:off x="3343565" y="308015"/>
          <a:ext cx="896241" cy="4983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0E1FEA62-81EE-4117-997B-69ED8651A7D0}" type="parTrans" cxnId="{1763FEA0-AAF8-4DB3-8B21-253B8F239228}">
      <dgm:prSet/>
      <dgm:spPr>
        <a:xfrm rot="19792485">
          <a:off x="3256246" y="790522"/>
          <a:ext cx="241706"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8ACE05E-CC42-4FE0-BC36-110025A6B590}" type="sibTrans" cxnId="{1763FEA0-AAF8-4DB3-8B21-253B8F239228}">
      <dgm:prSet/>
      <dgm:spPr/>
      <dgm:t>
        <a:bodyPr/>
        <a:lstStyle/>
        <a:p>
          <a:endParaRPr lang="en-US"/>
        </a:p>
      </dgm:t>
    </dgm:pt>
    <dgm:pt modelId="{447D5D1D-0860-4B1B-A10A-5D7EC9B637D8}">
      <dgm:prSet phldrT="[Text]" custT="1"/>
      <dgm:spPr>
        <a:xfrm>
          <a:off x="4465461" y="776964"/>
          <a:ext cx="1136236" cy="5369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1000">
              <a:solidFill>
                <a:sysClr val="windowText" lastClr="000000"/>
              </a:solidFill>
              <a:latin typeface="Arial" panose="020B0604020202020204" pitchFamily="34" charset="0"/>
              <a:ea typeface="+mn-ea"/>
              <a:cs typeface="Arial" panose="020B0604020202020204" pitchFamily="34" charset="0"/>
            </a:rPr>
            <a:t>Oficinas regionales en la sede</a:t>
          </a:r>
          <a:endParaRPr lang="en-US" sz="900">
            <a:solidFill>
              <a:sysClr val="windowText" lastClr="000000"/>
            </a:solidFill>
            <a:latin typeface="Arial" panose="020B0604020202020204" pitchFamily="34" charset="0"/>
            <a:ea typeface="+mn-ea"/>
            <a:cs typeface="Arial" panose="020B0604020202020204" pitchFamily="34" charset="0"/>
          </a:endParaRPr>
        </a:p>
      </dgm:t>
    </dgm:pt>
    <dgm:pt modelId="{069AD1A8-1718-4E51-AEE7-85B69D54F950}" type="parTrans" cxnId="{4B8455E7-4B99-4C1B-A85F-368F4A08E0BE}">
      <dgm:prSet/>
      <dgm:spPr>
        <a:xfrm rot="13">
          <a:off x="3465337" y="1038173"/>
          <a:ext cx="1000123"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5AF909-31D3-4065-ABB3-82005C9FEF4C}" type="sibTrans" cxnId="{4B8455E7-4B99-4C1B-A85F-368F4A08E0BE}">
      <dgm:prSet/>
      <dgm:spPr/>
      <dgm:t>
        <a:bodyPr/>
        <a:lstStyle/>
        <a:p>
          <a:endParaRPr lang="en-US"/>
        </a:p>
      </dgm:t>
    </dgm:pt>
    <dgm:pt modelId="{DAF30ECC-CB4B-483A-93C7-47A100649D5D}">
      <dgm:prSet phldrT="[Text]" custT="1"/>
      <dgm:spPr>
        <a:xfrm>
          <a:off x="3437543" y="1288304"/>
          <a:ext cx="1045407" cy="49068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0719816-4AC2-4964-8797-61135BEDA83D}" type="parTrans" cxnId="{4E68C5E6-4E50-45B6-9E23-A7A97C86ED5E}">
      <dgm:prSet/>
      <dgm:spPr>
        <a:xfrm rot="1548005">
          <a:off x="3291555" y="1280610"/>
          <a:ext cx="320548"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39B8447-5FC4-4D01-8936-0F63CFB1E3F9}" type="sibTrans" cxnId="{4E68C5E6-4E50-45B6-9E23-A7A97C86ED5E}">
      <dgm:prSet/>
      <dgm:spPr/>
      <dgm:t>
        <a:bodyPr/>
        <a:lstStyle/>
        <a:p>
          <a:endParaRPr lang="en-US"/>
        </a:p>
      </dgm:t>
    </dgm:pt>
    <dgm:pt modelId="{17173E60-1AB7-4219-9E5D-2EB707D4762A}">
      <dgm:prSet phldrT="[Text]" custT="1"/>
      <dgm:spPr>
        <a:xfrm>
          <a:off x="1493142" y="284089"/>
          <a:ext cx="1103188" cy="56229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gm:t>
    </dgm:pt>
    <dgm:pt modelId="{6FBFA200-28B9-441C-9603-B958FB3D45CE}" type="parTrans" cxnId="{427458F4-2128-4535-BC60-2C807BAEAB78}">
      <dgm:prSet/>
      <dgm:spPr>
        <a:xfrm rot="12476106">
          <a:off x="2414883" y="809342"/>
          <a:ext cx="2077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E9757A6-6A62-4D49-A0CB-E147D06AE7B1}" type="sibTrans" cxnId="{427458F4-2128-4535-BC60-2C807BAEAB78}">
      <dgm:prSet/>
      <dgm:spPr/>
      <dgm:t>
        <a:bodyPr/>
        <a:lstStyle/>
        <a:p>
          <a:endParaRPr lang="en-US"/>
        </a:p>
      </dgm:t>
    </dgm:pt>
    <dgm:pt modelId="{06E8F230-0A46-4973-959C-5518A0F634E1}">
      <dgm:prSet phldrT="[Text]" custT="1"/>
      <dgm:spPr>
        <a:xfrm>
          <a:off x="2424012" y="1586590"/>
          <a:ext cx="1052613" cy="5482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4DA931F6-88AF-4B28-AA68-7BB47161ABA9}" type="parTrans" cxnId="{070AEFE9-55EF-4F5A-B707-AF0518F7B8C6}">
      <dgm:prSet/>
      <dgm:spPr>
        <a:xfrm rot="5400000">
          <a:off x="2799596" y="1428608"/>
          <a:ext cx="301444"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5D557FB-EE62-41BD-A184-12A99A228BF1}" type="sibTrans" cxnId="{070AEFE9-55EF-4F5A-B707-AF0518F7B8C6}">
      <dgm:prSet/>
      <dgm:spPr/>
      <dgm:t>
        <a:bodyPr/>
        <a:lstStyle/>
        <a:p>
          <a:endParaRPr lang="en-US"/>
        </a:p>
      </dgm:t>
    </dgm:pt>
    <dgm:pt modelId="{CFBCC7A9-248E-440C-A926-28CC42C6B860}">
      <dgm:prSet phldrT="[Text]" custT="1"/>
      <dgm:spPr>
        <a:xfrm>
          <a:off x="1314449" y="1209674"/>
          <a:ext cx="1139903" cy="58373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Economía y estadística </a:t>
          </a:r>
        </a:p>
      </dgm:t>
    </dgm:pt>
    <dgm:pt modelId="{FEDE4186-485A-46BD-B210-B0BD4480CB16}" type="parTrans" cxnId="{1AA9EDCB-7AF6-406C-9BE6-B90918B1AE07}">
      <dgm:prSet/>
      <dgm:spPr>
        <a:xfrm rot="9410013">
          <a:off x="2310824" y="1253771"/>
          <a:ext cx="271289"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5FBEBF4-A458-477D-AE50-1E5F0800CC74}" type="sibTrans" cxnId="{1AA9EDCB-7AF6-406C-9BE6-B90918B1AE07}">
      <dgm:prSet/>
      <dgm:spPr/>
      <dgm:t>
        <a:bodyPr/>
        <a:lstStyle/>
        <a:p>
          <a:endParaRPr lang="en-US"/>
        </a:p>
      </dgm:t>
    </dgm:pt>
    <dgm:pt modelId="{C8838BF5-4657-4DB6-B70A-DBA4AB5B97EE}">
      <dgm:prSet phldrT="[Text]" custT="1"/>
      <dgm:spPr>
        <a:xfrm>
          <a:off x="300990" y="811288"/>
          <a:ext cx="1050312" cy="46828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p>
      </dgm:t>
    </dgm:pt>
    <dgm:pt modelId="{BD2843B5-7E3E-4680-8A25-01BA23D8CE69}" type="parTrans" cxnId="{64EB48A2-0615-4134-85EB-A4DAE785AB7D}">
      <dgm:prSet/>
      <dgm:spPr>
        <a:xfrm rot="10800000">
          <a:off x="1351302" y="1038169"/>
          <a:ext cx="1083997" cy="1451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9C251D-3EE6-4D89-8EC9-77FF6FC72E05}" type="sibTrans" cxnId="{64EB48A2-0615-4134-85EB-A4DAE785AB7D}">
      <dgm:prSet/>
      <dgm:spPr/>
      <dgm:t>
        <a:bodyPr/>
        <a:lstStyle/>
        <a:p>
          <a:endParaRPr lang="en-US"/>
        </a:p>
      </dgm:t>
    </dgm:pt>
    <dgm:pt modelId="{4B42C994-9F34-48FA-B0E9-245578FAC1C6}" type="pres">
      <dgm:prSet presAssocID="{DD2E3765-25B6-48F8-B902-5C026C284173}" presName="cycle" presStyleCnt="0">
        <dgm:presLayoutVars>
          <dgm:chMax val="1"/>
          <dgm:dir/>
          <dgm:animLvl val="ctr"/>
          <dgm:resizeHandles val="exact"/>
        </dgm:presLayoutVars>
      </dgm:prSet>
      <dgm:spPr/>
      <dgm:t>
        <a:bodyPr/>
        <a:lstStyle/>
        <a:p>
          <a:endParaRPr lang="en-US"/>
        </a:p>
      </dgm:t>
    </dgm:pt>
    <dgm:pt modelId="{262D173F-A40A-406A-BA41-067F590F5B00}" type="pres">
      <dgm:prSet presAssocID="{615A8A4C-3386-41CB-B004-75AA2E0C8E7E}" presName="centerShape" presStyleLbl="node0" presStyleIdx="0" presStyleCnt="1" custScaleX="249930"/>
      <dgm:spPr>
        <a:prstGeom prst="ellipse">
          <a:avLst/>
        </a:prstGeom>
      </dgm:spPr>
      <dgm:t>
        <a:bodyPr/>
        <a:lstStyle/>
        <a:p>
          <a:endParaRPr lang="en-US"/>
        </a:p>
      </dgm:t>
    </dgm:pt>
    <dgm:pt modelId="{2E00D982-49D5-455F-888E-68E4C81A2365}" type="pres">
      <dgm:prSet presAssocID="{CF74A6F9-BA34-45B8-91B4-D30611FDBA60}" presName="Name9" presStyleLbl="parChTrans1D2" presStyleIdx="0" presStyleCnt="8"/>
      <dgm:spPr>
        <a:custGeom>
          <a:avLst/>
          <a:gdLst/>
          <a:ahLst/>
          <a:cxnLst/>
          <a:rect l="0" t="0" r="0" b="0"/>
          <a:pathLst>
            <a:path>
              <a:moveTo>
                <a:pt x="0" y="7259"/>
              </a:moveTo>
              <a:lnTo>
                <a:pt x="355250" y="7259"/>
              </a:lnTo>
            </a:path>
          </a:pathLst>
        </a:custGeom>
      </dgm:spPr>
      <dgm:t>
        <a:bodyPr/>
        <a:lstStyle/>
        <a:p>
          <a:endParaRPr lang="en-US"/>
        </a:p>
      </dgm:t>
    </dgm:pt>
    <dgm:pt modelId="{B7B7A49F-5E78-4AC5-B18E-2DC80AECCF08}" type="pres">
      <dgm:prSet presAssocID="{CF74A6F9-BA34-45B8-91B4-D30611FDBA60}" presName="connTx" presStyleLbl="parChTrans1D2" presStyleIdx="0" presStyleCnt="8"/>
      <dgm:spPr/>
      <dgm:t>
        <a:bodyPr/>
        <a:lstStyle/>
        <a:p>
          <a:endParaRPr lang="en-US"/>
        </a:p>
      </dgm:t>
    </dgm:pt>
    <dgm:pt modelId="{44473C27-A9A3-4167-AEAF-A01C156E33F0}" type="pres">
      <dgm:prSet presAssocID="{C1693A50-4E68-4912-9A70-0C97C87B3D7E}" presName="node" presStyleLbl="node1" presStyleIdx="0" presStyleCnt="8" custScaleX="208984">
        <dgm:presLayoutVars>
          <dgm:bulletEnabled val="1"/>
        </dgm:presLayoutVars>
      </dgm:prSet>
      <dgm:spPr>
        <a:prstGeom prst="ellipse">
          <a:avLst/>
        </a:prstGeom>
      </dgm:spPr>
      <dgm:t>
        <a:bodyPr/>
        <a:lstStyle/>
        <a:p>
          <a:endParaRPr lang="en-US"/>
        </a:p>
      </dgm:t>
    </dgm:pt>
    <dgm:pt modelId="{3FE6E2C5-0D84-4EA6-8A7C-D44D396A169E}" type="pres">
      <dgm:prSet presAssocID="{0E1FEA62-81EE-4117-997B-69ED8651A7D0}" presName="Name9" presStyleLbl="parChTrans1D2" presStyleIdx="1" presStyleCnt="8"/>
      <dgm:spPr>
        <a:custGeom>
          <a:avLst/>
          <a:gdLst/>
          <a:ahLst/>
          <a:cxnLst/>
          <a:rect l="0" t="0" r="0" b="0"/>
          <a:pathLst>
            <a:path>
              <a:moveTo>
                <a:pt x="0" y="7259"/>
              </a:moveTo>
              <a:lnTo>
                <a:pt x="255651" y="7259"/>
              </a:lnTo>
            </a:path>
          </a:pathLst>
        </a:custGeom>
      </dgm:spPr>
      <dgm:t>
        <a:bodyPr/>
        <a:lstStyle/>
        <a:p>
          <a:endParaRPr lang="en-US"/>
        </a:p>
      </dgm:t>
    </dgm:pt>
    <dgm:pt modelId="{C8361934-9E8A-4B07-8048-7D48F9D9FCA9}" type="pres">
      <dgm:prSet presAssocID="{0E1FEA62-81EE-4117-997B-69ED8651A7D0}" presName="connTx" presStyleLbl="parChTrans1D2" presStyleIdx="1" presStyleCnt="8"/>
      <dgm:spPr/>
      <dgm:t>
        <a:bodyPr/>
        <a:lstStyle/>
        <a:p>
          <a:endParaRPr lang="en-US"/>
        </a:p>
      </dgm:t>
    </dgm:pt>
    <dgm:pt modelId="{5F1C34CD-B8DF-45F7-A431-2126D61FFACC}" type="pres">
      <dgm:prSet presAssocID="{FB911F09-22D9-48A7-A087-AEF5110B6682}" presName="node" presStyleLbl="node1" presStyleIdx="1" presStyleCnt="8" custScaleX="209755" custScaleY="103954" custRadScaleRad="119312" custRadScaleInc="66110">
        <dgm:presLayoutVars>
          <dgm:bulletEnabled val="1"/>
        </dgm:presLayoutVars>
      </dgm:prSet>
      <dgm:spPr>
        <a:prstGeom prst="ellipse">
          <a:avLst/>
        </a:prstGeom>
      </dgm:spPr>
      <dgm:t>
        <a:bodyPr/>
        <a:lstStyle/>
        <a:p>
          <a:endParaRPr lang="en-US"/>
        </a:p>
      </dgm:t>
    </dgm:pt>
    <dgm:pt modelId="{93B3BE9E-D237-4DD9-937C-973455BC3658}" type="pres">
      <dgm:prSet presAssocID="{069AD1A8-1718-4E51-AEE7-85B69D54F950}" presName="Name9" presStyleLbl="parChTrans1D2" presStyleIdx="2" presStyleCnt="8"/>
      <dgm:spPr>
        <a:custGeom>
          <a:avLst/>
          <a:gdLst/>
          <a:ahLst/>
          <a:cxnLst/>
          <a:rect l="0" t="0" r="0" b="0"/>
          <a:pathLst>
            <a:path>
              <a:moveTo>
                <a:pt x="0" y="7259"/>
              </a:moveTo>
              <a:lnTo>
                <a:pt x="1061555" y="7259"/>
              </a:lnTo>
            </a:path>
          </a:pathLst>
        </a:custGeom>
      </dgm:spPr>
      <dgm:t>
        <a:bodyPr/>
        <a:lstStyle/>
        <a:p>
          <a:endParaRPr lang="en-US"/>
        </a:p>
      </dgm:t>
    </dgm:pt>
    <dgm:pt modelId="{E7C370CD-4B70-470B-B819-7260C176B479}" type="pres">
      <dgm:prSet presAssocID="{069AD1A8-1718-4E51-AEE7-85B69D54F950}" presName="connTx" presStyleLbl="parChTrans1D2" presStyleIdx="2" presStyleCnt="8"/>
      <dgm:spPr/>
      <dgm:t>
        <a:bodyPr/>
        <a:lstStyle/>
        <a:p>
          <a:endParaRPr lang="en-US"/>
        </a:p>
      </dgm:t>
    </dgm:pt>
    <dgm:pt modelId="{3A26272E-8DBD-422F-ABA2-A3DA0C9B3C69}" type="pres">
      <dgm:prSet presAssocID="{447D5D1D-0860-4B1B-A10A-5D7EC9B637D8}" presName="node" presStyleLbl="node1" presStyleIdx="2" presStyleCnt="8" custScaleX="272074" custScaleY="162341" custRadScaleRad="255519" custRadScaleInc="1">
        <dgm:presLayoutVars>
          <dgm:bulletEnabled val="1"/>
        </dgm:presLayoutVars>
      </dgm:prSet>
      <dgm:spPr>
        <a:prstGeom prst="ellipse">
          <a:avLst/>
        </a:prstGeom>
      </dgm:spPr>
      <dgm:t>
        <a:bodyPr/>
        <a:lstStyle/>
        <a:p>
          <a:endParaRPr lang="en-US"/>
        </a:p>
      </dgm:t>
    </dgm:pt>
    <dgm:pt modelId="{7F30A5E4-3531-49F3-AC3C-8F1D2236451A}" type="pres">
      <dgm:prSet presAssocID="{F0719816-4AC2-4964-8797-61135BEDA83D}" presName="Name9" presStyleLbl="parChTrans1D2" presStyleIdx="3" presStyleCnt="8"/>
      <dgm:spPr>
        <a:custGeom>
          <a:avLst/>
          <a:gdLst/>
          <a:ahLst/>
          <a:cxnLst/>
          <a:rect l="0" t="0" r="0" b="0"/>
          <a:pathLst>
            <a:path>
              <a:moveTo>
                <a:pt x="0" y="7259"/>
              </a:moveTo>
              <a:lnTo>
                <a:pt x="339042" y="7259"/>
              </a:lnTo>
            </a:path>
          </a:pathLst>
        </a:custGeom>
      </dgm:spPr>
      <dgm:t>
        <a:bodyPr/>
        <a:lstStyle/>
        <a:p>
          <a:endParaRPr lang="en-US"/>
        </a:p>
      </dgm:t>
    </dgm:pt>
    <dgm:pt modelId="{93F2ABB5-3A44-45ED-A792-C294D6962C8F}" type="pres">
      <dgm:prSet presAssocID="{F0719816-4AC2-4964-8797-61135BEDA83D}" presName="connTx" presStyleLbl="parChTrans1D2" presStyleIdx="3" presStyleCnt="8"/>
      <dgm:spPr/>
      <dgm:t>
        <a:bodyPr/>
        <a:lstStyle/>
        <a:p>
          <a:endParaRPr lang="en-US"/>
        </a:p>
      </dgm:t>
    </dgm:pt>
    <dgm:pt modelId="{E01DCF12-19AC-4734-9210-5F881573D3F5}" type="pres">
      <dgm:prSet presAssocID="{DAF30ECC-CB4B-483A-93C7-47A100649D5D}" presName="node" presStyleLbl="node1" presStyleIdx="3" presStyleCnt="8" custScaleX="232732" custScaleY="102348" custRadScaleRad="138971" custRadScaleInc="-83382">
        <dgm:presLayoutVars>
          <dgm:bulletEnabled val="1"/>
        </dgm:presLayoutVars>
      </dgm:prSet>
      <dgm:spPr>
        <a:prstGeom prst="ellipse">
          <a:avLst/>
        </a:prstGeom>
      </dgm:spPr>
      <dgm:t>
        <a:bodyPr/>
        <a:lstStyle/>
        <a:p>
          <a:endParaRPr lang="en-US"/>
        </a:p>
      </dgm:t>
    </dgm:pt>
    <dgm:pt modelId="{9350C245-A165-4791-BD7A-BFCED0BB0361}" type="pres">
      <dgm:prSet presAssocID="{4DA931F6-88AF-4B28-AA68-7BB47161ABA9}" presName="Name9" presStyleLbl="parChTrans1D2" presStyleIdx="4" presStyleCnt="8"/>
      <dgm:spPr>
        <a:custGeom>
          <a:avLst/>
          <a:gdLst/>
          <a:ahLst/>
          <a:cxnLst/>
          <a:rect l="0" t="0" r="0" b="0"/>
          <a:pathLst>
            <a:path>
              <a:moveTo>
                <a:pt x="0" y="7259"/>
              </a:moveTo>
              <a:lnTo>
                <a:pt x="327479" y="7259"/>
              </a:lnTo>
            </a:path>
          </a:pathLst>
        </a:custGeom>
      </dgm:spPr>
      <dgm:t>
        <a:bodyPr/>
        <a:lstStyle/>
        <a:p>
          <a:endParaRPr lang="en-US"/>
        </a:p>
      </dgm:t>
    </dgm:pt>
    <dgm:pt modelId="{E19A1787-F640-4D8D-A88F-51D710E321CA}" type="pres">
      <dgm:prSet presAssocID="{4DA931F6-88AF-4B28-AA68-7BB47161ABA9}" presName="connTx" presStyleLbl="parChTrans1D2" presStyleIdx="4" presStyleCnt="8"/>
      <dgm:spPr/>
      <dgm:t>
        <a:bodyPr/>
        <a:lstStyle/>
        <a:p>
          <a:endParaRPr lang="en-US"/>
        </a:p>
      </dgm:t>
    </dgm:pt>
    <dgm:pt modelId="{C7416AF2-49A6-451C-80C3-A5143C86D045}" type="pres">
      <dgm:prSet presAssocID="{06E8F230-0A46-4973-959C-5518A0F634E1}" presName="node" presStyleLbl="node1" presStyleIdx="4" presStyleCnt="8" custScaleX="238450" custScaleY="142041">
        <dgm:presLayoutVars>
          <dgm:bulletEnabled val="1"/>
        </dgm:presLayoutVars>
      </dgm:prSet>
      <dgm:spPr>
        <a:prstGeom prst="ellipse">
          <a:avLst/>
        </a:prstGeom>
      </dgm:spPr>
      <dgm:t>
        <a:bodyPr/>
        <a:lstStyle/>
        <a:p>
          <a:endParaRPr lang="en-US"/>
        </a:p>
      </dgm:t>
    </dgm:pt>
    <dgm:pt modelId="{2A6DC4FF-B426-4171-A201-27B83DA94370}" type="pres">
      <dgm:prSet presAssocID="{FEDE4186-485A-46BD-B210-B0BD4480CB16}" presName="Name9" presStyleLbl="parChTrans1D2" presStyleIdx="5" presStyleCnt="8"/>
      <dgm:spPr>
        <a:custGeom>
          <a:avLst/>
          <a:gdLst/>
          <a:ahLst/>
          <a:cxnLst/>
          <a:rect l="0" t="0" r="0" b="0"/>
          <a:pathLst>
            <a:path>
              <a:moveTo>
                <a:pt x="0" y="7259"/>
              </a:moveTo>
              <a:lnTo>
                <a:pt x="328427" y="7259"/>
              </a:lnTo>
            </a:path>
          </a:pathLst>
        </a:custGeom>
      </dgm:spPr>
      <dgm:t>
        <a:bodyPr/>
        <a:lstStyle/>
        <a:p>
          <a:endParaRPr lang="en-US"/>
        </a:p>
      </dgm:t>
    </dgm:pt>
    <dgm:pt modelId="{CB1335D7-B771-475A-BE82-89C2F00DAF8B}" type="pres">
      <dgm:prSet presAssocID="{FEDE4186-485A-46BD-B210-B0BD4480CB16}" presName="connTx" presStyleLbl="parChTrans1D2" presStyleIdx="5" presStyleCnt="8"/>
      <dgm:spPr/>
      <dgm:t>
        <a:bodyPr/>
        <a:lstStyle/>
        <a:p>
          <a:endParaRPr lang="en-US"/>
        </a:p>
      </dgm:t>
    </dgm:pt>
    <dgm:pt modelId="{353BAFE4-0977-4589-9534-7471241857D7}" type="pres">
      <dgm:prSet presAssocID="{CFBCC7A9-248E-440C-A926-28CC42C6B860}" presName="node" presStyleLbl="node1" presStyleIdx="5" presStyleCnt="8" custScaleX="237761" custScaleY="121756" custRadScaleRad="142205" custRadScaleInc="97038">
        <dgm:presLayoutVars>
          <dgm:bulletEnabled val="1"/>
        </dgm:presLayoutVars>
      </dgm:prSet>
      <dgm:spPr>
        <a:prstGeom prst="ellipse">
          <a:avLst/>
        </a:prstGeom>
      </dgm:spPr>
      <dgm:t>
        <a:bodyPr/>
        <a:lstStyle/>
        <a:p>
          <a:endParaRPr lang="en-US"/>
        </a:p>
      </dgm:t>
    </dgm:pt>
    <dgm:pt modelId="{D3C62D02-BD66-40AA-8598-E6F03FA4330E}" type="pres">
      <dgm:prSet presAssocID="{BD2843B5-7E3E-4680-8A25-01BA23D8CE69}" presName="Name9" presStyleLbl="parChTrans1D2" presStyleIdx="6" presStyleCnt="8"/>
      <dgm:spPr>
        <a:custGeom>
          <a:avLst/>
          <a:gdLst/>
          <a:ahLst/>
          <a:cxnLst/>
          <a:rect l="0" t="0" r="0" b="0"/>
          <a:pathLst>
            <a:path>
              <a:moveTo>
                <a:pt x="0" y="7259"/>
              </a:moveTo>
              <a:lnTo>
                <a:pt x="1146536" y="7259"/>
              </a:lnTo>
            </a:path>
          </a:pathLst>
        </a:custGeom>
      </dgm:spPr>
      <dgm:t>
        <a:bodyPr/>
        <a:lstStyle/>
        <a:p>
          <a:endParaRPr lang="en-US"/>
        </a:p>
      </dgm:t>
    </dgm:pt>
    <dgm:pt modelId="{37A775CB-7592-434E-A233-9CA00876798D}" type="pres">
      <dgm:prSet presAssocID="{BD2843B5-7E3E-4680-8A25-01BA23D8CE69}" presName="connTx" presStyleLbl="parChTrans1D2" presStyleIdx="6" presStyleCnt="8"/>
      <dgm:spPr/>
      <dgm:t>
        <a:bodyPr/>
        <a:lstStyle/>
        <a:p>
          <a:endParaRPr lang="en-US"/>
        </a:p>
      </dgm:t>
    </dgm:pt>
    <dgm:pt modelId="{694C81C6-3E54-45BC-9ED9-5944CBD672A7}" type="pres">
      <dgm:prSet presAssocID="{C8838BF5-4657-4DB6-B70A-DBA4AB5B97EE}" presName="node" presStyleLbl="node1" presStyleIdx="6" presStyleCnt="8" custScaleX="290239" custScaleY="147917" custRadScaleRad="260537">
        <dgm:presLayoutVars>
          <dgm:bulletEnabled val="1"/>
        </dgm:presLayoutVars>
      </dgm:prSet>
      <dgm:spPr>
        <a:prstGeom prst="ellipse">
          <a:avLst/>
        </a:prstGeom>
      </dgm:spPr>
      <dgm:t>
        <a:bodyPr/>
        <a:lstStyle/>
        <a:p>
          <a:endParaRPr lang="en-US"/>
        </a:p>
      </dgm:t>
    </dgm:pt>
    <dgm:pt modelId="{98E66AFE-BCED-48F2-B78A-230BF42B9FFC}" type="pres">
      <dgm:prSet presAssocID="{6FBFA200-28B9-441C-9603-B958FB3D45CE}" presName="Name9" presStyleLbl="parChTrans1D2" presStyleIdx="7" presStyleCnt="8"/>
      <dgm:spPr>
        <a:custGeom>
          <a:avLst/>
          <a:gdLst/>
          <a:ahLst/>
          <a:cxnLst/>
          <a:rect l="0" t="0" r="0" b="0"/>
          <a:pathLst>
            <a:path>
              <a:moveTo>
                <a:pt x="0" y="7259"/>
              </a:moveTo>
              <a:lnTo>
                <a:pt x="219777" y="7259"/>
              </a:lnTo>
            </a:path>
          </a:pathLst>
        </a:custGeom>
      </dgm:spPr>
      <dgm:t>
        <a:bodyPr/>
        <a:lstStyle/>
        <a:p>
          <a:endParaRPr lang="en-US"/>
        </a:p>
      </dgm:t>
    </dgm:pt>
    <dgm:pt modelId="{7244ABB3-7BCC-4145-8C19-8C33F0A4C35F}" type="pres">
      <dgm:prSet presAssocID="{6FBFA200-28B9-441C-9603-B958FB3D45CE}" presName="connTx" presStyleLbl="parChTrans1D2" presStyleIdx="7" presStyleCnt="8"/>
      <dgm:spPr/>
      <dgm:t>
        <a:bodyPr/>
        <a:lstStyle/>
        <a:p>
          <a:endParaRPr lang="en-US"/>
        </a:p>
      </dgm:t>
    </dgm:pt>
    <dgm:pt modelId="{A8CAB3F2-A4A1-434C-9CB4-641DE8526482}" type="pres">
      <dgm:prSet presAssocID="{17173E60-1AB7-4219-9E5D-2EB707D4762A}" presName="node" presStyleLbl="node1" presStyleIdx="7" presStyleCnt="8" custScaleX="230516" custScaleY="126607" custRadScaleRad="125722" custRadScaleInc="-75844">
        <dgm:presLayoutVars>
          <dgm:bulletEnabled val="1"/>
        </dgm:presLayoutVars>
      </dgm:prSet>
      <dgm:spPr>
        <a:prstGeom prst="ellipse">
          <a:avLst/>
        </a:prstGeom>
      </dgm:spPr>
      <dgm:t>
        <a:bodyPr/>
        <a:lstStyle/>
        <a:p>
          <a:endParaRPr lang="en-US"/>
        </a:p>
      </dgm:t>
    </dgm:pt>
  </dgm:ptLst>
  <dgm:cxnLst>
    <dgm:cxn modelId="{1763FEA0-AAF8-4DB3-8B21-253B8F239228}" srcId="{615A8A4C-3386-41CB-B004-75AA2E0C8E7E}" destId="{FB911F09-22D9-48A7-A087-AEF5110B6682}" srcOrd="1" destOrd="0" parTransId="{0E1FEA62-81EE-4117-997B-69ED8651A7D0}" sibTransId="{98ACE05E-CC42-4FE0-BC36-110025A6B590}"/>
    <dgm:cxn modelId="{FCC9496C-F268-49FD-BC47-14595B11127D}" type="presOf" srcId="{CF74A6F9-BA34-45B8-91B4-D30611FDBA60}" destId="{2E00D982-49D5-455F-888E-68E4C81A2365}" srcOrd="0" destOrd="0" presId="urn:microsoft.com/office/officeart/2005/8/layout/radial1"/>
    <dgm:cxn modelId="{070AEFE9-55EF-4F5A-B707-AF0518F7B8C6}" srcId="{615A8A4C-3386-41CB-B004-75AA2E0C8E7E}" destId="{06E8F230-0A46-4973-959C-5518A0F634E1}" srcOrd="4" destOrd="0" parTransId="{4DA931F6-88AF-4B28-AA68-7BB47161ABA9}" sibTransId="{05D557FB-EE62-41BD-A184-12A99A228BF1}"/>
    <dgm:cxn modelId="{8A0EBD63-01D0-405A-94C3-D374F6D340C9}" type="presOf" srcId="{06E8F230-0A46-4973-959C-5518A0F634E1}" destId="{C7416AF2-49A6-451C-80C3-A5143C86D045}" srcOrd="0" destOrd="0" presId="urn:microsoft.com/office/officeart/2005/8/layout/radial1"/>
    <dgm:cxn modelId="{3E6B9655-3305-4834-BE50-E34AC5D153B6}" type="presOf" srcId="{C8838BF5-4657-4DB6-B70A-DBA4AB5B97EE}" destId="{694C81C6-3E54-45BC-9ED9-5944CBD672A7}" srcOrd="0" destOrd="0" presId="urn:microsoft.com/office/officeart/2005/8/layout/radial1"/>
    <dgm:cxn modelId="{E55333C4-687C-4186-B8C3-1AC5CE56517A}" srcId="{DD2E3765-25B6-48F8-B902-5C026C284173}" destId="{615A8A4C-3386-41CB-B004-75AA2E0C8E7E}" srcOrd="0" destOrd="0" parTransId="{E2BD043E-B694-4760-8FC3-4BE59593050C}" sibTransId="{A7B35DF3-2893-4CFA-8C75-4D2DB5615E44}"/>
    <dgm:cxn modelId="{719BEA2F-61E3-4FE4-8C39-8C2439527797}" type="presOf" srcId="{DD2E3765-25B6-48F8-B902-5C026C284173}" destId="{4B42C994-9F34-48FA-B0E9-245578FAC1C6}" srcOrd="0" destOrd="0" presId="urn:microsoft.com/office/officeart/2005/8/layout/radial1"/>
    <dgm:cxn modelId="{F8889CAD-BDCC-4638-BA6C-551BC31E6140}" type="presOf" srcId="{FEDE4186-485A-46BD-B210-B0BD4480CB16}" destId="{CB1335D7-B771-475A-BE82-89C2F00DAF8B}" srcOrd="1" destOrd="0" presId="urn:microsoft.com/office/officeart/2005/8/layout/radial1"/>
    <dgm:cxn modelId="{F124C909-D48D-4A55-9C48-EF4E52A52517}" type="presOf" srcId="{6FBFA200-28B9-441C-9603-B958FB3D45CE}" destId="{98E66AFE-BCED-48F2-B78A-230BF42B9FFC}" srcOrd="0" destOrd="0" presId="urn:microsoft.com/office/officeart/2005/8/layout/radial1"/>
    <dgm:cxn modelId="{592F4771-4457-46D5-9865-96EFBED64424}" type="presOf" srcId="{C1693A50-4E68-4912-9A70-0C97C87B3D7E}" destId="{44473C27-A9A3-4167-AEAF-A01C156E33F0}" srcOrd="0" destOrd="0" presId="urn:microsoft.com/office/officeart/2005/8/layout/radial1"/>
    <dgm:cxn modelId="{9A60E343-BDF2-491A-A7D5-5299DFF2BE0A}" srcId="{615A8A4C-3386-41CB-B004-75AA2E0C8E7E}" destId="{C1693A50-4E68-4912-9A70-0C97C87B3D7E}" srcOrd="0" destOrd="0" parTransId="{CF74A6F9-BA34-45B8-91B4-D30611FDBA60}" sibTransId="{4B485C48-2801-485C-A89E-B43F912DB680}"/>
    <dgm:cxn modelId="{DD3968F1-A2CF-4DAC-B2D4-4C4A5E0AE5D6}" type="presOf" srcId="{447D5D1D-0860-4B1B-A10A-5D7EC9B637D8}" destId="{3A26272E-8DBD-422F-ABA2-A3DA0C9B3C69}" srcOrd="0" destOrd="0" presId="urn:microsoft.com/office/officeart/2005/8/layout/radial1"/>
    <dgm:cxn modelId="{40004F57-C0F6-49D6-9717-547CBF5007F7}" type="presOf" srcId="{615A8A4C-3386-41CB-B004-75AA2E0C8E7E}" destId="{262D173F-A40A-406A-BA41-067F590F5B00}" srcOrd="0" destOrd="0" presId="urn:microsoft.com/office/officeart/2005/8/layout/radial1"/>
    <dgm:cxn modelId="{D30692A7-7270-4C79-8B8A-6AACC7053ECF}" type="presOf" srcId="{17173E60-1AB7-4219-9E5D-2EB707D4762A}" destId="{A8CAB3F2-A4A1-434C-9CB4-641DE8526482}" srcOrd="0" destOrd="0" presId="urn:microsoft.com/office/officeart/2005/8/layout/radial1"/>
    <dgm:cxn modelId="{E73C2D87-61EB-4CEA-9CAB-946CF00D1D8B}" type="presOf" srcId="{F0719816-4AC2-4964-8797-61135BEDA83D}" destId="{7F30A5E4-3531-49F3-AC3C-8F1D2236451A}" srcOrd="0" destOrd="0" presId="urn:microsoft.com/office/officeart/2005/8/layout/radial1"/>
    <dgm:cxn modelId="{4828691B-EE6A-4C82-929F-94AAC5DF0EAC}" type="presOf" srcId="{FB911F09-22D9-48A7-A087-AEF5110B6682}" destId="{5F1C34CD-B8DF-45F7-A431-2126D61FFACC}" srcOrd="0" destOrd="0" presId="urn:microsoft.com/office/officeart/2005/8/layout/radial1"/>
    <dgm:cxn modelId="{64EB48A2-0615-4134-85EB-A4DAE785AB7D}" srcId="{615A8A4C-3386-41CB-B004-75AA2E0C8E7E}" destId="{C8838BF5-4657-4DB6-B70A-DBA4AB5B97EE}" srcOrd="6" destOrd="0" parTransId="{BD2843B5-7E3E-4680-8A25-01BA23D8CE69}" sibTransId="{899C251D-3EE6-4D89-8EC9-77FF6FC72E05}"/>
    <dgm:cxn modelId="{071E9132-A304-4259-875E-91A3BF73ED01}" type="presOf" srcId="{BD2843B5-7E3E-4680-8A25-01BA23D8CE69}" destId="{D3C62D02-BD66-40AA-8598-E6F03FA4330E}" srcOrd="0" destOrd="0" presId="urn:microsoft.com/office/officeart/2005/8/layout/radial1"/>
    <dgm:cxn modelId="{D7222C81-89D8-4F74-A835-77A44636CCAE}" type="presOf" srcId="{069AD1A8-1718-4E51-AEE7-85B69D54F950}" destId="{93B3BE9E-D237-4DD9-937C-973455BC3658}" srcOrd="0" destOrd="0" presId="urn:microsoft.com/office/officeart/2005/8/layout/radial1"/>
    <dgm:cxn modelId="{427458F4-2128-4535-BC60-2C807BAEAB78}" srcId="{615A8A4C-3386-41CB-B004-75AA2E0C8E7E}" destId="{17173E60-1AB7-4219-9E5D-2EB707D4762A}" srcOrd="7" destOrd="0" parTransId="{6FBFA200-28B9-441C-9603-B958FB3D45CE}" sibTransId="{4E9757A6-6A62-4D49-A0CB-E147D06AE7B1}"/>
    <dgm:cxn modelId="{F5AE6233-8F80-49FB-9EF5-C4192975AE9A}" type="presOf" srcId="{BD2843B5-7E3E-4680-8A25-01BA23D8CE69}" destId="{37A775CB-7592-434E-A233-9CA00876798D}" srcOrd="1" destOrd="0" presId="urn:microsoft.com/office/officeart/2005/8/layout/radial1"/>
    <dgm:cxn modelId="{80CF522A-0F65-4D0D-9FD9-3E83454F5177}" type="presOf" srcId="{FEDE4186-485A-46BD-B210-B0BD4480CB16}" destId="{2A6DC4FF-B426-4171-A201-27B83DA94370}" srcOrd="0" destOrd="0" presId="urn:microsoft.com/office/officeart/2005/8/layout/radial1"/>
    <dgm:cxn modelId="{4B8455E7-4B99-4C1B-A85F-368F4A08E0BE}" srcId="{615A8A4C-3386-41CB-B004-75AA2E0C8E7E}" destId="{447D5D1D-0860-4B1B-A10A-5D7EC9B637D8}" srcOrd="2" destOrd="0" parTransId="{069AD1A8-1718-4E51-AEE7-85B69D54F950}" sibTransId="{855AF909-31D3-4065-ABB3-82005C9FEF4C}"/>
    <dgm:cxn modelId="{D1094DCD-29F1-401D-B061-0025FDD10E7A}" type="presOf" srcId="{4DA931F6-88AF-4B28-AA68-7BB47161ABA9}" destId="{E19A1787-F640-4D8D-A88F-51D710E321CA}" srcOrd="1" destOrd="0" presId="urn:microsoft.com/office/officeart/2005/8/layout/radial1"/>
    <dgm:cxn modelId="{5B8F54F1-C9EE-4DCF-A6BC-86D70A4FAA00}" type="presOf" srcId="{CFBCC7A9-248E-440C-A926-28CC42C6B860}" destId="{353BAFE4-0977-4589-9534-7471241857D7}" srcOrd="0" destOrd="0" presId="urn:microsoft.com/office/officeart/2005/8/layout/radial1"/>
    <dgm:cxn modelId="{4E68C5E6-4E50-45B6-9E23-A7A97C86ED5E}" srcId="{615A8A4C-3386-41CB-B004-75AA2E0C8E7E}" destId="{DAF30ECC-CB4B-483A-93C7-47A100649D5D}" srcOrd="3" destOrd="0" parTransId="{F0719816-4AC2-4964-8797-61135BEDA83D}" sibTransId="{939B8447-5FC4-4D01-8936-0F63CFB1E3F9}"/>
    <dgm:cxn modelId="{C652EB55-F4C0-45B0-83FE-957728CC3201}" type="presOf" srcId="{0E1FEA62-81EE-4117-997B-69ED8651A7D0}" destId="{C8361934-9E8A-4B07-8048-7D48F9D9FCA9}" srcOrd="1" destOrd="0" presId="urn:microsoft.com/office/officeart/2005/8/layout/radial1"/>
    <dgm:cxn modelId="{04296A27-98BA-4147-85C7-97537247408D}" type="presOf" srcId="{6FBFA200-28B9-441C-9603-B958FB3D45CE}" destId="{7244ABB3-7BCC-4145-8C19-8C33F0A4C35F}" srcOrd="1" destOrd="0" presId="urn:microsoft.com/office/officeart/2005/8/layout/radial1"/>
    <dgm:cxn modelId="{1AA9EDCB-7AF6-406C-9BE6-B90918B1AE07}" srcId="{615A8A4C-3386-41CB-B004-75AA2E0C8E7E}" destId="{CFBCC7A9-248E-440C-A926-28CC42C6B860}" srcOrd="5" destOrd="0" parTransId="{FEDE4186-485A-46BD-B210-B0BD4480CB16}" sibTransId="{85FBEBF4-A458-477D-AE50-1E5F0800CC74}"/>
    <dgm:cxn modelId="{768F79DB-3F1F-4CD9-A6A0-347430A79DEA}" type="presOf" srcId="{F0719816-4AC2-4964-8797-61135BEDA83D}" destId="{93F2ABB5-3A44-45ED-A792-C294D6962C8F}" srcOrd="1" destOrd="0" presId="urn:microsoft.com/office/officeart/2005/8/layout/radial1"/>
    <dgm:cxn modelId="{61110B9D-89FA-4E7E-96E3-77B3489E0E33}" type="presOf" srcId="{069AD1A8-1718-4E51-AEE7-85B69D54F950}" destId="{E7C370CD-4B70-470B-B819-7260C176B479}" srcOrd="1" destOrd="0" presId="urn:microsoft.com/office/officeart/2005/8/layout/radial1"/>
    <dgm:cxn modelId="{263CE5B8-5BCB-422D-A7F0-63DF852813FE}" type="presOf" srcId="{0E1FEA62-81EE-4117-997B-69ED8651A7D0}" destId="{3FE6E2C5-0D84-4EA6-8A7C-D44D396A169E}" srcOrd="0" destOrd="0" presId="urn:microsoft.com/office/officeart/2005/8/layout/radial1"/>
    <dgm:cxn modelId="{90CC9B35-59D1-40A1-BA1E-D115E9BCA1D8}" type="presOf" srcId="{4DA931F6-88AF-4B28-AA68-7BB47161ABA9}" destId="{9350C245-A165-4791-BD7A-BFCED0BB0361}" srcOrd="0" destOrd="0" presId="urn:microsoft.com/office/officeart/2005/8/layout/radial1"/>
    <dgm:cxn modelId="{C029D251-67D6-4ADC-90D5-DF40FFFA5BCE}" type="presOf" srcId="{CF74A6F9-BA34-45B8-91B4-D30611FDBA60}" destId="{B7B7A49F-5E78-4AC5-B18E-2DC80AECCF08}" srcOrd="1" destOrd="0" presId="urn:microsoft.com/office/officeart/2005/8/layout/radial1"/>
    <dgm:cxn modelId="{BFA0C395-85D7-4CE9-8EF4-C6A85BDBB5B8}" type="presOf" srcId="{DAF30ECC-CB4B-483A-93C7-47A100649D5D}" destId="{E01DCF12-19AC-4734-9210-5F881573D3F5}" srcOrd="0" destOrd="0" presId="urn:microsoft.com/office/officeart/2005/8/layout/radial1"/>
    <dgm:cxn modelId="{EF480E2F-33D1-489E-B1BB-CAF0E912BA12}" type="presParOf" srcId="{4B42C994-9F34-48FA-B0E9-245578FAC1C6}" destId="{262D173F-A40A-406A-BA41-067F590F5B00}" srcOrd="0" destOrd="0" presId="urn:microsoft.com/office/officeart/2005/8/layout/radial1"/>
    <dgm:cxn modelId="{3C3F2BE7-1B7E-4394-8312-E324AF419833}" type="presParOf" srcId="{4B42C994-9F34-48FA-B0E9-245578FAC1C6}" destId="{2E00D982-49D5-455F-888E-68E4C81A2365}" srcOrd="1" destOrd="0" presId="urn:microsoft.com/office/officeart/2005/8/layout/radial1"/>
    <dgm:cxn modelId="{3B766E69-3F94-4D3F-A47A-B4BB2164C477}" type="presParOf" srcId="{2E00D982-49D5-455F-888E-68E4C81A2365}" destId="{B7B7A49F-5E78-4AC5-B18E-2DC80AECCF08}" srcOrd="0" destOrd="0" presId="urn:microsoft.com/office/officeart/2005/8/layout/radial1"/>
    <dgm:cxn modelId="{0F77CB3D-5157-4CF7-B048-E05C365C5EC9}" type="presParOf" srcId="{4B42C994-9F34-48FA-B0E9-245578FAC1C6}" destId="{44473C27-A9A3-4167-AEAF-A01C156E33F0}" srcOrd="2" destOrd="0" presId="urn:microsoft.com/office/officeart/2005/8/layout/radial1"/>
    <dgm:cxn modelId="{C3F0877B-D71E-477B-9D42-AAD517157768}" type="presParOf" srcId="{4B42C994-9F34-48FA-B0E9-245578FAC1C6}" destId="{3FE6E2C5-0D84-4EA6-8A7C-D44D396A169E}" srcOrd="3" destOrd="0" presId="urn:microsoft.com/office/officeart/2005/8/layout/radial1"/>
    <dgm:cxn modelId="{1C47B0A1-B42C-4A6C-B0EC-9D355573F6BA}" type="presParOf" srcId="{3FE6E2C5-0D84-4EA6-8A7C-D44D396A169E}" destId="{C8361934-9E8A-4B07-8048-7D48F9D9FCA9}" srcOrd="0" destOrd="0" presId="urn:microsoft.com/office/officeart/2005/8/layout/radial1"/>
    <dgm:cxn modelId="{A50F8068-F8CC-44BA-8D13-2E720C7905A0}" type="presParOf" srcId="{4B42C994-9F34-48FA-B0E9-245578FAC1C6}" destId="{5F1C34CD-B8DF-45F7-A431-2126D61FFACC}" srcOrd="4" destOrd="0" presId="urn:microsoft.com/office/officeart/2005/8/layout/radial1"/>
    <dgm:cxn modelId="{8D12B68D-29F3-4D06-9F4C-E2421C8E7958}" type="presParOf" srcId="{4B42C994-9F34-48FA-B0E9-245578FAC1C6}" destId="{93B3BE9E-D237-4DD9-937C-973455BC3658}" srcOrd="5" destOrd="0" presId="urn:microsoft.com/office/officeart/2005/8/layout/radial1"/>
    <dgm:cxn modelId="{2D324264-03C5-4E3F-B72C-EE4C146A1119}" type="presParOf" srcId="{93B3BE9E-D237-4DD9-937C-973455BC3658}" destId="{E7C370CD-4B70-470B-B819-7260C176B479}" srcOrd="0" destOrd="0" presId="urn:microsoft.com/office/officeart/2005/8/layout/radial1"/>
    <dgm:cxn modelId="{A703CAB7-8536-4456-8FC2-6524166682C2}" type="presParOf" srcId="{4B42C994-9F34-48FA-B0E9-245578FAC1C6}" destId="{3A26272E-8DBD-422F-ABA2-A3DA0C9B3C69}" srcOrd="6" destOrd="0" presId="urn:microsoft.com/office/officeart/2005/8/layout/radial1"/>
    <dgm:cxn modelId="{6F8692E0-01E5-446C-A6A4-E529962B8541}" type="presParOf" srcId="{4B42C994-9F34-48FA-B0E9-245578FAC1C6}" destId="{7F30A5E4-3531-49F3-AC3C-8F1D2236451A}" srcOrd="7" destOrd="0" presId="urn:microsoft.com/office/officeart/2005/8/layout/radial1"/>
    <dgm:cxn modelId="{1933F48F-F044-4008-91F1-41FDF2AA8133}" type="presParOf" srcId="{7F30A5E4-3531-49F3-AC3C-8F1D2236451A}" destId="{93F2ABB5-3A44-45ED-A792-C294D6962C8F}" srcOrd="0" destOrd="0" presId="urn:microsoft.com/office/officeart/2005/8/layout/radial1"/>
    <dgm:cxn modelId="{D778A55B-D6CB-4204-96FE-2962EA3D8DAD}" type="presParOf" srcId="{4B42C994-9F34-48FA-B0E9-245578FAC1C6}" destId="{E01DCF12-19AC-4734-9210-5F881573D3F5}" srcOrd="8" destOrd="0" presId="urn:microsoft.com/office/officeart/2005/8/layout/radial1"/>
    <dgm:cxn modelId="{81762926-F77E-4818-A46D-1E7B3340AD79}" type="presParOf" srcId="{4B42C994-9F34-48FA-B0E9-245578FAC1C6}" destId="{9350C245-A165-4791-BD7A-BFCED0BB0361}" srcOrd="9" destOrd="0" presId="urn:microsoft.com/office/officeart/2005/8/layout/radial1"/>
    <dgm:cxn modelId="{CEEEDB7C-0A50-42C7-B11C-9D12ED3B96B7}" type="presParOf" srcId="{9350C245-A165-4791-BD7A-BFCED0BB0361}" destId="{E19A1787-F640-4D8D-A88F-51D710E321CA}" srcOrd="0" destOrd="0" presId="urn:microsoft.com/office/officeart/2005/8/layout/radial1"/>
    <dgm:cxn modelId="{F455FDF2-A016-4D86-BE56-984601F7E45C}" type="presParOf" srcId="{4B42C994-9F34-48FA-B0E9-245578FAC1C6}" destId="{C7416AF2-49A6-451C-80C3-A5143C86D045}" srcOrd="10" destOrd="0" presId="urn:microsoft.com/office/officeart/2005/8/layout/radial1"/>
    <dgm:cxn modelId="{3549C4A1-A57C-4FE6-B48B-67561315AB1F}" type="presParOf" srcId="{4B42C994-9F34-48FA-B0E9-245578FAC1C6}" destId="{2A6DC4FF-B426-4171-A201-27B83DA94370}" srcOrd="11" destOrd="0" presId="urn:microsoft.com/office/officeart/2005/8/layout/radial1"/>
    <dgm:cxn modelId="{69717840-6A77-48E3-9800-0055B034FE77}" type="presParOf" srcId="{2A6DC4FF-B426-4171-A201-27B83DA94370}" destId="{CB1335D7-B771-475A-BE82-89C2F00DAF8B}" srcOrd="0" destOrd="0" presId="urn:microsoft.com/office/officeart/2005/8/layout/radial1"/>
    <dgm:cxn modelId="{523D59AA-EA40-4781-B2BE-3D7E70867FAD}" type="presParOf" srcId="{4B42C994-9F34-48FA-B0E9-245578FAC1C6}" destId="{353BAFE4-0977-4589-9534-7471241857D7}" srcOrd="12" destOrd="0" presId="urn:microsoft.com/office/officeart/2005/8/layout/radial1"/>
    <dgm:cxn modelId="{0B0AC3B2-4C1D-4D2D-BB5E-54B116F904B7}" type="presParOf" srcId="{4B42C994-9F34-48FA-B0E9-245578FAC1C6}" destId="{D3C62D02-BD66-40AA-8598-E6F03FA4330E}" srcOrd="13" destOrd="0" presId="urn:microsoft.com/office/officeart/2005/8/layout/radial1"/>
    <dgm:cxn modelId="{7C2D865E-72EB-4AE2-8398-E309ABC454CF}" type="presParOf" srcId="{D3C62D02-BD66-40AA-8598-E6F03FA4330E}" destId="{37A775CB-7592-434E-A233-9CA00876798D}" srcOrd="0" destOrd="0" presId="urn:microsoft.com/office/officeart/2005/8/layout/radial1"/>
    <dgm:cxn modelId="{27791D52-8E7B-48E0-B442-17ABA0E85ECD}" type="presParOf" srcId="{4B42C994-9F34-48FA-B0E9-245578FAC1C6}" destId="{694C81C6-3E54-45BC-9ED9-5944CBD672A7}" srcOrd="14" destOrd="0" presId="urn:microsoft.com/office/officeart/2005/8/layout/radial1"/>
    <dgm:cxn modelId="{94CD35DB-4128-4AEF-A1AD-88E0CDA28B3E}" type="presParOf" srcId="{4B42C994-9F34-48FA-B0E9-245578FAC1C6}" destId="{98E66AFE-BCED-48F2-B78A-230BF42B9FFC}" srcOrd="15" destOrd="0" presId="urn:microsoft.com/office/officeart/2005/8/layout/radial1"/>
    <dgm:cxn modelId="{85F533C0-A320-46A0-9061-3D42DF365540}" type="presParOf" srcId="{98E66AFE-BCED-48F2-B78A-230BF42B9FFC}" destId="{7244ABB3-7BCC-4145-8C19-8C33F0A4C35F}" srcOrd="0" destOrd="0" presId="urn:microsoft.com/office/officeart/2005/8/layout/radial1"/>
    <dgm:cxn modelId="{8E3F1CE9-A14F-4B0E-931C-C698A6FCEB16}" type="presParOf" srcId="{4B42C994-9F34-48FA-B0E9-245578FAC1C6}" destId="{A8CAB3F2-A4A1-434C-9CB4-641DE8526482}" srcOrd="16" destOrd="0" presId="urn:microsoft.com/office/officeart/2005/8/layout/radial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C06C39C9-71B8-489C-9C45-3DD37A424E39}">
      <dgm:prSet phldrT="[Text]" custT="1"/>
      <dgm:spPr>
        <a:xfrm>
          <a:off x="466725" y="515049"/>
          <a:ext cx="1261513" cy="45420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gm:t>
    </dgm:pt>
    <dgm:pt modelId="{4631C2C5-1554-4289-90B0-F2D55D1595B6}">
      <dgm:prSet phldrT="[Text]" custT="1"/>
      <dgm:spPr>
        <a:xfrm>
          <a:off x="4188545" y="516645"/>
          <a:ext cx="1459781" cy="4537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DE541715-C648-404D-8124-F14F463E9202}">
      <dgm:prSet phldrT="[Text]" custT="1"/>
      <dgm:spPr>
        <a:xfrm>
          <a:off x="2333625" y="538314"/>
          <a:ext cx="1085848" cy="40901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296">
          <a:off x="1728239" y="736106"/>
          <a:ext cx="605386"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134">
          <a:off x="3419473" y="736731"/>
          <a:ext cx="769072" cy="12797"/>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7852"/>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2"/>
      <dgm:spPr>
        <a:custGeom>
          <a:avLst/>
          <a:gdLst/>
          <a:ahLst/>
          <a:cxnLst/>
          <a:rect l="0" t="0" r="0" b="0"/>
          <a:pathLst>
            <a:path>
              <a:moveTo>
                <a:pt x="0" y="6398"/>
              </a:moveTo>
              <a:lnTo>
                <a:pt x="769072" y="6398"/>
              </a:lnTo>
            </a:path>
          </a:pathLst>
        </a:custGeom>
      </dgm:spPr>
      <dgm:t>
        <a:bodyPr/>
        <a:lstStyle/>
        <a:p>
          <a:endParaRPr lang="en-US"/>
        </a:p>
      </dgm:t>
    </dgm:pt>
    <dgm:pt modelId="{62A1F741-432F-46BE-AE07-15F0B6D5EA89}" type="pres">
      <dgm:prSet presAssocID="{4693CA52-075F-4BD8-ABEA-5368BE377DDA}" presName="connTx" presStyleLbl="parChTrans1D2" presStyleIdx="0" presStyleCnt="2"/>
      <dgm:spPr/>
      <dgm:t>
        <a:bodyPr/>
        <a:lstStyle/>
        <a:p>
          <a:endParaRPr lang="en-US"/>
        </a:p>
      </dgm:t>
    </dgm:pt>
    <dgm:pt modelId="{035B4C9A-0916-4FCC-A1CF-85DB358A289A}" type="pres">
      <dgm:prSet presAssocID="{4631C2C5-1554-4289-90B0-F2D55D1595B6}" presName="node" presStyleLbl="node1" presStyleIdx="0" presStyleCnt="2" custScaleX="386350" custScaleY="110925" custRadScaleRad="383284" custRadScaleInc="10002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1" presStyleCnt="2"/>
      <dgm:spPr>
        <a:custGeom>
          <a:avLst/>
          <a:gdLst/>
          <a:ahLst/>
          <a:cxnLst/>
          <a:rect l="0" t="0" r="0" b="0"/>
          <a:pathLst>
            <a:path>
              <a:moveTo>
                <a:pt x="0" y="6398"/>
              </a:moveTo>
              <a:lnTo>
                <a:pt x="605386" y="6398"/>
              </a:lnTo>
            </a:path>
          </a:pathLst>
        </a:custGeom>
      </dgm:spPr>
      <dgm:t>
        <a:bodyPr/>
        <a:lstStyle/>
        <a:p>
          <a:endParaRPr lang="en-US"/>
        </a:p>
      </dgm:t>
    </dgm:pt>
    <dgm:pt modelId="{EA4144E0-C5B2-4FC0-BDB2-550B61DB7DFD}" type="pres">
      <dgm:prSet presAssocID="{0FABC453-0A5C-4CAE-813B-F0494A34E025}" presName="connTx" presStyleLbl="parChTrans1D2" presStyleIdx="1" presStyleCnt="2"/>
      <dgm:spPr/>
      <dgm:t>
        <a:bodyPr/>
        <a:lstStyle/>
        <a:p>
          <a:endParaRPr lang="en-US"/>
        </a:p>
      </dgm:t>
    </dgm:pt>
    <dgm:pt modelId="{0FAF3FA1-8E6C-455E-B189-A468B3F4D8BC}" type="pres">
      <dgm:prSet presAssocID="{C06C39C9-71B8-489C-9C45-3DD37A424E39}" presName="node" presStyleLbl="node1" presStyleIdx="1" presStyleCnt="2" custScaleX="308424" custScaleY="111048" custRadScaleRad="333950" custRadScaleInc="100024">
        <dgm:presLayoutVars>
          <dgm:bulletEnabled val="1"/>
        </dgm:presLayoutVars>
      </dgm:prSet>
      <dgm:spPr>
        <a:prstGeom prst="ellipse">
          <a:avLst/>
        </a:prstGeom>
      </dgm:spPr>
      <dgm:t>
        <a:bodyPr/>
        <a:lstStyle/>
        <a:p>
          <a:endParaRPr lang="en-US"/>
        </a:p>
      </dgm:t>
    </dgm:pt>
  </dgm:ptLst>
  <dgm:cxnLst>
    <dgm:cxn modelId="{9EDD3052-A765-4863-8369-6221A7767EAB}" type="presOf" srcId="{34E6C8D5-8D4F-4714-8A12-8F4599A8E760}" destId="{08F189A1-AB47-41D1-8058-7A6DA66B3F52}" srcOrd="0" destOrd="0" presId="urn:microsoft.com/office/officeart/2005/8/layout/radial1"/>
    <dgm:cxn modelId="{1611CA59-4359-496F-BAB3-146DA5267911}" type="presOf" srcId="{4693CA52-075F-4BD8-ABEA-5368BE377DDA}" destId="{62A1F741-432F-46BE-AE07-15F0B6D5EA89}" srcOrd="1" destOrd="0" presId="urn:microsoft.com/office/officeart/2005/8/layout/radial1"/>
    <dgm:cxn modelId="{DF0B19B2-AA82-45EA-AF45-39FD096D0107}" type="presOf" srcId="{4631C2C5-1554-4289-90B0-F2D55D1595B6}" destId="{035B4C9A-0916-4FCC-A1CF-85DB358A289A}" srcOrd="0" destOrd="0" presId="urn:microsoft.com/office/officeart/2005/8/layout/radial1"/>
    <dgm:cxn modelId="{DCEC5926-5C25-432D-BF52-D178CBA0D2E9}" type="presOf" srcId="{0FABC453-0A5C-4CAE-813B-F0494A34E025}" destId="{ADF94B70-0D7F-4A27-8DF9-17BCD27F4A7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DA25A9B0-21C5-4481-A56A-6A6AA534F739}" type="presOf" srcId="{C06C39C9-71B8-489C-9C45-3DD37A424E39}" destId="{0FAF3FA1-8E6C-455E-B189-A468B3F4D8BC}" srcOrd="0" destOrd="0" presId="urn:microsoft.com/office/officeart/2005/8/layout/radial1"/>
    <dgm:cxn modelId="{BF65F824-D4F4-4A84-83B4-6B1944B62AAD}" srcId="{DE541715-C648-404D-8124-F14F463E9202}" destId="{4631C2C5-1554-4289-90B0-F2D55D1595B6}" srcOrd="0" destOrd="0" parTransId="{4693CA52-075F-4BD8-ABEA-5368BE377DDA}" sibTransId="{9B3CB24D-A47A-4081-B256-B868D89D5387}"/>
    <dgm:cxn modelId="{DA740704-6E02-4402-8325-D0302449434E}" srcId="{34E6C8D5-8D4F-4714-8A12-8F4599A8E760}" destId="{4F895710-9C0A-4357-A62A-B00C2B1BB2A2}" srcOrd="1" destOrd="0" parTransId="{4492527F-B2BC-4423-9ACC-2816666249A0}" sibTransId="{A0A859C5-79E5-4C97-AF72-54A6D166EEA1}"/>
    <dgm:cxn modelId="{2595E8FE-9C92-497D-89AB-91F30814D1EA}" type="presOf" srcId="{4693CA52-075F-4BD8-ABEA-5368BE377DDA}" destId="{4AC11394-3179-4EC5-A97F-D1A1B521CE2F}" srcOrd="0" destOrd="0" presId="urn:microsoft.com/office/officeart/2005/8/layout/radial1"/>
    <dgm:cxn modelId="{248698A6-055B-40E3-B808-D624056EF2B0}" srcId="{DE541715-C648-404D-8124-F14F463E9202}" destId="{C06C39C9-71B8-489C-9C45-3DD37A424E39}" srcOrd="1" destOrd="0" parTransId="{0FABC453-0A5C-4CAE-813B-F0494A34E025}" sibTransId="{DCD34884-F96E-475A-9010-14DE66A403A6}"/>
    <dgm:cxn modelId="{DF5AD12C-2B43-4890-9849-B91F060F3DC9}" type="presOf" srcId="{0FABC453-0A5C-4CAE-813B-F0494A34E025}" destId="{EA4144E0-C5B2-4FC0-BDB2-550B61DB7DFD}" srcOrd="1" destOrd="0" presId="urn:microsoft.com/office/officeart/2005/8/layout/radial1"/>
    <dgm:cxn modelId="{630EA77E-D1CC-4913-8428-A7F7EE3D5434}" type="presOf" srcId="{DE541715-C648-404D-8124-F14F463E9202}" destId="{062AF917-2F47-4639-8A23-58AD52EC0F32}" srcOrd="0" destOrd="0" presId="urn:microsoft.com/office/officeart/2005/8/layout/radial1"/>
    <dgm:cxn modelId="{40386424-62E0-4677-A688-44A8A3BBE1AC}" type="presParOf" srcId="{08F189A1-AB47-41D1-8058-7A6DA66B3F52}" destId="{062AF917-2F47-4639-8A23-58AD52EC0F32}" srcOrd="0" destOrd="0" presId="urn:microsoft.com/office/officeart/2005/8/layout/radial1"/>
    <dgm:cxn modelId="{11059B31-3372-413C-93AA-87224C7D95CD}" type="presParOf" srcId="{08F189A1-AB47-41D1-8058-7A6DA66B3F52}" destId="{4AC11394-3179-4EC5-A97F-D1A1B521CE2F}" srcOrd="1" destOrd="0" presId="urn:microsoft.com/office/officeart/2005/8/layout/radial1"/>
    <dgm:cxn modelId="{7F1FA968-4167-4416-B3EE-1696476CF9BE}" type="presParOf" srcId="{4AC11394-3179-4EC5-A97F-D1A1B521CE2F}" destId="{62A1F741-432F-46BE-AE07-15F0B6D5EA89}" srcOrd="0" destOrd="0" presId="urn:microsoft.com/office/officeart/2005/8/layout/radial1"/>
    <dgm:cxn modelId="{469E91A8-D095-47FB-9C0C-F6090F56F2E5}" type="presParOf" srcId="{08F189A1-AB47-41D1-8058-7A6DA66B3F52}" destId="{035B4C9A-0916-4FCC-A1CF-85DB358A289A}" srcOrd="2" destOrd="0" presId="urn:microsoft.com/office/officeart/2005/8/layout/radial1"/>
    <dgm:cxn modelId="{38991168-4ABB-46D7-B776-3947D8120163}" type="presParOf" srcId="{08F189A1-AB47-41D1-8058-7A6DA66B3F52}" destId="{ADF94B70-0D7F-4A27-8DF9-17BCD27F4A7A}" srcOrd="3" destOrd="0" presId="urn:microsoft.com/office/officeart/2005/8/layout/radial1"/>
    <dgm:cxn modelId="{3A400DA6-99AF-4662-965F-D58D4F59E8A6}" type="presParOf" srcId="{ADF94B70-0D7F-4A27-8DF9-17BCD27F4A7A}" destId="{EA4144E0-C5B2-4FC0-BDB2-550B61DB7DFD}" srcOrd="0" destOrd="0" presId="urn:microsoft.com/office/officeart/2005/8/layout/radial1"/>
    <dgm:cxn modelId="{5755A3A6-EF82-436D-9044-8D0A635AA178}" type="presParOf" srcId="{08F189A1-AB47-41D1-8058-7A6DA66B3F52}" destId="{0FAF3FA1-8E6C-455E-B189-A468B3F4D8BC}" srcOrd="4" destOrd="0" presId="urn:microsoft.com/office/officeart/2005/8/layout/radial1"/>
  </dgm:cxnLst>
  <dgm:bg/>
  <dgm:whole/>
  <dgm:extLst>
    <a:ext uri="http://schemas.microsoft.com/office/drawing/2008/diagram">
      <dsp:dataModelExt xmlns:dsp="http://schemas.microsoft.com/office/drawing/2008/diagram" relId="rId47"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20915" y="725701"/>
          <a:ext cx="1208867" cy="40744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4778753" y="685486"/>
          <a:ext cx="1164846" cy="50326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1328">
          <a:off x="3629750" y="927139"/>
          <a:ext cx="1149022"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9477" y="132311"/>
          <a:ext cx="1408898" cy="474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0247553">
          <a:off x="3384727" y="656466"/>
          <a:ext cx="566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506465" y="41060"/>
          <a:ext cx="1050044" cy="44569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31713">
          <a:off x="2908851" y="600059"/>
          <a:ext cx="238957"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88B3AC-9EBC-4ABD-B45F-EC2EC96E416C}">
      <dgm:prSet phldrT="[Text]" custT="1"/>
      <dgm:spPr>
        <a:xfrm>
          <a:off x="3463043" y="1078222"/>
          <a:ext cx="1328028" cy="53490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BB888D51-F36E-4A1A-AD65-530BDC7DD332}" type="parTrans" cxnId="{30B1AEB8-2F43-40DB-908B-C80EAFA6DFC6}">
      <dgm:prSet/>
      <dgm:spPr>
        <a:xfrm rot="1241859">
          <a:off x="3420297" y="1115902"/>
          <a:ext cx="229885"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4ABB19A-0DAA-4029-A8CB-922DC7035BE3}" type="sibTrans" cxnId="{30B1AEB8-2F43-40DB-908B-C80EAFA6DFC6}">
      <dgm:prSet/>
      <dgm:spPr/>
      <dgm:t>
        <a:bodyPr/>
        <a:lstStyle/>
        <a:p>
          <a:endParaRPr lang="en-US"/>
        </a:p>
      </dgm:t>
    </dgm:pt>
    <dgm:pt modelId="{1ED1F83B-CD97-4E51-9FD1-4E2191C87DD9}">
      <dgm:prSet phldrT="[Text]" custT="1"/>
      <dgm:spPr>
        <a:xfrm>
          <a:off x="1215754" y="1071444"/>
          <a:ext cx="1397086" cy="548458"/>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a:t>
          </a:r>
        </a:p>
        <a:p>
          <a:r>
            <a:rPr lang="en-US" sz="900" baseline="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oficinas de P.I. </a:t>
          </a:r>
        </a:p>
      </dgm:t>
    </dgm:pt>
    <dgm:pt modelId="{AE014B54-4FFC-4271-A6FD-00D3C5F85913}" type="parTrans" cxnId="{1CDC68B5-EB25-4F4F-9CBB-8563203CE59F}">
      <dgm:prSet/>
      <dgm:spPr>
        <a:xfrm rot="9567707">
          <a:off x="2412810" y="1112442"/>
          <a:ext cx="215118"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B5AF736-2B95-46CE-82BA-DD5FB8A9AAE3}" type="sibTrans" cxnId="{1CDC68B5-EB25-4F4F-9CBB-8563203CE59F}">
      <dgm:prSet/>
      <dgm:spPr/>
      <dgm:t>
        <a:bodyPr/>
        <a:lstStyle/>
        <a:p>
          <a:endParaRPr lang="en-US"/>
        </a:p>
      </dgm:t>
    </dgm:pt>
    <dgm:pt modelId="{A94E6E4E-9ABC-4D91-9437-4DC447452660}">
      <dgm:prSet phldrT="[Text]" custT="1"/>
      <dgm:spPr>
        <a:xfrm>
          <a:off x="3435" y="652563"/>
          <a:ext cx="1387112" cy="5571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endParaRPr lang="en-US" sz="900">
            <a:solidFill>
              <a:srgbClr val="C00000"/>
            </a:solidFill>
            <a:latin typeface="Arial" panose="020B0604020202020204" pitchFamily="34" charset="0"/>
            <a:ea typeface="+mn-ea"/>
            <a:cs typeface="Arial" panose="020B0604020202020204" pitchFamily="34" charset="0"/>
          </a:endParaRPr>
        </a:p>
      </dgm:t>
    </dgm:pt>
    <dgm:pt modelId="{E936BDD9-A5D4-4D21-8A3B-A9B992679F1F}" type="parTrans" cxnId="{7E89E051-CD5C-4130-A5D7-C99408C8CCA0}">
      <dgm:prSet/>
      <dgm:spPr>
        <a:xfrm rot="10797497">
          <a:off x="1390546" y="924069"/>
          <a:ext cx="1030370"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40EA14-C029-4AFD-8980-3E0592BA1C58}" type="sibTrans" cxnId="{7E89E051-CD5C-4130-A5D7-C99408C8CCA0}">
      <dgm:prSet/>
      <dgm:spPr/>
      <dgm:t>
        <a:bodyPr/>
        <a:lstStyle/>
        <a:p>
          <a:endParaRPr lang="en-US"/>
        </a:p>
      </dgm:t>
    </dgm:pt>
    <dgm:pt modelId="{47774346-E18D-4F76-8BAA-0550FDAF03CE}">
      <dgm:prSet phldrT="[Text]" custT="1"/>
      <dgm:spPr>
        <a:xfrm>
          <a:off x="1151397" y="142875"/>
          <a:ext cx="1324789" cy="501793"/>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r>
            <a:rPr lang="en-US" sz="900">
              <a:solidFill>
                <a:sysClr val="windowText" lastClr="000000"/>
              </a:solidFill>
              <a:latin typeface="Arial" panose="020B0604020202020204" pitchFamily="34" charset="0"/>
              <a:ea typeface="+mn-ea"/>
              <a:cs typeface="Arial" panose="020B0604020202020204" pitchFamily="34" charset="0"/>
            </a:rPr>
            <a:t>Gestion ejecutiva </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748ED0F-9025-4150-81AF-C1AEFFEE2246}" type="parTrans" cxnId="{7A2F3881-9A85-4A8C-9C4B-5CC9408F5855}">
      <dgm:prSet/>
      <dgm:spPr>
        <a:xfrm rot="12231066">
          <a:off x="2225415" y="669689"/>
          <a:ext cx="452821" cy="1233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B5C7858-3354-40C7-A720-7E7DAAC6B51B}" type="sibTrans" cxnId="{7A2F3881-9A85-4A8C-9C4B-5CC9408F5855}">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96694"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7"/>
      <dgm:spPr>
        <a:custGeom>
          <a:avLst/>
          <a:gdLst/>
          <a:ahLst/>
          <a:cxnLst/>
          <a:rect l="0" t="0" r="0" b="0"/>
          <a:pathLst>
            <a:path>
              <a:moveTo>
                <a:pt x="0" y="6169"/>
              </a:moveTo>
              <a:lnTo>
                <a:pt x="238957" y="6169"/>
              </a:lnTo>
            </a:path>
          </a:pathLst>
        </a:custGeom>
      </dgm:spPr>
      <dgm:t>
        <a:bodyPr/>
        <a:lstStyle/>
        <a:p>
          <a:endParaRPr lang="en-US"/>
        </a:p>
      </dgm:t>
    </dgm:pt>
    <dgm:pt modelId="{326412CE-9911-4799-A459-B56F02EB4473}" type="pres">
      <dgm:prSet presAssocID="{7AF774ED-547E-4C04-8670-B0C1D08C5EE9}" presName="connTx" presStyleLbl="parChTrans1D2" presStyleIdx="0" presStyleCnt="7"/>
      <dgm:spPr/>
      <dgm:t>
        <a:bodyPr/>
        <a:lstStyle/>
        <a:p>
          <a:endParaRPr lang="en-US"/>
        </a:p>
      </dgm:t>
    </dgm:pt>
    <dgm:pt modelId="{CED9197C-8322-406B-917C-172FA36E7B76}" type="pres">
      <dgm:prSet presAssocID="{960C5593-E0FF-4AA5-AA0B-E8BDFFBC5E53}" presName="node" presStyleLbl="node1" presStyleIdx="0" presStyleCnt="7" custScaleX="257714" custScaleY="109388" custRadScaleRad="86944" custRadScaleInc="2575">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7"/>
      <dgm:spPr>
        <a:custGeom>
          <a:avLst/>
          <a:gdLst/>
          <a:ahLst/>
          <a:cxnLst/>
          <a:rect l="0" t="0" r="0" b="0"/>
          <a:pathLst>
            <a:path>
              <a:moveTo>
                <a:pt x="0" y="6169"/>
              </a:moveTo>
              <a:lnTo>
                <a:pt x="566821" y="6169"/>
              </a:lnTo>
            </a:path>
          </a:pathLst>
        </a:custGeom>
      </dgm:spPr>
      <dgm:t>
        <a:bodyPr/>
        <a:lstStyle/>
        <a:p>
          <a:endParaRPr lang="en-US"/>
        </a:p>
      </dgm:t>
    </dgm:pt>
    <dgm:pt modelId="{62A1F741-432F-46BE-AE07-15F0B6D5EA89}" type="pres">
      <dgm:prSet presAssocID="{4693CA52-075F-4BD8-ABEA-5368BE377DDA}" presName="connTx" presStyleLbl="parChTrans1D2" presStyleIdx="1" presStyleCnt="7"/>
      <dgm:spPr/>
      <dgm:t>
        <a:bodyPr/>
        <a:lstStyle/>
        <a:p>
          <a:endParaRPr lang="en-US"/>
        </a:p>
      </dgm:t>
    </dgm:pt>
    <dgm:pt modelId="{035B4C9A-0916-4FCC-A1CF-85DB358A289A}" type="pres">
      <dgm:prSet presAssocID="{4631C2C5-1554-4289-90B0-F2D55D1595B6}" presName="node" presStyleLbl="node1" presStyleIdx="1" presStyleCnt="7" custScaleX="345788" custScaleY="116525" custRadScaleRad="227637" custRadScaleInc="81969">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7"/>
      <dgm:spPr>
        <a:custGeom>
          <a:avLst/>
          <a:gdLst/>
          <a:ahLst/>
          <a:cxnLst/>
          <a:rect l="0" t="0" r="0" b="0"/>
          <a:pathLst>
            <a:path>
              <a:moveTo>
                <a:pt x="0" y="6169"/>
              </a:moveTo>
              <a:lnTo>
                <a:pt x="1149022" y="6169"/>
              </a:lnTo>
            </a:path>
          </a:pathLst>
        </a:custGeom>
      </dgm:spPr>
      <dgm:t>
        <a:bodyPr/>
        <a:lstStyle/>
        <a:p>
          <a:endParaRPr lang="en-US"/>
        </a:p>
      </dgm:t>
    </dgm:pt>
    <dgm:pt modelId="{EA4144E0-C5B2-4FC0-BDB2-550B61DB7DFD}" type="pres">
      <dgm:prSet presAssocID="{0FABC453-0A5C-4CAE-813B-F0494A34E025}" presName="connTx" presStyleLbl="parChTrans1D2" presStyleIdx="2" presStyleCnt="7"/>
      <dgm:spPr/>
      <dgm:t>
        <a:bodyPr/>
        <a:lstStyle/>
        <a:p>
          <a:endParaRPr lang="en-US"/>
        </a:p>
      </dgm:t>
    </dgm:pt>
    <dgm:pt modelId="{0FAF3FA1-8E6C-455E-B189-A468B3F4D8BC}" type="pres">
      <dgm:prSet presAssocID="{C06C39C9-71B8-489C-9C45-3DD37A424E39}" presName="node" presStyleLbl="node1" presStyleIdx="2" presStyleCnt="7" custScaleX="285890" custScaleY="123518" custRadScaleRad="382960" custRadScaleInc="-37171">
        <dgm:presLayoutVars>
          <dgm:bulletEnabled val="1"/>
        </dgm:presLayoutVars>
      </dgm:prSet>
      <dgm:spPr>
        <a:prstGeom prst="ellipse">
          <a:avLst/>
        </a:prstGeom>
      </dgm:spPr>
      <dgm:t>
        <a:bodyPr/>
        <a:lstStyle/>
        <a:p>
          <a:endParaRPr lang="en-US"/>
        </a:p>
      </dgm:t>
    </dgm:pt>
    <dgm:pt modelId="{447FEE0B-EFE1-4BAD-80EF-66C3DD36014A}" type="pres">
      <dgm:prSet presAssocID="{BB888D51-F36E-4A1A-AD65-530BDC7DD332}" presName="Name9" presStyleLbl="parChTrans1D2" presStyleIdx="3" presStyleCnt="7"/>
      <dgm:spPr>
        <a:custGeom>
          <a:avLst/>
          <a:gdLst/>
          <a:ahLst/>
          <a:cxnLst/>
          <a:rect l="0" t="0" r="0" b="0"/>
          <a:pathLst>
            <a:path>
              <a:moveTo>
                <a:pt x="0" y="6169"/>
              </a:moveTo>
              <a:lnTo>
                <a:pt x="229885" y="6169"/>
              </a:lnTo>
            </a:path>
          </a:pathLst>
        </a:custGeom>
      </dgm:spPr>
      <dgm:t>
        <a:bodyPr/>
        <a:lstStyle/>
        <a:p>
          <a:endParaRPr lang="en-US"/>
        </a:p>
      </dgm:t>
    </dgm:pt>
    <dgm:pt modelId="{0AC78349-4F42-425B-8A1A-4393D65C2051}" type="pres">
      <dgm:prSet presAssocID="{BB888D51-F36E-4A1A-AD65-530BDC7DD332}" presName="connTx" presStyleLbl="parChTrans1D2" presStyleIdx="3" presStyleCnt="7"/>
      <dgm:spPr/>
      <dgm:t>
        <a:bodyPr/>
        <a:lstStyle/>
        <a:p>
          <a:endParaRPr lang="en-US"/>
        </a:p>
      </dgm:t>
    </dgm:pt>
    <dgm:pt modelId="{3F1A2A14-E080-4448-96C3-A8E6002E7EE2}" type="pres">
      <dgm:prSet presAssocID="{7088B3AC-9EBC-4ABD-B45F-EC2EC96E416C}" presName="node" presStyleLbl="node1" presStyleIdx="3" presStyleCnt="7" custScaleX="325940" custScaleY="131282" custRadScaleRad="197111" custRadScaleInc="-150821">
        <dgm:presLayoutVars>
          <dgm:bulletEnabled val="1"/>
        </dgm:presLayoutVars>
      </dgm:prSet>
      <dgm:spPr>
        <a:prstGeom prst="ellipse">
          <a:avLst/>
        </a:prstGeom>
      </dgm:spPr>
      <dgm:t>
        <a:bodyPr/>
        <a:lstStyle/>
        <a:p>
          <a:endParaRPr lang="en-US"/>
        </a:p>
      </dgm:t>
    </dgm:pt>
    <dgm:pt modelId="{E64AB50F-BCCF-45E7-A4E4-85ABC4F0C76B}" type="pres">
      <dgm:prSet presAssocID="{AE014B54-4FFC-4271-A6FD-00D3C5F85913}" presName="Name9" presStyleLbl="parChTrans1D2" presStyleIdx="4" presStyleCnt="7"/>
      <dgm:spPr>
        <a:custGeom>
          <a:avLst/>
          <a:gdLst/>
          <a:ahLst/>
          <a:cxnLst/>
          <a:rect l="0" t="0" r="0" b="0"/>
          <a:pathLst>
            <a:path>
              <a:moveTo>
                <a:pt x="0" y="6169"/>
              </a:moveTo>
              <a:lnTo>
                <a:pt x="215118" y="6169"/>
              </a:lnTo>
            </a:path>
          </a:pathLst>
        </a:custGeom>
      </dgm:spPr>
      <dgm:t>
        <a:bodyPr/>
        <a:lstStyle/>
        <a:p>
          <a:endParaRPr lang="en-US"/>
        </a:p>
      </dgm:t>
    </dgm:pt>
    <dgm:pt modelId="{073D7962-B31D-49BD-AB47-082CE21EAD80}" type="pres">
      <dgm:prSet presAssocID="{AE014B54-4FFC-4271-A6FD-00D3C5F85913}" presName="connTx" presStyleLbl="parChTrans1D2" presStyleIdx="4" presStyleCnt="7"/>
      <dgm:spPr/>
      <dgm:t>
        <a:bodyPr/>
        <a:lstStyle/>
        <a:p>
          <a:endParaRPr lang="en-US"/>
        </a:p>
      </dgm:t>
    </dgm:pt>
    <dgm:pt modelId="{97004BB0-64D3-4A92-A1C1-813788F5650F}" type="pres">
      <dgm:prSet presAssocID="{1ED1F83B-CD97-4E51-9FD1-4E2191C87DD9}" presName="node" presStyleLbl="node1" presStyleIdx="4" presStyleCnt="7" custScaleX="342889" custScaleY="151604" custRadScaleRad="210580" custRadScaleInc="132196">
        <dgm:presLayoutVars>
          <dgm:bulletEnabled val="1"/>
        </dgm:presLayoutVars>
      </dgm:prSet>
      <dgm:spPr>
        <a:prstGeom prst="ellipse">
          <a:avLst/>
        </a:prstGeom>
      </dgm:spPr>
      <dgm:t>
        <a:bodyPr/>
        <a:lstStyle/>
        <a:p>
          <a:endParaRPr lang="en-US"/>
        </a:p>
      </dgm:t>
    </dgm:pt>
    <dgm:pt modelId="{D74286FF-AAFA-441A-87F1-98384D680093}" type="pres">
      <dgm:prSet presAssocID="{E936BDD9-A5D4-4D21-8A3B-A9B992679F1F}" presName="Name9" presStyleLbl="parChTrans1D2" presStyleIdx="5" presStyleCnt="7"/>
      <dgm:spPr>
        <a:custGeom>
          <a:avLst/>
          <a:gdLst/>
          <a:ahLst/>
          <a:cxnLst/>
          <a:rect l="0" t="0" r="0" b="0"/>
          <a:pathLst>
            <a:path>
              <a:moveTo>
                <a:pt x="0" y="6169"/>
              </a:moveTo>
              <a:lnTo>
                <a:pt x="1030370" y="6169"/>
              </a:lnTo>
            </a:path>
          </a:pathLst>
        </a:custGeom>
      </dgm:spPr>
      <dgm:t>
        <a:bodyPr/>
        <a:lstStyle/>
        <a:p>
          <a:endParaRPr lang="en-US"/>
        </a:p>
      </dgm:t>
    </dgm:pt>
    <dgm:pt modelId="{4733965B-CB9A-4F14-BD3E-CB16D7A3032B}" type="pres">
      <dgm:prSet presAssocID="{E936BDD9-A5D4-4D21-8A3B-A9B992679F1F}" presName="connTx" presStyleLbl="parChTrans1D2" presStyleIdx="5" presStyleCnt="7"/>
      <dgm:spPr/>
      <dgm:t>
        <a:bodyPr/>
        <a:lstStyle/>
        <a:p>
          <a:endParaRPr lang="en-US"/>
        </a:p>
      </dgm:t>
    </dgm:pt>
    <dgm:pt modelId="{755CFD49-3313-42A9-A1A9-D99CF689F3D7}" type="pres">
      <dgm:prSet presAssocID="{A94E6E4E-9ABC-4D91-9437-4DC447452660}" presName="node" presStyleLbl="node1" presStyleIdx="5" presStyleCnt="7" custScaleX="340441" custScaleY="136733" custRadScaleRad="381694" custRadScaleInc="37002">
        <dgm:presLayoutVars>
          <dgm:bulletEnabled val="1"/>
        </dgm:presLayoutVars>
      </dgm:prSet>
      <dgm:spPr>
        <a:prstGeom prst="ellipse">
          <a:avLst/>
        </a:prstGeom>
      </dgm:spPr>
      <dgm:t>
        <a:bodyPr/>
        <a:lstStyle/>
        <a:p>
          <a:endParaRPr lang="en-US"/>
        </a:p>
      </dgm:t>
    </dgm:pt>
    <dgm:pt modelId="{6674A0B6-35AA-4763-B890-1E2177289BCF}" type="pres">
      <dgm:prSet presAssocID="{D748ED0F-9025-4150-81AF-C1AEFFEE2246}" presName="Name9" presStyleLbl="parChTrans1D2" presStyleIdx="6" presStyleCnt="7"/>
      <dgm:spPr>
        <a:custGeom>
          <a:avLst/>
          <a:gdLst/>
          <a:ahLst/>
          <a:cxnLst/>
          <a:rect l="0" t="0" r="0" b="0"/>
          <a:pathLst>
            <a:path>
              <a:moveTo>
                <a:pt x="0" y="6169"/>
              </a:moveTo>
              <a:lnTo>
                <a:pt x="452821" y="6169"/>
              </a:lnTo>
            </a:path>
          </a:pathLst>
        </a:custGeom>
      </dgm:spPr>
      <dgm:t>
        <a:bodyPr/>
        <a:lstStyle/>
        <a:p>
          <a:endParaRPr lang="en-US"/>
        </a:p>
      </dgm:t>
    </dgm:pt>
    <dgm:pt modelId="{A608A501-C2D4-466C-80D2-8354150DE79D}" type="pres">
      <dgm:prSet presAssocID="{D748ED0F-9025-4150-81AF-C1AEFFEE2246}" presName="connTx" presStyleLbl="parChTrans1D2" presStyleIdx="6" presStyleCnt="7"/>
      <dgm:spPr/>
      <dgm:t>
        <a:bodyPr/>
        <a:lstStyle/>
        <a:p>
          <a:endParaRPr lang="en-US"/>
        </a:p>
      </dgm:t>
    </dgm:pt>
    <dgm:pt modelId="{16FD236C-1C35-46D3-A6E9-C486F23997B9}" type="pres">
      <dgm:prSet presAssocID="{47774346-E18D-4F76-8BAA-0550FDAF03CE}" presName="node" presStyleLbl="node1" presStyleIdx="6" presStyleCnt="7" custScaleX="325145" custScaleY="123156" custRadScaleRad="208873" custRadScaleInc="-78720">
        <dgm:presLayoutVars>
          <dgm:bulletEnabled val="1"/>
        </dgm:presLayoutVars>
      </dgm:prSet>
      <dgm:spPr>
        <a:prstGeom prst="ellipse">
          <a:avLst/>
        </a:prstGeom>
      </dgm:spPr>
      <dgm:t>
        <a:bodyPr/>
        <a:lstStyle/>
        <a:p>
          <a:endParaRPr lang="en-US"/>
        </a:p>
      </dgm:t>
    </dgm:pt>
  </dgm:ptLst>
  <dgm:cxnLst>
    <dgm:cxn modelId="{FFAFED2E-3446-4E54-85A8-94AF176428D0}" type="presOf" srcId="{7AF774ED-547E-4C04-8670-B0C1D08C5EE9}" destId="{5337AE63-3722-42CC-AF72-36670EB7C5E1}" srcOrd="0" destOrd="0" presId="urn:microsoft.com/office/officeart/2005/8/layout/radial1"/>
    <dgm:cxn modelId="{F3117D70-1944-4B4D-822D-69F6D8207C43}" type="presOf" srcId="{BB888D51-F36E-4A1A-AD65-530BDC7DD332}" destId="{0AC78349-4F42-425B-8A1A-4393D65C2051}" srcOrd="1"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59BCB87A-0A37-47BE-A7BC-8AD17BA20325}" type="presOf" srcId="{960C5593-E0FF-4AA5-AA0B-E8BDFFBC5E53}" destId="{CED9197C-8322-406B-917C-172FA36E7B76}" srcOrd="0" destOrd="0" presId="urn:microsoft.com/office/officeart/2005/8/layout/radial1"/>
    <dgm:cxn modelId="{8B3E0474-2D78-48F7-A2CD-134633EFCA97}" type="presOf" srcId="{4693CA52-075F-4BD8-ABEA-5368BE377DDA}" destId="{62A1F741-432F-46BE-AE07-15F0B6D5EA89}" srcOrd="1" destOrd="0" presId="urn:microsoft.com/office/officeart/2005/8/layout/radial1"/>
    <dgm:cxn modelId="{C3F19CE6-E45B-417A-95A7-DA21E40C1E8B}"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E55A08CC-D717-42E3-A9AD-C179B32445F0}" type="presOf" srcId="{AE014B54-4FFC-4271-A6FD-00D3C5F85913}" destId="{073D7962-B31D-49BD-AB47-082CE21EAD80}" srcOrd="1" destOrd="0" presId="urn:microsoft.com/office/officeart/2005/8/layout/radial1"/>
    <dgm:cxn modelId="{603EAFDF-CDB7-4D92-9273-0CBB0FA4C131}" type="presOf" srcId="{47774346-E18D-4F76-8BAA-0550FDAF03CE}" destId="{16FD236C-1C35-46D3-A6E9-C486F23997B9}" srcOrd="0" destOrd="0" presId="urn:microsoft.com/office/officeart/2005/8/layout/radial1"/>
    <dgm:cxn modelId="{AB3BAB40-BB65-4102-AAE4-693DE1A57CC3}" type="presOf" srcId="{4631C2C5-1554-4289-90B0-F2D55D1595B6}" destId="{035B4C9A-0916-4FCC-A1CF-85DB358A289A}" srcOrd="0" destOrd="0" presId="urn:microsoft.com/office/officeart/2005/8/layout/radial1"/>
    <dgm:cxn modelId="{7A2F3881-9A85-4A8C-9C4B-5CC9408F5855}" srcId="{DE541715-C648-404D-8124-F14F463E9202}" destId="{47774346-E18D-4F76-8BAA-0550FDAF03CE}" srcOrd="6" destOrd="0" parTransId="{D748ED0F-9025-4150-81AF-C1AEFFEE2246}" sibTransId="{1B5C7858-3354-40C7-A720-7E7DAAC6B51B}"/>
    <dgm:cxn modelId="{5BAA6C2E-4EFB-437F-B8C3-555D1B9EBCEB}" type="presOf" srcId="{E936BDD9-A5D4-4D21-8A3B-A9B992679F1F}" destId="{D74286FF-AAFA-441A-87F1-98384D680093}" srcOrd="0" destOrd="0" presId="urn:microsoft.com/office/officeart/2005/8/layout/radial1"/>
    <dgm:cxn modelId="{16CAF024-A7D7-41D6-87BE-8C2D2A590283}" type="presOf" srcId="{D748ED0F-9025-4150-81AF-C1AEFFEE2246}" destId="{6674A0B6-35AA-4763-B890-1E2177289BCF}" srcOrd="0" destOrd="0" presId="urn:microsoft.com/office/officeart/2005/8/layout/radial1"/>
    <dgm:cxn modelId="{3DF6FA4B-E68B-46D7-BB10-C773E6E5540D}" type="presOf" srcId="{D748ED0F-9025-4150-81AF-C1AEFFEE2246}" destId="{A608A501-C2D4-466C-80D2-8354150DE79D}" srcOrd="1" destOrd="0" presId="urn:microsoft.com/office/officeart/2005/8/layout/radial1"/>
    <dgm:cxn modelId="{E05EB5F4-74CB-4228-921E-80FC65D0C728}" type="presOf" srcId="{1ED1F83B-CD97-4E51-9FD1-4E2191C87DD9}" destId="{97004BB0-64D3-4A92-A1C1-813788F5650F}" srcOrd="0" destOrd="0" presId="urn:microsoft.com/office/officeart/2005/8/layout/radial1"/>
    <dgm:cxn modelId="{30B1AEB8-2F43-40DB-908B-C80EAFA6DFC6}" srcId="{DE541715-C648-404D-8124-F14F463E9202}" destId="{7088B3AC-9EBC-4ABD-B45F-EC2EC96E416C}" srcOrd="3" destOrd="0" parTransId="{BB888D51-F36E-4A1A-AD65-530BDC7DD332}" sibTransId="{94ABB19A-0DAA-4029-A8CB-922DC7035BE3}"/>
    <dgm:cxn modelId="{7DE53927-A9D4-40EA-AE26-AF9F0DFCB9B1}" type="presOf" srcId="{7088B3AC-9EBC-4ABD-B45F-EC2EC96E416C}" destId="{3F1A2A14-E080-4448-96C3-A8E6002E7EE2}" srcOrd="0" destOrd="0" presId="urn:microsoft.com/office/officeart/2005/8/layout/radial1"/>
    <dgm:cxn modelId="{06C0FC80-706B-447E-B117-36ED8BEA0F93}" type="presOf" srcId="{7AF774ED-547E-4C04-8670-B0C1D08C5EE9}" destId="{326412CE-9911-4799-A459-B56F02EB4473}" srcOrd="1" destOrd="0" presId="urn:microsoft.com/office/officeart/2005/8/layout/radial1"/>
    <dgm:cxn modelId="{7414189B-4F8A-4D84-8583-FB76201BCDAC}" type="presOf" srcId="{DE541715-C648-404D-8124-F14F463E9202}" destId="{062AF917-2F47-4639-8A23-58AD52EC0F32}" srcOrd="0" destOrd="0" presId="urn:microsoft.com/office/officeart/2005/8/layout/radial1"/>
    <dgm:cxn modelId="{30F9CD4B-E943-47CA-B73B-AAEBF4A7CA88}" type="presOf" srcId="{0FABC453-0A5C-4CAE-813B-F0494A34E025}" destId="{ADF94B70-0D7F-4A27-8DF9-17BCD27F4A7A}" srcOrd="0" destOrd="0" presId="urn:microsoft.com/office/officeart/2005/8/layout/radial1"/>
    <dgm:cxn modelId="{7E89E051-CD5C-4130-A5D7-C99408C8CCA0}" srcId="{DE541715-C648-404D-8124-F14F463E9202}" destId="{A94E6E4E-9ABC-4D91-9437-4DC447452660}" srcOrd="5" destOrd="0" parTransId="{E936BDD9-A5D4-4D21-8A3B-A9B992679F1F}" sibTransId="{8B40EA14-C029-4AFD-8980-3E0592BA1C58}"/>
    <dgm:cxn modelId="{248698A6-055B-40E3-B808-D624056EF2B0}" srcId="{DE541715-C648-404D-8124-F14F463E9202}" destId="{C06C39C9-71B8-489C-9C45-3DD37A424E39}" srcOrd="2" destOrd="0" parTransId="{0FABC453-0A5C-4CAE-813B-F0494A34E025}" sibTransId="{DCD34884-F96E-475A-9010-14DE66A403A6}"/>
    <dgm:cxn modelId="{D6F475C1-DCD6-4ABB-85B7-536075AA67E0}" type="presOf" srcId="{E936BDD9-A5D4-4D21-8A3B-A9B992679F1F}" destId="{4733965B-CB9A-4F14-BD3E-CB16D7A3032B}" srcOrd="1" destOrd="0" presId="urn:microsoft.com/office/officeart/2005/8/layout/radial1"/>
    <dgm:cxn modelId="{1CDC68B5-EB25-4F4F-9CBB-8563203CE59F}" srcId="{DE541715-C648-404D-8124-F14F463E9202}" destId="{1ED1F83B-CD97-4E51-9FD1-4E2191C87DD9}" srcOrd="4" destOrd="0" parTransId="{AE014B54-4FFC-4271-A6FD-00D3C5F85913}" sibTransId="{CB5AF736-2B95-46CE-82BA-DD5FB8A9AAE3}"/>
    <dgm:cxn modelId="{2CD318C5-B3D2-4F73-BAE8-084DBA682EB1}" type="presOf" srcId="{4693CA52-075F-4BD8-ABEA-5368BE377DDA}" destId="{4AC11394-3179-4EC5-A97F-D1A1B521CE2F}" srcOrd="0" destOrd="0" presId="urn:microsoft.com/office/officeart/2005/8/layout/radial1"/>
    <dgm:cxn modelId="{5C791F30-84D3-4599-B802-F4BB95AB140B}" type="presOf" srcId="{BB888D51-F36E-4A1A-AD65-530BDC7DD332}" destId="{447FEE0B-EFE1-4BAD-80EF-66C3DD36014A}"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9871D3D0-8D21-44A0-AB98-BA57DB2E5A4F}" type="presOf" srcId="{C06C39C9-71B8-489C-9C45-3DD37A424E39}" destId="{0FAF3FA1-8E6C-455E-B189-A468B3F4D8BC}" srcOrd="0" destOrd="0" presId="urn:microsoft.com/office/officeart/2005/8/layout/radial1"/>
    <dgm:cxn modelId="{04E7364D-56E8-46BB-BCB2-4B7231A263B2}" type="presOf" srcId="{A94E6E4E-9ABC-4D91-9437-4DC447452660}" destId="{755CFD49-3313-42A9-A1A9-D99CF689F3D7}" srcOrd="0" destOrd="0" presId="urn:microsoft.com/office/officeart/2005/8/layout/radial1"/>
    <dgm:cxn modelId="{C86B2838-092D-4CCA-B796-29473144ED75}" type="presOf" srcId="{AE014B54-4FFC-4271-A6FD-00D3C5F85913}" destId="{E64AB50F-BCCF-45E7-A4E4-85ABC4F0C76B}" srcOrd="0" destOrd="0" presId="urn:microsoft.com/office/officeart/2005/8/layout/radial1"/>
    <dgm:cxn modelId="{9CBDCEBA-71C0-42CD-9C16-D5127F181022}" type="presOf" srcId="{0FABC453-0A5C-4CAE-813B-F0494A34E025}" destId="{EA4144E0-C5B2-4FC0-BDB2-550B61DB7DFD}" srcOrd="1" destOrd="0" presId="urn:microsoft.com/office/officeart/2005/8/layout/radial1"/>
    <dgm:cxn modelId="{E62288D7-1805-4F06-B229-C0A28DF75798}" type="presParOf" srcId="{08F189A1-AB47-41D1-8058-7A6DA66B3F52}" destId="{062AF917-2F47-4639-8A23-58AD52EC0F32}" srcOrd="0" destOrd="0" presId="urn:microsoft.com/office/officeart/2005/8/layout/radial1"/>
    <dgm:cxn modelId="{1B24DD4E-6F95-4ED4-9A8E-C4964E77DC53}" type="presParOf" srcId="{08F189A1-AB47-41D1-8058-7A6DA66B3F52}" destId="{5337AE63-3722-42CC-AF72-36670EB7C5E1}" srcOrd="1" destOrd="0" presId="urn:microsoft.com/office/officeart/2005/8/layout/radial1"/>
    <dgm:cxn modelId="{2A84D2E2-ABD9-4536-B987-E7A8C8012DEE}" type="presParOf" srcId="{5337AE63-3722-42CC-AF72-36670EB7C5E1}" destId="{326412CE-9911-4799-A459-B56F02EB4473}" srcOrd="0" destOrd="0" presId="urn:microsoft.com/office/officeart/2005/8/layout/radial1"/>
    <dgm:cxn modelId="{3E149F74-290B-441F-992D-86B031E9B777}" type="presParOf" srcId="{08F189A1-AB47-41D1-8058-7A6DA66B3F52}" destId="{CED9197C-8322-406B-917C-172FA36E7B76}" srcOrd="2" destOrd="0" presId="urn:microsoft.com/office/officeart/2005/8/layout/radial1"/>
    <dgm:cxn modelId="{1B935CC3-A651-4C63-90BF-BDDA8D16DE79}" type="presParOf" srcId="{08F189A1-AB47-41D1-8058-7A6DA66B3F52}" destId="{4AC11394-3179-4EC5-A97F-D1A1B521CE2F}" srcOrd="3" destOrd="0" presId="urn:microsoft.com/office/officeart/2005/8/layout/radial1"/>
    <dgm:cxn modelId="{8E0A54D3-5046-4898-A5BD-CF5E7236DCD1}" type="presParOf" srcId="{4AC11394-3179-4EC5-A97F-D1A1B521CE2F}" destId="{62A1F741-432F-46BE-AE07-15F0B6D5EA89}" srcOrd="0" destOrd="0" presId="urn:microsoft.com/office/officeart/2005/8/layout/radial1"/>
    <dgm:cxn modelId="{30673402-0947-4CD8-809E-5CB801090F1E}" type="presParOf" srcId="{08F189A1-AB47-41D1-8058-7A6DA66B3F52}" destId="{035B4C9A-0916-4FCC-A1CF-85DB358A289A}" srcOrd="4" destOrd="0" presId="urn:microsoft.com/office/officeart/2005/8/layout/radial1"/>
    <dgm:cxn modelId="{793A346F-BC39-423D-8BC3-1F390303DF5B}" type="presParOf" srcId="{08F189A1-AB47-41D1-8058-7A6DA66B3F52}" destId="{ADF94B70-0D7F-4A27-8DF9-17BCD27F4A7A}" srcOrd="5" destOrd="0" presId="urn:microsoft.com/office/officeart/2005/8/layout/radial1"/>
    <dgm:cxn modelId="{17095A13-DEB3-4FE8-8C58-EC426AEEADA6}" type="presParOf" srcId="{ADF94B70-0D7F-4A27-8DF9-17BCD27F4A7A}" destId="{EA4144E0-C5B2-4FC0-BDB2-550B61DB7DFD}" srcOrd="0" destOrd="0" presId="urn:microsoft.com/office/officeart/2005/8/layout/radial1"/>
    <dgm:cxn modelId="{081D53B3-99FD-489B-AF25-7CA491B41F5B}" type="presParOf" srcId="{08F189A1-AB47-41D1-8058-7A6DA66B3F52}" destId="{0FAF3FA1-8E6C-455E-B189-A468B3F4D8BC}" srcOrd="6" destOrd="0" presId="urn:microsoft.com/office/officeart/2005/8/layout/radial1"/>
    <dgm:cxn modelId="{1B1FECA8-087D-4926-AB3E-74D3C2653565}" type="presParOf" srcId="{08F189A1-AB47-41D1-8058-7A6DA66B3F52}" destId="{447FEE0B-EFE1-4BAD-80EF-66C3DD36014A}" srcOrd="7" destOrd="0" presId="urn:microsoft.com/office/officeart/2005/8/layout/radial1"/>
    <dgm:cxn modelId="{17FDE6C3-E7CB-441B-B511-22375C3FB021}" type="presParOf" srcId="{447FEE0B-EFE1-4BAD-80EF-66C3DD36014A}" destId="{0AC78349-4F42-425B-8A1A-4393D65C2051}" srcOrd="0" destOrd="0" presId="urn:microsoft.com/office/officeart/2005/8/layout/radial1"/>
    <dgm:cxn modelId="{5011BB6F-0757-43F0-85CC-85C192531A28}" type="presParOf" srcId="{08F189A1-AB47-41D1-8058-7A6DA66B3F52}" destId="{3F1A2A14-E080-4448-96C3-A8E6002E7EE2}" srcOrd="8" destOrd="0" presId="urn:microsoft.com/office/officeart/2005/8/layout/radial1"/>
    <dgm:cxn modelId="{A2BC50FF-E314-4F08-B8DF-B185F6E84855}" type="presParOf" srcId="{08F189A1-AB47-41D1-8058-7A6DA66B3F52}" destId="{E64AB50F-BCCF-45E7-A4E4-85ABC4F0C76B}" srcOrd="9" destOrd="0" presId="urn:microsoft.com/office/officeart/2005/8/layout/radial1"/>
    <dgm:cxn modelId="{F995B64A-3531-46C9-9253-15709A1554BC}" type="presParOf" srcId="{E64AB50F-BCCF-45E7-A4E4-85ABC4F0C76B}" destId="{073D7962-B31D-49BD-AB47-082CE21EAD80}" srcOrd="0" destOrd="0" presId="urn:microsoft.com/office/officeart/2005/8/layout/radial1"/>
    <dgm:cxn modelId="{5CD95A89-910C-4719-9287-69C97EC4AF1A}" type="presParOf" srcId="{08F189A1-AB47-41D1-8058-7A6DA66B3F52}" destId="{97004BB0-64D3-4A92-A1C1-813788F5650F}" srcOrd="10" destOrd="0" presId="urn:microsoft.com/office/officeart/2005/8/layout/radial1"/>
    <dgm:cxn modelId="{AA50D452-1049-42FE-BAC0-7FE889F0B8C9}" type="presParOf" srcId="{08F189A1-AB47-41D1-8058-7A6DA66B3F52}" destId="{D74286FF-AAFA-441A-87F1-98384D680093}" srcOrd="11" destOrd="0" presId="urn:microsoft.com/office/officeart/2005/8/layout/radial1"/>
    <dgm:cxn modelId="{71225DC1-1307-4665-B609-84D3F2C4ADAC}" type="presParOf" srcId="{D74286FF-AAFA-441A-87F1-98384D680093}" destId="{4733965B-CB9A-4F14-BD3E-CB16D7A3032B}" srcOrd="0" destOrd="0" presId="urn:microsoft.com/office/officeart/2005/8/layout/radial1"/>
    <dgm:cxn modelId="{BD3ACF9E-C5FD-4883-9E69-823F0CCF2F2C}" type="presParOf" srcId="{08F189A1-AB47-41D1-8058-7A6DA66B3F52}" destId="{755CFD49-3313-42A9-A1A9-D99CF689F3D7}" srcOrd="12" destOrd="0" presId="urn:microsoft.com/office/officeart/2005/8/layout/radial1"/>
    <dgm:cxn modelId="{ACA0BC4B-992A-4763-B6C8-CD633F7A9ECC}" type="presParOf" srcId="{08F189A1-AB47-41D1-8058-7A6DA66B3F52}" destId="{6674A0B6-35AA-4763-B890-1E2177289BCF}" srcOrd="13" destOrd="0" presId="urn:microsoft.com/office/officeart/2005/8/layout/radial1"/>
    <dgm:cxn modelId="{D6377893-A88C-46D9-8803-A582367F0137}" type="presParOf" srcId="{6674A0B6-35AA-4763-B890-1E2177289BCF}" destId="{A608A501-C2D4-466C-80D2-8354150DE79D}" srcOrd="0" destOrd="0" presId="urn:microsoft.com/office/officeart/2005/8/layout/radial1"/>
    <dgm:cxn modelId="{7489AACA-D4A9-4339-80E9-178545BBAFBD}" type="presParOf" srcId="{08F189A1-AB47-41D1-8058-7A6DA66B3F52}" destId="{16FD236C-1C35-46D3-A6E9-C486F23997B9}" srcOrd="14" destOrd="0" presId="urn:microsoft.com/office/officeart/2005/8/layout/radial1"/>
  </dgm:cxnLst>
  <dgm:bg/>
  <dgm:whole/>
  <dgm:extLst>
    <a:ext uri="http://schemas.microsoft.com/office/drawing/2008/diagram">
      <dsp:dataModelExt xmlns:dsp="http://schemas.microsoft.com/office/drawing/2008/diagram" relId="rId54" minVer="http://schemas.openxmlformats.org/drawingml/2006/diagram"/>
    </a:ext>
    <a:ext uri="{C62137D5-CB1D-491B-B009-E17868A290BF}">
      <dgm14:recolorImg xmlns:dgm14="http://schemas.microsoft.com/office/drawing/2010/diagram" val="1"/>
    </a:ext>
  </dgm:extLst>
</dgm:dataModel>
</file>

<file path=word/diagrams/data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pPr algn="ctr"/>
          <a:endParaRPr lang="en-US"/>
        </a:p>
      </dgm:t>
    </dgm:pt>
    <dgm:pt modelId="{DE541715-C648-404D-8124-F14F463E9202}">
      <dgm:prSet phldrT="[Text]" custT="1"/>
      <dgm:spPr>
        <a:xfrm>
          <a:off x="2437613" y="1408990"/>
          <a:ext cx="1068372" cy="93007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45870664-60BD-4390-952C-AB2EEF07F4DD}">
      <dgm:prSet phldrT="[Text]" custT="1"/>
      <dgm:spPr>
        <a:xfrm>
          <a:off x="2506764" y="14129"/>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Derecho de patentes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CB6E0A53-B07E-4B2B-89E7-D1FB86B27272}" type="parTrans" cxnId="{C80DF295-9AAD-4C0B-B8AF-3EDA956AFFF7}">
      <dgm:prSet/>
      <dgm:spPr>
        <a:xfrm rot="16200000">
          <a:off x="2739404" y="1162511"/>
          <a:ext cx="464790"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74149DA-41AA-4BE0-B8E7-7965A33DC1B0}" type="sibTrans" cxnId="{C80DF295-9AAD-4C0B-B8AF-3EDA956AFFF7}">
      <dgm:prSet/>
      <dgm:spPr/>
      <dgm:t>
        <a:bodyPr/>
        <a:lstStyle/>
        <a:p>
          <a:pPr algn="ctr"/>
          <a:endParaRPr lang="en-US"/>
        </a:p>
      </dgm:t>
    </dgm:pt>
    <dgm:pt modelId="{3BD68AEB-F6E8-461F-8590-A67172B04D7C}">
      <dgm:prSet phldrT="[Text]" custT="1"/>
      <dgm:spPr>
        <a:xfrm>
          <a:off x="3597311"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D.A.D.C.</a:t>
          </a:r>
        </a:p>
      </dgm:t>
    </dgm:pt>
    <dgm:pt modelId="{31D2845E-7763-4EAF-A91C-F687BE68CFA9}" type="parTrans" cxnId="{8219E8C0-11D9-4ECE-9E9E-751EEF5551F9}">
      <dgm:prSet/>
      <dgm:spPr>
        <a:xfrm rot="19285714">
          <a:off x="3319225" y="1413012"/>
          <a:ext cx="426012" cy="28166"/>
        </a:xfrm>
      </dgm:spPr>
      <dgm:t>
        <a:bodyPr/>
        <a:lstStyle/>
        <a:p>
          <a:pPr algn="ctr"/>
          <a:endParaRPr lang="en-US"/>
        </a:p>
      </dgm:t>
    </dgm:pt>
    <dgm:pt modelId="{93E661BA-0293-4FF1-B933-6256D0B2E24D}" type="sibTrans" cxnId="{8219E8C0-11D9-4ECE-9E9E-751EEF5551F9}">
      <dgm:prSet/>
      <dgm:spPr/>
      <dgm:t>
        <a:bodyPr/>
        <a:lstStyle/>
        <a:p>
          <a:pPr algn="ctr"/>
          <a:endParaRPr lang="en-US"/>
        </a:p>
      </dgm:t>
    </dgm:pt>
    <dgm:pt modelId="{CDE3C2D2-2338-40D3-9864-33A39CCB5CF4}">
      <dgm:prSet phldrT="[Text]" custT="1"/>
      <dgm:spPr>
        <a:xfrm>
          <a:off x="3866653"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0297025-FE49-44ED-8151-9AC4B35C0885}" type="parTrans" cxnId="{60C424C7-CC54-4027-B080-4425E7B5050C}">
      <dgm:prSet/>
      <dgm:spPr>
        <a:xfrm rot="771429">
          <a:off x="3483509" y="2022364"/>
          <a:ext cx="399815" cy="28166"/>
        </a:xfrm>
      </dgm:spPr>
      <dgm:t>
        <a:bodyPr/>
        <a:lstStyle/>
        <a:p>
          <a:pPr algn="ctr"/>
          <a:endParaRPr lang="en-US"/>
        </a:p>
      </dgm:t>
    </dgm:pt>
    <dgm:pt modelId="{59703DE8-812C-459A-A996-B99B877A6FDC}" type="sibTrans" cxnId="{60C424C7-CC54-4027-B080-4425E7B5050C}">
      <dgm:prSet/>
      <dgm:spPr/>
      <dgm:t>
        <a:bodyPr/>
        <a:lstStyle/>
        <a:p>
          <a:pPr algn="ctr"/>
          <a:endParaRPr lang="en-US"/>
        </a:p>
      </dgm:t>
    </dgm:pt>
    <dgm:pt modelId="{115F3686-56C2-4580-9E8B-FA213D3DA5F6}">
      <dgm:prSet phldrT="[Text]" custT="1"/>
      <dgm:spPr>
        <a:xfrm>
          <a:off x="3111972"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C.A.D.</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0740ED97-4265-4052-8B1C-8A14B3879E4E}" type="parTrans" cxnId="{FF862692-6FE1-4C1B-8C29-4A220C00E54C}">
      <dgm:prSet/>
      <dgm:spPr>
        <a:xfrm rot="3857143">
          <a:off x="3049877" y="2493250"/>
          <a:ext cx="453814" cy="28166"/>
        </a:xfrm>
        <a:noFill/>
        <a:ln w="9525" cap="flat" cmpd="sng" algn="ctr">
          <a:solidFill>
            <a:srgbClr val="4F81BD">
              <a:shade val="60000"/>
              <a:hueOff val="0"/>
              <a:satOff val="0"/>
              <a:lumOff val="0"/>
              <a:alphaOff val="0"/>
            </a:srgbClr>
          </a:solidFill>
          <a:prstDash val="solid"/>
        </a:ln>
        <a:effectLst/>
      </dgm:spPr>
      <dgm:t>
        <a:bodyPr/>
        <a:lstStyle/>
        <a:p>
          <a:pPr algn="ctr"/>
          <a:endParaRPr lang="en-US">
            <a:solidFill>
              <a:sysClr val="windowText" lastClr="000000">
                <a:hueOff val="0"/>
                <a:satOff val="0"/>
                <a:lumOff val="0"/>
                <a:alphaOff val="0"/>
              </a:sysClr>
            </a:solidFill>
            <a:latin typeface="Calibri"/>
            <a:ea typeface="+mn-ea"/>
            <a:cs typeface="+mn-cs"/>
          </a:endParaRPr>
        </a:p>
      </dgm:t>
    </dgm:pt>
    <dgm:pt modelId="{E9E35A43-605C-4C5A-B200-2A3B564FFAF5}" type="sibTrans" cxnId="{FF862692-6FE1-4C1B-8C29-4A220C00E54C}">
      <dgm:prSet/>
      <dgm:spPr/>
      <dgm:t>
        <a:bodyPr/>
        <a:lstStyle/>
        <a:p>
          <a:pPr algn="ctr"/>
          <a:endParaRPr lang="en-US"/>
        </a:p>
      </dgm:t>
    </dgm:pt>
    <dgm:pt modelId="{4E654411-73AD-4DF6-AD3B-E400E531439B}">
      <dgm:prSet phldrT="[Text]" custT="1"/>
      <dgm:spPr>
        <a:xfrm>
          <a:off x="1901557" y="266571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 </a:t>
          </a:r>
        </a:p>
      </dgm:t>
    </dgm:pt>
    <dgm:pt modelId="{7DB15392-F5F7-49E2-8294-51A0B1B620AB}" type="parTrans" cxnId="{A12C036A-14E7-451C-80B8-9B5BE762C5B4}">
      <dgm:prSet/>
      <dgm:spPr>
        <a:xfrm rot="6942857">
          <a:off x="2439907" y="2493250"/>
          <a:ext cx="453814" cy="28166"/>
        </a:xfrm>
      </dgm:spPr>
      <dgm:t>
        <a:bodyPr/>
        <a:lstStyle/>
        <a:p>
          <a:pPr algn="ctr"/>
          <a:endParaRPr lang="en-US"/>
        </a:p>
      </dgm:t>
    </dgm:pt>
    <dgm:pt modelId="{2B759E48-7284-455B-851A-DFF88118946F}" type="sibTrans" cxnId="{A12C036A-14E7-451C-80B8-9B5BE762C5B4}">
      <dgm:prSet/>
      <dgm:spPr/>
      <dgm:t>
        <a:bodyPr/>
        <a:lstStyle/>
        <a:p>
          <a:pPr algn="ctr"/>
          <a:endParaRPr lang="en-US"/>
        </a:p>
      </dgm:t>
    </dgm:pt>
    <dgm:pt modelId="{C45608E5-C683-4F82-AC41-6429A24EED40}">
      <dgm:prSet phldrT="[Text]" custT="1"/>
      <dgm:spPr>
        <a:xfrm>
          <a:off x="1146875" y="1719376"/>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Países T/D</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9BD11F2-6636-4646-B3CF-323669445FAB}" type="parTrans" cxnId="{E0594360-5C4F-4C47-B047-3E60D22AD80D}">
      <dgm:prSet/>
      <dgm:spPr>
        <a:xfrm rot="10028571">
          <a:off x="2060274" y="2022364"/>
          <a:ext cx="399815" cy="28166"/>
        </a:xfrm>
      </dgm:spPr>
      <dgm:t>
        <a:bodyPr/>
        <a:lstStyle/>
        <a:p>
          <a:pPr algn="ctr"/>
          <a:endParaRPr lang="en-US"/>
        </a:p>
      </dgm:t>
    </dgm:pt>
    <dgm:pt modelId="{2C17D791-E651-44AA-801E-D486EB358D8A}" type="sibTrans" cxnId="{E0594360-5C4F-4C47-B047-3E60D22AD80D}">
      <dgm:prSet/>
      <dgm:spPr/>
      <dgm:t>
        <a:bodyPr/>
        <a:lstStyle/>
        <a:p>
          <a:pPr algn="ctr"/>
          <a:endParaRPr lang="en-US"/>
        </a:p>
      </dgm:t>
    </dgm:pt>
    <dgm:pt modelId="{B343370C-8FB3-481F-B4DA-6C9C41B047BC}">
      <dgm:prSet phldrT="[Text]" custT="1"/>
      <dgm:spPr>
        <a:xfrm>
          <a:off x="1416218" y="539308"/>
          <a:ext cx="930070" cy="930070"/>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algn="ct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los conocimientos</a:t>
          </a:r>
        </a:p>
      </dgm:t>
    </dgm:pt>
    <dgm:pt modelId="{7A68E894-33D2-492F-8570-E4DDFD311B12}" type="parTrans" cxnId="{CDEFB2A3-4EA9-489B-9721-56871D483AB2}">
      <dgm:prSet/>
      <dgm:spPr>
        <a:xfrm rot="13114286">
          <a:off x="2198361" y="1413012"/>
          <a:ext cx="426012" cy="28166"/>
        </a:xfrm>
      </dgm:spPr>
      <dgm:t>
        <a:bodyPr/>
        <a:lstStyle/>
        <a:p>
          <a:pPr algn="ctr"/>
          <a:endParaRPr lang="en-US"/>
        </a:p>
      </dgm:t>
    </dgm:pt>
    <dgm:pt modelId="{7DC850A5-77C3-4602-A065-D0A45018AC8D}" type="sibTrans" cxnId="{CDEFB2A3-4EA9-489B-9721-56871D483AB2}">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27926"/>
      <dgm:spPr>
        <a:prstGeom prst="ellipse">
          <a:avLst/>
        </a:prstGeom>
      </dgm:spPr>
      <dgm:t>
        <a:bodyPr/>
        <a:lstStyle/>
        <a:p>
          <a:endParaRPr lang="en-US"/>
        </a:p>
      </dgm:t>
    </dgm:pt>
    <dgm:pt modelId="{27C08CD6-CB73-4E0E-BA37-473C15E9C926}" type="pres">
      <dgm:prSet presAssocID="{CB6E0A53-B07E-4B2B-89E7-D1FB86B27272}" presName="Name9" presStyleLbl="parChTrans1D2" presStyleIdx="0" presStyleCnt="7"/>
      <dgm:spPr>
        <a:custGeom>
          <a:avLst/>
          <a:gdLst/>
          <a:ahLst/>
          <a:cxnLst/>
          <a:rect l="0" t="0" r="0" b="0"/>
          <a:pathLst>
            <a:path>
              <a:moveTo>
                <a:pt x="0" y="14194"/>
              </a:moveTo>
              <a:lnTo>
                <a:pt x="487996" y="14194"/>
              </a:lnTo>
            </a:path>
          </a:pathLst>
        </a:custGeom>
      </dgm:spPr>
      <dgm:t>
        <a:bodyPr/>
        <a:lstStyle/>
        <a:p>
          <a:endParaRPr lang="en-US"/>
        </a:p>
      </dgm:t>
    </dgm:pt>
    <dgm:pt modelId="{04068EB3-8728-47DB-8B53-1F3F6EA0E656}" type="pres">
      <dgm:prSet presAssocID="{CB6E0A53-B07E-4B2B-89E7-D1FB86B27272}" presName="connTx" presStyleLbl="parChTrans1D2" presStyleIdx="0" presStyleCnt="7"/>
      <dgm:spPr/>
      <dgm:t>
        <a:bodyPr/>
        <a:lstStyle/>
        <a:p>
          <a:endParaRPr lang="en-US"/>
        </a:p>
      </dgm:t>
    </dgm:pt>
    <dgm:pt modelId="{8441BECF-C9FE-4C31-BFA4-B45EB6B3D1F0}" type="pres">
      <dgm:prSet presAssocID="{45870664-60BD-4390-952C-AB2EEF07F4DD}" presName="node" presStyleLbl="node1" presStyleIdx="0" presStyleCnt="7" custScaleX="166780" custScaleY="114326">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1" presStyleCnt="7"/>
      <dgm:spPr/>
      <dgm:t>
        <a:bodyPr/>
        <a:lstStyle/>
        <a:p>
          <a:endParaRPr lang="en-US"/>
        </a:p>
      </dgm:t>
    </dgm:pt>
    <dgm:pt modelId="{0D67A745-92A7-4C43-8F28-25B89678FC62}" type="pres">
      <dgm:prSet presAssocID="{31D2845E-7763-4EAF-A91C-F687BE68CFA9}" presName="connTx" presStyleLbl="parChTrans1D2" presStyleIdx="1" presStyleCnt="7"/>
      <dgm:spPr/>
      <dgm:t>
        <a:bodyPr/>
        <a:lstStyle/>
        <a:p>
          <a:endParaRPr lang="en-US"/>
        </a:p>
      </dgm:t>
    </dgm:pt>
    <dgm:pt modelId="{77E0AE60-7058-4D43-911F-C57FA8C6CA9F}" type="pres">
      <dgm:prSet presAssocID="{3BD68AEB-F6E8-461F-8590-A67172B04D7C}" presName="node" presStyleLbl="node1" presStyleIdx="1" presStyleCnt="7" custScaleX="175434" custRadScaleRad="137993" custRadScaleInc="38866">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2" presStyleCnt="7"/>
      <dgm:spPr/>
      <dgm:t>
        <a:bodyPr/>
        <a:lstStyle/>
        <a:p>
          <a:endParaRPr lang="en-US"/>
        </a:p>
      </dgm:t>
    </dgm:pt>
    <dgm:pt modelId="{BEAB3A6A-1AD1-41B3-BDFE-B268898D2300}" type="pres">
      <dgm:prSet presAssocID="{00297025-FE49-44ED-8151-9AC4B35C0885}" presName="connTx" presStyleLbl="parChTrans1D2" presStyleIdx="2" presStyleCnt="7"/>
      <dgm:spPr/>
      <dgm:t>
        <a:bodyPr/>
        <a:lstStyle/>
        <a:p>
          <a:endParaRPr lang="en-US"/>
        </a:p>
      </dgm:t>
    </dgm:pt>
    <dgm:pt modelId="{05994623-F04A-4AAC-82E3-2D63726DAA8A}" type="pres">
      <dgm:prSet presAssocID="{CDE3C2D2-2338-40D3-9864-33A39CCB5CF4}" presName="node" presStyleLbl="node1" presStyleIdx="2" presStyleCnt="7" custScaleX="176839" custScaleY="130921" custRadScaleRad="256606" custRadScaleInc="-50805">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3" presStyleCnt="7"/>
      <dgm:spPr>
        <a:custGeom>
          <a:avLst/>
          <a:gdLst/>
          <a:ahLst/>
          <a:cxnLst/>
          <a:rect l="0" t="0" r="0" b="0"/>
          <a:pathLst>
            <a:path>
              <a:moveTo>
                <a:pt x="0" y="14194"/>
              </a:moveTo>
              <a:lnTo>
                <a:pt x="476437" y="14194"/>
              </a:lnTo>
            </a:path>
          </a:pathLst>
        </a:custGeom>
      </dgm:spPr>
      <dgm:t>
        <a:bodyPr/>
        <a:lstStyle/>
        <a:p>
          <a:endParaRPr lang="en-US"/>
        </a:p>
      </dgm:t>
    </dgm:pt>
    <dgm:pt modelId="{BA4F9CC8-82E2-4BE5-8120-3D5D089F9CF4}" type="pres">
      <dgm:prSet presAssocID="{0740ED97-4265-4052-8B1C-8A14B3879E4E}" presName="connTx" presStyleLbl="parChTrans1D2" presStyleIdx="3" presStyleCnt="7"/>
      <dgm:spPr/>
      <dgm:t>
        <a:bodyPr/>
        <a:lstStyle/>
        <a:p>
          <a:endParaRPr lang="en-US"/>
        </a:p>
      </dgm:t>
    </dgm:pt>
    <dgm:pt modelId="{3DB28723-07CF-4EFC-8E24-18E41E76D4AF}" type="pres">
      <dgm:prSet presAssocID="{115F3686-56C2-4580-9E8B-FA213D3DA5F6}" presName="node" presStyleLbl="node1" presStyleIdx="3" presStyleCnt="7" custScaleX="195642" custRadScaleRad="139799" custRadScaleInc="-130907">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4" presStyleCnt="7"/>
      <dgm:spPr/>
      <dgm:t>
        <a:bodyPr/>
        <a:lstStyle/>
        <a:p>
          <a:endParaRPr lang="en-US"/>
        </a:p>
      </dgm:t>
    </dgm:pt>
    <dgm:pt modelId="{E48FCD09-4C54-4A10-9BB3-1920483E872B}" type="pres">
      <dgm:prSet presAssocID="{7DB15392-F5F7-49E2-8294-51A0B1B620AB}" presName="connTx" presStyleLbl="parChTrans1D2" presStyleIdx="4" presStyleCnt="7"/>
      <dgm:spPr/>
      <dgm:t>
        <a:bodyPr/>
        <a:lstStyle/>
        <a:p>
          <a:endParaRPr lang="en-US"/>
        </a:p>
      </dgm:t>
    </dgm:pt>
    <dgm:pt modelId="{2BEED572-A282-4C32-95EB-3B1996D142B1}" type="pres">
      <dgm:prSet presAssocID="{4E654411-73AD-4DF6-AD3B-E400E531439B}" presName="node" presStyleLbl="node1" presStyleIdx="4" presStyleCnt="7" custScaleX="224965" custScaleY="114748" custRadScaleRad="137614" custRadScaleInc="135517">
        <dgm:presLayoutVars>
          <dgm:bulletEnabled val="1"/>
        </dgm:presLayoutVars>
      </dgm:prSet>
      <dgm:spPr>
        <a:prstGeom prst="ellipse">
          <a:avLst/>
        </a:prstGeom>
      </dgm:spPr>
      <dgm:t>
        <a:bodyPr/>
        <a:lstStyle/>
        <a:p>
          <a:endParaRPr lang="en-US"/>
        </a:p>
      </dgm:t>
    </dgm:pt>
    <dgm:pt modelId="{C58C2EC9-2FE7-4521-9408-887873CF9CD6}" type="pres">
      <dgm:prSet presAssocID="{D9BD11F2-6636-4646-B3CF-323669445FAB}" presName="Name9" presStyleLbl="parChTrans1D2" presStyleIdx="5" presStyleCnt="7"/>
      <dgm:spPr/>
      <dgm:t>
        <a:bodyPr/>
        <a:lstStyle/>
        <a:p>
          <a:endParaRPr lang="en-US"/>
        </a:p>
      </dgm:t>
    </dgm:pt>
    <dgm:pt modelId="{5F2F4C57-6D86-42F3-B46C-09D84EF99051}" type="pres">
      <dgm:prSet presAssocID="{D9BD11F2-6636-4646-B3CF-323669445FAB}" presName="connTx" presStyleLbl="parChTrans1D2" presStyleIdx="5" presStyleCnt="7"/>
      <dgm:spPr/>
      <dgm:t>
        <a:bodyPr/>
        <a:lstStyle/>
        <a:p>
          <a:endParaRPr lang="en-US"/>
        </a:p>
      </dgm:t>
    </dgm:pt>
    <dgm:pt modelId="{53F278CD-DAFE-4670-A5E7-7708D74F671E}" type="pres">
      <dgm:prSet presAssocID="{C45608E5-C683-4F82-AC41-6429A24EED40}" presName="node" presStyleLbl="node1" presStyleIdx="5" presStyleCnt="7" custScaleX="211047" custScaleY="121441" custRadScaleRad="258168" custRadScaleInc="50093">
        <dgm:presLayoutVars>
          <dgm:bulletEnabled val="1"/>
        </dgm:presLayoutVars>
      </dgm:prSet>
      <dgm:spPr>
        <a:prstGeom prst="ellipse">
          <a:avLst/>
        </a:prstGeom>
      </dgm:spPr>
      <dgm:t>
        <a:bodyPr/>
        <a:lstStyle/>
        <a:p>
          <a:endParaRPr lang="en-US"/>
        </a:p>
      </dgm:t>
    </dgm:pt>
    <dgm:pt modelId="{9D7A60DE-15BF-4701-8167-A6BE55521FB0}" type="pres">
      <dgm:prSet presAssocID="{7A68E894-33D2-492F-8570-E4DDFD311B12}" presName="Name9" presStyleLbl="parChTrans1D2" presStyleIdx="6" presStyleCnt="7"/>
      <dgm:spPr/>
      <dgm:t>
        <a:bodyPr/>
        <a:lstStyle/>
        <a:p>
          <a:endParaRPr lang="en-US"/>
        </a:p>
      </dgm:t>
    </dgm:pt>
    <dgm:pt modelId="{DA6728FC-5C85-4235-8ABB-D0CDA49DEB12}" type="pres">
      <dgm:prSet presAssocID="{7A68E894-33D2-492F-8570-E4DDFD311B12}" presName="connTx" presStyleLbl="parChTrans1D2" presStyleIdx="6" presStyleCnt="7"/>
      <dgm:spPr/>
      <dgm:t>
        <a:bodyPr/>
        <a:lstStyle/>
        <a:p>
          <a:endParaRPr lang="en-US"/>
        </a:p>
      </dgm:t>
    </dgm:pt>
    <dgm:pt modelId="{0FDECDAE-6064-4D03-98A4-386BBAAFB761}" type="pres">
      <dgm:prSet presAssocID="{B343370C-8FB3-481F-B4DA-6C9C41B047BC}" presName="node" presStyleLbl="node1" presStyleIdx="6" presStyleCnt="7" custScaleX="225396" custScaleY="128180" custRadScaleRad="137469" custRadScaleInc="-39889">
        <dgm:presLayoutVars>
          <dgm:bulletEnabled val="1"/>
        </dgm:presLayoutVars>
      </dgm:prSet>
      <dgm:spPr>
        <a:prstGeom prst="ellipse">
          <a:avLst/>
        </a:prstGeom>
      </dgm:spPr>
      <dgm:t>
        <a:bodyPr/>
        <a:lstStyle/>
        <a:p>
          <a:endParaRPr lang="en-US"/>
        </a:p>
      </dgm:t>
    </dgm:pt>
  </dgm:ptLst>
  <dgm:cxnLst>
    <dgm:cxn modelId="{C80DF295-9AAD-4C0B-B8AF-3EDA956AFFF7}" srcId="{DE541715-C648-404D-8124-F14F463E9202}" destId="{45870664-60BD-4390-952C-AB2EEF07F4DD}" srcOrd="0" destOrd="0" parTransId="{CB6E0A53-B07E-4B2B-89E7-D1FB86B27272}" sibTransId="{E74149DA-41AA-4BE0-B8E7-7965A33DC1B0}"/>
    <dgm:cxn modelId="{3D4EA1D6-682F-40C6-98CA-B4B96AC00F94}" type="presOf" srcId="{D9BD11F2-6636-4646-B3CF-323669445FAB}" destId="{5F2F4C57-6D86-42F3-B46C-09D84EF99051}" srcOrd="1" destOrd="0" presId="urn:microsoft.com/office/officeart/2005/8/layout/radial1"/>
    <dgm:cxn modelId="{013F010C-51CB-4079-8302-F8B6B5612C2D}" type="presOf" srcId="{CB6E0A53-B07E-4B2B-89E7-D1FB86B27272}" destId="{04068EB3-8728-47DB-8B53-1F3F6EA0E656}" srcOrd="1" destOrd="0" presId="urn:microsoft.com/office/officeart/2005/8/layout/radial1"/>
    <dgm:cxn modelId="{828BBD29-11A0-4AFD-AE2F-D45C85C57721}" type="presOf" srcId="{45870664-60BD-4390-952C-AB2EEF07F4DD}" destId="{8441BECF-C9FE-4C31-BFA4-B45EB6B3D1F0}" srcOrd="0" destOrd="0" presId="urn:microsoft.com/office/officeart/2005/8/layout/radial1"/>
    <dgm:cxn modelId="{FF862692-6FE1-4C1B-8C29-4A220C00E54C}" srcId="{DE541715-C648-404D-8124-F14F463E9202}" destId="{115F3686-56C2-4580-9E8B-FA213D3DA5F6}" srcOrd="3" destOrd="0" parTransId="{0740ED97-4265-4052-8B1C-8A14B3879E4E}" sibTransId="{E9E35A43-605C-4C5A-B200-2A3B564FFAF5}"/>
    <dgm:cxn modelId="{C1073759-F0A1-4F5A-9378-1B61700EA196}" type="presOf" srcId="{B343370C-8FB3-481F-B4DA-6C9C41B047BC}" destId="{0FDECDAE-6064-4D03-98A4-386BBAAFB761}" srcOrd="0" destOrd="0" presId="urn:microsoft.com/office/officeart/2005/8/layout/radial1"/>
    <dgm:cxn modelId="{F3DFBCEB-3ED5-4FE8-A3DF-A19773929A17}" type="presOf" srcId="{115F3686-56C2-4580-9E8B-FA213D3DA5F6}" destId="{3DB28723-07CF-4EFC-8E24-18E41E76D4AF}"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E8771487-7126-4523-8311-975D72AD52EE}" type="presOf" srcId="{CB6E0A53-B07E-4B2B-89E7-D1FB86B27272}" destId="{27C08CD6-CB73-4E0E-BA37-473C15E9C926}" srcOrd="0" destOrd="0" presId="urn:microsoft.com/office/officeart/2005/8/layout/radial1"/>
    <dgm:cxn modelId="{4215588C-C845-4944-87EF-8827C3DCAEE2}" type="presOf" srcId="{7DB15392-F5F7-49E2-8294-51A0B1B620AB}" destId="{AD2F0D4B-AECA-4B10-81AC-261AA8BE8E98}" srcOrd="0" destOrd="0" presId="urn:microsoft.com/office/officeart/2005/8/layout/radial1"/>
    <dgm:cxn modelId="{E0594360-5C4F-4C47-B047-3E60D22AD80D}" srcId="{DE541715-C648-404D-8124-F14F463E9202}" destId="{C45608E5-C683-4F82-AC41-6429A24EED40}" srcOrd="5" destOrd="0" parTransId="{D9BD11F2-6636-4646-B3CF-323669445FAB}" sibTransId="{2C17D791-E651-44AA-801E-D486EB358D8A}"/>
    <dgm:cxn modelId="{9B008143-3DE4-4AA0-8ABF-D338487746F1}" type="presOf" srcId="{00297025-FE49-44ED-8151-9AC4B35C0885}" destId="{EED79A7F-2696-484A-8083-D28DF0387AD5}" srcOrd="0" destOrd="0" presId="urn:microsoft.com/office/officeart/2005/8/layout/radial1"/>
    <dgm:cxn modelId="{8219E8C0-11D9-4ECE-9E9E-751EEF5551F9}" srcId="{DE541715-C648-404D-8124-F14F463E9202}" destId="{3BD68AEB-F6E8-461F-8590-A67172B04D7C}" srcOrd="1" destOrd="0" parTransId="{31D2845E-7763-4EAF-A91C-F687BE68CFA9}" sibTransId="{93E661BA-0293-4FF1-B933-6256D0B2E24D}"/>
    <dgm:cxn modelId="{CF36D072-C07A-4875-8EF1-B54ED16C6B45}" type="presOf" srcId="{3BD68AEB-F6E8-461F-8590-A67172B04D7C}" destId="{77E0AE60-7058-4D43-911F-C57FA8C6CA9F}" srcOrd="0" destOrd="0" presId="urn:microsoft.com/office/officeart/2005/8/layout/radial1"/>
    <dgm:cxn modelId="{D419DA24-5A74-4392-ABAD-18E1C16E542A}" type="presOf" srcId="{31D2845E-7763-4EAF-A91C-F687BE68CFA9}" destId="{0D67A745-92A7-4C43-8F28-25B89678FC62}" srcOrd="1" destOrd="0" presId="urn:microsoft.com/office/officeart/2005/8/layout/radial1"/>
    <dgm:cxn modelId="{5A2BEB77-70D9-4862-970B-DC1B599E7EF7}" type="presOf" srcId="{CDE3C2D2-2338-40D3-9864-33A39CCB5CF4}" destId="{05994623-F04A-4AAC-82E3-2D63726DAA8A}" srcOrd="0" destOrd="0" presId="urn:microsoft.com/office/officeart/2005/8/layout/radial1"/>
    <dgm:cxn modelId="{178A154F-0EC5-49D4-98BC-0BB762C2BC45}" type="presOf" srcId="{7A68E894-33D2-492F-8570-E4DDFD311B12}" destId="{DA6728FC-5C85-4235-8ABB-D0CDA49DEB12}" srcOrd="1" destOrd="0" presId="urn:microsoft.com/office/officeart/2005/8/layout/radial1"/>
    <dgm:cxn modelId="{C0B5CD5F-9E77-4429-8191-1405D7B41E5D}" type="presOf" srcId="{34E6C8D5-8D4F-4714-8A12-8F4599A8E760}" destId="{08F189A1-AB47-41D1-8058-7A6DA66B3F52}" srcOrd="0" destOrd="0" presId="urn:microsoft.com/office/officeart/2005/8/layout/radial1"/>
    <dgm:cxn modelId="{A12C036A-14E7-451C-80B8-9B5BE762C5B4}" srcId="{DE541715-C648-404D-8124-F14F463E9202}" destId="{4E654411-73AD-4DF6-AD3B-E400E531439B}" srcOrd="4" destOrd="0" parTransId="{7DB15392-F5F7-49E2-8294-51A0B1B620AB}" sibTransId="{2B759E48-7284-455B-851A-DFF88118946F}"/>
    <dgm:cxn modelId="{DF306A16-6E09-4A14-A54D-3AC59B771FD0}" type="presOf" srcId="{7DB15392-F5F7-49E2-8294-51A0B1B620AB}" destId="{E48FCD09-4C54-4A10-9BB3-1920483E872B}" srcOrd="1" destOrd="0" presId="urn:microsoft.com/office/officeart/2005/8/layout/radial1"/>
    <dgm:cxn modelId="{EE2D0BC6-C0CF-49C4-ACC0-C149B45EFEBE}" type="presOf" srcId="{DE541715-C648-404D-8124-F14F463E9202}" destId="{062AF917-2F47-4639-8A23-58AD52EC0F32}" srcOrd="0" destOrd="0" presId="urn:microsoft.com/office/officeart/2005/8/layout/radial1"/>
    <dgm:cxn modelId="{1C513674-291E-4781-9B4B-0A9FFB9F7330}" type="presOf" srcId="{31D2845E-7763-4EAF-A91C-F687BE68CFA9}" destId="{27678B34-738D-4B59-81F4-6EB54DA6F256}" srcOrd="0" destOrd="0" presId="urn:microsoft.com/office/officeart/2005/8/layout/radial1"/>
    <dgm:cxn modelId="{CDEFB2A3-4EA9-489B-9721-56871D483AB2}" srcId="{DE541715-C648-404D-8124-F14F463E9202}" destId="{B343370C-8FB3-481F-B4DA-6C9C41B047BC}" srcOrd="6" destOrd="0" parTransId="{7A68E894-33D2-492F-8570-E4DDFD311B12}" sibTransId="{7DC850A5-77C3-4602-A065-D0A45018AC8D}"/>
    <dgm:cxn modelId="{22CFBE58-87EC-4B70-B1CC-D1D1DB4968C7}" srcId="{34E6C8D5-8D4F-4714-8A12-8F4599A8E760}" destId="{DE541715-C648-404D-8124-F14F463E9202}" srcOrd="0" destOrd="0" parTransId="{D7DB3476-9C56-4274-B046-F742EA8694F1}" sibTransId="{7CA7849B-681D-4C0D-A708-F47E97871BB2}"/>
    <dgm:cxn modelId="{A61AE026-84AA-42AB-8F08-9D77452AAD68}" type="presOf" srcId="{0740ED97-4265-4052-8B1C-8A14B3879E4E}" destId="{BA4F9CC8-82E2-4BE5-8120-3D5D089F9CF4}" srcOrd="1" destOrd="0" presId="urn:microsoft.com/office/officeart/2005/8/layout/radial1"/>
    <dgm:cxn modelId="{60C424C7-CC54-4027-B080-4425E7B5050C}" srcId="{DE541715-C648-404D-8124-F14F463E9202}" destId="{CDE3C2D2-2338-40D3-9864-33A39CCB5CF4}" srcOrd="2" destOrd="0" parTransId="{00297025-FE49-44ED-8151-9AC4B35C0885}" sibTransId="{59703DE8-812C-459A-A996-B99B877A6FDC}"/>
    <dgm:cxn modelId="{3F64A47C-A9B2-43A8-8F59-9FE2FD5C6BDA}" type="presOf" srcId="{00297025-FE49-44ED-8151-9AC4B35C0885}" destId="{BEAB3A6A-1AD1-41B3-BDFE-B268898D2300}" srcOrd="1" destOrd="0" presId="urn:microsoft.com/office/officeart/2005/8/layout/radial1"/>
    <dgm:cxn modelId="{1E6A5207-73E9-46D2-A0B6-9B1597D73D2C}" type="presOf" srcId="{4E654411-73AD-4DF6-AD3B-E400E531439B}" destId="{2BEED572-A282-4C32-95EB-3B1996D142B1}" srcOrd="0" destOrd="0" presId="urn:microsoft.com/office/officeart/2005/8/layout/radial1"/>
    <dgm:cxn modelId="{B383E94C-8A2F-49A6-AFEA-8F0CE1C51C38}" type="presOf" srcId="{0740ED97-4265-4052-8B1C-8A14B3879E4E}" destId="{B654B038-4242-46EF-A10B-FF9B1A085532}" srcOrd="0" destOrd="0" presId="urn:microsoft.com/office/officeart/2005/8/layout/radial1"/>
    <dgm:cxn modelId="{5CF99B5B-ABFE-4324-8004-9262264BE0D5}" type="presOf" srcId="{7A68E894-33D2-492F-8570-E4DDFD311B12}" destId="{9D7A60DE-15BF-4701-8167-A6BE55521FB0}" srcOrd="0" destOrd="0" presId="urn:microsoft.com/office/officeart/2005/8/layout/radial1"/>
    <dgm:cxn modelId="{6E4EA657-5E67-451A-B1F2-86329B9FA5C2}" type="presOf" srcId="{D9BD11F2-6636-4646-B3CF-323669445FAB}" destId="{C58C2EC9-2FE7-4521-9408-887873CF9CD6}" srcOrd="0" destOrd="0" presId="urn:microsoft.com/office/officeart/2005/8/layout/radial1"/>
    <dgm:cxn modelId="{7BA08898-0D15-42E4-A8DC-733668CAF623}" type="presOf" srcId="{C45608E5-C683-4F82-AC41-6429A24EED40}" destId="{53F278CD-DAFE-4670-A5E7-7708D74F671E}" srcOrd="0" destOrd="0" presId="urn:microsoft.com/office/officeart/2005/8/layout/radial1"/>
    <dgm:cxn modelId="{3334C365-00AA-4C9D-8D34-E8EF1B707539}" type="presParOf" srcId="{08F189A1-AB47-41D1-8058-7A6DA66B3F52}" destId="{062AF917-2F47-4639-8A23-58AD52EC0F32}" srcOrd="0" destOrd="0" presId="urn:microsoft.com/office/officeart/2005/8/layout/radial1"/>
    <dgm:cxn modelId="{67825F55-C645-4E4B-94EB-E2C04448A990}" type="presParOf" srcId="{08F189A1-AB47-41D1-8058-7A6DA66B3F52}" destId="{27C08CD6-CB73-4E0E-BA37-473C15E9C926}" srcOrd="1" destOrd="0" presId="urn:microsoft.com/office/officeart/2005/8/layout/radial1"/>
    <dgm:cxn modelId="{803B9B73-144E-43AF-8AFA-C98F19C89DBE}" type="presParOf" srcId="{27C08CD6-CB73-4E0E-BA37-473C15E9C926}" destId="{04068EB3-8728-47DB-8B53-1F3F6EA0E656}" srcOrd="0" destOrd="0" presId="urn:microsoft.com/office/officeart/2005/8/layout/radial1"/>
    <dgm:cxn modelId="{064E4FD0-EAF0-48B5-9908-030DD0DBAC87}" type="presParOf" srcId="{08F189A1-AB47-41D1-8058-7A6DA66B3F52}" destId="{8441BECF-C9FE-4C31-BFA4-B45EB6B3D1F0}" srcOrd="2" destOrd="0" presId="urn:microsoft.com/office/officeart/2005/8/layout/radial1"/>
    <dgm:cxn modelId="{12190C2E-F857-4487-95C5-5143F73B7E11}" type="presParOf" srcId="{08F189A1-AB47-41D1-8058-7A6DA66B3F52}" destId="{27678B34-738D-4B59-81F4-6EB54DA6F256}" srcOrd="3" destOrd="0" presId="urn:microsoft.com/office/officeart/2005/8/layout/radial1"/>
    <dgm:cxn modelId="{A616A6F5-A760-4E75-9C0C-9F6733A19424}" type="presParOf" srcId="{27678B34-738D-4B59-81F4-6EB54DA6F256}" destId="{0D67A745-92A7-4C43-8F28-25B89678FC62}" srcOrd="0" destOrd="0" presId="urn:microsoft.com/office/officeart/2005/8/layout/radial1"/>
    <dgm:cxn modelId="{515B0361-41B7-46B6-A375-0D681E74CA03}" type="presParOf" srcId="{08F189A1-AB47-41D1-8058-7A6DA66B3F52}" destId="{77E0AE60-7058-4D43-911F-C57FA8C6CA9F}" srcOrd="4" destOrd="0" presId="urn:microsoft.com/office/officeart/2005/8/layout/radial1"/>
    <dgm:cxn modelId="{CECD8F21-ABEF-4DAF-AAB8-4054F850344F}" type="presParOf" srcId="{08F189A1-AB47-41D1-8058-7A6DA66B3F52}" destId="{EED79A7F-2696-484A-8083-D28DF0387AD5}" srcOrd="5" destOrd="0" presId="urn:microsoft.com/office/officeart/2005/8/layout/radial1"/>
    <dgm:cxn modelId="{70BE0B64-EFC5-47BD-8533-C2D7976C83FE}" type="presParOf" srcId="{EED79A7F-2696-484A-8083-D28DF0387AD5}" destId="{BEAB3A6A-1AD1-41B3-BDFE-B268898D2300}" srcOrd="0" destOrd="0" presId="urn:microsoft.com/office/officeart/2005/8/layout/radial1"/>
    <dgm:cxn modelId="{90A39DC9-C00A-4B22-830E-C85C2482FBCF}" type="presParOf" srcId="{08F189A1-AB47-41D1-8058-7A6DA66B3F52}" destId="{05994623-F04A-4AAC-82E3-2D63726DAA8A}" srcOrd="6" destOrd="0" presId="urn:microsoft.com/office/officeart/2005/8/layout/radial1"/>
    <dgm:cxn modelId="{AAE79805-D648-47B1-B880-253641D9E39C}" type="presParOf" srcId="{08F189A1-AB47-41D1-8058-7A6DA66B3F52}" destId="{B654B038-4242-46EF-A10B-FF9B1A085532}" srcOrd="7" destOrd="0" presId="urn:microsoft.com/office/officeart/2005/8/layout/radial1"/>
    <dgm:cxn modelId="{016ABC89-5B65-475A-8056-D7E3D9A75A57}" type="presParOf" srcId="{B654B038-4242-46EF-A10B-FF9B1A085532}" destId="{BA4F9CC8-82E2-4BE5-8120-3D5D089F9CF4}" srcOrd="0" destOrd="0" presId="urn:microsoft.com/office/officeart/2005/8/layout/radial1"/>
    <dgm:cxn modelId="{AA9F28D1-BD14-422B-A049-1E903A0C9DF3}" type="presParOf" srcId="{08F189A1-AB47-41D1-8058-7A6DA66B3F52}" destId="{3DB28723-07CF-4EFC-8E24-18E41E76D4AF}" srcOrd="8" destOrd="0" presId="urn:microsoft.com/office/officeart/2005/8/layout/radial1"/>
    <dgm:cxn modelId="{5FF19761-FD0D-4144-B8D0-C9B1C9BB358F}" type="presParOf" srcId="{08F189A1-AB47-41D1-8058-7A6DA66B3F52}" destId="{AD2F0D4B-AECA-4B10-81AC-261AA8BE8E98}" srcOrd="9" destOrd="0" presId="urn:microsoft.com/office/officeart/2005/8/layout/radial1"/>
    <dgm:cxn modelId="{9564532B-619C-493B-96CD-91879C2356C1}" type="presParOf" srcId="{AD2F0D4B-AECA-4B10-81AC-261AA8BE8E98}" destId="{E48FCD09-4C54-4A10-9BB3-1920483E872B}" srcOrd="0" destOrd="0" presId="urn:microsoft.com/office/officeart/2005/8/layout/radial1"/>
    <dgm:cxn modelId="{157B32A4-88FC-429E-88C0-173EA6F34BBF}" type="presParOf" srcId="{08F189A1-AB47-41D1-8058-7A6DA66B3F52}" destId="{2BEED572-A282-4C32-95EB-3B1996D142B1}" srcOrd="10" destOrd="0" presId="urn:microsoft.com/office/officeart/2005/8/layout/radial1"/>
    <dgm:cxn modelId="{4C44E6CA-A5AD-45D0-9C39-299BE04046E0}" type="presParOf" srcId="{08F189A1-AB47-41D1-8058-7A6DA66B3F52}" destId="{C58C2EC9-2FE7-4521-9408-887873CF9CD6}" srcOrd="11" destOrd="0" presId="urn:microsoft.com/office/officeart/2005/8/layout/radial1"/>
    <dgm:cxn modelId="{0BB30FCD-DE7A-4014-A50D-AFD96DC28718}" type="presParOf" srcId="{C58C2EC9-2FE7-4521-9408-887873CF9CD6}" destId="{5F2F4C57-6D86-42F3-B46C-09D84EF99051}" srcOrd="0" destOrd="0" presId="urn:microsoft.com/office/officeart/2005/8/layout/radial1"/>
    <dgm:cxn modelId="{39960125-ECC2-4B88-81DE-A3BA2EDF200E}" type="presParOf" srcId="{08F189A1-AB47-41D1-8058-7A6DA66B3F52}" destId="{53F278CD-DAFE-4670-A5E7-7708D74F671E}" srcOrd="12" destOrd="0" presId="urn:microsoft.com/office/officeart/2005/8/layout/radial1"/>
    <dgm:cxn modelId="{60864B00-487E-44E7-91E4-8173BFC3D7D1}" type="presParOf" srcId="{08F189A1-AB47-41D1-8058-7A6DA66B3F52}" destId="{9D7A60DE-15BF-4701-8167-A6BE55521FB0}" srcOrd="13" destOrd="0" presId="urn:microsoft.com/office/officeart/2005/8/layout/radial1"/>
    <dgm:cxn modelId="{577C66A2-77C0-4609-92EA-270FCF015785}" type="presParOf" srcId="{9D7A60DE-15BF-4701-8167-A6BE55521FB0}" destId="{DA6728FC-5C85-4235-8ABB-D0CDA49DEB12}" srcOrd="0" destOrd="0" presId="urn:microsoft.com/office/officeart/2005/8/layout/radial1"/>
    <dgm:cxn modelId="{31FFA556-2A91-4BB5-BD60-06632CB072A2}" type="presParOf" srcId="{08F189A1-AB47-41D1-8058-7A6DA66B3F52}" destId="{0FDECDAE-6064-4D03-98A4-386BBAAFB761}" srcOrd="14" destOrd="0" presId="urn:microsoft.com/office/officeart/2005/8/layout/radial1"/>
  </dgm:cxnLst>
  <dgm:bg/>
  <dgm:whole/>
  <dgm:extLst>
    <a:ext uri="http://schemas.microsoft.com/office/drawing/2008/diagram">
      <dsp:dataModelExt xmlns:dsp="http://schemas.microsoft.com/office/drawing/2008/diagram" relId="rId62" minVer="http://schemas.openxmlformats.org/drawingml/2006/diagram"/>
    </a:ext>
    <a:ext uri="{C62137D5-CB1D-491B-B009-E17868A290BF}">
      <dgm14:recolorImg xmlns:dgm14="http://schemas.microsoft.com/office/drawing/2010/diagram" val="1"/>
    </a:ext>
  </dgm:extLst>
</dgm:dataModel>
</file>

<file path=word/diagrams/data5.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DE541715-C648-404D-8124-F14F463E9202}">
      <dgm:prSet phldrT="[Text]" custT="1"/>
      <dgm:spPr>
        <a:xfrm>
          <a:off x="2636790" y="937096"/>
          <a:ext cx="1044697" cy="712787"/>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45870664-60BD-4390-952C-AB2EEF07F4DD}">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CB6E0A53-B07E-4B2B-89E7-D1FB86B27272}" type="parTrans" cxnId="{C80DF295-9AAD-4C0B-B8AF-3EDA956AFFF7}">
      <dgm:prSet/>
      <dgm:spPr>
        <a:xfrm rot="16200000">
          <a:off x="3051731" y="819453"/>
          <a:ext cx="214815" cy="20471"/>
        </a:xfrm>
      </dgm:spPr>
      <dgm:t>
        <a:bodyPr/>
        <a:lstStyle/>
        <a:p>
          <a:endParaRPr lang="en-US"/>
        </a:p>
      </dgm:t>
    </dgm:pt>
    <dgm:pt modelId="{E74149DA-41AA-4BE0-B8E7-7965A33DC1B0}" type="sibTrans" cxnId="{C80DF295-9AAD-4C0B-B8AF-3EDA956AFFF7}">
      <dgm:prSet/>
      <dgm:spPr/>
      <dgm:t>
        <a:bodyPr/>
        <a:lstStyle/>
        <a:p>
          <a:endParaRPr lang="en-US"/>
        </a:p>
      </dgm:t>
    </dgm:pt>
    <dgm:pt modelId="{3BD68AEB-F6E8-461F-8590-A67172B04D7C}">
      <dgm:prSet phldrT="[Text]" custT="1"/>
      <dgm:spPr>
        <a:xfrm>
          <a:off x="3737226" y="312872"/>
          <a:ext cx="1061733"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31D2845E-7763-4EAF-A91C-F687BE68CFA9}" type="parTrans" cxnId="{8219E8C0-11D9-4ECE-9E9E-751EEF5551F9}">
      <dgm:prSet/>
      <dgm:spPr>
        <a:xfrm rot="19837505">
          <a:off x="3539989" y="972232"/>
          <a:ext cx="343383" cy="20471"/>
        </a:xfrm>
      </dgm:spPr>
      <dgm:t>
        <a:bodyPr/>
        <a:lstStyle/>
        <a:p>
          <a:endParaRPr lang="en-US"/>
        </a:p>
      </dgm:t>
    </dgm:pt>
    <dgm:pt modelId="{93E661BA-0293-4FF1-B933-6256D0B2E24D}" type="sibTrans" cxnId="{8219E8C0-11D9-4ECE-9E9E-751EEF5551F9}">
      <dgm:prSet/>
      <dgm:spPr/>
      <dgm:t>
        <a:bodyPr/>
        <a:lstStyle/>
        <a:p>
          <a:endParaRPr lang="en-US"/>
        </a:p>
      </dgm:t>
    </dgm:pt>
    <dgm:pt modelId="{CDE3C2D2-2338-40D3-9864-33A39CCB5CF4}">
      <dgm:prSet phldrT="[Text]" custT="1"/>
      <dgm:spPr>
        <a:xfrm>
          <a:off x="4864205" y="947008"/>
          <a:ext cx="1096809"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 intern. y normas técnicas</a:t>
          </a:r>
        </a:p>
      </dgm:t>
    </dgm:pt>
    <dgm:pt modelId="{00297025-FE49-44ED-8151-9AC4B35C0885}" type="parTrans" cxnId="{60C424C7-CC54-4027-B080-4425E7B5050C}">
      <dgm:prSet/>
      <dgm:spPr>
        <a:xfrm rot="15120">
          <a:off x="3681471" y="1288153"/>
          <a:ext cx="1182752" cy="20471"/>
        </a:xfrm>
      </dgm:spPr>
      <dgm:t>
        <a:bodyPr/>
        <a:lstStyle/>
        <a:p>
          <a:endParaRPr lang="en-US"/>
        </a:p>
      </dgm:t>
    </dgm:pt>
    <dgm:pt modelId="{59703DE8-812C-459A-A996-B99B877A6FDC}" type="sibTrans" cxnId="{60C424C7-CC54-4027-B080-4425E7B5050C}">
      <dgm:prSet/>
      <dgm:spPr/>
      <dgm:t>
        <a:bodyPr/>
        <a:lstStyle/>
        <a:p>
          <a:endParaRPr lang="en-US"/>
        </a:p>
      </dgm:t>
    </dgm:pt>
    <dgm:pt modelId="{115F3686-56C2-4580-9E8B-FA213D3DA5F6}">
      <dgm:prSet phldrT="[Text]" custT="1"/>
      <dgm:spPr>
        <a:xfrm>
          <a:off x="380999" y="938359"/>
          <a:ext cx="1039814"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gm:t>
    </dgm:pt>
    <dgm:pt modelId="{0740ED97-4265-4052-8B1C-8A14B3879E4E}" type="parTrans" cxnId="{FF862692-6FE1-4C1B-8C29-4A220C00E54C}">
      <dgm:prSet/>
      <dgm:spPr>
        <a:xfrm rot="10798078">
          <a:off x="1420814" y="1283887"/>
          <a:ext cx="1215976" cy="20471"/>
        </a:xfrm>
      </dgm:spPr>
      <dgm:t>
        <a:bodyPr/>
        <a:lstStyle/>
        <a:p>
          <a:endParaRPr lang="en-US"/>
        </a:p>
      </dgm:t>
    </dgm:pt>
    <dgm:pt modelId="{E9E35A43-605C-4C5A-B200-2A3B564FFAF5}" type="sibTrans" cxnId="{FF862692-6FE1-4C1B-8C29-4A220C00E54C}">
      <dgm:prSet/>
      <dgm:spPr/>
      <dgm:t>
        <a:bodyPr/>
        <a:lstStyle/>
        <a:p>
          <a:endParaRPr lang="en-US"/>
        </a:p>
      </dgm:t>
    </dgm:pt>
    <dgm:pt modelId="{4E654411-73AD-4DF6-AD3B-E400E531439B}">
      <dgm:prSet phldrT="[Text]" custT="1"/>
      <dgm:spPr>
        <a:xfrm>
          <a:off x="1477987" y="343345"/>
          <a:ext cx="1163390"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a los conocimientos</a:t>
          </a:r>
        </a:p>
      </dgm:t>
    </dgm:pt>
    <dgm:pt modelId="{7DB15392-F5F7-49E2-8294-51A0B1B620AB}" type="parTrans" cxnId="{A12C036A-14E7-451C-80B8-9B5BE762C5B4}">
      <dgm:prSet/>
      <dgm:spPr>
        <a:xfrm rot="12502253">
          <a:off x="2478756" y="993615"/>
          <a:ext cx="288109" cy="20471"/>
        </a:xfrm>
      </dgm:spPr>
      <dgm:t>
        <a:bodyPr/>
        <a:lstStyle/>
        <a:p>
          <a:endParaRPr lang="en-US"/>
        </a:p>
      </dgm:t>
    </dgm:pt>
    <dgm:pt modelId="{2B759E48-7284-455B-851A-DFF88118946F}" type="sibTrans" cxnId="{A12C036A-14E7-451C-80B8-9B5BE762C5B4}">
      <dgm:prSet/>
      <dgm:spPr/>
      <dgm:t>
        <a:bodyPr/>
        <a:lstStyle/>
        <a:p>
          <a:endParaRPr lang="en-US"/>
        </a:p>
      </dgm:t>
    </dgm:pt>
    <dgm:pt modelId="{0312DC60-63F3-4695-A4B2-2143D87CBA69}">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gm:t>
    </dgm:pt>
    <dgm:pt modelId="{92995B63-ADD2-4A50-AE0E-6CB45D8C6E35}" type="parTrans" cxnId="{97CE5D63-B5EC-4910-A585-3916F3D90753}">
      <dgm:prSet/>
      <dgm:spPr/>
      <dgm:t>
        <a:bodyPr/>
        <a:lstStyle/>
        <a:p>
          <a:endParaRPr lang="en-US"/>
        </a:p>
      </dgm:t>
    </dgm:pt>
    <dgm:pt modelId="{27B22FCA-D743-4668-A987-13511BDD8FC7}" type="sibTrans" cxnId="{97CE5D63-B5EC-4910-A585-3916F3D90753}">
      <dgm:prSet/>
      <dgm:spPr/>
      <dgm:t>
        <a:bodyPr/>
        <a:lstStyle/>
        <a:p>
          <a:endParaRPr lang="en-US"/>
        </a:p>
      </dgm:t>
    </dgm:pt>
    <dgm:pt modelId="{3617534A-E595-427C-AC8F-9064DFBAF0A6}">
      <dgm:prSet phldrT="[Text]" custT="1"/>
      <dgm:spPr>
        <a:xfrm>
          <a:off x="2676525" y="9493"/>
          <a:ext cx="965228" cy="7127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gm:t>
    </dgm:pt>
    <dgm:pt modelId="{D048942C-F61A-4F2B-B900-E08A5C266B6D}" type="parTrans" cxnId="{7A8622CA-DAE5-441B-AF51-EADD298D7EC2}">
      <dgm:prSet/>
      <dgm:spPr/>
      <dgm:t>
        <a:bodyPr/>
        <a:lstStyle/>
        <a:p>
          <a:endParaRPr lang="en-US"/>
        </a:p>
      </dgm:t>
    </dgm:pt>
    <dgm:pt modelId="{14D43D76-EF3E-4E3A-A784-4FA35B591162}" type="sibTrans" cxnId="{7A8622CA-DAE5-441B-AF51-EADD298D7EC2}">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37387" custScaleY="84950"/>
      <dgm:spPr>
        <a:prstGeom prst="ellipse">
          <a:avLst/>
        </a:prstGeom>
      </dgm:spPr>
      <dgm:t>
        <a:bodyPr/>
        <a:lstStyle/>
        <a:p>
          <a:endParaRPr lang="en-US"/>
        </a:p>
      </dgm:t>
    </dgm:pt>
    <dgm:pt modelId="{DDE83488-D0AF-4A61-9C32-0D1EF5D54320}" type="pres">
      <dgm:prSet presAssocID="{D048942C-F61A-4F2B-B900-E08A5C266B6D}" presName="Name9" presStyleLbl="parChTrans1D2" presStyleIdx="0" presStyleCnt="7"/>
      <dgm:spPr/>
      <dgm:t>
        <a:bodyPr/>
        <a:lstStyle/>
        <a:p>
          <a:endParaRPr lang="en-US"/>
        </a:p>
      </dgm:t>
    </dgm:pt>
    <dgm:pt modelId="{7452C467-723D-40C3-B847-788D2E8C3669}" type="pres">
      <dgm:prSet presAssocID="{D048942C-F61A-4F2B-B900-E08A5C266B6D}" presName="connTx" presStyleLbl="parChTrans1D2" presStyleIdx="0" presStyleCnt="7"/>
      <dgm:spPr/>
      <dgm:t>
        <a:bodyPr/>
        <a:lstStyle/>
        <a:p>
          <a:endParaRPr lang="en-US"/>
        </a:p>
      </dgm:t>
    </dgm:pt>
    <dgm:pt modelId="{5A264607-8295-4AD5-8D4E-5E0F0A25C928}" type="pres">
      <dgm:prSet presAssocID="{3617534A-E595-427C-AC8F-9064DFBAF0A6}" presName="node" presStyleLbl="node1" presStyleIdx="0" presStyleCnt="7" custScaleX="200203" custScaleY="124787">
        <dgm:presLayoutVars>
          <dgm:bulletEnabled val="1"/>
        </dgm:presLayoutVars>
      </dgm:prSet>
      <dgm:spPr/>
      <dgm:t>
        <a:bodyPr/>
        <a:lstStyle/>
        <a:p>
          <a:endParaRPr lang="en-US"/>
        </a:p>
      </dgm:t>
    </dgm:pt>
    <dgm:pt modelId="{64B847BA-C336-4F4D-BCB1-E9F8B02329EB}" type="pres">
      <dgm:prSet presAssocID="{92995B63-ADD2-4A50-AE0E-6CB45D8C6E35}" presName="Name9" presStyleLbl="parChTrans1D2" presStyleIdx="1" presStyleCnt="7"/>
      <dgm:spPr/>
      <dgm:t>
        <a:bodyPr/>
        <a:lstStyle/>
        <a:p>
          <a:endParaRPr lang="en-US"/>
        </a:p>
      </dgm:t>
    </dgm:pt>
    <dgm:pt modelId="{826F95A3-91FC-4B4C-BC2D-78EBAEA00899}" type="pres">
      <dgm:prSet presAssocID="{92995B63-ADD2-4A50-AE0E-6CB45D8C6E35}" presName="connTx" presStyleLbl="parChTrans1D2" presStyleIdx="1" presStyleCnt="7"/>
      <dgm:spPr/>
      <dgm:t>
        <a:bodyPr/>
        <a:lstStyle/>
        <a:p>
          <a:endParaRPr lang="en-US"/>
        </a:p>
      </dgm:t>
    </dgm:pt>
    <dgm:pt modelId="{1AB73DFF-B172-4EE5-8B1D-E235635E7315}" type="pres">
      <dgm:prSet presAssocID="{0312DC60-63F3-4695-A4B2-2143D87CBA69}" presName="node" presStyleLbl="node1" presStyleIdx="1" presStyleCnt="7" custScaleX="274829" custScaleY="116842" custRadScaleRad="177017" custRadScaleInc="58500">
        <dgm:presLayoutVars>
          <dgm:bulletEnabled val="1"/>
        </dgm:presLayoutVars>
      </dgm:prSet>
      <dgm:spPr/>
      <dgm:t>
        <a:bodyPr/>
        <a:lstStyle/>
        <a:p>
          <a:endParaRPr lang="en-US"/>
        </a:p>
      </dgm:t>
    </dgm:pt>
    <dgm:pt modelId="{27C08CD6-CB73-4E0E-BA37-473C15E9C926}" type="pres">
      <dgm:prSet presAssocID="{CB6E0A53-B07E-4B2B-89E7-D1FB86B27272}" presName="Name9" presStyleLbl="parChTrans1D2" presStyleIdx="2" presStyleCnt="7"/>
      <dgm:spPr/>
      <dgm:t>
        <a:bodyPr/>
        <a:lstStyle/>
        <a:p>
          <a:endParaRPr lang="en-US"/>
        </a:p>
      </dgm:t>
    </dgm:pt>
    <dgm:pt modelId="{04068EB3-8728-47DB-8B53-1F3F6EA0E656}" type="pres">
      <dgm:prSet presAssocID="{CB6E0A53-B07E-4B2B-89E7-D1FB86B27272}" presName="connTx" presStyleLbl="parChTrans1D2" presStyleIdx="2" presStyleCnt="7"/>
      <dgm:spPr/>
      <dgm:t>
        <a:bodyPr/>
        <a:lstStyle/>
        <a:p>
          <a:endParaRPr lang="en-US"/>
        </a:p>
      </dgm:t>
    </dgm:pt>
    <dgm:pt modelId="{8441BECF-C9FE-4C31-BFA4-B45EB6B3D1F0}" type="pres">
      <dgm:prSet presAssocID="{45870664-60BD-4390-952C-AB2EEF07F4DD}" presName="node" presStyleLbl="node1" presStyleIdx="2" presStyleCnt="7" custScaleX="288373" custScaleY="107406" custRadScaleRad="275999" custRadScaleInc="-50361">
        <dgm:presLayoutVars>
          <dgm:bulletEnabled val="1"/>
        </dgm:presLayoutVars>
      </dgm:prSet>
      <dgm:spPr>
        <a:prstGeom prst="ellipse">
          <a:avLst/>
        </a:prstGeom>
      </dgm:spPr>
      <dgm:t>
        <a:bodyPr/>
        <a:lstStyle/>
        <a:p>
          <a:endParaRPr lang="en-US"/>
        </a:p>
      </dgm:t>
    </dgm:pt>
    <dgm:pt modelId="{27678B34-738D-4B59-81F4-6EB54DA6F256}" type="pres">
      <dgm:prSet presAssocID="{31D2845E-7763-4EAF-A91C-F687BE68CFA9}" presName="Name9" presStyleLbl="parChTrans1D2" presStyleIdx="3" presStyleCnt="7"/>
      <dgm:spPr/>
      <dgm:t>
        <a:bodyPr/>
        <a:lstStyle/>
        <a:p>
          <a:endParaRPr lang="en-US"/>
        </a:p>
      </dgm:t>
    </dgm:pt>
    <dgm:pt modelId="{0D67A745-92A7-4C43-8F28-25B89678FC62}" type="pres">
      <dgm:prSet presAssocID="{31D2845E-7763-4EAF-A91C-F687BE68CFA9}" presName="connTx" presStyleLbl="parChTrans1D2" presStyleIdx="3" presStyleCnt="7"/>
      <dgm:spPr/>
      <dgm:t>
        <a:bodyPr/>
        <a:lstStyle/>
        <a:p>
          <a:endParaRPr lang="en-US"/>
        </a:p>
      </dgm:t>
    </dgm:pt>
    <dgm:pt modelId="{77E0AE60-7058-4D43-911F-C57FA8C6CA9F}" type="pres">
      <dgm:prSet presAssocID="{3BD68AEB-F6E8-461F-8590-A67172B04D7C}" presName="node" presStyleLbl="node1" presStyleIdx="3" presStyleCnt="7" custScaleX="224489" custScaleY="101570" custRadScaleRad="158125" custRadScaleInc="-133600">
        <dgm:presLayoutVars>
          <dgm:bulletEnabled val="1"/>
        </dgm:presLayoutVars>
      </dgm:prSet>
      <dgm:spPr>
        <a:prstGeom prst="ellipse">
          <a:avLst/>
        </a:prstGeom>
      </dgm:spPr>
      <dgm:t>
        <a:bodyPr/>
        <a:lstStyle/>
        <a:p>
          <a:endParaRPr lang="en-US"/>
        </a:p>
      </dgm:t>
    </dgm:pt>
    <dgm:pt modelId="{EED79A7F-2696-484A-8083-D28DF0387AD5}" type="pres">
      <dgm:prSet presAssocID="{00297025-FE49-44ED-8151-9AC4B35C0885}" presName="Name9" presStyleLbl="parChTrans1D2" presStyleIdx="4" presStyleCnt="7"/>
      <dgm:spPr/>
      <dgm:t>
        <a:bodyPr/>
        <a:lstStyle/>
        <a:p>
          <a:endParaRPr lang="en-US"/>
        </a:p>
      </dgm:t>
    </dgm:pt>
    <dgm:pt modelId="{BEAB3A6A-1AD1-41B3-BDFE-B268898D2300}" type="pres">
      <dgm:prSet presAssocID="{00297025-FE49-44ED-8151-9AC4B35C0885}" presName="connTx" presStyleLbl="parChTrans1D2" presStyleIdx="4" presStyleCnt="7"/>
      <dgm:spPr/>
      <dgm:t>
        <a:bodyPr/>
        <a:lstStyle/>
        <a:p>
          <a:endParaRPr lang="en-US"/>
        </a:p>
      </dgm:t>
    </dgm:pt>
    <dgm:pt modelId="{05994623-F04A-4AAC-82E3-2D63726DAA8A}" type="pres">
      <dgm:prSet presAssocID="{CDE3C2D2-2338-40D3-9864-33A39CCB5CF4}" presName="node" presStyleLbl="node1" presStyleIdx="4" presStyleCnt="7" custScaleX="272443" custScaleY="147043" custRadScaleRad="150809" custRadScaleInc="143297">
        <dgm:presLayoutVars>
          <dgm:bulletEnabled val="1"/>
        </dgm:presLayoutVars>
      </dgm:prSet>
      <dgm:spPr>
        <a:prstGeom prst="ellipse">
          <a:avLst/>
        </a:prstGeom>
      </dgm:spPr>
      <dgm:t>
        <a:bodyPr/>
        <a:lstStyle/>
        <a:p>
          <a:endParaRPr lang="en-US"/>
        </a:p>
      </dgm:t>
    </dgm:pt>
    <dgm:pt modelId="{B654B038-4242-46EF-A10B-FF9B1A085532}" type="pres">
      <dgm:prSet presAssocID="{0740ED97-4265-4052-8B1C-8A14B3879E4E}" presName="Name9" presStyleLbl="parChTrans1D2" presStyleIdx="5" presStyleCnt="7"/>
      <dgm:spPr/>
      <dgm:t>
        <a:bodyPr/>
        <a:lstStyle/>
        <a:p>
          <a:endParaRPr lang="en-US"/>
        </a:p>
      </dgm:t>
    </dgm:pt>
    <dgm:pt modelId="{BA4F9CC8-82E2-4BE5-8120-3D5D089F9CF4}" type="pres">
      <dgm:prSet presAssocID="{0740ED97-4265-4052-8B1C-8A14B3879E4E}" presName="connTx" presStyleLbl="parChTrans1D2" presStyleIdx="5" presStyleCnt="7"/>
      <dgm:spPr/>
      <dgm:t>
        <a:bodyPr/>
        <a:lstStyle/>
        <a:p>
          <a:endParaRPr lang="en-US"/>
        </a:p>
      </dgm:t>
    </dgm:pt>
    <dgm:pt modelId="{3DB28723-07CF-4EFC-8E24-18E41E76D4AF}" type="pres">
      <dgm:prSet presAssocID="{115F3686-56C2-4580-9E8B-FA213D3DA5F6}" presName="node" presStyleLbl="node1" presStyleIdx="5" presStyleCnt="7" custScaleX="267029" custScaleY="115324" custRadScaleRad="290642" custRadScaleInc="45261">
        <dgm:presLayoutVars>
          <dgm:bulletEnabled val="1"/>
        </dgm:presLayoutVars>
      </dgm:prSet>
      <dgm:spPr>
        <a:prstGeom prst="ellipse">
          <a:avLst/>
        </a:prstGeom>
      </dgm:spPr>
      <dgm:t>
        <a:bodyPr/>
        <a:lstStyle/>
        <a:p>
          <a:endParaRPr lang="en-US"/>
        </a:p>
      </dgm:t>
    </dgm:pt>
    <dgm:pt modelId="{AD2F0D4B-AECA-4B10-81AC-261AA8BE8E98}" type="pres">
      <dgm:prSet presAssocID="{7DB15392-F5F7-49E2-8294-51A0B1B620AB}" presName="Name9" presStyleLbl="parChTrans1D2" presStyleIdx="6" presStyleCnt="7"/>
      <dgm:spPr/>
      <dgm:t>
        <a:bodyPr/>
        <a:lstStyle/>
        <a:p>
          <a:endParaRPr lang="en-US"/>
        </a:p>
      </dgm:t>
    </dgm:pt>
    <dgm:pt modelId="{E48FCD09-4C54-4A10-9BB3-1920483E872B}" type="pres">
      <dgm:prSet presAssocID="{7DB15392-F5F7-49E2-8294-51A0B1B620AB}" presName="connTx" presStyleLbl="parChTrans1D2" presStyleIdx="6" presStyleCnt="7"/>
      <dgm:spPr/>
      <dgm:t>
        <a:bodyPr/>
        <a:lstStyle/>
        <a:p>
          <a:endParaRPr lang="en-US"/>
        </a:p>
      </dgm:t>
    </dgm:pt>
    <dgm:pt modelId="{2BEED572-A282-4C32-95EB-3B1996D142B1}" type="pres">
      <dgm:prSet presAssocID="{4E654411-73AD-4DF6-AD3B-E400E531439B}" presName="node" presStyleLbl="node1" presStyleIdx="6" presStyleCnt="7" custScaleX="320438" custScaleY="130892" custRadScaleRad="185872" custRadScaleInc="-61116">
        <dgm:presLayoutVars>
          <dgm:bulletEnabled val="1"/>
        </dgm:presLayoutVars>
      </dgm:prSet>
      <dgm:spPr>
        <a:prstGeom prst="ellipse">
          <a:avLst/>
        </a:prstGeom>
      </dgm:spPr>
      <dgm:t>
        <a:bodyPr/>
        <a:lstStyle/>
        <a:p>
          <a:endParaRPr lang="en-US"/>
        </a:p>
      </dgm:t>
    </dgm:pt>
  </dgm:ptLst>
  <dgm:cxnLst>
    <dgm:cxn modelId="{BC3670CF-1D3E-4CF4-B3CF-BECCB68D75AD}" type="presOf" srcId="{115F3686-56C2-4580-9E8B-FA213D3DA5F6}" destId="{3DB28723-07CF-4EFC-8E24-18E41E76D4AF}" srcOrd="0" destOrd="0" presId="urn:microsoft.com/office/officeart/2005/8/layout/radial1"/>
    <dgm:cxn modelId="{53B49F9C-1C69-44FE-9EE8-B55CCFCB0249}" type="presOf" srcId="{31D2845E-7763-4EAF-A91C-F687BE68CFA9}" destId="{0D67A745-92A7-4C43-8F28-25B89678FC62}" srcOrd="1" destOrd="0" presId="urn:microsoft.com/office/officeart/2005/8/layout/radial1"/>
    <dgm:cxn modelId="{C80DF295-9AAD-4C0B-B8AF-3EDA956AFFF7}" srcId="{DE541715-C648-404D-8124-F14F463E9202}" destId="{45870664-60BD-4390-952C-AB2EEF07F4DD}" srcOrd="2" destOrd="0" parTransId="{CB6E0A53-B07E-4B2B-89E7-D1FB86B27272}" sibTransId="{E74149DA-41AA-4BE0-B8E7-7965A33DC1B0}"/>
    <dgm:cxn modelId="{6855A259-052B-4F2F-9D1B-8E788EFC6049}" type="presOf" srcId="{CB6E0A53-B07E-4B2B-89E7-D1FB86B27272}" destId="{04068EB3-8728-47DB-8B53-1F3F6EA0E656}" srcOrd="1" destOrd="0" presId="urn:microsoft.com/office/officeart/2005/8/layout/radial1"/>
    <dgm:cxn modelId="{BD947F3B-DCAE-455C-980E-F2E9BD9E1923}" type="presOf" srcId="{92995B63-ADD2-4A50-AE0E-6CB45D8C6E35}" destId="{826F95A3-91FC-4B4C-BC2D-78EBAEA00899}" srcOrd="1" destOrd="0" presId="urn:microsoft.com/office/officeart/2005/8/layout/radial1"/>
    <dgm:cxn modelId="{780046C9-1EBF-4976-BC95-CA4E0D7A22B9}" type="presOf" srcId="{34E6C8D5-8D4F-4714-8A12-8F4599A8E760}" destId="{08F189A1-AB47-41D1-8058-7A6DA66B3F52}" srcOrd="0" destOrd="0" presId="urn:microsoft.com/office/officeart/2005/8/layout/radial1"/>
    <dgm:cxn modelId="{FF862692-6FE1-4C1B-8C29-4A220C00E54C}" srcId="{DE541715-C648-404D-8124-F14F463E9202}" destId="{115F3686-56C2-4580-9E8B-FA213D3DA5F6}" srcOrd="5" destOrd="0" parTransId="{0740ED97-4265-4052-8B1C-8A14B3879E4E}" sibTransId="{E9E35A43-605C-4C5A-B200-2A3B564FFAF5}"/>
    <dgm:cxn modelId="{D204A397-2110-4068-A1E5-88D482BECEF3}" type="presOf" srcId="{CDE3C2D2-2338-40D3-9864-33A39CCB5CF4}" destId="{05994623-F04A-4AAC-82E3-2D63726DAA8A}"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97CE5D63-B5EC-4910-A585-3916F3D90753}" srcId="{DE541715-C648-404D-8124-F14F463E9202}" destId="{0312DC60-63F3-4695-A4B2-2143D87CBA69}" srcOrd="1" destOrd="0" parTransId="{92995B63-ADD2-4A50-AE0E-6CB45D8C6E35}" sibTransId="{27B22FCA-D743-4668-A987-13511BDD8FC7}"/>
    <dgm:cxn modelId="{9ABBD363-3C32-48ED-96AB-C65467866085}" type="presOf" srcId="{31D2845E-7763-4EAF-A91C-F687BE68CFA9}" destId="{27678B34-738D-4B59-81F4-6EB54DA6F256}" srcOrd="0" destOrd="0" presId="urn:microsoft.com/office/officeart/2005/8/layout/radial1"/>
    <dgm:cxn modelId="{91CA95A1-01AA-406B-B867-AB3FCB19D066}" type="presOf" srcId="{92995B63-ADD2-4A50-AE0E-6CB45D8C6E35}" destId="{64B847BA-C336-4F4D-BCB1-E9F8B02329EB}" srcOrd="0" destOrd="0" presId="urn:microsoft.com/office/officeart/2005/8/layout/radial1"/>
    <dgm:cxn modelId="{99472103-C60E-47AE-A499-AB8B6703B327}" type="presOf" srcId="{45870664-60BD-4390-952C-AB2EEF07F4DD}" destId="{8441BECF-C9FE-4C31-BFA4-B45EB6B3D1F0}" srcOrd="0" destOrd="0" presId="urn:microsoft.com/office/officeart/2005/8/layout/radial1"/>
    <dgm:cxn modelId="{34C82C06-4370-449F-AC85-B1B82B849160}" type="presOf" srcId="{3BD68AEB-F6E8-461F-8590-A67172B04D7C}" destId="{77E0AE60-7058-4D43-911F-C57FA8C6CA9F}" srcOrd="0" destOrd="0" presId="urn:microsoft.com/office/officeart/2005/8/layout/radial1"/>
    <dgm:cxn modelId="{4D3CA0BA-FC06-45C6-80EC-77D96BDFFEBD}" type="presOf" srcId="{D048942C-F61A-4F2B-B900-E08A5C266B6D}" destId="{7452C467-723D-40C3-B847-788D2E8C3669}" srcOrd="1" destOrd="0" presId="urn:microsoft.com/office/officeart/2005/8/layout/radial1"/>
    <dgm:cxn modelId="{0ABE1A34-B595-401D-A3E5-D39F708677EC}" type="presOf" srcId="{7DB15392-F5F7-49E2-8294-51A0B1B620AB}" destId="{AD2F0D4B-AECA-4B10-81AC-261AA8BE8E98}" srcOrd="0" destOrd="0" presId="urn:microsoft.com/office/officeart/2005/8/layout/radial1"/>
    <dgm:cxn modelId="{E74234FE-290C-4881-AE16-99AD8C394DB1}" type="presOf" srcId="{CB6E0A53-B07E-4B2B-89E7-D1FB86B27272}" destId="{27C08CD6-CB73-4E0E-BA37-473C15E9C926}" srcOrd="0" destOrd="0" presId="urn:microsoft.com/office/officeart/2005/8/layout/radial1"/>
    <dgm:cxn modelId="{8219E8C0-11D9-4ECE-9E9E-751EEF5551F9}" srcId="{DE541715-C648-404D-8124-F14F463E9202}" destId="{3BD68AEB-F6E8-461F-8590-A67172B04D7C}" srcOrd="3" destOrd="0" parTransId="{31D2845E-7763-4EAF-A91C-F687BE68CFA9}" sibTransId="{93E661BA-0293-4FF1-B933-6256D0B2E24D}"/>
    <dgm:cxn modelId="{7A8622CA-DAE5-441B-AF51-EADD298D7EC2}" srcId="{DE541715-C648-404D-8124-F14F463E9202}" destId="{3617534A-E595-427C-AC8F-9064DFBAF0A6}" srcOrd="0" destOrd="0" parTransId="{D048942C-F61A-4F2B-B900-E08A5C266B6D}" sibTransId="{14D43D76-EF3E-4E3A-A784-4FA35B591162}"/>
    <dgm:cxn modelId="{6EF1D92F-8F90-4379-B786-C145BEEEC837}" type="presOf" srcId="{D048942C-F61A-4F2B-B900-E08A5C266B6D}" destId="{DDE83488-D0AF-4A61-9C32-0D1EF5D54320}" srcOrd="0" destOrd="0" presId="urn:microsoft.com/office/officeart/2005/8/layout/radial1"/>
    <dgm:cxn modelId="{AC29D8DA-C686-4C41-B487-67C261B8ED6D}" type="presOf" srcId="{0740ED97-4265-4052-8B1C-8A14B3879E4E}" destId="{BA4F9CC8-82E2-4BE5-8120-3D5D089F9CF4}" srcOrd="1" destOrd="0" presId="urn:microsoft.com/office/officeart/2005/8/layout/radial1"/>
    <dgm:cxn modelId="{A12C036A-14E7-451C-80B8-9B5BE762C5B4}" srcId="{DE541715-C648-404D-8124-F14F463E9202}" destId="{4E654411-73AD-4DF6-AD3B-E400E531439B}" srcOrd="6" destOrd="0" parTransId="{7DB15392-F5F7-49E2-8294-51A0B1B620AB}" sibTransId="{2B759E48-7284-455B-851A-DFF88118946F}"/>
    <dgm:cxn modelId="{2D9E2800-50C3-4C38-A9C0-ED99301424CF}" type="presOf" srcId="{3617534A-E595-427C-AC8F-9064DFBAF0A6}" destId="{5A264607-8295-4AD5-8D4E-5E0F0A25C928}" srcOrd="0" destOrd="0" presId="urn:microsoft.com/office/officeart/2005/8/layout/radial1"/>
    <dgm:cxn modelId="{3C56B9DD-2F16-486D-999A-0A4E98522F2B}" type="presOf" srcId="{0740ED97-4265-4052-8B1C-8A14B3879E4E}" destId="{B654B038-4242-46EF-A10B-FF9B1A085532}"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60C424C7-CC54-4027-B080-4425E7B5050C}" srcId="{DE541715-C648-404D-8124-F14F463E9202}" destId="{CDE3C2D2-2338-40D3-9864-33A39CCB5CF4}" srcOrd="4" destOrd="0" parTransId="{00297025-FE49-44ED-8151-9AC4B35C0885}" sibTransId="{59703DE8-812C-459A-A996-B99B877A6FDC}"/>
    <dgm:cxn modelId="{D0865A3A-CA73-4F38-AE66-110AE3477B83}" type="presOf" srcId="{0312DC60-63F3-4695-A4B2-2143D87CBA69}" destId="{1AB73DFF-B172-4EE5-8B1D-E235635E7315}" srcOrd="0" destOrd="0" presId="urn:microsoft.com/office/officeart/2005/8/layout/radial1"/>
    <dgm:cxn modelId="{950E2AFC-0DED-4754-8F10-A7AC509653AA}" type="presOf" srcId="{00297025-FE49-44ED-8151-9AC4B35C0885}" destId="{EED79A7F-2696-484A-8083-D28DF0387AD5}" srcOrd="0" destOrd="0" presId="urn:microsoft.com/office/officeart/2005/8/layout/radial1"/>
    <dgm:cxn modelId="{4C52DC89-198D-4CF0-B311-DCC35B2B8B8E}" type="presOf" srcId="{DE541715-C648-404D-8124-F14F463E9202}" destId="{062AF917-2F47-4639-8A23-58AD52EC0F32}" srcOrd="0" destOrd="0" presId="urn:microsoft.com/office/officeart/2005/8/layout/radial1"/>
    <dgm:cxn modelId="{C9C0DD53-9625-4D6F-B54E-B9AFA824F127}" type="presOf" srcId="{00297025-FE49-44ED-8151-9AC4B35C0885}" destId="{BEAB3A6A-1AD1-41B3-BDFE-B268898D2300}" srcOrd="1" destOrd="0" presId="urn:microsoft.com/office/officeart/2005/8/layout/radial1"/>
    <dgm:cxn modelId="{247E84DF-530F-4FBB-9025-1AD87CD206B7}" type="presOf" srcId="{7DB15392-F5F7-49E2-8294-51A0B1B620AB}" destId="{E48FCD09-4C54-4A10-9BB3-1920483E872B}" srcOrd="1" destOrd="0" presId="urn:microsoft.com/office/officeart/2005/8/layout/radial1"/>
    <dgm:cxn modelId="{6BCC1711-381C-4F5A-9790-FC676FD2C248}" type="presOf" srcId="{4E654411-73AD-4DF6-AD3B-E400E531439B}" destId="{2BEED572-A282-4C32-95EB-3B1996D142B1}" srcOrd="0" destOrd="0" presId="urn:microsoft.com/office/officeart/2005/8/layout/radial1"/>
    <dgm:cxn modelId="{A605251E-C213-478E-BF35-22BAFDDBAE7F}" type="presParOf" srcId="{08F189A1-AB47-41D1-8058-7A6DA66B3F52}" destId="{062AF917-2F47-4639-8A23-58AD52EC0F32}" srcOrd="0" destOrd="0" presId="urn:microsoft.com/office/officeart/2005/8/layout/radial1"/>
    <dgm:cxn modelId="{CFE8F748-C35F-4D27-A40A-ED154CABF0D0}" type="presParOf" srcId="{08F189A1-AB47-41D1-8058-7A6DA66B3F52}" destId="{DDE83488-D0AF-4A61-9C32-0D1EF5D54320}" srcOrd="1" destOrd="0" presId="urn:microsoft.com/office/officeart/2005/8/layout/radial1"/>
    <dgm:cxn modelId="{06C268D7-0E25-44D7-A264-E13126AFA5AC}" type="presParOf" srcId="{DDE83488-D0AF-4A61-9C32-0D1EF5D54320}" destId="{7452C467-723D-40C3-B847-788D2E8C3669}" srcOrd="0" destOrd="0" presId="urn:microsoft.com/office/officeart/2005/8/layout/radial1"/>
    <dgm:cxn modelId="{5952254E-1244-4E07-8C95-9555F394B2BE}" type="presParOf" srcId="{08F189A1-AB47-41D1-8058-7A6DA66B3F52}" destId="{5A264607-8295-4AD5-8D4E-5E0F0A25C928}" srcOrd="2" destOrd="0" presId="urn:microsoft.com/office/officeart/2005/8/layout/radial1"/>
    <dgm:cxn modelId="{3175875B-6B8D-40CA-A76F-EE92E336E8CD}" type="presParOf" srcId="{08F189A1-AB47-41D1-8058-7A6DA66B3F52}" destId="{64B847BA-C336-4F4D-BCB1-E9F8B02329EB}" srcOrd="3" destOrd="0" presId="urn:microsoft.com/office/officeart/2005/8/layout/radial1"/>
    <dgm:cxn modelId="{8467413B-A21E-4D3C-94A1-F6531D2E85A9}" type="presParOf" srcId="{64B847BA-C336-4F4D-BCB1-E9F8B02329EB}" destId="{826F95A3-91FC-4B4C-BC2D-78EBAEA00899}" srcOrd="0" destOrd="0" presId="urn:microsoft.com/office/officeart/2005/8/layout/radial1"/>
    <dgm:cxn modelId="{7BC77CDE-9E9C-47F7-BD54-32D6889723D0}" type="presParOf" srcId="{08F189A1-AB47-41D1-8058-7A6DA66B3F52}" destId="{1AB73DFF-B172-4EE5-8B1D-E235635E7315}" srcOrd="4" destOrd="0" presId="urn:microsoft.com/office/officeart/2005/8/layout/radial1"/>
    <dgm:cxn modelId="{E31EE707-9026-4333-B61B-1A376069C7BF}" type="presParOf" srcId="{08F189A1-AB47-41D1-8058-7A6DA66B3F52}" destId="{27C08CD6-CB73-4E0E-BA37-473C15E9C926}" srcOrd="5" destOrd="0" presId="urn:microsoft.com/office/officeart/2005/8/layout/radial1"/>
    <dgm:cxn modelId="{D40C715B-25AC-478C-A66B-C38A61114909}" type="presParOf" srcId="{27C08CD6-CB73-4E0E-BA37-473C15E9C926}" destId="{04068EB3-8728-47DB-8B53-1F3F6EA0E656}" srcOrd="0" destOrd="0" presId="urn:microsoft.com/office/officeart/2005/8/layout/radial1"/>
    <dgm:cxn modelId="{9C3FE3F9-BF94-4AA5-8F9E-784D30CE2EE9}" type="presParOf" srcId="{08F189A1-AB47-41D1-8058-7A6DA66B3F52}" destId="{8441BECF-C9FE-4C31-BFA4-B45EB6B3D1F0}" srcOrd="6" destOrd="0" presId="urn:microsoft.com/office/officeart/2005/8/layout/radial1"/>
    <dgm:cxn modelId="{204BA56C-8266-4BEB-979A-E5CE5192BD52}" type="presParOf" srcId="{08F189A1-AB47-41D1-8058-7A6DA66B3F52}" destId="{27678B34-738D-4B59-81F4-6EB54DA6F256}" srcOrd="7" destOrd="0" presId="urn:microsoft.com/office/officeart/2005/8/layout/radial1"/>
    <dgm:cxn modelId="{166E4587-523C-4509-B87F-923A0479ACA5}" type="presParOf" srcId="{27678B34-738D-4B59-81F4-6EB54DA6F256}" destId="{0D67A745-92A7-4C43-8F28-25B89678FC62}" srcOrd="0" destOrd="0" presId="urn:microsoft.com/office/officeart/2005/8/layout/radial1"/>
    <dgm:cxn modelId="{E64491D5-2961-4F22-AEE7-B1B53D5063D3}" type="presParOf" srcId="{08F189A1-AB47-41D1-8058-7A6DA66B3F52}" destId="{77E0AE60-7058-4D43-911F-C57FA8C6CA9F}" srcOrd="8" destOrd="0" presId="urn:microsoft.com/office/officeart/2005/8/layout/radial1"/>
    <dgm:cxn modelId="{DA03D4B5-F62E-4B7E-A5D8-E991C30D60A9}" type="presParOf" srcId="{08F189A1-AB47-41D1-8058-7A6DA66B3F52}" destId="{EED79A7F-2696-484A-8083-D28DF0387AD5}" srcOrd="9" destOrd="0" presId="urn:microsoft.com/office/officeart/2005/8/layout/radial1"/>
    <dgm:cxn modelId="{63B93538-22E5-4B80-88E4-D6437DD28B48}" type="presParOf" srcId="{EED79A7F-2696-484A-8083-D28DF0387AD5}" destId="{BEAB3A6A-1AD1-41B3-BDFE-B268898D2300}" srcOrd="0" destOrd="0" presId="urn:microsoft.com/office/officeart/2005/8/layout/radial1"/>
    <dgm:cxn modelId="{6A37BFFA-BAD8-45CB-B8CA-C3ED461A4317}" type="presParOf" srcId="{08F189A1-AB47-41D1-8058-7A6DA66B3F52}" destId="{05994623-F04A-4AAC-82E3-2D63726DAA8A}" srcOrd="10" destOrd="0" presId="urn:microsoft.com/office/officeart/2005/8/layout/radial1"/>
    <dgm:cxn modelId="{583DD465-2E0A-4C2E-BAFE-F2D8DB377D96}" type="presParOf" srcId="{08F189A1-AB47-41D1-8058-7A6DA66B3F52}" destId="{B654B038-4242-46EF-A10B-FF9B1A085532}" srcOrd="11" destOrd="0" presId="urn:microsoft.com/office/officeart/2005/8/layout/radial1"/>
    <dgm:cxn modelId="{E621EAAE-2775-470C-9718-46A53D76AD15}" type="presParOf" srcId="{B654B038-4242-46EF-A10B-FF9B1A085532}" destId="{BA4F9CC8-82E2-4BE5-8120-3D5D089F9CF4}" srcOrd="0" destOrd="0" presId="urn:microsoft.com/office/officeart/2005/8/layout/radial1"/>
    <dgm:cxn modelId="{FECBA4B3-EF6D-416C-A96E-A892BA945BF4}" type="presParOf" srcId="{08F189A1-AB47-41D1-8058-7A6DA66B3F52}" destId="{3DB28723-07CF-4EFC-8E24-18E41E76D4AF}" srcOrd="12" destOrd="0" presId="urn:microsoft.com/office/officeart/2005/8/layout/radial1"/>
    <dgm:cxn modelId="{A9E3A6FD-9887-46E1-92DD-B43536EBCF58}" type="presParOf" srcId="{08F189A1-AB47-41D1-8058-7A6DA66B3F52}" destId="{AD2F0D4B-AECA-4B10-81AC-261AA8BE8E98}" srcOrd="13" destOrd="0" presId="urn:microsoft.com/office/officeart/2005/8/layout/radial1"/>
    <dgm:cxn modelId="{4758E7E7-1EF0-4EBC-B882-6857B1FC9DB2}" type="presParOf" srcId="{AD2F0D4B-AECA-4B10-81AC-261AA8BE8E98}" destId="{E48FCD09-4C54-4A10-9BB3-1920483E872B}" srcOrd="0" destOrd="0" presId="urn:microsoft.com/office/officeart/2005/8/layout/radial1"/>
    <dgm:cxn modelId="{59606936-8F85-457E-8233-EA73CA479853}" type="presParOf" srcId="{08F189A1-AB47-41D1-8058-7A6DA66B3F52}" destId="{2BEED572-A282-4C32-95EB-3B1996D142B1}" srcOrd="14" destOrd="0" presId="urn:microsoft.com/office/officeart/2005/8/layout/radial1"/>
  </dgm:cxnLst>
  <dgm:bg/>
  <dgm:whole/>
  <dgm:extLst>
    <a:ext uri="http://schemas.microsoft.com/office/drawing/2008/diagram">
      <dsp:dataModelExt xmlns:dsp="http://schemas.microsoft.com/office/drawing/2008/diagram" relId="rId70" minVer="http://schemas.openxmlformats.org/drawingml/2006/diagram"/>
    </a:ext>
    <a:ext uri="{C62137D5-CB1D-491B-B009-E17868A290BF}">
      <dgm14:recolorImg xmlns:dgm14="http://schemas.microsoft.com/office/drawing/2010/diagram" val="1"/>
    </a:ext>
  </dgm:extLst>
</dgm:dataModel>
</file>

<file path=word/diagrams/data6.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70529" y="78558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678204" y="775418"/>
          <a:ext cx="1236856" cy="5153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1915059" y="1025996"/>
          <a:ext cx="455470"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4088070" y="782090"/>
          <a:ext cx="1222536" cy="50015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580228" y="1025534"/>
          <a:ext cx="507844"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2325435" y="90112"/>
          <a:ext cx="1330197" cy="47981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875184" y="670234"/>
          <a:ext cx="215727" cy="1504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Y="10988"/>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3"/>
      <dgm:spPr>
        <a:custGeom>
          <a:avLst/>
          <a:gdLst/>
          <a:ahLst/>
          <a:cxnLst/>
          <a:rect l="0" t="0" r="0" b="0"/>
          <a:pathLst>
            <a:path>
              <a:moveTo>
                <a:pt x="0" y="7815"/>
              </a:moveTo>
              <a:lnTo>
                <a:pt x="150618" y="7815"/>
              </a:lnTo>
            </a:path>
          </a:pathLst>
        </a:custGeom>
      </dgm:spPr>
      <dgm:t>
        <a:bodyPr/>
        <a:lstStyle/>
        <a:p>
          <a:endParaRPr lang="en-US"/>
        </a:p>
      </dgm:t>
    </dgm:pt>
    <dgm:pt modelId="{326412CE-9911-4799-A459-B56F02EB4473}" type="pres">
      <dgm:prSet presAssocID="{7AF774ED-547E-4C04-8670-B0C1D08C5EE9}" presName="connTx" presStyleLbl="parChTrans1D2" presStyleIdx="0" presStyleCnt="3"/>
      <dgm:spPr/>
      <dgm:t>
        <a:bodyPr/>
        <a:lstStyle/>
        <a:p>
          <a:endParaRPr lang="en-US"/>
        </a:p>
      </dgm:t>
    </dgm:pt>
    <dgm:pt modelId="{CED9197C-8322-406B-917C-172FA36E7B76}" type="pres">
      <dgm:prSet presAssocID="{960C5593-E0FF-4AA5-AA0B-E8BDFFBC5E53}" presName="node" presStyleLbl="node1" presStyleIdx="0" presStyleCnt="3" custScaleX="299269" custScaleY="106654" custRadScaleRad="77487" custRadScaleInc="-98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3"/>
      <dgm:spPr>
        <a:custGeom>
          <a:avLst/>
          <a:gdLst/>
          <a:ahLst/>
          <a:cxnLst/>
          <a:rect l="0" t="0" r="0" b="0"/>
          <a:pathLst>
            <a:path>
              <a:moveTo>
                <a:pt x="0" y="7815"/>
              </a:moveTo>
              <a:lnTo>
                <a:pt x="468343" y="7815"/>
              </a:lnTo>
            </a:path>
          </a:pathLst>
        </a:custGeom>
      </dgm:spPr>
      <dgm:t>
        <a:bodyPr/>
        <a:lstStyle/>
        <a:p>
          <a:endParaRPr lang="en-US"/>
        </a:p>
      </dgm:t>
    </dgm:pt>
    <dgm:pt modelId="{62A1F741-432F-46BE-AE07-15F0B6D5EA89}" type="pres">
      <dgm:prSet presAssocID="{4693CA52-075F-4BD8-ABEA-5368BE377DDA}" presName="connTx" presStyleLbl="parChTrans1D2" presStyleIdx="1" presStyleCnt="3"/>
      <dgm:spPr/>
      <dgm:t>
        <a:bodyPr/>
        <a:lstStyle/>
        <a:p>
          <a:endParaRPr lang="en-US"/>
        </a:p>
      </dgm:t>
    </dgm:pt>
    <dgm:pt modelId="{035B4C9A-0916-4FCC-A1CF-85DB358A289A}" type="pres">
      <dgm:prSet presAssocID="{4631C2C5-1554-4289-90B0-F2D55D1595B6}" presName="node" presStyleLbl="node1" presStyleIdx="1" presStyleCnt="3" custScaleX="246127" custScaleY="100693" custRadScaleRad="257116" custRadScaleInc="-4193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7815"/>
              </a:moveTo>
              <a:lnTo>
                <a:pt x="439465" y="7815"/>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331246" custScaleY="102522" custRadScaleRad="255380" custRadScaleInc="41822">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DE54B9B-E6EF-4CFF-87DA-E5D682BC8073}" type="presOf" srcId="{0FABC453-0A5C-4CAE-813B-F0494A34E025}" destId="{EA4144E0-C5B2-4FC0-BDB2-550B61DB7DFD}"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1" destOrd="0" parTransId="{4693CA52-075F-4BD8-ABEA-5368BE377DDA}" sibTransId="{9B3CB24D-A47A-4081-B256-B868D89D5387}"/>
    <dgm:cxn modelId="{160984C9-E003-45AD-917D-4D5128695725}" type="presOf" srcId="{7AF774ED-547E-4C04-8670-B0C1D08C5EE9}" destId="{5337AE63-3722-42CC-AF72-36670EB7C5E1}" srcOrd="0" destOrd="0" presId="urn:microsoft.com/office/officeart/2005/8/layout/radial1"/>
    <dgm:cxn modelId="{A551D7C0-3CF8-49A6-AEDA-0A03A185A12B}" type="presOf" srcId="{34E6C8D5-8D4F-4714-8A12-8F4599A8E760}" destId="{08F189A1-AB47-41D1-8058-7A6DA66B3F52}" srcOrd="0" destOrd="0" presId="urn:microsoft.com/office/officeart/2005/8/layout/radial1"/>
    <dgm:cxn modelId="{DA95E216-D53D-4B7D-B86D-A0195A8B9C33}" type="presOf" srcId="{DE541715-C648-404D-8124-F14F463E9202}" destId="{062AF917-2F47-4639-8A23-58AD52EC0F32}" srcOrd="0" destOrd="0" presId="urn:microsoft.com/office/officeart/2005/8/layout/radial1"/>
    <dgm:cxn modelId="{EE978F68-F2C1-4EBF-BC89-434F7ADB8FF9}" type="presOf" srcId="{7AF774ED-547E-4C04-8670-B0C1D08C5EE9}" destId="{326412CE-9911-4799-A459-B56F02EB4473}" srcOrd="1"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529D05ED-97D5-4116-BE13-DE3D93351F7F}" srcId="{DE541715-C648-404D-8124-F14F463E9202}" destId="{960C5593-E0FF-4AA5-AA0B-E8BDFFBC5E53}" srcOrd="0" destOrd="0" parTransId="{7AF774ED-547E-4C04-8670-B0C1D08C5EE9}" sibTransId="{88F12DF7-015F-4F26-950A-DAE493699644}"/>
    <dgm:cxn modelId="{87061990-E498-4720-88A2-7FE01AA0A0AF}" type="presOf" srcId="{4693CA52-075F-4BD8-ABEA-5368BE377DDA}" destId="{4AC11394-3179-4EC5-A97F-D1A1B521CE2F}" srcOrd="0" destOrd="0" presId="urn:microsoft.com/office/officeart/2005/8/layout/radial1"/>
    <dgm:cxn modelId="{EE3CB521-A605-4264-BA17-4BD0AEAA3045}" type="presOf" srcId="{4693CA52-075F-4BD8-ABEA-5368BE377DDA}" destId="{62A1F741-432F-46BE-AE07-15F0B6D5EA89}" srcOrd="1" destOrd="0" presId="urn:microsoft.com/office/officeart/2005/8/layout/radial1"/>
    <dgm:cxn modelId="{F773F916-3DC7-48F9-846B-F4E78F3FF981}" type="presOf" srcId="{0FABC453-0A5C-4CAE-813B-F0494A34E025}" destId="{ADF94B70-0D7F-4A27-8DF9-17BCD27F4A7A}" srcOrd="0" destOrd="0" presId="urn:microsoft.com/office/officeart/2005/8/layout/radial1"/>
    <dgm:cxn modelId="{55383474-04F5-4947-94B9-E85C18AF18B5}" type="presOf" srcId="{960C5593-E0FF-4AA5-AA0B-E8BDFFBC5E53}" destId="{CED9197C-8322-406B-917C-172FA36E7B76}" srcOrd="0" destOrd="0" presId="urn:microsoft.com/office/officeart/2005/8/layout/radial1"/>
    <dgm:cxn modelId="{53E5AF02-8B15-416C-99E7-219420CC3F0A}" type="presOf" srcId="{C06C39C9-71B8-489C-9C45-3DD37A424E39}" destId="{0FAF3FA1-8E6C-455E-B189-A468B3F4D8BC}" srcOrd="0" destOrd="0" presId="urn:microsoft.com/office/officeart/2005/8/layout/radial1"/>
    <dgm:cxn modelId="{F551A548-69A4-451D-ABF2-727818ED89EC}" type="presOf" srcId="{4631C2C5-1554-4289-90B0-F2D55D1595B6}" destId="{035B4C9A-0916-4FCC-A1CF-85DB358A289A}" srcOrd="0" destOrd="0" presId="urn:microsoft.com/office/officeart/2005/8/layout/radial1"/>
    <dgm:cxn modelId="{65EE3A3C-9DC4-4E04-B7D7-ADF1AD93D3FA}" type="presParOf" srcId="{08F189A1-AB47-41D1-8058-7A6DA66B3F52}" destId="{062AF917-2F47-4639-8A23-58AD52EC0F32}" srcOrd="0" destOrd="0" presId="urn:microsoft.com/office/officeart/2005/8/layout/radial1"/>
    <dgm:cxn modelId="{CF4BF66C-34D6-4AA4-9EA9-F0CFA5A6AA86}" type="presParOf" srcId="{08F189A1-AB47-41D1-8058-7A6DA66B3F52}" destId="{5337AE63-3722-42CC-AF72-36670EB7C5E1}" srcOrd="1" destOrd="0" presId="urn:microsoft.com/office/officeart/2005/8/layout/radial1"/>
    <dgm:cxn modelId="{A8AA18D8-4D30-4D77-B147-B0764E33F121}" type="presParOf" srcId="{5337AE63-3722-42CC-AF72-36670EB7C5E1}" destId="{326412CE-9911-4799-A459-B56F02EB4473}" srcOrd="0" destOrd="0" presId="urn:microsoft.com/office/officeart/2005/8/layout/radial1"/>
    <dgm:cxn modelId="{56BFCDF6-F317-4F45-9102-ED800DF7C378}" type="presParOf" srcId="{08F189A1-AB47-41D1-8058-7A6DA66B3F52}" destId="{CED9197C-8322-406B-917C-172FA36E7B76}" srcOrd="2" destOrd="0" presId="urn:microsoft.com/office/officeart/2005/8/layout/radial1"/>
    <dgm:cxn modelId="{A8C4FD79-27C3-485B-8CCA-E590785E120E}" type="presParOf" srcId="{08F189A1-AB47-41D1-8058-7A6DA66B3F52}" destId="{4AC11394-3179-4EC5-A97F-D1A1B521CE2F}" srcOrd="3" destOrd="0" presId="urn:microsoft.com/office/officeart/2005/8/layout/radial1"/>
    <dgm:cxn modelId="{EC8CBB84-151F-45E9-AB81-02303E649E74}" type="presParOf" srcId="{4AC11394-3179-4EC5-A97F-D1A1B521CE2F}" destId="{62A1F741-432F-46BE-AE07-15F0B6D5EA89}" srcOrd="0" destOrd="0" presId="urn:microsoft.com/office/officeart/2005/8/layout/radial1"/>
    <dgm:cxn modelId="{EA920E45-15BA-48BF-9B71-10EC158A4732}" type="presParOf" srcId="{08F189A1-AB47-41D1-8058-7A6DA66B3F52}" destId="{035B4C9A-0916-4FCC-A1CF-85DB358A289A}" srcOrd="4" destOrd="0" presId="urn:microsoft.com/office/officeart/2005/8/layout/radial1"/>
    <dgm:cxn modelId="{92395574-EB2D-440E-B9B7-2D9182CFAB9E}" type="presParOf" srcId="{08F189A1-AB47-41D1-8058-7A6DA66B3F52}" destId="{ADF94B70-0D7F-4A27-8DF9-17BCD27F4A7A}" srcOrd="5" destOrd="0" presId="urn:microsoft.com/office/officeart/2005/8/layout/radial1"/>
    <dgm:cxn modelId="{16AEA218-98A3-445B-9A03-DB20BF542346}" type="presParOf" srcId="{ADF94B70-0D7F-4A27-8DF9-17BCD27F4A7A}" destId="{EA4144E0-C5B2-4FC0-BDB2-550B61DB7DFD}" srcOrd="0" destOrd="0" presId="urn:microsoft.com/office/officeart/2005/8/layout/radial1"/>
    <dgm:cxn modelId="{A0D4FCA8-390E-4DF3-AE4F-9CCF36485195}"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77"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047009" y="751101"/>
          <a:ext cx="1356160" cy="556846"/>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154299" y="782942"/>
          <a:ext cx="1434875" cy="50215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en T/D</a:t>
          </a:r>
          <a:endPar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791658">
          <a:off x="1589157" y="1022591"/>
          <a:ext cx="457865"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1967338" y="0"/>
          <a:ext cx="1512650" cy="57683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Lisboa</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6193386">
          <a:off x="2637251" y="654832"/>
          <a:ext cx="174270"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3824740" y="770785"/>
          <a:ext cx="1507315" cy="52057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45A6C23B-D452-4078-BA3A-466D0894B9EB}" type="parTrans" cxnId="{0266A1D0-CEC9-45F3-8B31-A21772E8AA19}">
      <dgm:prSet/>
      <dgm:spPr>
        <a:xfrm rot="2869">
          <a:off x="3403168" y="1021132"/>
          <a:ext cx="421574" cy="1826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a:custGeom>
          <a:avLst/>
          <a:gdLst/>
          <a:ahLst/>
          <a:cxnLst/>
          <a:rect l="0" t="0" r="0" b="0"/>
          <a:pathLst>
            <a:path>
              <a:moveTo>
                <a:pt x="0" y="9134"/>
              </a:moveTo>
              <a:lnTo>
                <a:pt x="163517" y="9134"/>
              </a:lnTo>
            </a:path>
          </a:pathLst>
        </a:custGeom>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100387" custRadScaleInc="-187">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a:custGeom>
          <a:avLst/>
          <a:gdLst/>
          <a:ahLst/>
          <a:cxnLst/>
          <a:rect l="0" t="0" r="0" b="0"/>
          <a:pathLst>
            <a:path>
              <a:moveTo>
                <a:pt x="0" y="9134"/>
              </a:moveTo>
              <a:lnTo>
                <a:pt x="463565" y="9134"/>
              </a:lnTo>
            </a:path>
          </a:pathLst>
        </a:custGeom>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84116" custScaleY="93486"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a:custGeom>
          <a:avLst/>
          <a:gdLst/>
          <a:ahLst/>
          <a:cxnLst/>
          <a:rect l="0" t="0" r="0" b="0"/>
          <a:pathLst>
            <a:path>
              <a:moveTo>
                <a:pt x="0" y="9134"/>
              </a:moveTo>
              <a:lnTo>
                <a:pt x="457860" y="9134"/>
              </a:lnTo>
            </a:path>
          </a:pathLst>
        </a:custGeom>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90179"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22CFBE58-87EC-4B70-B1CC-D1D1DB4968C7}" srcId="{34E6C8D5-8D4F-4714-8A12-8F4599A8E760}" destId="{DE541715-C648-404D-8124-F14F463E9202}" srcOrd="0" destOrd="0" parTransId="{D7DB3476-9C56-4274-B046-F742EA8694F1}" sibTransId="{7CA7849B-681D-4C0D-A708-F47E97871BB2}"/>
    <dgm:cxn modelId="{C624F730-3D94-49A5-93AB-3B3519667705}" type="presOf" srcId="{C06C39C9-71B8-489C-9C45-3DD37A424E39}" destId="{0FAF3FA1-8E6C-455E-B189-A468B3F4D8BC}" srcOrd="0" destOrd="0" presId="urn:microsoft.com/office/officeart/2005/8/layout/radial1"/>
    <dgm:cxn modelId="{BF65F824-D4F4-4A84-83B4-6B1944B62AAD}" srcId="{DE541715-C648-404D-8124-F14F463E9202}" destId="{4631C2C5-1554-4289-90B0-F2D55D1595B6}" srcOrd="0" destOrd="0" parTransId="{4693CA52-075F-4BD8-ABEA-5368BE377DDA}" sibTransId="{9B3CB24D-A47A-4081-B256-B868D89D5387}"/>
    <dgm:cxn modelId="{87AD9DC3-A474-47DB-9943-0119C8A60035}" type="presOf" srcId="{4693CA52-075F-4BD8-ABEA-5368BE377DDA}" destId="{4AC11394-3179-4EC5-A97F-D1A1B521CE2F}" srcOrd="0" destOrd="0" presId="urn:microsoft.com/office/officeart/2005/8/layout/radial1"/>
    <dgm:cxn modelId="{2E8AB10A-C937-4D22-B240-EEF61690DA6F}" type="presOf" srcId="{0FABC453-0A5C-4CAE-813B-F0494A34E025}" destId="{EA4144E0-C5B2-4FC0-BDB2-550B61DB7DFD}" srcOrd="1" destOrd="0" presId="urn:microsoft.com/office/officeart/2005/8/layout/radial1"/>
    <dgm:cxn modelId="{8DBA2077-A8E0-494E-A7CF-70684F9D7608}" type="presOf" srcId="{4631C2C5-1554-4289-90B0-F2D55D1595B6}" destId="{035B4C9A-0916-4FCC-A1CF-85DB358A289A}" srcOrd="0" destOrd="0" presId="urn:microsoft.com/office/officeart/2005/8/layout/radial1"/>
    <dgm:cxn modelId="{38F38C75-E03A-45B5-91F6-BAE59E6E57D1}" type="presOf" srcId="{4693CA52-075F-4BD8-ABEA-5368BE377DDA}" destId="{62A1F741-432F-46BE-AE07-15F0B6D5EA89}" srcOrd="1"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248698A6-055B-40E3-B808-D624056EF2B0}" srcId="{DE541715-C648-404D-8124-F14F463E9202}" destId="{C06C39C9-71B8-489C-9C45-3DD37A424E39}" srcOrd="2" destOrd="0" parTransId="{0FABC453-0A5C-4CAE-813B-F0494A34E025}" sibTransId="{DCD34884-F96E-475A-9010-14DE66A403A6}"/>
    <dgm:cxn modelId="{D09EA40A-ABDD-4DE8-92D0-8694BCD334F1}" type="presOf" srcId="{DE541715-C648-404D-8124-F14F463E9202}" destId="{062AF917-2F47-4639-8A23-58AD52EC0F32}" srcOrd="0" destOrd="0" presId="urn:microsoft.com/office/officeart/2005/8/layout/radial1"/>
    <dgm:cxn modelId="{DB5C92C6-455B-44A1-B3C7-25DC0DC1D99C}" type="presOf" srcId="{45A6C23B-D452-4078-BA3A-466D0894B9EB}" destId="{C7C9B7EB-2DEF-4B99-8D38-AC2E9641BEB5}" srcOrd="1" destOrd="0" presId="urn:microsoft.com/office/officeart/2005/8/layout/radial1"/>
    <dgm:cxn modelId="{50EE52E3-F07B-4946-9965-4BA289CE3DB0}" type="presOf" srcId="{45A6C23B-D452-4078-BA3A-466D0894B9EB}" destId="{64248C57-3CE0-4657-BC67-6279BA0257B1}" srcOrd="0" destOrd="0" presId="urn:microsoft.com/office/officeart/2005/8/layout/radial1"/>
    <dgm:cxn modelId="{7DC9F041-C355-48E8-99D0-7914EE8E852E}" type="presOf" srcId="{0FABC453-0A5C-4CAE-813B-F0494A34E025}" destId="{ADF94B70-0D7F-4A27-8DF9-17BCD27F4A7A}" srcOrd="0" destOrd="0" presId="urn:microsoft.com/office/officeart/2005/8/layout/radial1"/>
    <dgm:cxn modelId="{66DC9335-A8E5-41C2-BF43-D27AC4A59926}" type="presOf" srcId="{5C260341-F1C3-4458-A657-957289015FC3}" destId="{976BA53C-17D4-4F7C-9078-1272C469C9E5}" srcOrd="0" destOrd="0" presId="urn:microsoft.com/office/officeart/2005/8/layout/radial1"/>
    <dgm:cxn modelId="{150D85D0-AC2C-4DED-AC8F-8757F7F9AD7B}" type="presOf" srcId="{34E6C8D5-8D4F-4714-8A12-8F4599A8E760}" destId="{08F189A1-AB47-41D1-8058-7A6DA66B3F52}" srcOrd="0" destOrd="0" presId="urn:microsoft.com/office/officeart/2005/8/layout/radial1"/>
    <dgm:cxn modelId="{2B728A81-5E92-4640-BE4A-68C910F74423}" type="presParOf" srcId="{08F189A1-AB47-41D1-8058-7A6DA66B3F52}" destId="{062AF917-2F47-4639-8A23-58AD52EC0F32}" srcOrd="0" destOrd="0" presId="urn:microsoft.com/office/officeart/2005/8/layout/radial1"/>
    <dgm:cxn modelId="{A9308585-2D6F-4C8E-B3F4-AE6760F5A1B1}" type="presParOf" srcId="{08F189A1-AB47-41D1-8058-7A6DA66B3F52}" destId="{4AC11394-3179-4EC5-A97F-D1A1B521CE2F}" srcOrd="1" destOrd="0" presId="urn:microsoft.com/office/officeart/2005/8/layout/radial1"/>
    <dgm:cxn modelId="{6006AE8D-127E-4181-BC56-80A18FDB0F3B}" type="presParOf" srcId="{4AC11394-3179-4EC5-A97F-D1A1B521CE2F}" destId="{62A1F741-432F-46BE-AE07-15F0B6D5EA89}" srcOrd="0" destOrd="0" presId="urn:microsoft.com/office/officeart/2005/8/layout/radial1"/>
    <dgm:cxn modelId="{10B2F83B-E881-4214-BF79-3FE6691504C6}" type="presParOf" srcId="{08F189A1-AB47-41D1-8058-7A6DA66B3F52}" destId="{035B4C9A-0916-4FCC-A1CF-85DB358A289A}" srcOrd="2" destOrd="0" presId="urn:microsoft.com/office/officeart/2005/8/layout/radial1"/>
    <dgm:cxn modelId="{46DADEC0-A0C5-420B-8D9C-AAA0E9BCD285}" type="presParOf" srcId="{08F189A1-AB47-41D1-8058-7A6DA66B3F52}" destId="{64248C57-3CE0-4657-BC67-6279BA0257B1}" srcOrd="3" destOrd="0" presId="urn:microsoft.com/office/officeart/2005/8/layout/radial1"/>
    <dgm:cxn modelId="{FB334D5F-F508-4A79-A6BA-B7FCF97A910E}" type="presParOf" srcId="{64248C57-3CE0-4657-BC67-6279BA0257B1}" destId="{C7C9B7EB-2DEF-4B99-8D38-AC2E9641BEB5}" srcOrd="0" destOrd="0" presId="urn:microsoft.com/office/officeart/2005/8/layout/radial1"/>
    <dgm:cxn modelId="{E5DEE0C8-A3EC-48DD-A3E6-1B765CF491CF}" type="presParOf" srcId="{08F189A1-AB47-41D1-8058-7A6DA66B3F52}" destId="{976BA53C-17D4-4F7C-9078-1272C469C9E5}" srcOrd="4" destOrd="0" presId="urn:microsoft.com/office/officeart/2005/8/layout/radial1"/>
    <dgm:cxn modelId="{9C56DAEB-AF68-4380-AFBF-F70E6FB6A418}" type="presParOf" srcId="{08F189A1-AB47-41D1-8058-7A6DA66B3F52}" destId="{ADF94B70-0D7F-4A27-8DF9-17BCD27F4A7A}" srcOrd="5" destOrd="0" presId="urn:microsoft.com/office/officeart/2005/8/layout/radial1"/>
    <dgm:cxn modelId="{3440F6E6-F5C4-478C-94C2-1BE1CA40ACF7}" type="presParOf" srcId="{ADF94B70-0D7F-4A27-8DF9-17BCD27F4A7A}" destId="{EA4144E0-C5B2-4FC0-BDB2-550B61DB7DFD}" srcOrd="0" destOrd="0" presId="urn:microsoft.com/office/officeart/2005/8/layout/radial1"/>
    <dgm:cxn modelId="{B0570C1A-F31E-44F8-8DE7-13C36503EF68}"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84" minVer="http://schemas.openxmlformats.org/drawingml/2006/diagram"/>
    </a:ext>
    <a:ext uri="{C62137D5-CB1D-491B-B009-E17868A290BF}">
      <dgm14:recolorImg xmlns:dgm14="http://schemas.microsoft.com/office/drawing/2010/diagram" val="1"/>
    </a:ext>
  </dgm:extLst>
</dgm:dataModel>
</file>

<file path=word/diagrams/data8.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dgm:t>
        <a:bodyPr/>
        <a:lstStyle/>
        <a:p>
          <a:r>
            <a:rPr lang="en-US" sz="1200">
              <a:latin typeface="Arial" panose="020B0604020202020204" pitchFamily="34" charset="0"/>
              <a:cs typeface="Arial" panose="020B0604020202020204" pitchFamily="34" charset="0"/>
            </a:rPr>
            <a:t>Programa 7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20 </a:t>
          </a:r>
        </a:p>
        <a:p>
          <a:r>
            <a:rPr lang="en-US" sz="900">
              <a:latin typeface="Arial" panose="020B0604020202020204" pitchFamily="34" charset="0"/>
              <a:cs typeface="Arial" panose="020B0604020202020204" pitchFamily="34" charset="0"/>
            </a:rPr>
            <a:t>Relaciones exteriores</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dgm:t>
        <a:bodyPr/>
        <a:lstStyle/>
        <a:p>
          <a:endParaRPr lang="en-US"/>
        </a:p>
      </dgm:t>
    </dgm:pt>
    <dgm:pt modelId="{44FBC2E2-D754-42C1-BEE4-69029644251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18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endParaRPr lang="en-US" sz="900">
            <a:latin typeface="Arial" panose="020B0604020202020204" pitchFamily="34" charset="0"/>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dgm:t>
        <a:bodyPr/>
        <a:lstStyle/>
        <a:p>
          <a:endParaRPr lang="en-US"/>
        </a:p>
      </dgm:t>
    </dgm:pt>
    <dgm:pt modelId="{2628F477-2289-4CEE-9618-96DDAFCD4291}">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17 </a:t>
          </a:r>
        </a:p>
        <a:p>
          <a:r>
            <a:rPr lang="en-US" sz="900">
              <a:latin typeface="Arial" panose="020B0604020202020204" pitchFamily="34" charset="0"/>
              <a:cs typeface="Arial" panose="020B0604020202020204" pitchFamily="34" charset="0"/>
            </a:rPr>
            <a:t>Fomentar el respeto por la P.I.</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dgm:t>
        <a:bodyPr/>
        <a:lstStyle/>
        <a:p>
          <a:endParaRPr lang="en-US"/>
        </a:p>
      </dgm:t>
    </dgm:pt>
    <dgm:pt modelId="{7C1FA040-4399-40F0-866F-845B7914F68D}">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10 </a:t>
          </a:r>
        </a:p>
        <a:p>
          <a:r>
            <a:rPr lang="es-ES_tradnl" sz="900">
              <a:latin typeface="Arial" panose="020B0604020202020204" pitchFamily="34" charset="0"/>
              <a:cs typeface="Arial" panose="020B0604020202020204" pitchFamily="34" charset="0"/>
            </a:rPr>
            <a:t>Países T/D</a:t>
          </a:r>
          <a:endParaRPr lang="en-US" sz="900">
            <a:latin typeface="Arial" panose="020B0604020202020204" pitchFamily="34" charset="0"/>
            <a:cs typeface="Arial" panose="020B0604020202020204" pitchFamily="34" charset="0"/>
          </a:endParaRP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dgm:t>
        <a:bodyPr/>
        <a:lstStyle/>
        <a:p>
          <a:endParaRPr lang="en-US"/>
        </a:p>
      </dgm:t>
    </dgm:pt>
    <dgm:pt modelId="{14602118-D739-48CC-85E0-791974AFA995}">
      <dgm:prSet phldrT="[Text]" custT="1"/>
      <dgm:spPr>
        <a:solidFill>
          <a:schemeClr val="accent1">
            <a:lumMod val="40000"/>
            <a:lumOff val="60000"/>
          </a:schemeClr>
        </a:solidFill>
      </dgm:spPr>
      <dgm:t>
        <a:bodyPr/>
        <a:lstStyle/>
        <a:p>
          <a:r>
            <a:rPr lang="en-US" sz="1000">
              <a:latin typeface="Arial" panose="020B0604020202020204" pitchFamily="34" charset="0"/>
              <a:cs typeface="Arial" panose="020B0604020202020204" pitchFamily="34" charset="0"/>
            </a:rPr>
            <a:t>Programa 9</a:t>
          </a:r>
        </a:p>
        <a:p>
          <a:r>
            <a:rPr lang="en-US" sz="900">
              <a:latin typeface="Arial" panose="020B0604020202020204" pitchFamily="34" charset="0"/>
              <a:cs typeface="Arial" panose="020B0604020202020204" pitchFamily="34" charset="0"/>
            </a:rPr>
            <a:t> Oficinas regionales en la sede</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dgm:t>
        <a:bodyPr/>
        <a:lstStyle/>
        <a:p>
          <a:endParaRPr lang="en-US"/>
        </a:p>
      </dgm:t>
    </dgm:pt>
    <dgm:pt modelId="{DB0D84B1-C440-4746-9EEF-F1ED71D64DD2}">
      <dgm:prSet phldrT="[Text]" custT="1"/>
      <dgm:spPr>
        <a:solidFill>
          <a:schemeClr val="accent1">
            <a:lumMod val="40000"/>
            <a:lumOff val="60000"/>
          </a:schemeClr>
        </a:solidFill>
      </dgm:spPr>
      <dgm:t>
        <a:bodyPr lIns="0" rIns="0"/>
        <a:lstStyle/>
        <a:p>
          <a:r>
            <a:rPr lang="en-US" sz="1000">
              <a:latin typeface="Arial" panose="020B0604020202020204" pitchFamily="34" charset="0"/>
              <a:cs typeface="Arial" panose="020B0604020202020204" pitchFamily="34" charset="0"/>
            </a:rPr>
            <a:t>Programa 6</a:t>
          </a:r>
        </a:p>
        <a:p>
          <a:r>
            <a:rPr lang="en-US" sz="900">
              <a:latin typeface="Arial" panose="020B0604020202020204" pitchFamily="34" charset="0"/>
              <a:cs typeface="Arial" panose="020B0604020202020204" pitchFamily="34" charset="0"/>
            </a:rPr>
            <a:t>Sistemas de Madrid y de Lisboa</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dgm:t>
        <a:bodyPr/>
        <a:lstStyle/>
        <a:p>
          <a:endParaRPr lang="en-US"/>
        </a:p>
      </dgm:t>
    </dgm:pt>
    <dgm:pt modelId="{6DAE892F-3F2D-42A5-BB1C-58D0E6BD9A47}">
      <dgm:prSet phldrT="[Text]" custT="1"/>
      <dgm:spPr>
        <a:solidFill>
          <a:schemeClr val="accent1">
            <a:lumMod val="40000"/>
            <a:lumOff val="60000"/>
          </a:schemeClr>
        </a:solidFill>
      </dgm:spPr>
      <dgm:t>
        <a:bodyPr lIns="0" rIns="0" bIns="0"/>
        <a:lstStyle/>
        <a:p>
          <a:r>
            <a:rPr lang="en-US" sz="1000">
              <a:latin typeface="Arial" panose="020B0604020202020204" pitchFamily="34" charset="0"/>
              <a:cs typeface="Arial" panose="020B0604020202020204" pitchFamily="34" charset="0"/>
            </a:rPr>
            <a:t>Programa 5 </a:t>
          </a:r>
        </a:p>
        <a:p>
          <a:r>
            <a:rPr lang="en-US" sz="900">
              <a:latin typeface="Arial" panose="020B0604020202020204" pitchFamily="34" charset="0"/>
              <a:cs typeface="Arial" panose="020B0604020202020204" pitchFamily="34" charset="0"/>
            </a:rPr>
            <a:t>PCT</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dgm:t>
        <a:bodyPr/>
        <a:lstStyle/>
        <a:p>
          <a:endParaRPr lang="en-US"/>
        </a:p>
      </dgm:t>
    </dgm:pt>
    <dgm:pt modelId="{898446A3-EA8C-4C13-8A65-DF8A110D0838}">
      <dgm:prSet phldrT="[Text]" custT="1"/>
      <dgm:spPr>
        <a:solidFill>
          <a:schemeClr val="accent1">
            <a:lumMod val="40000"/>
            <a:lumOff val="60000"/>
          </a:schemeClr>
        </a:solidFill>
      </dgm:spPr>
      <dgm:t>
        <a:bodyPr lIns="0" rIns="0" bIns="0"/>
        <a:lstStyle/>
        <a:p>
          <a:r>
            <a:rPr lang="en-US" sz="1000">
              <a:latin typeface="Arial" panose="020B0604020202020204" pitchFamily="34" charset="0"/>
              <a:cs typeface="Arial" panose="020B0604020202020204" pitchFamily="34" charset="0"/>
            </a:rPr>
            <a:t>Programa 3 </a:t>
          </a:r>
        </a:p>
        <a:p>
          <a:r>
            <a:rPr lang="en-US" sz="900">
              <a:latin typeface="Arial" panose="020B0604020202020204" pitchFamily="34" charset="0"/>
              <a:cs typeface="Arial" panose="020B0604020202020204" pitchFamily="34" charset="0"/>
            </a:rPr>
            <a:t>D.A.D.C.</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dgm:t>
        <a:bodyPr/>
        <a:lstStyle/>
        <a:p>
          <a:endParaRPr lang="en-US"/>
        </a:p>
      </dgm:t>
    </dgm:pt>
    <dgm:pt modelId="{68A5766F-115C-487E-B7CB-4ADE150678D1}">
      <dgm:prSet phldrT="[Text]" custT="1"/>
      <dgm:spPr>
        <a:solidFill>
          <a:schemeClr val="accent1">
            <a:lumMod val="40000"/>
            <a:lumOff val="60000"/>
          </a:schemeClr>
        </a:solidFill>
      </dgm:spPr>
      <dgm:t>
        <a:bodyPr lIns="0" tIns="0" rIns="0" bIns="0"/>
        <a:lstStyle/>
        <a:p>
          <a:r>
            <a:rPr lang="en-US" sz="1000">
              <a:latin typeface="Arial" panose="020B0604020202020204" pitchFamily="34" charset="0"/>
              <a:cs typeface="Arial" panose="020B0604020202020204" pitchFamily="34" charset="0"/>
            </a:rPr>
            <a:t>Programa 2 </a:t>
          </a:r>
        </a:p>
        <a:p>
          <a:r>
            <a:rPr lang="en-US" sz="900">
              <a:latin typeface="Arial" panose="020B0604020202020204" pitchFamily="34" charset="0"/>
              <a:cs typeface="Arial" panose="020B0604020202020204" pitchFamily="34" charset="0"/>
            </a:rPr>
            <a:t>Marcas, DD.II. e II.GG.</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dgm:t>
        <a:bodyPr/>
        <a:lstStyle/>
        <a:p>
          <a:endParaRPr lang="en-US"/>
        </a:p>
      </dgm:t>
    </dgm:pt>
    <dgm:pt modelId="{3869496C-0E19-4CE4-AC4D-8E2619BF9D68}">
      <dgm:prSet phldrT="[Text]" custT="1"/>
      <dgm:spPr>
        <a:solidFill>
          <a:schemeClr val="accent1">
            <a:lumMod val="40000"/>
            <a:lumOff val="60000"/>
          </a:schemeClr>
        </a:solidFill>
      </dgm:spPr>
      <dgm:t>
        <a:bodyPr lIns="0" tIns="0" rIns="0" bIns="0"/>
        <a:lstStyle/>
        <a:p>
          <a:r>
            <a:rPr lang="en-US" sz="1000">
              <a:latin typeface="Arial" panose="020B0604020202020204" pitchFamily="34" charset="0"/>
              <a:cs typeface="Arial" panose="020B0604020202020204" pitchFamily="34" charset="0"/>
            </a:rPr>
            <a:t>Programa 31 </a:t>
          </a:r>
        </a:p>
        <a:p>
          <a:r>
            <a:rPr lang="en-US" sz="900">
              <a:latin typeface="Arial" panose="020B0604020202020204" pitchFamily="34" charset="0"/>
              <a:cs typeface="Arial" panose="020B0604020202020204" pitchFamily="34" charset="0"/>
            </a:rPr>
            <a:t>Sistema de La Haya</a:t>
          </a:r>
        </a:p>
      </dgm:t>
    </dgm:pt>
    <dgm:pt modelId="{AD80D2A2-2CDC-439E-8A80-49FDDE50F566}" type="parTrans" cxnId="{A5794848-FA88-45E4-9420-D1C7392B5B45}">
      <dgm:prSet/>
      <dgm:spPr/>
      <dgm:t>
        <a:bodyPr/>
        <a:lstStyle/>
        <a:p>
          <a:endParaRPr lang="en-US"/>
        </a:p>
      </dgm:t>
    </dgm:pt>
    <dgm:pt modelId="{3C80BB14-F31D-405F-A95F-B4434486AD2E}" type="sibTrans" cxnId="{A5794848-FA88-45E4-9420-D1C7392B5B45}">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23278" custLinFactNeighborX="4188" custLinFactNeighborY="-7538"/>
      <dgm:spPr/>
      <dgm:t>
        <a:bodyPr/>
        <a:lstStyle/>
        <a:p>
          <a:endParaRPr lang="en-US"/>
        </a:p>
      </dgm:t>
    </dgm:pt>
    <dgm:pt modelId="{E6ACA703-0949-41B3-BE6B-C702E5C7275F}" type="pres">
      <dgm:prSet presAssocID="{BA28F4A6-AD16-499D-88C1-DBE004B28175}" presName="Name9" presStyleLbl="parChTrans1D2" presStyleIdx="0" presStyleCnt="10"/>
      <dgm:spPr/>
      <dgm:t>
        <a:bodyPr/>
        <a:lstStyle/>
        <a:p>
          <a:endParaRPr lang="en-US"/>
        </a:p>
      </dgm:t>
    </dgm:pt>
    <dgm:pt modelId="{B06AADB2-5D51-41DC-8677-C0CC2357518B}" type="pres">
      <dgm:prSet presAssocID="{BA28F4A6-AD16-499D-88C1-DBE004B28175}" presName="connTx" presStyleLbl="parChTrans1D2" presStyleIdx="0" presStyleCnt="10"/>
      <dgm:spPr/>
      <dgm:t>
        <a:bodyPr/>
        <a:lstStyle/>
        <a:p>
          <a:endParaRPr lang="en-US"/>
        </a:p>
      </dgm:t>
    </dgm:pt>
    <dgm:pt modelId="{AFD0CC05-9AD4-4A51-8739-4FB4CA1E4ACE}" type="pres">
      <dgm:prSet presAssocID="{68A5766F-115C-487E-B7CB-4ADE150678D1}" presName="node" presStyleLbl="node1" presStyleIdx="0" presStyleCnt="10" custScaleX="220050" custScaleY="111529" custRadScaleRad="100976" custRadScaleInc="23834">
        <dgm:presLayoutVars>
          <dgm:bulletEnabled val="1"/>
        </dgm:presLayoutVars>
      </dgm:prSet>
      <dgm:spPr/>
      <dgm:t>
        <a:bodyPr/>
        <a:lstStyle/>
        <a:p>
          <a:endParaRPr lang="en-US"/>
        </a:p>
      </dgm:t>
    </dgm:pt>
    <dgm:pt modelId="{34515D96-C834-4D67-AF5C-3B293601CBC3}" type="pres">
      <dgm:prSet presAssocID="{DB9FEC62-86A7-454A-89B3-F32F1907C71A}" presName="Name9" presStyleLbl="parChTrans1D2" presStyleIdx="1" presStyleCnt="10"/>
      <dgm:spPr/>
      <dgm:t>
        <a:bodyPr/>
        <a:lstStyle/>
        <a:p>
          <a:endParaRPr lang="en-US"/>
        </a:p>
      </dgm:t>
    </dgm:pt>
    <dgm:pt modelId="{A8CF68B1-7D91-429E-8C8D-53007288E1DC}" type="pres">
      <dgm:prSet presAssocID="{DB9FEC62-86A7-454A-89B3-F32F1907C71A}" presName="connTx" presStyleLbl="parChTrans1D2" presStyleIdx="1" presStyleCnt="10"/>
      <dgm:spPr/>
      <dgm:t>
        <a:bodyPr/>
        <a:lstStyle/>
        <a:p>
          <a:endParaRPr lang="en-US"/>
        </a:p>
      </dgm:t>
    </dgm:pt>
    <dgm:pt modelId="{D9366F31-B7D7-4B43-830C-AD5E2193A794}" type="pres">
      <dgm:prSet presAssocID="{898446A3-EA8C-4C13-8A65-DF8A110D0838}" presName="node" presStyleLbl="node1" presStyleIdx="1" presStyleCnt="10" custScaleX="207445" custRadScaleRad="140761" custRadScaleInc="83846">
        <dgm:presLayoutVars>
          <dgm:bulletEnabled val="1"/>
        </dgm:presLayoutVars>
      </dgm:prSet>
      <dgm:spPr/>
      <dgm:t>
        <a:bodyPr/>
        <a:lstStyle/>
        <a:p>
          <a:endParaRPr lang="en-US"/>
        </a:p>
      </dgm:t>
    </dgm:pt>
    <dgm:pt modelId="{5CF8296B-0142-429D-A71A-20799D2EB74B}" type="pres">
      <dgm:prSet presAssocID="{D22DE764-173E-47DF-9480-722F8D8EA62C}" presName="Name9" presStyleLbl="parChTrans1D2" presStyleIdx="2" presStyleCnt="10"/>
      <dgm:spPr/>
      <dgm:t>
        <a:bodyPr/>
        <a:lstStyle/>
        <a:p>
          <a:endParaRPr lang="en-US"/>
        </a:p>
      </dgm:t>
    </dgm:pt>
    <dgm:pt modelId="{48797E66-4F8B-4B79-BCA7-6F88E85CF835}" type="pres">
      <dgm:prSet presAssocID="{D22DE764-173E-47DF-9480-722F8D8EA62C}" presName="connTx" presStyleLbl="parChTrans1D2" presStyleIdx="2" presStyleCnt="10"/>
      <dgm:spPr/>
      <dgm:t>
        <a:bodyPr/>
        <a:lstStyle/>
        <a:p>
          <a:endParaRPr lang="en-US"/>
        </a:p>
      </dgm:t>
    </dgm:pt>
    <dgm:pt modelId="{7E7DDE23-6C04-407D-AAB6-669511EA704E}" type="pres">
      <dgm:prSet presAssocID="{6DAE892F-3F2D-42A5-BB1C-58D0E6BD9A47}" presName="node" presStyleLbl="node1" presStyleIdx="2" presStyleCnt="10" custScaleX="217893" custRadScaleRad="191483" custRadScaleInc="10517">
        <dgm:presLayoutVars>
          <dgm:bulletEnabled val="1"/>
        </dgm:presLayoutVars>
      </dgm:prSet>
      <dgm:spPr/>
      <dgm:t>
        <a:bodyPr/>
        <a:lstStyle/>
        <a:p>
          <a:endParaRPr lang="en-US"/>
        </a:p>
      </dgm:t>
    </dgm:pt>
    <dgm:pt modelId="{DC281168-2DBC-4CFB-B21D-C54E9628B383}" type="pres">
      <dgm:prSet presAssocID="{9E510621-404D-46D6-8EB3-39712C8626D4}" presName="Name9" presStyleLbl="parChTrans1D2" presStyleIdx="3" presStyleCnt="10"/>
      <dgm:spPr/>
      <dgm:t>
        <a:bodyPr/>
        <a:lstStyle/>
        <a:p>
          <a:endParaRPr lang="en-US"/>
        </a:p>
      </dgm:t>
    </dgm:pt>
    <dgm:pt modelId="{0D3BFC0A-5ED4-4CCF-A336-A529B3363890}" type="pres">
      <dgm:prSet presAssocID="{9E510621-404D-46D6-8EB3-39712C8626D4}" presName="connTx" presStyleLbl="parChTrans1D2" presStyleIdx="3" presStyleCnt="10"/>
      <dgm:spPr/>
      <dgm:t>
        <a:bodyPr/>
        <a:lstStyle/>
        <a:p>
          <a:endParaRPr lang="en-US"/>
        </a:p>
      </dgm:t>
    </dgm:pt>
    <dgm:pt modelId="{66DADE40-99AE-41BE-B997-129EED231064}" type="pres">
      <dgm:prSet presAssocID="{DB0D84B1-C440-4746-9EEF-F1ED71D64DD2}" presName="node" presStyleLbl="node1" presStyleIdx="3" presStyleCnt="10" custScaleX="263276" custScaleY="112032" custRadScaleRad="188111" custRadScaleInc="-97025">
        <dgm:presLayoutVars>
          <dgm:bulletEnabled val="1"/>
        </dgm:presLayoutVars>
      </dgm:prSet>
      <dgm:spPr/>
      <dgm:t>
        <a:bodyPr/>
        <a:lstStyle/>
        <a:p>
          <a:endParaRPr lang="en-US"/>
        </a:p>
      </dgm:t>
    </dgm:pt>
    <dgm:pt modelId="{4DF1B0BE-A63A-4BEA-9EE5-4168481CC99E}" type="pres">
      <dgm:prSet presAssocID="{3F89048A-3F9F-4897-8631-4599F4976029}" presName="Name9" presStyleLbl="parChTrans1D2" presStyleIdx="4" presStyleCnt="10"/>
      <dgm:spPr/>
      <dgm:t>
        <a:bodyPr/>
        <a:lstStyle/>
        <a:p>
          <a:endParaRPr lang="en-US"/>
        </a:p>
      </dgm:t>
    </dgm:pt>
    <dgm:pt modelId="{32B4D7AF-BD29-4AC4-BA11-37F2AE9561F4}" type="pres">
      <dgm:prSet presAssocID="{3F89048A-3F9F-4897-8631-4599F4976029}" presName="connTx" presStyleLbl="parChTrans1D2" presStyleIdx="4" presStyleCnt="10"/>
      <dgm:spPr/>
      <dgm:t>
        <a:bodyPr/>
        <a:lstStyle/>
        <a:p>
          <a:endParaRPr lang="en-US"/>
        </a:p>
      </dgm:t>
    </dgm:pt>
    <dgm:pt modelId="{DB594876-4070-4577-942D-67F5CD4D6A19}" type="pres">
      <dgm:prSet presAssocID="{14602118-D739-48CC-85E0-791974AFA995}" presName="node" presStyleLbl="node1" presStyleIdx="4" presStyleCnt="10" custScaleX="278814" custScaleY="98925" custRadScaleRad="157271" custRadScaleInc="-183621">
        <dgm:presLayoutVars>
          <dgm:bulletEnabled val="1"/>
        </dgm:presLayoutVars>
      </dgm:prSet>
      <dgm:spPr/>
      <dgm:t>
        <a:bodyPr/>
        <a:lstStyle/>
        <a:p>
          <a:endParaRPr lang="en-US"/>
        </a:p>
      </dgm:t>
    </dgm:pt>
    <dgm:pt modelId="{E49C447F-3477-4311-B10B-FFFA7DE7209F}" type="pres">
      <dgm:prSet presAssocID="{98585C11-761C-43C4-979D-FB1B8BABF102}" presName="Name9" presStyleLbl="parChTrans1D2" presStyleIdx="5" presStyleCnt="10"/>
      <dgm:spPr/>
      <dgm:t>
        <a:bodyPr/>
        <a:lstStyle/>
        <a:p>
          <a:endParaRPr lang="en-US"/>
        </a:p>
      </dgm:t>
    </dgm:pt>
    <dgm:pt modelId="{B930024E-8665-4782-9C41-36517A71FCD4}" type="pres">
      <dgm:prSet presAssocID="{98585C11-761C-43C4-979D-FB1B8BABF102}" presName="connTx" presStyleLbl="parChTrans1D2" presStyleIdx="5" presStyleCnt="10"/>
      <dgm:spPr/>
      <dgm:t>
        <a:bodyPr/>
        <a:lstStyle/>
        <a:p>
          <a:endParaRPr lang="en-US"/>
        </a:p>
      </dgm:t>
    </dgm:pt>
    <dgm:pt modelId="{69F18085-0AC3-4BAE-9B16-F8478FFBD61E}" type="pres">
      <dgm:prSet presAssocID="{7C1FA040-4399-40F0-866F-845B7914F68D}" presName="node" presStyleLbl="node1" presStyleIdx="5" presStyleCnt="10" custScaleX="228842" custRadScaleRad="74335" custRadScaleInc="-124162">
        <dgm:presLayoutVars>
          <dgm:bulletEnabled val="1"/>
        </dgm:presLayoutVars>
      </dgm:prSet>
      <dgm:spPr/>
      <dgm:t>
        <a:bodyPr/>
        <a:lstStyle/>
        <a:p>
          <a:endParaRPr lang="en-US"/>
        </a:p>
      </dgm:t>
    </dgm:pt>
    <dgm:pt modelId="{FCC14444-D5E7-4E9C-B980-A27CD799E442}" type="pres">
      <dgm:prSet presAssocID="{DEF73824-C893-4963-9504-7E97D2FF5253}" presName="Name9" presStyleLbl="parChTrans1D2" presStyleIdx="6" presStyleCnt="10"/>
      <dgm:spPr/>
      <dgm:t>
        <a:bodyPr/>
        <a:lstStyle/>
        <a:p>
          <a:endParaRPr lang="en-US"/>
        </a:p>
      </dgm:t>
    </dgm:pt>
    <dgm:pt modelId="{3EA6B60F-F2E8-4D48-9EC1-CAAE09243949}" type="pres">
      <dgm:prSet presAssocID="{DEF73824-C893-4963-9504-7E97D2FF5253}" presName="connTx" presStyleLbl="parChTrans1D2" presStyleIdx="6" presStyleCnt="10"/>
      <dgm:spPr/>
      <dgm:t>
        <a:bodyPr/>
        <a:lstStyle/>
        <a:p>
          <a:endParaRPr lang="en-US"/>
        </a:p>
      </dgm:t>
    </dgm:pt>
    <dgm:pt modelId="{49C45DFA-0A15-4DAA-80DC-CAE4ABCC6B43}" type="pres">
      <dgm:prSet presAssocID="{2628F477-2289-4CEE-9618-96DDAFCD4291}" presName="node" presStyleLbl="node1" presStyleIdx="6" presStyleCnt="10" custScaleX="253989" custScaleY="109229" custRadScaleRad="109677" custRadScaleInc="120656">
        <dgm:presLayoutVars>
          <dgm:bulletEnabled val="1"/>
        </dgm:presLayoutVars>
      </dgm:prSet>
      <dgm:spPr/>
      <dgm:t>
        <a:bodyPr/>
        <a:lstStyle/>
        <a:p>
          <a:endParaRPr lang="en-US"/>
        </a:p>
      </dgm:t>
    </dgm:pt>
    <dgm:pt modelId="{7B59CB2C-C82F-41EE-B3CF-ADD4878ADBA6}" type="pres">
      <dgm:prSet presAssocID="{2F72DDEE-62D3-48A5-836A-4C87596541F0}" presName="Name9" presStyleLbl="parChTrans1D2" presStyleIdx="7" presStyleCnt="10"/>
      <dgm:spPr/>
      <dgm:t>
        <a:bodyPr/>
        <a:lstStyle/>
        <a:p>
          <a:endParaRPr lang="en-US"/>
        </a:p>
      </dgm:t>
    </dgm:pt>
    <dgm:pt modelId="{280B3AB5-4999-4B99-8BE9-E09C9DF5D482}" type="pres">
      <dgm:prSet presAssocID="{2F72DDEE-62D3-48A5-836A-4C87596541F0}" presName="connTx" presStyleLbl="parChTrans1D2" presStyleIdx="7" presStyleCnt="10"/>
      <dgm:spPr/>
      <dgm:t>
        <a:bodyPr/>
        <a:lstStyle/>
        <a:p>
          <a:endParaRPr lang="en-US"/>
        </a:p>
      </dgm:t>
    </dgm:pt>
    <dgm:pt modelId="{402B25BB-F397-46B5-AAB7-C38C2276BF82}" type="pres">
      <dgm:prSet presAssocID="{44FBC2E2-D754-42C1-BEE4-690296442511}" presName="node" presStyleLbl="node1" presStyleIdx="7" presStyleCnt="10" custScaleX="285064" custScaleY="105604" custRadScaleRad="180961" custRadScaleInc="70653">
        <dgm:presLayoutVars>
          <dgm:bulletEnabled val="1"/>
        </dgm:presLayoutVars>
      </dgm:prSet>
      <dgm:spPr/>
      <dgm:t>
        <a:bodyPr/>
        <a:lstStyle/>
        <a:p>
          <a:endParaRPr lang="en-US"/>
        </a:p>
      </dgm:t>
    </dgm:pt>
    <dgm:pt modelId="{EFB9CB5A-411C-454B-96B1-9ED988829CBE}" type="pres">
      <dgm:prSet presAssocID="{B4A5C031-92B2-438E-80BC-EAA05F5C7CF7}" presName="Name9" presStyleLbl="parChTrans1D2" presStyleIdx="8" presStyleCnt="10"/>
      <dgm:spPr/>
      <dgm:t>
        <a:bodyPr/>
        <a:lstStyle/>
        <a:p>
          <a:endParaRPr lang="en-US"/>
        </a:p>
      </dgm:t>
    </dgm:pt>
    <dgm:pt modelId="{A140118B-14B1-45A7-9CF9-17E4D006F84D}" type="pres">
      <dgm:prSet presAssocID="{B4A5C031-92B2-438E-80BC-EAA05F5C7CF7}" presName="connTx" presStyleLbl="parChTrans1D2" presStyleIdx="8" presStyleCnt="10"/>
      <dgm:spPr/>
      <dgm:t>
        <a:bodyPr/>
        <a:lstStyle/>
        <a:p>
          <a:endParaRPr lang="en-US"/>
        </a:p>
      </dgm:t>
    </dgm:pt>
    <dgm:pt modelId="{5AF8D9AC-0C15-4D1B-BCD3-7FFCFF0A581D}" type="pres">
      <dgm:prSet presAssocID="{D460D018-736B-4CE5-A14B-061F8EFE829B}" presName="node" presStyleLbl="node1" presStyleIdx="8" presStyleCnt="10" custScaleX="224032" custScaleY="117447" custRadScaleRad="174147" custRadScaleInc="-23480">
        <dgm:presLayoutVars>
          <dgm:bulletEnabled val="1"/>
        </dgm:presLayoutVars>
      </dgm:prSet>
      <dgm:spPr/>
      <dgm:t>
        <a:bodyPr/>
        <a:lstStyle/>
        <a:p>
          <a:endParaRPr lang="en-US"/>
        </a:p>
      </dgm:t>
    </dgm:pt>
    <dgm:pt modelId="{5DC5D51E-945B-4CCC-B580-737CA66D42E3}" type="pres">
      <dgm:prSet presAssocID="{AD80D2A2-2CDC-439E-8A80-49FDDE50F566}" presName="Name9" presStyleLbl="parChTrans1D2" presStyleIdx="9" presStyleCnt="10"/>
      <dgm:spPr/>
      <dgm:t>
        <a:bodyPr/>
        <a:lstStyle/>
        <a:p>
          <a:endParaRPr lang="en-US"/>
        </a:p>
      </dgm:t>
    </dgm:pt>
    <dgm:pt modelId="{653D05C2-436A-4268-A4B1-DA090CACDDFB}" type="pres">
      <dgm:prSet presAssocID="{AD80D2A2-2CDC-439E-8A80-49FDDE50F566}" presName="connTx" presStyleLbl="parChTrans1D2" presStyleIdx="9" presStyleCnt="10"/>
      <dgm:spPr/>
      <dgm:t>
        <a:bodyPr/>
        <a:lstStyle/>
        <a:p>
          <a:endParaRPr lang="en-US"/>
        </a:p>
      </dgm:t>
    </dgm:pt>
    <dgm:pt modelId="{26661F75-1D9F-48E2-8FB0-82462D91AB89}" type="pres">
      <dgm:prSet presAssocID="{3869496C-0E19-4CE4-AC4D-8E2619BF9D68}" presName="node" presStyleLbl="node1" presStyleIdx="9" presStyleCnt="10" custScaleX="251960" custScaleY="91888" custRadScaleRad="132823" custRadScaleInc="-81638">
        <dgm:presLayoutVars>
          <dgm:bulletEnabled val="1"/>
        </dgm:presLayoutVars>
      </dgm:prSet>
      <dgm:spPr/>
      <dgm:t>
        <a:bodyPr/>
        <a:lstStyle/>
        <a:p>
          <a:endParaRPr lang="en-US"/>
        </a:p>
      </dgm:t>
    </dgm:pt>
  </dgm:ptLst>
  <dgm:cxnLst>
    <dgm:cxn modelId="{6B89E6E6-6C97-4FBD-A5C7-F064EDF11A71}" type="presOf" srcId="{B4A5C031-92B2-438E-80BC-EAA05F5C7CF7}" destId="{A140118B-14B1-45A7-9CF9-17E4D006F84D}" srcOrd="1" destOrd="0" presId="urn:microsoft.com/office/officeart/2005/8/layout/radial1"/>
    <dgm:cxn modelId="{FE1169E0-24DF-4FBB-A1C9-8F332C85663A}" srcId="{A7516A72-1FC0-46ED-AAC4-AF0F7063F737}" destId="{6DAE892F-3F2D-42A5-BB1C-58D0E6BD9A47}" srcOrd="2" destOrd="0" parTransId="{D22DE764-173E-47DF-9480-722F8D8EA62C}" sibTransId="{28BD2EB6-8814-456D-B684-C7C0E2C0705F}"/>
    <dgm:cxn modelId="{0A379334-71BD-424C-85CD-CB13DAC1FDBD}" type="presOf" srcId="{DB9FEC62-86A7-454A-89B3-F32F1907C71A}" destId="{A8CF68B1-7D91-429E-8C8D-53007288E1DC}" srcOrd="1" destOrd="0" presId="urn:microsoft.com/office/officeart/2005/8/layout/radial1"/>
    <dgm:cxn modelId="{E9743A08-6908-4499-8570-8F933C01645A}" type="presOf" srcId="{B4A5C031-92B2-438E-80BC-EAA05F5C7CF7}" destId="{EFB9CB5A-411C-454B-96B1-9ED988829CBE}" srcOrd="0" destOrd="0" presId="urn:microsoft.com/office/officeart/2005/8/layout/radial1"/>
    <dgm:cxn modelId="{6E43EE59-A562-46AB-92F2-0C255DF65BC6}" type="presOf" srcId="{D22DE764-173E-47DF-9480-722F8D8EA62C}" destId="{5CF8296B-0142-429D-A71A-20799D2EB74B}" srcOrd="0" destOrd="0" presId="urn:microsoft.com/office/officeart/2005/8/layout/radial1"/>
    <dgm:cxn modelId="{FC891681-F03E-40AE-9B05-DF712D66D4A4}" type="presOf" srcId="{A7516A72-1FC0-46ED-AAC4-AF0F7063F737}" destId="{493DA7EC-5D69-41B7-92E4-ED7ED9F48883}" srcOrd="0" destOrd="0" presId="urn:microsoft.com/office/officeart/2005/8/layout/radial1"/>
    <dgm:cxn modelId="{DFD6FBCD-F178-47D5-8C2F-6B95B7E4D33A}" type="presOf" srcId="{3F89048A-3F9F-4897-8631-4599F4976029}" destId="{4DF1B0BE-A63A-4BEA-9EE5-4168481CC99E}" srcOrd="0" destOrd="0" presId="urn:microsoft.com/office/officeart/2005/8/layout/radial1"/>
    <dgm:cxn modelId="{A68D6763-567D-4132-A0E9-EA008A26899F}" type="presOf" srcId="{BA28F4A6-AD16-499D-88C1-DBE004B28175}" destId="{B06AADB2-5D51-41DC-8677-C0CC2357518B}" srcOrd="1" destOrd="0" presId="urn:microsoft.com/office/officeart/2005/8/layout/radial1"/>
    <dgm:cxn modelId="{E9E38199-7064-443F-9E64-9EFEF7D7101F}" type="presOf" srcId="{3F89048A-3F9F-4897-8631-4599F4976029}" destId="{32B4D7AF-BD29-4AC4-BA11-37F2AE9561F4}" srcOrd="1" destOrd="0" presId="urn:microsoft.com/office/officeart/2005/8/layout/radial1"/>
    <dgm:cxn modelId="{B04D61F9-25F9-40EF-A37E-5E57BF90AB29}" type="presOf" srcId="{2F72DDEE-62D3-48A5-836A-4C87596541F0}" destId="{7B59CB2C-C82F-41EE-B3CF-ADD4878ADBA6}" srcOrd="0" destOrd="0" presId="urn:microsoft.com/office/officeart/2005/8/layout/radial1"/>
    <dgm:cxn modelId="{17F808DF-9CAE-4301-AE60-F941AF42D130}" type="presOf" srcId="{6DAE892F-3F2D-42A5-BB1C-58D0E6BD9A47}" destId="{7E7DDE23-6C04-407D-AAB6-669511EA704E}" srcOrd="0" destOrd="0" presId="urn:microsoft.com/office/officeart/2005/8/layout/radial1"/>
    <dgm:cxn modelId="{F77CAEE0-0F42-4077-826B-7855A6B9FD74}" type="presOf" srcId="{44FBC2E2-D754-42C1-BEE4-690296442511}" destId="{402B25BB-F397-46B5-AAB7-C38C2276BF82}" srcOrd="0" destOrd="0" presId="urn:microsoft.com/office/officeart/2005/8/layout/radial1"/>
    <dgm:cxn modelId="{4A544E2F-3C40-4F77-8CB0-060F68ADEBB9}" type="presOf" srcId="{DEF73824-C893-4963-9504-7E97D2FF5253}" destId="{3EA6B60F-F2E8-4D48-9EC1-CAAE09243949}" srcOrd="1" destOrd="0" presId="urn:microsoft.com/office/officeart/2005/8/layout/radial1"/>
    <dgm:cxn modelId="{A1357B0A-C240-4A91-89D8-A39634308683}" srcId="{A7516A72-1FC0-46ED-AAC4-AF0F7063F737}" destId="{44FBC2E2-D754-42C1-BEE4-690296442511}" srcOrd="7" destOrd="0" parTransId="{2F72DDEE-62D3-48A5-836A-4C87596541F0}" sibTransId="{A8D506B7-E9B0-4378-B011-FCC599FE960D}"/>
    <dgm:cxn modelId="{2F975EBB-FA11-4345-AA70-C0A5605693E0}" type="presOf" srcId="{AD80D2A2-2CDC-439E-8A80-49FDDE50F566}" destId="{5DC5D51E-945B-4CCC-B580-737CA66D42E3}" srcOrd="0" destOrd="0" presId="urn:microsoft.com/office/officeart/2005/8/layout/radial1"/>
    <dgm:cxn modelId="{B8F5BBF0-31FC-4510-94E3-080CFDF63466}" type="presOf" srcId="{3869496C-0E19-4CE4-AC4D-8E2619BF9D68}" destId="{26661F75-1D9F-48E2-8FB0-82462D91AB89}" srcOrd="0" destOrd="0" presId="urn:microsoft.com/office/officeart/2005/8/layout/radial1"/>
    <dgm:cxn modelId="{D702C044-7719-44A8-B6CB-1C8D23894E6F}" type="presOf" srcId="{D460D018-736B-4CE5-A14B-061F8EFE829B}" destId="{5AF8D9AC-0C15-4D1B-BCD3-7FFCFF0A581D}" srcOrd="0" destOrd="0" presId="urn:microsoft.com/office/officeart/2005/8/layout/radial1"/>
    <dgm:cxn modelId="{8BCA1205-1223-4DA5-A15E-8CCA2CA91692}" type="presOf" srcId="{DB9FEC62-86A7-454A-89B3-F32F1907C71A}" destId="{34515D96-C834-4D67-AF5C-3B293601CBC3}" srcOrd="0" destOrd="0" presId="urn:microsoft.com/office/officeart/2005/8/layout/radial1"/>
    <dgm:cxn modelId="{1E901D54-10CA-4E68-9AE3-281CCB27E5BF}" type="presOf" srcId="{9E510621-404D-46D6-8EB3-39712C8626D4}" destId="{0D3BFC0A-5ED4-4CCF-A336-A529B3363890}" srcOrd="1" destOrd="0" presId="urn:microsoft.com/office/officeart/2005/8/layout/radial1"/>
    <dgm:cxn modelId="{333E8F20-31E9-4D6F-9F31-24FBF63076E9}" srcId="{A7516A72-1FC0-46ED-AAC4-AF0F7063F737}" destId="{D460D018-736B-4CE5-A14B-061F8EFE829B}" srcOrd="8" destOrd="0" parTransId="{B4A5C031-92B2-438E-80BC-EAA05F5C7CF7}" sibTransId="{13E4242D-C1FF-4F31-B2EF-0F857644C218}"/>
    <dgm:cxn modelId="{C1A15E04-584A-4F41-9BC5-7A3AC458D740}" type="presOf" srcId="{98585C11-761C-43C4-979D-FB1B8BABF102}" destId="{E49C447F-3477-4311-B10B-FFFA7DE7209F}" srcOrd="0" destOrd="0" presId="urn:microsoft.com/office/officeart/2005/8/layout/radial1"/>
    <dgm:cxn modelId="{42CB3854-5800-4180-9575-703CEC2B12B9}" type="presOf" srcId="{68A5766F-115C-487E-B7CB-4ADE150678D1}" destId="{AFD0CC05-9AD4-4A51-8739-4FB4CA1E4ACE}"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1CB1D746-6246-45FA-A003-6423113DAA4F}" type="presOf" srcId="{BA28F4A6-AD16-499D-88C1-DBE004B28175}" destId="{E6ACA703-0949-41B3-BE6B-C702E5C7275F}" srcOrd="0" destOrd="0" presId="urn:microsoft.com/office/officeart/2005/8/layout/radial1"/>
    <dgm:cxn modelId="{DB08E122-64C2-429A-99D3-1659D309DE00}" type="presOf" srcId="{2F72DDEE-62D3-48A5-836A-4C87596541F0}" destId="{280B3AB5-4999-4B99-8BE9-E09C9DF5D482}" srcOrd="1" destOrd="0" presId="urn:microsoft.com/office/officeart/2005/8/layout/radial1"/>
    <dgm:cxn modelId="{A5794848-FA88-45E4-9420-D1C7392B5B45}" srcId="{A7516A72-1FC0-46ED-AAC4-AF0F7063F737}" destId="{3869496C-0E19-4CE4-AC4D-8E2619BF9D68}" srcOrd="9" destOrd="0" parTransId="{AD80D2A2-2CDC-439E-8A80-49FDDE50F566}" sibTransId="{3C80BB14-F31D-405F-A95F-B4434486AD2E}"/>
    <dgm:cxn modelId="{84826536-FF9D-47C5-902D-DB146A527C2A}" srcId="{A7516A72-1FC0-46ED-AAC4-AF0F7063F737}" destId="{68A5766F-115C-487E-B7CB-4ADE150678D1}" srcOrd="0" destOrd="0" parTransId="{BA28F4A6-AD16-499D-88C1-DBE004B28175}" sibTransId="{BA9B1909-6561-415A-8EF0-B53DE88FCEBA}"/>
    <dgm:cxn modelId="{FFB20C3A-A616-4250-A9F1-3FAAEFABDD59}" type="presOf" srcId="{14602118-D739-48CC-85E0-791974AFA995}" destId="{DB594876-4070-4577-942D-67F5CD4D6A19}" srcOrd="0" destOrd="0" presId="urn:microsoft.com/office/officeart/2005/8/layout/radial1"/>
    <dgm:cxn modelId="{CFB0AC9C-504D-4147-9A2D-246C409873CB}" type="presOf" srcId="{D981426F-5B7B-4AA5-957A-6E8C9E1A2487}" destId="{9D8B49BD-1DF7-4888-9A7E-2CFD4320CC2B}" srcOrd="0" destOrd="0" presId="urn:microsoft.com/office/officeart/2005/8/layout/radial1"/>
    <dgm:cxn modelId="{345C13DF-1D3F-4982-AF23-DC2641540559}" srcId="{A7516A72-1FC0-46ED-AAC4-AF0F7063F737}" destId="{7C1FA040-4399-40F0-866F-845B7914F68D}" srcOrd="5" destOrd="0" parTransId="{98585C11-761C-43C4-979D-FB1B8BABF102}" sibTransId="{82A7CC90-6A4C-422A-B221-BA4CF5B4D442}"/>
    <dgm:cxn modelId="{F5752964-0EF8-44D1-9F35-9161F93C3747}" type="presOf" srcId="{DEF73824-C893-4963-9504-7E97D2FF5253}" destId="{FCC14444-D5E7-4E9C-B980-A27CD799E442}" srcOrd="0" destOrd="0" presId="urn:microsoft.com/office/officeart/2005/8/layout/radial1"/>
    <dgm:cxn modelId="{C7DD68AE-99B2-4937-A127-D654A2E99784}" srcId="{A7516A72-1FC0-46ED-AAC4-AF0F7063F737}" destId="{DB0D84B1-C440-4746-9EEF-F1ED71D64DD2}" srcOrd="3" destOrd="0" parTransId="{9E510621-404D-46D6-8EB3-39712C8626D4}" sibTransId="{99C4878C-8523-40E3-93C5-8DC55D31DB77}"/>
    <dgm:cxn modelId="{CE981486-139C-4953-89F2-EF4ED723E5D6}" type="presOf" srcId="{898446A3-EA8C-4C13-8A65-DF8A110D0838}" destId="{D9366F31-B7D7-4B43-830C-AD5E2193A794}" srcOrd="0" destOrd="0" presId="urn:microsoft.com/office/officeart/2005/8/layout/radial1"/>
    <dgm:cxn modelId="{A2D60009-3D45-4AFD-B62C-3281405BEAA7}" type="presOf" srcId="{DB0D84B1-C440-4746-9EEF-F1ED71D64DD2}" destId="{66DADE40-99AE-41BE-B997-129EED231064}" srcOrd="0" destOrd="0" presId="urn:microsoft.com/office/officeart/2005/8/layout/radial1"/>
    <dgm:cxn modelId="{E5DD3C3F-F401-46C8-9D1F-CEE8478EFA81}" srcId="{A7516A72-1FC0-46ED-AAC4-AF0F7063F737}" destId="{2628F477-2289-4CEE-9618-96DDAFCD4291}" srcOrd="6" destOrd="0" parTransId="{DEF73824-C893-4963-9504-7E97D2FF5253}" sibTransId="{6D6ABE48-6FEB-4EAA-849C-585AC08FCF5B}"/>
    <dgm:cxn modelId="{40590D13-93AE-4BE1-9E64-ADF8678ACC5E}" type="presOf" srcId="{AD80D2A2-2CDC-439E-8A80-49FDDE50F566}" destId="{653D05C2-436A-4268-A4B1-DA090CACDDFB}" srcOrd="1" destOrd="0" presId="urn:microsoft.com/office/officeart/2005/8/layout/radial1"/>
    <dgm:cxn modelId="{753C5DDE-FE8C-4F89-9AB9-DA0553A1766D}" type="presOf" srcId="{2628F477-2289-4CEE-9618-96DDAFCD4291}" destId="{49C45DFA-0A15-4DAA-80DC-CAE4ABCC6B43}" srcOrd="0" destOrd="0" presId="urn:microsoft.com/office/officeart/2005/8/layout/radial1"/>
    <dgm:cxn modelId="{3138FD81-FCE3-4020-9313-BAD8BCAF820B}" srcId="{A7516A72-1FC0-46ED-AAC4-AF0F7063F737}" destId="{14602118-D739-48CC-85E0-791974AFA995}" srcOrd="4" destOrd="0" parTransId="{3F89048A-3F9F-4897-8631-4599F4976029}" sibTransId="{85730AA2-ED16-41DB-9898-B2A63ECD874D}"/>
    <dgm:cxn modelId="{75A32C1F-7BB6-4D8B-86AA-A32ED4412891}" type="presOf" srcId="{D22DE764-173E-47DF-9480-722F8D8EA62C}" destId="{48797E66-4F8B-4B79-BCA7-6F88E85CF835}"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56584A52-8B9F-4505-AD55-9D8EB2AC3BCD}" type="presOf" srcId="{9E510621-404D-46D6-8EB3-39712C8626D4}" destId="{DC281168-2DBC-4CFB-B21D-C54E9628B383}" srcOrd="0" destOrd="0" presId="urn:microsoft.com/office/officeart/2005/8/layout/radial1"/>
    <dgm:cxn modelId="{A7D81FE7-4F0A-4297-9A61-BCEAE9519CEF}" type="presOf" srcId="{98585C11-761C-43C4-979D-FB1B8BABF102}" destId="{B930024E-8665-4782-9C41-36517A71FCD4}" srcOrd="1" destOrd="0" presId="urn:microsoft.com/office/officeart/2005/8/layout/radial1"/>
    <dgm:cxn modelId="{3A4D922A-E9A8-43DD-A868-BB4EC8B276E6}" type="presOf" srcId="{7C1FA040-4399-40F0-866F-845B7914F68D}" destId="{69F18085-0AC3-4BAE-9B16-F8478FFBD61E}" srcOrd="0" destOrd="0" presId="urn:microsoft.com/office/officeart/2005/8/layout/radial1"/>
    <dgm:cxn modelId="{4D5A2D47-BB69-42B7-91D0-EC7785446AD0}" type="presParOf" srcId="{9D8B49BD-1DF7-4888-9A7E-2CFD4320CC2B}" destId="{493DA7EC-5D69-41B7-92E4-ED7ED9F48883}" srcOrd="0" destOrd="0" presId="urn:microsoft.com/office/officeart/2005/8/layout/radial1"/>
    <dgm:cxn modelId="{90D524A2-C266-4304-9F3F-8FB1C72CD813}" type="presParOf" srcId="{9D8B49BD-1DF7-4888-9A7E-2CFD4320CC2B}" destId="{E6ACA703-0949-41B3-BE6B-C702E5C7275F}" srcOrd="1" destOrd="0" presId="urn:microsoft.com/office/officeart/2005/8/layout/radial1"/>
    <dgm:cxn modelId="{CE57B1D7-700E-457B-B9EE-72F630B63C75}" type="presParOf" srcId="{E6ACA703-0949-41B3-BE6B-C702E5C7275F}" destId="{B06AADB2-5D51-41DC-8677-C0CC2357518B}" srcOrd="0" destOrd="0" presId="urn:microsoft.com/office/officeart/2005/8/layout/radial1"/>
    <dgm:cxn modelId="{7D4E543C-D5C0-4465-997D-1FF7543CE1BF}" type="presParOf" srcId="{9D8B49BD-1DF7-4888-9A7E-2CFD4320CC2B}" destId="{AFD0CC05-9AD4-4A51-8739-4FB4CA1E4ACE}" srcOrd="2" destOrd="0" presId="urn:microsoft.com/office/officeart/2005/8/layout/radial1"/>
    <dgm:cxn modelId="{5E3B407B-805F-4646-AA69-CFB0D8B0A4E1}" type="presParOf" srcId="{9D8B49BD-1DF7-4888-9A7E-2CFD4320CC2B}" destId="{34515D96-C834-4D67-AF5C-3B293601CBC3}" srcOrd="3" destOrd="0" presId="urn:microsoft.com/office/officeart/2005/8/layout/radial1"/>
    <dgm:cxn modelId="{F497D54C-8811-49B9-A606-ABBE390FDE31}" type="presParOf" srcId="{34515D96-C834-4D67-AF5C-3B293601CBC3}" destId="{A8CF68B1-7D91-429E-8C8D-53007288E1DC}" srcOrd="0" destOrd="0" presId="urn:microsoft.com/office/officeart/2005/8/layout/radial1"/>
    <dgm:cxn modelId="{B5547F66-C923-4ED1-9398-9E1FCE87BBAC}" type="presParOf" srcId="{9D8B49BD-1DF7-4888-9A7E-2CFD4320CC2B}" destId="{D9366F31-B7D7-4B43-830C-AD5E2193A794}" srcOrd="4" destOrd="0" presId="urn:microsoft.com/office/officeart/2005/8/layout/radial1"/>
    <dgm:cxn modelId="{336FC820-E7A6-46F3-B3EE-BAA4A4A35933}" type="presParOf" srcId="{9D8B49BD-1DF7-4888-9A7E-2CFD4320CC2B}" destId="{5CF8296B-0142-429D-A71A-20799D2EB74B}" srcOrd="5" destOrd="0" presId="urn:microsoft.com/office/officeart/2005/8/layout/radial1"/>
    <dgm:cxn modelId="{D29DB08D-291E-4397-952F-D20111CD22E3}" type="presParOf" srcId="{5CF8296B-0142-429D-A71A-20799D2EB74B}" destId="{48797E66-4F8B-4B79-BCA7-6F88E85CF835}" srcOrd="0" destOrd="0" presId="urn:microsoft.com/office/officeart/2005/8/layout/radial1"/>
    <dgm:cxn modelId="{B302572B-64AC-40EE-B74A-74FC96F46A91}" type="presParOf" srcId="{9D8B49BD-1DF7-4888-9A7E-2CFD4320CC2B}" destId="{7E7DDE23-6C04-407D-AAB6-669511EA704E}" srcOrd="6" destOrd="0" presId="urn:microsoft.com/office/officeart/2005/8/layout/radial1"/>
    <dgm:cxn modelId="{BF2EF271-7233-4962-AD2E-7775BD38C299}" type="presParOf" srcId="{9D8B49BD-1DF7-4888-9A7E-2CFD4320CC2B}" destId="{DC281168-2DBC-4CFB-B21D-C54E9628B383}" srcOrd="7" destOrd="0" presId="urn:microsoft.com/office/officeart/2005/8/layout/radial1"/>
    <dgm:cxn modelId="{2D2E3DC4-3B7D-41AE-A42E-452AC508F755}" type="presParOf" srcId="{DC281168-2DBC-4CFB-B21D-C54E9628B383}" destId="{0D3BFC0A-5ED4-4CCF-A336-A529B3363890}" srcOrd="0" destOrd="0" presId="urn:microsoft.com/office/officeart/2005/8/layout/radial1"/>
    <dgm:cxn modelId="{79B5FF4A-0ABD-47F2-9E94-C8700352EA09}" type="presParOf" srcId="{9D8B49BD-1DF7-4888-9A7E-2CFD4320CC2B}" destId="{66DADE40-99AE-41BE-B997-129EED231064}" srcOrd="8" destOrd="0" presId="urn:microsoft.com/office/officeart/2005/8/layout/radial1"/>
    <dgm:cxn modelId="{57DCE9A8-B7D5-4CAB-AA63-AF3EABBE900B}" type="presParOf" srcId="{9D8B49BD-1DF7-4888-9A7E-2CFD4320CC2B}" destId="{4DF1B0BE-A63A-4BEA-9EE5-4168481CC99E}" srcOrd="9" destOrd="0" presId="urn:microsoft.com/office/officeart/2005/8/layout/radial1"/>
    <dgm:cxn modelId="{2932C05D-2691-40ED-9AFD-8E5CCA9D0F41}" type="presParOf" srcId="{4DF1B0BE-A63A-4BEA-9EE5-4168481CC99E}" destId="{32B4D7AF-BD29-4AC4-BA11-37F2AE9561F4}" srcOrd="0" destOrd="0" presId="urn:microsoft.com/office/officeart/2005/8/layout/radial1"/>
    <dgm:cxn modelId="{239B83FC-3D19-4682-A3FE-BE21AB922E9D}" type="presParOf" srcId="{9D8B49BD-1DF7-4888-9A7E-2CFD4320CC2B}" destId="{DB594876-4070-4577-942D-67F5CD4D6A19}" srcOrd="10" destOrd="0" presId="urn:microsoft.com/office/officeart/2005/8/layout/radial1"/>
    <dgm:cxn modelId="{55E82D3A-1507-4AE5-8F65-508F60AE0F14}" type="presParOf" srcId="{9D8B49BD-1DF7-4888-9A7E-2CFD4320CC2B}" destId="{E49C447F-3477-4311-B10B-FFFA7DE7209F}" srcOrd="11" destOrd="0" presId="urn:microsoft.com/office/officeart/2005/8/layout/radial1"/>
    <dgm:cxn modelId="{0B4104F5-0AF4-4CB2-8FED-FD48CD8A7B73}" type="presParOf" srcId="{E49C447F-3477-4311-B10B-FFFA7DE7209F}" destId="{B930024E-8665-4782-9C41-36517A71FCD4}" srcOrd="0" destOrd="0" presId="urn:microsoft.com/office/officeart/2005/8/layout/radial1"/>
    <dgm:cxn modelId="{82A7AD99-4C0E-46F9-8319-E9096250F062}" type="presParOf" srcId="{9D8B49BD-1DF7-4888-9A7E-2CFD4320CC2B}" destId="{69F18085-0AC3-4BAE-9B16-F8478FFBD61E}" srcOrd="12" destOrd="0" presId="urn:microsoft.com/office/officeart/2005/8/layout/radial1"/>
    <dgm:cxn modelId="{C4DF6117-10F4-4B36-94AC-079BF5E6CD20}" type="presParOf" srcId="{9D8B49BD-1DF7-4888-9A7E-2CFD4320CC2B}" destId="{FCC14444-D5E7-4E9C-B980-A27CD799E442}" srcOrd="13" destOrd="0" presId="urn:microsoft.com/office/officeart/2005/8/layout/radial1"/>
    <dgm:cxn modelId="{5549FF03-8F23-4220-A9A7-93FF6D1403F3}" type="presParOf" srcId="{FCC14444-D5E7-4E9C-B980-A27CD799E442}" destId="{3EA6B60F-F2E8-4D48-9EC1-CAAE09243949}" srcOrd="0" destOrd="0" presId="urn:microsoft.com/office/officeart/2005/8/layout/radial1"/>
    <dgm:cxn modelId="{7A949C03-3EA1-46AC-836D-C0B2B009124E}" type="presParOf" srcId="{9D8B49BD-1DF7-4888-9A7E-2CFD4320CC2B}" destId="{49C45DFA-0A15-4DAA-80DC-CAE4ABCC6B43}" srcOrd="14" destOrd="0" presId="urn:microsoft.com/office/officeart/2005/8/layout/radial1"/>
    <dgm:cxn modelId="{1D9F364A-4EBA-4BA6-BBBC-E981CA0D0D92}" type="presParOf" srcId="{9D8B49BD-1DF7-4888-9A7E-2CFD4320CC2B}" destId="{7B59CB2C-C82F-41EE-B3CF-ADD4878ADBA6}" srcOrd="15" destOrd="0" presId="urn:microsoft.com/office/officeart/2005/8/layout/radial1"/>
    <dgm:cxn modelId="{53338B11-A9EB-4BCB-9551-FA041F478125}" type="presParOf" srcId="{7B59CB2C-C82F-41EE-B3CF-ADD4878ADBA6}" destId="{280B3AB5-4999-4B99-8BE9-E09C9DF5D482}" srcOrd="0" destOrd="0" presId="urn:microsoft.com/office/officeart/2005/8/layout/radial1"/>
    <dgm:cxn modelId="{F4974B1D-DCA7-4D52-9ADD-3EBF796E42B3}" type="presParOf" srcId="{9D8B49BD-1DF7-4888-9A7E-2CFD4320CC2B}" destId="{402B25BB-F397-46B5-AAB7-C38C2276BF82}" srcOrd="16" destOrd="0" presId="urn:microsoft.com/office/officeart/2005/8/layout/radial1"/>
    <dgm:cxn modelId="{6DBC4B82-A44D-45B6-8CA7-663B87B18AA3}" type="presParOf" srcId="{9D8B49BD-1DF7-4888-9A7E-2CFD4320CC2B}" destId="{EFB9CB5A-411C-454B-96B1-9ED988829CBE}" srcOrd="17" destOrd="0" presId="urn:microsoft.com/office/officeart/2005/8/layout/radial1"/>
    <dgm:cxn modelId="{E780B727-2172-471B-9F23-3BE1A6AD80F3}" type="presParOf" srcId="{EFB9CB5A-411C-454B-96B1-9ED988829CBE}" destId="{A140118B-14B1-45A7-9CF9-17E4D006F84D}" srcOrd="0" destOrd="0" presId="urn:microsoft.com/office/officeart/2005/8/layout/radial1"/>
    <dgm:cxn modelId="{8C0D03C6-EE19-4E25-8B89-2ABCC8EE44EB}" type="presParOf" srcId="{9D8B49BD-1DF7-4888-9A7E-2CFD4320CC2B}" destId="{5AF8D9AC-0C15-4D1B-BCD3-7FFCFF0A581D}" srcOrd="18" destOrd="0" presId="urn:microsoft.com/office/officeart/2005/8/layout/radial1"/>
    <dgm:cxn modelId="{77394872-6807-4AF1-A700-E47893C92D60}" type="presParOf" srcId="{9D8B49BD-1DF7-4888-9A7E-2CFD4320CC2B}" destId="{5DC5D51E-945B-4CCC-B580-737CA66D42E3}" srcOrd="19" destOrd="0" presId="urn:microsoft.com/office/officeart/2005/8/layout/radial1"/>
    <dgm:cxn modelId="{38B994B1-E43F-4AEC-97A1-B55E22D8604C}" type="presParOf" srcId="{5DC5D51E-945B-4CCC-B580-737CA66D42E3}" destId="{653D05C2-436A-4268-A4B1-DA090CACDDFB}" srcOrd="0" destOrd="0" presId="urn:microsoft.com/office/officeart/2005/8/layout/radial1"/>
    <dgm:cxn modelId="{F8BFF86C-3E7C-4478-8933-52A835D4E46D}" type="presParOf" srcId="{9D8B49BD-1DF7-4888-9A7E-2CFD4320CC2B}" destId="{26661F75-1D9F-48E2-8FB0-82462D91AB89}" srcOrd="20" destOrd="0" presId="urn:microsoft.com/office/officeart/2005/8/layout/radial1"/>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66934" y="1144150"/>
          <a:ext cx="1195416" cy="3798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49262" y="1038204"/>
          <a:ext cx="1254006" cy="50528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P.I.</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64935">
          <a:off x="1302486" y="1306005"/>
          <a:ext cx="106559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76204" y="1624792"/>
          <a:ext cx="1223025" cy="59496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930924">
          <a:off x="1206907" y="1611583"/>
          <a:ext cx="131485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284935" y="1914967"/>
          <a:ext cx="1094664" cy="56958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56156">
          <a:off x="2063255" y="1730154"/>
          <a:ext cx="74895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437807" y="2038792"/>
          <a:ext cx="1244544" cy="4909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055876">
          <a:off x="2750739" y="1774708"/>
          <a:ext cx="51767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713445" y="1898854"/>
          <a:ext cx="1321459" cy="4994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Sistemas de Madrid y Lisboa</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1801296">
          <a:off x="3193774" y="1713307"/>
          <a:ext cx="8776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732145" y="1462025"/>
          <a:ext cx="930144" cy="44487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535167">
          <a:off x="3492868" y="1509911"/>
          <a:ext cx="127013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557211" y="850654"/>
          <a:ext cx="1282634"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223332">
          <a:off x="3526279" y="1207215"/>
          <a:ext cx="106062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78724" y="339379"/>
          <a:ext cx="965618" cy="45163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276127">
          <a:off x="3287436" y="942109"/>
          <a:ext cx="12552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8074" y="63164"/>
          <a:ext cx="988454" cy="50877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850491">
          <a:off x="3012570" y="842102"/>
          <a:ext cx="84706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81099" y="2230"/>
          <a:ext cx="949660" cy="41964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95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599212" y="776274"/>
          <a:ext cx="722303"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62868" y="495301"/>
          <a:ext cx="1380183" cy="466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gm:t>
    </dgm:pt>
    <dgm:pt modelId="{98B9F8AD-7347-45A5-BC2B-65EB3DDF63CC}" type="parTrans" cxnId="{DF9EB478-C224-42F7-822E-5C2EA98D82E9}">
      <dgm:prSet/>
      <dgm:spPr>
        <a:xfrm rot="11760165">
          <a:off x="1356041" y="1036342"/>
          <a:ext cx="1187912"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AAAA106F-E487-47CE-9BAB-D684E19C81DF}">
      <dgm:prSet phldrT="[Text]" custT="1"/>
      <dgm:spPr>
        <a:xfrm>
          <a:off x="1200971" y="67118"/>
          <a:ext cx="1265733" cy="5275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gm:t>
    </dgm:pt>
    <dgm:pt modelId="{ED17F2E8-0F2C-4806-A165-056066C1285B}" type="parTrans" cxnId="{A38B847D-D226-4A6D-B270-7F561245ACC8}">
      <dgm:prSet/>
      <dgm:spPr>
        <a:xfrm rot="13294674">
          <a:off x="1991764" y="855706"/>
          <a:ext cx="88250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B1A6F93-EA70-4B77-B04E-0D667670E9A6}" type="sibTrans" cxnId="{A38B847D-D226-4A6D-B270-7F561245ACC8}">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8706" custScaleY="8538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722303"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13465" custScaleY="94327" custRadScaleRad="100308" custRadScaleInc="-2966">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47062"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22185" custScaleY="114363" custRadScaleRad="126703" custRadScaleInc="94499">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255203"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217052" custScaleY="101518" custRadScaleRad="182976" custRadScaleInc="52903">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06062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88311" custScaleY="106849" custRadScaleRad="200906" custRadScaleInc="-4185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270138"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259859" custRadScaleRad="202027" custRadScaleInc="-140537">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877603"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97038" custScaleY="112266" custRadScaleRad="145532" custRadScaleInc="-199856">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517671"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79749" custScaleY="110366" custRadScaleRad="85373" custRadScaleInc="-3823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748956"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46059" custScaleY="128032" custRadScaleRad="127423" custRadScaleInc="150684">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14852"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74912" custScaleY="133737" custRadScaleRad="210231" custRadScaleInc="103436">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065596"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81876" custScaleY="113578" custRadScaleRad="204609" custRadScaleInc="7215">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187912"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310238" custScaleY="104815" custRadScaleRad="196387" custRadScaleInc="-93315">
        <dgm:presLayoutVars>
          <dgm:bulletEnabled val="1"/>
        </dgm:presLayoutVars>
      </dgm:prSet>
      <dgm:spPr>
        <a:prstGeom prst="ellipse">
          <a:avLst/>
        </a:prstGeom>
      </dgm:spPr>
      <dgm:t>
        <a:bodyPr/>
        <a:lstStyle/>
        <a:p>
          <a:endParaRPr lang="en-US"/>
        </a:p>
      </dgm:t>
    </dgm:pt>
    <dgm:pt modelId="{48D8EFE9-A375-4136-B36E-91EB3A5F0349}" type="pres">
      <dgm:prSet presAssocID="{ED17F2E8-0F2C-4806-A165-056066C1285B}" presName="Name9" presStyleLbl="parChTrans1D2" presStyleIdx="11" presStyleCnt="12"/>
      <dgm:spPr>
        <a:custGeom>
          <a:avLst/>
          <a:gdLst/>
          <a:ahLst/>
          <a:cxnLst/>
          <a:rect l="0" t="0" r="0" b="0"/>
          <a:pathLst>
            <a:path>
              <a:moveTo>
                <a:pt x="0" y="6736"/>
              </a:moveTo>
              <a:lnTo>
                <a:pt x="882504" y="6736"/>
              </a:lnTo>
            </a:path>
          </a:pathLst>
        </a:custGeom>
      </dgm:spPr>
      <dgm:t>
        <a:bodyPr/>
        <a:lstStyle/>
        <a:p>
          <a:endParaRPr lang="en-US"/>
        </a:p>
      </dgm:t>
    </dgm:pt>
    <dgm:pt modelId="{3534FF94-72C6-43FB-8F21-668E71284740}" type="pres">
      <dgm:prSet presAssocID="{ED17F2E8-0F2C-4806-A165-056066C1285B}" presName="connTx" presStyleLbl="parChTrans1D2" presStyleIdx="11" presStyleCnt="12"/>
      <dgm:spPr/>
      <dgm:t>
        <a:bodyPr/>
        <a:lstStyle/>
        <a:p>
          <a:endParaRPr lang="en-US"/>
        </a:p>
      </dgm:t>
    </dgm:pt>
    <dgm:pt modelId="{2CC81EFE-1B09-4239-A772-C0141AEBEE08}" type="pres">
      <dgm:prSet presAssocID="{AAAA106F-E487-47CE-9BAB-D684E19C81DF}" presName="node" presStyleLbl="node1" presStyleIdx="11" presStyleCnt="12" custScaleX="284512" custScaleY="118577" custRadScaleRad="135137" custRadScaleInc="-122814">
        <dgm:presLayoutVars>
          <dgm:bulletEnabled val="1"/>
        </dgm:presLayoutVars>
      </dgm:prSet>
      <dgm:spPr>
        <a:prstGeom prst="ellipse">
          <a:avLst/>
        </a:prstGeom>
      </dgm:spPr>
      <dgm:t>
        <a:bodyPr/>
        <a:lstStyle/>
        <a:p>
          <a:endParaRPr lang="en-US"/>
        </a:p>
      </dgm:t>
    </dgm:pt>
  </dgm:ptLst>
  <dgm:cxnLst>
    <dgm:cxn modelId="{0AEC5AC8-E379-4F4F-8787-AEF17B554957}" type="presOf" srcId="{BA28F4A6-AD16-499D-88C1-DBE004B28175}" destId="{B06AADB2-5D51-41DC-8677-C0CC2357518B}" srcOrd="1" destOrd="0" presId="urn:microsoft.com/office/officeart/2005/8/layout/radial1"/>
    <dgm:cxn modelId="{F5061435-33D4-4AB4-82B0-82EFA97F4104}" type="presOf" srcId="{DEF73824-C893-4963-9504-7E97D2FF5253}" destId="{FCC14444-D5E7-4E9C-B980-A27CD799E442}" srcOrd="0" destOrd="0" presId="urn:microsoft.com/office/officeart/2005/8/layout/radial1"/>
    <dgm:cxn modelId="{BDED8924-5B99-4881-8152-9DF56F0F14DF}" type="presOf" srcId="{D94B5549-C2D2-4629-ACDF-33C6E334FA3A}" destId="{905DF954-A0B6-4A5F-9CE2-F1C3ADBDD0C1}" srcOrd="1" destOrd="0" presId="urn:microsoft.com/office/officeart/2005/8/layout/radial1"/>
    <dgm:cxn modelId="{4D08CA13-470C-46B3-B194-DD8C54A0699E}" type="presOf" srcId="{2F72DDEE-62D3-48A5-836A-4C87596541F0}" destId="{280B3AB5-4999-4B99-8BE9-E09C9DF5D482}" srcOrd="1"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A08A88C2-FF5C-47E2-BCD3-BB1356B5CEA8}" type="presOf" srcId="{A7516A72-1FC0-46ED-AAC4-AF0F7063F737}" destId="{493DA7EC-5D69-41B7-92E4-ED7ED9F48883}" srcOrd="0" destOrd="0" presId="urn:microsoft.com/office/officeart/2005/8/layout/radial1"/>
    <dgm:cxn modelId="{CF68B8EB-1AEC-4C90-8CE8-32BA09ED426C}" type="presOf" srcId="{D22DE764-173E-47DF-9480-722F8D8EA62C}" destId="{5CF8296B-0142-429D-A71A-20799D2EB74B}" srcOrd="0" destOrd="0" presId="urn:microsoft.com/office/officeart/2005/8/layout/radial1"/>
    <dgm:cxn modelId="{B15F55C2-E579-4F32-8EB2-5937D2A32FE4}" type="presOf" srcId="{44FBC2E2-D754-42C1-BEE4-690296442511}" destId="{402B25BB-F397-46B5-AAB7-C38C2276BF82}" srcOrd="0" destOrd="0" presId="urn:microsoft.com/office/officeart/2005/8/layout/radial1"/>
    <dgm:cxn modelId="{C74BE713-2D40-451B-BEF7-474C1C6F1B58}" type="presOf" srcId="{ED17F2E8-0F2C-4806-A165-056066C1285B}" destId="{3534FF94-72C6-43FB-8F21-668E71284740}" srcOrd="1" destOrd="0" presId="urn:microsoft.com/office/officeart/2005/8/layout/radial1"/>
    <dgm:cxn modelId="{FFE985C7-32A4-4BAC-B60B-A33CECFE4E16}" type="presOf" srcId="{9E510621-404D-46D6-8EB3-39712C8626D4}" destId="{DC281168-2DBC-4CFB-B21D-C54E9628B383}" srcOrd="0" destOrd="0" presId="urn:microsoft.com/office/officeart/2005/8/layout/radial1"/>
    <dgm:cxn modelId="{0D76B09B-0EE8-401C-9A74-2FF73A9C9C72}" type="presOf" srcId="{98B9F8AD-7347-45A5-BC2B-65EB3DDF63CC}" destId="{701CC827-3AE5-4421-983B-6398C783C82F}"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ADA29FD5-8F2B-4716-93B3-EBE2178B9E48}" type="presOf" srcId="{7C1FA040-4399-40F0-866F-845B7914F68D}" destId="{69F18085-0AC3-4BAE-9B16-F8478FFBD61E}" srcOrd="0" destOrd="0" presId="urn:microsoft.com/office/officeart/2005/8/layout/radial1"/>
    <dgm:cxn modelId="{897D2D3A-1E74-4D0A-B120-BD140A176F8D}" type="presOf" srcId="{98585C11-761C-43C4-979D-FB1B8BABF102}" destId="{B930024E-8665-4782-9C41-36517A71FCD4}" srcOrd="1" destOrd="0" presId="urn:microsoft.com/office/officeart/2005/8/layout/radial1"/>
    <dgm:cxn modelId="{BCE9C81B-DBEC-470D-BD2E-2BC433EDC700}" type="presOf" srcId="{98585C11-761C-43C4-979D-FB1B8BABF102}" destId="{E49C447F-3477-4311-B10B-FFFA7DE7209F}" srcOrd="0" destOrd="0" presId="urn:microsoft.com/office/officeart/2005/8/layout/radial1"/>
    <dgm:cxn modelId="{804D001A-270E-4F3B-8271-CFF5E774A424}" type="presOf" srcId="{DB9FEC62-86A7-454A-89B3-F32F1907C71A}" destId="{34515D96-C834-4D67-AF5C-3B293601CBC3}" srcOrd="0" destOrd="0" presId="urn:microsoft.com/office/officeart/2005/8/layout/radial1"/>
    <dgm:cxn modelId="{E255E0E6-5F3A-4C11-BE2D-E19FF3DE7D03}" type="presOf" srcId="{D981426F-5B7B-4AA5-957A-6E8C9E1A2487}" destId="{9D8B49BD-1DF7-4888-9A7E-2CFD4320CC2B}" srcOrd="0"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13BDA2E1-2556-4016-BADB-245E33DC04EF}" type="presOf" srcId="{2F72DDEE-62D3-48A5-836A-4C87596541F0}" destId="{7B59CB2C-C82F-41EE-B3CF-ADD4878ADBA6}" srcOrd="0" destOrd="0" presId="urn:microsoft.com/office/officeart/2005/8/layout/radial1"/>
    <dgm:cxn modelId="{D72DE368-071F-4612-BD4C-13EE8BB51BB3}" type="presOf" srcId="{F0FE4372-65E6-4D92-B9B0-D2B79F26FB27}" destId="{ECD2D13D-466C-468B-BD6C-1B646D8E5B8E}" srcOrd="0" destOrd="0" presId="urn:microsoft.com/office/officeart/2005/8/layout/radial1"/>
    <dgm:cxn modelId="{832230E8-3F46-43DB-8FBB-960133651CAA}" type="presOf" srcId="{68A5766F-115C-487E-B7CB-4ADE150678D1}" destId="{AFD0CC05-9AD4-4A51-8739-4FB4CA1E4ACE}" srcOrd="0" destOrd="0" presId="urn:microsoft.com/office/officeart/2005/8/layout/radial1"/>
    <dgm:cxn modelId="{8F1B9006-67D3-46F5-A405-F951CCADFB11}" type="presOf" srcId="{898446A3-EA8C-4C13-8A65-DF8A110D0838}" destId="{D9366F31-B7D7-4B43-830C-AD5E2193A794}"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B978007C-B3DE-439E-81BB-869BAF774F87}" type="presOf" srcId="{3F89048A-3F9F-4897-8631-4599F4976029}" destId="{32B4D7AF-BD29-4AC4-BA11-37F2AE9561F4}" srcOrd="1" destOrd="0" presId="urn:microsoft.com/office/officeart/2005/8/layout/radial1"/>
    <dgm:cxn modelId="{A38B847D-D226-4A6D-B270-7F561245ACC8}" srcId="{A7516A72-1FC0-46ED-AAC4-AF0F7063F737}" destId="{AAAA106F-E487-47CE-9BAB-D684E19C81DF}" srcOrd="11" destOrd="0" parTransId="{ED17F2E8-0F2C-4806-A165-056066C1285B}" sibTransId="{8B1A6F93-EA70-4B77-B04E-0D667670E9A6}"/>
    <dgm:cxn modelId="{996B9653-906A-49F8-9E4B-3836F7905D4E}" srcId="{D981426F-5B7B-4AA5-957A-6E8C9E1A2487}" destId="{A7516A72-1FC0-46ED-AAC4-AF0F7063F737}" srcOrd="0" destOrd="0" parTransId="{D9E0AFEB-65B5-4280-ADD0-766B3ADA6CFD}" sibTransId="{6B1EB84D-437E-47A1-87CB-9027EE716AD0}"/>
    <dgm:cxn modelId="{BF569CD7-7E08-47E7-B55D-BE81DAF7F879}" type="presOf" srcId="{9E510621-404D-46D6-8EB3-39712C8626D4}" destId="{0D3BFC0A-5ED4-4CCF-A336-A529B3363890}" srcOrd="1"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A8C36F18-085E-489C-B9AA-0F668A687726}" type="presOf" srcId="{D94B5549-C2D2-4629-ACDF-33C6E334FA3A}" destId="{3F0F15B6-4D5A-493B-B03E-AE8141DC3DCE}" srcOrd="0" destOrd="0" presId="urn:microsoft.com/office/officeart/2005/8/layout/radial1"/>
    <dgm:cxn modelId="{C22119D8-00A0-4620-8279-F64AD232A774}" type="presOf" srcId="{AAAA106F-E487-47CE-9BAB-D684E19C81DF}" destId="{2CC81EFE-1B09-4239-A772-C0141AEBEE08}" srcOrd="0" destOrd="0" presId="urn:microsoft.com/office/officeart/2005/8/layout/radial1"/>
    <dgm:cxn modelId="{55154B06-ED33-4DCF-A634-6E3159B29DBC}" type="presOf" srcId="{D22DE764-173E-47DF-9480-722F8D8EA62C}" destId="{48797E66-4F8B-4B79-BCA7-6F88E85CF835}" srcOrd="1" destOrd="0" presId="urn:microsoft.com/office/officeart/2005/8/layout/radial1"/>
    <dgm:cxn modelId="{86C2B22C-CA97-4677-AD68-A99B8068A4C7}" type="presOf" srcId="{DB9FEC62-86A7-454A-89B3-F32F1907C71A}" destId="{A8CF68B1-7D91-429E-8C8D-53007288E1DC}" srcOrd="1" destOrd="0" presId="urn:microsoft.com/office/officeart/2005/8/layout/radial1"/>
    <dgm:cxn modelId="{A9A3AF1D-E3F9-42E4-A649-4203D06D06DB}" type="presOf" srcId="{6DAE892F-3F2D-42A5-BB1C-58D0E6BD9A47}" destId="{7E7DDE23-6C04-407D-AAB6-669511EA704E}" srcOrd="0" destOrd="0" presId="urn:microsoft.com/office/officeart/2005/8/layout/radial1"/>
    <dgm:cxn modelId="{58E976D0-2C22-4B54-8E5B-55EEF57B6018}" type="presOf" srcId="{B4A5C031-92B2-438E-80BC-EAA05F5C7CF7}" destId="{A140118B-14B1-45A7-9CF9-17E4D006F84D}" srcOrd="1" destOrd="0" presId="urn:microsoft.com/office/officeart/2005/8/layout/radial1"/>
    <dgm:cxn modelId="{B9882D5B-783D-4316-874E-28B3C0D41CBD}" type="presOf" srcId="{D65A13E9-3C79-4155-B943-C33E81DAC317}" destId="{A86195D8-E78B-4F8B-B1C4-EFBBA8999B88}"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E5DD3C3F-F401-46C8-9D1F-CEE8478EFA81}" srcId="{A7516A72-1FC0-46ED-AAC4-AF0F7063F737}" destId="{2628F477-2289-4CEE-9618-96DDAFCD4291}" srcOrd="7" destOrd="0" parTransId="{DEF73824-C893-4963-9504-7E97D2FF5253}" sibTransId="{6D6ABE48-6FEB-4EAA-849C-585AC08FCF5B}"/>
    <dgm:cxn modelId="{D7DB084E-D909-4698-B68B-E1B82E68DFB7}" type="presOf" srcId="{D460D018-736B-4CE5-A14B-061F8EFE829B}" destId="{5AF8D9AC-0C15-4D1B-BCD3-7FFCFF0A581D}" srcOrd="0" destOrd="0" presId="urn:microsoft.com/office/officeart/2005/8/layout/radial1"/>
    <dgm:cxn modelId="{A4465ACF-66DC-497F-9137-67BA39C454FE}" type="presOf" srcId="{3F89048A-3F9F-4897-8631-4599F4976029}" destId="{4DF1B0BE-A63A-4BEA-9EE5-4168481CC99E}"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234D799C-89AE-45B9-A990-1D6C25EC5376}" type="presOf" srcId="{2628F477-2289-4CEE-9618-96DDAFCD4291}" destId="{49C45DFA-0A15-4DAA-80DC-CAE4ABCC6B43}" srcOrd="0" destOrd="0" presId="urn:microsoft.com/office/officeart/2005/8/layout/radial1"/>
    <dgm:cxn modelId="{1A6ADC83-293F-40DC-9D5C-014972A0BF35}" type="presOf" srcId="{DB0D84B1-C440-4746-9EEF-F1ED71D64DD2}" destId="{66DADE40-99AE-41BE-B997-129EED231064}" srcOrd="0" destOrd="0" presId="urn:microsoft.com/office/officeart/2005/8/layout/radial1"/>
    <dgm:cxn modelId="{44B9AC9A-A812-47CE-B328-576CE3D5BBF0}" type="presOf" srcId="{98B9F8AD-7347-45A5-BC2B-65EB3DDF63CC}" destId="{282CA825-226C-4E92-9F37-4F68B159DB24}" srcOrd="1" destOrd="0" presId="urn:microsoft.com/office/officeart/2005/8/layout/radial1"/>
    <dgm:cxn modelId="{912DA0A4-CFAF-4868-A720-1B77DCEA514F}" type="presOf" srcId="{ED17F2E8-0F2C-4806-A165-056066C1285B}" destId="{48D8EFE9-A375-4136-B36E-91EB3A5F0349}" srcOrd="0" destOrd="0" presId="urn:microsoft.com/office/officeart/2005/8/layout/radial1"/>
    <dgm:cxn modelId="{B874F184-F5A6-4165-B815-CB1F57382CC7}" type="presOf" srcId="{B4A5C031-92B2-438E-80BC-EAA05F5C7CF7}" destId="{EFB9CB5A-411C-454B-96B1-9ED988829CBE}"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AE9F126F-5236-4FB4-B42A-C22FF31B5C38}" type="presOf" srcId="{DEF73824-C893-4963-9504-7E97D2FF5253}" destId="{3EA6B60F-F2E8-4D48-9EC1-CAAE09243949}" srcOrd="1"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AE423890-49DA-492F-A050-83EBA2B9A23E}" type="presOf" srcId="{BA28F4A6-AD16-499D-88C1-DBE004B28175}" destId="{E6ACA703-0949-41B3-BE6B-C702E5C7275F}" srcOrd="0" destOrd="0" presId="urn:microsoft.com/office/officeart/2005/8/layout/radial1"/>
    <dgm:cxn modelId="{D9DA17BD-AE20-4251-9279-766971C8846D}" type="presOf" srcId="{14602118-D739-48CC-85E0-791974AFA995}" destId="{DB594876-4070-4577-942D-67F5CD4D6A19}" srcOrd="0" destOrd="0" presId="urn:microsoft.com/office/officeart/2005/8/layout/radial1"/>
    <dgm:cxn modelId="{2EEA7DF1-046F-492E-8E5D-FDBD86321166}" type="presParOf" srcId="{9D8B49BD-1DF7-4888-9A7E-2CFD4320CC2B}" destId="{493DA7EC-5D69-41B7-92E4-ED7ED9F48883}" srcOrd="0" destOrd="0" presId="urn:microsoft.com/office/officeart/2005/8/layout/radial1"/>
    <dgm:cxn modelId="{151195DD-7474-4FC2-9006-51052B52F45A}" type="presParOf" srcId="{9D8B49BD-1DF7-4888-9A7E-2CFD4320CC2B}" destId="{E6ACA703-0949-41B3-BE6B-C702E5C7275F}" srcOrd="1" destOrd="0" presId="urn:microsoft.com/office/officeart/2005/8/layout/radial1"/>
    <dgm:cxn modelId="{F7C5BB5E-9FBF-4F66-92B8-C99E40C2A70A}" type="presParOf" srcId="{E6ACA703-0949-41B3-BE6B-C702E5C7275F}" destId="{B06AADB2-5D51-41DC-8677-C0CC2357518B}" srcOrd="0" destOrd="0" presId="urn:microsoft.com/office/officeart/2005/8/layout/radial1"/>
    <dgm:cxn modelId="{6618AA30-5572-4D15-911E-3C3FC0657D01}" type="presParOf" srcId="{9D8B49BD-1DF7-4888-9A7E-2CFD4320CC2B}" destId="{AFD0CC05-9AD4-4A51-8739-4FB4CA1E4ACE}" srcOrd="2" destOrd="0" presId="urn:microsoft.com/office/officeart/2005/8/layout/radial1"/>
    <dgm:cxn modelId="{E18C2EA9-A2EB-43A8-9626-2B0E83C9C3F2}" type="presParOf" srcId="{9D8B49BD-1DF7-4888-9A7E-2CFD4320CC2B}" destId="{34515D96-C834-4D67-AF5C-3B293601CBC3}" srcOrd="3" destOrd="0" presId="urn:microsoft.com/office/officeart/2005/8/layout/radial1"/>
    <dgm:cxn modelId="{09E79480-ABA9-4442-849F-93D498A4760E}" type="presParOf" srcId="{34515D96-C834-4D67-AF5C-3B293601CBC3}" destId="{A8CF68B1-7D91-429E-8C8D-53007288E1DC}" srcOrd="0" destOrd="0" presId="urn:microsoft.com/office/officeart/2005/8/layout/radial1"/>
    <dgm:cxn modelId="{A240E0D8-C292-4AB9-91BB-E5A39AC43DEC}" type="presParOf" srcId="{9D8B49BD-1DF7-4888-9A7E-2CFD4320CC2B}" destId="{D9366F31-B7D7-4B43-830C-AD5E2193A794}" srcOrd="4" destOrd="0" presId="urn:microsoft.com/office/officeart/2005/8/layout/radial1"/>
    <dgm:cxn modelId="{96A85B10-4B21-4702-A52C-4A5569C805CA}" type="presParOf" srcId="{9D8B49BD-1DF7-4888-9A7E-2CFD4320CC2B}" destId="{3F0F15B6-4D5A-493B-B03E-AE8141DC3DCE}" srcOrd="5" destOrd="0" presId="urn:microsoft.com/office/officeart/2005/8/layout/radial1"/>
    <dgm:cxn modelId="{5EFCC136-E9B7-4ACA-8359-01830345B8CD}" type="presParOf" srcId="{3F0F15B6-4D5A-493B-B03E-AE8141DC3DCE}" destId="{905DF954-A0B6-4A5F-9CE2-F1C3ADBDD0C1}" srcOrd="0" destOrd="0" presId="urn:microsoft.com/office/officeart/2005/8/layout/radial1"/>
    <dgm:cxn modelId="{07E5F161-08CF-45AC-90C5-E6EBFAC71618}" type="presParOf" srcId="{9D8B49BD-1DF7-4888-9A7E-2CFD4320CC2B}" destId="{ECD2D13D-466C-468B-BD6C-1B646D8E5B8E}" srcOrd="6" destOrd="0" presId="urn:microsoft.com/office/officeart/2005/8/layout/radial1"/>
    <dgm:cxn modelId="{0AF8EF92-3A9E-4792-9138-39F662193DA8}" type="presParOf" srcId="{9D8B49BD-1DF7-4888-9A7E-2CFD4320CC2B}" destId="{5CF8296B-0142-429D-A71A-20799D2EB74B}" srcOrd="7" destOrd="0" presId="urn:microsoft.com/office/officeart/2005/8/layout/radial1"/>
    <dgm:cxn modelId="{DC2C2C80-722D-4C7D-AAB2-1E370DDD0EE9}" type="presParOf" srcId="{5CF8296B-0142-429D-A71A-20799D2EB74B}" destId="{48797E66-4F8B-4B79-BCA7-6F88E85CF835}" srcOrd="0" destOrd="0" presId="urn:microsoft.com/office/officeart/2005/8/layout/radial1"/>
    <dgm:cxn modelId="{95DDCB00-3460-4A89-9CCF-2D47C1D6EADC}" type="presParOf" srcId="{9D8B49BD-1DF7-4888-9A7E-2CFD4320CC2B}" destId="{7E7DDE23-6C04-407D-AAB6-669511EA704E}" srcOrd="8" destOrd="0" presId="urn:microsoft.com/office/officeart/2005/8/layout/radial1"/>
    <dgm:cxn modelId="{A4E6BDCB-5E9C-4EDF-A157-CACDDCB0FD4C}" type="presParOf" srcId="{9D8B49BD-1DF7-4888-9A7E-2CFD4320CC2B}" destId="{DC281168-2DBC-4CFB-B21D-C54E9628B383}" srcOrd="9" destOrd="0" presId="urn:microsoft.com/office/officeart/2005/8/layout/radial1"/>
    <dgm:cxn modelId="{EC0AA845-E797-4658-94F5-129B391A7E4E}" type="presParOf" srcId="{DC281168-2DBC-4CFB-B21D-C54E9628B383}" destId="{0D3BFC0A-5ED4-4CCF-A336-A529B3363890}" srcOrd="0" destOrd="0" presId="urn:microsoft.com/office/officeart/2005/8/layout/radial1"/>
    <dgm:cxn modelId="{98B95B24-BCC6-4DC4-82B1-AE6E3A96E13A}" type="presParOf" srcId="{9D8B49BD-1DF7-4888-9A7E-2CFD4320CC2B}" destId="{66DADE40-99AE-41BE-B997-129EED231064}" srcOrd="10" destOrd="0" presId="urn:microsoft.com/office/officeart/2005/8/layout/radial1"/>
    <dgm:cxn modelId="{85F655C2-CC9F-40B8-8DA3-D3B6D38E5315}" type="presParOf" srcId="{9D8B49BD-1DF7-4888-9A7E-2CFD4320CC2B}" destId="{4DF1B0BE-A63A-4BEA-9EE5-4168481CC99E}" srcOrd="11" destOrd="0" presId="urn:microsoft.com/office/officeart/2005/8/layout/radial1"/>
    <dgm:cxn modelId="{0A4C38D3-CD07-4974-945F-4B7B0180FC7E}" type="presParOf" srcId="{4DF1B0BE-A63A-4BEA-9EE5-4168481CC99E}" destId="{32B4D7AF-BD29-4AC4-BA11-37F2AE9561F4}" srcOrd="0" destOrd="0" presId="urn:microsoft.com/office/officeart/2005/8/layout/radial1"/>
    <dgm:cxn modelId="{5C7106AA-0527-443D-AE72-3FADB136B10B}" type="presParOf" srcId="{9D8B49BD-1DF7-4888-9A7E-2CFD4320CC2B}" destId="{DB594876-4070-4577-942D-67F5CD4D6A19}" srcOrd="12" destOrd="0" presId="urn:microsoft.com/office/officeart/2005/8/layout/radial1"/>
    <dgm:cxn modelId="{F710A9DC-9AB1-426C-945F-3AF0623B9565}" type="presParOf" srcId="{9D8B49BD-1DF7-4888-9A7E-2CFD4320CC2B}" destId="{E49C447F-3477-4311-B10B-FFFA7DE7209F}" srcOrd="13" destOrd="0" presId="urn:microsoft.com/office/officeart/2005/8/layout/radial1"/>
    <dgm:cxn modelId="{56FADC43-5FFF-4868-8D1D-93BA0FF72ED4}" type="presParOf" srcId="{E49C447F-3477-4311-B10B-FFFA7DE7209F}" destId="{B930024E-8665-4782-9C41-36517A71FCD4}" srcOrd="0" destOrd="0" presId="urn:microsoft.com/office/officeart/2005/8/layout/radial1"/>
    <dgm:cxn modelId="{58F9A65D-5894-48ED-BD51-EC04B62A269A}" type="presParOf" srcId="{9D8B49BD-1DF7-4888-9A7E-2CFD4320CC2B}" destId="{69F18085-0AC3-4BAE-9B16-F8478FFBD61E}" srcOrd="14" destOrd="0" presId="urn:microsoft.com/office/officeart/2005/8/layout/radial1"/>
    <dgm:cxn modelId="{683E4798-5DEE-46D2-84D1-D56645F6A00E}" type="presParOf" srcId="{9D8B49BD-1DF7-4888-9A7E-2CFD4320CC2B}" destId="{FCC14444-D5E7-4E9C-B980-A27CD799E442}" srcOrd="15" destOrd="0" presId="urn:microsoft.com/office/officeart/2005/8/layout/radial1"/>
    <dgm:cxn modelId="{1079456A-098F-4D8E-8614-8D7C09FC914A}" type="presParOf" srcId="{FCC14444-D5E7-4E9C-B980-A27CD799E442}" destId="{3EA6B60F-F2E8-4D48-9EC1-CAAE09243949}" srcOrd="0" destOrd="0" presId="urn:microsoft.com/office/officeart/2005/8/layout/radial1"/>
    <dgm:cxn modelId="{B86E904D-3CBB-4FCF-A7EC-220367A32BF2}" type="presParOf" srcId="{9D8B49BD-1DF7-4888-9A7E-2CFD4320CC2B}" destId="{49C45DFA-0A15-4DAA-80DC-CAE4ABCC6B43}" srcOrd="16" destOrd="0" presId="urn:microsoft.com/office/officeart/2005/8/layout/radial1"/>
    <dgm:cxn modelId="{12B87478-A468-4ED7-A140-CA98B522E3FC}" type="presParOf" srcId="{9D8B49BD-1DF7-4888-9A7E-2CFD4320CC2B}" destId="{7B59CB2C-C82F-41EE-B3CF-ADD4878ADBA6}" srcOrd="17" destOrd="0" presId="urn:microsoft.com/office/officeart/2005/8/layout/radial1"/>
    <dgm:cxn modelId="{CE1E8151-EB9D-4781-82F4-1F160D4D41DB}" type="presParOf" srcId="{7B59CB2C-C82F-41EE-B3CF-ADD4878ADBA6}" destId="{280B3AB5-4999-4B99-8BE9-E09C9DF5D482}" srcOrd="0" destOrd="0" presId="urn:microsoft.com/office/officeart/2005/8/layout/radial1"/>
    <dgm:cxn modelId="{89F8812F-C525-42D4-B7E6-AB95886E82B3}" type="presParOf" srcId="{9D8B49BD-1DF7-4888-9A7E-2CFD4320CC2B}" destId="{402B25BB-F397-46B5-AAB7-C38C2276BF82}" srcOrd="18" destOrd="0" presId="urn:microsoft.com/office/officeart/2005/8/layout/radial1"/>
    <dgm:cxn modelId="{CBA37428-D051-45E9-9971-76FDD5CD0FB5}" type="presParOf" srcId="{9D8B49BD-1DF7-4888-9A7E-2CFD4320CC2B}" destId="{EFB9CB5A-411C-454B-96B1-9ED988829CBE}" srcOrd="19" destOrd="0" presId="urn:microsoft.com/office/officeart/2005/8/layout/radial1"/>
    <dgm:cxn modelId="{ADD8F0D0-EC58-472F-8919-B7131EFE548C}" type="presParOf" srcId="{EFB9CB5A-411C-454B-96B1-9ED988829CBE}" destId="{A140118B-14B1-45A7-9CF9-17E4D006F84D}" srcOrd="0" destOrd="0" presId="urn:microsoft.com/office/officeart/2005/8/layout/radial1"/>
    <dgm:cxn modelId="{B534FC7C-E298-466B-8D7D-9F0B0FAD528B}" type="presParOf" srcId="{9D8B49BD-1DF7-4888-9A7E-2CFD4320CC2B}" destId="{5AF8D9AC-0C15-4D1B-BCD3-7FFCFF0A581D}" srcOrd="20" destOrd="0" presId="urn:microsoft.com/office/officeart/2005/8/layout/radial1"/>
    <dgm:cxn modelId="{D35D107B-F81D-4022-A661-BEAB51715EDE}" type="presParOf" srcId="{9D8B49BD-1DF7-4888-9A7E-2CFD4320CC2B}" destId="{701CC827-3AE5-4421-983B-6398C783C82F}" srcOrd="21" destOrd="0" presId="urn:microsoft.com/office/officeart/2005/8/layout/radial1"/>
    <dgm:cxn modelId="{C7B3AD5F-AD96-4063-9083-91BCA552CEEF}" type="presParOf" srcId="{701CC827-3AE5-4421-983B-6398C783C82F}" destId="{282CA825-226C-4E92-9F37-4F68B159DB24}" srcOrd="0" destOrd="0" presId="urn:microsoft.com/office/officeart/2005/8/layout/radial1"/>
    <dgm:cxn modelId="{F3BA2DD6-7F9F-4079-9B1E-64795396018F}" type="presParOf" srcId="{9D8B49BD-1DF7-4888-9A7E-2CFD4320CC2B}" destId="{A86195D8-E78B-4F8B-B1C4-EFBBA8999B88}" srcOrd="22" destOrd="0" presId="urn:microsoft.com/office/officeart/2005/8/layout/radial1"/>
    <dgm:cxn modelId="{1C025E05-4D50-428B-889B-2E58F2DC3551}" type="presParOf" srcId="{9D8B49BD-1DF7-4888-9A7E-2CFD4320CC2B}" destId="{48D8EFE9-A375-4136-B36E-91EB3A5F0349}" srcOrd="23" destOrd="0" presId="urn:microsoft.com/office/officeart/2005/8/layout/radial1"/>
    <dgm:cxn modelId="{C01F4210-396A-4A7E-8C58-5E046A093E08}" type="presParOf" srcId="{48D8EFE9-A375-4136-B36E-91EB3A5F0349}" destId="{3534FF94-72C6-43FB-8F21-668E71284740}" srcOrd="0" destOrd="0" presId="urn:microsoft.com/office/officeart/2005/8/layout/radial1"/>
    <dgm:cxn modelId="{E2A284EA-7B9A-4CD1-90A8-AF7DB9F250D8}" type="presParOf" srcId="{9D8B49BD-1DF7-4888-9A7E-2CFD4320CC2B}" destId="{2CC81EFE-1B09-4239-A772-C0141AEBEE08}" srcOrd="24" destOrd="0" presId="urn:microsoft.com/office/officeart/2005/8/layout/radial1"/>
  </dgm:cxnLst>
  <dgm:bg>
    <a:noFill/>
  </dgm:bg>
  <dgm:whole/>
  <dgm:extLst>
    <a:ext uri="http://schemas.microsoft.com/office/drawing/2008/diagram">
      <dsp:dataModelExt xmlns:dsp="http://schemas.microsoft.com/office/drawing/2008/diagram" relId="rId100"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353876" y="1135605"/>
          <a:ext cx="1197049" cy="444878"/>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56624" y="1080638"/>
          <a:ext cx="1096159" cy="544549"/>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solidFill>
              <a:latin typeface="Arial" panose="020B0604020202020204" pitchFamily="34" charset="0"/>
              <a:ea typeface="+mn-ea"/>
              <a:cs typeface="Arial" panose="020B0604020202020204" pitchFamily="34" charset="0"/>
            </a:rPr>
            <a:t>Programa 17 </a:t>
          </a:r>
        </a:p>
        <a:p>
          <a:r>
            <a:rPr lang="en-US" sz="900">
              <a:solidFill>
                <a:sysClr val="windowText" lastClr="000000"/>
              </a:solidFill>
              <a:latin typeface="Arial" panose="020B0604020202020204" pitchFamily="34" charset="0"/>
              <a:cs typeface="Arial" panose="020B0604020202020204" pitchFamily="34" charset="0"/>
            </a:rPr>
            <a:t>Fomentar el respeto por P.I.</a:t>
          </a:r>
          <a:endParaRPr lang="en-US" sz="900">
            <a:solidFill>
              <a:sysClr val="windowText" lastClr="000000"/>
            </a:solidFill>
            <a:latin typeface="Arial" panose="020B0604020202020204" pitchFamily="34" charset="0"/>
            <a:ea typeface="+mn-ea"/>
            <a:cs typeface="Arial" panose="020B0604020202020204" pitchFamily="34" charset="0"/>
          </a:endParaRP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0807515">
          <a:off x="1152777" y="1348687"/>
          <a:ext cx="1201111"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4FBC2E2-D754-42C1-BEE4-690296442511}">
      <dgm:prSet phldrT="[Text]" custT="1"/>
      <dgm:spPr>
        <a:xfrm>
          <a:off x="47623" y="1724025"/>
          <a:ext cx="1242831" cy="501601"/>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solidFill>
              <a:latin typeface="Arial" panose="020B0604020202020204" pitchFamily="34" charset="0"/>
              <a:ea typeface="+mn-ea"/>
              <a:cs typeface="Arial" panose="020B0604020202020204" pitchFamily="34" charset="0"/>
            </a:rPr>
            <a:t>Programa 15 </a:t>
          </a:r>
        </a:p>
        <a:p>
          <a:r>
            <a:rPr lang="en-US" sz="900">
              <a:solidFill>
                <a:sysClr val="windowText" lastClr="000000"/>
              </a:solidFill>
              <a:latin typeface="Arial" panose="020B0604020202020204" pitchFamily="34" charset="0"/>
              <a:ea typeface="+mn-ea"/>
              <a:cs typeface="Arial" panose="020B0604020202020204" pitchFamily="34" charset="0"/>
            </a:rPr>
            <a:t>Soluciones operativas para OPI</a:t>
          </a: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9893043">
          <a:off x="1162476" y="1655340"/>
          <a:ext cx="132875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28F477-2289-4CEE-9618-96DDAFCD4291}">
      <dgm:prSet phldrT="[Text]" custT="1"/>
      <dgm:spPr>
        <a:xfrm>
          <a:off x="1009651" y="2123636"/>
          <a:ext cx="1277848" cy="485936"/>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solidFill>
              <a:latin typeface="Arial" panose="020B0604020202020204" pitchFamily="34" charset="0"/>
              <a:ea typeface="+mn-ea"/>
              <a:cs typeface="Arial" panose="020B0604020202020204" pitchFamily="34" charset="0"/>
            </a:rPr>
            <a:t>Programa 14 </a:t>
          </a:r>
        </a:p>
        <a:p>
          <a:r>
            <a:rPr lang="en-US" sz="900">
              <a:solidFill>
                <a:sysClr val="windowText" lastClr="000000"/>
              </a:solidFill>
              <a:latin typeface="Arial" panose="020B0604020202020204" pitchFamily="34" charset="0"/>
              <a:ea typeface="+mn-ea"/>
              <a:cs typeface="Arial" panose="020B0604020202020204" pitchFamily="34" charset="0"/>
            </a:rPr>
            <a:t>Acceso a info. y conocimientos</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8536599">
          <a:off x="1829671" y="1846815"/>
          <a:ext cx="96431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C1FA040-4399-40F0-866F-845B7914F68D}">
      <dgm:prSet phldrT="[Text]" custT="1"/>
      <dgm:spPr>
        <a:xfrm>
          <a:off x="2382822" y="2206113"/>
          <a:ext cx="1177630" cy="4405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11 </a:t>
          </a:r>
        </a:p>
        <a:p>
          <a:r>
            <a:rPr lang="en-US" sz="900">
              <a:solidFill>
                <a:sysClr val="windowText" lastClr="000000"/>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5338107">
          <a:off x="2649168" y="1886562"/>
          <a:ext cx="625739"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4602118-D739-48CC-85E0-791974AFA995}">
      <dgm:prSet phldrT="[Text]" custT="1"/>
      <dgm:spPr>
        <a:xfrm>
          <a:off x="3610838" y="1963835"/>
          <a:ext cx="1178346" cy="5126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6</a:t>
          </a:r>
        </a:p>
        <a:p>
          <a:r>
            <a:rPr lang="en-US" sz="900">
              <a:solidFill>
                <a:sysClr val="windowText" lastClr="000000"/>
              </a:solidFill>
              <a:latin typeface="Arial" panose="020B0604020202020204" pitchFamily="34" charset="0"/>
              <a:ea typeface="+mn-ea"/>
              <a:cs typeface="Arial" panose="020B0604020202020204" pitchFamily="34" charset="0"/>
            </a:rPr>
            <a:t> Sistemas de Madrid y Lisboa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2078712">
          <a:off x="3165832" y="1771862"/>
          <a:ext cx="790334"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B0D84B1-C440-4746-9EEF-F1ED71D64DD2}">
      <dgm:prSet phldrT="[Text]" custT="1"/>
      <dgm:spPr>
        <a:xfrm>
          <a:off x="4597805" y="1502352"/>
          <a:ext cx="964795" cy="5074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5</a:t>
          </a:r>
        </a:p>
        <a:p>
          <a:r>
            <a:rPr lang="en-US" sz="900">
              <a:solidFill>
                <a:sysClr val="windowText" lastClr="000000"/>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635706">
          <a:off x="3477151" y="1557811"/>
          <a:ext cx="115842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DAE892F-3F2D-42A5-BB1C-58D0E6BD9A47}">
      <dgm:prSet phldrT="[Text]" custT="1"/>
      <dgm:spPr>
        <a:xfrm>
          <a:off x="4769844" y="950820"/>
          <a:ext cx="1173755" cy="47534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357974">
          <a:off x="3538896" y="1266186"/>
          <a:ext cx="124118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0FE4372-65E6-4D92-B9B0-D2B79F26FB27}">
      <dgm:prSet phldrT="[Text]" custT="1"/>
      <dgm:spPr>
        <a:xfrm>
          <a:off x="4345518" y="457200"/>
          <a:ext cx="950381" cy="4925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3</a:t>
          </a:r>
        </a:p>
        <a:p>
          <a:r>
            <a:rPr lang="en-US" sz="900">
              <a:solidFill>
                <a:sysClr val="windowText" lastClr="000000"/>
              </a:solidFill>
              <a:latin typeface="Arial" panose="020B0604020202020204" pitchFamily="34" charset="0"/>
              <a:ea typeface="+mn-ea"/>
              <a:cs typeface="Arial" panose="020B0604020202020204" pitchFamily="34" charset="0"/>
            </a:rPr>
            <a:t> </a:t>
          </a:r>
          <a:r>
            <a:rPr lang="en-US" sz="900">
              <a:solidFill>
                <a:sysClr val="windowText" lastClr="000000"/>
              </a:solidFill>
              <a:latin typeface="Arial" panose="020B0604020202020204" pitchFamily="34" charset="0"/>
              <a:cs typeface="Arial" panose="020B0604020202020204" pitchFamily="34" charset="0"/>
            </a:rPr>
            <a:t>D.A.D.C</a:t>
          </a:r>
          <a:endParaRPr lang="en-US" sz="900">
            <a:solidFill>
              <a:sysClr val="windowText" lastClr="000000"/>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41511">
          <a:off x="3356948" y="1016694"/>
          <a:ext cx="1101050"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8446A3-EA8C-4C13-8A65-DF8A110D0838}">
      <dgm:prSet phldrT="[Text]" custT="1"/>
      <dgm:spPr>
        <a:xfrm>
          <a:off x="3457576" y="82960"/>
          <a:ext cx="1117371" cy="49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2 </a:t>
          </a:r>
        </a:p>
        <a:p>
          <a:r>
            <a:rPr lang="en-US" sz="900">
              <a:solidFill>
                <a:sysClr val="windowText" lastClr="000000"/>
              </a:solidFill>
              <a:latin typeface="Arial" panose="020B0604020202020204" pitchFamily="34" charset="0"/>
              <a:cs typeface="Arial" panose="020B0604020202020204" pitchFamily="34" charset="0"/>
            </a:rPr>
            <a:t>Marcas, DD.II. e II.GG.</a:t>
          </a:r>
          <a:endParaRPr lang="en-US" sz="900">
            <a:solidFill>
              <a:sysClr val="windowText" lastClr="000000"/>
            </a:solidFill>
            <a:latin typeface="Arial" panose="020B0604020202020204" pitchFamily="34" charset="0"/>
            <a:ea typeface="+mn-ea"/>
            <a:cs typeface="Arial" panose="020B0604020202020204" pitchFamily="34" charset="0"/>
          </a:endParaRP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62181">
          <a:off x="3048040" y="847527"/>
          <a:ext cx="853408"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8A5766F-115C-487E-B7CB-4ADE150678D1}">
      <dgm:prSet phldrT="[Text]" custT="1"/>
      <dgm:spPr>
        <a:xfrm>
          <a:off x="2474601" y="3477"/>
          <a:ext cx="938174" cy="465085"/>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solidFill>
              <a:latin typeface="Arial" panose="020B0604020202020204" pitchFamily="34" charset="0"/>
              <a:ea typeface="+mn-ea"/>
              <a:cs typeface="Arial" panose="020B0604020202020204" pitchFamily="34" charset="0"/>
            </a:rPr>
            <a:t>Programa 1 </a:t>
          </a:r>
        </a:p>
        <a:p>
          <a:r>
            <a:rPr lang="en-US" sz="900">
              <a:solidFill>
                <a:sysClr val="windowText" lastClr="000000"/>
              </a:solidFill>
              <a:latin typeface="Arial" panose="020B0604020202020204" pitchFamily="34" charset="0"/>
              <a:ea typeface="+mn-ea"/>
              <a:cs typeface="Arial" panose="020B0604020202020204" pitchFamily="34" charset="0"/>
            </a:rPr>
            <a:t>Derecho de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173306">
          <a:off x="2614550" y="795347"/>
          <a:ext cx="667066"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65A13E9-3C79-4155-B943-C33E81DAC317}">
      <dgm:prSet phldrT="[Text]" custT="1"/>
      <dgm:spPr>
        <a:xfrm>
          <a:off x="190501" y="487596"/>
          <a:ext cx="1219030" cy="529650"/>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r>
            <a:rPr lang="en-US" sz="1000">
              <a:solidFill>
                <a:sysClr val="windowText" lastClr="000000"/>
              </a:solidFill>
              <a:latin typeface="Arial" panose="020B0604020202020204" pitchFamily="34" charset="0"/>
              <a:ea typeface="+mn-ea"/>
              <a:cs typeface="Arial" panose="020B0604020202020204" pitchFamily="34" charset="0"/>
            </a:rPr>
            <a:t>Programa 20 </a:t>
          </a:r>
        </a:p>
        <a:p>
          <a:r>
            <a:rPr lang="en-US" sz="900">
              <a:solidFill>
                <a:sysClr val="windowText" lastClr="000000"/>
              </a:solidFill>
              <a:latin typeface="Arial" panose="020B0604020202020204" pitchFamily="34" charset="0"/>
              <a:ea typeface="+mn-ea"/>
              <a:cs typeface="Arial" panose="020B0604020202020204" pitchFamily="34" charset="0"/>
            </a:rPr>
            <a:t>Relaciones exteriores</a:t>
          </a:r>
        </a:p>
      </dgm:t>
    </dgm:pt>
    <dgm:pt modelId="{98B9F8AD-7347-45A5-BC2B-65EB3DDF63CC}" type="parTrans" cxnId="{DF9EB478-C224-42F7-822E-5C2EA98D82E9}">
      <dgm:prSet/>
      <dgm:spPr>
        <a:xfrm rot="11742912">
          <a:off x="1289029" y="1053338"/>
          <a:ext cx="1208775"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65C76345-3C56-4B13-AF62-A1F968209579}" type="sibTrans" cxnId="{DF9EB478-C224-42F7-822E-5C2EA98D82E9}">
      <dgm:prSet/>
      <dgm:spPr/>
      <dgm:t>
        <a:bodyPr/>
        <a:lstStyle/>
        <a:p>
          <a:endParaRPr lang="en-US"/>
        </a:p>
      </dgm:t>
    </dgm:pt>
    <dgm:pt modelId="{B5C2DFB0-7F22-4F16-BFC5-827634DBBB86}">
      <dgm:prSet phldrT="[Text]" custT="1"/>
      <dgm:spPr>
        <a:xfrm>
          <a:off x="1197160" y="95254"/>
          <a:ext cx="1267927" cy="546573"/>
        </a:xfrm>
        <a:solidFill>
          <a:srgbClr val="4F81BD">
            <a:lumMod val="40000"/>
            <a:lumOff val="60000"/>
          </a:srgbClr>
        </a:solidFill>
        <a:ln>
          <a:noFill/>
        </a:ln>
        <a:effectLst>
          <a:outerShdw blurRad="40000" dist="23000" dir="5400000" rotWithShape="0">
            <a:srgbClr val="000000">
              <a:alpha val="35000"/>
            </a:srgbClr>
          </a:outerShdw>
        </a:effectLst>
      </dgm:spPr>
      <dgm:t>
        <a:bodyPr lIns="0" tIns="0" rIns="0" bIns="0"/>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endParaRPr lang="en-US" sz="900">
            <a:solidFill>
              <a:srgbClr val="FF0000"/>
            </a:solidFill>
            <a:latin typeface="Arial" panose="020B0604020202020204" pitchFamily="34" charset="0"/>
            <a:ea typeface="+mn-ea"/>
            <a:cs typeface="Arial" panose="020B0604020202020204" pitchFamily="34" charset="0"/>
          </a:endParaRPr>
        </a:p>
        <a:p>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6BB491DD-4CE9-49F2-B4D3-F1DB91178D32}" type="parTrans" cxnId="{995CF8D1-4BF5-4F86-9B58-5047CF3CBA94}">
      <dgm:prSet/>
      <dgm:spPr>
        <a:xfrm rot="13285665">
          <a:off x="2007481" y="876834"/>
          <a:ext cx="814517" cy="13473"/>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95F378-0A86-44D0-AD56-ADCA8BB5C969}" type="sibTrans" cxnId="{995CF8D1-4BF5-4F86-9B58-5047CF3CBA9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69073"/>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2"/>
      <dgm:spPr>
        <a:custGeom>
          <a:avLst/>
          <a:gdLst/>
          <a:ahLst/>
          <a:cxnLst/>
          <a:rect l="0" t="0" r="0" b="0"/>
          <a:pathLst>
            <a:path>
              <a:moveTo>
                <a:pt x="0" y="6736"/>
              </a:moveTo>
              <a:lnTo>
                <a:pt x="667066" y="6736"/>
              </a:lnTo>
            </a:path>
          </a:pathLst>
        </a:custGeom>
      </dgm:spPr>
      <dgm:t>
        <a:bodyPr/>
        <a:lstStyle/>
        <a:p>
          <a:endParaRPr lang="en-US"/>
        </a:p>
      </dgm:t>
    </dgm:pt>
    <dgm:pt modelId="{B06AADB2-5D51-41DC-8677-C0CC2357518B}" type="pres">
      <dgm:prSet presAssocID="{BA28F4A6-AD16-499D-88C1-DBE004B28175}" presName="connTx" presStyleLbl="parChTrans1D2" presStyleIdx="0" presStyleCnt="12"/>
      <dgm:spPr/>
      <dgm:t>
        <a:bodyPr/>
        <a:lstStyle/>
        <a:p>
          <a:endParaRPr lang="en-US"/>
        </a:p>
      </dgm:t>
    </dgm:pt>
    <dgm:pt modelId="{AFD0CC05-9AD4-4A51-8739-4FB4CA1E4ACE}" type="pres">
      <dgm:prSet presAssocID="{68A5766F-115C-487E-B7CB-4ADE150678D1}" presName="node" presStyleLbl="node1" presStyleIdx="0" presStyleCnt="12" custScaleX="204363" custScaleY="104542" custRadScaleRad="89203" custRadScaleInc="80645">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2"/>
      <dgm:spPr>
        <a:custGeom>
          <a:avLst/>
          <a:gdLst/>
          <a:ahLst/>
          <a:cxnLst/>
          <a:rect l="0" t="0" r="0" b="0"/>
          <a:pathLst>
            <a:path>
              <a:moveTo>
                <a:pt x="0" y="6736"/>
              </a:moveTo>
              <a:lnTo>
                <a:pt x="853408" y="6736"/>
              </a:lnTo>
            </a:path>
          </a:pathLst>
        </a:custGeom>
      </dgm:spPr>
      <dgm:t>
        <a:bodyPr/>
        <a:lstStyle/>
        <a:p>
          <a:endParaRPr lang="en-US"/>
        </a:p>
      </dgm:t>
    </dgm:pt>
    <dgm:pt modelId="{A8CF68B1-7D91-429E-8C8D-53007288E1DC}" type="pres">
      <dgm:prSet presAssocID="{DB9FEC62-86A7-454A-89B3-F32F1907C71A}" presName="connTx" presStyleLbl="parChTrans1D2" presStyleIdx="1" presStyleCnt="12"/>
      <dgm:spPr/>
      <dgm:t>
        <a:bodyPr/>
        <a:lstStyle/>
        <a:p>
          <a:endParaRPr lang="en-US"/>
        </a:p>
      </dgm:t>
    </dgm:pt>
    <dgm:pt modelId="{D9366F31-B7D7-4B43-830C-AD5E2193A794}" type="pres">
      <dgm:prSet presAssocID="{898446A3-EA8C-4C13-8A65-DF8A110D0838}" presName="node" presStyleLbl="node1" presStyleIdx="1" presStyleCnt="12" custScaleX="210567" custScaleY="111954" custRadScaleRad="127356" custRadScaleInc="151745">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2"/>
      <dgm:spPr>
        <a:custGeom>
          <a:avLst/>
          <a:gdLst/>
          <a:ahLst/>
          <a:cxnLst/>
          <a:rect l="0" t="0" r="0" b="0"/>
          <a:pathLst>
            <a:path>
              <a:moveTo>
                <a:pt x="0" y="6736"/>
              </a:moveTo>
              <a:lnTo>
                <a:pt x="1101050" y="6736"/>
              </a:lnTo>
            </a:path>
          </a:pathLst>
        </a:custGeom>
      </dgm:spPr>
      <dgm:t>
        <a:bodyPr/>
        <a:lstStyle/>
        <a:p>
          <a:endParaRPr lang="en-US"/>
        </a:p>
      </dgm:t>
    </dgm:pt>
    <dgm:pt modelId="{905DF954-A0B6-4A5F-9CE2-F1C3ADBDD0C1}" type="pres">
      <dgm:prSet presAssocID="{D94B5549-C2D2-4629-ACDF-33C6E334FA3A}" presName="connTx" presStyleLbl="parChTrans1D2" presStyleIdx="2" presStyleCnt="12"/>
      <dgm:spPr/>
      <dgm:t>
        <a:bodyPr/>
        <a:lstStyle/>
        <a:p>
          <a:endParaRPr lang="en-US"/>
        </a:p>
      </dgm:t>
    </dgm:pt>
    <dgm:pt modelId="{ECD2D13D-466C-468B-BD6C-1B646D8E5B8E}" type="pres">
      <dgm:prSet presAssocID="{F0FE4372-65E6-4D92-B9B0-D2B79F26FB27}" presName="node" presStyleLbl="node1" presStyleIdx="2" presStyleCnt="12" custScaleX="192191" custScaleY="80677" custRadScaleRad="165382" custRadScaleInc="88926">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2"/>
      <dgm:spPr>
        <a:custGeom>
          <a:avLst/>
          <a:gdLst/>
          <a:ahLst/>
          <a:cxnLst/>
          <a:rect l="0" t="0" r="0" b="0"/>
          <a:pathLst>
            <a:path>
              <a:moveTo>
                <a:pt x="0" y="6736"/>
              </a:moveTo>
              <a:lnTo>
                <a:pt x="1241186" y="6736"/>
              </a:lnTo>
            </a:path>
          </a:pathLst>
        </a:custGeom>
      </dgm:spPr>
      <dgm:t>
        <a:bodyPr/>
        <a:lstStyle/>
        <a:p>
          <a:endParaRPr lang="en-US"/>
        </a:p>
      </dgm:t>
    </dgm:pt>
    <dgm:pt modelId="{48797E66-4F8B-4B79-BCA7-6F88E85CF835}" type="pres">
      <dgm:prSet presAssocID="{D22DE764-173E-47DF-9480-722F8D8EA62C}" presName="connTx" presStyleLbl="parChTrans1D2" presStyleIdx="3" presStyleCnt="12"/>
      <dgm:spPr/>
      <dgm:t>
        <a:bodyPr/>
        <a:lstStyle/>
        <a:p>
          <a:endParaRPr lang="en-US"/>
        </a:p>
      </dgm:t>
    </dgm:pt>
    <dgm:pt modelId="{7E7DDE23-6C04-407D-AAB6-669511EA704E}" type="pres">
      <dgm:prSet presAssocID="{6DAE892F-3F2D-42A5-BB1C-58D0E6BD9A47}" presName="node" presStyleLbl="node1" presStyleIdx="3" presStyleCnt="12" custScaleX="263837" custScaleY="106849" custRadScaleRad="214413" custRadScaleInc="-15249">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2"/>
      <dgm:spPr>
        <a:custGeom>
          <a:avLst/>
          <a:gdLst/>
          <a:ahLst/>
          <a:cxnLst/>
          <a:rect l="0" t="0" r="0" b="0"/>
          <a:pathLst>
            <a:path>
              <a:moveTo>
                <a:pt x="0" y="6736"/>
              </a:moveTo>
              <a:lnTo>
                <a:pt x="1158420" y="6736"/>
              </a:lnTo>
            </a:path>
          </a:pathLst>
        </a:custGeom>
      </dgm:spPr>
      <dgm:t>
        <a:bodyPr/>
        <a:lstStyle/>
        <a:p>
          <a:endParaRPr lang="en-US"/>
        </a:p>
      </dgm:t>
    </dgm:pt>
    <dgm:pt modelId="{0D3BFC0A-5ED4-4CCF-A336-A529B3363890}" type="pres">
      <dgm:prSet presAssocID="{9E510621-404D-46D6-8EB3-39712C8626D4}" presName="connTx" presStyleLbl="parChTrans1D2" presStyleIdx="4" presStyleCnt="12"/>
      <dgm:spPr/>
      <dgm:t>
        <a:bodyPr/>
        <a:lstStyle/>
        <a:p>
          <a:endParaRPr lang="en-US"/>
        </a:p>
      </dgm:t>
    </dgm:pt>
    <dgm:pt modelId="{66DADE40-99AE-41BE-B997-129EED231064}" type="pres">
      <dgm:prSet presAssocID="{DB0D84B1-C440-4746-9EEF-F1ED71D64DD2}" presName="node" presStyleLbl="node1" presStyleIdx="4" presStyleCnt="12" custScaleX="190185" custScaleY="76035" custRadScaleRad="170783" custRadScaleInc="-126514">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2"/>
      <dgm:spPr>
        <a:custGeom>
          <a:avLst/>
          <a:gdLst/>
          <a:ahLst/>
          <a:cxnLst/>
          <a:rect l="0" t="0" r="0" b="0"/>
          <a:pathLst>
            <a:path>
              <a:moveTo>
                <a:pt x="0" y="6736"/>
              </a:moveTo>
              <a:lnTo>
                <a:pt x="790334" y="6736"/>
              </a:lnTo>
            </a:path>
          </a:pathLst>
        </a:custGeom>
      </dgm:spPr>
      <dgm:t>
        <a:bodyPr/>
        <a:lstStyle/>
        <a:p>
          <a:endParaRPr lang="en-US"/>
        </a:p>
      </dgm:t>
    </dgm:pt>
    <dgm:pt modelId="{32B4D7AF-BD29-4AC4-BA11-37F2AE9561F4}" type="pres">
      <dgm:prSet presAssocID="{3F89048A-3F9F-4897-8631-4599F4976029}" presName="connTx" presStyleLbl="parChTrans1D2" presStyleIdx="5" presStyleCnt="12"/>
      <dgm:spPr/>
      <dgm:t>
        <a:bodyPr/>
        <a:lstStyle/>
        <a:p>
          <a:endParaRPr lang="en-US"/>
        </a:p>
      </dgm:t>
    </dgm:pt>
    <dgm:pt modelId="{DB594876-4070-4577-942D-67F5CD4D6A19}" type="pres">
      <dgm:prSet presAssocID="{14602118-D739-48CC-85E0-791974AFA995}" presName="node" presStyleLbl="node1" presStyleIdx="5" presStyleCnt="12" custScaleX="245366" custScaleY="118616" custRadScaleRad="122142" custRadScaleInc="-167064">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2"/>
      <dgm:spPr>
        <a:custGeom>
          <a:avLst/>
          <a:gdLst/>
          <a:ahLst/>
          <a:cxnLst/>
          <a:rect l="0" t="0" r="0" b="0"/>
          <a:pathLst>
            <a:path>
              <a:moveTo>
                <a:pt x="0" y="6736"/>
              </a:moveTo>
              <a:lnTo>
                <a:pt x="625739" y="6736"/>
              </a:lnTo>
            </a:path>
          </a:pathLst>
        </a:custGeom>
      </dgm:spPr>
      <dgm:t>
        <a:bodyPr/>
        <a:lstStyle/>
        <a:p>
          <a:endParaRPr lang="en-US"/>
        </a:p>
      </dgm:t>
    </dgm:pt>
    <dgm:pt modelId="{B930024E-8665-4782-9C41-36517A71FCD4}" type="pres">
      <dgm:prSet presAssocID="{98585C11-761C-43C4-979D-FB1B8BABF102}" presName="connTx" presStyleLbl="parChTrans1D2" presStyleIdx="6" presStyleCnt="12"/>
      <dgm:spPr/>
      <dgm:t>
        <a:bodyPr/>
        <a:lstStyle/>
        <a:p>
          <a:endParaRPr lang="en-US"/>
        </a:p>
      </dgm:t>
    </dgm:pt>
    <dgm:pt modelId="{69F18085-0AC3-4BAE-9B16-F8478FFBD61E}" type="pres">
      <dgm:prSet presAssocID="{7C1FA040-4399-40F0-866F-845B7914F68D}" presName="node" presStyleLbl="node1" presStyleIdx="6" presStyleCnt="12" custScaleX="231625" custScaleY="101714" custRadScaleRad="86001" custRadScaleInc="-44029">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2"/>
      <dgm:spPr>
        <a:custGeom>
          <a:avLst/>
          <a:gdLst/>
          <a:ahLst/>
          <a:cxnLst/>
          <a:rect l="0" t="0" r="0" b="0"/>
          <a:pathLst>
            <a:path>
              <a:moveTo>
                <a:pt x="0" y="6736"/>
              </a:moveTo>
              <a:lnTo>
                <a:pt x="964315" y="6736"/>
              </a:lnTo>
            </a:path>
          </a:pathLst>
        </a:custGeom>
      </dgm:spPr>
      <dgm:t>
        <a:bodyPr/>
        <a:lstStyle/>
        <a:p>
          <a:endParaRPr lang="en-US"/>
        </a:p>
      </dgm:t>
    </dgm:pt>
    <dgm:pt modelId="{3EA6B60F-F2E8-4D48-9EC1-CAAE09243949}" type="pres">
      <dgm:prSet presAssocID="{DEF73824-C893-4963-9504-7E97D2FF5253}" presName="connTx" presStyleLbl="parChTrans1D2" presStyleIdx="7" presStyleCnt="12"/>
      <dgm:spPr/>
      <dgm:t>
        <a:bodyPr/>
        <a:lstStyle/>
        <a:p>
          <a:endParaRPr lang="en-US"/>
        </a:p>
      </dgm:t>
    </dgm:pt>
    <dgm:pt modelId="{49C45DFA-0A15-4DAA-80DC-CAE4ABCC6B43}" type="pres">
      <dgm:prSet presAssocID="{2628F477-2289-4CEE-9618-96DDAFCD4291}" presName="node" presStyleLbl="node1" presStyleIdx="7" presStyleCnt="12" custScaleX="268233" custScaleY="118100" custRadScaleRad="128142" custRadScaleInc="107419">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2"/>
      <dgm:spPr>
        <a:custGeom>
          <a:avLst/>
          <a:gdLst/>
          <a:ahLst/>
          <a:cxnLst/>
          <a:rect l="0" t="0" r="0" b="0"/>
          <a:pathLst>
            <a:path>
              <a:moveTo>
                <a:pt x="0" y="6736"/>
              </a:moveTo>
              <a:lnTo>
                <a:pt x="1328759" y="6736"/>
              </a:lnTo>
            </a:path>
          </a:pathLst>
        </a:custGeom>
      </dgm:spPr>
      <dgm:t>
        <a:bodyPr/>
        <a:lstStyle/>
        <a:p>
          <a:endParaRPr lang="en-US"/>
        </a:p>
      </dgm:t>
    </dgm:pt>
    <dgm:pt modelId="{280B3AB5-4999-4B99-8BE9-E09C9DF5D482}" type="pres">
      <dgm:prSet presAssocID="{2F72DDEE-62D3-48A5-836A-4C87596541F0}" presName="connTx" presStyleLbl="parChTrans1D2" presStyleIdx="8" presStyleCnt="12"/>
      <dgm:spPr/>
      <dgm:t>
        <a:bodyPr/>
        <a:lstStyle/>
        <a:p>
          <a:endParaRPr lang="en-US"/>
        </a:p>
      </dgm:t>
    </dgm:pt>
    <dgm:pt modelId="{402B25BB-F397-46B5-AAB7-C38C2276BF82}" type="pres">
      <dgm:prSet presAssocID="{44FBC2E2-D754-42C1-BEE4-690296442511}" presName="node" presStyleLbl="node1" presStyleIdx="8" presStyleCnt="12" custScaleX="288384" custScaleY="120124" custRadScaleRad="168619" custRadScaleInc="89201">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2"/>
      <dgm:spPr>
        <a:custGeom>
          <a:avLst/>
          <a:gdLst/>
          <a:ahLst/>
          <a:cxnLst/>
          <a:rect l="0" t="0" r="0" b="0"/>
          <a:pathLst>
            <a:path>
              <a:moveTo>
                <a:pt x="0" y="6736"/>
              </a:moveTo>
              <a:lnTo>
                <a:pt x="1201111" y="6736"/>
              </a:lnTo>
            </a:path>
          </a:pathLst>
        </a:custGeom>
      </dgm:spPr>
      <dgm:t>
        <a:bodyPr/>
        <a:lstStyle/>
        <a:p>
          <a:endParaRPr lang="en-US"/>
        </a:p>
      </dgm:t>
    </dgm:pt>
    <dgm:pt modelId="{A140118B-14B1-45A7-9CF9-17E4D006F84D}" type="pres">
      <dgm:prSet presAssocID="{B4A5C031-92B2-438E-80BC-EAA05F5C7CF7}" presName="connTx" presStyleLbl="parChTrans1D2" presStyleIdx="9" presStyleCnt="12"/>
      <dgm:spPr/>
      <dgm:t>
        <a:bodyPr/>
        <a:lstStyle/>
        <a:p>
          <a:endParaRPr lang="en-US"/>
        </a:p>
      </dgm:t>
    </dgm:pt>
    <dgm:pt modelId="{5AF8D9AC-0C15-4D1B-BCD3-7FFCFF0A581D}" type="pres">
      <dgm:prSet presAssocID="{D460D018-736B-4CE5-A14B-061F8EFE829B}" presName="node" presStyleLbl="node1" presStyleIdx="9" presStyleCnt="12" custScaleX="224298" custScaleY="122404" custRadScaleRad="179019" custRadScaleInc="7681">
        <dgm:presLayoutVars>
          <dgm:bulletEnabled val="1"/>
        </dgm:presLayoutVars>
      </dgm:prSet>
      <dgm:spPr>
        <a:prstGeom prst="ellipse">
          <a:avLst/>
        </a:prstGeom>
      </dgm:spPr>
      <dgm:t>
        <a:bodyPr/>
        <a:lstStyle/>
        <a:p>
          <a:endParaRPr lang="en-US"/>
        </a:p>
      </dgm:t>
    </dgm:pt>
    <dgm:pt modelId="{701CC827-3AE5-4421-983B-6398C783C82F}" type="pres">
      <dgm:prSet presAssocID="{98B9F8AD-7347-45A5-BC2B-65EB3DDF63CC}" presName="Name9" presStyleLbl="parChTrans1D2" presStyleIdx="10" presStyleCnt="12"/>
      <dgm:spPr>
        <a:custGeom>
          <a:avLst/>
          <a:gdLst/>
          <a:ahLst/>
          <a:cxnLst/>
          <a:rect l="0" t="0" r="0" b="0"/>
          <a:pathLst>
            <a:path>
              <a:moveTo>
                <a:pt x="0" y="6736"/>
              </a:moveTo>
              <a:lnTo>
                <a:pt x="1208775" y="6736"/>
              </a:lnTo>
            </a:path>
          </a:pathLst>
        </a:custGeom>
      </dgm:spPr>
      <dgm:t>
        <a:bodyPr/>
        <a:lstStyle/>
        <a:p>
          <a:endParaRPr lang="en-US"/>
        </a:p>
      </dgm:t>
    </dgm:pt>
    <dgm:pt modelId="{282CA825-226C-4E92-9F37-4F68B159DB24}" type="pres">
      <dgm:prSet presAssocID="{98B9F8AD-7347-45A5-BC2B-65EB3DDF63CC}" presName="connTx" presStyleLbl="parChTrans1D2" presStyleIdx="10" presStyleCnt="12"/>
      <dgm:spPr/>
      <dgm:t>
        <a:bodyPr/>
        <a:lstStyle/>
        <a:p>
          <a:endParaRPr lang="en-US"/>
        </a:p>
      </dgm:t>
    </dgm:pt>
    <dgm:pt modelId="{A86195D8-E78B-4F8B-B1C4-EFBBA8999B88}" type="pres">
      <dgm:prSet presAssocID="{D65A13E9-3C79-4155-B943-C33E81DAC317}" presName="node" presStyleLbl="node1" presStyleIdx="10" presStyleCnt="12" custScaleX="217151" custScaleY="119055" custRadScaleRad="162642" custRadScaleInc="-75058">
        <dgm:presLayoutVars>
          <dgm:bulletEnabled val="1"/>
        </dgm:presLayoutVars>
      </dgm:prSet>
      <dgm:spPr>
        <a:prstGeom prst="ellipse">
          <a:avLst/>
        </a:prstGeom>
      </dgm:spPr>
      <dgm:t>
        <a:bodyPr/>
        <a:lstStyle/>
        <a:p>
          <a:endParaRPr lang="en-US"/>
        </a:p>
      </dgm:t>
    </dgm:pt>
    <dgm:pt modelId="{155F429B-0A10-4501-ADF1-CAD1F85BB50E}" type="pres">
      <dgm:prSet presAssocID="{6BB491DD-4CE9-49F2-B4D3-F1DB91178D32}" presName="Name9" presStyleLbl="parChTrans1D2" presStyleIdx="11" presStyleCnt="12"/>
      <dgm:spPr>
        <a:custGeom>
          <a:avLst/>
          <a:gdLst/>
          <a:ahLst/>
          <a:cxnLst/>
          <a:rect l="0" t="0" r="0" b="0"/>
          <a:pathLst>
            <a:path>
              <a:moveTo>
                <a:pt x="0" y="6736"/>
              </a:moveTo>
              <a:lnTo>
                <a:pt x="814517" y="6736"/>
              </a:lnTo>
            </a:path>
          </a:pathLst>
        </a:custGeom>
      </dgm:spPr>
      <dgm:t>
        <a:bodyPr/>
        <a:lstStyle/>
        <a:p>
          <a:endParaRPr lang="en-US"/>
        </a:p>
      </dgm:t>
    </dgm:pt>
    <dgm:pt modelId="{8C19F320-E7BE-4A6B-961D-98CF34160A4C}" type="pres">
      <dgm:prSet presAssocID="{6BB491DD-4CE9-49F2-B4D3-F1DB91178D32}" presName="connTx" presStyleLbl="parChTrans1D2" presStyleIdx="11" presStyleCnt="12"/>
      <dgm:spPr/>
      <dgm:t>
        <a:bodyPr/>
        <a:lstStyle/>
        <a:p>
          <a:endParaRPr lang="en-US"/>
        </a:p>
      </dgm:t>
    </dgm:pt>
    <dgm:pt modelId="{04A81C5D-1DF3-47DF-8447-322057132F11}" type="pres">
      <dgm:prSet presAssocID="{B5C2DFB0-7F22-4F16-BFC5-827634DBBB86}" presName="node" presStyleLbl="node1" presStyleIdx="11" presStyleCnt="12" custScaleX="267390" custScaleY="125140" custRadScaleRad="113617" custRadScaleInc="-78714">
        <dgm:presLayoutVars>
          <dgm:bulletEnabled val="1"/>
        </dgm:presLayoutVars>
      </dgm:prSet>
      <dgm:spPr>
        <a:prstGeom prst="ellipse">
          <a:avLst/>
        </a:prstGeom>
      </dgm:spPr>
      <dgm:t>
        <a:bodyPr/>
        <a:lstStyle/>
        <a:p>
          <a:endParaRPr lang="en-US"/>
        </a:p>
      </dgm:t>
    </dgm:pt>
  </dgm:ptLst>
  <dgm:cxnLst>
    <dgm:cxn modelId="{12C1DF89-E005-4EE2-9355-A31E4178C01F}" type="presOf" srcId="{D460D018-736B-4CE5-A14B-061F8EFE829B}" destId="{5AF8D9AC-0C15-4D1B-BCD3-7FFCFF0A581D}"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A070896F-6021-4BCA-B1C3-45ABF930D5BD}" type="presOf" srcId="{2F72DDEE-62D3-48A5-836A-4C87596541F0}" destId="{7B59CB2C-C82F-41EE-B3CF-ADD4878ADBA6}" srcOrd="0" destOrd="0" presId="urn:microsoft.com/office/officeart/2005/8/layout/radial1"/>
    <dgm:cxn modelId="{411DDB88-C2A0-4564-B9C6-40FAF0DF7E82}" type="presOf" srcId="{3F89048A-3F9F-4897-8631-4599F4976029}" destId="{32B4D7AF-BD29-4AC4-BA11-37F2AE9561F4}" srcOrd="1" destOrd="0" presId="urn:microsoft.com/office/officeart/2005/8/layout/radial1"/>
    <dgm:cxn modelId="{16CC9957-A4EC-4536-8428-40A09EFE5F9D}" type="presOf" srcId="{2628F477-2289-4CEE-9618-96DDAFCD4291}" destId="{49C45DFA-0A15-4DAA-80DC-CAE4ABCC6B43}" srcOrd="0" destOrd="0" presId="urn:microsoft.com/office/officeart/2005/8/layout/radial1"/>
    <dgm:cxn modelId="{1ED0A2E2-7579-4ED8-B7F3-BE626600A8DD}" type="presOf" srcId="{2F72DDEE-62D3-48A5-836A-4C87596541F0}" destId="{280B3AB5-4999-4B99-8BE9-E09C9DF5D482}" srcOrd="1" destOrd="0" presId="urn:microsoft.com/office/officeart/2005/8/layout/radial1"/>
    <dgm:cxn modelId="{A6793A90-3375-4E54-AF2D-A38F8792E747}" type="presOf" srcId="{898446A3-EA8C-4C13-8A65-DF8A110D0838}" destId="{D9366F31-B7D7-4B43-830C-AD5E2193A794}" srcOrd="0" destOrd="0" presId="urn:microsoft.com/office/officeart/2005/8/layout/radial1"/>
    <dgm:cxn modelId="{CFB4AC76-C827-4762-93BF-0AA29001D7F0}" type="presOf" srcId="{D65A13E9-3C79-4155-B943-C33E81DAC317}" destId="{A86195D8-E78B-4F8B-B1C4-EFBBA8999B88}" srcOrd="0" destOrd="0" presId="urn:microsoft.com/office/officeart/2005/8/layout/radial1"/>
    <dgm:cxn modelId="{2DDD2843-9457-4D2A-90F4-1A799AA72FC5}" type="presOf" srcId="{D22DE764-173E-47DF-9480-722F8D8EA62C}" destId="{5CF8296B-0142-429D-A71A-20799D2EB74B}" srcOrd="0" destOrd="0" presId="urn:microsoft.com/office/officeart/2005/8/layout/radial1"/>
    <dgm:cxn modelId="{521763A0-51F1-444D-BDF6-3EB4927412B8}" type="presOf" srcId="{BA28F4A6-AD16-499D-88C1-DBE004B28175}" destId="{E6ACA703-0949-41B3-BE6B-C702E5C7275F}" srcOrd="0" destOrd="0" presId="urn:microsoft.com/office/officeart/2005/8/layout/radial1"/>
    <dgm:cxn modelId="{DF9EB478-C224-42F7-822E-5C2EA98D82E9}" srcId="{A7516A72-1FC0-46ED-AAC4-AF0F7063F737}" destId="{D65A13E9-3C79-4155-B943-C33E81DAC317}" srcOrd="10" destOrd="0" parTransId="{98B9F8AD-7347-45A5-BC2B-65EB3DDF63CC}" sibTransId="{65C76345-3C56-4B13-AF62-A1F968209579}"/>
    <dgm:cxn modelId="{0C7A7D6C-6B03-48B0-9BA7-DB93701D983A}" type="presOf" srcId="{44FBC2E2-D754-42C1-BEE4-690296442511}" destId="{402B25BB-F397-46B5-AAB7-C38C2276BF82}" srcOrd="0" destOrd="0" presId="urn:microsoft.com/office/officeart/2005/8/layout/radial1"/>
    <dgm:cxn modelId="{1D4B0213-2162-45CF-A2BB-43748429BF0F}" type="presOf" srcId="{D94B5549-C2D2-4629-ACDF-33C6E334FA3A}" destId="{905DF954-A0B6-4A5F-9CE2-F1C3ADBDD0C1}" srcOrd="1" destOrd="0" presId="urn:microsoft.com/office/officeart/2005/8/layout/radial1"/>
    <dgm:cxn modelId="{A1357B0A-C240-4A91-89D8-A39634308683}" srcId="{A7516A72-1FC0-46ED-AAC4-AF0F7063F737}" destId="{44FBC2E2-D754-42C1-BEE4-690296442511}" srcOrd="8" destOrd="0" parTransId="{2F72DDEE-62D3-48A5-836A-4C87596541F0}" sibTransId="{A8D506B7-E9B0-4378-B011-FCC599FE960D}"/>
    <dgm:cxn modelId="{FE7EF963-BDA0-470B-92D4-4496C7CEBA96}" type="presOf" srcId="{DB9FEC62-86A7-454A-89B3-F32F1907C71A}" destId="{34515D96-C834-4D67-AF5C-3B293601CBC3}" srcOrd="0" destOrd="0" presId="urn:microsoft.com/office/officeart/2005/8/layout/radial1"/>
    <dgm:cxn modelId="{3CA6162A-653E-469E-8D11-AC49C344EE21}" type="presOf" srcId="{98B9F8AD-7347-45A5-BC2B-65EB3DDF63CC}" destId="{282CA825-226C-4E92-9F37-4F68B159DB24}" srcOrd="1" destOrd="0" presId="urn:microsoft.com/office/officeart/2005/8/layout/radial1"/>
    <dgm:cxn modelId="{D7544C22-B049-4120-A599-8F4BB11601AE}" type="presOf" srcId="{7C1FA040-4399-40F0-866F-845B7914F68D}" destId="{69F18085-0AC3-4BAE-9B16-F8478FFBD61E}" srcOrd="0" destOrd="0" presId="urn:microsoft.com/office/officeart/2005/8/layout/radial1"/>
    <dgm:cxn modelId="{37ABF5A0-BD43-40B8-B91D-338AF4709101}" type="presOf" srcId="{6DAE892F-3F2D-42A5-BB1C-58D0E6BD9A47}" destId="{7E7DDE23-6C04-407D-AAB6-669511EA704E}" srcOrd="0" destOrd="0" presId="urn:microsoft.com/office/officeart/2005/8/layout/radial1"/>
    <dgm:cxn modelId="{77FA441F-32AD-4B57-AD67-6D0EAD599B9C}" type="presOf" srcId="{9E510621-404D-46D6-8EB3-39712C8626D4}" destId="{0D3BFC0A-5ED4-4CCF-A336-A529B3363890}" srcOrd="1" destOrd="0" presId="urn:microsoft.com/office/officeart/2005/8/layout/radial1"/>
    <dgm:cxn modelId="{3C4A04F0-FDA0-46A0-8517-ED79011D9AED}" type="presOf" srcId="{68A5766F-115C-487E-B7CB-4ADE150678D1}" destId="{AFD0CC05-9AD4-4A51-8739-4FB4CA1E4ACE}" srcOrd="0" destOrd="0" presId="urn:microsoft.com/office/officeart/2005/8/layout/radial1"/>
    <dgm:cxn modelId="{533D7C6C-A40C-4AE2-8949-8E50D1212356}" type="presOf" srcId="{DB9FEC62-86A7-454A-89B3-F32F1907C71A}" destId="{A8CF68B1-7D91-429E-8C8D-53007288E1DC}" srcOrd="1" destOrd="0" presId="urn:microsoft.com/office/officeart/2005/8/layout/radial1"/>
    <dgm:cxn modelId="{18F6F275-1701-4C8A-B28C-B026E3FE4B4B}" type="presOf" srcId="{14602118-D739-48CC-85E0-791974AFA995}" destId="{DB594876-4070-4577-942D-67F5CD4D6A19}" srcOrd="0" destOrd="0" presId="urn:microsoft.com/office/officeart/2005/8/layout/radial1"/>
    <dgm:cxn modelId="{B5E6BBCB-8EE7-4EF6-8F15-6C3412A4CD77}" type="presOf" srcId="{98B9F8AD-7347-45A5-BC2B-65EB3DDF63CC}" destId="{701CC827-3AE5-4421-983B-6398C783C82F}" srcOrd="0"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62F6F751-76E8-4DBC-A8A4-4F3811956FD4}" type="presOf" srcId="{DEF73824-C893-4963-9504-7E97D2FF5253}" destId="{3EA6B60F-F2E8-4D48-9EC1-CAAE09243949}" srcOrd="1"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C03095C3-93CD-41C2-964C-FEDDFC3F1246}" type="presOf" srcId="{B4A5C031-92B2-438E-80BC-EAA05F5C7CF7}" destId="{EFB9CB5A-411C-454B-96B1-9ED988829CBE}" srcOrd="0" destOrd="0" presId="urn:microsoft.com/office/officeart/2005/8/layout/radial1"/>
    <dgm:cxn modelId="{BC9DCD39-9297-41A1-B875-8A101833EAE0}" type="presOf" srcId="{6BB491DD-4CE9-49F2-B4D3-F1DB91178D32}" destId="{155F429B-0A10-4501-ADF1-CAD1F85BB50E}" srcOrd="0" destOrd="0" presId="urn:microsoft.com/office/officeart/2005/8/layout/radial1"/>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4CEC37E5-2D58-4181-8919-C72DDC4456C8}" type="presOf" srcId="{B5C2DFB0-7F22-4F16-BFC5-827634DBBB86}" destId="{04A81C5D-1DF3-47DF-8447-322057132F11}" srcOrd="0" destOrd="0" presId="urn:microsoft.com/office/officeart/2005/8/layout/radial1"/>
    <dgm:cxn modelId="{C7DD68AE-99B2-4937-A127-D654A2E99784}" srcId="{A7516A72-1FC0-46ED-AAC4-AF0F7063F737}" destId="{DB0D84B1-C440-4746-9EEF-F1ED71D64DD2}" srcOrd="4" destOrd="0" parTransId="{9E510621-404D-46D6-8EB3-39712C8626D4}" sibTransId="{99C4878C-8523-40E3-93C5-8DC55D31DB77}"/>
    <dgm:cxn modelId="{A7F65FE9-CFBA-4FBA-9C7F-CC878F281057}" type="presOf" srcId="{9E510621-404D-46D6-8EB3-39712C8626D4}" destId="{DC281168-2DBC-4CFB-B21D-C54E9628B383}"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B176460D-EEC9-46E1-923C-15ABFA903751}" type="presOf" srcId="{DB0D84B1-C440-4746-9EEF-F1ED71D64DD2}" destId="{66DADE40-99AE-41BE-B997-129EED231064}" srcOrd="0" destOrd="0" presId="urn:microsoft.com/office/officeart/2005/8/layout/radial1"/>
    <dgm:cxn modelId="{1229807D-6A59-498C-A707-9DD6CEEA0C8D}" srcId="{A7516A72-1FC0-46ED-AAC4-AF0F7063F737}" destId="{F0FE4372-65E6-4D92-B9B0-D2B79F26FB27}" srcOrd="2" destOrd="0" parTransId="{D94B5549-C2D2-4629-ACDF-33C6E334FA3A}" sibTransId="{E2B06661-55BE-4022-AD18-067DB2509F93}"/>
    <dgm:cxn modelId="{375420BB-2346-4639-91D6-C80F47606CC3}" type="presOf" srcId="{DEF73824-C893-4963-9504-7E97D2FF5253}" destId="{FCC14444-D5E7-4E9C-B980-A27CD799E442}" srcOrd="0" destOrd="0" presId="urn:microsoft.com/office/officeart/2005/8/layout/radial1"/>
    <dgm:cxn modelId="{CFB67877-FEB9-4F45-B7EB-167507988383}" type="presOf" srcId="{3F89048A-3F9F-4897-8631-4599F4976029}" destId="{4DF1B0BE-A63A-4BEA-9EE5-4168481CC99E}" srcOrd="0" destOrd="0" presId="urn:microsoft.com/office/officeart/2005/8/layout/radial1"/>
    <dgm:cxn modelId="{08664C0E-D323-448F-A29A-246D011694B7}" type="presOf" srcId="{98585C11-761C-43C4-979D-FB1B8BABF102}" destId="{B930024E-8665-4782-9C41-36517A71FCD4}" srcOrd="1" destOrd="0" presId="urn:microsoft.com/office/officeart/2005/8/layout/radial1"/>
    <dgm:cxn modelId="{45917BBB-02C1-4B12-A214-4F446DBEA422}" type="presOf" srcId="{6BB491DD-4CE9-49F2-B4D3-F1DB91178D32}" destId="{8C19F320-E7BE-4A6B-961D-98CF34160A4C}" srcOrd="1" destOrd="0" presId="urn:microsoft.com/office/officeart/2005/8/layout/radial1"/>
    <dgm:cxn modelId="{155676E3-7D4A-43F6-A897-E23ADDE23570}" type="presOf" srcId="{F0FE4372-65E6-4D92-B9B0-D2B79F26FB27}" destId="{ECD2D13D-466C-468B-BD6C-1B646D8E5B8E}"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4273D4AF-C765-4A6F-97FE-2212F1168CFA}" type="presOf" srcId="{D94B5549-C2D2-4629-ACDF-33C6E334FA3A}" destId="{3F0F15B6-4D5A-493B-B03E-AE8141DC3DCE}" srcOrd="0" destOrd="0" presId="urn:microsoft.com/office/officeart/2005/8/layout/radial1"/>
    <dgm:cxn modelId="{2D8C150C-3574-4C0A-A7A8-ABE96F2E2B15}" type="presOf" srcId="{D22DE764-173E-47DF-9480-722F8D8EA62C}" destId="{48797E66-4F8B-4B79-BCA7-6F88E85CF835}" srcOrd="1" destOrd="0" presId="urn:microsoft.com/office/officeart/2005/8/layout/radial1"/>
    <dgm:cxn modelId="{10C5EA50-47F1-4641-9D40-B1A760DF3151}" type="presOf" srcId="{B4A5C031-92B2-438E-80BC-EAA05F5C7CF7}" destId="{A140118B-14B1-45A7-9CF9-17E4D006F84D}" srcOrd="1" destOrd="0" presId="urn:microsoft.com/office/officeart/2005/8/layout/radial1"/>
    <dgm:cxn modelId="{73E79B38-B10B-4111-83A3-D71846FBA26F}" type="presOf" srcId="{A7516A72-1FC0-46ED-AAC4-AF0F7063F737}" destId="{493DA7EC-5D69-41B7-92E4-ED7ED9F48883}" srcOrd="0" destOrd="0" presId="urn:microsoft.com/office/officeart/2005/8/layout/radial1"/>
    <dgm:cxn modelId="{995CF8D1-4BF5-4F86-9B58-5047CF3CBA94}" srcId="{A7516A72-1FC0-46ED-AAC4-AF0F7063F737}" destId="{B5C2DFB0-7F22-4F16-BFC5-827634DBBB86}" srcOrd="11" destOrd="0" parTransId="{6BB491DD-4CE9-49F2-B4D3-F1DB91178D32}" sibTransId="{7995F378-0A86-44D0-AD56-ADCA8BB5C969}"/>
    <dgm:cxn modelId="{E62AAF1B-2FA1-498A-A6D6-97C99BBE9151}" type="presOf" srcId="{98585C11-761C-43C4-979D-FB1B8BABF102}" destId="{E49C447F-3477-4311-B10B-FFFA7DE7209F}" srcOrd="0" destOrd="0" presId="urn:microsoft.com/office/officeart/2005/8/layout/radial1"/>
    <dgm:cxn modelId="{D6167810-0852-45B3-9DAD-C717D8F5A99E}" type="presOf" srcId="{D981426F-5B7B-4AA5-957A-6E8C9E1A2487}" destId="{9D8B49BD-1DF7-4888-9A7E-2CFD4320CC2B}"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9BC7C22A-F02D-4A93-8E7D-401D79182855}" type="presOf" srcId="{BA28F4A6-AD16-499D-88C1-DBE004B28175}" destId="{B06AADB2-5D51-41DC-8677-C0CC2357518B}" srcOrd="1" destOrd="0" presId="urn:microsoft.com/office/officeart/2005/8/layout/radial1"/>
    <dgm:cxn modelId="{3DB58104-280A-4BD9-8DE6-8DF7787F6771}" type="presParOf" srcId="{9D8B49BD-1DF7-4888-9A7E-2CFD4320CC2B}" destId="{493DA7EC-5D69-41B7-92E4-ED7ED9F48883}" srcOrd="0" destOrd="0" presId="urn:microsoft.com/office/officeart/2005/8/layout/radial1"/>
    <dgm:cxn modelId="{0E7BF323-DE58-4CBD-BAC2-4500AEAE2F42}" type="presParOf" srcId="{9D8B49BD-1DF7-4888-9A7E-2CFD4320CC2B}" destId="{E6ACA703-0949-41B3-BE6B-C702E5C7275F}" srcOrd="1" destOrd="0" presId="urn:microsoft.com/office/officeart/2005/8/layout/radial1"/>
    <dgm:cxn modelId="{B84E8FC1-FF06-4A7F-92C0-6CFE554DCD55}" type="presParOf" srcId="{E6ACA703-0949-41B3-BE6B-C702E5C7275F}" destId="{B06AADB2-5D51-41DC-8677-C0CC2357518B}" srcOrd="0" destOrd="0" presId="urn:microsoft.com/office/officeart/2005/8/layout/radial1"/>
    <dgm:cxn modelId="{6C90766E-4737-4E06-AC48-961C20A43183}" type="presParOf" srcId="{9D8B49BD-1DF7-4888-9A7E-2CFD4320CC2B}" destId="{AFD0CC05-9AD4-4A51-8739-4FB4CA1E4ACE}" srcOrd="2" destOrd="0" presId="urn:microsoft.com/office/officeart/2005/8/layout/radial1"/>
    <dgm:cxn modelId="{8BDE8A21-6E2E-40C2-BB94-5070127D8AD4}" type="presParOf" srcId="{9D8B49BD-1DF7-4888-9A7E-2CFD4320CC2B}" destId="{34515D96-C834-4D67-AF5C-3B293601CBC3}" srcOrd="3" destOrd="0" presId="urn:microsoft.com/office/officeart/2005/8/layout/radial1"/>
    <dgm:cxn modelId="{3CE93A94-4192-4B76-9E7C-E6FA1D981113}" type="presParOf" srcId="{34515D96-C834-4D67-AF5C-3B293601CBC3}" destId="{A8CF68B1-7D91-429E-8C8D-53007288E1DC}" srcOrd="0" destOrd="0" presId="urn:microsoft.com/office/officeart/2005/8/layout/radial1"/>
    <dgm:cxn modelId="{CBB57BE6-A8D8-4A8E-A0D1-9B9C365CAB1D}" type="presParOf" srcId="{9D8B49BD-1DF7-4888-9A7E-2CFD4320CC2B}" destId="{D9366F31-B7D7-4B43-830C-AD5E2193A794}" srcOrd="4" destOrd="0" presId="urn:microsoft.com/office/officeart/2005/8/layout/radial1"/>
    <dgm:cxn modelId="{518214A6-EF0C-442A-BA26-537D9F431CF4}" type="presParOf" srcId="{9D8B49BD-1DF7-4888-9A7E-2CFD4320CC2B}" destId="{3F0F15B6-4D5A-493B-B03E-AE8141DC3DCE}" srcOrd="5" destOrd="0" presId="urn:microsoft.com/office/officeart/2005/8/layout/radial1"/>
    <dgm:cxn modelId="{894F044C-65D8-4D77-B65A-EB35126DF8AA}" type="presParOf" srcId="{3F0F15B6-4D5A-493B-B03E-AE8141DC3DCE}" destId="{905DF954-A0B6-4A5F-9CE2-F1C3ADBDD0C1}" srcOrd="0" destOrd="0" presId="urn:microsoft.com/office/officeart/2005/8/layout/radial1"/>
    <dgm:cxn modelId="{D722D437-9005-4E35-8262-8F3DADDF5DA2}" type="presParOf" srcId="{9D8B49BD-1DF7-4888-9A7E-2CFD4320CC2B}" destId="{ECD2D13D-466C-468B-BD6C-1B646D8E5B8E}" srcOrd="6" destOrd="0" presId="urn:microsoft.com/office/officeart/2005/8/layout/radial1"/>
    <dgm:cxn modelId="{6B6EA699-7A20-44C4-928F-004A64A3573B}" type="presParOf" srcId="{9D8B49BD-1DF7-4888-9A7E-2CFD4320CC2B}" destId="{5CF8296B-0142-429D-A71A-20799D2EB74B}" srcOrd="7" destOrd="0" presId="urn:microsoft.com/office/officeart/2005/8/layout/radial1"/>
    <dgm:cxn modelId="{E664F25A-945D-4926-860B-68093211F524}" type="presParOf" srcId="{5CF8296B-0142-429D-A71A-20799D2EB74B}" destId="{48797E66-4F8B-4B79-BCA7-6F88E85CF835}" srcOrd="0" destOrd="0" presId="urn:microsoft.com/office/officeart/2005/8/layout/radial1"/>
    <dgm:cxn modelId="{0B6F1873-29BB-4ED1-A8DA-B1C335D7330D}" type="presParOf" srcId="{9D8B49BD-1DF7-4888-9A7E-2CFD4320CC2B}" destId="{7E7DDE23-6C04-407D-AAB6-669511EA704E}" srcOrd="8" destOrd="0" presId="urn:microsoft.com/office/officeart/2005/8/layout/radial1"/>
    <dgm:cxn modelId="{F318A4C3-A811-4503-9C2B-AB9E1E1DCC39}" type="presParOf" srcId="{9D8B49BD-1DF7-4888-9A7E-2CFD4320CC2B}" destId="{DC281168-2DBC-4CFB-B21D-C54E9628B383}" srcOrd="9" destOrd="0" presId="urn:microsoft.com/office/officeart/2005/8/layout/radial1"/>
    <dgm:cxn modelId="{EA026D00-567E-4937-9F59-9111499D8A4A}" type="presParOf" srcId="{DC281168-2DBC-4CFB-B21D-C54E9628B383}" destId="{0D3BFC0A-5ED4-4CCF-A336-A529B3363890}" srcOrd="0" destOrd="0" presId="urn:microsoft.com/office/officeart/2005/8/layout/radial1"/>
    <dgm:cxn modelId="{14445597-97BD-4F59-A434-D7CFAAE0AE65}" type="presParOf" srcId="{9D8B49BD-1DF7-4888-9A7E-2CFD4320CC2B}" destId="{66DADE40-99AE-41BE-B997-129EED231064}" srcOrd="10" destOrd="0" presId="urn:microsoft.com/office/officeart/2005/8/layout/radial1"/>
    <dgm:cxn modelId="{BD2EF680-A569-4EF1-95C5-2D484F3C8AD1}" type="presParOf" srcId="{9D8B49BD-1DF7-4888-9A7E-2CFD4320CC2B}" destId="{4DF1B0BE-A63A-4BEA-9EE5-4168481CC99E}" srcOrd="11" destOrd="0" presId="urn:microsoft.com/office/officeart/2005/8/layout/radial1"/>
    <dgm:cxn modelId="{068F9BF7-6DD7-4B94-A1B9-5E1AFE630085}" type="presParOf" srcId="{4DF1B0BE-A63A-4BEA-9EE5-4168481CC99E}" destId="{32B4D7AF-BD29-4AC4-BA11-37F2AE9561F4}" srcOrd="0" destOrd="0" presId="urn:microsoft.com/office/officeart/2005/8/layout/radial1"/>
    <dgm:cxn modelId="{B6247E8A-C2C7-49C6-BA59-1844957B9DBC}" type="presParOf" srcId="{9D8B49BD-1DF7-4888-9A7E-2CFD4320CC2B}" destId="{DB594876-4070-4577-942D-67F5CD4D6A19}" srcOrd="12" destOrd="0" presId="urn:microsoft.com/office/officeart/2005/8/layout/radial1"/>
    <dgm:cxn modelId="{5B7FFD5E-19B7-44D3-91F9-2784D4ECF897}" type="presParOf" srcId="{9D8B49BD-1DF7-4888-9A7E-2CFD4320CC2B}" destId="{E49C447F-3477-4311-B10B-FFFA7DE7209F}" srcOrd="13" destOrd="0" presId="urn:microsoft.com/office/officeart/2005/8/layout/radial1"/>
    <dgm:cxn modelId="{31D5A837-75EC-478E-84F5-C90D425744A5}" type="presParOf" srcId="{E49C447F-3477-4311-B10B-FFFA7DE7209F}" destId="{B930024E-8665-4782-9C41-36517A71FCD4}" srcOrd="0" destOrd="0" presId="urn:microsoft.com/office/officeart/2005/8/layout/radial1"/>
    <dgm:cxn modelId="{E4BE86EF-77A7-4D68-9931-C358593D5BEC}" type="presParOf" srcId="{9D8B49BD-1DF7-4888-9A7E-2CFD4320CC2B}" destId="{69F18085-0AC3-4BAE-9B16-F8478FFBD61E}" srcOrd="14" destOrd="0" presId="urn:microsoft.com/office/officeart/2005/8/layout/radial1"/>
    <dgm:cxn modelId="{4820D674-FDB4-4D50-AD71-1EC32D0B412B}" type="presParOf" srcId="{9D8B49BD-1DF7-4888-9A7E-2CFD4320CC2B}" destId="{FCC14444-D5E7-4E9C-B980-A27CD799E442}" srcOrd="15" destOrd="0" presId="urn:microsoft.com/office/officeart/2005/8/layout/radial1"/>
    <dgm:cxn modelId="{35BB5E90-0E36-459E-A71C-4D9988AE85E7}" type="presParOf" srcId="{FCC14444-D5E7-4E9C-B980-A27CD799E442}" destId="{3EA6B60F-F2E8-4D48-9EC1-CAAE09243949}" srcOrd="0" destOrd="0" presId="urn:microsoft.com/office/officeart/2005/8/layout/radial1"/>
    <dgm:cxn modelId="{25D73A2E-5206-492A-80F1-DB1FCF581BE3}" type="presParOf" srcId="{9D8B49BD-1DF7-4888-9A7E-2CFD4320CC2B}" destId="{49C45DFA-0A15-4DAA-80DC-CAE4ABCC6B43}" srcOrd="16" destOrd="0" presId="urn:microsoft.com/office/officeart/2005/8/layout/radial1"/>
    <dgm:cxn modelId="{8B8C54E6-A52C-4170-8B21-A8EA0AB783F5}" type="presParOf" srcId="{9D8B49BD-1DF7-4888-9A7E-2CFD4320CC2B}" destId="{7B59CB2C-C82F-41EE-B3CF-ADD4878ADBA6}" srcOrd="17" destOrd="0" presId="urn:microsoft.com/office/officeart/2005/8/layout/radial1"/>
    <dgm:cxn modelId="{CD1B4D76-3D4D-4A43-A656-B6AAE79229C1}" type="presParOf" srcId="{7B59CB2C-C82F-41EE-B3CF-ADD4878ADBA6}" destId="{280B3AB5-4999-4B99-8BE9-E09C9DF5D482}" srcOrd="0" destOrd="0" presId="urn:microsoft.com/office/officeart/2005/8/layout/radial1"/>
    <dgm:cxn modelId="{7989C9C6-EE58-4A4F-8A1F-9D4A623B1AF6}" type="presParOf" srcId="{9D8B49BD-1DF7-4888-9A7E-2CFD4320CC2B}" destId="{402B25BB-F397-46B5-AAB7-C38C2276BF82}" srcOrd="18" destOrd="0" presId="urn:microsoft.com/office/officeart/2005/8/layout/radial1"/>
    <dgm:cxn modelId="{A889AFB3-787B-4E0C-8ACC-C5C9A7959633}" type="presParOf" srcId="{9D8B49BD-1DF7-4888-9A7E-2CFD4320CC2B}" destId="{EFB9CB5A-411C-454B-96B1-9ED988829CBE}" srcOrd="19" destOrd="0" presId="urn:microsoft.com/office/officeart/2005/8/layout/radial1"/>
    <dgm:cxn modelId="{97472823-F87F-446A-A2AD-BB3C3DB1217B}" type="presParOf" srcId="{EFB9CB5A-411C-454B-96B1-9ED988829CBE}" destId="{A140118B-14B1-45A7-9CF9-17E4D006F84D}" srcOrd="0" destOrd="0" presId="urn:microsoft.com/office/officeart/2005/8/layout/radial1"/>
    <dgm:cxn modelId="{91D08C19-3B88-4049-B69F-A5990D5CFC3D}" type="presParOf" srcId="{9D8B49BD-1DF7-4888-9A7E-2CFD4320CC2B}" destId="{5AF8D9AC-0C15-4D1B-BCD3-7FFCFF0A581D}" srcOrd="20" destOrd="0" presId="urn:microsoft.com/office/officeart/2005/8/layout/radial1"/>
    <dgm:cxn modelId="{D840296E-7C94-4868-A7F1-0C2808A85556}" type="presParOf" srcId="{9D8B49BD-1DF7-4888-9A7E-2CFD4320CC2B}" destId="{701CC827-3AE5-4421-983B-6398C783C82F}" srcOrd="21" destOrd="0" presId="urn:microsoft.com/office/officeart/2005/8/layout/radial1"/>
    <dgm:cxn modelId="{9DFD4FE0-5FC5-4ADD-9952-80B28D5E2067}" type="presParOf" srcId="{701CC827-3AE5-4421-983B-6398C783C82F}" destId="{282CA825-226C-4E92-9F37-4F68B159DB24}" srcOrd="0" destOrd="0" presId="urn:microsoft.com/office/officeart/2005/8/layout/radial1"/>
    <dgm:cxn modelId="{77AA6939-C556-4727-B53B-2E8AFD86DA75}" type="presParOf" srcId="{9D8B49BD-1DF7-4888-9A7E-2CFD4320CC2B}" destId="{A86195D8-E78B-4F8B-B1C4-EFBBA8999B88}" srcOrd="22" destOrd="0" presId="urn:microsoft.com/office/officeart/2005/8/layout/radial1"/>
    <dgm:cxn modelId="{2DC4DEC7-B342-439E-B693-C3E05A81E28A}" type="presParOf" srcId="{9D8B49BD-1DF7-4888-9A7E-2CFD4320CC2B}" destId="{155F429B-0A10-4501-ADF1-CAD1F85BB50E}" srcOrd="23" destOrd="0" presId="urn:microsoft.com/office/officeart/2005/8/layout/radial1"/>
    <dgm:cxn modelId="{E1E789C1-AACA-489A-870E-1D85ECF48BD1}" type="presParOf" srcId="{155F429B-0A10-4501-ADF1-CAD1F85BB50E}" destId="{8C19F320-E7BE-4A6B-961D-98CF34160A4C}" srcOrd="0" destOrd="0" presId="urn:microsoft.com/office/officeart/2005/8/layout/radial1"/>
    <dgm:cxn modelId="{2B5BAEDC-A091-4C63-A2EE-95536EF676C7}" type="presParOf" srcId="{9D8B49BD-1DF7-4888-9A7E-2CFD4320CC2B}" destId="{04A81C5D-1DF3-47DF-8447-322057132F11}" srcOrd="24" destOrd="0" presId="urn:microsoft.com/office/officeart/2005/8/layout/radial1"/>
  </dgm:cxnLst>
  <dgm:bg>
    <a:noFill/>
  </dgm:bg>
  <dgm:whole/>
  <dgm:extLst>
    <a:ext uri="http://schemas.microsoft.com/office/drawing/2008/diagram">
      <dsp:dataModelExt xmlns:dsp="http://schemas.microsoft.com/office/drawing/2008/diagram" relId="rId10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92477" y="768034"/>
          <a:ext cx="1209701" cy="49670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514738" y="689702"/>
          <a:ext cx="1606452" cy="65167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r>
            <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1741">
          <a:off x="2121191" y="1008492"/>
          <a:ext cx="271287" cy="15042"/>
        </a:xfrm>
      </dgm:spPr>
      <dgm:t>
        <a:bodyPr/>
        <a:lstStyle/>
        <a:p>
          <a:endParaRPr lang="en-US"/>
        </a:p>
      </dgm:t>
    </dgm:pt>
    <dgm:pt modelId="{4631C2C5-1554-4289-90B0-F2D55D1595B6}">
      <dgm:prSet phldrT="[Text]" custT="1"/>
      <dgm:spPr>
        <a:xfrm>
          <a:off x="3969749" y="673535"/>
          <a:ext cx="1504339" cy="68216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96465">
          <a:off x="3602177" y="1008056"/>
          <a:ext cx="367574" cy="15042"/>
        </a:xfrm>
      </dgm:spPr>
      <dgm:t>
        <a:bodyPr/>
        <a:lstStyle/>
        <a:p>
          <a:endParaRPr lang="en-US"/>
        </a:p>
      </dgm:t>
    </dgm:pt>
    <dgm:pt modelId="{960C5593-E0FF-4AA5-AA0B-E8BDFFBC5E53}">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b="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273998">
          <a:off x="2920287" y="676342"/>
          <a:ext cx="168399" cy="15042"/>
        </a:xfrm>
      </dgm:spPr>
      <dgm:t>
        <a:bodyPr/>
        <a:lstStyle/>
        <a:p>
          <a:endParaRPr lang="en-US"/>
        </a:p>
      </dgm:t>
    </dgm:pt>
    <dgm:pt modelId="{E8B72980-4234-42F0-8A76-7022BE1A23D4}">
      <dgm:prSet phldrT="[Text]" custT="1"/>
      <dgm:spPr>
        <a:xfrm>
          <a:off x="2280745" y="24727"/>
          <a:ext cx="1463485" cy="57496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autor y derechos conexos</a:t>
          </a:r>
        </a:p>
      </dgm:t>
    </dgm:pt>
    <dgm:pt modelId="{6A15E0A4-5C3C-46EC-813C-B512B6A8F114}" type="parTrans" cxnId="{2D0162FD-7690-42FF-BBB8-1147EFF1D173}">
      <dgm:prSet/>
      <dgm:spPr/>
      <dgm:t>
        <a:bodyPr/>
        <a:lstStyle/>
        <a:p>
          <a:endParaRPr lang="en-US"/>
        </a:p>
      </dgm:t>
    </dgm:pt>
    <dgm:pt modelId="{67FC8A0D-2667-483F-B383-42D270B4AFFA}" type="sibTrans" cxnId="{2D0162FD-7690-42FF-BBB8-1147EFF1D1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26891" custScaleY="123840" custLinFactNeighborX="4528" custLinFactNeighborY="-432"/>
      <dgm:spPr>
        <a:prstGeom prst="ellipse">
          <a:avLst/>
        </a:prstGeom>
      </dgm:spPr>
      <dgm:t>
        <a:bodyPr/>
        <a:lstStyle/>
        <a:p>
          <a:endParaRPr lang="en-US"/>
        </a:p>
      </dgm:t>
    </dgm:pt>
    <dgm:pt modelId="{4344ACFB-6B44-4AAF-B1DB-49AB3ED02AF7}" type="pres">
      <dgm:prSet presAssocID="{6A15E0A4-5C3C-46EC-813C-B512B6A8F114}" presName="Name9" presStyleLbl="parChTrans1D2" presStyleIdx="0" presStyleCnt="4"/>
      <dgm:spPr/>
      <dgm:t>
        <a:bodyPr/>
        <a:lstStyle/>
        <a:p>
          <a:endParaRPr lang="en-US"/>
        </a:p>
      </dgm:t>
    </dgm:pt>
    <dgm:pt modelId="{2E49232F-4FB2-4DC8-A6DD-3902EF154437}" type="pres">
      <dgm:prSet presAssocID="{6A15E0A4-5C3C-46EC-813C-B512B6A8F114}" presName="connTx" presStyleLbl="parChTrans1D2" presStyleIdx="0" presStyleCnt="4"/>
      <dgm:spPr/>
      <dgm:t>
        <a:bodyPr/>
        <a:lstStyle/>
        <a:p>
          <a:endParaRPr lang="en-US"/>
        </a:p>
      </dgm:t>
    </dgm:pt>
    <dgm:pt modelId="{19ACA16F-4F02-4741-A973-0858AA9E727D}" type="pres">
      <dgm:prSet presAssocID="{E8B72980-4234-42F0-8A76-7022BE1A23D4}" presName="node" presStyleLbl="node1" presStyleIdx="0" presStyleCnt="4" custScaleX="370883" custScaleY="98833" custRadScaleRad="117574" custRadScaleInc="11963">
        <dgm:presLayoutVars>
          <dgm:bulletEnabled val="1"/>
        </dgm:presLayoutVars>
      </dgm:prSet>
      <dgm:spPr/>
      <dgm:t>
        <a:bodyPr/>
        <a:lstStyle/>
        <a:p>
          <a:endParaRPr lang="en-US"/>
        </a:p>
      </dgm:t>
    </dgm:pt>
    <dgm:pt modelId="{5337AE63-3722-42CC-AF72-36670EB7C5E1}" type="pres">
      <dgm:prSet presAssocID="{7AF774ED-547E-4C04-8670-B0C1D08C5EE9}" presName="Name9" presStyleLbl="parChTrans1D2" presStyleIdx="1" presStyleCnt="4"/>
      <dgm:spPr/>
      <dgm:t>
        <a:bodyPr/>
        <a:lstStyle/>
        <a:p>
          <a:endParaRPr lang="en-US"/>
        </a:p>
      </dgm:t>
    </dgm:pt>
    <dgm:pt modelId="{326412CE-9911-4799-A459-B56F02EB4473}" type="pres">
      <dgm:prSet presAssocID="{7AF774ED-547E-4C04-8670-B0C1D08C5EE9}" presName="connTx" presStyleLbl="parChTrans1D2" presStyleIdx="1" presStyleCnt="4"/>
      <dgm:spPr/>
      <dgm:t>
        <a:bodyPr/>
        <a:lstStyle/>
        <a:p>
          <a:endParaRPr lang="en-US"/>
        </a:p>
      </dgm:t>
    </dgm:pt>
    <dgm:pt modelId="{CED9197C-8322-406B-917C-172FA36E7B76}" type="pres">
      <dgm:prSet presAssocID="{960C5593-E0FF-4AA5-AA0B-E8BDFFBC5E53}" presName="node" presStyleLbl="node1" presStyleIdx="1" presStyleCnt="4" custScaleX="304866" custScaleY="126948" custRadScaleRad="416031" custRadScaleInc="-394">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2" presStyleCnt="4"/>
      <dgm:spPr/>
      <dgm:t>
        <a:bodyPr/>
        <a:lstStyle/>
        <a:p>
          <a:endParaRPr lang="en-US"/>
        </a:p>
      </dgm:t>
    </dgm:pt>
    <dgm:pt modelId="{62A1F741-432F-46BE-AE07-15F0B6D5EA89}" type="pres">
      <dgm:prSet presAssocID="{4693CA52-075F-4BD8-ABEA-5368BE377DDA}" presName="connTx" presStyleLbl="parChTrans1D2" presStyleIdx="2" presStyleCnt="4"/>
      <dgm:spPr/>
      <dgm:t>
        <a:bodyPr/>
        <a:lstStyle/>
        <a:p>
          <a:endParaRPr lang="en-US"/>
        </a:p>
      </dgm:t>
    </dgm:pt>
    <dgm:pt modelId="{035B4C9A-0916-4FCC-A1CF-85DB358A289A}" type="pres">
      <dgm:prSet presAssocID="{4631C2C5-1554-4289-90B0-F2D55D1595B6}" presName="node" presStyleLbl="node1" presStyleIdx="2" presStyleCnt="4" custScaleX="293613" custScaleY="72606" custRadScaleRad="96261" custRadScaleInc="-11754">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3" presStyleCnt="4"/>
      <dgm:spPr/>
      <dgm:t>
        <a:bodyPr/>
        <a:lstStyle/>
        <a:p>
          <a:endParaRPr lang="en-US"/>
        </a:p>
      </dgm:t>
    </dgm:pt>
    <dgm:pt modelId="{EA4144E0-C5B2-4FC0-BDB2-550B61DB7DFD}" type="pres">
      <dgm:prSet presAssocID="{0FABC453-0A5C-4CAE-813B-F0494A34E025}" presName="connTx" presStyleLbl="parChTrans1D2" presStyleIdx="3" presStyleCnt="4"/>
      <dgm:spPr/>
      <dgm:t>
        <a:bodyPr/>
        <a:lstStyle/>
        <a:p>
          <a:endParaRPr lang="en-US"/>
        </a:p>
      </dgm:t>
    </dgm:pt>
    <dgm:pt modelId="{0FAF3FA1-8E6C-455E-B189-A468B3F4D8BC}" type="pres">
      <dgm:prSet presAssocID="{C06C39C9-71B8-489C-9C45-3DD37A424E39}" presName="node" presStyleLbl="node1" presStyleIdx="3" presStyleCnt="4" custScaleX="309336" custScaleY="118218" custRadScaleRad="416028" custRadScaleInc="35">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05CAED07-5583-426D-A710-4E16062459A8}" type="presOf" srcId="{DE541715-C648-404D-8124-F14F463E9202}" destId="{062AF917-2F47-4639-8A23-58AD52EC0F32}" srcOrd="0" destOrd="0" presId="urn:microsoft.com/office/officeart/2005/8/layout/radial1"/>
    <dgm:cxn modelId="{2D0162FD-7690-42FF-BBB8-1147EFF1D173}" srcId="{DE541715-C648-404D-8124-F14F463E9202}" destId="{E8B72980-4234-42F0-8A76-7022BE1A23D4}" srcOrd="0" destOrd="0" parTransId="{6A15E0A4-5C3C-46EC-813C-B512B6A8F114}" sibTransId="{67FC8A0D-2667-483F-B383-42D270B4AFFA}"/>
    <dgm:cxn modelId="{22CFBE58-87EC-4B70-B1CC-D1D1DB4968C7}" srcId="{34E6C8D5-8D4F-4714-8A12-8F4599A8E760}" destId="{DE541715-C648-404D-8124-F14F463E9202}" srcOrd="0" destOrd="0" parTransId="{D7DB3476-9C56-4274-B046-F742EA8694F1}" sibTransId="{7CA7849B-681D-4C0D-A708-F47E97871BB2}"/>
    <dgm:cxn modelId="{BF65F824-D4F4-4A84-83B4-6B1944B62AAD}" srcId="{DE541715-C648-404D-8124-F14F463E9202}" destId="{4631C2C5-1554-4289-90B0-F2D55D1595B6}" srcOrd="2" destOrd="0" parTransId="{4693CA52-075F-4BD8-ABEA-5368BE377DDA}" sibTransId="{9B3CB24D-A47A-4081-B256-B868D89D5387}"/>
    <dgm:cxn modelId="{ECB07815-9643-4ABF-B3B1-987FC27ADCB6}" type="presOf" srcId="{6A15E0A4-5C3C-46EC-813C-B512B6A8F114}" destId="{4344ACFB-6B44-4AAF-B1DB-49AB3ED02AF7}" srcOrd="0" destOrd="0" presId="urn:microsoft.com/office/officeart/2005/8/layout/radial1"/>
    <dgm:cxn modelId="{490D4555-30BC-46E2-96E3-E71B75816D3B}" type="presOf" srcId="{7AF774ED-547E-4C04-8670-B0C1D08C5EE9}" destId="{326412CE-9911-4799-A459-B56F02EB4473}" srcOrd="1" destOrd="0" presId="urn:microsoft.com/office/officeart/2005/8/layout/radial1"/>
    <dgm:cxn modelId="{844CF997-3DB2-4283-926D-A3C65F260F88}" type="presOf" srcId="{34E6C8D5-8D4F-4714-8A12-8F4599A8E760}" destId="{08F189A1-AB47-41D1-8058-7A6DA66B3F52}" srcOrd="0" destOrd="0" presId="urn:microsoft.com/office/officeart/2005/8/layout/radial1"/>
    <dgm:cxn modelId="{07F897A1-C2B4-4FC9-A07E-06E22BB56719}" type="presOf" srcId="{4693CA52-075F-4BD8-ABEA-5368BE377DDA}" destId="{62A1F741-432F-46BE-AE07-15F0B6D5EA89}" srcOrd="1" destOrd="0" presId="urn:microsoft.com/office/officeart/2005/8/layout/radial1"/>
    <dgm:cxn modelId="{FD76A085-D049-49C9-8CD0-881CBC0DABC7}" type="presOf" srcId="{C06C39C9-71B8-489C-9C45-3DD37A424E39}" destId="{0FAF3FA1-8E6C-455E-B189-A468B3F4D8BC}" srcOrd="0" destOrd="0" presId="urn:microsoft.com/office/officeart/2005/8/layout/radial1"/>
    <dgm:cxn modelId="{248698A6-055B-40E3-B808-D624056EF2B0}" srcId="{DE541715-C648-404D-8124-F14F463E9202}" destId="{C06C39C9-71B8-489C-9C45-3DD37A424E39}" srcOrd="3" destOrd="0" parTransId="{0FABC453-0A5C-4CAE-813B-F0494A34E025}" sibTransId="{DCD34884-F96E-475A-9010-14DE66A403A6}"/>
    <dgm:cxn modelId="{A13DDF60-D1A3-448A-AC21-03ED91255E8F}" type="presOf" srcId="{0FABC453-0A5C-4CAE-813B-F0494A34E025}" destId="{ADF94B70-0D7F-4A27-8DF9-17BCD27F4A7A}" srcOrd="0" destOrd="0" presId="urn:microsoft.com/office/officeart/2005/8/layout/radial1"/>
    <dgm:cxn modelId="{0B11A678-070D-45FA-866D-F3A4C37E47DC}" type="presOf" srcId="{6A15E0A4-5C3C-46EC-813C-B512B6A8F114}" destId="{2E49232F-4FB2-4DC8-A6DD-3902EF154437}" srcOrd="1" destOrd="0" presId="urn:microsoft.com/office/officeart/2005/8/layout/radial1"/>
    <dgm:cxn modelId="{22641E2D-05CA-4204-BFA9-7285C9637309}" type="presOf" srcId="{7AF774ED-547E-4C04-8670-B0C1D08C5EE9}" destId="{5337AE63-3722-42CC-AF72-36670EB7C5E1}" srcOrd="0" destOrd="0" presId="urn:microsoft.com/office/officeart/2005/8/layout/radial1"/>
    <dgm:cxn modelId="{F4773135-129E-4A33-B13B-3754FBCAE9EB}" type="presOf" srcId="{E8B72980-4234-42F0-8A76-7022BE1A23D4}" destId="{19ACA16F-4F02-4741-A973-0858AA9E727D}" srcOrd="0" destOrd="0" presId="urn:microsoft.com/office/officeart/2005/8/layout/radial1"/>
    <dgm:cxn modelId="{529D05ED-97D5-4116-BE13-DE3D93351F7F}" srcId="{DE541715-C648-404D-8124-F14F463E9202}" destId="{960C5593-E0FF-4AA5-AA0B-E8BDFFBC5E53}" srcOrd="1" destOrd="0" parTransId="{7AF774ED-547E-4C04-8670-B0C1D08C5EE9}" sibTransId="{88F12DF7-015F-4F26-950A-DAE493699644}"/>
    <dgm:cxn modelId="{DF29DC6E-7585-47AD-890A-45DEE8618AF2}" type="presOf" srcId="{0FABC453-0A5C-4CAE-813B-F0494A34E025}" destId="{EA4144E0-C5B2-4FC0-BDB2-550B61DB7DFD}" srcOrd="1" destOrd="0" presId="urn:microsoft.com/office/officeart/2005/8/layout/radial1"/>
    <dgm:cxn modelId="{A9A08A4B-3662-40FE-919E-A70E986E539A}" type="presOf" srcId="{4693CA52-075F-4BD8-ABEA-5368BE377DDA}" destId="{4AC11394-3179-4EC5-A97F-D1A1B521CE2F}" srcOrd="0" destOrd="0" presId="urn:microsoft.com/office/officeart/2005/8/layout/radial1"/>
    <dgm:cxn modelId="{2A2C3DE9-2ACE-427C-A30A-B20B77067D9F}" type="presOf" srcId="{4631C2C5-1554-4289-90B0-F2D55D1595B6}" destId="{035B4C9A-0916-4FCC-A1CF-85DB358A289A}" srcOrd="0" destOrd="0" presId="urn:microsoft.com/office/officeart/2005/8/layout/radial1"/>
    <dgm:cxn modelId="{0D4AB9DC-ECB1-4211-A35B-84FB91F06579}" type="presOf" srcId="{960C5593-E0FF-4AA5-AA0B-E8BDFFBC5E53}" destId="{CED9197C-8322-406B-917C-172FA36E7B76}" srcOrd="0" destOrd="0" presId="urn:microsoft.com/office/officeart/2005/8/layout/radial1"/>
    <dgm:cxn modelId="{4B79118E-27BF-4E08-B70F-21288BA586B4}" type="presParOf" srcId="{08F189A1-AB47-41D1-8058-7A6DA66B3F52}" destId="{062AF917-2F47-4639-8A23-58AD52EC0F32}" srcOrd="0" destOrd="0" presId="urn:microsoft.com/office/officeart/2005/8/layout/radial1"/>
    <dgm:cxn modelId="{F99ED143-E25A-4E83-825C-2A60FE0D1ACB}" type="presParOf" srcId="{08F189A1-AB47-41D1-8058-7A6DA66B3F52}" destId="{4344ACFB-6B44-4AAF-B1DB-49AB3ED02AF7}" srcOrd="1" destOrd="0" presId="urn:microsoft.com/office/officeart/2005/8/layout/radial1"/>
    <dgm:cxn modelId="{AB1A6BE2-2E71-4BAE-A3B6-BB19A7383B9B}" type="presParOf" srcId="{4344ACFB-6B44-4AAF-B1DB-49AB3ED02AF7}" destId="{2E49232F-4FB2-4DC8-A6DD-3902EF154437}" srcOrd="0" destOrd="0" presId="urn:microsoft.com/office/officeart/2005/8/layout/radial1"/>
    <dgm:cxn modelId="{D5BEB23C-B2ED-4151-913B-EBFF6DD982DC}" type="presParOf" srcId="{08F189A1-AB47-41D1-8058-7A6DA66B3F52}" destId="{19ACA16F-4F02-4741-A973-0858AA9E727D}" srcOrd="2" destOrd="0" presId="urn:microsoft.com/office/officeart/2005/8/layout/radial1"/>
    <dgm:cxn modelId="{5293D510-EE4C-468A-829A-FA15CD081571}" type="presParOf" srcId="{08F189A1-AB47-41D1-8058-7A6DA66B3F52}" destId="{5337AE63-3722-42CC-AF72-36670EB7C5E1}" srcOrd="3" destOrd="0" presId="urn:microsoft.com/office/officeart/2005/8/layout/radial1"/>
    <dgm:cxn modelId="{3A5B6797-EDCE-4364-9E4E-1400F9BD107A}" type="presParOf" srcId="{5337AE63-3722-42CC-AF72-36670EB7C5E1}" destId="{326412CE-9911-4799-A459-B56F02EB4473}" srcOrd="0" destOrd="0" presId="urn:microsoft.com/office/officeart/2005/8/layout/radial1"/>
    <dgm:cxn modelId="{6618A040-B353-44A0-BA8C-180C5AF81F31}" type="presParOf" srcId="{08F189A1-AB47-41D1-8058-7A6DA66B3F52}" destId="{CED9197C-8322-406B-917C-172FA36E7B76}" srcOrd="4" destOrd="0" presId="urn:microsoft.com/office/officeart/2005/8/layout/radial1"/>
    <dgm:cxn modelId="{2D5AED00-DB2B-41CD-90D4-F3518105F364}" type="presParOf" srcId="{08F189A1-AB47-41D1-8058-7A6DA66B3F52}" destId="{4AC11394-3179-4EC5-A97F-D1A1B521CE2F}" srcOrd="5" destOrd="0" presId="urn:microsoft.com/office/officeart/2005/8/layout/radial1"/>
    <dgm:cxn modelId="{60770967-9AD1-491E-A85D-EB9C28FEB425}" type="presParOf" srcId="{4AC11394-3179-4EC5-A97F-D1A1B521CE2F}" destId="{62A1F741-432F-46BE-AE07-15F0B6D5EA89}" srcOrd="0" destOrd="0" presId="urn:microsoft.com/office/officeart/2005/8/layout/radial1"/>
    <dgm:cxn modelId="{3CC3E90D-FC1C-46F0-9F29-8A78369F04E8}" type="presParOf" srcId="{08F189A1-AB47-41D1-8058-7A6DA66B3F52}" destId="{035B4C9A-0916-4FCC-A1CF-85DB358A289A}" srcOrd="6" destOrd="0" presId="urn:microsoft.com/office/officeart/2005/8/layout/radial1"/>
    <dgm:cxn modelId="{905F9352-3F17-4783-BE75-6525AF34331D}" type="presParOf" srcId="{08F189A1-AB47-41D1-8058-7A6DA66B3F52}" destId="{ADF94B70-0D7F-4A27-8DF9-17BCD27F4A7A}" srcOrd="7" destOrd="0" presId="urn:microsoft.com/office/officeart/2005/8/layout/radial1"/>
    <dgm:cxn modelId="{6BBF1F70-7503-431B-ABD1-448837A0E7A7}" type="presParOf" srcId="{ADF94B70-0D7F-4A27-8DF9-17BCD27F4A7A}" destId="{EA4144E0-C5B2-4FC0-BDB2-550B61DB7DFD}" srcOrd="0" destOrd="0" presId="urn:microsoft.com/office/officeart/2005/8/layout/radial1"/>
    <dgm:cxn modelId="{E143E4F9-441A-43BA-B7A5-973345BB93B0}" type="presParOf" srcId="{08F189A1-AB47-41D1-8058-7A6DA66B3F52}" destId="{0FAF3FA1-8E6C-455E-B189-A468B3F4D8BC}" srcOrd="8" destOrd="0" presId="urn:microsoft.com/office/officeart/2005/8/layout/radial1"/>
  </dgm:cxnLst>
  <dgm:bg/>
  <dgm:whole/>
  <dgm:extLst>
    <a:ext uri="http://schemas.microsoft.com/office/drawing/2008/diagram">
      <dsp:dataModelExt xmlns:dsp="http://schemas.microsoft.com/office/drawing/2008/diagram" relId="rId115" minVer="http://schemas.openxmlformats.org/drawingml/2006/diagram"/>
    </a:ext>
    <a:ext uri="{C62137D5-CB1D-491B-B009-E17868A290BF}">
      <dgm14:recolorImg xmlns:dgm14="http://schemas.microsoft.com/office/drawing/2010/diagram" val="1"/>
    </a:ext>
  </dgm:extLst>
</dgm:dataModel>
</file>

<file path=word/diagrams/data12.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452588" y="668343"/>
          <a:ext cx="1260722" cy="517659"/>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a:t>
          </a:r>
        </a:p>
      </dgm:t>
    </dgm:pt>
    <dgm:pt modelId="{7CA7849B-681D-4C0D-A708-F47E97871BB2}" type="sibTrans" cxnId="{22CFBE58-87EC-4B70-B1CC-D1D1DB4968C7}">
      <dgm:prSet/>
      <dgm:spPr/>
      <dgm:t>
        <a:bodyPr/>
        <a:lstStyle/>
        <a:p>
          <a:pPr algn="ctr"/>
          <a:endParaRPr lang="en-US"/>
        </a:p>
      </dgm:t>
    </dgm:pt>
    <dgm:pt modelId="{D7DB3476-9C56-4274-B046-F742EA8694F1}" type="parTrans" cxnId="{22CFBE58-87EC-4B70-B1CC-D1D1DB4968C7}">
      <dgm:prSet/>
      <dgm:spPr/>
      <dgm:t>
        <a:bodyPr/>
        <a:lstStyle/>
        <a:p>
          <a:pPr algn="ctr"/>
          <a:endParaRPr lang="en-US"/>
        </a:p>
      </dgm:t>
    </dgm:pt>
    <dgm:pt modelId="{4F895710-9C0A-4357-A62A-B00C2B1BB2A2}">
      <dgm:prSet phldrT="[Text]"/>
      <dgm:spPr/>
      <dgm:t>
        <a:bodyPr/>
        <a:lstStyle/>
        <a:p>
          <a:pPr algn="ctr"/>
          <a:endParaRPr lang="en-US"/>
        </a:p>
      </dgm:t>
    </dgm:pt>
    <dgm:pt modelId="{A0A859C5-79E5-4C97-AF72-54A6D166EEA1}" type="sibTrans" cxnId="{DA740704-6E02-4402-8325-D0302449434E}">
      <dgm:prSet/>
      <dgm:spPr/>
      <dgm:t>
        <a:bodyPr/>
        <a:lstStyle/>
        <a:p>
          <a:pPr algn="ctr"/>
          <a:endParaRPr lang="en-US"/>
        </a:p>
      </dgm:t>
    </dgm:pt>
    <dgm:pt modelId="{4492527F-B2BC-4423-9ACC-2816666249A0}" type="parTrans" cxnId="{DA740704-6E02-4402-8325-D0302449434E}">
      <dgm:prSet/>
      <dgm:spPr/>
      <dgm:t>
        <a:bodyPr/>
        <a:lstStyle/>
        <a:p>
          <a:pPr algn="ctr"/>
          <a:endParaRPr lang="en-US"/>
        </a:p>
      </dgm:t>
    </dgm:pt>
    <dgm:pt modelId="{C06C39C9-71B8-489C-9C45-3DD37A424E39}">
      <dgm:prSet phldrT="[Text]" custT="1"/>
      <dgm:spPr>
        <a:xfrm>
          <a:off x="524557" y="663886"/>
          <a:ext cx="1254593" cy="52952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endParaRPr lang="en-US"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a:p>
          <a:pPr algn="ct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pPr algn="ctr"/>
          <a:endParaRPr lang="en-US"/>
        </a:p>
      </dgm:t>
    </dgm:pt>
    <dgm:pt modelId="{0FABC453-0A5C-4CAE-813B-F0494A34E025}" type="parTrans" cxnId="{248698A6-055B-40E3-B808-D624056EF2B0}">
      <dgm:prSet/>
      <dgm:spPr>
        <a:xfrm rot="10797369">
          <a:off x="1779149" y="920376"/>
          <a:ext cx="673440" cy="15073"/>
        </a:xfrm>
      </dgm:spPr>
      <dgm:t>
        <a:bodyPr/>
        <a:lstStyle/>
        <a:p>
          <a:pPr algn="ctr"/>
          <a:endParaRPr lang="en-US"/>
        </a:p>
      </dgm:t>
    </dgm:pt>
    <dgm:pt modelId="{4631C2C5-1554-4289-90B0-F2D55D1595B6}">
      <dgm:prSet phldrT="[Text]" custT="1"/>
      <dgm:spPr>
        <a:xfrm>
          <a:off x="4299215" y="666184"/>
          <a:ext cx="1286243" cy="5095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algn="ct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9B3CB24D-A47A-4081-B256-B868D89D5387}" type="sibTrans" cxnId="{BF65F824-D4F4-4A84-83B4-6B1944B62AAD}">
      <dgm:prSet/>
      <dgm:spPr/>
      <dgm:t>
        <a:bodyPr/>
        <a:lstStyle/>
        <a:p>
          <a:pPr algn="ctr"/>
          <a:endParaRPr lang="en-US"/>
        </a:p>
      </dgm:t>
    </dgm:pt>
    <dgm:pt modelId="{4693CA52-075F-4BD8-ABEA-5368BE377DDA}" type="parTrans" cxnId="{BF65F824-D4F4-4A84-83B4-6B1944B62AAD}">
      <dgm:prSet/>
      <dgm:spPr>
        <a:xfrm rot="21588558">
          <a:off x="3713289" y="916563"/>
          <a:ext cx="585950" cy="15073"/>
        </a:xfrm>
      </dgm:spPr>
      <dgm:t>
        <a:bodyPr/>
        <a:lstStyle/>
        <a:p>
          <a:pPr algn="ctr"/>
          <a:endParaRPr lang="en-US"/>
        </a:p>
      </dgm:t>
    </dgm:pt>
    <dgm:pt modelId="{5C260341-F1C3-4458-A657-957289015FC3}">
      <dgm:prSet phldrT="[Text]" custT="1"/>
      <dgm:spPr>
        <a:xfrm>
          <a:off x="2412268" y="1327152"/>
          <a:ext cx="1341363" cy="539747"/>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algn="ctr"/>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45A6C23B-D452-4078-BA3A-466D0894B9EB}" type="parTrans" cxnId="{0266A1D0-CEC9-45F3-8B31-A21772E8AA19}">
      <dgm:prSet/>
      <dgm:spPr>
        <a:xfrm rot="5400000">
          <a:off x="3012375" y="1249040"/>
          <a:ext cx="141149" cy="15073"/>
        </a:xfrm>
      </dgm:spPr>
      <dgm:t>
        <a:bodyPr/>
        <a:lstStyle/>
        <a:p>
          <a:pPr algn="ctr"/>
          <a:endParaRPr lang="en-US"/>
        </a:p>
      </dgm:t>
    </dgm:pt>
    <dgm:pt modelId="{89B7C331-6FB9-4771-84B2-9F75AB1415C9}" type="sibTrans" cxnId="{0266A1D0-CEC9-45F3-8B31-A21772E8AA19}">
      <dgm:prSet/>
      <dgm:spPr/>
      <dgm:t>
        <a:bodyPr/>
        <a:lstStyle/>
        <a:p>
          <a:pPr algn="ctr"/>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3543" custLinFactNeighborX="0" custLinFactNeighborY="386"/>
      <dgm:spPr>
        <a:prstGeom prst="ellipse">
          <a:avLst/>
        </a:prstGeom>
      </dgm:spPr>
      <dgm:t>
        <a:bodyPr/>
        <a:lstStyle/>
        <a:p>
          <a:endParaRPr lang="en-US"/>
        </a:p>
      </dgm:t>
    </dgm:pt>
    <dgm:pt modelId="{4AC11394-3179-4EC5-A97F-D1A1B521CE2F}" type="pres">
      <dgm:prSet presAssocID="{4693CA52-075F-4BD8-ABEA-5368BE377DDA}" presName="Name9" presStyleLbl="parChTrans1D2" presStyleIdx="0" presStyleCnt="3"/>
      <dgm:spPr/>
      <dgm:t>
        <a:bodyPr/>
        <a:lstStyle/>
        <a:p>
          <a:endParaRPr lang="en-US"/>
        </a:p>
      </dgm:t>
    </dgm:pt>
    <dgm:pt modelId="{62A1F741-432F-46BE-AE07-15F0B6D5EA89}" type="pres">
      <dgm:prSet presAssocID="{4693CA52-075F-4BD8-ABEA-5368BE377DDA}" presName="connTx" presStyleLbl="parChTrans1D2" presStyleIdx="0" presStyleCnt="3"/>
      <dgm:spPr/>
      <dgm:t>
        <a:bodyPr/>
        <a:lstStyle/>
        <a:p>
          <a:endParaRPr lang="en-US"/>
        </a:p>
      </dgm:t>
    </dgm:pt>
    <dgm:pt modelId="{035B4C9A-0916-4FCC-A1CF-85DB358A289A}" type="pres">
      <dgm:prSet presAssocID="{4631C2C5-1554-4289-90B0-F2D55D1595B6}" presName="node" presStyleLbl="node1" presStyleIdx="0" presStyleCnt="3" custScaleX="271646" custScaleY="103589" custRadScaleRad="276287" custRadScaleInc="-68">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1" presStyleCnt="3"/>
      <dgm:spPr/>
      <dgm:t>
        <a:bodyPr/>
        <a:lstStyle/>
        <a:p>
          <a:endParaRPr lang="en-US"/>
        </a:p>
      </dgm:t>
    </dgm:pt>
    <dgm:pt modelId="{C7C9B7EB-2DEF-4B99-8D38-AC2E9641BEB5}" type="pres">
      <dgm:prSet presAssocID="{45A6C23B-D452-4078-BA3A-466D0894B9EB}" presName="connTx" presStyleLbl="parChTrans1D2" presStyleIdx="1" presStyleCnt="3"/>
      <dgm:spPr/>
      <dgm:t>
        <a:bodyPr/>
        <a:lstStyle/>
        <a:p>
          <a:endParaRPr lang="en-US"/>
        </a:p>
      </dgm:t>
    </dgm:pt>
    <dgm:pt modelId="{976BA53C-17D4-4F7C-9078-1272C469C9E5}" type="pres">
      <dgm:prSet presAssocID="{5C260341-F1C3-4458-A657-957289015FC3}" presName="node" presStyleLbl="node1" presStyleIdx="1" presStyleCnt="3" custScaleX="255606" custScaleY="104267" custRadScaleRad="255715" custRadScaleInc="-49632">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2" presStyleCnt="3"/>
      <dgm:spPr/>
      <dgm:t>
        <a:bodyPr/>
        <a:lstStyle/>
        <a:p>
          <a:endParaRPr lang="en-US"/>
        </a:p>
      </dgm:t>
    </dgm:pt>
    <dgm:pt modelId="{EA4144E0-C5B2-4FC0-BDB2-550B61DB7DFD}" type="pres">
      <dgm:prSet presAssocID="{0FABC453-0A5C-4CAE-813B-F0494A34E025}" presName="connTx" presStyleLbl="parChTrans1D2" presStyleIdx="2" presStyleCnt="3"/>
      <dgm:spPr/>
      <dgm:t>
        <a:bodyPr/>
        <a:lstStyle/>
        <a:p>
          <a:endParaRPr lang="en-US"/>
        </a:p>
      </dgm:t>
    </dgm:pt>
    <dgm:pt modelId="{0FAF3FA1-8E6C-455E-B189-A468B3F4D8BC}" type="pres">
      <dgm:prSet presAssocID="{C06C39C9-71B8-489C-9C45-3DD37A424E39}" presName="node" presStyleLbl="node1" presStyleIdx="2" presStyleCnt="3" custScaleX="257679" custScaleY="106613" custRadScaleRad="255723" custRadScaleInc="49480">
        <dgm:presLayoutVars>
          <dgm:bulletEnabled val="1"/>
        </dgm:presLayoutVars>
      </dgm:prSet>
      <dgm:spPr>
        <a:prstGeom prst="ellipse">
          <a:avLst/>
        </a:prstGeom>
      </dgm:spPr>
      <dgm:t>
        <a:bodyPr/>
        <a:lstStyle/>
        <a:p>
          <a:endParaRPr lang="en-US"/>
        </a:p>
      </dgm:t>
    </dgm:pt>
  </dgm:ptLst>
  <dgm:cxnLst>
    <dgm:cxn modelId="{DA740704-6E02-4402-8325-D0302449434E}" srcId="{34E6C8D5-8D4F-4714-8A12-8F4599A8E760}" destId="{4F895710-9C0A-4357-A62A-B00C2B1BB2A2}" srcOrd="1" destOrd="0" parTransId="{4492527F-B2BC-4423-9ACC-2816666249A0}" sibTransId="{A0A859C5-79E5-4C97-AF72-54A6D166EEA1}"/>
    <dgm:cxn modelId="{56E2C434-8AD0-431E-81D0-042BF0A5BFE3}" type="presOf" srcId="{45A6C23B-D452-4078-BA3A-466D0894B9EB}" destId="{C7C9B7EB-2DEF-4B99-8D38-AC2E9641BEB5}"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F79BD6C7-E4CE-4DC2-BBA6-CB37C69A2CF3}" type="presOf" srcId="{4693CA52-075F-4BD8-ABEA-5368BE377DDA}" destId="{62A1F741-432F-46BE-AE07-15F0B6D5EA89}" srcOrd="1" destOrd="0" presId="urn:microsoft.com/office/officeart/2005/8/layout/radial1"/>
    <dgm:cxn modelId="{BF65F824-D4F4-4A84-83B4-6B1944B62AAD}" srcId="{DE541715-C648-404D-8124-F14F463E9202}" destId="{4631C2C5-1554-4289-90B0-F2D55D1595B6}" srcOrd="0" destOrd="0" parTransId="{4693CA52-075F-4BD8-ABEA-5368BE377DDA}" sibTransId="{9B3CB24D-A47A-4081-B256-B868D89D5387}"/>
    <dgm:cxn modelId="{DBB31662-955B-48C4-9074-3AE048F1D654}" type="presOf" srcId="{4693CA52-075F-4BD8-ABEA-5368BE377DDA}" destId="{4AC11394-3179-4EC5-A97F-D1A1B521CE2F}" srcOrd="0" destOrd="0" presId="urn:microsoft.com/office/officeart/2005/8/layout/radial1"/>
    <dgm:cxn modelId="{3772BB72-E181-44DD-B52F-E7D791CE81B3}" type="presOf" srcId="{45A6C23B-D452-4078-BA3A-466D0894B9EB}" destId="{64248C57-3CE0-4657-BC67-6279BA0257B1}" srcOrd="0" destOrd="0" presId="urn:microsoft.com/office/officeart/2005/8/layout/radial1"/>
    <dgm:cxn modelId="{3A37917A-B1BE-456B-AF5D-5A00F034743F}" type="presOf" srcId="{0FABC453-0A5C-4CAE-813B-F0494A34E025}" destId="{ADF94B70-0D7F-4A27-8DF9-17BCD27F4A7A}" srcOrd="0" destOrd="0" presId="urn:microsoft.com/office/officeart/2005/8/layout/radial1"/>
    <dgm:cxn modelId="{0266A1D0-CEC9-45F3-8B31-A21772E8AA19}" srcId="{DE541715-C648-404D-8124-F14F463E9202}" destId="{5C260341-F1C3-4458-A657-957289015FC3}" srcOrd="1" destOrd="0" parTransId="{45A6C23B-D452-4078-BA3A-466D0894B9EB}" sibTransId="{89B7C331-6FB9-4771-84B2-9F75AB1415C9}"/>
    <dgm:cxn modelId="{F05C05A6-1749-4948-8CF1-7CCCE666D95D}" type="presOf" srcId="{C06C39C9-71B8-489C-9C45-3DD37A424E39}" destId="{0FAF3FA1-8E6C-455E-B189-A468B3F4D8BC}" srcOrd="0" destOrd="0" presId="urn:microsoft.com/office/officeart/2005/8/layout/radial1"/>
    <dgm:cxn modelId="{5DB07C8C-2A5B-4A68-80CB-E47DA6BFFF6C}" type="presOf" srcId="{4631C2C5-1554-4289-90B0-F2D55D1595B6}" destId="{035B4C9A-0916-4FCC-A1CF-85DB358A289A}" srcOrd="0" destOrd="0" presId="urn:microsoft.com/office/officeart/2005/8/layout/radial1"/>
    <dgm:cxn modelId="{248698A6-055B-40E3-B808-D624056EF2B0}" srcId="{DE541715-C648-404D-8124-F14F463E9202}" destId="{C06C39C9-71B8-489C-9C45-3DD37A424E39}" srcOrd="2" destOrd="0" parTransId="{0FABC453-0A5C-4CAE-813B-F0494A34E025}" sibTransId="{DCD34884-F96E-475A-9010-14DE66A403A6}"/>
    <dgm:cxn modelId="{5844368B-9012-42D6-BE83-AA56439285ED}" type="presOf" srcId="{0FABC453-0A5C-4CAE-813B-F0494A34E025}" destId="{EA4144E0-C5B2-4FC0-BDB2-550B61DB7DFD}" srcOrd="1" destOrd="0" presId="urn:microsoft.com/office/officeart/2005/8/layout/radial1"/>
    <dgm:cxn modelId="{8A93DF86-3CCA-40F7-9D36-CD5AC5562722}" type="presOf" srcId="{DE541715-C648-404D-8124-F14F463E9202}" destId="{062AF917-2F47-4639-8A23-58AD52EC0F32}" srcOrd="0" destOrd="0" presId="urn:microsoft.com/office/officeart/2005/8/layout/radial1"/>
    <dgm:cxn modelId="{3C1B9BF8-0170-4DCA-86A5-F9DA030BF256}" type="presOf" srcId="{34E6C8D5-8D4F-4714-8A12-8F4599A8E760}" destId="{08F189A1-AB47-41D1-8058-7A6DA66B3F52}" srcOrd="0" destOrd="0" presId="urn:microsoft.com/office/officeart/2005/8/layout/radial1"/>
    <dgm:cxn modelId="{F585C209-F4BD-4206-BA32-CA2124CD9BC7}" type="presOf" srcId="{5C260341-F1C3-4458-A657-957289015FC3}" destId="{976BA53C-17D4-4F7C-9078-1272C469C9E5}" srcOrd="0" destOrd="0" presId="urn:microsoft.com/office/officeart/2005/8/layout/radial1"/>
    <dgm:cxn modelId="{DD7A7CD1-BD59-4B2C-9085-DCBBDBC3B883}" type="presParOf" srcId="{08F189A1-AB47-41D1-8058-7A6DA66B3F52}" destId="{062AF917-2F47-4639-8A23-58AD52EC0F32}" srcOrd="0" destOrd="0" presId="urn:microsoft.com/office/officeart/2005/8/layout/radial1"/>
    <dgm:cxn modelId="{C25F5B26-D326-4699-8B16-F110DB8C1628}" type="presParOf" srcId="{08F189A1-AB47-41D1-8058-7A6DA66B3F52}" destId="{4AC11394-3179-4EC5-A97F-D1A1B521CE2F}" srcOrd="1" destOrd="0" presId="urn:microsoft.com/office/officeart/2005/8/layout/radial1"/>
    <dgm:cxn modelId="{8D395BD6-E074-4A7A-96EE-D58CF09421D5}" type="presParOf" srcId="{4AC11394-3179-4EC5-A97F-D1A1B521CE2F}" destId="{62A1F741-432F-46BE-AE07-15F0B6D5EA89}" srcOrd="0" destOrd="0" presId="urn:microsoft.com/office/officeart/2005/8/layout/radial1"/>
    <dgm:cxn modelId="{2D3BDD0C-F30C-4843-ABC3-E53BF7B8CAB7}" type="presParOf" srcId="{08F189A1-AB47-41D1-8058-7A6DA66B3F52}" destId="{035B4C9A-0916-4FCC-A1CF-85DB358A289A}" srcOrd="2" destOrd="0" presId="urn:microsoft.com/office/officeart/2005/8/layout/radial1"/>
    <dgm:cxn modelId="{DE1C80FE-31D0-4044-BB9B-821D912E5909}" type="presParOf" srcId="{08F189A1-AB47-41D1-8058-7A6DA66B3F52}" destId="{64248C57-3CE0-4657-BC67-6279BA0257B1}" srcOrd="3" destOrd="0" presId="urn:microsoft.com/office/officeart/2005/8/layout/radial1"/>
    <dgm:cxn modelId="{57073F79-0DD3-4583-AD73-9539FB258454}" type="presParOf" srcId="{64248C57-3CE0-4657-BC67-6279BA0257B1}" destId="{C7C9B7EB-2DEF-4B99-8D38-AC2E9641BEB5}" srcOrd="0" destOrd="0" presId="urn:microsoft.com/office/officeart/2005/8/layout/radial1"/>
    <dgm:cxn modelId="{3A6E466B-CABB-4187-AAA0-B74090C63054}" type="presParOf" srcId="{08F189A1-AB47-41D1-8058-7A6DA66B3F52}" destId="{976BA53C-17D4-4F7C-9078-1272C469C9E5}" srcOrd="4" destOrd="0" presId="urn:microsoft.com/office/officeart/2005/8/layout/radial1"/>
    <dgm:cxn modelId="{246601B6-4F22-4BE3-B760-48DCA2C1A6A1}" type="presParOf" srcId="{08F189A1-AB47-41D1-8058-7A6DA66B3F52}" destId="{ADF94B70-0D7F-4A27-8DF9-17BCD27F4A7A}" srcOrd="5" destOrd="0" presId="urn:microsoft.com/office/officeart/2005/8/layout/radial1"/>
    <dgm:cxn modelId="{802CE438-A681-449B-AA0A-BD906FDDC183}" type="presParOf" srcId="{ADF94B70-0D7F-4A27-8DF9-17BCD27F4A7A}" destId="{EA4144E0-C5B2-4FC0-BDB2-550B61DB7DFD}" srcOrd="0" destOrd="0" presId="urn:microsoft.com/office/officeart/2005/8/layout/radial1"/>
    <dgm:cxn modelId="{A0133170-82C0-4C07-A1DE-38ADA3C80EB2}" type="presParOf" srcId="{08F189A1-AB47-41D1-8058-7A6DA66B3F52}" destId="{0FAF3FA1-8E6C-455E-B189-A468B3F4D8BC}" srcOrd="6" destOrd="0" presId="urn:microsoft.com/office/officeart/2005/8/layout/radial1"/>
  </dgm:cxnLst>
  <dgm:bg/>
  <dgm:whole/>
  <dgm:extLst>
    <a:ext uri="http://schemas.microsoft.com/office/drawing/2008/diagram">
      <dsp:dataModelExt xmlns:dsp="http://schemas.microsoft.com/office/drawing/2008/diagram" relId="rId123" minVer="http://schemas.openxmlformats.org/drawingml/2006/diagram"/>
    </a:ext>
    <a:ext uri="{C62137D5-CB1D-491B-B009-E17868A290BF}">
      <dgm14:recolorImg xmlns:dgm14="http://schemas.microsoft.com/office/drawing/2010/diagram" val="1"/>
    </a:ext>
  </dgm:extLst>
</dgm:dataModel>
</file>

<file path=word/diagrams/data13.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4F895710-9C0A-4357-A62A-B00C2B1BB2A2}">
      <dgm:prSet phldrT="[Text]"/>
      <dgm:spPr/>
      <dgm:t>
        <a:bodyPr/>
        <a:lstStyle/>
        <a:p>
          <a:endParaRPr lang="en-US"/>
        </a:p>
      </dgm:t>
    </dgm:pt>
    <dgm:pt modelId="{4631C2C5-1554-4289-90B0-F2D55D1595B6}">
      <dgm:prSet phldrT="[Text]" custT="1"/>
      <dgm:spPr>
        <a:xfrm>
          <a:off x="4535348" y="521400"/>
          <a:ext cx="1408251" cy="60794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Lisboa  </a:t>
          </a:r>
        </a:p>
      </dgm:t>
    </dgm:pt>
    <dgm:pt modelId="{960C5593-E0FF-4AA5-AA0B-E8BDFFBC5E53}">
      <dgm:prSet phldrT="[Text]" custT="1"/>
      <dgm:spPr>
        <a:xfrm>
          <a:off x="2225035" y="12800"/>
          <a:ext cx="1231485" cy="47373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E541715-C648-404D-8124-F14F463E9202}">
      <dgm:prSet phldrT="[Text]" custT="1"/>
      <dgm:spPr>
        <a:xfrm>
          <a:off x="2122013" y="645022"/>
          <a:ext cx="1402238" cy="41225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21563328">
          <a:off x="3523761" y="831280"/>
          <a:ext cx="1011830"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6300827">
          <a:off x="2752218" y="558779"/>
          <a:ext cx="158573"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06C39C9-71B8-489C-9C45-3DD37A424E39}">
      <dgm:prSet phldrT="[Text]" custT="1"/>
      <dgm:spPr>
        <a:xfrm>
          <a:off x="1367171" y="1614853"/>
          <a:ext cx="922600" cy="958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9216993">
          <a:off x="2225986" y="1794494"/>
          <a:ext cx="360806" cy="26147"/>
        </a:xfrm>
        <a:custGeom>
          <a:avLst/>
          <a:gdLst/>
          <a:ahLst/>
          <a:cxnLst/>
          <a:rect l="0" t="0" r="0" b="0"/>
          <a:pathLst>
            <a:path>
              <a:moveTo>
                <a:pt x="0" y="12971"/>
              </a:moveTo>
              <a:lnTo>
                <a:pt x="378246" y="12971"/>
              </a:lnTo>
            </a:path>
          </a:pathLst>
        </a:custGeo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D0CE537-45F5-4C46-960F-D6A82B00F3DE}">
      <dgm:prSet phldrT="[Text]" custT="1"/>
      <dgm:spPr>
        <a:xfrm>
          <a:off x="0" y="586671"/>
          <a:ext cx="1234693" cy="5658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gm:t>
    </dgm:pt>
    <dgm:pt modelId="{3D1DE322-E296-4167-BF53-8B5CE5EC28D8}" type="parTrans" cxnId="{E0E640E9-CB57-4A88-8E14-E556A0185FE5}">
      <dgm:prSet/>
      <dgm:spPr>
        <a:xfrm rot="10771247">
          <a:off x="1234575" y="853725"/>
          <a:ext cx="887737"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979818-0E55-4CAF-81D6-7E33DA768B1C}" type="sibTrans" cxnId="{E0E640E9-CB57-4A88-8E14-E556A0185FE5}">
      <dgm:prSet/>
      <dgm:spPr/>
      <dgm:t>
        <a:bodyPr/>
        <a:lstStyle/>
        <a:p>
          <a:endParaRPr lang="en-US"/>
        </a:p>
      </dgm:t>
    </dgm:pt>
    <dgm:pt modelId="{261B861F-8791-4E33-9941-A33DE5A2A768}">
      <dgm:prSet phldrT="[Text]" custT="1"/>
      <dgm:spPr>
        <a:xfrm>
          <a:off x="2107352" y="1206642"/>
          <a:ext cx="1453945" cy="46023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A5C3F0DB-E0F1-41F2-9F0F-D8D34C792173}" type="parTrans" cxnId="{8F24CB25-C32E-457C-ADA9-0EEDE78E6073}">
      <dgm:prSet/>
      <dgm:spPr>
        <a:xfrm rot="5334304">
          <a:off x="2753798" y="1124961"/>
          <a:ext cx="149401" cy="1399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D4991A9-47A2-4376-80F0-AA0E581C042E}" type="sibTrans" cxnId="{8F24CB25-C32E-457C-ADA9-0EEDE78E607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03405" custScaleY="89200" custLinFactNeighborX="-8761" custLinFactNeighborY="1193"/>
      <dgm:spPr>
        <a:prstGeom prst="ellipse">
          <a:avLst/>
        </a:prstGeom>
      </dgm:spPr>
      <dgm:t>
        <a:bodyPr/>
        <a:lstStyle/>
        <a:p>
          <a:endParaRPr lang="en-US"/>
        </a:p>
      </dgm:t>
    </dgm:pt>
    <dgm:pt modelId="{5337AE63-3722-42CC-AF72-36670EB7C5E1}" type="pres">
      <dgm:prSet presAssocID="{7AF774ED-547E-4C04-8670-B0C1D08C5EE9}" presName="Name9" presStyleLbl="parChTrans1D2" presStyleIdx="0" presStyleCnt="4"/>
      <dgm:spPr>
        <a:custGeom>
          <a:avLst/>
          <a:gdLst/>
          <a:ahLst/>
          <a:cxnLst/>
          <a:rect l="0" t="0" r="0" b="0"/>
          <a:pathLst>
            <a:path>
              <a:moveTo>
                <a:pt x="0" y="6998"/>
              </a:moveTo>
              <a:lnTo>
                <a:pt x="158573" y="6998"/>
              </a:lnTo>
            </a:path>
          </a:pathLst>
        </a:custGeom>
      </dgm:spPr>
      <dgm:t>
        <a:bodyPr/>
        <a:lstStyle/>
        <a:p>
          <a:endParaRPr lang="en-US"/>
        </a:p>
      </dgm:t>
    </dgm:pt>
    <dgm:pt modelId="{326412CE-9911-4799-A459-B56F02EB4473}" type="pres">
      <dgm:prSet presAssocID="{7AF774ED-547E-4C04-8670-B0C1D08C5EE9}" presName="connTx" presStyleLbl="parChTrans1D2" presStyleIdx="0" presStyleCnt="4"/>
      <dgm:spPr/>
      <dgm:t>
        <a:bodyPr/>
        <a:lstStyle/>
        <a:p>
          <a:endParaRPr lang="en-US"/>
        </a:p>
      </dgm:t>
    </dgm:pt>
    <dgm:pt modelId="{CED9197C-8322-406B-917C-172FA36E7B76}" type="pres">
      <dgm:prSet presAssocID="{960C5593-E0FF-4AA5-AA0B-E8BDFFBC5E53}" presName="node" presStyleLbl="node1" presStyleIdx="0" presStyleCnt="4" custScaleX="266459" custScaleY="102504" custRadScaleRad="101292" custRadScaleInc="-21496">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1" presStyleCnt="4"/>
      <dgm:spPr>
        <a:custGeom>
          <a:avLst/>
          <a:gdLst/>
          <a:ahLst/>
          <a:cxnLst/>
          <a:rect l="0" t="0" r="0" b="0"/>
          <a:pathLst>
            <a:path>
              <a:moveTo>
                <a:pt x="0" y="6998"/>
              </a:moveTo>
              <a:lnTo>
                <a:pt x="1011830" y="6998"/>
              </a:lnTo>
            </a:path>
          </a:pathLst>
        </a:custGeom>
      </dgm:spPr>
      <dgm:t>
        <a:bodyPr/>
        <a:lstStyle/>
        <a:p>
          <a:endParaRPr lang="en-US"/>
        </a:p>
      </dgm:t>
    </dgm:pt>
    <dgm:pt modelId="{62A1F741-432F-46BE-AE07-15F0B6D5EA89}" type="pres">
      <dgm:prSet presAssocID="{4693CA52-075F-4BD8-ABEA-5368BE377DDA}" presName="connTx" presStyleLbl="parChTrans1D2" presStyleIdx="1" presStyleCnt="4"/>
      <dgm:spPr/>
      <dgm:t>
        <a:bodyPr/>
        <a:lstStyle/>
        <a:p>
          <a:endParaRPr lang="en-US"/>
        </a:p>
      </dgm:t>
    </dgm:pt>
    <dgm:pt modelId="{035B4C9A-0916-4FCC-A1CF-85DB358A289A}" type="pres">
      <dgm:prSet presAssocID="{4631C2C5-1554-4289-90B0-F2D55D1595B6}" presName="node" presStyleLbl="node1" presStyleIdx="1" presStyleCnt="4" custScaleX="304706" custScaleY="131542" custRadScaleRad="419465" custRadScaleInc="-578">
        <dgm:presLayoutVars>
          <dgm:bulletEnabled val="1"/>
        </dgm:presLayoutVars>
      </dgm:prSet>
      <dgm:spPr>
        <a:prstGeom prst="ellipse">
          <a:avLst/>
        </a:prstGeom>
      </dgm:spPr>
      <dgm:t>
        <a:bodyPr/>
        <a:lstStyle/>
        <a:p>
          <a:endParaRPr lang="en-US"/>
        </a:p>
      </dgm:t>
    </dgm:pt>
    <dgm:pt modelId="{1281FAF2-438A-4E06-A630-42C5CD6DB1D1}" type="pres">
      <dgm:prSet presAssocID="{A5C3F0DB-E0F1-41F2-9F0F-D8D34C792173}" presName="Name9" presStyleLbl="parChTrans1D2" presStyleIdx="2" presStyleCnt="4"/>
      <dgm:spPr>
        <a:custGeom>
          <a:avLst/>
          <a:gdLst/>
          <a:ahLst/>
          <a:cxnLst/>
          <a:rect l="0" t="0" r="0" b="0"/>
          <a:pathLst>
            <a:path>
              <a:moveTo>
                <a:pt x="0" y="6998"/>
              </a:moveTo>
              <a:lnTo>
                <a:pt x="149401" y="6998"/>
              </a:lnTo>
            </a:path>
          </a:pathLst>
        </a:custGeom>
      </dgm:spPr>
      <dgm:t>
        <a:bodyPr/>
        <a:lstStyle/>
        <a:p>
          <a:endParaRPr lang="en-US"/>
        </a:p>
      </dgm:t>
    </dgm:pt>
    <dgm:pt modelId="{2F4F44BF-1E04-4136-A0FB-1DED4AC75151}" type="pres">
      <dgm:prSet presAssocID="{A5C3F0DB-E0F1-41F2-9F0F-D8D34C792173}" presName="connTx" presStyleLbl="parChTrans1D2" presStyleIdx="2" presStyleCnt="4"/>
      <dgm:spPr/>
      <dgm:t>
        <a:bodyPr/>
        <a:lstStyle/>
        <a:p>
          <a:endParaRPr lang="en-US"/>
        </a:p>
      </dgm:t>
    </dgm:pt>
    <dgm:pt modelId="{9D8804DD-C1C3-4668-9E8F-40BB54189D15}" type="pres">
      <dgm:prSet presAssocID="{261B861F-8791-4E33-9941-A33DE5A2A768}" presName="node" presStyleLbl="node1" presStyleIdx="2" presStyleCnt="4" custScaleX="328365" custScaleY="95644" custRadScaleRad="101268" custRadScaleInc="21318">
        <dgm:presLayoutVars>
          <dgm:bulletEnabled val="1"/>
        </dgm:presLayoutVars>
      </dgm:prSet>
      <dgm:spPr>
        <a:prstGeom prst="ellipse">
          <a:avLst/>
        </a:prstGeom>
      </dgm:spPr>
      <dgm:t>
        <a:bodyPr/>
        <a:lstStyle/>
        <a:p>
          <a:endParaRPr lang="en-US"/>
        </a:p>
      </dgm:t>
    </dgm:pt>
    <dgm:pt modelId="{D0E3F8D6-DE9C-4394-8B02-9C131280903E}" type="pres">
      <dgm:prSet presAssocID="{3D1DE322-E296-4167-BF53-8B5CE5EC28D8}" presName="Name9" presStyleLbl="parChTrans1D2" presStyleIdx="3" presStyleCnt="4"/>
      <dgm:spPr>
        <a:custGeom>
          <a:avLst/>
          <a:gdLst/>
          <a:ahLst/>
          <a:cxnLst/>
          <a:rect l="0" t="0" r="0" b="0"/>
          <a:pathLst>
            <a:path>
              <a:moveTo>
                <a:pt x="0" y="6998"/>
              </a:moveTo>
              <a:lnTo>
                <a:pt x="887737" y="6998"/>
              </a:lnTo>
            </a:path>
          </a:pathLst>
        </a:custGeom>
      </dgm:spPr>
      <dgm:t>
        <a:bodyPr/>
        <a:lstStyle/>
        <a:p>
          <a:endParaRPr lang="en-US"/>
        </a:p>
      </dgm:t>
    </dgm:pt>
    <dgm:pt modelId="{D9125633-39F7-4B37-B444-5ECC3B34BA4C}" type="pres">
      <dgm:prSet presAssocID="{3D1DE322-E296-4167-BF53-8B5CE5EC28D8}" presName="connTx" presStyleLbl="parChTrans1D2" presStyleIdx="3" presStyleCnt="4"/>
      <dgm:spPr/>
      <dgm:t>
        <a:bodyPr/>
        <a:lstStyle/>
        <a:p>
          <a:endParaRPr lang="en-US"/>
        </a:p>
      </dgm:t>
    </dgm:pt>
    <dgm:pt modelId="{F1CADBCB-761B-4EBD-8811-73EECDD73DC5}" type="pres">
      <dgm:prSet presAssocID="{1D0CE537-45F5-4C46-960F-D6A82B00F3DE}" presName="node" presStyleLbl="node1" presStyleIdx="3" presStyleCnt="4" custScaleX="267153" custScaleY="122435" custRadScaleRad="426769" custRadScaleInc="-1628">
        <dgm:presLayoutVars>
          <dgm:bulletEnabled val="1"/>
        </dgm:presLayoutVars>
      </dgm:prSet>
      <dgm:spPr>
        <a:prstGeom prst="ellipse">
          <a:avLst/>
        </a:prstGeom>
      </dgm:spPr>
      <dgm:t>
        <a:bodyPr/>
        <a:lstStyle/>
        <a:p>
          <a:endParaRPr lang="en-US"/>
        </a:p>
      </dgm:t>
    </dgm:pt>
  </dgm:ptLst>
  <dgm:cxnLst>
    <dgm:cxn modelId="{88AA3D3F-D66D-4D44-AA3E-A08E8783FC70}" type="presOf" srcId="{3D1DE322-E296-4167-BF53-8B5CE5EC28D8}" destId="{D9125633-39F7-4B37-B444-5ECC3B34BA4C}" srcOrd="1" destOrd="0" presId="urn:microsoft.com/office/officeart/2005/8/layout/radial1"/>
    <dgm:cxn modelId="{E6A9668D-FC3C-4BDB-9825-999E7E6AA75B}" type="presOf" srcId="{4693CA52-075F-4BD8-ABEA-5368BE377DDA}" destId="{62A1F741-432F-46BE-AE07-15F0B6D5EA89}" srcOrd="1"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502F9C43-7D7C-4D43-9BF1-667B956DE1E4}" type="presOf" srcId="{DE541715-C648-404D-8124-F14F463E9202}" destId="{062AF917-2F47-4639-8A23-58AD52EC0F32}" srcOrd="0" destOrd="0" presId="urn:microsoft.com/office/officeart/2005/8/layout/radial1"/>
    <dgm:cxn modelId="{EA306949-D464-4536-BFCA-3750F64D23A8}" type="presOf" srcId="{7AF774ED-547E-4C04-8670-B0C1D08C5EE9}" destId="{326412CE-9911-4799-A459-B56F02EB4473}" srcOrd="1" destOrd="0" presId="urn:microsoft.com/office/officeart/2005/8/layout/radial1"/>
    <dgm:cxn modelId="{0114FEC0-1C0F-4F4E-817A-2453B2D4F401}" type="presOf" srcId="{A5C3F0DB-E0F1-41F2-9F0F-D8D34C792173}" destId="{1281FAF2-438A-4E06-A630-42C5CD6DB1D1}" srcOrd="0" destOrd="0" presId="urn:microsoft.com/office/officeart/2005/8/layout/radial1"/>
    <dgm:cxn modelId="{8F24CB25-C32E-457C-ADA9-0EEDE78E6073}" srcId="{DE541715-C648-404D-8124-F14F463E9202}" destId="{261B861F-8791-4E33-9941-A33DE5A2A768}" srcOrd="2" destOrd="0" parTransId="{A5C3F0DB-E0F1-41F2-9F0F-D8D34C792173}" sibTransId="{5D4991A9-47A2-4376-80F0-AA0E581C042E}"/>
    <dgm:cxn modelId="{5C65096F-26F2-4458-BFA5-10D436CC8AD9}" type="presOf" srcId="{4631C2C5-1554-4289-90B0-F2D55D1595B6}" destId="{035B4C9A-0916-4FCC-A1CF-85DB358A289A}" srcOrd="0" destOrd="0" presId="urn:microsoft.com/office/officeart/2005/8/layout/radial1"/>
    <dgm:cxn modelId="{3A7871D9-6FC6-4847-9D71-0627A8F4F4C9}" type="presOf" srcId="{4693CA52-075F-4BD8-ABEA-5368BE377DDA}" destId="{4AC11394-3179-4EC5-A97F-D1A1B521CE2F}" srcOrd="0" destOrd="0" presId="urn:microsoft.com/office/officeart/2005/8/layout/radial1"/>
    <dgm:cxn modelId="{FBBFB424-726C-477F-A24A-6536AC52447C}" type="presOf" srcId="{1D0CE537-45F5-4C46-960F-D6A82B00F3DE}" destId="{F1CADBCB-761B-4EBD-8811-73EECDD73DC5}" srcOrd="0" destOrd="0" presId="urn:microsoft.com/office/officeart/2005/8/layout/radial1"/>
    <dgm:cxn modelId="{DA740704-6E02-4402-8325-D0302449434E}" srcId="{34E6C8D5-8D4F-4714-8A12-8F4599A8E760}" destId="{4F895710-9C0A-4357-A62A-B00C2B1BB2A2}" srcOrd="2" destOrd="0" parTransId="{4492527F-B2BC-4423-9ACC-2816666249A0}" sibTransId="{A0A859C5-79E5-4C97-AF72-54A6D166EEA1}"/>
    <dgm:cxn modelId="{59FC3136-5969-44B5-8FEC-15AB0DC8037F}" type="presOf" srcId="{7AF774ED-547E-4C04-8670-B0C1D08C5EE9}" destId="{5337AE63-3722-42CC-AF72-36670EB7C5E1}" srcOrd="0" destOrd="0" presId="urn:microsoft.com/office/officeart/2005/8/layout/radial1"/>
    <dgm:cxn modelId="{529D05ED-97D5-4116-BE13-DE3D93351F7F}" srcId="{DE541715-C648-404D-8124-F14F463E9202}" destId="{960C5593-E0FF-4AA5-AA0B-E8BDFFBC5E53}" srcOrd="0" destOrd="0" parTransId="{7AF774ED-547E-4C04-8670-B0C1D08C5EE9}" sibTransId="{88F12DF7-015F-4F26-950A-DAE493699644}"/>
    <dgm:cxn modelId="{BF65F824-D4F4-4A84-83B4-6B1944B62AAD}" srcId="{DE541715-C648-404D-8124-F14F463E9202}" destId="{4631C2C5-1554-4289-90B0-F2D55D1595B6}" srcOrd="1" destOrd="0" parTransId="{4693CA52-075F-4BD8-ABEA-5368BE377DDA}" sibTransId="{9B3CB24D-A47A-4081-B256-B868D89D5387}"/>
    <dgm:cxn modelId="{F72284C2-962D-42DF-81C1-EEEDBB7BF205}" type="presOf" srcId="{960C5593-E0FF-4AA5-AA0B-E8BDFFBC5E53}" destId="{CED9197C-8322-406B-917C-172FA36E7B76}" srcOrd="0" destOrd="0" presId="urn:microsoft.com/office/officeart/2005/8/layout/radial1"/>
    <dgm:cxn modelId="{4740EC57-2ABC-4849-84C6-7644E7B59578}" type="presOf" srcId="{261B861F-8791-4E33-9941-A33DE5A2A768}" destId="{9D8804DD-C1C3-4668-9E8F-40BB54189D15}" srcOrd="0" destOrd="0" presId="urn:microsoft.com/office/officeart/2005/8/layout/radial1"/>
    <dgm:cxn modelId="{1D4D76DB-4477-4615-8C06-2563ADD117CC}" type="presOf" srcId="{A5C3F0DB-E0F1-41F2-9F0F-D8D34C792173}" destId="{2F4F44BF-1E04-4136-A0FB-1DED4AC75151}" srcOrd="1" destOrd="0" presId="urn:microsoft.com/office/officeart/2005/8/layout/radial1"/>
    <dgm:cxn modelId="{2BBBBB11-24AD-46D3-ACC7-AD76BB8B1669}" type="presOf" srcId="{3D1DE322-E296-4167-BF53-8B5CE5EC28D8}" destId="{D0E3F8D6-DE9C-4394-8B02-9C131280903E}" srcOrd="0" destOrd="0" presId="urn:microsoft.com/office/officeart/2005/8/layout/radial1"/>
    <dgm:cxn modelId="{DD31F127-38FA-45C6-973F-B7F0C4D75767}" type="presOf" srcId="{34E6C8D5-8D4F-4714-8A12-8F4599A8E760}" destId="{08F189A1-AB47-41D1-8058-7A6DA66B3F52}" srcOrd="0" destOrd="0" presId="urn:microsoft.com/office/officeart/2005/8/layout/radial1"/>
    <dgm:cxn modelId="{248698A6-055B-40E3-B808-D624056EF2B0}" srcId="{34E6C8D5-8D4F-4714-8A12-8F4599A8E760}" destId="{C06C39C9-71B8-489C-9C45-3DD37A424E39}" srcOrd="1" destOrd="0" parTransId="{0FABC453-0A5C-4CAE-813B-F0494A34E025}" sibTransId="{DCD34884-F96E-475A-9010-14DE66A403A6}"/>
    <dgm:cxn modelId="{E0E640E9-CB57-4A88-8E14-E556A0185FE5}" srcId="{DE541715-C648-404D-8124-F14F463E9202}" destId="{1D0CE537-45F5-4C46-960F-D6A82B00F3DE}" srcOrd="3" destOrd="0" parTransId="{3D1DE322-E296-4167-BF53-8B5CE5EC28D8}" sibTransId="{96979818-0E55-4CAF-81D6-7E33DA768B1C}"/>
    <dgm:cxn modelId="{0E15E348-A3EA-43F2-B1CC-3789676848AB}" type="presParOf" srcId="{08F189A1-AB47-41D1-8058-7A6DA66B3F52}" destId="{062AF917-2F47-4639-8A23-58AD52EC0F32}" srcOrd="0" destOrd="0" presId="urn:microsoft.com/office/officeart/2005/8/layout/radial1"/>
    <dgm:cxn modelId="{B06B6743-889B-443D-92B7-9D179BA51E92}" type="presParOf" srcId="{08F189A1-AB47-41D1-8058-7A6DA66B3F52}" destId="{5337AE63-3722-42CC-AF72-36670EB7C5E1}" srcOrd="1" destOrd="0" presId="urn:microsoft.com/office/officeart/2005/8/layout/radial1"/>
    <dgm:cxn modelId="{FBD398BA-0B63-4429-84F3-DE92D962D831}" type="presParOf" srcId="{5337AE63-3722-42CC-AF72-36670EB7C5E1}" destId="{326412CE-9911-4799-A459-B56F02EB4473}" srcOrd="0" destOrd="0" presId="urn:microsoft.com/office/officeart/2005/8/layout/radial1"/>
    <dgm:cxn modelId="{CAD387F5-44DF-49C8-9356-CDE7670EFF32}" type="presParOf" srcId="{08F189A1-AB47-41D1-8058-7A6DA66B3F52}" destId="{CED9197C-8322-406B-917C-172FA36E7B76}" srcOrd="2" destOrd="0" presId="urn:microsoft.com/office/officeart/2005/8/layout/radial1"/>
    <dgm:cxn modelId="{22A4DE99-80E3-4CD8-AC7A-54144DF9B9D4}" type="presParOf" srcId="{08F189A1-AB47-41D1-8058-7A6DA66B3F52}" destId="{4AC11394-3179-4EC5-A97F-D1A1B521CE2F}" srcOrd="3" destOrd="0" presId="urn:microsoft.com/office/officeart/2005/8/layout/radial1"/>
    <dgm:cxn modelId="{7BFE20D1-C3E3-4257-AAFD-26C38E67B526}" type="presParOf" srcId="{4AC11394-3179-4EC5-A97F-D1A1B521CE2F}" destId="{62A1F741-432F-46BE-AE07-15F0B6D5EA89}" srcOrd="0" destOrd="0" presId="urn:microsoft.com/office/officeart/2005/8/layout/radial1"/>
    <dgm:cxn modelId="{0B4C6881-A1D5-4D15-9782-63CB56207BA1}" type="presParOf" srcId="{08F189A1-AB47-41D1-8058-7A6DA66B3F52}" destId="{035B4C9A-0916-4FCC-A1CF-85DB358A289A}" srcOrd="4" destOrd="0" presId="urn:microsoft.com/office/officeart/2005/8/layout/radial1"/>
    <dgm:cxn modelId="{6C280B1F-1F88-4962-B169-3F02D6C6B709}" type="presParOf" srcId="{08F189A1-AB47-41D1-8058-7A6DA66B3F52}" destId="{1281FAF2-438A-4E06-A630-42C5CD6DB1D1}" srcOrd="5" destOrd="0" presId="urn:microsoft.com/office/officeart/2005/8/layout/radial1"/>
    <dgm:cxn modelId="{698ED32F-1F90-4109-B3A6-E9F00E770825}" type="presParOf" srcId="{1281FAF2-438A-4E06-A630-42C5CD6DB1D1}" destId="{2F4F44BF-1E04-4136-A0FB-1DED4AC75151}" srcOrd="0" destOrd="0" presId="urn:microsoft.com/office/officeart/2005/8/layout/radial1"/>
    <dgm:cxn modelId="{A1C6A826-7E90-48C5-89E4-2AE84F2EB51D}" type="presParOf" srcId="{08F189A1-AB47-41D1-8058-7A6DA66B3F52}" destId="{9D8804DD-C1C3-4668-9E8F-40BB54189D15}" srcOrd="6" destOrd="0" presId="urn:microsoft.com/office/officeart/2005/8/layout/radial1"/>
    <dgm:cxn modelId="{6241A77F-3720-4151-AD61-C13D0C803293}" type="presParOf" srcId="{08F189A1-AB47-41D1-8058-7A6DA66B3F52}" destId="{D0E3F8D6-DE9C-4394-8B02-9C131280903E}" srcOrd="7" destOrd="0" presId="urn:microsoft.com/office/officeart/2005/8/layout/radial1"/>
    <dgm:cxn modelId="{6867C6EE-CD4F-4A61-941A-FFD9075F64D0}" type="presParOf" srcId="{D0E3F8D6-DE9C-4394-8B02-9C131280903E}" destId="{D9125633-39F7-4B37-B444-5ECC3B34BA4C}" srcOrd="0" destOrd="0" presId="urn:microsoft.com/office/officeart/2005/8/layout/radial1"/>
    <dgm:cxn modelId="{004F705F-0B38-4898-8E40-BCFEEBEFFC33}" type="presParOf" srcId="{08F189A1-AB47-41D1-8058-7A6DA66B3F52}" destId="{F1CADBCB-761B-4EBD-8811-73EECDD73DC5}" srcOrd="8" destOrd="0" presId="urn:microsoft.com/office/officeart/2005/8/layout/radial1"/>
  </dgm:cxnLst>
  <dgm:bg/>
  <dgm:whole/>
  <dgm:extLst>
    <a:ext uri="http://schemas.microsoft.com/office/drawing/2008/diagram">
      <dsp:dataModelExt xmlns:dsp="http://schemas.microsoft.com/office/drawing/2008/diagram" relId="rId130" minVer="http://schemas.openxmlformats.org/drawingml/2006/diagram"/>
    </a:ext>
    <a:ext uri="{C62137D5-CB1D-491B-B009-E17868A290BF}">
      <dgm14:recolorImg xmlns:dgm14="http://schemas.microsoft.com/office/drawing/2010/diagram" val="1"/>
    </a:ext>
  </dgm:extLst>
</dgm:dataModel>
</file>

<file path=word/diagrams/data14.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561767" y="706361"/>
          <a:ext cx="1207026" cy="37233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784467" y="942977"/>
          <a:ext cx="1315515" cy="53010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OPI</a:t>
          </a:r>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177423">
          <a:off x="2036028" y="1035914"/>
          <a:ext cx="615314"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2496492" y="1301045"/>
          <a:ext cx="1323034" cy="49917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los conocimientos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5437981">
          <a:off x="3050811" y="1182817"/>
          <a:ext cx="222368"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236591" y="962026"/>
          <a:ext cx="1307853" cy="5169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Clasificaciones y normas técnicas</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645857">
          <a:off x="3673483" y="1042290"/>
          <a:ext cx="63329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0EC699C-58C9-413E-92A6-88F3FF9B1DC9}">
      <dgm:prSet phldrT="[Text]" custT="1"/>
      <dgm:spPr>
        <a:xfrm>
          <a:off x="2596760" y="3708"/>
          <a:ext cx="1137041" cy="50508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E2FC291C-D685-4C64-9B85-7318D8496566}" type="parTrans" cxnId="{3597F8D4-E0D8-45F4-BB48-7FD22AAE79C7}">
      <dgm:prSet/>
      <dgm:spPr>
        <a:xfrm rot="16200000">
          <a:off x="3066496" y="600523"/>
          <a:ext cx="197570"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8BDC942-54AA-48C8-9849-2287B2AEC32C}" type="sibTrans" cxnId="{3597F8D4-E0D8-45F4-BB48-7FD22AAE79C7}">
      <dgm:prSet/>
      <dgm:spPr/>
      <dgm:t>
        <a:bodyPr/>
        <a:lstStyle/>
        <a:p>
          <a:endParaRPr lang="en-US"/>
        </a:p>
      </dgm:t>
    </dgm:pt>
    <dgm:pt modelId="{8D95C031-B53C-42FF-A312-F15FA4C9B96F}">
      <dgm:prSet phldrT="[Text]" custT="1"/>
      <dgm:spPr>
        <a:xfrm>
          <a:off x="4233189" y="189047"/>
          <a:ext cx="1295879" cy="50935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de Lisboa</a:t>
          </a:r>
        </a:p>
      </dgm:t>
    </dgm:pt>
    <dgm:pt modelId="{8350B580-CEC5-40B7-8EB5-A172D5915A6B}" type="parTrans" cxnId="{DB613666-54CF-4D7E-982B-E399CC961051}">
      <dgm:prSet/>
      <dgm:spPr>
        <a:xfrm rot="20720515">
          <a:off x="3613544" y="671419"/>
          <a:ext cx="740212"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52C44D8-90AA-45A0-B521-998C42893448}" type="sibTrans" cxnId="{DB613666-54CF-4D7E-982B-E399CC961051}">
      <dgm:prSet/>
      <dgm:spPr/>
      <dgm:t>
        <a:bodyPr/>
        <a:lstStyle/>
        <a:p>
          <a:endParaRPr lang="en-US"/>
        </a:p>
      </dgm:t>
    </dgm:pt>
    <dgm:pt modelId="{0BE60BA9-2025-462F-AA1B-F34616BD63F6}">
      <dgm:prSet phldrT="[Text]" custT="1"/>
      <dgm:spPr>
        <a:xfrm>
          <a:off x="889243" y="200027"/>
          <a:ext cx="1319778" cy="510127"/>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6BC16BB-F93A-4745-8B71-07703A9D0891}" type="parTrans" cxnId="{AD2EB3D2-1381-46CB-80E7-BA9A804B7DD3}">
      <dgm:prSet/>
      <dgm:spPr>
        <a:xfrm rot="11708708">
          <a:off x="2078479" y="678516"/>
          <a:ext cx="644351" cy="14105"/>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8DD518E-881E-4111-9EDE-7F061DEDE6FF}" type="sibTrans" cxnId="{AD2EB3D2-1381-46CB-80E7-BA9A804B7DD3}">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248256" custScaleY="75126" custLinFactNeighborY="-702"/>
      <dgm:spPr>
        <a:prstGeom prst="ellipse">
          <a:avLst/>
        </a:prstGeom>
      </dgm:spPr>
      <dgm:t>
        <a:bodyPr/>
        <a:lstStyle/>
        <a:p>
          <a:endParaRPr lang="en-US"/>
        </a:p>
      </dgm:t>
    </dgm:pt>
    <dgm:pt modelId="{743B4520-8441-42A0-AFCB-45C212516FFF}" type="pres">
      <dgm:prSet presAssocID="{E2FC291C-D685-4C64-9B85-7318D8496566}" presName="Name9" presStyleLbl="parChTrans1D2" presStyleIdx="0" presStyleCnt="6"/>
      <dgm:spPr>
        <a:custGeom>
          <a:avLst/>
          <a:gdLst/>
          <a:ahLst/>
          <a:cxnLst/>
          <a:rect l="0" t="0" r="0" b="0"/>
          <a:pathLst>
            <a:path>
              <a:moveTo>
                <a:pt x="0" y="7052"/>
              </a:moveTo>
              <a:lnTo>
                <a:pt x="197570" y="7052"/>
              </a:lnTo>
            </a:path>
          </a:pathLst>
        </a:custGeom>
      </dgm:spPr>
      <dgm:t>
        <a:bodyPr/>
        <a:lstStyle/>
        <a:p>
          <a:endParaRPr lang="en-US"/>
        </a:p>
      </dgm:t>
    </dgm:pt>
    <dgm:pt modelId="{AB25BD6D-C05F-49D2-AE4A-144CA3C0FC88}" type="pres">
      <dgm:prSet presAssocID="{E2FC291C-D685-4C64-9B85-7318D8496566}" presName="connTx" presStyleLbl="parChTrans1D2" presStyleIdx="0" presStyleCnt="6"/>
      <dgm:spPr/>
      <dgm:t>
        <a:bodyPr/>
        <a:lstStyle/>
        <a:p>
          <a:endParaRPr lang="en-US"/>
        </a:p>
      </dgm:t>
    </dgm:pt>
    <dgm:pt modelId="{825B4589-2D50-4097-AF2B-6D3BD9DDE0B2}" type="pres">
      <dgm:prSet presAssocID="{70EC699C-58C9-413E-92A6-88F3FF9B1DC9}" presName="node" presStyleLbl="node1" presStyleIdx="0" presStyleCnt="6" custScaleX="229422" custScaleY="101911">
        <dgm:presLayoutVars>
          <dgm:bulletEnabled val="1"/>
        </dgm:presLayoutVars>
      </dgm:prSet>
      <dgm:spPr>
        <a:prstGeom prst="ellipse">
          <a:avLst/>
        </a:prstGeom>
      </dgm:spPr>
      <dgm:t>
        <a:bodyPr/>
        <a:lstStyle/>
        <a:p>
          <a:endParaRPr lang="en-US"/>
        </a:p>
      </dgm:t>
    </dgm:pt>
    <dgm:pt modelId="{7A96B68C-E15D-4E1B-A46C-7E5DE405A90C}" type="pres">
      <dgm:prSet presAssocID="{8350B580-CEC5-40B7-8EB5-A172D5915A6B}" presName="Name9" presStyleLbl="parChTrans1D2" presStyleIdx="1" presStyleCnt="6"/>
      <dgm:spPr>
        <a:custGeom>
          <a:avLst/>
          <a:gdLst/>
          <a:ahLst/>
          <a:cxnLst/>
          <a:rect l="0" t="0" r="0" b="0"/>
          <a:pathLst>
            <a:path>
              <a:moveTo>
                <a:pt x="0" y="7052"/>
              </a:moveTo>
              <a:lnTo>
                <a:pt x="740212" y="7052"/>
              </a:lnTo>
            </a:path>
          </a:pathLst>
        </a:custGeom>
      </dgm:spPr>
      <dgm:t>
        <a:bodyPr/>
        <a:lstStyle/>
        <a:p>
          <a:endParaRPr lang="en-US"/>
        </a:p>
      </dgm:t>
    </dgm:pt>
    <dgm:pt modelId="{55614E8E-7D68-4791-82B7-FD152FE54268}" type="pres">
      <dgm:prSet presAssocID="{8350B580-CEC5-40B7-8EB5-A172D5915A6B}" presName="connTx" presStyleLbl="parChTrans1D2" presStyleIdx="1" presStyleCnt="6"/>
      <dgm:spPr/>
      <dgm:t>
        <a:bodyPr/>
        <a:lstStyle/>
        <a:p>
          <a:endParaRPr lang="en-US"/>
        </a:p>
      </dgm:t>
    </dgm:pt>
    <dgm:pt modelId="{9DCD972B-1513-465A-AD2B-AD5E9EEB7291}" type="pres">
      <dgm:prSet presAssocID="{8D95C031-B53C-42FF-A312-F15FA4C9B96F}" presName="node" presStyleLbl="node1" presStyleIdx="1" presStyleCnt="6" custScaleX="296471" custScaleY="106971" custRadScaleRad="275187" custRadScaleInc="50197">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6"/>
      <dgm:spPr>
        <a:custGeom>
          <a:avLst/>
          <a:gdLst/>
          <a:ahLst/>
          <a:cxnLst/>
          <a:rect l="0" t="0" r="0" b="0"/>
          <a:pathLst>
            <a:path>
              <a:moveTo>
                <a:pt x="0" y="7052"/>
              </a:moveTo>
              <a:lnTo>
                <a:pt x="633292" y="7052"/>
              </a:lnTo>
            </a:path>
          </a:pathLst>
        </a:custGeom>
      </dgm:spPr>
      <dgm:t>
        <a:bodyPr/>
        <a:lstStyle/>
        <a:p>
          <a:endParaRPr lang="en-US"/>
        </a:p>
      </dgm:t>
    </dgm:pt>
    <dgm:pt modelId="{326412CE-9911-4799-A459-B56F02EB4473}" type="pres">
      <dgm:prSet presAssocID="{7AF774ED-547E-4C04-8670-B0C1D08C5EE9}" presName="connTx" presStyleLbl="parChTrans1D2" presStyleIdx="2" presStyleCnt="6"/>
      <dgm:spPr/>
      <dgm:t>
        <a:bodyPr/>
        <a:lstStyle/>
        <a:p>
          <a:endParaRPr lang="en-US"/>
        </a:p>
      </dgm:t>
    </dgm:pt>
    <dgm:pt modelId="{CED9197C-8322-406B-917C-172FA36E7B76}" type="pres">
      <dgm:prSet presAssocID="{960C5593-E0FF-4AA5-AA0B-E8BDFFBC5E53}" presName="node" presStyleLbl="node1" presStyleIdx="2" presStyleCnt="6" custScaleX="272632" custScaleY="106602" custRadScaleRad="271868" custRadScaleInc="-6508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6"/>
      <dgm:spPr>
        <a:custGeom>
          <a:avLst/>
          <a:gdLst/>
          <a:ahLst/>
          <a:cxnLst/>
          <a:rect l="0" t="0" r="0" b="0"/>
          <a:pathLst>
            <a:path>
              <a:moveTo>
                <a:pt x="0" y="7052"/>
              </a:moveTo>
              <a:lnTo>
                <a:pt x="222368" y="7052"/>
              </a:lnTo>
            </a:path>
          </a:pathLst>
        </a:custGeom>
      </dgm:spPr>
      <dgm:t>
        <a:bodyPr/>
        <a:lstStyle/>
        <a:p>
          <a:endParaRPr lang="en-US"/>
        </a:p>
      </dgm:t>
    </dgm:pt>
    <dgm:pt modelId="{62A1F741-432F-46BE-AE07-15F0B6D5EA89}" type="pres">
      <dgm:prSet presAssocID="{4693CA52-075F-4BD8-ABEA-5368BE377DDA}" presName="connTx" presStyleLbl="parChTrans1D2" presStyleIdx="3" presStyleCnt="6"/>
      <dgm:spPr/>
      <dgm:t>
        <a:bodyPr/>
        <a:lstStyle/>
        <a:p>
          <a:endParaRPr lang="en-US"/>
        </a:p>
      </dgm:t>
    </dgm:pt>
    <dgm:pt modelId="{035B4C9A-0916-4FCC-A1CF-85DB358A289A}" type="pres">
      <dgm:prSet presAssocID="{4631C2C5-1554-4289-90B0-F2D55D1595B6}" presName="node" presStyleLbl="node1" presStyleIdx="3" presStyleCnt="6" custScaleX="349510" custScaleY="122499" custRadScaleRad="103909" custRadScaleInc="2071">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4" presStyleCnt="6"/>
      <dgm:spPr>
        <a:custGeom>
          <a:avLst/>
          <a:gdLst/>
          <a:ahLst/>
          <a:cxnLst/>
          <a:rect l="0" t="0" r="0" b="0"/>
          <a:pathLst>
            <a:path>
              <a:moveTo>
                <a:pt x="0" y="7052"/>
              </a:moveTo>
              <a:lnTo>
                <a:pt x="615314" y="7052"/>
              </a:lnTo>
            </a:path>
          </a:pathLst>
        </a:custGeom>
      </dgm:spPr>
      <dgm:t>
        <a:bodyPr/>
        <a:lstStyle/>
        <a:p>
          <a:endParaRPr lang="en-US"/>
        </a:p>
      </dgm:t>
    </dgm:pt>
    <dgm:pt modelId="{EA4144E0-C5B2-4FC0-BDB2-550B61DB7DFD}" type="pres">
      <dgm:prSet presAssocID="{0FABC453-0A5C-4CAE-813B-F0494A34E025}" presName="connTx" presStyleLbl="parChTrans1D2" presStyleIdx="4" presStyleCnt="6"/>
      <dgm:spPr/>
      <dgm:t>
        <a:bodyPr/>
        <a:lstStyle/>
        <a:p>
          <a:endParaRPr lang="en-US"/>
        </a:p>
      </dgm:t>
    </dgm:pt>
    <dgm:pt modelId="{0FAF3FA1-8E6C-455E-B189-A468B3F4D8BC}" type="pres">
      <dgm:prSet presAssocID="{C06C39C9-71B8-489C-9C45-3DD37A424E39}" presName="node" presStyleLbl="node1" presStyleIdx="4" presStyleCnt="6" custScaleX="307208" custScaleY="127013" custRadScaleRad="271190" custRadScaleInc="66385">
        <dgm:presLayoutVars>
          <dgm:bulletEnabled val="1"/>
        </dgm:presLayoutVars>
      </dgm:prSet>
      <dgm:spPr>
        <a:prstGeom prst="ellipse">
          <a:avLst/>
        </a:prstGeom>
      </dgm:spPr>
      <dgm:t>
        <a:bodyPr/>
        <a:lstStyle/>
        <a:p>
          <a:endParaRPr lang="en-US"/>
        </a:p>
      </dgm:t>
    </dgm:pt>
    <dgm:pt modelId="{4C755D63-E57A-4826-AD35-228CF0B8702F}" type="pres">
      <dgm:prSet presAssocID="{E6BC16BB-F93A-4745-8B71-07703A9D0891}" presName="Name9" presStyleLbl="parChTrans1D2" presStyleIdx="5" presStyleCnt="6"/>
      <dgm:spPr>
        <a:custGeom>
          <a:avLst/>
          <a:gdLst/>
          <a:ahLst/>
          <a:cxnLst/>
          <a:rect l="0" t="0" r="0" b="0"/>
          <a:pathLst>
            <a:path>
              <a:moveTo>
                <a:pt x="0" y="7052"/>
              </a:moveTo>
              <a:lnTo>
                <a:pt x="644351" y="7052"/>
              </a:lnTo>
            </a:path>
          </a:pathLst>
        </a:custGeom>
      </dgm:spPr>
      <dgm:t>
        <a:bodyPr/>
        <a:lstStyle/>
        <a:p>
          <a:endParaRPr lang="en-US"/>
        </a:p>
      </dgm:t>
    </dgm:pt>
    <dgm:pt modelId="{7ABA132F-4D21-4791-9A9A-84D258152BDE}" type="pres">
      <dgm:prSet presAssocID="{E6BC16BB-F93A-4745-8B71-07703A9D0891}" presName="connTx" presStyleLbl="parChTrans1D2" presStyleIdx="5" presStyleCnt="6"/>
      <dgm:spPr/>
      <dgm:t>
        <a:bodyPr/>
        <a:lstStyle/>
        <a:p>
          <a:endParaRPr lang="en-US"/>
        </a:p>
      </dgm:t>
    </dgm:pt>
    <dgm:pt modelId="{24E3E7DC-0BA5-48AF-955A-AA52F4F430B1}" type="pres">
      <dgm:prSet presAssocID="{0BE60BA9-2025-462F-AA1B-F34616BD63F6}" presName="node" presStyleLbl="node1" presStyleIdx="5" presStyleCnt="6" custScaleX="293825" custScaleY="97499" custRadScaleRad="259816" custRadScaleInc="-48520">
        <dgm:presLayoutVars>
          <dgm:bulletEnabled val="1"/>
        </dgm:presLayoutVars>
      </dgm:prSet>
      <dgm:spPr>
        <a:prstGeom prst="ellipse">
          <a:avLst/>
        </a:prstGeom>
      </dgm:spPr>
      <dgm:t>
        <a:bodyPr/>
        <a:lstStyle/>
        <a:p>
          <a:endParaRPr lang="en-US"/>
        </a:p>
      </dgm:t>
    </dgm:pt>
  </dgm:ptLst>
  <dgm:cxnLst>
    <dgm:cxn modelId="{96DE5AC7-50BC-4C82-9FE1-0D63BE4AE933}" type="presOf" srcId="{7AF774ED-547E-4C04-8670-B0C1D08C5EE9}" destId="{326412CE-9911-4799-A459-B56F02EB4473}" srcOrd="1" destOrd="0" presId="urn:microsoft.com/office/officeart/2005/8/layout/radial1"/>
    <dgm:cxn modelId="{819E36E9-8FF9-42F9-A20E-7F6BBACC0445}" type="presOf" srcId="{0BE60BA9-2025-462F-AA1B-F34616BD63F6}" destId="{24E3E7DC-0BA5-48AF-955A-AA52F4F430B1}" srcOrd="0" destOrd="0" presId="urn:microsoft.com/office/officeart/2005/8/layout/radial1"/>
    <dgm:cxn modelId="{44AC0727-A016-4418-B906-C5492E4349D9}" type="presOf" srcId="{4693CA52-075F-4BD8-ABEA-5368BE377DDA}" destId="{4AC11394-3179-4EC5-A97F-D1A1B521CE2F}" srcOrd="0"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FAA741D2-4302-4D2A-9724-23D99EB87517}" type="presOf" srcId="{E2FC291C-D685-4C64-9B85-7318D8496566}" destId="{743B4520-8441-42A0-AFCB-45C212516FFF}" srcOrd="0" destOrd="0" presId="urn:microsoft.com/office/officeart/2005/8/layout/radial1"/>
    <dgm:cxn modelId="{0DC7FEEC-3C5D-4A87-BC41-8B9D8FEE6383}" type="presOf" srcId="{34E6C8D5-8D4F-4714-8A12-8F4599A8E760}" destId="{08F189A1-AB47-41D1-8058-7A6DA66B3F52}"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77F6F7DD-FBAD-47A5-85F7-4BF91B86E4CC}" type="presOf" srcId="{0FABC453-0A5C-4CAE-813B-F0494A34E025}" destId="{EA4144E0-C5B2-4FC0-BDB2-550B61DB7DFD}" srcOrd="1" destOrd="0" presId="urn:microsoft.com/office/officeart/2005/8/layout/radial1"/>
    <dgm:cxn modelId="{AD2EB3D2-1381-46CB-80E7-BA9A804B7DD3}" srcId="{DE541715-C648-404D-8124-F14F463E9202}" destId="{0BE60BA9-2025-462F-AA1B-F34616BD63F6}" srcOrd="5" destOrd="0" parTransId="{E6BC16BB-F93A-4745-8B71-07703A9D0891}" sibTransId="{C8DD518E-881E-4111-9EDE-7F061DEDE6FF}"/>
    <dgm:cxn modelId="{40473032-0A5E-4524-817C-C02BA95F931C}" type="presOf" srcId="{70EC699C-58C9-413E-92A6-88F3FF9B1DC9}" destId="{825B4589-2D50-4097-AF2B-6D3BD9DDE0B2}" srcOrd="0" destOrd="0" presId="urn:microsoft.com/office/officeart/2005/8/layout/radial1"/>
    <dgm:cxn modelId="{F3994BFD-2C39-4053-9445-93679C8DB9EB}" type="presOf" srcId="{8350B580-CEC5-40B7-8EB5-A172D5915A6B}" destId="{7A96B68C-E15D-4E1B-A46C-7E5DE405A90C}" srcOrd="0" destOrd="0" presId="urn:microsoft.com/office/officeart/2005/8/layout/radial1"/>
    <dgm:cxn modelId="{96B028A7-2C8A-450D-93D7-BBDF64888122}" type="presOf" srcId="{8D95C031-B53C-42FF-A312-F15FA4C9B96F}" destId="{9DCD972B-1513-465A-AD2B-AD5E9EEB7291}" srcOrd="0" destOrd="0" presId="urn:microsoft.com/office/officeart/2005/8/layout/radial1"/>
    <dgm:cxn modelId="{C772E7FB-CADB-4998-AE2A-825B0F491B82}" type="presOf" srcId="{E2FC291C-D685-4C64-9B85-7318D8496566}" destId="{AB25BD6D-C05F-49D2-AE4A-144CA3C0FC88}" srcOrd="1" destOrd="0" presId="urn:microsoft.com/office/officeart/2005/8/layout/radial1"/>
    <dgm:cxn modelId="{C5B5A08B-6D06-4D96-964B-A76FED8BC2EF}" type="presOf" srcId="{4693CA52-075F-4BD8-ABEA-5368BE377DDA}" destId="{62A1F741-432F-46BE-AE07-15F0B6D5EA89}" srcOrd="1" destOrd="0" presId="urn:microsoft.com/office/officeart/2005/8/layout/radial1"/>
    <dgm:cxn modelId="{E5000C0B-53B3-4B40-917B-3E11B4375664}" type="presOf" srcId="{8350B580-CEC5-40B7-8EB5-A172D5915A6B}" destId="{55614E8E-7D68-4791-82B7-FD152FE54268}" srcOrd="1" destOrd="0" presId="urn:microsoft.com/office/officeart/2005/8/layout/radial1"/>
    <dgm:cxn modelId="{9DDBCBD9-CB77-4813-AB6A-D41BE2AB0E9B}" type="presOf" srcId="{4631C2C5-1554-4289-90B0-F2D55D1595B6}" destId="{035B4C9A-0916-4FCC-A1CF-85DB358A289A}" srcOrd="0" destOrd="0" presId="urn:microsoft.com/office/officeart/2005/8/layout/radial1"/>
    <dgm:cxn modelId="{248698A6-055B-40E3-B808-D624056EF2B0}" srcId="{DE541715-C648-404D-8124-F14F463E9202}" destId="{C06C39C9-71B8-489C-9C45-3DD37A424E39}" srcOrd="4" destOrd="0" parTransId="{0FABC453-0A5C-4CAE-813B-F0494A34E025}" sibTransId="{DCD34884-F96E-475A-9010-14DE66A403A6}"/>
    <dgm:cxn modelId="{22CFBE58-87EC-4B70-B1CC-D1D1DB4968C7}" srcId="{34E6C8D5-8D4F-4714-8A12-8F4599A8E760}" destId="{DE541715-C648-404D-8124-F14F463E9202}" srcOrd="0" destOrd="0" parTransId="{D7DB3476-9C56-4274-B046-F742EA8694F1}" sibTransId="{7CA7849B-681D-4C0D-A708-F47E97871BB2}"/>
    <dgm:cxn modelId="{DB613666-54CF-4D7E-982B-E399CC961051}" srcId="{DE541715-C648-404D-8124-F14F463E9202}" destId="{8D95C031-B53C-42FF-A312-F15FA4C9B96F}" srcOrd="1" destOrd="0" parTransId="{8350B580-CEC5-40B7-8EB5-A172D5915A6B}" sibTransId="{F52C44D8-90AA-45A0-B521-998C42893448}"/>
    <dgm:cxn modelId="{ADE1B49A-5258-4895-9442-47CA8082B688}" type="presOf" srcId="{E6BC16BB-F93A-4745-8B71-07703A9D0891}" destId="{7ABA132F-4D21-4791-9A9A-84D258152BDE}" srcOrd="1" destOrd="0" presId="urn:microsoft.com/office/officeart/2005/8/layout/radial1"/>
    <dgm:cxn modelId="{A966D4CF-C569-49CD-9DD4-AD3E8AFA78CA}" type="presOf" srcId="{DE541715-C648-404D-8124-F14F463E9202}" destId="{062AF917-2F47-4639-8A23-58AD52EC0F32}" srcOrd="0" destOrd="0" presId="urn:microsoft.com/office/officeart/2005/8/layout/radial1"/>
    <dgm:cxn modelId="{D5895B7D-D8B6-4959-AC1D-45D12FDA6026}" type="presOf" srcId="{960C5593-E0FF-4AA5-AA0B-E8BDFFBC5E53}" destId="{CED9197C-8322-406B-917C-172FA36E7B76}" srcOrd="0" destOrd="0" presId="urn:microsoft.com/office/officeart/2005/8/layout/radial1"/>
    <dgm:cxn modelId="{9A1E9A98-602F-4CFC-9DF1-6FFE51964B93}" type="presOf" srcId="{C06C39C9-71B8-489C-9C45-3DD37A424E39}" destId="{0FAF3FA1-8E6C-455E-B189-A468B3F4D8BC}" srcOrd="0" destOrd="0" presId="urn:microsoft.com/office/officeart/2005/8/layout/radial1"/>
    <dgm:cxn modelId="{FC75E7B0-A039-48EC-BDBD-07FFF64E82F3}" type="presOf" srcId="{0FABC453-0A5C-4CAE-813B-F0494A34E025}" destId="{ADF94B70-0D7F-4A27-8DF9-17BCD27F4A7A}" srcOrd="0" destOrd="0" presId="urn:microsoft.com/office/officeart/2005/8/layout/radial1"/>
    <dgm:cxn modelId="{BF65F824-D4F4-4A84-83B4-6B1944B62AAD}" srcId="{DE541715-C648-404D-8124-F14F463E9202}" destId="{4631C2C5-1554-4289-90B0-F2D55D1595B6}" srcOrd="3" destOrd="0" parTransId="{4693CA52-075F-4BD8-ABEA-5368BE377DDA}" sibTransId="{9B3CB24D-A47A-4081-B256-B868D89D5387}"/>
    <dgm:cxn modelId="{52F839BC-19C6-4E0A-9ACA-287732C8B9F1}" type="presOf" srcId="{7AF774ED-547E-4C04-8670-B0C1D08C5EE9}" destId="{5337AE63-3722-42CC-AF72-36670EB7C5E1}" srcOrd="0" destOrd="0" presId="urn:microsoft.com/office/officeart/2005/8/layout/radial1"/>
    <dgm:cxn modelId="{60B3ED9C-EC69-47B2-9EDD-19450F17EF4B}" type="presOf" srcId="{E6BC16BB-F93A-4745-8B71-07703A9D0891}" destId="{4C755D63-E57A-4826-AD35-228CF0B8702F}" srcOrd="0" destOrd="0" presId="urn:microsoft.com/office/officeart/2005/8/layout/radial1"/>
    <dgm:cxn modelId="{3597F8D4-E0D8-45F4-BB48-7FD22AAE79C7}" srcId="{DE541715-C648-404D-8124-F14F463E9202}" destId="{70EC699C-58C9-413E-92A6-88F3FF9B1DC9}" srcOrd="0" destOrd="0" parTransId="{E2FC291C-D685-4C64-9B85-7318D8496566}" sibTransId="{18BDC942-54AA-48C8-9849-2287B2AEC32C}"/>
    <dgm:cxn modelId="{13CBFE79-89CA-4F31-82DC-2D4F457FCD92}" type="presParOf" srcId="{08F189A1-AB47-41D1-8058-7A6DA66B3F52}" destId="{062AF917-2F47-4639-8A23-58AD52EC0F32}" srcOrd="0" destOrd="0" presId="urn:microsoft.com/office/officeart/2005/8/layout/radial1"/>
    <dgm:cxn modelId="{897E0C9E-8BDC-486B-B6E3-4B01DE3A7036}" type="presParOf" srcId="{08F189A1-AB47-41D1-8058-7A6DA66B3F52}" destId="{743B4520-8441-42A0-AFCB-45C212516FFF}" srcOrd="1" destOrd="0" presId="urn:microsoft.com/office/officeart/2005/8/layout/radial1"/>
    <dgm:cxn modelId="{6FBD96CF-F406-46D5-8825-A3F56533203E}" type="presParOf" srcId="{743B4520-8441-42A0-AFCB-45C212516FFF}" destId="{AB25BD6D-C05F-49D2-AE4A-144CA3C0FC88}" srcOrd="0" destOrd="0" presId="urn:microsoft.com/office/officeart/2005/8/layout/radial1"/>
    <dgm:cxn modelId="{0B0F23A0-C17F-48DA-A123-CAC03D4986B3}" type="presParOf" srcId="{08F189A1-AB47-41D1-8058-7A6DA66B3F52}" destId="{825B4589-2D50-4097-AF2B-6D3BD9DDE0B2}" srcOrd="2" destOrd="0" presId="urn:microsoft.com/office/officeart/2005/8/layout/radial1"/>
    <dgm:cxn modelId="{8CEC9C98-FCC1-493A-BD72-BD3E1713D32C}" type="presParOf" srcId="{08F189A1-AB47-41D1-8058-7A6DA66B3F52}" destId="{7A96B68C-E15D-4E1B-A46C-7E5DE405A90C}" srcOrd="3" destOrd="0" presId="urn:microsoft.com/office/officeart/2005/8/layout/radial1"/>
    <dgm:cxn modelId="{DA035569-AD80-4349-9C4C-3E2FE34502DF}" type="presParOf" srcId="{7A96B68C-E15D-4E1B-A46C-7E5DE405A90C}" destId="{55614E8E-7D68-4791-82B7-FD152FE54268}" srcOrd="0" destOrd="0" presId="urn:microsoft.com/office/officeart/2005/8/layout/radial1"/>
    <dgm:cxn modelId="{CEF89809-31AE-4C53-B63B-E68F1089B231}" type="presParOf" srcId="{08F189A1-AB47-41D1-8058-7A6DA66B3F52}" destId="{9DCD972B-1513-465A-AD2B-AD5E9EEB7291}" srcOrd="4" destOrd="0" presId="urn:microsoft.com/office/officeart/2005/8/layout/radial1"/>
    <dgm:cxn modelId="{4666A39A-DA68-40D5-BB0D-C71E266ABA95}" type="presParOf" srcId="{08F189A1-AB47-41D1-8058-7A6DA66B3F52}" destId="{5337AE63-3722-42CC-AF72-36670EB7C5E1}" srcOrd="5" destOrd="0" presId="urn:microsoft.com/office/officeart/2005/8/layout/radial1"/>
    <dgm:cxn modelId="{C2FDCC00-605A-447A-AB96-AC23243FEB69}" type="presParOf" srcId="{5337AE63-3722-42CC-AF72-36670EB7C5E1}" destId="{326412CE-9911-4799-A459-B56F02EB4473}" srcOrd="0" destOrd="0" presId="urn:microsoft.com/office/officeart/2005/8/layout/radial1"/>
    <dgm:cxn modelId="{2B5A0807-9125-4816-B480-B56635C38207}" type="presParOf" srcId="{08F189A1-AB47-41D1-8058-7A6DA66B3F52}" destId="{CED9197C-8322-406B-917C-172FA36E7B76}" srcOrd="6" destOrd="0" presId="urn:microsoft.com/office/officeart/2005/8/layout/radial1"/>
    <dgm:cxn modelId="{44A2E46D-5637-4DC9-B48B-DC64DFCBD412}" type="presParOf" srcId="{08F189A1-AB47-41D1-8058-7A6DA66B3F52}" destId="{4AC11394-3179-4EC5-A97F-D1A1B521CE2F}" srcOrd="7" destOrd="0" presId="urn:microsoft.com/office/officeart/2005/8/layout/radial1"/>
    <dgm:cxn modelId="{4F665D3E-8139-4301-8404-8E6546008F7C}" type="presParOf" srcId="{4AC11394-3179-4EC5-A97F-D1A1B521CE2F}" destId="{62A1F741-432F-46BE-AE07-15F0B6D5EA89}" srcOrd="0" destOrd="0" presId="urn:microsoft.com/office/officeart/2005/8/layout/radial1"/>
    <dgm:cxn modelId="{009E5199-F4CF-44B3-8107-DFF959C9D564}" type="presParOf" srcId="{08F189A1-AB47-41D1-8058-7A6DA66B3F52}" destId="{035B4C9A-0916-4FCC-A1CF-85DB358A289A}" srcOrd="8" destOrd="0" presId="urn:microsoft.com/office/officeart/2005/8/layout/radial1"/>
    <dgm:cxn modelId="{94858DD6-FF16-4681-8AA8-42299AB004B1}" type="presParOf" srcId="{08F189A1-AB47-41D1-8058-7A6DA66B3F52}" destId="{ADF94B70-0D7F-4A27-8DF9-17BCD27F4A7A}" srcOrd="9" destOrd="0" presId="urn:microsoft.com/office/officeart/2005/8/layout/radial1"/>
    <dgm:cxn modelId="{4A3E262C-1E27-4B8F-8F4D-500A686C030C}" type="presParOf" srcId="{ADF94B70-0D7F-4A27-8DF9-17BCD27F4A7A}" destId="{EA4144E0-C5B2-4FC0-BDB2-550B61DB7DFD}" srcOrd="0" destOrd="0" presId="urn:microsoft.com/office/officeart/2005/8/layout/radial1"/>
    <dgm:cxn modelId="{C2479DE1-CD1F-4234-BBB2-0858ED251A03}" type="presParOf" srcId="{08F189A1-AB47-41D1-8058-7A6DA66B3F52}" destId="{0FAF3FA1-8E6C-455E-B189-A468B3F4D8BC}" srcOrd="10" destOrd="0" presId="urn:microsoft.com/office/officeart/2005/8/layout/radial1"/>
    <dgm:cxn modelId="{54B2718F-5880-4318-8741-A82830EF7D50}" type="presParOf" srcId="{08F189A1-AB47-41D1-8058-7A6DA66B3F52}" destId="{4C755D63-E57A-4826-AD35-228CF0B8702F}" srcOrd="11" destOrd="0" presId="urn:microsoft.com/office/officeart/2005/8/layout/radial1"/>
    <dgm:cxn modelId="{F0C818A8-8F28-42A0-A640-AD5C45530316}" type="presParOf" srcId="{4C755D63-E57A-4826-AD35-228CF0B8702F}" destId="{7ABA132F-4D21-4791-9A9A-84D258152BDE}" srcOrd="0" destOrd="0" presId="urn:microsoft.com/office/officeart/2005/8/layout/radial1"/>
    <dgm:cxn modelId="{D4007335-43C7-44CA-AF97-F73FA6E5C4C1}" type="presParOf" srcId="{08F189A1-AB47-41D1-8058-7A6DA66B3F52}" destId="{24E3E7DC-0BA5-48AF-955A-AA52F4F430B1}" srcOrd="12" destOrd="0" presId="urn:microsoft.com/office/officeart/2005/8/layout/radial1"/>
  </dgm:cxnLst>
  <dgm:bg/>
  <dgm:whole/>
  <dgm:extLst>
    <a:ext uri="http://schemas.microsoft.com/office/drawing/2008/diagram">
      <dsp:dataModelExt xmlns:dsp="http://schemas.microsoft.com/office/drawing/2008/diagram" relId="rId137" minVer="http://schemas.openxmlformats.org/drawingml/2006/diagram"/>
    </a:ext>
    <a:ext uri="{C62137D5-CB1D-491B-B009-E17868A290BF}">
      <dgm14:recolorImg xmlns:dgm14="http://schemas.microsoft.com/office/drawing/2010/diagram" val="1"/>
    </a:ext>
  </dgm:extLst>
</dgm:dataModel>
</file>

<file path=word/diagrams/data15.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436956" y="928028"/>
          <a:ext cx="1163496" cy="486144"/>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2EF75B39-F486-43BE-8B27-294595126005}">
      <dgm:prSet phldrT="[Text]" custT="1"/>
      <dgm:spPr>
        <a:xfrm>
          <a:off x="2461162" y="10017"/>
          <a:ext cx="1126909" cy="5330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a:spcAft>
              <a:spcPct val="35000"/>
            </a:spcAft>
          </a:pP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66F0DCEC-2B26-4038-AF1F-D0A98A0F7930}" type="parTrans" cxnId="{D0987D88-807B-4994-94E2-80A6C1D9AE52}">
      <dgm:prSet/>
      <dgm:spPr>
        <a:xfrm rot="16222721">
          <a:off x="2829084" y="727032"/>
          <a:ext cx="384996"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842803" y="396965"/>
          <a:ext cx="1095195" cy="48383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s-ES_tradnl" sz="900">
              <a:latin typeface="Arial" panose="020B0604020202020204" pitchFamily="34" charset="0"/>
              <a:cs typeface="Arial" panose="020B0604020202020204" pitchFamily="34" charset="0"/>
            </a:rPr>
            <a:t>Países T/D</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F6DE2413-45CD-453B-A258-F22A53BBB241}" type="parTrans" cxnId="{A5666C79-BF01-4153-AB0A-BB16CAE1F135}">
      <dgm:prSet/>
      <dgm:spPr>
        <a:xfrm rot="20327628">
          <a:off x="3425607" y="893608"/>
          <a:ext cx="572741"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86786" y="886842"/>
          <a:ext cx="1157634" cy="586562"/>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a:spcAft>
              <a:spcPct val="35000"/>
            </a:spcAft>
          </a:pPr>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gm:t>
    </dgm:pt>
    <dgm:pt modelId="{52A69187-F965-4704-9C1A-29B2281F912F}" type="parTrans" cxnId="{BA0B21AC-350F-4DDA-A443-58447D95EEF1}">
      <dgm:prSet/>
      <dgm:spPr>
        <a:xfrm rot="10786818">
          <a:off x="1244400" y="1167115"/>
          <a:ext cx="1192585"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971210" y="327875"/>
          <a:ext cx="1299827" cy="51171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a:spcAft>
              <a:spcPct val="35000"/>
            </a:spcAft>
          </a:pPr>
          <a:r>
            <a:rPr lang="en-US" sz="900">
              <a:solidFill>
                <a:sysClr val="windowText" lastClr="000000"/>
              </a:solidFill>
              <a:latin typeface="Arial" panose="020B0604020202020204" pitchFamily="34" charset="0"/>
              <a:ea typeface="+mn-ea"/>
              <a:cs typeface="Arial" panose="020B0604020202020204" pitchFamily="34" charset="0"/>
            </a:rPr>
            <a:t>Soluciones operativas para las oficinas de P.I</a:t>
          </a:r>
        </a:p>
      </dgm:t>
    </dgm:pt>
    <dgm:pt modelId="{D6278D4F-93AB-42D0-B837-2B99BC1EE808}" type="parTrans" cxnId="{D4C1BC69-C745-405B-9248-C6E8862DD509}">
      <dgm:prSet/>
      <dgm:spPr>
        <a:xfrm rot="12167746">
          <a:off x="2042422" y="876090"/>
          <a:ext cx="589133"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21293A80-0F61-406E-BFCA-C5725BC3581F}">
      <dgm:prSet phldrT="[Text]" custT="1"/>
      <dgm:spPr>
        <a:xfrm>
          <a:off x="4699105" y="911064"/>
          <a:ext cx="1244492" cy="50992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spcAft>
              <a:spcPts val="0"/>
            </a:spcAft>
          </a:pP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a:spcAft>
              <a:spcPct val="35000"/>
            </a:spcAft>
          </a:pPr>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gm:t>
    </dgm:pt>
    <dgm:pt modelId="{93D773F4-8F00-40EC-A451-C5A5ADE485BC}" type="parTrans" cxnId="{BD8D6ADE-EC44-459F-BA83-8828A6DCC5C3}">
      <dgm:prSet/>
      <dgm:spPr>
        <a:xfrm rot="21592425">
          <a:off x="3600443" y="1160105"/>
          <a:ext cx="1098672" cy="1700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57D66A3-5C96-41AD-A09B-F6DC2C7DFB10}" type="sibTrans" cxnId="{BD8D6ADE-EC44-459F-BA83-8828A6DCC5C3}">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37380" custScaleY="86580" custLinFactNeighborX="-291" custLinFactNeighborY="11301"/>
      <dgm:spPr>
        <a:prstGeom prst="ellipse">
          <a:avLst/>
        </a:prstGeom>
      </dgm:spPr>
      <dgm:t>
        <a:bodyPr/>
        <a:lstStyle/>
        <a:p>
          <a:endParaRPr lang="en-US"/>
        </a:p>
      </dgm:t>
    </dgm:pt>
    <dgm:pt modelId="{650854B0-9FE7-4FFD-96B2-18F6452E0859}" type="pres">
      <dgm:prSet presAssocID="{66F0DCEC-2B26-4038-AF1F-D0A98A0F7930}" presName="Name9" presStyleLbl="parChTrans1D2" presStyleIdx="0" presStyleCnt="5"/>
      <dgm:spPr>
        <a:custGeom>
          <a:avLst/>
          <a:gdLst/>
          <a:ahLst/>
          <a:cxnLst/>
          <a:rect l="0" t="0" r="0" b="0"/>
          <a:pathLst>
            <a:path>
              <a:moveTo>
                <a:pt x="0" y="8502"/>
              </a:moveTo>
              <a:lnTo>
                <a:pt x="401655" y="8502"/>
              </a:lnTo>
            </a:path>
          </a:pathLst>
        </a:custGeom>
      </dgm:spPr>
      <dgm:t>
        <a:bodyPr/>
        <a:lstStyle/>
        <a:p>
          <a:endParaRPr lang="en-US"/>
        </a:p>
      </dgm:t>
    </dgm:pt>
    <dgm:pt modelId="{7FE108B5-F558-4942-A9EC-465F3C2E5813}" type="pres">
      <dgm:prSet presAssocID="{66F0DCEC-2B26-4038-AF1F-D0A98A0F7930}" presName="connTx" presStyleLbl="parChTrans1D2" presStyleIdx="0" presStyleCnt="5"/>
      <dgm:spPr/>
      <dgm:t>
        <a:bodyPr/>
        <a:lstStyle/>
        <a:p>
          <a:endParaRPr lang="en-US"/>
        </a:p>
      </dgm:t>
    </dgm:pt>
    <dgm:pt modelId="{6394B413-6D12-4C4F-9A8D-E0508CAE8617}" type="pres">
      <dgm:prSet presAssocID="{2EF75B39-F486-43BE-8B27-294595126005}" presName="node" presStyleLbl="node1" presStyleIdx="0" presStyleCnt="5" custScaleX="235023" custScaleY="103606" custRadScaleRad="99803" custRadScaleInc="362">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1" presStyleCnt="5"/>
      <dgm:spPr>
        <a:custGeom>
          <a:avLst/>
          <a:gdLst/>
          <a:ahLst/>
          <a:cxnLst/>
          <a:rect l="0" t="0" r="0" b="0"/>
          <a:pathLst>
            <a:path>
              <a:moveTo>
                <a:pt x="0" y="8502"/>
              </a:moveTo>
              <a:lnTo>
                <a:pt x="611519" y="8502"/>
              </a:lnTo>
            </a:path>
          </a:pathLst>
        </a:custGeom>
      </dgm:spPr>
      <dgm:t>
        <a:bodyPr/>
        <a:lstStyle/>
        <a:p>
          <a:endParaRPr lang="en-US"/>
        </a:p>
      </dgm:t>
    </dgm:pt>
    <dgm:pt modelId="{B0514361-30D3-4311-BC21-0743B7F01673}" type="pres">
      <dgm:prSet presAssocID="{F6DE2413-45CD-453B-A258-F22A53BBB241}" presName="connTx" presStyleLbl="parChTrans1D2" presStyleIdx="1" presStyleCnt="5"/>
      <dgm:spPr/>
      <dgm:t>
        <a:bodyPr/>
        <a:lstStyle/>
        <a:p>
          <a:endParaRPr lang="en-US"/>
        </a:p>
      </dgm:t>
    </dgm:pt>
    <dgm:pt modelId="{2ED32773-10C9-4671-A0BF-4C0DAB40AE25}" type="pres">
      <dgm:prSet presAssocID="{4761FE57-664D-44AD-8EF1-E6096D64297F}" presName="node" presStyleLbl="node1" presStyleIdx="1" presStyleCnt="5" custScaleX="195049" custScaleY="86169" custRadScaleRad="193731" custRadScaleInc="8265">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2" presStyleCnt="5"/>
      <dgm:spPr>
        <a:custGeom>
          <a:avLst/>
          <a:gdLst/>
          <a:ahLst/>
          <a:cxnLst/>
          <a:rect l="0" t="0" r="0" b="0"/>
          <a:pathLst>
            <a:path>
              <a:moveTo>
                <a:pt x="0" y="8502"/>
              </a:moveTo>
              <a:lnTo>
                <a:pt x="1178174" y="8502"/>
              </a:lnTo>
            </a:path>
          </a:pathLst>
        </a:custGeom>
      </dgm:spPr>
      <dgm:t>
        <a:bodyPr/>
        <a:lstStyle/>
        <a:p>
          <a:endParaRPr lang="en-US"/>
        </a:p>
      </dgm:t>
    </dgm:pt>
    <dgm:pt modelId="{F87499B4-AA7B-416D-9B28-377D046017EC}" type="pres">
      <dgm:prSet presAssocID="{93D773F4-8F00-40EC-A451-C5A5ADE485BC}" presName="connTx" presStyleLbl="parChTrans1D2" presStyleIdx="2" presStyleCnt="5"/>
      <dgm:spPr/>
      <dgm:t>
        <a:bodyPr/>
        <a:lstStyle/>
        <a:p>
          <a:endParaRPr lang="en-US"/>
        </a:p>
      </dgm:t>
    </dgm:pt>
    <dgm:pt modelId="{638FE4E5-2063-40D0-A44F-91C88716CF8C}" type="pres">
      <dgm:prSet presAssocID="{21293A80-0F61-406E-BFCA-C5725BC3581F}" presName="node" presStyleLbl="node1" presStyleIdx="2" presStyleCnt="5" custScaleX="221638" custScaleY="90815" custRadScaleRad="315253" custRadScaleInc="-138931">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3" presStyleCnt="5"/>
      <dgm:spPr>
        <a:custGeom>
          <a:avLst/>
          <a:gdLst/>
          <a:ahLst/>
          <a:cxnLst/>
          <a:rect l="0" t="0" r="0" b="0"/>
          <a:pathLst>
            <a:path>
              <a:moveTo>
                <a:pt x="0" y="8502"/>
              </a:moveTo>
              <a:lnTo>
                <a:pt x="1276148" y="8502"/>
              </a:lnTo>
            </a:path>
          </a:pathLst>
        </a:custGeom>
      </dgm:spPr>
      <dgm:t>
        <a:bodyPr/>
        <a:lstStyle/>
        <a:p>
          <a:endParaRPr lang="en-US"/>
        </a:p>
      </dgm:t>
    </dgm:pt>
    <dgm:pt modelId="{E01163DA-75CF-4C32-B81E-41BBCCC937B3}" type="pres">
      <dgm:prSet presAssocID="{52A69187-F965-4704-9C1A-29B2281F912F}" presName="connTx" presStyleLbl="parChTrans1D2" presStyleIdx="3" presStyleCnt="5"/>
      <dgm:spPr/>
      <dgm:t>
        <a:bodyPr/>
        <a:lstStyle/>
        <a:p>
          <a:endParaRPr lang="en-US"/>
        </a:p>
      </dgm:t>
    </dgm:pt>
    <dgm:pt modelId="{F74F2681-A109-4B75-8C08-B2B26769CF03}" type="pres">
      <dgm:prSet presAssocID="{576E161B-59E2-4177-8320-584EBC426979}" presName="node" presStyleLbl="node1" presStyleIdx="3" presStyleCnt="5" custScaleX="218713" custScaleY="117851" custRadScaleRad="323438" custRadScaleInc="138260">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4" presStyleCnt="5"/>
      <dgm:spPr>
        <a:custGeom>
          <a:avLst/>
          <a:gdLst/>
          <a:ahLst/>
          <a:cxnLst/>
          <a:rect l="0" t="0" r="0" b="0"/>
          <a:pathLst>
            <a:path>
              <a:moveTo>
                <a:pt x="0" y="8502"/>
              </a:moveTo>
              <a:lnTo>
                <a:pt x="766822" y="8502"/>
              </a:lnTo>
            </a:path>
          </a:pathLst>
        </a:custGeom>
      </dgm:spPr>
      <dgm:t>
        <a:bodyPr/>
        <a:lstStyle/>
        <a:p>
          <a:endParaRPr lang="en-US"/>
        </a:p>
      </dgm:t>
    </dgm:pt>
    <dgm:pt modelId="{C620A703-6BE9-4C0F-B737-266F7434DAB4}" type="pres">
      <dgm:prSet presAssocID="{D6278D4F-93AB-42D0-B837-2B99BC1EE808}" presName="connTx" presStyleLbl="parChTrans1D2" presStyleIdx="4" presStyleCnt="5"/>
      <dgm:spPr/>
      <dgm:t>
        <a:bodyPr/>
        <a:lstStyle/>
        <a:p>
          <a:endParaRPr lang="en-US"/>
        </a:p>
      </dgm:t>
    </dgm:pt>
    <dgm:pt modelId="{05C48364-E63B-4056-87CF-0BE50D74190B}" type="pres">
      <dgm:prSet presAssocID="{CEEBDBB9-7602-49B1-BBEB-80C6D1238598}" presName="node" presStyleLbl="node1" presStyleIdx="4" presStyleCnt="5" custScaleX="249467" custScaleY="106391" custRadScaleRad="200324" custRadScaleInc="-3443">
        <dgm:presLayoutVars>
          <dgm:bulletEnabled val="1"/>
        </dgm:presLayoutVars>
      </dgm:prSet>
      <dgm:spPr>
        <a:prstGeom prst="ellipse">
          <a:avLst/>
        </a:prstGeom>
      </dgm:spPr>
      <dgm:t>
        <a:bodyPr/>
        <a:lstStyle/>
        <a:p>
          <a:endParaRPr lang="en-US"/>
        </a:p>
      </dgm:t>
    </dgm:pt>
  </dgm:ptLst>
  <dgm:cxnLst>
    <dgm:cxn modelId="{8EA26F65-5FD7-4DCF-9540-8FB7824BB864}" type="presOf" srcId="{93D773F4-8F00-40EC-A451-C5A5ADE485BC}" destId="{6A5F15CA-77E2-4C48-8498-A7C7D3C4428C}" srcOrd="0" destOrd="0" presId="urn:microsoft.com/office/officeart/2005/8/layout/radial1"/>
    <dgm:cxn modelId="{BD8D6ADE-EC44-459F-BA83-8828A6DCC5C3}" srcId="{60F584FC-F7FF-4FD7-86E3-8773293C0460}" destId="{21293A80-0F61-406E-BFCA-C5725BC3581F}" srcOrd="2" destOrd="0" parTransId="{93D773F4-8F00-40EC-A451-C5A5ADE485BC}" sibTransId="{257D66A3-5C96-41AD-A09B-F6DC2C7DFB10}"/>
    <dgm:cxn modelId="{278ED8B4-B646-4742-8BAE-C39C78EC4997}" type="presOf" srcId="{2EF75B39-F486-43BE-8B27-294595126005}" destId="{6394B413-6D12-4C4F-9A8D-E0508CAE8617}" srcOrd="0" destOrd="0" presId="urn:microsoft.com/office/officeart/2005/8/layout/radial1"/>
    <dgm:cxn modelId="{F423A40D-E15F-44F1-BA24-3DA120347329}" type="presOf" srcId="{D6278D4F-93AB-42D0-B837-2B99BC1EE808}" destId="{C620A703-6BE9-4C0F-B737-266F7434DAB4}" srcOrd="1" destOrd="0" presId="urn:microsoft.com/office/officeart/2005/8/layout/radial1"/>
    <dgm:cxn modelId="{954F5201-E766-4DE1-B325-55F56CB2626C}" type="presOf" srcId="{576E161B-59E2-4177-8320-584EBC426979}" destId="{F74F2681-A109-4B75-8C08-B2B26769CF03}" srcOrd="0" destOrd="0" presId="urn:microsoft.com/office/officeart/2005/8/layout/radial1"/>
    <dgm:cxn modelId="{A5666C79-BF01-4153-AB0A-BB16CAE1F135}" srcId="{60F584FC-F7FF-4FD7-86E3-8773293C0460}" destId="{4761FE57-664D-44AD-8EF1-E6096D64297F}" srcOrd="1" destOrd="0" parTransId="{F6DE2413-45CD-453B-A258-F22A53BBB241}" sibTransId="{288511AC-ECAB-47A8-A0B0-D7AAFEE02A39}"/>
    <dgm:cxn modelId="{05CA6B24-314A-421B-95B0-CFEC1730D015}" type="presOf" srcId="{93D773F4-8F00-40EC-A451-C5A5ADE485BC}" destId="{F87499B4-AA7B-416D-9B28-377D046017EC}" srcOrd="1" destOrd="0" presId="urn:microsoft.com/office/officeart/2005/8/layout/radial1"/>
    <dgm:cxn modelId="{7A507B43-CC17-4A2C-9D17-FEDE1AD9AEB7}" type="presOf" srcId="{52A69187-F965-4704-9C1A-29B2281F912F}" destId="{EAF47FDD-7D57-4FF6-9F6B-6E604D2CC0DE}" srcOrd="0" destOrd="0" presId="urn:microsoft.com/office/officeart/2005/8/layout/radial1"/>
    <dgm:cxn modelId="{BA0B21AC-350F-4DDA-A443-58447D95EEF1}" srcId="{60F584FC-F7FF-4FD7-86E3-8773293C0460}" destId="{576E161B-59E2-4177-8320-584EBC426979}" srcOrd="3" destOrd="0" parTransId="{52A69187-F965-4704-9C1A-29B2281F912F}" sibTransId="{E9F92651-5262-450E-9258-F1F8976476A8}"/>
    <dgm:cxn modelId="{D0987D88-807B-4994-94E2-80A6C1D9AE52}" srcId="{60F584FC-F7FF-4FD7-86E3-8773293C0460}" destId="{2EF75B39-F486-43BE-8B27-294595126005}" srcOrd="0" destOrd="0" parTransId="{66F0DCEC-2B26-4038-AF1F-D0A98A0F7930}" sibTransId="{A29EC13D-3B1F-4904-8025-5B38BEEF3183}"/>
    <dgm:cxn modelId="{0872B5C3-971C-4397-94C1-FDC0412A9ADC}" srcId="{3E4183EF-B989-4620-A02C-D54686D6628F}" destId="{60F584FC-F7FF-4FD7-86E3-8773293C0460}" srcOrd="0" destOrd="0" parTransId="{474A81AD-BFE3-4D32-9342-2C25E06E5B46}" sibTransId="{28FB44EF-A1AD-4FBB-B0D1-E98EB36FC510}"/>
    <dgm:cxn modelId="{FDBDD8D9-AAED-47AF-A8DF-4824D14C5538}" type="presOf" srcId="{3E4183EF-B989-4620-A02C-D54686D6628F}" destId="{4FC73BDC-CE2C-45F4-85CD-F387963DA006}" srcOrd="0" destOrd="0" presId="urn:microsoft.com/office/officeart/2005/8/layout/radial1"/>
    <dgm:cxn modelId="{0F98B77F-0E04-4EAA-BD97-AB5568F8A479}" type="presOf" srcId="{F6DE2413-45CD-453B-A258-F22A53BBB241}" destId="{B0514361-30D3-4311-BC21-0743B7F01673}" srcOrd="1" destOrd="0" presId="urn:microsoft.com/office/officeart/2005/8/layout/radial1"/>
    <dgm:cxn modelId="{C9407090-3E5F-4733-BF62-3225076E58A5}" type="presOf" srcId="{52A69187-F965-4704-9C1A-29B2281F912F}" destId="{E01163DA-75CF-4C32-B81E-41BBCCC937B3}" srcOrd="1" destOrd="0" presId="urn:microsoft.com/office/officeart/2005/8/layout/radial1"/>
    <dgm:cxn modelId="{0F0F48C1-42E3-460C-A2A0-39E7CEE7EE20}" type="presOf" srcId="{CEEBDBB9-7602-49B1-BBEB-80C6D1238598}" destId="{05C48364-E63B-4056-87CF-0BE50D74190B}" srcOrd="0" destOrd="0" presId="urn:microsoft.com/office/officeart/2005/8/layout/radial1"/>
    <dgm:cxn modelId="{2186186F-DD6D-4F3C-A46F-57C6A1659717}" type="presOf" srcId="{F6DE2413-45CD-453B-A258-F22A53BBB241}" destId="{DEF09AAB-E09E-4486-8914-E37D47E60824}" srcOrd="0" destOrd="0" presId="urn:microsoft.com/office/officeart/2005/8/layout/radial1"/>
    <dgm:cxn modelId="{62BF09F3-DB7C-41FD-BBB4-5710505C7312}" type="presOf" srcId="{21293A80-0F61-406E-BFCA-C5725BC3581F}" destId="{638FE4E5-2063-40D0-A44F-91C88716CF8C}" srcOrd="0" destOrd="0" presId="urn:microsoft.com/office/officeart/2005/8/layout/radial1"/>
    <dgm:cxn modelId="{924EA92D-7D86-46D8-B7F7-ECE1245D8A78}" type="presOf" srcId="{66F0DCEC-2B26-4038-AF1F-D0A98A0F7930}" destId="{7FE108B5-F558-4942-A9EC-465F3C2E5813}" srcOrd="1" destOrd="0" presId="urn:microsoft.com/office/officeart/2005/8/layout/radial1"/>
    <dgm:cxn modelId="{741FB383-7975-4216-92BC-2E399B7B08EB}" type="presOf" srcId="{66F0DCEC-2B26-4038-AF1F-D0A98A0F7930}" destId="{650854B0-9FE7-4FFD-96B2-18F6452E0859}" srcOrd="0" destOrd="0" presId="urn:microsoft.com/office/officeart/2005/8/layout/radial1"/>
    <dgm:cxn modelId="{5815FF0F-F397-48D9-A52D-CB241747F987}" type="presOf" srcId="{4761FE57-664D-44AD-8EF1-E6096D64297F}" destId="{2ED32773-10C9-4671-A0BF-4C0DAB40AE25}" srcOrd="0" destOrd="0" presId="urn:microsoft.com/office/officeart/2005/8/layout/radial1"/>
    <dgm:cxn modelId="{D4C1BC69-C745-405B-9248-C6E8862DD509}" srcId="{60F584FC-F7FF-4FD7-86E3-8773293C0460}" destId="{CEEBDBB9-7602-49B1-BBEB-80C6D1238598}" srcOrd="4" destOrd="0" parTransId="{D6278D4F-93AB-42D0-B837-2B99BC1EE808}" sibTransId="{3F7B98CE-94D6-4D7D-8314-AFA01590058A}"/>
    <dgm:cxn modelId="{9F3E48C7-C406-4D01-B0D2-4FFA2BC2A9E5}" type="presOf" srcId="{60F584FC-F7FF-4FD7-86E3-8773293C0460}" destId="{3C7CADF7-0742-432E-9EEF-EA9C347A7661}" srcOrd="0" destOrd="0" presId="urn:microsoft.com/office/officeart/2005/8/layout/radial1"/>
    <dgm:cxn modelId="{706146D9-77D6-42C5-AB29-8E9558BB26B3}" type="presOf" srcId="{D6278D4F-93AB-42D0-B837-2B99BC1EE808}" destId="{AC7E3352-64BC-4978-9AB6-2DD833483239}" srcOrd="0" destOrd="0" presId="urn:microsoft.com/office/officeart/2005/8/layout/radial1"/>
    <dgm:cxn modelId="{198D4BA5-DF37-4325-9AF2-3F9564C490DE}" type="presParOf" srcId="{4FC73BDC-CE2C-45F4-85CD-F387963DA006}" destId="{3C7CADF7-0742-432E-9EEF-EA9C347A7661}" srcOrd="0" destOrd="0" presId="urn:microsoft.com/office/officeart/2005/8/layout/radial1"/>
    <dgm:cxn modelId="{CB9D0EEE-E827-4663-ADB6-504CC9D2B656}" type="presParOf" srcId="{4FC73BDC-CE2C-45F4-85CD-F387963DA006}" destId="{650854B0-9FE7-4FFD-96B2-18F6452E0859}" srcOrd="1" destOrd="0" presId="urn:microsoft.com/office/officeart/2005/8/layout/radial1"/>
    <dgm:cxn modelId="{E1726149-1B8F-4871-B96B-1DCC528CF625}" type="presParOf" srcId="{650854B0-9FE7-4FFD-96B2-18F6452E0859}" destId="{7FE108B5-F558-4942-A9EC-465F3C2E5813}" srcOrd="0" destOrd="0" presId="urn:microsoft.com/office/officeart/2005/8/layout/radial1"/>
    <dgm:cxn modelId="{9BD0FEAF-E070-483C-95C6-AD5E64179ABD}" type="presParOf" srcId="{4FC73BDC-CE2C-45F4-85CD-F387963DA006}" destId="{6394B413-6D12-4C4F-9A8D-E0508CAE8617}" srcOrd="2" destOrd="0" presId="urn:microsoft.com/office/officeart/2005/8/layout/radial1"/>
    <dgm:cxn modelId="{BBACB20A-E3A0-49A0-9095-D4A9FA6B082B}" type="presParOf" srcId="{4FC73BDC-CE2C-45F4-85CD-F387963DA006}" destId="{DEF09AAB-E09E-4486-8914-E37D47E60824}" srcOrd="3" destOrd="0" presId="urn:microsoft.com/office/officeart/2005/8/layout/radial1"/>
    <dgm:cxn modelId="{890389C7-173B-43C5-8AE0-981344C97C6B}" type="presParOf" srcId="{DEF09AAB-E09E-4486-8914-E37D47E60824}" destId="{B0514361-30D3-4311-BC21-0743B7F01673}" srcOrd="0" destOrd="0" presId="urn:microsoft.com/office/officeart/2005/8/layout/radial1"/>
    <dgm:cxn modelId="{6A3E4497-3D3F-468D-AAAD-7E34E1E281C2}" type="presParOf" srcId="{4FC73BDC-CE2C-45F4-85CD-F387963DA006}" destId="{2ED32773-10C9-4671-A0BF-4C0DAB40AE25}" srcOrd="4" destOrd="0" presId="urn:microsoft.com/office/officeart/2005/8/layout/radial1"/>
    <dgm:cxn modelId="{F3FE9BF6-5015-41CF-857D-7BD70853C584}" type="presParOf" srcId="{4FC73BDC-CE2C-45F4-85CD-F387963DA006}" destId="{6A5F15CA-77E2-4C48-8498-A7C7D3C4428C}" srcOrd="5" destOrd="0" presId="urn:microsoft.com/office/officeart/2005/8/layout/radial1"/>
    <dgm:cxn modelId="{B801BEA5-A25B-404B-AE3D-0CB3EA945ABA}" type="presParOf" srcId="{6A5F15CA-77E2-4C48-8498-A7C7D3C4428C}" destId="{F87499B4-AA7B-416D-9B28-377D046017EC}" srcOrd="0" destOrd="0" presId="urn:microsoft.com/office/officeart/2005/8/layout/radial1"/>
    <dgm:cxn modelId="{7653EF66-AA3F-4E65-985E-124CBBC1BFEB}" type="presParOf" srcId="{4FC73BDC-CE2C-45F4-85CD-F387963DA006}" destId="{638FE4E5-2063-40D0-A44F-91C88716CF8C}" srcOrd="6" destOrd="0" presId="urn:microsoft.com/office/officeart/2005/8/layout/radial1"/>
    <dgm:cxn modelId="{CC692DCD-C6B5-4B07-9424-F6D95239A3CC}" type="presParOf" srcId="{4FC73BDC-CE2C-45F4-85CD-F387963DA006}" destId="{EAF47FDD-7D57-4FF6-9F6B-6E604D2CC0DE}" srcOrd="7" destOrd="0" presId="urn:microsoft.com/office/officeart/2005/8/layout/radial1"/>
    <dgm:cxn modelId="{9D0FA6DE-B937-49EA-B4B9-9D124B692A62}" type="presParOf" srcId="{EAF47FDD-7D57-4FF6-9F6B-6E604D2CC0DE}" destId="{E01163DA-75CF-4C32-B81E-41BBCCC937B3}" srcOrd="0" destOrd="0" presId="urn:microsoft.com/office/officeart/2005/8/layout/radial1"/>
    <dgm:cxn modelId="{47B8E3F4-ABE5-47F8-B944-081327120A0D}" type="presParOf" srcId="{4FC73BDC-CE2C-45F4-85CD-F387963DA006}" destId="{F74F2681-A109-4B75-8C08-B2B26769CF03}" srcOrd="8" destOrd="0" presId="urn:microsoft.com/office/officeart/2005/8/layout/radial1"/>
    <dgm:cxn modelId="{FE340CE5-0EDD-44BF-AE7E-EE7715F70CF4}" type="presParOf" srcId="{4FC73BDC-CE2C-45F4-85CD-F387963DA006}" destId="{AC7E3352-64BC-4978-9AB6-2DD833483239}" srcOrd="9" destOrd="0" presId="urn:microsoft.com/office/officeart/2005/8/layout/radial1"/>
    <dgm:cxn modelId="{E9368C43-F187-47BE-8994-1580C847DFD4}" type="presParOf" srcId="{AC7E3352-64BC-4978-9AB6-2DD833483239}" destId="{C620A703-6BE9-4C0F-B737-266F7434DAB4}" srcOrd="0" destOrd="0" presId="urn:microsoft.com/office/officeart/2005/8/layout/radial1"/>
    <dgm:cxn modelId="{ACEAEE8C-C2E2-43ED-8EE3-780FD6EBFAE5}" type="presParOf" srcId="{4FC73BDC-CE2C-45F4-85CD-F387963DA006}" destId="{05C48364-E63B-4056-87CF-0BE50D74190B}" srcOrd="10" destOrd="0" presId="urn:microsoft.com/office/officeart/2005/8/layout/radial1"/>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280006" y="676165"/>
          <a:ext cx="1197503" cy="44922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solidFill>
              <a:latin typeface="Arial" panose="020B0604020202020204" pitchFamily="34" charset="0"/>
              <a:ea typeface="+mn-ea"/>
              <a:cs typeface="Arial" panose="020B0604020202020204" pitchFamily="34" charset="0"/>
            </a:rPr>
            <a:t>Programa 15</a:t>
          </a:r>
        </a:p>
      </dgm:t>
    </dgm:pt>
    <dgm:pt modelId="{474A81AD-BFE3-4D32-9342-2C25E06E5B46}" type="parTrans" cxnId="{0872B5C3-971C-4397-94C1-FDC0412A9ADC}">
      <dgm:prSet/>
      <dgm:spPr/>
      <dgm:t>
        <a:bodyPr/>
        <a:lstStyle/>
        <a:p>
          <a:endParaRPr lang="en-US">
            <a:solidFill>
              <a:sysClr val="windowText" lastClr="000000"/>
            </a:solidFill>
          </a:endParaRPr>
        </a:p>
      </dgm:t>
    </dgm:pt>
    <dgm:pt modelId="{28FB44EF-A1AD-4FBB-B0D1-E98EB36FC510}" type="sibTrans" cxnId="{0872B5C3-971C-4397-94C1-FDC0412A9ADC}">
      <dgm:prSet/>
      <dgm:spPr/>
      <dgm:t>
        <a:bodyPr/>
        <a:lstStyle/>
        <a:p>
          <a:endParaRPr lang="en-US">
            <a:solidFill>
              <a:sysClr val="windowText" lastClr="000000"/>
            </a:solidFill>
          </a:endParaRPr>
        </a:p>
      </dgm:t>
    </dgm:pt>
    <dgm:pt modelId="{94B19768-91E8-4E7A-A857-C8521D65AF24}">
      <dgm:prSet phldrT="[Text]" custT="1"/>
      <dgm:spPr>
        <a:xfrm>
          <a:off x="2377322" y="58667"/>
          <a:ext cx="1007929" cy="50475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3</a:t>
          </a:r>
        </a:p>
        <a:p>
          <a:r>
            <a:rPr lang="en-US" sz="900">
              <a:solidFill>
                <a:sysClr val="windowText" lastClr="000000"/>
              </a:solidFill>
              <a:latin typeface="Arial" panose="020B0604020202020204" pitchFamily="34" charset="0"/>
              <a:ea typeface="+mn-ea"/>
              <a:cs typeface="Arial" panose="020B0604020202020204" pitchFamily="34" charset="0"/>
            </a:rPr>
            <a:t>  D.A.D.C.</a:t>
          </a:r>
        </a:p>
      </dgm:t>
    </dgm:pt>
    <dgm:pt modelId="{1F889DAC-CE52-4F0F-B94D-85598619AB82}" type="parTrans" cxnId="{E719C6E7-4776-4FC2-9ECD-F0D273135B37}">
      <dgm:prSet/>
      <dgm:spPr>
        <a:xfrm rot="16214742">
          <a:off x="2823589" y="612015"/>
          <a:ext cx="11274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174FD7F3-8467-46EB-ACD9-4B0EA7D3C4BA}" type="sibTrans" cxnId="{E719C6E7-4776-4FC2-9ECD-F0D273135B37}">
      <dgm:prSet/>
      <dgm:spPr/>
      <dgm:t>
        <a:bodyPr/>
        <a:lstStyle/>
        <a:p>
          <a:endParaRPr lang="en-US">
            <a:solidFill>
              <a:sysClr val="windowText" lastClr="000000"/>
            </a:solidFill>
          </a:endParaRPr>
        </a:p>
      </dgm:t>
    </dgm:pt>
    <dgm:pt modelId="{584F0456-7C88-4E15-A6D5-3DF2BDDC45F2}">
      <dgm:prSet phldrT="[Text]" custT="1"/>
      <dgm:spPr>
        <a:xfrm>
          <a:off x="3499843" y="278257"/>
          <a:ext cx="1111588" cy="4420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5</a:t>
          </a:r>
        </a:p>
        <a:p>
          <a:r>
            <a:rPr lang="en-US" sz="900">
              <a:solidFill>
                <a:sysClr val="windowText" lastClr="000000"/>
              </a:solidFill>
              <a:latin typeface="Arial" panose="020B0604020202020204" pitchFamily="34" charset="0"/>
              <a:ea typeface="+mn-ea"/>
              <a:cs typeface="Arial" panose="020B0604020202020204" pitchFamily="34" charset="0"/>
            </a:rPr>
            <a:t>PCT</a:t>
          </a:r>
        </a:p>
      </dgm:t>
    </dgm:pt>
    <dgm:pt modelId="{5BE92476-635C-4AE2-AD14-BF50BB0972EC}" type="parTrans" cxnId="{44EB880B-7660-4CF0-97E5-4E577ACA821D}">
      <dgm:prSet/>
      <dgm:spPr>
        <a:xfrm rot="20469744">
          <a:off x="3312890" y="688641"/>
          <a:ext cx="32975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3EF0F88F-A3C1-4CFC-8CDA-621CE91394E1}" type="sibTrans" cxnId="{44EB880B-7660-4CF0-97E5-4E577ACA821D}">
      <dgm:prSet/>
      <dgm:spPr/>
      <dgm:t>
        <a:bodyPr/>
        <a:lstStyle/>
        <a:p>
          <a:endParaRPr lang="en-US">
            <a:solidFill>
              <a:sysClr val="windowText" lastClr="000000"/>
            </a:solidFill>
          </a:endParaRPr>
        </a:p>
      </dgm:t>
    </dgm:pt>
    <dgm:pt modelId="{2EF75B39-F486-43BE-8B27-294595126005}">
      <dgm:prSet phldrT="[Text]" custT="1"/>
      <dgm:spPr>
        <a:xfrm>
          <a:off x="3892329" y="936890"/>
          <a:ext cx="1238703" cy="4958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6</a:t>
          </a:r>
        </a:p>
        <a:p>
          <a:r>
            <a:rPr lang="en-US" sz="900">
              <a:solidFill>
                <a:sysClr val="windowText" lastClr="000000"/>
              </a:solidFill>
              <a:latin typeface="Arial" panose="020B0604020202020204" pitchFamily="34" charset="0"/>
              <a:ea typeface="+mn-ea"/>
              <a:cs typeface="Arial" panose="020B0604020202020204" pitchFamily="34" charset="0"/>
            </a:rPr>
            <a:t>Sistemas de Madrid y Lisboa</a:t>
          </a:r>
        </a:p>
      </dgm:t>
    </dgm:pt>
    <dgm:pt modelId="{66F0DCEC-2B26-4038-AF1F-D0A98A0F7930}" type="parTrans" cxnId="{D0987D88-807B-4994-94E2-80A6C1D9AE52}">
      <dgm:prSet/>
      <dgm:spPr>
        <a:xfrm rot="592092">
          <a:off x="3418031" y="1032866"/>
          <a:ext cx="529526"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A29EC13D-3B1F-4904-8025-5B38BEEF3183}" type="sibTrans" cxnId="{D0987D88-807B-4994-94E2-80A6C1D9AE52}">
      <dgm:prSet/>
      <dgm:spPr/>
      <dgm:t>
        <a:bodyPr/>
        <a:lstStyle/>
        <a:p>
          <a:endParaRPr lang="en-US">
            <a:solidFill>
              <a:sysClr val="windowText" lastClr="000000"/>
            </a:solidFill>
          </a:endParaRPr>
        </a:p>
      </dgm:t>
    </dgm:pt>
    <dgm:pt modelId="{576E161B-59E2-4177-8320-584EBC426979}">
      <dgm:prSet phldrT="[Text]" custT="1"/>
      <dgm:spPr>
        <a:xfrm>
          <a:off x="695950" y="957721"/>
          <a:ext cx="1154436" cy="53230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10</a:t>
          </a:r>
        </a:p>
        <a:p>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52A69187-F965-4704-9C1A-29B2281F912F}" type="parTrans" cxnId="{BA0B21AC-350F-4DDA-A443-58447D95EEF1}">
      <dgm:prSet/>
      <dgm:spPr>
        <a:xfrm rot="10117332">
          <a:off x="1796698" y="1054406"/>
          <a:ext cx="559931"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E9F92651-5262-450E-9258-F1F8976476A8}" type="sibTrans" cxnId="{BA0B21AC-350F-4DDA-A443-58447D95EEF1}">
      <dgm:prSet/>
      <dgm:spPr/>
      <dgm:t>
        <a:bodyPr/>
        <a:lstStyle/>
        <a:p>
          <a:endParaRPr lang="en-US">
            <a:solidFill>
              <a:sysClr val="windowText" lastClr="000000"/>
            </a:solidFill>
          </a:endParaRPr>
        </a:p>
      </dgm:t>
    </dgm:pt>
    <dgm:pt modelId="{CEEBDBB9-7602-49B1-BBEB-80C6D1238598}">
      <dgm:prSet phldrT="[Text]" custT="1"/>
      <dgm:spPr>
        <a:xfrm>
          <a:off x="1071148" y="211517"/>
          <a:ext cx="1234835" cy="486077"/>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14 </a:t>
          </a:r>
        </a:p>
        <a:p>
          <a:r>
            <a:rPr lang="en-US" sz="900">
              <a:solidFill>
                <a:sysClr val="windowText" lastClr="000000"/>
              </a:solidFill>
              <a:latin typeface="Arial" panose="020B0604020202020204" pitchFamily="34" charset="0"/>
              <a:ea typeface="+mn-ea"/>
              <a:cs typeface="Arial" panose="020B0604020202020204" pitchFamily="34" charset="0"/>
            </a:rPr>
            <a:t>Acceso a la información y los conocimientos</a:t>
          </a:r>
        </a:p>
      </dgm:t>
    </dgm:pt>
    <dgm:pt modelId="{D6278D4F-93AB-42D0-B837-2B99BC1EE808}" type="parTrans" cxnId="{D4C1BC69-C745-405B-9248-C6E8862DD509}">
      <dgm:prSet/>
      <dgm:spPr>
        <a:xfrm rot="12033108">
          <a:off x="2124787" y="674308"/>
          <a:ext cx="341328"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3F7B98CE-94D6-4D7D-8314-AFA01590058A}" type="sibTrans" cxnId="{D4C1BC69-C745-405B-9248-C6E8862DD509}">
      <dgm:prSet/>
      <dgm:spPr/>
      <dgm:t>
        <a:bodyPr/>
        <a:lstStyle/>
        <a:p>
          <a:endParaRPr lang="en-US">
            <a:solidFill>
              <a:sysClr val="windowText" lastClr="000000"/>
            </a:solidFill>
          </a:endParaRPr>
        </a:p>
      </dgm:t>
    </dgm:pt>
    <dgm:pt modelId="{21293A80-0F61-406E-BFCA-C5725BC3581F}">
      <dgm:prSet phldrT="[Text]" custT="1"/>
      <dgm:spPr>
        <a:xfrm>
          <a:off x="2213689" y="1254483"/>
          <a:ext cx="1356105" cy="49149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93D773F4-8F00-40EC-A451-C5A5ADE485BC}" type="parTrans" cxnId="{BD8D6ADE-EC44-459F-BA83-8828A6DCC5C3}">
      <dgm:prSet/>
      <dgm:spPr>
        <a:xfrm rot="5325552">
          <a:off x="2820451" y="1182158"/>
          <a:ext cx="129140" cy="15556"/>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solidFill>
            <a:latin typeface="Calibri"/>
            <a:ea typeface="+mn-ea"/>
            <a:cs typeface="+mn-cs"/>
          </a:endParaRPr>
        </a:p>
      </dgm:t>
    </dgm:pt>
    <dgm:pt modelId="{257D66A3-5C96-41AD-A09B-F6DC2C7DFB10}" type="sibTrans" cxnId="{BD8D6ADE-EC44-459F-BA83-8828A6DCC5C3}">
      <dgm:prSet/>
      <dgm:spPr/>
      <dgm:t>
        <a:bodyPr/>
        <a:lstStyle/>
        <a:p>
          <a:endParaRPr lang="en-US">
            <a:solidFill>
              <a:sysClr val="windowText" lastClr="000000"/>
            </a:solidFill>
          </a:endParaRPr>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84658" custScaleY="90248"/>
      <dgm:spPr>
        <a:prstGeom prst="ellipse">
          <a:avLst/>
        </a:prstGeom>
      </dgm:spPr>
      <dgm:t>
        <a:bodyPr/>
        <a:lstStyle/>
        <a:p>
          <a:endParaRPr lang="en-US"/>
        </a:p>
      </dgm:t>
    </dgm:pt>
    <dgm:pt modelId="{72463A3F-A956-4917-8722-9FD79FB3E09A}" type="pres">
      <dgm:prSet presAssocID="{1F889DAC-CE52-4F0F-B94D-85598619AB82}" presName="Name9" presStyleLbl="parChTrans1D2" presStyleIdx="0" presStyleCnt="6"/>
      <dgm:spPr>
        <a:custGeom>
          <a:avLst/>
          <a:gdLst/>
          <a:ahLst/>
          <a:cxnLst/>
          <a:rect l="0" t="0" r="0" b="0"/>
          <a:pathLst>
            <a:path>
              <a:moveTo>
                <a:pt x="0" y="7778"/>
              </a:moveTo>
              <a:lnTo>
                <a:pt x="126270" y="7778"/>
              </a:lnTo>
            </a:path>
          </a:pathLst>
        </a:custGeom>
      </dgm:spPr>
      <dgm:t>
        <a:bodyPr/>
        <a:lstStyle/>
        <a:p>
          <a:endParaRPr lang="en-US"/>
        </a:p>
      </dgm:t>
    </dgm:pt>
    <dgm:pt modelId="{E5E0F749-58A7-4B5D-B40F-552D5369ABEE}" type="pres">
      <dgm:prSet presAssocID="{1F889DAC-CE52-4F0F-B94D-85598619AB82}" presName="connTx" presStyleLbl="parChTrans1D2" presStyleIdx="0" presStyleCnt="6"/>
      <dgm:spPr/>
      <dgm:t>
        <a:bodyPr/>
        <a:lstStyle/>
        <a:p>
          <a:endParaRPr lang="en-US"/>
        </a:p>
      </dgm:t>
    </dgm:pt>
    <dgm:pt modelId="{A030EF9D-9337-4706-B87A-64BDE162520A}" type="pres">
      <dgm:prSet presAssocID="{94B19768-91E8-4E7A-A857-C8521D65AF24}" presName="node" presStyleLbl="node1" presStyleIdx="0" presStyleCnt="6" custScaleX="202491" custScaleY="101404" custRadScaleRad="91113" custRadScaleInc="81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6"/>
      <dgm:spPr>
        <a:custGeom>
          <a:avLst/>
          <a:gdLst/>
          <a:ahLst/>
          <a:cxnLst/>
          <a:rect l="0" t="0" r="0" b="0"/>
          <a:pathLst>
            <a:path>
              <a:moveTo>
                <a:pt x="0" y="7778"/>
              </a:moveTo>
              <a:lnTo>
                <a:pt x="403209" y="7778"/>
              </a:lnTo>
            </a:path>
          </a:pathLst>
        </a:custGeom>
      </dgm:spPr>
      <dgm:t>
        <a:bodyPr/>
        <a:lstStyle/>
        <a:p>
          <a:endParaRPr lang="en-US"/>
        </a:p>
      </dgm:t>
    </dgm:pt>
    <dgm:pt modelId="{48B32C5A-7076-4480-B5CB-D9EFDA8D8FDB}" type="pres">
      <dgm:prSet presAssocID="{5BE92476-635C-4AE2-AD14-BF50BB0972EC}" presName="connTx" presStyleLbl="parChTrans1D2" presStyleIdx="1" presStyleCnt="6"/>
      <dgm:spPr/>
      <dgm:t>
        <a:bodyPr/>
        <a:lstStyle/>
        <a:p>
          <a:endParaRPr lang="en-US"/>
        </a:p>
      </dgm:t>
    </dgm:pt>
    <dgm:pt modelId="{423B6D89-2000-40C7-8429-BD38C7402395}" type="pres">
      <dgm:prSet presAssocID="{584F0456-7C88-4E15-A6D5-3DF2BDDC45F2}" presName="node" presStyleLbl="node1" presStyleIdx="1" presStyleCnt="6" custScaleX="223316" custScaleY="88803" custRadScaleRad="235527" custRadScaleInc="4598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6"/>
      <dgm:spPr>
        <a:custGeom>
          <a:avLst/>
          <a:gdLst/>
          <a:ahLst/>
          <a:cxnLst/>
          <a:rect l="0" t="0" r="0" b="0"/>
          <a:pathLst>
            <a:path>
              <a:moveTo>
                <a:pt x="0" y="7778"/>
              </a:moveTo>
              <a:lnTo>
                <a:pt x="1060081" y="7778"/>
              </a:lnTo>
            </a:path>
          </a:pathLst>
        </a:custGeom>
      </dgm:spPr>
      <dgm:t>
        <a:bodyPr/>
        <a:lstStyle/>
        <a:p>
          <a:endParaRPr lang="en-US"/>
        </a:p>
      </dgm:t>
    </dgm:pt>
    <dgm:pt modelId="{7FE108B5-F558-4942-A9EC-465F3C2E5813}" type="pres">
      <dgm:prSet presAssocID="{66F0DCEC-2B26-4038-AF1F-D0A98A0F7930}" presName="connTx" presStyleLbl="parChTrans1D2" presStyleIdx="2" presStyleCnt="6"/>
      <dgm:spPr/>
      <dgm:t>
        <a:bodyPr/>
        <a:lstStyle/>
        <a:p>
          <a:endParaRPr lang="en-US"/>
        </a:p>
      </dgm:t>
    </dgm:pt>
    <dgm:pt modelId="{6394B413-6D12-4C4F-9A8D-E0508CAE8617}" type="pres">
      <dgm:prSet presAssocID="{2EF75B39-F486-43BE-8B27-294595126005}" presName="node" presStyleLbl="node1" presStyleIdx="2" presStyleCnt="6" custScaleX="299232" custScaleY="103422" custRadScaleRad="258601" custRadScaleInc="-57691">
        <dgm:presLayoutVars>
          <dgm:bulletEnabled val="1"/>
        </dgm:presLayoutVars>
      </dgm:prSet>
      <dgm:spPr>
        <a:prstGeom prst="ellipse">
          <a:avLst/>
        </a:prstGeom>
      </dgm:spPr>
      <dgm:t>
        <a:bodyPr/>
        <a:lstStyle/>
        <a:p>
          <a:endParaRPr lang="en-US"/>
        </a:p>
      </dgm:t>
    </dgm:pt>
    <dgm:pt modelId="{6A5F15CA-77E2-4C48-8498-A7C7D3C4428C}" type="pres">
      <dgm:prSet presAssocID="{93D773F4-8F00-40EC-A451-C5A5ADE485BC}" presName="Name9" presStyleLbl="parChTrans1D2" presStyleIdx="3" presStyleCnt="6"/>
      <dgm:spPr>
        <a:custGeom>
          <a:avLst/>
          <a:gdLst/>
          <a:ahLst/>
          <a:cxnLst/>
          <a:rect l="0" t="0" r="0" b="0"/>
          <a:pathLst>
            <a:path>
              <a:moveTo>
                <a:pt x="0" y="7778"/>
              </a:moveTo>
              <a:lnTo>
                <a:pt x="141173" y="7778"/>
              </a:lnTo>
            </a:path>
          </a:pathLst>
        </a:custGeom>
      </dgm:spPr>
      <dgm:t>
        <a:bodyPr/>
        <a:lstStyle/>
        <a:p>
          <a:endParaRPr lang="en-US"/>
        </a:p>
      </dgm:t>
    </dgm:pt>
    <dgm:pt modelId="{F87499B4-AA7B-416D-9B28-377D046017EC}" type="pres">
      <dgm:prSet presAssocID="{93D773F4-8F00-40EC-A451-C5A5ADE485BC}" presName="connTx" presStyleLbl="parChTrans1D2" presStyleIdx="3" presStyleCnt="6"/>
      <dgm:spPr/>
      <dgm:t>
        <a:bodyPr/>
        <a:lstStyle/>
        <a:p>
          <a:endParaRPr lang="en-US"/>
        </a:p>
      </dgm:t>
    </dgm:pt>
    <dgm:pt modelId="{638FE4E5-2063-40D0-A44F-91C88716CF8C}" type="pres">
      <dgm:prSet presAssocID="{21293A80-0F61-406E-BFCA-C5725BC3581F}" presName="node" presStyleLbl="node1" presStyleIdx="3" presStyleCnt="6" custScaleX="297233" custScaleY="98741" custRadScaleRad="92636" custRadScaleInc="-4136">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4" presStyleCnt="6"/>
      <dgm:spPr>
        <a:custGeom>
          <a:avLst/>
          <a:gdLst/>
          <a:ahLst/>
          <a:cxnLst/>
          <a:rect l="0" t="0" r="0" b="0"/>
          <a:pathLst>
            <a:path>
              <a:moveTo>
                <a:pt x="0" y="7778"/>
              </a:moveTo>
              <a:lnTo>
                <a:pt x="942251" y="7778"/>
              </a:lnTo>
            </a:path>
          </a:pathLst>
        </a:custGeom>
      </dgm:spPr>
      <dgm:t>
        <a:bodyPr/>
        <a:lstStyle/>
        <a:p>
          <a:endParaRPr lang="en-US"/>
        </a:p>
      </dgm:t>
    </dgm:pt>
    <dgm:pt modelId="{E01163DA-75CF-4C32-B81E-41BBCCC937B3}" type="pres">
      <dgm:prSet presAssocID="{52A69187-F965-4704-9C1A-29B2281F912F}" presName="connTx" presStyleLbl="parChTrans1D2" presStyleIdx="4" presStyleCnt="6"/>
      <dgm:spPr/>
      <dgm:t>
        <a:bodyPr/>
        <a:lstStyle/>
        <a:p>
          <a:endParaRPr lang="en-US"/>
        </a:p>
      </dgm:t>
    </dgm:pt>
    <dgm:pt modelId="{F74F2681-A109-4B75-8C08-B2B26769CF03}" type="pres">
      <dgm:prSet presAssocID="{576E161B-59E2-4177-8320-584EBC426979}" presName="node" presStyleLbl="node1" presStyleIdx="4" presStyleCnt="6" custScaleX="231924" custScaleY="106939" custRadScaleRad="276631" custRadScaleInc="58841">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5" presStyleCnt="6"/>
      <dgm:spPr>
        <a:custGeom>
          <a:avLst/>
          <a:gdLst/>
          <a:ahLst/>
          <a:cxnLst/>
          <a:rect l="0" t="0" r="0" b="0"/>
          <a:pathLst>
            <a:path>
              <a:moveTo>
                <a:pt x="0" y="7778"/>
              </a:moveTo>
              <a:lnTo>
                <a:pt x="386761" y="7778"/>
              </a:lnTo>
            </a:path>
          </a:pathLst>
        </a:custGeom>
      </dgm:spPr>
      <dgm:t>
        <a:bodyPr/>
        <a:lstStyle/>
        <a:p>
          <a:endParaRPr lang="en-US"/>
        </a:p>
      </dgm:t>
    </dgm:pt>
    <dgm:pt modelId="{C620A703-6BE9-4C0F-B737-266F7434DAB4}" type="pres">
      <dgm:prSet presAssocID="{D6278D4F-93AB-42D0-B837-2B99BC1EE808}" presName="connTx" presStyleLbl="parChTrans1D2" presStyleIdx="5" presStyleCnt="6"/>
      <dgm:spPr/>
      <dgm:t>
        <a:bodyPr/>
        <a:lstStyle/>
        <a:p>
          <a:endParaRPr lang="en-US"/>
        </a:p>
      </dgm:t>
    </dgm:pt>
    <dgm:pt modelId="{05C48364-E63B-4056-87CF-0BE50D74190B}" type="pres">
      <dgm:prSet presAssocID="{CEEBDBB9-7602-49B1-BBEB-80C6D1238598}" presName="node" presStyleLbl="node1" presStyleIdx="5" presStyleCnt="6" custScaleX="388228" custScaleY="107134" custRadScaleRad="233558" custRadScaleInc="-54945">
        <dgm:presLayoutVars>
          <dgm:bulletEnabled val="1"/>
        </dgm:presLayoutVars>
      </dgm:prSet>
      <dgm:spPr>
        <a:prstGeom prst="ellipse">
          <a:avLst/>
        </a:prstGeom>
      </dgm:spPr>
      <dgm:t>
        <a:bodyPr/>
        <a:lstStyle/>
        <a:p>
          <a:endParaRPr lang="en-US"/>
        </a:p>
      </dgm:t>
    </dgm:pt>
  </dgm:ptLst>
  <dgm:cxnLst>
    <dgm:cxn modelId="{44EB880B-7660-4CF0-97E5-4E577ACA821D}" srcId="{60F584FC-F7FF-4FD7-86E3-8773293C0460}" destId="{584F0456-7C88-4E15-A6D5-3DF2BDDC45F2}" srcOrd="1" destOrd="0" parTransId="{5BE92476-635C-4AE2-AD14-BF50BB0972EC}" sibTransId="{3EF0F88F-A3C1-4CFC-8CDA-621CE91394E1}"/>
    <dgm:cxn modelId="{0CA65464-657C-4937-BD55-4E5EF49DF104}" type="presOf" srcId="{5BE92476-635C-4AE2-AD14-BF50BB0972EC}" destId="{48B32C5A-7076-4480-B5CB-D9EFDA8D8FDB}" srcOrd="1" destOrd="0" presId="urn:microsoft.com/office/officeart/2005/8/layout/radial1"/>
    <dgm:cxn modelId="{5C94F37B-F236-4AB7-A757-2914EC639233}" type="presOf" srcId="{3E4183EF-B989-4620-A02C-D54686D6628F}" destId="{4FC73BDC-CE2C-45F4-85CD-F387963DA006}" srcOrd="0" destOrd="0" presId="urn:microsoft.com/office/officeart/2005/8/layout/radial1"/>
    <dgm:cxn modelId="{4F2A117B-09D6-4B50-ACAD-A9A909E23E88}" type="presOf" srcId="{CEEBDBB9-7602-49B1-BBEB-80C6D1238598}" destId="{05C48364-E63B-4056-87CF-0BE50D74190B}" srcOrd="0" destOrd="0" presId="urn:microsoft.com/office/officeart/2005/8/layout/radial1"/>
    <dgm:cxn modelId="{CF5C900C-E25F-4F5C-A4C3-C897C7C8BF85}" type="presOf" srcId="{94B19768-91E8-4E7A-A857-C8521D65AF24}" destId="{A030EF9D-9337-4706-B87A-64BDE162520A}" srcOrd="0" destOrd="0" presId="urn:microsoft.com/office/officeart/2005/8/layout/radial1"/>
    <dgm:cxn modelId="{D60F1DF0-3AAD-446D-B0AF-55BF52D59DA1}" type="presOf" srcId="{66F0DCEC-2B26-4038-AF1F-D0A98A0F7930}" destId="{650854B0-9FE7-4FFD-96B2-18F6452E0859}" srcOrd="0" destOrd="0" presId="urn:microsoft.com/office/officeart/2005/8/layout/radial1"/>
    <dgm:cxn modelId="{79FE59D4-B028-4A61-80BC-5CE8A92331B6}" type="presOf" srcId="{576E161B-59E2-4177-8320-584EBC426979}" destId="{F74F2681-A109-4B75-8C08-B2B26769CF03}" srcOrd="0" destOrd="0" presId="urn:microsoft.com/office/officeart/2005/8/layout/radial1"/>
    <dgm:cxn modelId="{5DEE2475-2059-429D-BCF7-1711E62D395D}" type="presOf" srcId="{584F0456-7C88-4E15-A6D5-3DF2BDDC45F2}" destId="{423B6D89-2000-40C7-8429-BD38C7402395}" srcOrd="0" destOrd="0" presId="urn:microsoft.com/office/officeart/2005/8/layout/radial1"/>
    <dgm:cxn modelId="{53E9C75F-12EE-4E0A-B3A7-551567229AB8}" type="presOf" srcId="{2EF75B39-F486-43BE-8B27-294595126005}" destId="{6394B413-6D12-4C4F-9A8D-E0508CAE8617}" srcOrd="0" destOrd="0" presId="urn:microsoft.com/office/officeart/2005/8/layout/radial1"/>
    <dgm:cxn modelId="{D2384806-BA0B-4CF4-A521-D1D4DE85C943}" type="presOf" srcId="{60F584FC-F7FF-4FD7-86E3-8773293C0460}" destId="{3C7CADF7-0742-432E-9EEF-EA9C347A7661}" srcOrd="0" destOrd="0" presId="urn:microsoft.com/office/officeart/2005/8/layout/radial1"/>
    <dgm:cxn modelId="{D0011D0A-0F33-4A49-91F8-93B2DA483327}" type="presOf" srcId="{93D773F4-8F00-40EC-A451-C5A5ADE485BC}" destId="{F87499B4-AA7B-416D-9B28-377D046017EC}" srcOrd="1" destOrd="0" presId="urn:microsoft.com/office/officeart/2005/8/layout/radial1"/>
    <dgm:cxn modelId="{BD8D6ADE-EC44-459F-BA83-8828A6DCC5C3}" srcId="{60F584FC-F7FF-4FD7-86E3-8773293C0460}" destId="{21293A80-0F61-406E-BFCA-C5725BC3581F}" srcOrd="3" destOrd="0" parTransId="{93D773F4-8F00-40EC-A451-C5A5ADE485BC}" sibTransId="{257D66A3-5C96-41AD-A09B-F6DC2C7DFB10}"/>
    <dgm:cxn modelId="{D4C1BC69-C745-405B-9248-C6E8862DD509}" srcId="{60F584FC-F7FF-4FD7-86E3-8773293C0460}" destId="{CEEBDBB9-7602-49B1-BBEB-80C6D1238598}" srcOrd="5" destOrd="0" parTransId="{D6278D4F-93AB-42D0-B837-2B99BC1EE808}" sibTransId="{3F7B98CE-94D6-4D7D-8314-AFA01590058A}"/>
    <dgm:cxn modelId="{6FFBD63A-FEEF-4396-91B2-642BFD35B178}" type="presOf" srcId="{D6278D4F-93AB-42D0-B837-2B99BC1EE808}" destId="{AC7E3352-64BC-4978-9AB6-2DD833483239}"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34A8A0A0-7571-42F4-8C68-A1EA83CE2C8F}" type="presOf" srcId="{52A69187-F965-4704-9C1A-29B2281F912F}" destId="{EAF47FDD-7D57-4FF6-9F6B-6E604D2CC0DE}" srcOrd="0" destOrd="0" presId="urn:microsoft.com/office/officeart/2005/8/layout/radial1"/>
    <dgm:cxn modelId="{0099AA19-DF62-43E7-947A-98D48D6A74BB}" type="presOf" srcId="{1F889DAC-CE52-4F0F-B94D-85598619AB82}" destId="{72463A3F-A956-4917-8722-9FD79FB3E09A}" srcOrd="0" destOrd="0" presId="urn:microsoft.com/office/officeart/2005/8/layout/radial1"/>
    <dgm:cxn modelId="{BA0B21AC-350F-4DDA-A443-58447D95EEF1}" srcId="{60F584FC-F7FF-4FD7-86E3-8773293C0460}" destId="{576E161B-59E2-4177-8320-584EBC426979}" srcOrd="4" destOrd="0" parTransId="{52A69187-F965-4704-9C1A-29B2281F912F}" sibTransId="{E9F92651-5262-450E-9258-F1F8976476A8}"/>
    <dgm:cxn modelId="{3203B62D-A321-43E3-86F2-1A7DF44D87C0}" type="presOf" srcId="{5BE92476-635C-4AE2-AD14-BF50BB0972EC}" destId="{00112A8F-12E8-45AC-B551-DFB66BE45059}" srcOrd="0" destOrd="0" presId="urn:microsoft.com/office/officeart/2005/8/layout/radial1"/>
    <dgm:cxn modelId="{E0DB6BC9-A04E-473F-960A-9DB570AE2408}" type="presOf" srcId="{21293A80-0F61-406E-BFCA-C5725BC3581F}" destId="{638FE4E5-2063-40D0-A44F-91C88716CF8C}" srcOrd="0" destOrd="0" presId="urn:microsoft.com/office/officeart/2005/8/layout/radial1"/>
    <dgm:cxn modelId="{C1F37816-C0C8-4C1C-AA29-4F1D2751390C}" type="presOf" srcId="{93D773F4-8F00-40EC-A451-C5A5ADE485BC}" destId="{6A5F15CA-77E2-4C48-8498-A7C7D3C4428C}" srcOrd="0" destOrd="0" presId="urn:microsoft.com/office/officeart/2005/8/layout/radial1"/>
    <dgm:cxn modelId="{18E0307F-6B9A-42E1-87B1-30F55C0658DB}" type="presOf" srcId="{D6278D4F-93AB-42D0-B837-2B99BC1EE808}" destId="{C620A703-6BE9-4C0F-B737-266F7434DAB4}" srcOrd="1" destOrd="0" presId="urn:microsoft.com/office/officeart/2005/8/layout/radial1"/>
    <dgm:cxn modelId="{E719C6E7-4776-4FC2-9ECD-F0D273135B37}" srcId="{60F584FC-F7FF-4FD7-86E3-8773293C0460}" destId="{94B19768-91E8-4E7A-A857-C8521D65AF24}" srcOrd="0" destOrd="0" parTransId="{1F889DAC-CE52-4F0F-B94D-85598619AB82}" sibTransId="{174FD7F3-8467-46EB-ACD9-4B0EA7D3C4BA}"/>
    <dgm:cxn modelId="{37463F87-01AB-4397-B2CF-011E2B6A7C19}" type="presOf" srcId="{66F0DCEC-2B26-4038-AF1F-D0A98A0F7930}" destId="{7FE108B5-F558-4942-A9EC-465F3C2E5813}" srcOrd="1" destOrd="0" presId="urn:microsoft.com/office/officeart/2005/8/layout/radial1"/>
    <dgm:cxn modelId="{4952CB41-48AA-485C-8816-F453C98D5BD5}" type="presOf" srcId="{1F889DAC-CE52-4F0F-B94D-85598619AB82}" destId="{E5E0F749-58A7-4B5D-B40F-552D5369ABEE}" srcOrd="1"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A0744C19-160A-4AC5-A777-99C9FA5322DC}" type="presOf" srcId="{52A69187-F965-4704-9C1A-29B2281F912F}" destId="{E01163DA-75CF-4C32-B81E-41BBCCC937B3}" srcOrd="1" destOrd="0" presId="urn:microsoft.com/office/officeart/2005/8/layout/radial1"/>
    <dgm:cxn modelId="{61BABBE2-787C-4FE8-B082-3EE23EB5ABA1}" type="presParOf" srcId="{4FC73BDC-CE2C-45F4-85CD-F387963DA006}" destId="{3C7CADF7-0742-432E-9EEF-EA9C347A7661}" srcOrd="0" destOrd="0" presId="urn:microsoft.com/office/officeart/2005/8/layout/radial1"/>
    <dgm:cxn modelId="{935A11DE-B463-41A0-80BF-0792A27DCBA3}" type="presParOf" srcId="{4FC73BDC-CE2C-45F4-85CD-F387963DA006}" destId="{72463A3F-A956-4917-8722-9FD79FB3E09A}" srcOrd="1" destOrd="0" presId="urn:microsoft.com/office/officeart/2005/8/layout/radial1"/>
    <dgm:cxn modelId="{BE1BFAE2-31E9-469B-9630-F1ED4CB89FBA}" type="presParOf" srcId="{72463A3F-A956-4917-8722-9FD79FB3E09A}" destId="{E5E0F749-58A7-4B5D-B40F-552D5369ABEE}" srcOrd="0" destOrd="0" presId="urn:microsoft.com/office/officeart/2005/8/layout/radial1"/>
    <dgm:cxn modelId="{A1ED4D5F-5E22-4F20-8CD2-DF170FF66698}" type="presParOf" srcId="{4FC73BDC-CE2C-45F4-85CD-F387963DA006}" destId="{A030EF9D-9337-4706-B87A-64BDE162520A}" srcOrd="2" destOrd="0" presId="urn:microsoft.com/office/officeart/2005/8/layout/radial1"/>
    <dgm:cxn modelId="{DFC7297D-A842-42D7-A6EA-2E7893886C0C}" type="presParOf" srcId="{4FC73BDC-CE2C-45F4-85CD-F387963DA006}" destId="{00112A8F-12E8-45AC-B551-DFB66BE45059}" srcOrd="3" destOrd="0" presId="urn:microsoft.com/office/officeart/2005/8/layout/radial1"/>
    <dgm:cxn modelId="{DEFFA2AB-761C-4D5A-A2DC-82508509B810}" type="presParOf" srcId="{00112A8F-12E8-45AC-B551-DFB66BE45059}" destId="{48B32C5A-7076-4480-B5CB-D9EFDA8D8FDB}" srcOrd="0" destOrd="0" presId="urn:microsoft.com/office/officeart/2005/8/layout/radial1"/>
    <dgm:cxn modelId="{E0ABA8C2-738D-4182-874C-A6D130AF0E03}" type="presParOf" srcId="{4FC73BDC-CE2C-45F4-85CD-F387963DA006}" destId="{423B6D89-2000-40C7-8429-BD38C7402395}" srcOrd="4" destOrd="0" presId="urn:microsoft.com/office/officeart/2005/8/layout/radial1"/>
    <dgm:cxn modelId="{11AC6F9B-5EB4-48C7-9A10-D0F1FD3F3545}" type="presParOf" srcId="{4FC73BDC-CE2C-45F4-85CD-F387963DA006}" destId="{650854B0-9FE7-4FFD-96B2-18F6452E0859}" srcOrd="5" destOrd="0" presId="urn:microsoft.com/office/officeart/2005/8/layout/radial1"/>
    <dgm:cxn modelId="{907836D7-1F5C-42D6-AD56-834F35A5CA7A}" type="presParOf" srcId="{650854B0-9FE7-4FFD-96B2-18F6452E0859}" destId="{7FE108B5-F558-4942-A9EC-465F3C2E5813}" srcOrd="0" destOrd="0" presId="urn:microsoft.com/office/officeart/2005/8/layout/radial1"/>
    <dgm:cxn modelId="{9489EF01-5B2C-42AB-BEEA-6042A14AFDB6}" type="presParOf" srcId="{4FC73BDC-CE2C-45F4-85CD-F387963DA006}" destId="{6394B413-6D12-4C4F-9A8D-E0508CAE8617}" srcOrd="6" destOrd="0" presId="urn:microsoft.com/office/officeart/2005/8/layout/radial1"/>
    <dgm:cxn modelId="{DB9DC45B-BE28-4031-8968-24479B3362D8}" type="presParOf" srcId="{4FC73BDC-CE2C-45F4-85CD-F387963DA006}" destId="{6A5F15CA-77E2-4C48-8498-A7C7D3C4428C}" srcOrd="7" destOrd="0" presId="urn:microsoft.com/office/officeart/2005/8/layout/radial1"/>
    <dgm:cxn modelId="{B7E00E69-8661-4C9E-885E-3A258AC9F4B3}" type="presParOf" srcId="{6A5F15CA-77E2-4C48-8498-A7C7D3C4428C}" destId="{F87499B4-AA7B-416D-9B28-377D046017EC}" srcOrd="0" destOrd="0" presId="urn:microsoft.com/office/officeart/2005/8/layout/radial1"/>
    <dgm:cxn modelId="{9B5F068C-3FED-4B8D-A69E-806C98C98753}" type="presParOf" srcId="{4FC73BDC-CE2C-45F4-85CD-F387963DA006}" destId="{638FE4E5-2063-40D0-A44F-91C88716CF8C}" srcOrd="8" destOrd="0" presId="urn:microsoft.com/office/officeart/2005/8/layout/radial1"/>
    <dgm:cxn modelId="{F7992C9B-7D53-4EA6-BEC5-B91BDB08F57D}" type="presParOf" srcId="{4FC73BDC-CE2C-45F4-85CD-F387963DA006}" destId="{EAF47FDD-7D57-4FF6-9F6B-6E604D2CC0DE}" srcOrd="9" destOrd="0" presId="urn:microsoft.com/office/officeart/2005/8/layout/radial1"/>
    <dgm:cxn modelId="{98CB3648-47A5-4E9B-A579-AEF50E18D91E}" type="presParOf" srcId="{EAF47FDD-7D57-4FF6-9F6B-6E604D2CC0DE}" destId="{E01163DA-75CF-4C32-B81E-41BBCCC937B3}" srcOrd="0" destOrd="0" presId="urn:microsoft.com/office/officeart/2005/8/layout/radial1"/>
    <dgm:cxn modelId="{AE9A88C2-6843-4B0C-8F64-B1B012B56C15}" type="presParOf" srcId="{4FC73BDC-CE2C-45F4-85CD-F387963DA006}" destId="{F74F2681-A109-4B75-8C08-B2B26769CF03}" srcOrd="10" destOrd="0" presId="urn:microsoft.com/office/officeart/2005/8/layout/radial1"/>
    <dgm:cxn modelId="{7BDAD253-A331-45D4-8985-C1FEDAB38C41}" type="presParOf" srcId="{4FC73BDC-CE2C-45F4-85CD-F387963DA006}" destId="{AC7E3352-64BC-4978-9AB6-2DD833483239}" srcOrd="11" destOrd="0" presId="urn:microsoft.com/office/officeart/2005/8/layout/radial1"/>
    <dgm:cxn modelId="{0E5567F1-B37E-48D3-89E8-D9D55990814B}" type="presParOf" srcId="{AC7E3352-64BC-4978-9AB6-2DD833483239}" destId="{C620A703-6BE9-4C0F-B737-266F7434DAB4}" srcOrd="0" destOrd="0" presId="urn:microsoft.com/office/officeart/2005/8/layout/radial1"/>
    <dgm:cxn modelId="{35F17720-D51C-483D-BDC6-106BAE29D828}" type="presParOf" srcId="{4FC73BDC-CE2C-45F4-85CD-F387963DA006}" destId="{05C48364-E63B-4056-87CF-0BE50D74190B}" srcOrd="12" destOrd="0" presId="urn:microsoft.com/office/officeart/2005/8/layout/radial1"/>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348506" y="1028053"/>
          <a:ext cx="1208818" cy="360702"/>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dgm:t>
    </dgm:pt>
    <dgm:pt modelId="{474A81AD-BFE3-4D32-9342-2C25E06E5B46}" type="parTrans" cxnId="{0872B5C3-971C-4397-94C1-FDC0412A9ADC}">
      <dgm:prSet/>
      <dgm:spPr/>
      <dgm:t>
        <a:bodyPr/>
        <a:lstStyle/>
        <a:p>
          <a:endParaRPr lang="en-US"/>
        </a:p>
      </dgm:t>
    </dgm:pt>
    <dgm:pt modelId="{28FB44EF-A1AD-4FBB-B0D1-E98EB36FC510}" type="sibTrans" cxnId="{0872B5C3-971C-4397-94C1-FDC0412A9ADC}">
      <dgm:prSet/>
      <dgm:spPr/>
      <dgm:t>
        <a:bodyPr/>
        <a:lstStyle/>
        <a:p>
          <a:endParaRPr lang="en-US"/>
        </a:p>
      </dgm:t>
    </dgm:pt>
    <dgm:pt modelId="{9A4BDCAE-D9CA-400C-8B2D-68AB68A08E2A}">
      <dgm:prSet phldrT="[Text]" custT="1"/>
      <dgm:spPr>
        <a:xfrm>
          <a:off x="2477943" y="104069"/>
          <a:ext cx="950689" cy="4543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del PCT</a:t>
          </a:r>
        </a:p>
      </dgm:t>
    </dgm:pt>
    <dgm:pt modelId="{E9A3E352-4E95-497B-A994-2D750C2A9509}" type="parTrans" cxnId="{A0D7B160-B2D6-4FF0-B898-61A69264BA8C}">
      <dgm:prSet/>
      <dgm:spPr>
        <a:xfrm rot="16201461">
          <a:off x="2718271" y="785718"/>
          <a:ext cx="46964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endParaRPr lang="en-US"/>
        </a:p>
      </dgm:t>
    </dgm:pt>
    <dgm:pt modelId="{94B19768-91E8-4E7A-A857-C8521D65AF24}">
      <dgm:prSet phldrT="[Text]" custT="1"/>
      <dgm:spPr>
        <a:xfrm>
          <a:off x="3527819" y="148075"/>
          <a:ext cx="1229666" cy="52266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de Lisboa</a:t>
          </a:r>
        </a:p>
      </dgm:t>
    </dgm:pt>
    <dgm:pt modelId="{1F889DAC-CE52-4F0F-B94D-85598619AB82}" type="parTrans" cxnId="{E719C6E7-4776-4FC2-9ECD-F0D273135B37}">
      <dgm:prSet/>
      <dgm:spPr>
        <a:xfrm rot="19566942">
          <a:off x="3135369" y="829394"/>
          <a:ext cx="741432"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74FD7F3-8467-46EB-ACD9-4B0EA7D3C4BA}" type="sibTrans" cxnId="{E719C6E7-4776-4FC2-9ECD-F0D273135B37}">
      <dgm:prSet/>
      <dgm:spPr/>
      <dgm:t>
        <a:bodyPr/>
        <a:lstStyle/>
        <a:p>
          <a:endParaRPr lang="en-US"/>
        </a:p>
      </dgm:t>
    </dgm:pt>
    <dgm:pt modelId="{584F0456-7C88-4E15-A6D5-3DF2BDDC45F2}">
      <dgm:prSet phldrT="[Text]" custT="1"/>
      <dgm:spPr>
        <a:xfrm>
          <a:off x="4512130" y="647338"/>
          <a:ext cx="940669" cy="4439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gm:t>
    </dgm:pt>
    <dgm:pt modelId="{5BE92476-635C-4AE2-AD14-BF50BB0972EC}" type="parTrans" cxnId="{44EB880B-7660-4CF0-97E5-4E577ACA821D}">
      <dgm:prSet/>
      <dgm:spPr>
        <a:xfrm rot="21030864">
          <a:off x="3472938" y="1024320"/>
          <a:ext cx="10734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endParaRPr lang="en-US"/>
        </a:p>
      </dgm:t>
    </dgm:pt>
    <dgm:pt modelId="{2EF75B39-F486-43BE-8B27-294595126005}">
      <dgm:prSet phldrT="[Text]" custT="1"/>
      <dgm:spPr>
        <a:xfrm>
          <a:off x="4260806" y="1250044"/>
          <a:ext cx="1336596" cy="51044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gm:t>
    </dgm:pt>
    <dgm:pt modelId="{66F0DCEC-2B26-4038-AF1F-D0A98A0F7930}" type="parTrans" cxnId="{D0987D88-807B-4994-94E2-80A6C1D9AE52}">
      <dgm:prSet/>
      <dgm:spPr>
        <a:xfrm rot="512584">
          <a:off x="3488203" y="1343157"/>
          <a:ext cx="82355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endParaRPr lang="en-US"/>
        </a:p>
      </dgm:t>
    </dgm:pt>
    <dgm:pt modelId="{4761FE57-664D-44AD-8EF1-E6096D64297F}">
      <dgm:prSet phldrT="[Text]" custT="1"/>
      <dgm:spPr>
        <a:xfrm>
          <a:off x="3755225" y="1818795"/>
          <a:ext cx="1030826" cy="43369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gm:t>
    </dgm:pt>
    <dgm:pt modelId="{F6DE2413-45CD-453B-A258-F22A53BBB241}" type="parTrans" cxnId="{A5666C79-BF01-4153-AB0A-BB16CAE1F135}">
      <dgm:prSet/>
      <dgm:spPr>
        <a:xfrm rot="1927179">
          <a:off x="3142684" y="1605884"/>
          <a:ext cx="91071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endParaRPr lang="en-US"/>
        </a:p>
      </dgm:t>
    </dgm:pt>
    <dgm:pt modelId="{576E161B-59E2-4177-8320-584EBC426979}">
      <dgm:prSet phldrT="[Text]" custT="1"/>
      <dgm:spPr>
        <a:xfrm>
          <a:off x="2315104" y="2004458"/>
          <a:ext cx="1265928" cy="47325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r>
            <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52A69187-F965-4704-9C1A-29B2281F912F}" type="parTrans" cxnId="{BA0B21AC-350F-4DDA-A443-58447D95EEF1}">
      <dgm:prSet/>
      <dgm:spPr>
        <a:xfrm rot="5416133">
          <a:off x="2642768" y="1689092"/>
          <a:ext cx="615710"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E9F92651-5262-450E-9258-F1F8976476A8}" type="sibTrans" cxnId="{BA0B21AC-350F-4DDA-A443-58447D95EEF1}">
      <dgm:prSet/>
      <dgm:spPr/>
      <dgm:t>
        <a:bodyPr/>
        <a:lstStyle/>
        <a:p>
          <a:endParaRPr lang="en-US"/>
        </a:p>
      </dgm:t>
    </dgm:pt>
    <dgm:pt modelId="{CEEBDBB9-7602-49B1-BBEB-80C6D1238598}">
      <dgm:prSet phldrT="[Text]" custT="1"/>
      <dgm:spPr>
        <a:xfrm>
          <a:off x="894205" y="1817199"/>
          <a:ext cx="1262940" cy="46386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19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Comunicaciones</a:t>
          </a:r>
          <a:endParaRPr lang="en-US" sz="8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D6278D4F-93AB-42D0-B837-2B99BC1EE808}" type="parTrans" cxnId="{D4C1BC69-C745-405B-9248-C6E8862DD509}">
      <dgm:prSet/>
      <dgm:spPr>
        <a:xfrm rot="8969968">
          <a:off x="1793936" y="1603292"/>
          <a:ext cx="95169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F7B98CE-94D6-4D7D-8314-AFA01590058A}" type="sibTrans" cxnId="{D4C1BC69-C745-405B-9248-C6E8862DD509}">
      <dgm:prSet/>
      <dgm:spPr/>
      <dgm:t>
        <a:bodyPr/>
        <a:lstStyle/>
        <a:p>
          <a:endParaRPr lang="en-US"/>
        </a:p>
      </dgm:t>
    </dgm:pt>
    <dgm:pt modelId="{61905482-A221-41E9-B64F-E0DDCF7406CB}">
      <dgm:prSet phldrT="[Text]" custT="1"/>
      <dgm:spPr>
        <a:xfrm>
          <a:off x="158067" y="1301921"/>
          <a:ext cx="1198351" cy="48899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ejecutiva</a:t>
          </a:r>
        </a:p>
      </dgm:t>
    </dgm:pt>
    <dgm:pt modelId="{19A5BFAE-AE0D-4BC3-821E-ACDBC402E1F3}" type="parTrans" cxnId="{7A10D267-5114-47D3-9B72-BCDF70FFAB8C}">
      <dgm:prSet/>
      <dgm:spPr>
        <a:xfrm rot="10274898">
          <a:off x="1311383" y="1368089"/>
          <a:ext cx="1110861"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endParaRPr lang="en-US"/>
        </a:p>
      </dgm:t>
    </dgm:pt>
    <dgm:pt modelId="{39DF5EDE-47C5-44AA-84A0-610EE4D8EEAF}">
      <dgm:prSet phldrT="[Text]" custT="1"/>
      <dgm:spPr>
        <a:xfrm>
          <a:off x="1257301" y="171450"/>
          <a:ext cx="1137261" cy="498088"/>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gm:t>
    </dgm:pt>
    <dgm:pt modelId="{2C8D74EC-0F5E-4E72-B00E-305D37408E09}" type="parTrans" cxnId="{12DD7879-5DAB-453E-8626-CC034CCD481D}">
      <dgm:prSet/>
      <dgm:spPr>
        <a:xfrm rot="12897517">
          <a:off x="2063098" y="829523"/>
          <a:ext cx="717268"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B460AF1-5C69-4760-9FBE-539FD0921E3A}" type="sibTrans" cxnId="{12DD7879-5DAB-453E-8626-CC034CCD481D}">
      <dgm:prSet/>
      <dgm:spPr/>
      <dgm:t>
        <a:bodyPr/>
        <a:lstStyle/>
        <a:p>
          <a:endParaRPr lang="en-US"/>
        </a:p>
      </dgm:t>
    </dgm:pt>
    <dgm:pt modelId="{8EC353A6-4F6A-4502-96F3-6C0A4C1DAA96}">
      <dgm:prSet phldrT="[Text]" custT="1"/>
      <dgm:spPr>
        <a:xfrm>
          <a:off x="271200" y="623711"/>
          <a:ext cx="1247273" cy="546812"/>
        </a:xfrm>
        <a:solidFill>
          <a:srgbClr val="4F81BD">
            <a:lumMod val="40000"/>
            <a:lumOff val="60000"/>
          </a:srgbClr>
        </a:solidFill>
        <a:ln>
          <a:noFill/>
        </a:ln>
        <a:effectLst>
          <a:outerShdw blurRad="40000" dist="23000" dir="5400000" rotWithShape="0">
            <a:srgbClr val="000000">
              <a:alpha val="35000"/>
            </a:srgbClr>
          </a:outerShdw>
        </a:effectLst>
      </dgm:spPr>
      <dgm:t>
        <a:bodyPr/>
        <a:lstStyle/>
        <a:p>
          <a:endPar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22</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de programas y recursos</a:t>
          </a:r>
        </a:p>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gm:t>
    </dgm:pt>
    <dgm:pt modelId="{B96F5D54-1A60-4750-86C5-C7C55223704E}" type="parTrans" cxnId="{5DAFA89F-4C50-49EC-868E-81320326A617}">
      <dgm:prSet/>
      <dgm:spPr>
        <a:xfrm rot="11316053">
          <a:off x="1479089" y="1049060"/>
          <a:ext cx="940004" cy="15029"/>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1F43BDEE-CFCB-4DD6-B860-72E17A3E4431}" type="sibTrans" cxnId="{5DAFA89F-4C50-49EC-868E-81320326A617}">
      <dgm:prSet/>
      <dgm:spPr/>
      <dgm:t>
        <a:bodyPr/>
        <a:lstStyle/>
        <a:p>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243582" custScaleY="72683" custLinFactNeighborX="165" custLinFactNeighborY="-3939"/>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10"/>
      <dgm:spPr>
        <a:custGeom>
          <a:avLst/>
          <a:gdLst/>
          <a:ahLst/>
          <a:cxnLst/>
          <a:rect l="0" t="0" r="0" b="0"/>
          <a:pathLst>
            <a:path>
              <a:moveTo>
                <a:pt x="0" y="7514"/>
              </a:moveTo>
              <a:lnTo>
                <a:pt x="469641" y="7514"/>
              </a:lnTo>
            </a:path>
          </a:pathLst>
        </a:custGeom>
      </dgm:spPr>
      <dgm:t>
        <a:bodyPr/>
        <a:lstStyle/>
        <a:p>
          <a:endParaRPr lang="en-US"/>
        </a:p>
      </dgm:t>
    </dgm:pt>
    <dgm:pt modelId="{0C3245EA-B4A2-4A29-A94D-6F5271E8D13D}" type="pres">
      <dgm:prSet presAssocID="{E9A3E352-4E95-497B-A994-2D750C2A9509}" presName="connTx" presStyleLbl="parChTrans1D2" presStyleIdx="0" presStyleCnt="10"/>
      <dgm:spPr/>
      <dgm:t>
        <a:bodyPr/>
        <a:lstStyle/>
        <a:p>
          <a:endParaRPr lang="en-US"/>
        </a:p>
      </dgm:t>
    </dgm:pt>
    <dgm:pt modelId="{3EA08C86-6A87-4381-A9A9-F10D993E2D53}" type="pres">
      <dgm:prSet presAssocID="{9A4BDCAE-D9CA-400C-8B2D-68AB68A08E2A}" presName="node" presStyleLbl="node1" presStyleIdx="0" presStyleCnt="10" custScaleX="216243" custScaleY="97495" custRadScaleRad="91877" custRadScaleInc="1267">
        <dgm:presLayoutVars>
          <dgm:bulletEnabled val="1"/>
        </dgm:presLayoutVars>
      </dgm:prSet>
      <dgm:spPr>
        <a:prstGeom prst="ellipse">
          <a:avLst/>
        </a:prstGeom>
      </dgm:spPr>
      <dgm:t>
        <a:bodyPr/>
        <a:lstStyle/>
        <a:p>
          <a:endParaRPr lang="en-US"/>
        </a:p>
      </dgm:t>
    </dgm:pt>
    <dgm:pt modelId="{72463A3F-A956-4917-8722-9FD79FB3E09A}" type="pres">
      <dgm:prSet presAssocID="{1F889DAC-CE52-4F0F-B94D-85598619AB82}" presName="Name9" presStyleLbl="parChTrans1D2" presStyleIdx="1" presStyleCnt="10"/>
      <dgm:spPr>
        <a:custGeom>
          <a:avLst/>
          <a:gdLst/>
          <a:ahLst/>
          <a:cxnLst/>
          <a:rect l="0" t="0" r="0" b="0"/>
          <a:pathLst>
            <a:path>
              <a:moveTo>
                <a:pt x="0" y="7514"/>
              </a:moveTo>
              <a:lnTo>
                <a:pt x="741432" y="7514"/>
              </a:lnTo>
            </a:path>
          </a:pathLst>
        </a:custGeom>
      </dgm:spPr>
      <dgm:t>
        <a:bodyPr/>
        <a:lstStyle/>
        <a:p>
          <a:endParaRPr lang="en-US"/>
        </a:p>
      </dgm:t>
    </dgm:pt>
    <dgm:pt modelId="{E5E0F749-58A7-4B5D-B40F-552D5369ABEE}" type="pres">
      <dgm:prSet presAssocID="{1F889DAC-CE52-4F0F-B94D-85598619AB82}" presName="connTx" presStyleLbl="parChTrans1D2" presStyleIdx="1" presStyleCnt="10"/>
      <dgm:spPr/>
      <dgm:t>
        <a:bodyPr/>
        <a:lstStyle/>
        <a:p>
          <a:endParaRPr lang="en-US"/>
        </a:p>
      </dgm:t>
    </dgm:pt>
    <dgm:pt modelId="{A030EF9D-9337-4706-B87A-64BDE162520A}" type="pres">
      <dgm:prSet presAssocID="{94B19768-91E8-4E7A-A857-C8521D65AF24}" presName="node" presStyleLbl="node1" presStyleIdx="1" presStyleCnt="10" custScaleX="268681" custScaleY="105319" custRadScaleRad="146976" custRadScaleInc="110999">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2" presStyleCnt="10"/>
      <dgm:spPr>
        <a:custGeom>
          <a:avLst/>
          <a:gdLst/>
          <a:ahLst/>
          <a:cxnLst/>
          <a:rect l="0" t="0" r="0" b="0"/>
          <a:pathLst>
            <a:path>
              <a:moveTo>
                <a:pt x="0" y="7514"/>
              </a:moveTo>
              <a:lnTo>
                <a:pt x="1073498" y="7514"/>
              </a:lnTo>
            </a:path>
          </a:pathLst>
        </a:custGeom>
      </dgm:spPr>
      <dgm:t>
        <a:bodyPr/>
        <a:lstStyle/>
        <a:p>
          <a:endParaRPr lang="en-US"/>
        </a:p>
      </dgm:t>
    </dgm:pt>
    <dgm:pt modelId="{48B32C5A-7076-4480-B5CB-D9EFDA8D8FDB}" type="pres">
      <dgm:prSet presAssocID="{5BE92476-635C-4AE2-AD14-BF50BB0972EC}" presName="connTx" presStyleLbl="parChTrans1D2" presStyleIdx="2" presStyleCnt="10"/>
      <dgm:spPr/>
      <dgm:t>
        <a:bodyPr/>
        <a:lstStyle/>
        <a:p>
          <a:endParaRPr lang="en-US"/>
        </a:p>
      </dgm:t>
    </dgm:pt>
    <dgm:pt modelId="{423B6D89-2000-40C7-8429-BD38C7402395}" type="pres">
      <dgm:prSet presAssocID="{584F0456-7C88-4E15-A6D5-3DF2BDDC45F2}" presName="node" presStyleLbl="node1" presStyleIdx="2" presStyleCnt="10" custScaleX="189549" custScaleY="89452" custRadScaleRad="198820" custRadScaleInc="34946">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3" presStyleCnt="10"/>
      <dgm:spPr>
        <a:custGeom>
          <a:avLst/>
          <a:gdLst/>
          <a:ahLst/>
          <a:cxnLst/>
          <a:rect l="0" t="0" r="0" b="0"/>
          <a:pathLst>
            <a:path>
              <a:moveTo>
                <a:pt x="0" y="7514"/>
              </a:moveTo>
              <a:lnTo>
                <a:pt x="823554" y="7514"/>
              </a:lnTo>
            </a:path>
          </a:pathLst>
        </a:custGeom>
      </dgm:spPr>
      <dgm:t>
        <a:bodyPr/>
        <a:lstStyle/>
        <a:p>
          <a:endParaRPr lang="en-US"/>
        </a:p>
      </dgm:t>
    </dgm:pt>
    <dgm:pt modelId="{7FE108B5-F558-4942-A9EC-465F3C2E5813}" type="pres">
      <dgm:prSet presAssocID="{66F0DCEC-2B26-4038-AF1F-D0A98A0F7930}" presName="connTx" presStyleLbl="parChTrans1D2" presStyleIdx="3" presStyleCnt="10"/>
      <dgm:spPr/>
      <dgm:t>
        <a:bodyPr/>
        <a:lstStyle/>
        <a:p>
          <a:endParaRPr lang="en-US"/>
        </a:p>
      </dgm:t>
    </dgm:pt>
    <dgm:pt modelId="{6394B413-6D12-4C4F-9A8D-E0508CAE8617}" type="pres">
      <dgm:prSet presAssocID="{2EF75B39-F486-43BE-8B27-294595126005}" presName="node" presStyleLbl="node1" presStyleIdx="3" presStyleCnt="10" custScaleX="269330" custScaleY="102857" custRadScaleRad="190683" custRadScaleInc="-65629">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4" presStyleCnt="10"/>
      <dgm:spPr>
        <a:custGeom>
          <a:avLst/>
          <a:gdLst/>
          <a:ahLst/>
          <a:cxnLst/>
          <a:rect l="0" t="0" r="0" b="0"/>
          <a:pathLst>
            <a:path>
              <a:moveTo>
                <a:pt x="0" y="7514"/>
              </a:moveTo>
              <a:lnTo>
                <a:pt x="910711" y="7514"/>
              </a:lnTo>
            </a:path>
          </a:pathLst>
        </a:custGeom>
      </dgm:spPr>
      <dgm:t>
        <a:bodyPr/>
        <a:lstStyle/>
        <a:p>
          <a:endParaRPr lang="en-US"/>
        </a:p>
      </dgm:t>
    </dgm:pt>
    <dgm:pt modelId="{B0514361-30D3-4311-BC21-0743B7F01673}" type="pres">
      <dgm:prSet presAssocID="{F6DE2413-45CD-453B-A258-F22A53BBB241}" presName="connTx" presStyleLbl="parChTrans1D2" presStyleIdx="4" presStyleCnt="10"/>
      <dgm:spPr/>
      <dgm:t>
        <a:bodyPr/>
        <a:lstStyle/>
        <a:p>
          <a:endParaRPr lang="en-US"/>
        </a:p>
      </dgm:t>
    </dgm:pt>
    <dgm:pt modelId="{2ED32773-10C9-4671-A0BF-4C0DAB40AE25}" type="pres">
      <dgm:prSet presAssocID="{4761FE57-664D-44AD-8EF1-E6096D64297F}" presName="node" presStyleLbl="node1" presStyleIdx="4" presStyleCnt="10" custScaleX="207716" custScaleY="87391" custRadScaleRad="145244" custRadScaleInc="-136570">
        <dgm:presLayoutVars>
          <dgm:bulletEnabled val="1"/>
        </dgm:presLayoutVars>
      </dgm:prSet>
      <dgm:spPr>
        <a:prstGeom prst="ellipse">
          <a:avLst/>
        </a:prstGeom>
      </dgm:spPr>
      <dgm:t>
        <a:bodyPr/>
        <a:lstStyle/>
        <a:p>
          <a:endParaRPr lang="en-US"/>
        </a:p>
      </dgm:t>
    </dgm:pt>
    <dgm:pt modelId="{EAF47FDD-7D57-4FF6-9F6B-6E604D2CC0DE}" type="pres">
      <dgm:prSet presAssocID="{52A69187-F965-4704-9C1A-29B2281F912F}" presName="Name9" presStyleLbl="parChTrans1D2" presStyleIdx="5" presStyleCnt="10"/>
      <dgm:spPr>
        <a:custGeom>
          <a:avLst/>
          <a:gdLst/>
          <a:ahLst/>
          <a:cxnLst/>
          <a:rect l="0" t="0" r="0" b="0"/>
          <a:pathLst>
            <a:path>
              <a:moveTo>
                <a:pt x="0" y="7514"/>
              </a:moveTo>
              <a:lnTo>
                <a:pt x="615710" y="7514"/>
              </a:lnTo>
            </a:path>
          </a:pathLst>
        </a:custGeom>
      </dgm:spPr>
      <dgm:t>
        <a:bodyPr/>
        <a:lstStyle/>
        <a:p>
          <a:endParaRPr lang="en-US"/>
        </a:p>
      </dgm:t>
    </dgm:pt>
    <dgm:pt modelId="{E01163DA-75CF-4C32-B81E-41BBCCC937B3}" type="pres">
      <dgm:prSet presAssocID="{52A69187-F965-4704-9C1A-29B2281F912F}" presName="connTx" presStyleLbl="parChTrans1D2" presStyleIdx="5" presStyleCnt="10"/>
      <dgm:spPr/>
      <dgm:t>
        <a:bodyPr/>
        <a:lstStyle/>
        <a:p>
          <a:endParaRPr lang="en-US"/>
        </a:p>
      </dgm:t>
    </dgm:pt>
    <dgm:pt modelId="{F74F2681-A109-4B75-8C08-B2B26769CF03}" type="pres">
      <dgm:prSet presAssocID="{576E161B-59E2-4177-8320-584EBC426979}" presName="node" presStyleLbl="node1" presStyleIdx="5" presStyleCnt="10" custScaleX="282022" custScaleY="99990" custRadScaleRad="91013" custRadScaleInc="469">
        <dgm:presLayoutVars>
          <dgm:bulletEnabled val="1"/>
        </dgm:presLayoutVars>
      </dgm:prSet>
      <dgm:spPr>
        <a:prstGeom prst="ellipse">
          <a:avLst/>
        </a:prstGeom>
      </dgm:spPr>
      <dgm:t>
        <a:bodyPr/>
        <a:lstStyle/>
        <a:p>
          <a:endParaRPr lang="en-US"/>
        </a:p>
      </dgm:t>
    </dgm:pt>
    <dgm:pt modelId="{AC7E3352-64BC-4978-9AB6-2DD833483239}" type="pres">
      <dgm:prSet presAssocID="{D6278D4F-93AB-42D0-B837-2B99BC1EE808}" presName="Name9" presStyleLbl="parChTrans1D2" presStyleIdx="6" presStyleCnt="10"/>
      <dgm:spPr>
        <a:custGeom>
          <a:avLst/>
          <a:gdLst/>
          <a:ahLst/>
          <a:cxnLst/>
          <a:rect l="0" t="0" r="0" b="0"/>
          <a:pathLst>
            <a:path>
              <a:moveTo>
                <a:pt x="0" y="7514"/>
              </a:moveTo>
              <a:lnTo>
                <a:pt x="951698" y="7514"/>
              </a:lnTo>
            </a:path>
          </a:pathLst>
        </a:custGeom>
      </dgm:spPr>
      <dgm:t>
        <a:bodyPr/>
        <a:lstStyle/>
        <a:p>
          <a:endParaRPr lang="en-US"/>
        </a:p>
      </dgm:t>
    </dgm:pt>
    <dgm:pt modelId="{C620A703-6BE9-4C0F-B737-266F7434DAB4}" type="pres">
      <dgm:prSet presAssocID="{D6278D4F-93AB-42D0-B837-2B99BC1EE808}" presName="connTx" presStyleLbl="parChTrans1D2" presStyleIdx="6" presStyleCnt="10"/>
      <dgm:spPr/>
      <dgm:t>
        <a:bodyPr/>
        <a:lstStyle/>
        <a:p>
          <a:endParaRPr lang="en-US"/>
        </a:p>
      </dgm:t>
    </dgm:pt>
    <dgm:pt modelId="{05C48364-E63B-4056-87CF-0BE50D74190B}" type="pres">
      <dgm:prSet presAssocID="{CEEBDBB9-7602-49B1-BBEB-80C6D1238598}" presName="node" presStyleLbl="node1" presStyleIdx="6" presStyleCnt="10" custScaleX="254488" custScaleY="93470" custRadScaleRad="154483" custRadScaleInc="144198">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7" presStyleCnt="10"/>
      <dgm:spPr>
        <a:custGeom>
          <a:avLst/>
          <a:gdLst/>
          <a:ahLst/>
          <a:cxnLst/>
          <a:rect l="0" t="0" r="0" b="0"/>
          <a:pathLst>
            <a:path>
              <a:moveTo>
                <a:pt x="0" y="7514"/>
              </a:moveTo>
              <a:lnTo>
                <a:pt x="1110861" y="7514"/>
              </a:lnTo>
            </a:path>
          </a:pathLst>
        </a:custGeom>
      </dgm:spPr>
      <dgm:t>
        <a:bodyPr/>
        <a:lstStyle/>
        <a:p>
          <a:endParaRPr lang="en-US"/>
        </a:p>
      </dgm:t>
    </dgm:pt>
    <dgm:pt modelId="{2261EECA-A4AA-4C81-9B4D-3893A28ED758}" type="pres">
      <dgm:prSet presAssocID="{19A5BFAE-AE0D-4BC3-821E-ACDBC402E1F3}" presName="connTx" presStyleLbl="parChTrans1D2" presStyleIdx="7" presStyleCnt="10"/>
      <dgm:spPr/>
      <dgm:t>
        <a:bodyPr/>
        <a:lstStyle/>
        <a:p>
          <a:endParaRPr lang="en-US"/>
        </a:p>
      </dgm:t>
    </dgm:pt>
    <dgm:pt modelId="{CFBB929F-8BEB-442D-8D00-28EE1C02C39C}" type="pres">
      <dgm:prSet presAssocID="{61905482-A221-41E9-B64F-E0DDCF7406CB}" presName="node" presStyleLbl="node1" presStyleIdx="7" presStyleCnt="10" custScaleX="241473" custScaleY="98534" custRadScaleRad="211354" custRadScaleInc="63033">
        <dgm:presLayoutVars>
          <dgm:bulletEnabled val="1"/>
        </dgm:presLayoutVars>
      </dgm:prSet>
      <dgm:spPr>
        <a:prstGeom prst="ellipse">
          <a:avLst/>
        </a:prstGeom>
      </dgm:spPr>
      <dgm:t>
        <a:bodyPr/>
        <a:lstStyle/>
        <a:p>
          <a:endParaRPr lang="en-US"/>
        </a:p>
      </dgm:t>
    </dgm:pt>
    <dgm:pt modelId="{C494819C-C98E-47AA-9AF0-D23BA2FEB24F}" type="pres">
      <dgm:prSet presAssocID="{B96F5D54-1A60-4750-86C5-C7C55223704E}" presName="Name9" presStyleLbl="parChTrans1D2" presStyleIdx="8" presStyleCnt="10"/>
      <dgm:spPr>
        <a:custGeom>
          <a:avLst/>
          <a:gdLst/>
          <a:ahLst/>
          <a:cxnLst/>
          <a:rect l="0" t="0" r="0" b="0"/>
          <a:pathLst>
            <a:path>
              <a:moveTo>
                <a:pt x="0" y="7514"/>
              </a:moveTo>
              <a:lnTo>
                <a:pt x="940004" y="7514"/>
              </a:lnTo>
            </a:path>
          </a:pathLst>
        </a:custGeom>
      </dgm:spPr>
      <dgm:t>
        <a:bodyPr/>
        <a:lstStyle/>
        <a:p>
          <a:endParaRPr lang="en-US"/>
        </a:p>
      </dgm:t>
    </dgm:pt>
    <dgm:pt modelId="{0DC7814B-4209-4BC4-A177-2102084D3CE1}" type="pres">
      <dgm:prSet presAssocID="{B96F5D54-1A60-4750-86C5-C7C55223704E}" presName="connTx" presStyleLbl="parChTrans1D2" presStyleIdx="8" presStyleCnt="10"/>
      <dgm:spPr/>
      <dgm:t>
        <a:bodyPr/>
        <a:lstStyle/>
        <a:p>
          <a:endParaRPr lang="en-US"/>
        </a:p>
      </dgm:t>
    </dgm:pt>
    <dgm:pt modelId="{77FEFA40-E907-476F-8675-3DC698720930}" type="pres">
      <dgm:prSet presAssocID="{8EC353A6-4F6A-4502-96F3-6C0A4C1DAA96}" presName="node" presStyleLbl="node1" presStyleIdx="8" presStyleCnt="10" custScaleX="324963" custScaleY="126523" custRadScaleRad="200331" custRadScaleInc="-39759">
        <dgm:presLayoutVars>
          <dgm:bulletEnabled val="1"/>
        </dgm:presLayoutVars>
      </dgm:prSet>
      <dgm:spPr>
        <a:prstGeom prst="ellipse">
          <a:avLst/>
        </a:prstGeom>
      </dgm:spPr>
      <dgm:t>
        <a:bodyPr/>
        <a:lstStyle/>
        <a:p>
          <a:endParaRPr lang="en-US"/>
        </a:p>
      </dgm:t>
    </dgm:pt>
    <dgm:pt modelId="{EF98737B-1136-4CD3-A0AC-E4FF8E58DD83}" type="pres">
      <dgm:prSet presAssocID="{2C8D74EC-0F5E-4E72-B00E-305D37408E09}" presName="Name9" presStyleLbl="parChTrans1D2" presStyleIdx="9" presStyleCnt="10"/>
      <dgm:spPr>
        <a:custGeom>
          <a:avLst/>
          <a:gdLst/>
          <a:ahLst/>
          <a:cxnLst/>
          <a:rect l="0" t="0" r="0" b="0"/>
          <a:pathLst>
            <a:path>
              <a:moveTo>
                <a:pt x="0" y="7514"/>
              </a:moveTo>
              <a:lnTo>
                <a:pt x="717268" y="7514"/>
              </a:lnTo>
            </a:path>
          </a:pathLst>
        </a:custGeom>
      </dgm:spPr>
      <dgm:t>
        <a:bodyPr/>
        <a:lstStyle/>
        <a:p>
          <a:endParaRPr lang="en-US"/>
        </a:p>
      </dgm:t>
    </dgm:pt>
    <dgm:pt modelId="{4E2AD2D6-918F-4857-8567-9FCA82A4E2B0}" type="pres">
      <dgm:prSet presAssocID="{2C8D74EC-0F5E-4E72-B00E-305D37408E09}" presName="connTx" presStyleLbl="parChTrans1D2" presStyleIdx="9" presStyleCnt="10"/>
      <dgm:spPr/>
      <dgm:t>
        <a:bodyPr/>
        <a:lstStyle/>
        <a:p>
          <a:endParaRPr lang="en-US"/>
        </a:p>
      </dgm:t>
    </dgm:pt>
    <dgm:pt modelId="{C8187693-0532-46C7-A6F3-C4A32348C87B}" type="pres">
      <dgm:prSet presAssocID="{39DF5EDE-47C5-44AA-84A0-610EE4D8EEAF}" presName="node" presStyleLbl="node1" presStyleIdx="9" presStyleCnt="10" custScaleX="229163" custScaleY="100367" custRadScaleRad="136087" custRadScaleInc="-90235">
        <dgm:presLayoutVars>
          <dgm:bulletEnabled val="1"/>
        </dgm:presLayoutVars>
      </dgm:prSet>
      <dgm:spPr>
        <a:prstGeom prst="ellipse">
          <a:avLst/>
        </a:prstGeom>
      </dgm:spPr>
      <dgm:t>
        <a:bodyPr/>
        <a:lstStyle/>
        <a:p>
          <a:endParaRPr lang="en-US"/>
        </a:p>
      </dgm:t>
    </dgm:pt>
  </dgm:ptLst>
  <dgm:cxnLst>
    <dgm:cxn modelId="{B82B1BC5-F2A3-4D2B-B009-1AF517724D39}" type="presOf" srcId="{39DF5EDE-47C5-44AA-84A0-610EE4D8EEAF}" destId="{C8187693-0532-46C7-A6F3-C4A32348C87B}" srcOrd="0" destOrd="0" presId="urn:microsoft.com/office/officeart/2005/8/layout/radial1"/>
    <dgm:cxn modelId="{90256C2D-60D1-42CB-8CAE-F86F73847C99}" type="presOf" srcId="{1F889DAC-CE52-4F0F-B94D-85598619AB82}" destId="{E5E0F749-58A7-4B5D-B40F-552D5369ABEE}" srcOrd="1" destOrd="0" presId="urn:microsoft.com/office/officeart/2005/8/layout/radial1"/>
    <dgm:cxn modelId="{E719C6E7-4776-4FC2-9ECD-F0D273135B37}" srcId="{60F584FC-F7FF-4FD7-86E3-8773293C0460}" destId="{94B19768-91E8-4E7A-A857-C8521D65AF24}" srcOrd="1" destOrd="0" parTransId="{1F889DAC-CE52-4F0F-B94D-85598619AB82}" sibTransId="{174FD7F3-8467-46EB-ACD9-4B0EA7D3C4BA}"/>
    <dgm:cxn modelId="{12DD7879-5DAB-453E-8626-CC034CCD481D}" srcId="{60F584FC-F7FF-4FD7-86E3-8773293C0460}" destId="{39DF5EDE-47C5-44AA-84A0-610EE4D8EEAF}" srcOrd="9" destOrd="0" parTransId="{2C8D74EC-0F5E-4E72-B00E-305D37408E09}" sibTransId="{7B460AF1-5C69-4760-9FBE-539FD0921E3A}"/>
    <dgm:cxn modelId="{70752D9D-073E-4C20-89BA-3EC5AEE70B0F}" type="presOf" srcId="{2C8D74EC-0F5E-4E72-B00E-305D37408E09}" destId="{EF98737B-1136-4CD3-A0AC-E4FF8E58DD83}" srcOrd="0" destOrd="0" presId="urn:microsoft.com/office/officeart/2005/8/layout/radial1"/>
    <dgm:cxn modelId="{E11F5790-9B3B-4363-A0A1-C6B205FE044A}" type="presOf" srcId="{CEEBDBB9-7602-49B1-BBEB-80C6D1238598}" destId="{05C48364-E63B-4056-87CF-0BE50D74190B}" srcOrd="0" destOrd="0" presId="urn:microsoft.com/office/officeart/2005/8/layout/radial1"/>
    <dgm:cxn modelId="{C4DAC5F0-3B58-4B20-9FAC-DFB6C1650D9C}" type="presOf" srcId="{2EF75B39-F486-43BE-8B27-294595126005}" destId="{6394B413-6D12-4C4F-9A8D-E0508CAE8617}" srcOrd="0" destOrd="0" presId="urn:microsoft.com/office/officeart/2005/8/layout/radial1"/>
    <dgm:cxn modelId="{F8EF9616-C8CF-4547-BE06-0DD848BC8AD6}" type="presOf" srcId="{5BE92476-635C-4AE2-AD14-BF50BB0972EC}" destId="{00112A8F-12E8-45AC-B551-DFB66BE45059}" srcOrd="0" destOrd="0" presId="urn:microsoft.com/office/officeart/2005/8/layout/radial1"/>
    <dgm:cxn modelId="{665B9039-F799-4EC9-ADE2-339769F0E253}" type="presOf" srcId="{E9A3E352-4E95-497B-A994-2D750C2A9509}" destId="{E887F142-3B93-49E1-A09D-1DCD207D21D1}" srcOrd="0" destOrd="0" presId="urn:microsoft.com/office/officeart/2005/8/layout/radial1"/>
    <dgm:cxn modelId="{D50FEBE2-B889-4853-88EB-A93AFF3286DE}" type="presOf" srcId="{F6DE2413-45CD-453B-A258-F22A53BBB241}" destId="{B0514361-30D3-4311-BC21-0743B7F01673}" srcOrd="1" destOrd="0" presId="urn:microsoft.com/office/officeart/2005/8/layout/radial1"/>
    <dgm:cxn modelId="{5EE1156C-4EC5-4A1F-90CC-1B2E5A2CD2AF}" type="presOf" srcId="{52A69187-F965-4704-9C1A-29B2281F912F}" destId="{EAF47FDD-7D57-4FF6-9F6B-6E604D2CC0DE}" srcOrd="0" destOrd="0" presId="urn:microsoft.com/office/officeart/2005/8/layout/radial1"/>
    <dgm:cxn modelId="{824A25F8-D78B-4006-9FD2-7F2221B2824A}" type="presOf" srcId="{E9A3E352-4E95-497B-A994-2D750C2A9509}" destId="{0C3245EA-B4A2-4A29-A94D-6F5271E8D13D}" srcOrd="1" destOrd="0" presId="urn:microsoft.com/office/officeart/2005/8/layout/radial1"/>
    <dgm:cxn modelId="{CE7D3F75-5DBF-4702-BDDA-8961DDA6DE59}" type="presOf" srcId="{3E4183EF-B989-4620-A02C-D54686D6628F}" destId="{4FC73BDC-CE2C-45F4-85CD-F387963DA006}" srcOrd="0" destOrd="0" presId="urn:microsoft.com/office/officeart/2005/8/layout/radial1"/>
    <dgm:cxn modelId="{B37666F5-39DE-4750-9FA5-94BC0789A61E}" type="presOf" srcId="{60F584FC-F7FF-4FD7-86E3-8773293C0460}" destId="{3C7CADF7-0742-432E-9EEF-EA9C347A7661}" srcOrd="0" destOrd="0" presId="urn:microsoft.com/office/officeart/2005/8/layout/radial1"/>
    <dgm:cxn modelId="{7A10D267-5114-47D3-9B72-BCDF70FFAB8C}" srcId="{60F584FC-F7FF-4FD7-86E3-8773293C0460}" destId="{61905482-A221-41E9-B64F-E0DDCF7406CB}" srcOrd="7" destOrd="0" parTransId="{19A5BFAE-AE0D-4BC3-821E-ACDBC402E1F3}" sibTransId="{41B3C576-1467-4E2A-8F61-40CA47AE2A73}"/>
    <dgm:cxn modelId="{3DA8D99A-273C-40E5-8CA9-D98BD77FE0BE}" type="presOf" srcId="{2C8D74EC-0F5E-4E72-B00E-305D37408E09}" destId="{4E2AD2D6-918F-4857-8567-9FCA82A4E2B0}" srcOrd="1" destOrd="0" presId="urn:microsoft.com/office/officeart/2005/8/layout/radial1"/>
    <dgm:cxn modelId="{20C198B9-697F-4512-B805-966FD82E6622}" type="presOf" srcId="{9A4BDCAE-D9CA-400C-8B2D-68AB68A08E2A}" destId="{3EA08C86-6A87-4381-A9A9-F10D993E2D53}" srcOrd="0" destOrd="0" presId="urn:microsoft.com/office/officeart/2005/8/layout/radial1"/>
    <dgm:cxn modelId="{111BB8DB-50E5-44C5-B248-FCB4CBE1E674}" type="presOf" srcId="{94B19768-91E8-4E7A-A857-C8521D65AF24}" destId="{A030EF9D-9337-4706-B87A-64BDE162520A}" srcOrd="0" destOrd="0" presId="urn:microsoft.com/office/officeart/2005/8/layout/radial1"/>
    <dgm:cxn modelId="{BA0B21AC-350F-4DDA-A443-58447D95EEF1}" srcId="{60F584FC-F7FF-4FD7-86E3-8773293C0460}" destId="{576E161B-59E2-4177-8320-584EBC426979}" srcOrd="5" destOrd="0" parTransId="{52A69187-F965-4704-9C1A-29B2281F912F}" sibTransId="{E9F92651-5262-450E-9258-F1F8976476A8}"/>
    <dgm:cxn modelId="{063659BC-9F74-4355-8EA8-DC6EB3F02059}" type="presOf" srcId="{F6DE2413-45CD-453B-A258-F22A53BBB241}" destId="{DEF09AAB-E09E-4486-8914-E37D47E60824}" srcOrd="0" destOrd="0" presId="urn:microsoft.com/office/officeart/2005/8/layout/radial1"/>
    <dgm:cxn modelId="{F582927D-F8CD-440E-9747-2BADF476E8BE}" type="presOf" srcId="{8EC353A6-4F6A-4502-96F3-6C0A4C1DAA96}" destId="{77FEFA40-E907-476F-8675-3DC698720930}" srcOrd="0" destOrd="0" presId="urn:microsoft.com/office/officeart/2005/8/layout/radial1"/>
    <dgm:cxn modelId="{B799A570-D7C9-44EE-BC55-ABF4E8D0F97B}" type="presOf" srcId="{66F0DCEC-2B26-4038-AF1F-D0A98A0F7930}" destId="{650854B0-9FE7-4FFD-96B2-18F6452E0859}" srcOrd="0" destOrd="0" presId="urn:microsoft.com/office/officeart/2005/8/layout/radial1"/>
    <dgm:cxn modelId="{3899805B-26CD-4D89-9A5A-EEFA4E770C40}" type="presOf" srcId="{19A5BFAE-AE0D-4BC3-821E-ACDBC402E1F3}" destId="{06FD983D-3F71-4BCE-AD7F-6DD1041A2F23}"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ECBD2A81-39CF-4EA8-8569-765B04DF8650}" type="presOf" srcId="{5BE92476-635C-4AE2-AD14-BF50BB0972EC}" destId="{48B32C5A-7076-4480-B5CB-D9EFDA8D8FDB}" srcOrd="1" destOrd="0" presId="urn:microsoft.com/office/officeart/2005/8/layout/radial1"/>
    <dgm:cxn modelId="{36295438-F849-4974-B56F-3F6DB641152D}" type="presOf" srcId="{19A5BFAE-AE0D-4BC3-821E-ACDBC402E1F3}" destId="{2261EECA-A4AA-4C81-9B4D-3893A28ED758}" srcOrd="1" destOrd="0" presId="urn:microsoft.com/office/officeart/2005/8/layout/radial1"/>
    <dgm:cxn modelId="{44EB880B-7660-4CF0-97E5-4E577ACA821D}" srcId="{60F584FC-F7FF-4FD7-86E3-8773293C0460}" destId="{584F0456-7C88-4E15-A6D5-3DF2BDDC45F2}" srcOrd="2" destOrd="0" parTransId="{5BE92476-635C-4AE2-AD14-BF50BB0972EC}" sibTransId="{3EF0F88F-A3C1-4CFC-8CDA-621CE91394E1}"/>
    <dgm:cxn modelId="{A0D7B160-B2D6-4FF0-B898-61A69264BA8C}" srcId="{60F584FC-F7FF-4FD7-86E3-8773293C0460}" destId="{9A4BDCAE-D9CA-400C-8B2D-68AB68A08E2A}" srcOrd="0" destOrd="0" parTransId="{E9A3E352-4E95-497B-A994-2D750C2A9509}" sibTransId="{D8ADEECF-D7D2-4E14-BB97-4FB081DAC71A}"/>
    <dgm:cxn modelId="{F43D6A0B-B420-4D43-9F51-76437A773AF3}" type="presOf" srcId="{D6278D4F-93AB-42D0-B837-2B99BC1EE808}" destId="{C620A703-6BE9-4C0F-B737-266F7434DAB4}" srcOrd="1" destOrd="0" presId="urn:microsoft.com/office/officeart/2005/8/layout/radial1"/>
    <dgm:cxn modelId="{5DAFA89F-4C50-49EC-868E-81320326A617}" srcId="{60F584FC-F7FF-4FD7-86E3-8773293C0460}" destId="{8EC353A6-4F6A-4502-96F3-6C0A4C1DAA96}" srcOrd="8" destOrd="0" parTransId="{B96F5D54-1A60-4750-86C5-C7C55223704E}" sibTransId="{1F43BDEE-CFCB-4DD6-B860-72E17A3E4431}"/>
    <dgm:cxn modelId="{7EA6C70E-8F33-463E-8C60-296DCDCA4663}" type="presOf" srcId="{B96F5D54-1A60-4750-86C5-C7C55223704E}" destId="{C494819C-C98E-47AA-9AF0-D23BA2FEB24F}" srcOrd="0" destOrd="0" presId="urn:microsoft.com/office/officeart/2005/8/layout/radial1"/>
    <dgm:cxn modelId="{D0987D88-807B-4994-94E2-80A6C1D9AE52}" srcId="{60F584FC-F7FF-4FD7-86E3-8773293C0460}" destId="{2EF75B39-F486-43BE-8B27-294595126005}" srcOrd="3" destOrd="0" parTransId="{66F0DCEC-2B26-4038-AF1F-D0A98A0F7930}" sibTransId="{A29EC13D-3B1F-4904-8025-5B38BEEF3183}"/>
    <dgm:cxn modelId="{D4C1BC69-C745-405B-9248-C6E8862DD509}" srcId="{60F584FC-F7FF-4FD7-86E3-8773293C0460}" destId="{CEEBDBB9-7602-49B1-BBEB-80C6D1238598}" srcOrd="6" destOrd="0" parTransId="{D6278D4F-93AB-42D0-B837-2B99BC1EE808}" sibTransId="{3F7B98CE-94D6-4D7D-8314-AFA01590058A}"/>
    <dgm:cxn modelId="{A3866FDC-3A37-43B2-B72B-E3654E923587}" type="presOf" srcId="{66F0DCEC-2B26-4038-AF1F-D0A98A0F7930}" destId="{7FE108B5-F558-4942-A9EC-465F3C2E5813}" srcOrd="1" destOrd="0" presId="urn:microsoft.com/office/officeart/2005/8/layout/radial1"/>
    <dgm:cxn modelId="{2431AEC7-E84C-42F7-A802-BC9169503705}" type="presOf" srcId="{4761FE57-664D-44AD-8EF1-E6096D64297F}" destId="{2ED32773-10C9-4671-A0BF-4C0DAB40AE25}" srcOrd="0" destOrd="0" presId="urn:microsoft.com/office/officeart/2005/8/layout/radial1"/>
    <dgm:cxn modelId="{CB4FD15E-DD33-4E2E-8889-81906B2C0297}" type="presOf" srcId="{584F0456-7C88-4E15-A6D5-3DF2BDDC45F2}" destId="{423B6D89-2000-40C7-8429-BD38C7402395}" srcOrd="0" destOrd="0" presId="urn:microsoft.com/office/officeart/2005/8/layout/radial1"/>
    <dgm:cxn modelId="{0B4CAB17-6166-4C82-A6D9-404650DD6F45}" type="presOf" srcId="{52A69187-F965-4704-9C1A-29B2281F912F}" destId="{E01163DA-75CF-4C32-B81E-41BBCCC937B3}" srcOrd="1" destOrd="0" presId="urn:microsoft.com/office/officeart/2005/8/layout/radial1"/>
    <dgm:cxn modelId="{6EF24921-57A8-4508-9E3D-1ACF5AC8D1C1}" type="presOf" srcId="{576E161B-59E2-4177-8320-584EBC426979}" destId="{F74F2681-A109-4B75-8C08-B2B26769CF03}" srcOrd="0" destOrd="0" presId="urn:microsoft.com/office/officeart/2005/8/layout/radial1"/>
    <dgm:cxn modelId="{FC689A1C-99D9-4C67-A470-577D7E1F7431}" type="presOf" srcId="{1F889DAC-CE52-4F0F-B94D-85598619AB82}" destId="{72463A3F-A956-4917-8722-9FD79FB3E09A}" srcOrd="0" destOrd="0" presId="urn:microsoft.com/office/officeart/2005/8/layout/radial1"/>
    <dgm:cxn modelId="{44DD2218-19A6-4435-9453-950F8E6F1C7D}" type="presOf" srcId="{B96F5D54-1A60-4750-86C5-C7C55223704E}" destId="{0DC7814B-4209-4BC4-A177-2102084D3CE1}" srcOrd="1" destOrd="0" presId="urn:microsoft.com/office/officeart/2005/8/layout/radial1"/>
    <dgm:cxn modelId="{A5666C79-BF01-4153-AB0A-BB16CAE1F135}" srcId="{60F584FC-F7FF-4FD7-86E3-8773293C0460}" destId="{4761FE57-664D-44AD-8EF1-E6096D64297F}" srcOrd="4" destOrd="0" parTransId="{F6DE2413-45CD-453B-A258-F22A53BBB241}" sibTransId="{288511AC-ECAB-47A8-A0B0-D7AAFEE02A39}"/>
    <dgm:cxn modelId="{CFA41C79-56F4-48B0-A4DA-A413A9A5D0AC}" type="presOf" srcId="{D6278D4F-93AB-42D0-B837-2B99BC1EE808}" destId="{AC7E3352-64BC-4978-9AB6-2DD833483239}" srcOrd="0" destOrd="0" presId="urn:microsoft.com/office/officeart/2005/8/layout/radial1"/>
    <dgm:cxn modelId="{18EC920A-9DE9-4BB5-9945-13DCD0C1F8BC}" type="presOf" srcId="{61905482-A221-41E9-B64F-E0DDCF7406CB}" destId="{CFBB929F-8BEB-442D-8D00-28EE1C02C39C}" srcOrd="0" destOrd="0" presId="urn:microsoft.com/office/officeart/2005/8/layout/radial1"/>
    <dgm:cxn modelId="{0F30E1DC-39D7-48C7-980A-AEDBC6142928}" type="presParOf" srcId="{4FC73BDC-CE2C-45F4-85CD-F387963DA006}" destId="{3C7CADF7-0742-432E-9EEF-EA9C347A7661}" srcOrd="0" destOrd="0" presId="urn:microsoft.com/office/officeart/2005/8/layout/radial1"/>
    <dgm:cxn modelId="{E63C25CB-2C74-482E-9646-1FD471C35CBF}" type="presParOf" srcId="{4FC73BDC-CE2C-45F4-85CD-F387963DA006}" destId="{E887F142-3B93-49E1-A09D-1DCD207D21D1}" srcOrd="1" destOrd="0" presId="urn:microsoft.com/office/officeart/2005/8/layout/radial1"/>
    <dgm:cxn modelId="{787B318D-5555-462E-BD8D-90C438018255}" type="presParOf" srcId="{E887F142-3B93-49E1-A09D-1DCD207D21D1}" destId="{0C3245EA-B4A2-4A29-A94D-6F5271E8D13D}" srcOrd="0" destOrd="0" presId="urn:microsoft.com/office/officeart/2005/8/layout/radial1"/>
    <dgm:cxn modelId="{C791ED59-CD18-486B-96A0-24A6CC242694}" type="presParOf" srcId="{4FC73BDC-CE2C-45F4-85CD-F387963DA006}" destId="{3EA08C86-6A87-4381-A9A9-F10D993E2D53}" srcOrd="2" destOrd="0" presId="urn:microsoft.com/office/officeart/2005/8/layout/radial1"/>
    <dgm:cxn modelId="{35DC83FE-E0C7-49E8-9464-0DB347B13DE9}" type="presParOf" srcId="{4FC73BDC-CE2C-45F4-85CD-F387963DA006}" destId="{72463A3F-A956-4917-8722-9FD79FB3E09A}" srcOrd="3" destOrd="0" presId="urn:microsoft.com/office/officeart/2005/8/layout/radial1"/>
    <dgm:cxn modelId="{A294C8B4-D10A-48BD-AEA6-84BDECDA52A3}" type="presParOf" srcId="{72463A3F-A956-4917-8722-9FD79FB3E09A}" destId="{E5E0F749-58A7-4B5D-B40F-552D5369ABEE}" srcOrd="0" destOrd="0" presId="urn:microsoft.com/office/officeart/2005/8/layout/radial1"/>
    <dgm:cxn modelId="{A6639F08-E215-4324-A893-3ED5E8436F7E}" type="presParOf" srcId="{4FC73BDC-CE2C-45F4-85CD-F387963DA006}" destId="{A030EF9D-9337-4706-B87A-64BDE162520A}" srcOrd="4" destOrd="0" presId="urn:microsoft.com/office/officeart/2005/8/layout/radial1"/>
    <dgm:cxn modelId="{72D397DF-31D5-4CB4-A0A0-7D71FE27913B}" type="presParOf" srcId="{4FC73BDC-CE2C-45F4-85CD-F387963DA006}" destId="{00112A8F-12E8-45AC-B551-DFB66BE45059}" srcOrd="5" destOrd="0" presId="urn:microsoft.com/office/officeart/2005/8/layout/radial1"/>
    <dgm:cxn modelId="{20F6268C-86DA-43E1-8C92-D77BDBBFE7CF}" type="presParOf" srcId="{00112A8F-12E8-45AC-B551-DFB66BE45059}" destId="{48B32C5A-7076-4480-B5CB-D9EFDA8D8FDB}" srcOrd="0" destOrd="0" presId="urn:microsoft.com/office/officeart/2005/8/layout/radial1"/>
    <dgm:cxn modelId="{8EE6E94B-62E9-4BE8-BEC1-D3C56DC897FF}" type="presParOf" srcId="{4FC73BDC-CE2C-45F4-85CD-F387963DA006}" destId="{423B6D89-2000-40C7-8429-BD38C7402395}" srcOrd="6" destOrd="0" presId="urn:microsoft.com/office/officeart/2005/8/layout/radial1"/>
    <dgm:cxn modelId="{64DC8595-76FA-4049-AF3E-DB2FE57260AB}" type="presParOf" srcId="{4FC73BDC-CE2C-45F4-85CD-F387963DA006}" destId="{650854B0-9FE7-4FFD-96B2-18F6452E0859}" srcOrd="7" destOrd="0" presId="urn:microsoft.com/office/officeart/2005/8/layout/radial1"/>
    <dgm:cxn modelId="{5395FEE0-A9AC-4686-8A4C-452B1E7DEA83}" type="presParOf" srcId="{650854B0-9FE7-4FFD-96B2-18F6452E0859}" destId="{7FE108B5-F558-4942-A9EC-465F3C2E5813}" srcOrd="0" destOrd="0" presId="urn:microsoft.com/office/officeart/2005/8/layout/radial1"/>
    <dgm:cxn modelId="{9EF28398-65FE-4B72-93FA-AE084A226B6B}" type="presParOf" srcId="{4FC73BDC-CE2C-45F4-85CD-F387963DA006}" destId="{6394B413-6D12-4C4F-9A8D-E0508CAE8617}" srcOrd="8" destOrd="0" presId="urn:microsoft.com/office/officeart/2005/8/layout/radial1"/>
    <dgm:cxn modelId="{B3EBE5E8-215B-478A-9106-737A09A3DD5D}" type="presParOf" srcId="{4FC73BDC-CE2C-45F4-85CD-F387963DA006}" destId="{DEF09AAB-E09E-4486-8914-E37D47E60824}" srcOrd="9" destOrd="0" presId="urn:microsoft.com/office/officeart/2005/8/layout/radial1"/>
    <dgm:cxn modelId="{86E63F74-4AE7-4B83-B1C2-4DD0C87B5C42}" type="presParOf" srcId="{DEF09AAB-E09E-4486-8914-E37D47E60824}" destId="{B0514361-30D3-4311-BC21-0743B7F01673}" srcOrd="0" destOrd="0" presId="urn:microsoft.com/office/officeart/2005/8/layout/radial1"/>
    <dgm:cxn modelId="{1C4614E9-D44F-466F-B79C-400664A7C796}" type="presParOf" srcId="{4FC73BDC-CE2C-45F4-85CD-F387963DA006}" destId="{2ED32773-10C9-4671-A0BF-4C0DAB40AE25}" srcOrd="10" destOrd="0" presId="urn:microsoft.com/office/officeart/2005/8/layout/radial1"/>
    <dgm:cxn modelId="{F51F857C-6F0D-4523-BF5E-D88B87F7CAB0}" type="presParOf" srcId="{4FC73BDC-CE2C-45F4-85CD-F387963DA006}" destId="{EAF47FDD-7D57-4FF6-9F6B-6E604D2CC0DE}" srcOrd="11" destOrd="0" presId="urn:microsoft.com/office/officeart/2005/8/layout/radial1"/>
    <dgm:cxn modelId="{001E1E95-499B-491B-97BB-76ABE37935FC}" type="presParOf" srcId="{EAF47FDD-7D57-4FF6-9F6B-6E604D2CC0DE}" destId="{E01163DA-75CF-4C32-B81E-41BBCCC937B3}" srcOrd="0" destOrd="0" presId="urn:microsoft.com/office/officeart/2005/8/layout/radial1"/>
    <dgm:cxn modelId="{4325B00A-81A8-46D2-B6A7-1B87949BB716}" type="presParOf" srcId="{4FC73BDC-CE2C-45F4-85CD-F387963DA006}" destId="{F74F2681-A109-4B75-8C08-B2B26769CF03}" srcOrd="12" destOrd="0" presId="urn:microsoft.com/office/officeart/2005/8/layout/radial1"/>
    <dgm:cxn modelId="{A0BAC0E2-9056-4B59-BCC0-4538F8FF3592}" type="presParOf" srcId="{4FC73BDC-CE2C-45F4-85CD-F387963DA006}" destId="{AC7E3352-64BC-4978-9AB6-2DD833483239}" srcOrd="13" destOrd="0" presId="urn:microsoft.com/office/officeart/2005/8/layout/radial1"/>
    <dgm:cxn modelId="{9203D596-E51B-4C1B-AD90-4033B3FF19E6}" type="presParOf" srcId="{AC7E3352-64BC-4978-9AB6-2DD833483239}" destId="{C620A703-6BE9-4C0F-B737-266F7434DAB4}" srcOrd="0" destOrd="0" presId="urn:microsoft.com/office/officeart/2005/8/layout/radial1"/>
    <dgm:cxn modelId="{3D01533B-2494-4172-A153-12B36AC685A5}" type="presParOf" srcId="{4FC73BDC-CE2C-45F4-85CD-F387963DA006}" destId="{05C48364-E63B-4056-87CF-0BE50D74190B}" srcOrd="14" destOrd="0" presId="urn:microsoft.com/office/officeart/2005/8/layout/radial1"/>
    <dgm:cxn modelId="{F7693F3E-B303-45AC-9314-8A616F2602CD}" type="presParOf" srcId="{4FC73BDC-CE2C-45F4-85CD-F387963DA006}" destId="{06FD983D-3F71-4BCE-AD7F-6DD1041A2F23}" srcOrd="15" destOrd="0" presId="urn:microsoft.com/office/officeart/2005/8/layout/radial1"/>
    <dgm:cxn modelId="{711C5C7C-B838-4F03-8EDB-6137BECAB558}" type="presParOf" srcId="{06FD983D-3F71-4BCE-AD7F-6DD1041A2F23}" destId="{2261EECA-A4AA-4C81-9B4D-3893A28ED758}" srcOrd="0" destOrd="0" presId="urn:microsoft.com/office/officeart/2005/8/layout/radial1"/>
    <dgm:cxn modelId="{6D1B05F4-4007-49A6-BD1F-E2A61DFD1BCA}" type="presParOf" srcId="{4FC73BDC-CE2C-45F4-85CD-F387963DA006}" destId="{CFBB929F-8BEB-442D-8D00-28EE1C02C39C}" srcOrd="16" destOrd="0" presId="urn:microsoft.com/office/officeart/2005/8/layout/radial1"/>
    <dgm:cxn modelId="{E4666316-EAA7-4AA6-93A1-2B719942D23B}" type="presParOf" srcId="{4FC73BDC-CE2C-45F4-85CD-F387963DA006}" destId="{C494819C-C98E-47AA-9AF0-D23BA2FEB24F}" srcOrd="17" destOrd="0" presId="urn:microsoft.com/office/officeart/2005/8/layout/radial1"/>
    <dgm:cxn modelId="{4DA384E7-C13B-420A-961D-FD1CCA5191D5}" type="presParOf" srcId="{C494819C-C98E-47AA-9AF0-D23BA2FEB24F}" destId="{0DC7814B-4209-4BC4-A177-2102084D3CE1}" srcOrd="0" destOrd="0" presId="urn:microsoft.com/office/officeart/2005/8/layout/radial1"/>
    <dgm:cxn modelId="{580B0E40-66D0-44AC-A6B0-E4002A25145A}" type="presParOf" srcId="{4FC73BDC-CE2C-45F4-85CD-F387963DA006}" destId="{77FEFA40-E907-476F-8675-3DC698720930}" srcOrd="18" destOrd="0" presId="urn:microsoft.com/office/officeart/2005/8/layout/radial1"/>
    <dgm:cxn modelId="{E4EF4582-9351-4004-89DA-38E95C177D4F}" type="presParOf" srcId="{4FC73BDC-CE2C-45F4-85CD-F387963DA006}" destId="{EF98737B-1136-4CD3-A0AC-E4FF8E58DD83}" srcOrd="19" destOrd="0" presId="urn:microsoft.com/office/officeart/2005/8/layout/radial1"/>
    <dgm:cxn modelId="{C6D28788-86C1-474D-986D-93438E6100CE}" type="presParOf" srcId="{EF98737B-1136-4CD3-A0AC-E4FF8E58DD83}" destId="{4E2AD2D6-918F-4857-8567-9FCA82A4E2B0}" srcOrd="0" destOrd="0" presId="urn:microsoft.com/office/officeart/2005/8/layout/radial1"/>
    <dgm:cxn modelId="{29AAFAFB-97D8-4CEE-BDA3-29D12A2F3E45}" type="presParOf" srcId="{4FC73BDC-CE2C-45F4-85CD-F387963DA006}" destId="{C8187693-0532-46C7-A6F3-C4A32348C87B}" srcOrd="20" destOrd="0" presId="urn:microsoft.com/office/officeart/2005/8/layout/radial1"/>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34E6C8D5-8D4F-4714-8A12-8F4599A8E760}"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DE541715-C648-404D-8124-F14F463E9202}">
      <dgm:prSet phldrT="[Text]" custT="1"/>
      <dgm:spPr>
        <a:xfrm>
          <a:off x="2349885" y="702403"/>
          <a:ext cx="1196229" cy="404350"/>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solidFill>
              <a:latin typeface="Arial" panose="020B0604020202020204" pitchFamily="34" charset="0"/>
              <a:ea typeface="+mn-ea"/>
              <a:cs typeface="Arial" panose="020B0604020202020204" pitchFamily="34" charset="0"/>
            </a:rPr>
            <a:t>Programa 17</a:t>
          </a:r>
        </a:p>
      </dgm:t>
    </dgm:pt>
    <dgm:pt modelId="{7CA7849B-681D-4C0D-A708-F47E97871BB2}" type="sibTrans" cxnId="{22CFBE58-87EC-4B70-B1CC-D1D1DB4968C7}">
      <dgm:prSet/>
      <dgm:spPr/>
      <dgm:t>
        <a:bodyPr/>
        <a:lstStyle/>
        <a:p>
          <a:endParaRPr lang="en-US"/>
        </a:p>
      </dgm:t>
    </dgm:pt>
    <dgm:pt modelId="{D7DB3476-9C56-4274-B046-F742EA8694F1}" type="parTrans" cxnId="{22CFBE58-87EC-4B70-B1CC-D1D1DB4968C7}">
      <dgm:prSet/>
      <dgm:spPr/>
      <dgm:t>
        <a:bodyPr/>
        <a:lstStyle/>
        <a:p>
          <a:endParaRPr lang="en-US"/>
        </a:p>
      </dgm:t>
    </dgm:pt>
    <dgm:pt modelId="{4F895710-9C0A-4357-A62A-B00C2B1BB2A2}">
      <dgm:prSet phldrT="[Text]"/>
      <dgm:spPr/>
      <dgm:t>
        <a:bodyPr/>
        <a:lstStyle/>
        <a:p>
          <a:endParaRPr lang="en-US"/>
        </a:p>
      </dgm:t>
    </dgm:pt>
    <dgm:pt modelId="{A0A859C5-79E5-4C97-AF72-54A6D166EEA1}" type="sibTrans" cxnId="{DA740704-6E02-4402-8325-D0302449434E}">
      <dgm:prSet/>
      <dgm:spPr/>
      <dgm:t>
        <a:bodyPr/>
        <a:lstStyle/>
        <a:p>
          <a:endParaRPr lang="en-US"/>
        </a:p>
      </dgm:t>
    </dgm:pt>
    <dgm:pt modelId="{4492527F-B2BC-4423-9ACC-2816666249A0}" type="parTrans" cxnId="{DA740704-6E02-4402-8325-D0302449434E}">
      <dgm:prSet/>
      <dgm:spPr/>
      <dgm:t>
        <a:bodyPr/>
        <a:lstStyle/>
        <a:p>
          <a:endParaRPr lang="en-US"/>
        </a:p>
      </dgm:t>
    </dgm:pt>
    <dgm:pt modelId="{C06C39C9-71B8-489C-9C45-3DD37A424E39}">
      <dgm:prSet phldrT="[Text]" custT="1"/>
      <dgm:spPr>
        <a:xfrm>
          <a:off x="21896" y="625000"/>
          <a:ext cx="1237424" cy="55533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19</a:t>
          </a:r>
        </a:p>
        <a:p>
          <a:r>
            <a:rPr lang="en-US" sz="900">
              <a:solidFill>
                <a:sysClr val="windowText" lastClr="000000"/>
              </a:solidFill>
              <a:latin typeface="Arial" panose="020B0604020202020204" pitchFamily="34" charset="0"/>
              <a:ea typeface="+mn-ea"/>
              <a:cs typeface="Arial" panose="020B0604020202020204" pitchFamily="34" charset="0"/>
            </a:rPr>
            <a:t>Comunicaciones</a:t>
          </a:r>
          <a:endParaRPr lang="en-US" sz="1000">
            <a:solidFill>
              <a:sysClr val="windowText" lastClr="000000"/>
            </a:solidFill>
            <a:latin typeface="Arial" panose="020B0604020202020204" pitchFamily="34" charset="0"/>
            <a:ea typeface="+mn-ea"/>
            <a:cs typeface="Arial" panose="020B0604020202020204" pitchFamily="34" charset="0"/>
          </a:endParaRPr>
        </a:p>
      </dgm:t>
    </dgm:pt>
    <dgm:pt modelId="{DCD34884-F96E-475A-9010-14DE66A403A6}" type="sibTrans" cxnId="{248698A6-055B-40E3-B808-D624056EF2B0}">
      <dgm:prSet/>
      <dgm:spPr/>
      <dgm:t>
        <a:bodyPr/>
        <a:lstStyle/>
        <a:p>
          <a:endParaRPr lang="en-US"/>
        </a:p>
      </dgm:t>
    </dgm:pt>
    <dgm:pt modelId="{0FABC453-0A5C-4CAE-813B-F0494A34E025}" type="parTrans" cxnId="{248698A6-055B-40E3-B808-D624056EF2B0}">
      <dgm:prSet/>
      <dgm:spPr>
        <a:xfrm rot="10802850">
          <a:off x="1259320" y="897504"/>
          <a:ext cx="109056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631C2C5-1554-4289-90B0-F2D55D1595B6}">
      <dgm:prSet phldrT="[Text]" custT="1"/>
      <dgm:spPr>
        <a:xfrm>
          <a:off x="3665066" y="1041246"/>
          <a:ext cx="1140307" cy="530086"/>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10</a:t>
          </a:r>
        </a:p>
        <a:p>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9B3CB24D-A47A-4081-B256-B868D89D5387}" type="sibTrans" cxnId="{BF65F824-D4F4-4A84-83B4-6B1944B62AAD}">
      <dgm:prSet/>
      <dgm:spPr/>
      <dgm:t>
        <a:bodyPr/>
        <a:lstStyle/>
        <a:p>
          <a:endParaRPr lang="en-US"/>
        </a:p>
      </dgm:t>
    </dgm:pt>
    <dgm:pt modelId="{4693CA52-075F-4BD8-ABEA-5368BE377DDA}" type="parTrans" cxnId="{BF65F824-D4F4-4A84-83B4-6B1944B62AAD}">
      <dgm:prSet/>
      <dgm:spPr>
        <a:xfrm rot="1039915">
          <a:off x="3378556" y="1094015"/>
          <a:ext cx="392192"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960C5593-E0FF-4AA5-AA0B-E8BDFFBC5E53}">
      <dgm:prSet phldrT="[Text]" custT="1"/>
      <dgm:spPr>
        <a:xfrm>
          <a:off x="4614152" y="626660"/>
          <a:ext cx="1326272" cy="55729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9</a:t>
          </a:r>
        </a:p>
        <a:p>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88F12DF7-015F-4F26-950A-DAE493699644}" type="sibTrans" cxnId="{529D05ED-97D5-4116-BE13-DE3D93351F7F}">
      <dgm:prSet/>
      <dgm:spPr/>
      <dgm:t>
        <a:bodyPr/>
        <a:lstStyle/>
        <a:p>
          <a:endParaRPr lang="en-US"/>
        </a:p>
      </dgm:t>
    </dgm:pt>
    <dgm:pt modelId="{7AF774ED-547E-4C04-8670-B0C1D08C5EE9}" type="parTrans" cxnId="{529D05ED-97D5-4116-BE13-DE3D93351F7F}">
      <dgm:prSet/>
      <dgm:spPr>
        <a:xfrm rot="1080">
          <a:off x="3546115" y="898808"/>
          <a:ext cx="1068037"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5C260341-F1C3-4458-A657-957289015FC3}">
      <dgm:prSet phldrT="[Text]" custT="1"/>
      <dgm:spPr>
        <a:xfrm>
          <a:off x="2354231" y="1245968"/>
          <a:ext cx="1191506" cy="4590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11</a:t>
          </a:r>
        </a:p>
        <a:p>
          <a:r>
            <a:rPr lang="en-US" sz="900">
              <a:solidFill>
                <a:sysClr val="windowText" lastClr="000000"/>
              </a:solidFill>
              <a:latin typeface="Arial" panose="020B0604020202020204" pitchFamily="34" charset="0"/>
              <a:ea typeface="+mn-ea"/>
              <a:cs typeface="Arial" panose="020B0604020202020204" pitchFamily="34" charset="0"/>
            </a:rPr>
            <a:t>Academia de la OMPI</a:t>
          </a:r>
        </a:p>
      </dgm:t>
    </dgm:pt>
    <dgm:pt modelId="{45A6C23B-D452-4078-BA3A-466D0894B9EB}" type="parTrans" cxnId="{0266A1D0-CEC9-45F3-8B31-A21772E8AA19}">
      <dgm:prSet/>
      <dgm:spPr>
        <a:xfrm rot="5388050">
          <a:off x="2879337" y="1170235"/>
          <a:ext cx="139216"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89B7C331-6FB9-4771-84B2-9F75AB1415C9}" type="sibTrans" cxnId="{0266A1D0-CEC9-45F3-8B31-A21772E8AA19}">
      <dgm:prSet/>
      <dgm:spPr/>
      <dgm:t>
        <a:bodyPr/>
        <a:lstStyle/>
        <a:p>
          <a:endParaRPr lang="en-US"/>
        </a:p>
      </dgm:t>
    </dgm:pt>
    <dgm:pt modelId="{880B408D-A44E-4E41-A0D3-775A9D2AA162}">
      <dgm:prSet phldrT="[Text]" custT="1"/>
      <dgm:spPr>
        <a:xfrm>
          <a:off x="2426605" y="-22710"/>
          <a:ext cx="1042790" cy="468059"/>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2</a:t>
          </a:r>
        </a:p>
        <a:p>
          <a:r>
            <a:rPr lang="en-US" sz="900">
              <a:solidFill>
                <a:sysClr val="windowText" lastClr="000000"/>
              </a:solidFill>
              <a:latin typeface="Arial" panose="020B0604020202020204" pitchFamily="34" charset="0"/>
              <a:ea typeface="+mn-ea"/>
              <a:cs typeface="Arial" panose="020B0604020202020204" pitchFamily="34" charset="0"/>
            </a:rPr>
            <a:t>Marcas, DD.II. e II.GG. </a:t>
          </a:r>
        </a:p>
      </dgm:t>
    </dgm:pt>
    <dgm:pt modelId="{E848F776-8237-42C9-A1C0-B5B0EB7FE51B}" type="parTrans" cxnId="{C4CE955B-C7EA-442D-BA54-FCED6F4F9301}">
      <dgm:prSet/>
      <dgm:spPr>
        <a:xfrm rot="16200000">
          <a:off x="2819473" y="567750"/>
          <a:ext cx="257054"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C6C0D1BD-440F-496E-8208-41C1352C17C4}" type="sibTrans" cxnId="{C4CE955B-C7EA-442D-BA54-FCED6F4F9301}">
      <dgm:prSet/>
      <dgm:spPr/>
      <dgm:t>
        <a:bodyPr/>
        <a:lstStyle/>
        <a:p>
          <a:endParaRPr lang="en-US"/>
        </a:p>
      </dgm:t>
    </dgm:pt>
    <dgm:pt modelId="{7E91AD2C-2762-4D69-BFD6-4095380ECAB8}">
      <dgm:prSet phldrT="[Text]" custT="1"/>
      <dgm:spPr>
        <a:xfrm>
          <a:off x="3688878" y="283122"/>
          <a:ext cx="1149312" cy="46084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3 </a:t>
          </a:r>
        </a:p>
        <a:p>
          <a:r>
            <a:rPr lang="en-US" sz="900">
              <a:solidFill>
                <a:sysClr val="windowText" lastClr="000000"/>
              </a:solidFill>
              <a:latin typeface="Arial" panose="020B0604020202020204" pitchFamily="34" charset="0"/>
              <a:ea typeface="+mn-ea"/>
              <a:cs typeface="Arial" panose="020B0604020202020204" pitchFamily="34" charset="0"/>
            </a:rPr>
            <a:t>D.A.D.C</a:t>
          </a:r>
        </a:p>
      </dgm:t>
    </dgm:pt>
    <dgm:pt modelId="{8D28B5B3-293B-4D04-9ABB-EE16A5C97D16}" type="parTrans" cxnId="{19C1565A-DB23-4F9C-ABEF-4480DF7D14CE}">
      <dgm:prSet/>
      <dgm:spPr>
        <a:xfrm rot="20606743">
          <a:off x="3388403" y="704791"/>
          <a:ext cx="422238"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6336DBA-E790-4546-ABCA-DDAC89AEDA30}" type="sibTrans" cxnId="{19C1565A-DB23-4F9C-ABEF-4480DF7D14CE}">
      <dgm:prSet/>
      <dgm:spPr/>
      <dgm:t>
        <a:bodyPr/>
        <a:lstStyle/>
        <a:p>
          <a:endParaRPr lang="en-US"/>
        </a:p>
      </dgm:t>
    </dgm:pt>
    <dgm:pt modelId="{F87686C8-F658-4DC2-BC5F-AB0B4E40ED1C}">
      <dgm:prSet phldrT="[Text]" custT="1"/>
      <dgm:spPr>
        <a:xfrm>
          <a:off x="1074180" y="1076125"/>
          <a:ext cx="1231674" cy="543001"/>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16</a:t>
          </a:r>
        </a:p>
        <a:p>
          <a:r>
            <a:rPr lang="en-US" sz="900">
              <a:solidFill>
                <a:sysClr val="windowText" lastClr="000000"/>
              </a:solidFill>
              <a:latin typeface="Arial" panose="020B0604020202020204" pitchFamily="34" charset="0"/>
              <a:ea typeface="+mn-ea"/>
              <a:cs typeface="Arial" panose="020B0604020202020204" pitchFamily="34" charset="0"/>
            </a:rPr>
            <a:t>Economía y estadística </a:t>
          </a:r>
        </a:p>
      </dgm:t>
    </dgm:pt>
    <dgm:pt modelId="{42DDAC3B-802E-470C-B26C-35741B306D27}" type="parTrans" cxnId="{0C88C0B3-8AAC-4FA9-BE4C-2222B2B4A1BE}">
      <dgm:prSet/>
      <dgm:spPr>
        <a:xfrm rot="9635897">
          <a:off x="2160256" y="1108179"/>
          <a:ext cx="38449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FE7B45A4-A643-4A31-AD3B-09FF641A16EC}" type="sibTrans" cxnId="{0C88C0B3-8AAC-4FA9-BE4C-2222B2B4A1BE}">
      <dgm:prSet/>
      <dgm:spPr/>
      <dgm:t>
        <a:bodyPr/>
        <a:lstStyle/>
        <a:p>
          <a:endParaRPr lang="en-US"/>
        </a:p>
      </dgm:t>
    </dgm:pt>
    <dgm:pt modelId="{11C12EEB-5340-467D-991C-E6C3B5DBDAEA}">
      <dgm:prSet phldrT="[Text]" custT="1"/>
      <dgm:spPr>
        <a:xfrm>
          <a:off x="1065230" y="225908"/>
          <a:ext cx="1363893" cy="468880"/>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solidFill>
              <a:latin typeface="Arial" panose="020B0604020202020204" pitchFamily="34" charset="0"/>
              <a:ea typeface="+mn-ea"/>
              <a:cs typeface="Arial" panose="020B0604020202020204" pitchFamily="34" charset="0"/>
            </a:rPr>
            <a:t>Programa 20 </a:t>
          </a:r>
        </a:p>
        <a:p>
          <a:r>
            <a:rPr lang="en-US" sz="900">
              <a:solidFill>
                <a:sysClr val="windowText" lastClr="000000"/>
              </a:solidFill>
              <a:latin typeface="Arial" panose="020B0604020202020204" pitchFamily="34" charset="0"/>
              <a:ea typeface="+mn-ea"/>
              <a:cs typeface="Arial" panose="020B0604020202020204" pitchFamily="34" charset="0"/>
            </a:rPr>
            <a:t>Relaciones exteriores</a:t>
          </a:r>
        </a:p>
      </dgm:t>
    </dgm:pt>
    <dgm:pt modelId="{24258538-4C68-461F-9E82-62C8DF009C0A}" type="parTrans" cxnId="{AFEA8542-2500-4D00-B2F1-3B6B93AA3E37}">
      <dgm:prSet/>
      <dgm:spPr>
        <a:xfrm rot="12018079">
          <a:off x="2200369" y="687578"/>
          <a:ext cx="355209" cy="12252"/>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79B0886E-99F7-4F88-AD18-3A305D812CB8}" type="sibTrans" cxnId="{AFEA8542-2500-4D00-B2F1-3B6B93AA3E37}">
      <dgm:prSet/>
      <dgm:spPr/>
      <dgm:t>
        <a:bodyPr/>
        <a:lstStyle/>
        <a:p>
          <a:endParaRPr lang="en-US"/>
        </a:p>
      </dgm:t>
    </dgm:pt>
    <dgm:pt modelId="{08F189A1-AB47-41D1-8058-7A6DA66B3F52}" type="pres">
      <dgm:prSet presAssocID="{34E6C8D5-8D4F-4714-8A12-8F4599A8E760}" presName="cycle" presStyleCnt="0">
        <dgm:presLayoutVars>
          <dgm:chMax val="1"/>
          <dgm:dir/>
          <dgm:animLvl val="ctr"/>
          <dgm:resizeHandles val="exact"/>
        </dgm:presLayoutVars>
      </dgm:prSet>
      <dgm:spPr/>
      <dgm:t>
        <a:bodyPr/>
        <a:lstStyle/>
        <a:p>
          <a:endParaRPr lang="en-US"/>
        </a:p>
      </dgm:t>
    </dgm:pt>
    <dgm:pt modelId="{062AF917-2F47-4639-8A23-58AD52EC0F32}" type="pres">
      <dgm:prSet presAssocID="{DE541715-C648-404D-8124-F14F463E9202}" presName="centerShape" presStyleLbl="node0" presStyleIdx="0" presStyleCnt="1" custScaleX="338164" custScaleY="106717" custLinFactNeighborX="0" custLinFactNeighborY="386"/>
      <dgm:spPr>
        <a:prstGeom prst="ellipse">
          <a:avLst/>
        </a:prstGeom>
      </dgm:spPr>
      <dgm:t>
        <a:bodyPr/>
        <a:lstStyle/>
        <a:p>
          <a:endParaRPr lang="en-US"/>
        </a:p>
      </dgm:t>
    </dgm:pt>
    <dgm:pt modelId="{DB73B42A-BE4F-46BC-B512-015EB15734E7}" type="pres">
      <dgm:prSet presAssocID="{E848F776-8237-42C9-A1C0-B5B0EB7FE51B}" presName="Name9" presStyleLbl="parChTrans1D2" presStyleIdx="0" presStyleCnt="8"/>
      <dgm:spPr>
        <a:custGeom>
          <a:avLst/>
          <a:gdLst/>
          <a:ahLst/>
          <a:cxnLst/>
          <a:rect l="0" t="0" r="0" b="0"/>
          <a:pathLst>
            <a:path>
              <a:moveTo>
                <a:pt x="0" y="6126"/>
              </a:moveTo>
              <a:lnTo>
                <a:pt x="257054" y="6126"/>
              </a:lnTo>
            </a:path>
          </a:pathLst>
        </a:custGeom>
      </dgm:spPr>
      <dgm:t>
        <a:bodyPr/>
        <a:lstStyle/>
        <a:p>
          <a:endParaRPr lang="en-US"/>
        </a:p>
      </dgm:t>
    </dgm:pt>
    <dgm:pt modelId="{498B4397-C22F-4D1E-9B41-E3ABFC4C6934}" type="pres">
      <dgm:prSet presAssocID="{E848F776-8237-42C9-A1C0-B5B0EB7FE51B}" presName="connTx" presStyleLbl="parChTrans1D2" presStyleIdx="0" presStyleCnt="8"/>
      <dgm:spPr/>
      <dgm:t>
        <a:bodyPr/>
        <a:lstStyle/>
        <a:p>
          <a:endParaRPr lang="en-US"/>
        </a:p>
      </dgm:t>
    </dgm:pt>
    <dgm:pt modelId="{8C16842D-5717-4E53-9353-18DF877708CF}" type="pres">
      <dgm:prSet presAssocID="{880B408D-A44E-4E41-A0D3-775A9D2AA162}" presName="node" presStyleLbl="node1" presStyleIdx="0" presStyleCnt="8" custScaleX="303894" custScaleY="126035" custRadScaleRad="96722" custRadScaleInc="5600">
        <dgm:presLayoutVars>
          <dgm:bulletEnabled val="1"/>
        </dgm:presLayoutVars>
      </dgm:prSet>
      <dgm:spPr>
        <a:prstGeom prst="ellipse">
          <a:avLst/>
        </a:prstGeom>
      </dgm:spPr>
      <dgm:t>
        <a:bodyPr/>
        <a:lstStyle/>
        <a:p>
          <a:endParaRPr lang="en-US"/>
        </a:p>
      </dgm:t>
    </dgm:pt>
    <dgm:pt modelId="{F32845D8-3F89-45CE-82D0-5F6D6B81E25D}" type="pres">
      <dgm:prSet presAssocID="{8D28B5B3-293B-4D04-9ABB-EE16A5C97D16}" presName="Name9" presStyleLbl="parChTrans1D2" presStyleIdx="1" presStyleCnt="8"/>
      <dgm:spPr>
        <a:custGeom>
          <a:avLst/>
          <a:gdLst/>
          <a:ahLst/>
          <a:cxnLst/>
          <a:rect l="0" t="0" r="0" b="0"/>
          <a:pathLst>
            <a:path>
              <a:moveTo>
                <a:pt x="0" y="6126"/>
              </a:moveTo>
              <a:lnTo>
                <a:pt x="422238" y="6126"/>
              </a:lnTo>
            </a:path>
          </a:pathLst>
        </a:custGeom>
      </dgm:spPr>
      <dgm:t>
        <a:bodyPr/>
        <a:lstStyle/>
        <a:p>
          <a:endParaRPr lang="en-US"/>
        </a:p>
      </dgm:t>
    </dgm:pt>
    <dgm:pt modelId="{22743AED-C443-4F2B-8D4D-266AC58BB10F}" type="pres">
      <dgm:prSet presAssocID="{8D28B5B3-293B-4D04-9ABB-EE16A5C97D16}" presName="connTx" presStyleLbl="parChTrans1D2" presStyleIdx="1" presStyleCnt="8"/>
      <dgm:spPr/>
      <dgm:t>
        <a:bodyPr/>
        <a:lstStyle/>
        <a:p>
          <a:endParaRPr lang="en-US"/>
        </a:p>
      </dgm:t>
    </dgm:pt>
    <dgm:pt modelId="{56946440-4960-4194-9471-9ABCF62950BA}" type="pres">
      <dgm:prSet presAssocID="{7E91AD2C-2762-4D69-BFD6-4095380ECAB8}" presName="node" presStyleLbl="node1" presStyleIdx="1" presStyleCnt="8" custScaleX="284237" custScaleY="113971" custRadScaleRad="199276" custRadScaleInc="127371">
        <dgm:presLayoutVars>
          <dgm:bulletEnabled val="1"/>
        </dgm:presLayoutVars>
      </dgm:prSet>
      <dgm:spPr>
        <a:prstGeom prst="ellipse">
          <a:avLst/>
        </a:prstGeom>
      </dgm:spPr>
      <dgm:t>
        <a:bodyPr/>
        <a:lstStyle/>
        <a:p>
          <a:endParaRPr lang="en-US"/>
        </a:p>
      </dgm:t>
    </dgm:pt>
    <dgm:pt modelId="{5337AE63-3722-42CC-AF72-36670EB7C5E1}" type="pres">
      <dgm:prSet presAssocID="{7AF774ED-547E-4C04-8670-B0C1D08C5EE9}" presName="Name9" presStyleLbl="parChTrans1D2" presStyleIdx="2" presStyleCnt="8"/>
      <dgm:spPr>
        <a:custGeom>
          <a:avLst/>
          <a:gdLst/>
          <a:ahLst/>
          <a:cxnLst/>
          <a:rect l="0" t="0" r="0" b="0"/>
          <a:pathLst>
            <a:path>
              <a:moveTo>
                <a:pt x="0" y="6126"/>
              </a:moveTo>
              <a:lnTo>
                <a:pt x="1068037" y="6126"/>
              </a:lnTo>
            </a:path>
          </a:pathLst>
        </a:custGeom>
      </dgm:spPr>
      <dgm:t>
        <a:bodyPr/>
        <a:lstStyle/>
        <a:p>
          <a:endParaRPr lang="en-US"/>
        </a:p>
      </dgm:t>
    </dgm:pt>
    <dgm:pt modelId="{326412CE-9911-4799-A459-B56F02EB4473}" type="pres">
      <dgm:prSet presAssocID="{7AF774ED-547E-4C04-8670-B0C1D08C5EE9}" presName="connTx" presStyleLbl="parChTrans1D2" presStyleIdx="2" presStyleCnt="8"/>
      <dgm:spPr/>
      <dgm:t>
        <a:bodyPr/>
        <a:lstStyle/>
        <a:p>
          <a:endParaRPr lang="en-US"/>
        </a:p>
      </dgm:t>
    </dgm:pt>
    <dgm:pt modelId="{CED9197C-8322-406B-917C-172FA36E7B76}" type="pres">
      <dgm:prSet presAssocID="{960C5593-E0FF-4AA5-AA0B-E8BDFFBC5E53}" presName="node" presStyleLbl="node1" presStyleIdx="2" presStyleCnt="8" custScaleX="328001" custScaleY="174735" custRadScaleRad="339917" custRadScaleInc="658">
        <dgm:presLayoutVars>
          <dgm:bulletEnabled val="1"/>
        </dgm:presLayoutVars>
      </dgm:prSet>
      <dgm:spPr>
        <a:prstGeom prst="ellipse">
          <a:avLst/>
        </a:prstGeom>
      </dgm:spPr>
      <dgm:t>
        <a:bodyPr/>
        <a:lstStyle/>
        <a:p>
          <a:endParaRPr lang="en-US"/>
        </a:p>
      </dgm:t>
    </dgm:pt>
    <dgm:pt modelId="{4AC11394-3179-4EC5-A97F-D1A1B521CE2F}" type="pres">
      <dgm:prSet presAssocID="{4693CA52-075F-4BD8-ABEA-5368BE377DDA}" presName="Name9" presStyleLbl="parChTrans1D2" presStyleIdx="3" presStyleCnt="8"/>
      <dgm:spPr>
        <a:custGeom>
          <a:avLst/>
          <a:gdLst/>
          <a:ahLst/>
          <a:cxnLst/>
          <a:rect l="0" t="0" r="0" b="0"/>
          <a:pathLst>
            <a:path>
              <a:moveTo>
                <a:pt x="0" y="6126"/>
              </a:moveTo>
              <a:lnTo>
                <a:pt x="392192" y="6126"/>
              </a:lnTo>
            </a:path>
          </a:pathLst>
        </a:custGeom>
      </dgm:spPr>
      <dgm:t>
        <a:bodyPr/>
        <a:lstStyle/>
        <a:p>
          <a:endParaRPr lang="en-US"/>
        </a:p>
      </dgm:t>
    </dgm:pt>
    <dgm:pt modelId="{62A1F741-432F-46BE-AE07-15F0B6D5EA89}" type="pres">
      <dgm:prSet presAssocID="{4693CA52-075F-4BD8-ABEA-5368BE377DDA}" presName="connTx" presStyleLbl="parChTrans1D2" presStyleIdx="3" presStyleCnt="8"/>
      <dgm:spPr/>
      <dgm:t>
        <a:bodyPr/>
        <a:lstStyle/>
        <a:p>
          <a:endParaRPr lang="en-US"/>
        </a:p>
      </dgm:t>
    </dgm:pt>
    <dgm:pt modelId="{035B4C9A-0916-4FCC-A1CF-85DB358A289A}" type="pres">
      <dgm:prSet presAssocID="{4631C2C5-1554-4289-90B0-F2D55D1595B6}" presName="node" presStyleLbl="node1" presStyleIdx="3" presStyleCnt="8" custScaleX="282010" custScaleY="131096" custRadScaleRad="196241" custRadScaleInc="-122013">
        <dgm:presLayoutVars>
          <dgm:bulletEnabled val="1"/>
        </dgm:presLayoutVars>
      </dgm:prSet>
      <dgm:spPr>
        <a:prstGeom prst="ellipse">
          <a:avLst/>
        </a:prstGeom>
      </dgm:spPr>
      <dgm:t>
        <a:bodyPr/>
        <a:lstStyle/>
        <a:p>
          <a:endParaRPr lang="en-US"/>
        </a:p>
      </dgm:t>
    </dgm:pt>
    <dgm:pt modelId="{64248C57-3CE0-4657-BC67-6279BA0257B1}" type="pres">
      <dgm:prSet presAssocID="{45A6C23B-D452-4078-BA3A-466D0894B9EB}" presName="Name9" presStyleLbl="parChTrans1D2" presStyleIdx="4" presStyleCnt="8"/>
      <dgm:spPr>
        <a:custGeom>
          <a:avLst/>
          <a:gdLst/>
          <a:ahLst/>
          <a:cxnLst/>
          <a:rect l="0" t="0" r="0" b="0"/>
          <a:pathLst>
            <a:path>
              <a:moveTo>
                <a:pt x="0" y="6126"/>
              </a:moveTo>
              <a:lnTo>
                <a:pt x="139216" y="6126"/>
              </a:lnTo>
            </a:path>
          </a:pathLst>
        </a:custGeom>
      </dgm:spPr>
      <dgm:t>
        <a:bodyPr/>
        <a:lstStyle/>
        <a:p>
          <a:endParaRPr lang="en-US"/>
        </a:p>
      </dgm:t>
    </dgm:pt>
    <dgm:pt modelId="{C7C9B7EB-2DEF-4B99-8D38-AC2E9641BEB5}" type="pres">
      <dgm:prSet presAssocID="{45A6C23B-D452-4078-BA3A-466D0894B9EB}" presName="connTx" presStyleLbl="parChTrans1D2" presStyleIdx="4" presStyleCnt="8"/>
      <dgm:spPr/>
      <dgm:t>
        <a:bodyPr/>
        <a:lstStyle/>
        <a:p>
          <a:endParaRPr lang="en-US"/>
        </a:p>
      </dgm:t>
    </dgm:pt>
    <dgm:pt modelId="{976BA53C-17D4-4F7C-9078-1272C469C9E5}" type="pres">
      <dgm:prSet presAssocID="{5C260341-F1C3-4458-A657-957289015FC3}" presName="node" presStyleLbl="node1" presStyleIdx="4" presStyleCnt="8" custScaleX="294672" custScaleY="113526" custRadScaleRad="83760" custRadScaleInc="-877">
        <dgm:presLayoutVars>
          <dgm:bulletEnabled val="1"/>
        </dgm:presLayoutVars>
      </dgm:prSet>
      <dgm:spPr>
        <a:prstGeom prst="ellipse">
          <a:avLst/>
        </a:prstGeom>
      </dgm:spPr>
      <dgm:t>
        <a:bodyPr/>
        <a:lstStyle/>
        <a:p>
          <a:endParaRPr lang="en-US"/>
        </a:p>
      </dgm:t>
    </dgm:pt>
    <dgm:pt modelId="{73944B9B-8143-474E-A2B5-719E57EA1FE0}" type="pres">
      <dgm:prSet presAssocID="{42DDAC3B-802E-470C-B26C-35741B306D27}" presName="Name9" presStyleLbl="parChTrans1D2" presStyleIdx="5" presStyleCnt="8"/>
      <dgm:spPr>
        <a:custGeom>
          <a:avLst/>
          <a:gdLst/>
          <a:ahLst/>
          <a:cxnLst/>
          <a:rect l="0" t="0" r="0" b="0"/>
          <a:pathLst>
            <a:path>
              <a:moveTo>
                <a:pt x="0" y="6126"/>
              </a:moveTo>
              <a:lnTo>
                <a:pt x="384499" y="6126"/>
              </a:lnTo>
            </a:path>
          </a:pathLst>
        </a:custGeom>
      </dgm:spPr>
      <dgm:t>
        <a:bodyPr/>
        <a:lstStyle/>
        <a:p>
          <a:endParaRPr lang="en-US"/>
        </a:p>
      </dgm:t>
    </dgm:pt>
    <dgm:pt modelId="{F5AD7B03-58D4-4480-B85C-FFEEB047B4AA}" type="pres">
      <dgm:prSet presAssocID="{42DDAC3B-802E-470C-B26C-35741B306D27}" presName="connTx" presStyleLbl="parChTrans1D2" presStyleIdx="5" presStyleCnt="8"/>
      <dgm:spPr/>
      <dgm:t>
        <a:bodyPr/>
        <a:lstStyle/>
        <a:p>
          <a:endParaRPr lang="en-US"/>
        </a:p>
      </dgm:t>
    </dgm:pt>
    <dgm:pt modelId="{2BDBEDDB-6DE8-44DC-8FC2-1ED793273BD1}" type="pres">
      <dgm:prSet presAssocID="{F87686C8-F658-4DC2-BC5F-AB0B4E40ED1C}" presName="node" presStyleLbl="node1" presStyleIdx="5" presStyleCnt="8" custScaleX="304606" custScaleY="169591" custRadScaleRad="194127" custRadScaleInc="112815">
        <dgm:presLayoutVars>
          <dgm:bulletEnabled val="1"/>
        </dgm:presLayoutVars>
      </dgm:prSet>
      <dgm:spPr>
        <a:prstGeom prst="ellipse">
          <a:avLst/>
        </a:prstGeom>
      </dgm:spPr>
      <dgm:t>
        <a:bodyPr/>
        <a:lstStyle/>
        <a:p>
          <a:endParaRPr lang="en-US"/>
        </a:p>
      </dgm:t>
    </dgm:pt>
    <dgm:pt modelId="{ADF94B70-0D7F-4A27-8DF9-17BCD27F4A7A}" type="pres">
      <dgm:prSet presAssocID="{0FABC453-0A5C-4CAE-813B-F0494A34E025}" presName="Name9" presStyleLbl="parChTrans1D2" presStyleIdx="6" presStyleCnt="8"/>
      <dgm:spPr>
        <a:custGeom>
          <a:avLst/>
          <a:gdLst/>
          <a:ahLst/>
          <a:cxnLst/>
          <a:rect l="0" t="0" r="0" b="0"/>
          <a:pathLst>
            <a:path>
              <a:moveTo>
                <a:pt x="0" y="6126"/>
              </a:moveTo>
              <a:lnTo>
                <a:pt x="1090567" y="6126"/>
              </a:lnTo>
            </a:path>
          </a:pathLst>
        </a:custGeom>
      </dgm:spPr>
      <dgm:t>
        <a:bodyPr/>
        <a:lstStyle/>
        <a:p>
          <a:endParaRPr lang="en-US"/>
        </a:p>
      </dgm:t>
    </dgm:pt>
    <dgm:pt modelId="{EA4144E0-C5B2-4FC0-BDB2-550B61DB7DFD}" type="pres">
      <dgm:prSet presAssocID="{0FABC453-0A5C-4CAE-813B-F0494A34E025}" presName="connTx" presStyleLbl="parChTrans1D2" presStyleIdx="6" presStyleCnt="8"/>
      <dgm:spPr/>
      <dgm:t>
        <a:bodyPr/>
        <a:lstStyle/>
        <a:p>
          <a:endParaRPr lang="en-US"/>
        </a:p>
      </dgm:t>
    </dgm:pt>
    <dgm:pt modelId="{0FAF3FA1-8E6C-455E-B189-A468B3F4D8BC}" type="pres">
      <dgm:prSet presAssocID="{C06C39C9-71B8-489C-9C45-3DD37A424E39}" presName="node" presStyleLbl="node1" presStyleIdx="6" presStyleCnt="8" custScaleX="306028" custScaleY="137339" custRadScaleRad="335402" custRadScaleInc="-375">
        <dgm:presLayoutVars>
          <dgm:bulletEnabled val="1"/>
        </dgm:presLayoutVars>
      </dgm:prSet>
      <dgm:spPr>
        <a:prstGeom prst="ellipse">
          <a:avLst/>
        </a:prstGeom>
      </dgm:spPr>
      <dgm:t>
        <a:bodyPr/>
        <a:lstStyle/>
        <a:p>
          <a:endParaRPr lang="en-US"/>
        </a:p>
      </dgm:t>
    </dgm:pt>
    <dgm:pt modelId="{7DF391B8-9498-4F55-ACE3-A6D0DB9A80F6}" type="pres">
      <dgm:prSet presAssocID="{24258538-4C68-461F-9E82-62C8DF009C0A}" presName="Name9" presStyleLbl="parChTrans1D2" presStyleIdx="7" presStyleCnt="8"/>
      <dgm:spPr>
        <a:custGeom>
          <a:avLst/>
          <a:gdLst/>
          <a:ahLst/>
          <a:cxnLst/>
          <a:rect l="0" t="0" r="0" b="0"/>
          <a:pathLst>
            <a:path>
              <a:moveTo>
                <a:pt x="0" y="6126"/>
              </a:moveTo>
              <a:lnTo>
                <a:pt x="355209" y="6126"/>
              </a:lnTo>
            </a:path>
          </a:pathLst>
        </a:custGeom>
      </dgm:spPr>
      <dgm:t>
        <a:bodyPr/>
        <a:lstStyle/>
        <a:p>
          <a:endParaRPr lang="en-US"/>
        </a:p>
      </dgm:t>
    </dgm:pt>
    <dgm:pt modelId="{9D0B803B-5ADE-4578-AB67-EBE1C99F7C08}" type="pres">
      <dgm:prSet presAssocID="{24258538-4C68-461F-9E82-62C8DF009C0A}" presName="connTx" presStyleLbl="parChTrans1D2" presStyleIdx="7" presStyleCnt="8"/>
      <dgm:spPr/>
      <dgm:t>
        <a:bodyPr/>
        <a:lstStyle/>
        <a:p>
          <a:endParaRPr lang="en-US"/>
        </a:p>
      </dgm:t>
    </dgm:pt>
    <dgm:pt modelId="{E3F75BBA-60EC-4D9A-B0CC-E18ADA53928C}" type="pres">
      <dgm:prSet presAssocID="{11C12EEB-5340-467D-991C-E6C3B5DBDAEA}" presName="node" presStyleLbl="node1" presStyleIdx="7" presStyleCnt="8" custScaleX="337305" custScaleY="115959" custRadScaleRad="185846" custRadScaleInc="-110764">
        <dgm:presLayoutVars>
          <dgm:bulletEnabled val="1"/>
        </dgm:presLayoutVars>
      </dgm:prSet>
      <dgm:spPr>
        <a:prstGeom prst="ellipse">
          <a:avLst/>
        </a:prstGeom>
      </dgm:spPr>
      <dgm:t>
        <a:bodyPr/>
        <a:lstStyle/>
        <a:p>
          <a:endParaRPr lang="en-US"/>
        </a:p>
      </dgm:t>
    </dgm:pt>
  </dgm:ptLst>
  <dgm:cxnLst>
    <dgm:cxn modelId="{D1A92096-FB94-4A12-A493-A74CE045F8C1}" type="presOf" srcId="{E848F776-8237-42C9-A1C0-B5B0EB7FE51B}" destId="{498B4397-C22F-4D1E-9B41-E3ABFC4C6934}" srcOrd="1" destOrd="0" presId="urn:microsoft.com/office/officeart/2005/8/layout/radial1"/>
    <dgm:cxn modelId="{C4CE955B-C7EA-442D-BA54-FCED6F4F9301}" srcId="{DE541715-C648-404D-8124-F14F463E9202}" destId="{880B408D-A44E-4E41-A0D3-775A9D2AA162}" srcOrd="0" destOrd="0" parTransId="{E848F776-8237-42C9-A1C0-B5B0EB7FE51B}" sibTransId="{C6C0D1BD-440F-496E-8208-41C1352C17C4}"/>
    <dgm:cxn modelId="{0C88C0B3-8AAC-4FA9-BE4C-2222B2B4A1BE}" srcId="{DE541715-C648-404D-8124-F14F463E9202}" destId="{F87686C8-F658-4DC2-BC5F-AB0B4E40ED1C}" srcOrd="5" destOrd="0" parTransId="{42DDAC3B-802E-470C-B26C-35741B306D27}" sibTransId="{FE7B45A4-A643-4A31-AD3B-09FF641A16EC}"/>
    <dgm:cxn modelId="{3914AF83-AD23-413E-85FB-FB53393B5186}" type="presOf" srcId="{4693CA52-075F-4BD8-ABEA-5368BE377DDA}" destId="{62A1F741-432F-46BE-AE07-15F0B6D5EA89}" srcOrd="1" destOrd="0" presId="urn:microsoft.com/office/officeart/2005/8/layout/radial1"/>
    <dgm:cxn modelId="{A5F1A526-5410-4840-AF46-918E9FA7CD3E}" type="presOf" srcId="{F87686C8-F658-4DC2-BC5F-AB0B4E40ED1C}" destId="{2BDBEDDB-6DE8-44DC-8FC2-1ED793273BD1}" srcOrd="0" destOrd="0" presId="urn:microsoft.com/office/officeart/2005/8/layout/radial1"/>
    <dgm:cxn modelId="{2D939547-66BC-45E9-8D18-8CB22C40144C}" type="presOf" srcId="{4631C2C5-1554-4289-90B0-F2D55D1595B6}" destId="{035B4C9A-0916-4FCC-A1CF-85DB358A289A}" srcOrd="0" destOrd="0" presId="urn:microsoft.com/office/officeart/2005/8/layout/radial1"/>
    <dgm:cxn modelId="{248698A6-055B-40E3-B808-D624056EF2B0}" srcId="{DE541715-C648-404D-8124-F14F463E9202}" destId="{C06C39C9-71B8-489C-9C45-3DD37A424E39}" srcOrd="6" destOrd="0" parTransId="{0FABC453-0A5C-4CAE-813B-F0494A34E025}" sibTransId="{DCD34884-F96E-475A-9010-14DE66A403A6}"/>
    <dgm:cxn modelId="{0F2E2A0F-E5FC-470C-926F-052D04D78D2C}" type="presOf" srcId="{960C5593-E0FF-4AA5-AA0B-E8BDFFBC5E53}" destId="{CED9197C-8322-406B-917C-172FA36E7B76}" srcOrd="0" destOrd="0" presId="urn:microsoft.com/office/officeart/2005/8/layout/radial1"/>
    <dgm:cxn modelId="{3CA133F2-D58C-4E3C-84BB-4ADAD19B2C07}" type="presOf" srcId="{42DDAC3B-802E-470C-B26C-35741B306D27}" destId="{F5AD7B03-58D4-4480-B85C-FFEEB047B4AA}" srcOrd="1" destOrd="0" presId="urn:microsoft.com/office/officeart/2005/8/layout/radial1"/>
    <dgm:cxn modelId="{529D05ED-97D5-4116-BE13-DE3D93351F7F}" srcId="{DE541715-C648-404D-8124-F14F463E9202}" destId="{960C5593-E0FF-4AA5-AA0B-E8BDFFBC5E53}" srcOrd="2" destOrd="0" parTransId="{7AF774ED-547E-4C04-8670-B0C1D08C5EE9}" sibTransId="{88F12DF7-015F-4F26-950A-DAE493699644}"/>
    <dgm:cxn modelId="{46436D72-C6D6-4A2D-997A-777A51065AED}" type="presOf" srcId="{45A6C23B-D452-4078-BA3A-466D0894B9EB}" destId="{C7C9B7EB-2DEF-4B99-8D38-AC2E9641BEB5}" srcOrd="1" destOrd="0" presId="urn:microsoft.com/office/officeart/2005/8/layout/radial1"/>
    <dgm:cxn modelId="{166454AA-9283-4A76-B868-553F3AC45B66}" type="presOf" srcId="{0FABC453-0A5C-4CAE-813B-F0494A34E025}" destId="{ADF94B70-0D7F-4A27-8DF9-17BCD27F4A7A}" srcOrd="0" destOrd="0" presId="urn:microsoft.com/office/officeart/2005/8/layout/radial1"/>
    <dgm:cxn modelId="{C6804D91-C5BB-46BE-B6CA-A28FD806B4D8}" type="presOf" srcId="{8D28B5B3-293B-4D04-9ABB-EE16A5C97D16}" destId="{22743AED-C443-4F2B-8D4D-266AC58BB10F}" srcOrd="1" destOrd="0" presId="urn:microsoft.com/office/officeart/2005/8/layout/radial1"/>
    <dgm:cxn modelId="{6275A01F-4D63-44AD-ABFE-EDC3380171CF}" type="presOf" srcId="{34E6C8D5-8D4F-4714-8A12-8F4599A8E760}" destId="{08F189A1-AB47-41D1-8058-7A6DA66B3F52}" srcOrd="0" destOrd="0" presId="urn:microsoft.com/office/officeart/2005/8/layout/radial1"/>
    <dgm:cxn modelId="{0247ABC1-E2CA-4470-B349-7E6B04C61310}" type="presOf" srcId="{880B408D-A44E-4E41-A0D3-775A9D2AA162}" destId="{8C16842D-5717-4E53-9353-18DF877708CF}" srcOrd="0" destOrd="0" presId="urn:microsoft.com/office/officeart/2005/8/layout/radial1"/>
    <dgm:cxn modelId="{69C7BBD3-CCF9-4698-BA91-AC9745B041B1}" type="presOf" srcId="{24258538-4C68-461F-9E82-62C8DF009C0A}" destId="{7DF391B8-9498-4F55-ACE3-A6D0DB9A80F6}" srcOrd="0" destOrd="0" presId="urn:microsoft.com/office/officeart/2005/8/layout/radial1"/>
    <dgm:cxn modelId="{E3DEA6C9-5D38-4053-90FD-9290E250EBA3}" type="presOf" srcId="{DE541715-C648-404D-8124-F14F463E9202}" destId="{062AF917-2F47-4639-8A23-58AD52EC0F32}" srcOrd="0" destOrd="0" presId="urn:microsoft.com/office/officeart/2005/8/layout/radial1"/>
    <dgm:cxn modelId="{BF65F824-D4F4-4A84-83B4-6B1944B62AAD}" srcId="{DE541715-C648-404D-8124-F14F463E9202}" destId="{4631C2C5-1554-4289-90B0-F2D55D1595B6}" srcOrd="3" destOrd="0" parTransId="{4693CA52-075F-4BD8-ABEA-5368BE377DDA}" sibTransId="{9B3CB24D-A47A-4081-B256-B868D89D5387}"/>
    <dgm:cxn modelId="{840FDBC1-FDBC-478C-9195-8553DF45B7C6}" type="presOf" srcId="{45A6C23B-D452-4078-BA3A-466D0894B9EB}" destId="{64248C57-3CE0-4657-BC67-6279BA0257B1}" srcOrd="0" destOrd="0" presId="urn:microsoft.com/office/officeart/2005/8/layout/radial1"/>
    <dgm:cxn modelId="{71A1A2DF-F780-47A3-9666-87E31358843D}" type="presOf" srcId="{8D28B5B3-293B-4D04-9ABB-EE16A5C97D16}" destId="{F32845D8-3F89-45CE-82D0-5F6D6B81E25D}" srcOrd="0" destOrd="0" presId="urn:microsoft.com/office/officeart/2005/8/layout/radial1"/>
    <dgm:cxn modelId="{EDBBC337-091F-41D4-A150-72E74497AB2C}" type="presOf" srcId="{42DDAC3B-802E-470C-B26C-35741B306D27}" destId="{73944B9B-8143-474E-A2B5-719E57EA1FE0}" srcOrd="0" destOrd="0" presId="urn:microsoft.com/office/officeart/2005/8/layout/radial1"/>
    <dgm:cxn modelId="{5F185522-14C9-484A-8A18-447871023562}" type="presOf" srcId="{7AF774ED-547E-4C04-8670-B0C1D08C5EE9}" destId="{5337AE63-3722-42CC-AF72-36670EB7C5E1}" srcOrd="0" destOrd="0" presId="urn:microsoft.com/office/officeart/2005/8/layout/radial1"/>
    <dgm:cxn modelId="{364AFE3D-4A7D-4910-86CB-1A7ED471C310}" type="presOf" srcId="{24258538-4C68-461F-9E82-62C8DF009C0A}" destId="{9D0B803B-5ADE-4578-AB67-EBE1C99F7C08}" srcOrd="1" destOrd="0" presId="urn:microsoft.com/office/officeart/2005/8/layout/radial1"/>
    <dgm:cxn modelId="{34DA184D-45EE-4F09-8512-C80888EC4BFB}" type="presOf" srcId="{7AF774ED-547E-4C04-8670-B0C1D08C5EE9}" destId="{326412CE-9911-4799-A459-B56F02EB4473}" srcOrd="1" destOrd="0" presId="urn:microsoft.com/office/officeart/2005/8/layout/radial1"/>
    <dgm:cxn modelId="{AFEA8542-2500-4D00-B2F1-3B6B93AA3E37}" srcId="{DE541715-C648-404D-8124-F14F463E9202}" destId="{11C12EEB-5340-467D-991C-E6C3B5DBDAEA}" srcOrd="7" destOrd="0" parTransId="{24258538-4C68-461F-9E82-62C8DF009C0A}" sibTransId="{79B0886E-99F7-4F88-AD18-3A305D812CB8}"/>
    <dgm:cxn modelId="{0266A1D0-CEC9-45F3-8B31-A21772E8AA19}" srcId="{DE541715-C648-404D-8124-F14F463E9202}" destId="{5C260341-F1C3-4458-A657-957289015FC3}" srcOrd="4" destOrd="0" parTransId="{45A6C23B-D452-4078-BA3A-466D0894B9EB}" sibTransId="{89B7C331-6FB9-4771-84B2-9F75AB1415C9}"/>
    <dgm:cxn modelId="{FF5F830D-B3EC-4A84-B8C9-1BD7F8E1423A}" type="presOf" srcId="{C06C39C9-71B8-489C-9C45-3DD37A424E39}" destId="{0FAF3FA1-8E6C-455E-B189-A468B3F4D8BC}" srcOrd="0" destOrd="0" presId="urn:microsoft.com/office/officeart/2005/8/layout/radial1"/>
    <dgm:cxn modelId="{19C1565A-DB23-4F9C-ABEF-4480DF7D14CE}" srcId="{DE541715-C648-404D-8124-F14F463E9202}" destId="{7E91AD2C-2762-4D69-BFD6-4095380ECAB8}" srcOrd="1" destOrd="0" parTransId="{8D28B5B3-293B-4D04-9ABB-EE16A5C97D16}" sibTransId="{26336DBA-E790-4546-ABCA-DDAC89AEDA30}"/>
    <dgm:cxn modelId="{37A93B56-B969-4348-BC7D-303D4F0910B5}" type="presOf" srcId="{7E91AD2C-2762-4D69-BFD6-4095380ECAB8}" destId="{56946440-4960-4194-9471-9ABCF62950BA}" srcOrd="0" destOrd="0" presId="urn:microsoft.com/office/officeart/2005/8/layout/radial1"/>
    <dgm:cxn modelId="{90177F9F-B2FE-478D-9BA1-73F986B7D4CD}" type="presOf" srcId="{5C260341-F1C3-4458-A657-957289015FC3}" destId="{976BA53C-17D4-4F7C-9078-1272C469C9E5}" srcOrd="0" destOrd="0" presId="urn:microsoft.com/office/officeart/2005/8/layout/radial1"/>
    <dgm:cxn modelId="{B7A3A53A-C8F7-4827-971A-2EDA569BF3AA}" type="presOf" srcId="{4693CA52-075F-4BD8-ABEA-5368BE377DDA}" destId="{4AC11394-3179-4EC5-A97F-D1A1B521CE2F}" srcOrd="0" destOrd="0" presId="urn:microsoft.com/office/officeart/2005/8/layout/radial1"/>
    <dgm:cxn modelId="{DA740704-6E02-4402-8325-D0302449434E}" srcId="{34E6C8D5-8D4F-4714-8A12-8F4599A8E760}" destId="{4F895710-9C0A-4357-A62A-B00C2B1BB2A2}" srcOrd="1" destOrd="0" parTransId="{4492527F-B2BC-4423-9ACC-2816666249A0}" sibTransId="{A0A859C5-79E5-4C97-AF72-54A6D166EEA1}"/>
    <dgm:cxn modelId="{0BDCF58C-9FA7-4636-9AEA-2845B6A69686}" type="presOf" srcId="{11C12EEB-5340-467D-991C-E6C3B5DBDAEA}" destId="{E3F75BBA-60EC-4D9A-B0CC-E18ADA53928C}" srcOrd="0" destOrd="0" presId="urn:microsoft.com/office/officeart/2005/8/layout/radial1"/>
    <dgm:cxn modelId="{135CE7B9-9EB9-4CBE-85BE-50A82E84BF1A}" type="presOf" srcId="{0FABC453-0A5C-4CAE-813B-F0494A34E025}" destId="{EA4144E0-C5B2-4FC0-BDB2-550B61DB7DFD}" srcOrd="1" destOrd="0" presId="urn:microsoft.com/office/officeart/2005/8/layout/radial1"/>
    <dgm:cxn modelId="{1CED6CCA-4E99-4D81-AC40-1B68F94D3C36}" type="presOf" srcId="{E848F776-8237-42C9-A1C0-B5B0EB7FE51B}" destId="{DB73B42A-BE4F-46BC-B512-015EB15734E7}" srcOrd="0" destOrd="0" presId="urn:microsoft.com/office/officeart/2005/8/layout/radial1"/>
    <dgm:cxn modelId="{22CFBE58-87EC-4B70-B1CC-D1D1DB4968C7}" srcId="{34E6C8D5-8D4F-4714-8A12-8F4599A8E760}" destId="{DE541715-C648-404D-8124-F14F463E9202}" srcOrd="0" destOrd="0" parTransId="{D7DB3476-9C56-4274-B046-F742EA8694F1}" sibTransId="{7CA7849B-681D-4C0D-A708-F47E97871BB2}"/>
    <dgm:cxn modelId="{20693202-14C1-4BFB-AD8A-0856A8DA6E26}" type="presParOf" srcId="{08F189A1-AB47-41D1-8058-7A6DA66B3F52}" destId="{062AF917-2F47-4639-8A23-58AD52EC0F32}" srcOrd="0" destOrd="0" presId="urn:microsoft.com/office/officeart/2005/8/layout/radial1"/>
    <dgm:cxn modelId="{657B61C9-168E-4E90-A3DE-98F906D65135}" type="presParOf" srcId="{08F189A1-AB47-41D1-8058-7A6DA66B3F52}" destId="{DB73B42A-BE4F-46BC-B512-015EB15734E7}" srcOrd="1" destOrd="0" presId="urn:microsoft.com/office/officeart/2005/8/layout/radial1"/>
    <dgm:cxn modelId="{44C3E609-B59A-4535-9CBE-4799EB96731B}" type="presParOf" srcId="{DB73B42A-BE4F-46BC-B512-015EB15734E7}" destId="{498B4397-C22F-4D1E-9B41-E3ABFC4C6934}" srcOrd="0" destOrd="0" presId="urn:microsoft.com/office/officeart/2005/8/layout/radial1"/>
    <dgm:cxn modelId="{FEACCD96-81A8-43FC-83D6-EA7A467F92BB}" type="presParOf" srcId="{08F189A1-AB47-41D1-8058-7A6DA66B3F52}" destId="{8C16842D-5717-4E53-9353-18DF877708CF}" srcOrd="2" destOrd="0" presId="urn:microsoft.com/office/officeart/2005/8/layout/radial1"/>
    <dgm:cxn modelId="{E3ACFC21-1157-4487-A12E-BE8767A0E9FE}" type="presParOf" srcId="{08F189A1-AB47-41D1-8058-7A6DA66B3F52}" destId="{F32845D8-3F89-45CE-82D0-5F6D6B81E25D}" srcOrd="3" destOrd="0" presId="urn:microsoft.com/office/officeart/2005/8/layout/radial1"/>
    <dgm:cxn modelId="{AE621786-5D44-4116-BB3F-B650069A8662}" type="presParOf" srcId="{F32845D8-3F89-45CE-82D0-5F6D6B81E25D}" destId="{22743AED-C443-4F2B-8D4D-266AC58BB10F}" srcOrd="0" destOrd="0" presId="urn:microsoft.com/office/officeart/2005/8/layout/radial1"/>
    <dgm:cxn modelId="{D934FC15-5608-42C0-80F9-413382218BD3}" type="presParOf" srcId="{08F189A1-AB47-41D1-8058-7A6DA66B3F52}" destId="{56946440-4960-4194-9471-9ABCF62950BA}" srcOrd="4" destOrd="0" presId="urn:microsoft.com/office/officeart/2005/8/layout/radial1"/>
    <dgm:cxn modelId="{DAB648AF-8A3E-4DBB-9846-E6F623F4B66C}" type="presParOf" srcId="{08F189A1-AB47-41D1-8058-7A6DA66B3F52}" destId="{5337AE63-3722-42CC-AF72-36670EB7C5E1}" srcOrd="5" destOrd="0" presId="urn:microsoft.com/office/officeart/2005/8/layout/radial1"/>
    <dgm:cxn modelId="{D122B6EF-F799-4F0C-B23A-8EF0323C80BC}" type="presParOf" srcId="{5337AE63-3722-42CC-AF72-36670EB7C5E1}" destId="{326412CE-9911-4799-A459-B56F02EB4473}" srcOrd="0" destOrd="0" presId="urn:microsoft.com/office/officeart/2005/8/layout/radial1"/>
    <dgm:cxn modelId="{A3D8FA7A-ABC4-46AB-8B69-F613B042809D}" type="presParOf" srcId="{08F189A1-AB47-41D1-8058-7A6DA66B3F52}" destId="{CED9197C-8322-406B-917C-172FA36E7B76}" srcOrd="6" destOrd="0" presId="urn:microsoft.com/office/officeart/2005/8/layout/radial1"/>
    <dgm:cxn modelId="{3D7EE956-F9B5-47A1-B0EC-F36C3018E102}" type="presParOf" srcId="{08F189A1-AB47-41D1-8058-7A6DA66B3F52}" destId="{4AC11394-3179-4EC5-A97F-D1A1B521CE2F}" srcOrd="7" destOrd="0" presId="urn:microsoft.com/office/officeart/2005/8/layout/radial1"/>
    <dgm:cxn modelId="{5AF033AB-A756-4E8A-853A-49535F2A587C}" type="presParOf" srcId="{4AC11394-3179-4EC5-A97F-D1A1B521CE2F}" destId="{62A1F741-432F-46BE-AE07-15F0B6D5EA89}" srcOrd="0" destOrd="0" presId="urn:microsoft.com/office/officeart/2005/8/layout/radial1"/>
    <dgm:cxn modelId="{09978255-A8CD-484D-8DE0-9453EF689ADF}" type="presParOf" srcId="{08F189A1-AB47-41D1-8058-7A6DA66B3F52}" destId="{035B4C9A-0916-4FCC-A1CF-85DB358A289A}" srcOrd="8" destOrd="0" presId="urn:microsoft.com/office/officeart/2005/8/layout/radial1"/>
    <dgm:cxn modelId="{95B3C232-160B-4F94-BF6A-16595F66581B}" type="presParOf" srcId="{08F189A1-AB47-41D1-8058-7A6DA66B3F52}" destId="{64248C57-3CE0-4657-BC67-6279BA0257B1}" srcOrd="9" destOrd="0" presId="urn:microsoft.com/office/officeart/2005/8/layout/radial1"/>
    <dgm:cxn modelId="{E548C62B-377F-4BD4-9828-838669E5C1CE}" type="presParOf" srcId="{64248C57-3CE0-4657-BC67-6279BA0257B1}" destId="{C7C9B7EB-2DEF-4B99-8D38-AC2E9641BEB5}" srcOrd="0" destOrd="0" presId="urn:microsoft.com/office/officeart/2005/8/layout/radial1"/>
    <dgm:cxn modelId="{E0CB5D8C-3113-4A36-A23F-9E478E33D8F6}" type="presParOf" srcId="{08F189A1-AB47-41D1-8058-7A6DA66B3F52}" destId="{976BA53C-17D4-4F7C-9078-1272C469C9E5}" srcOrd="10" destOrd="0" presId="urn:microsoft.com/office/officeart/2005/8/layout/radial1"/>
    <dgm:cxn modelId="{136079D9-AE04-40F5-A154-04C5527EA21C}" type="presParOf" srcId="{08F189A1-AB47-41D1-8058-7A6DA66B3F52}" destId="{73944B9B-8143-474E-A2B5-719E57EA1FE0}" srcOrd="11" destOrd="0" presId="urn:microsoft.com/office/officeart/2005/8/layout/radial1"/>
    <dgm:cxn modelId="{BFE9C85B-400C-42EC-8090-80F0DF00A89E}" type="presParOf" srcId="{73944B9B-8143-474E-A2B5-719E57EA1FE0}" destId="{F5AD7B03-58D4-4480-B85C-FFEEB047B4AA}" srcOrd="0" destOrd="0" presId="urn:microsoft.com/office/officeart/2005/8/layout/radial1"/>
    <dgm:cxn modelId="{E2471EDE-B7D2-462E-8D74-187799345200}" type="presParOf" srcId="{08F189A1-AB47-41D1-8058-7A6DA66B3F52}" destId="{2BDBEDDB-6DE8-44DC-8FC2-1ED793273BD1}" srcOrd="12" destOrd="0" presId="urn:microsoft.com/office/officeart/2005/8/layout/radial1"/>
    <dgm:cxn modelId="{9CD60945-9F05-45C5-96D7-E601E9089EA1}" type="presParOf" srcId="{08F189A1-AB47-41D1-8058-7A6DA66B3F52}" destId="{ADF94B70-0D7F-4A27-8DF9-17BCD27F4A7A}" srcOrd="13" destOrd="0" presId="urn:microsoft.com/office/officeart/2005/8/layout/radial1"/>
    <dgm:cxn modelId="{63156CD8-E76F-45D4-B769-11F9EB993118}" type="presParOf" srcId="{ADF94B70-0D7F-4A27-8DF9-17BCD27F4A7A}" destId="{EA4144E0-C5B2-4FC0-BDB2-550B61DB7DFD}" srcOrd="0" destOrd="0" presId="urn:microsoft.com/office/officeart/2005/8/layout/radial1"/>
    <dgm:cxn modelId="{3E98BD25-1B1D-4FC5-ABFF-57B818773429}" type="presParOf" srcId="{08F189A1-AB47-41D1-8058-7A6DA66B3F52}" destId="{0FAF3FA1-8E6C-455E-B189-A468B3F4D8BC}" srcOrd="14" destOrd="0" presId="urn:microsoft.com/office/officeart/2005/8/layout/radial1"/>
    <dgm:cxn modelId="{FBA822D1-6C14-4B78-8F57-913BB1CBDEF1}" type="presParOf" srcId="{08F189A1-AB47-41D1-8058-7A6DA66B3F52}" destId="{7DF391B8-9498-4F55-ACE3-A6D0DB9A80F6}" srcOrd="15" destOrd="0" presId="urn:microsoft.com/office/officeart/2005/8/layout/radial1"/>
    <dgm:cxn modelId="{2855016A-6717-49F6-A0EF-E2FF680C0DB0}" type="presParOf" srcId="{7DF391B8-9498-4F55-ACE3-A6D0DB9A80F6}" destId="{9D0B803B-5ADE-4578-AB67-EBE1C99F7C08}" srcOrd="0" destOrd="0" presId="urn:microsoft.com/office/officeart/2005/8/layout/radial1"/>
    <dgm:cxn modelId="{6D4B2998-9CF0-46B9-B115-335CD649D462}" type="presParOf" srcId="{08F189A1-AB47-41D1-8058-7A6DA66B3F52}" destId="{E3F75BBA-60EC-4D9A-B0CC-E18ADA53928C}" srcOrd="16" destOrd="0" presId="urn:microsoft.com/office/officeart/2005/8/layout/radial1"/>
  </dgm:cxnLst>
  <dgm:bg/>
  <dgm:whole/>
  <dgm:extLst>
    <a:ext uri="http://schemas.microsoft.com/office/drawing/2008/diagram">
      <dsp:dataModelExt xmlns:dsp="http://schemas.microsoft.com/office/drawing/2008/diagram" relId="rId166" minVer="http://schemas.openxmlformats.org/drawingml/2006/diagram"/>
    </a:ext>
    <a:ext uri="{C62137D5-CB1D-491B-B009-E17868A290BF}">
      <dgm14:recolorImg xmlns:dgm14="http://schemas.microsoft.com/office/drawing/2010/diagram" val="1"/>
    </a:ext>
  </dgm:extLst>
</dgm:dataModel>
</file>

<file path=word/diagrams/data19.xml><?xml version="1.0" encoding="utf-8"?>
<dgm:dataModel xmlns:dgm="http://schemas.openxmlformats.org/drawingml/2006/diagram" xmlns:a="http://schemas.openxmlformats.org/drawingml/2006/main">
  <dgm:ptLst>
    <dgm:pt modelId="{3E4183EF-B989-4620-A02C-D54686D6628F}"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60F584FC-F7FF-4FD7-86E3-8773293C0460}">
      <dgm:prSet phldrT="[Text]" custT="1"/>
      <dgm:spPr>
        <a:xfrm>
          <a:off x="2663065" y="833696"/>
          <a:ext cx="1185081" cy="383065"/>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pPr algn="ctr"/>
          <a:r>
            <a:rPr lang="en-US" sz="1200">
              <a:solidFill>
                <a:sysClr val="windowText" lastClr="000000"/>
              </a:solidFill>
              <a:latin typeface="Arial" panose="020B0604020202020204" pitchFamily="34" charset="0"/>
              <a:ea typeface="+mn-ea"/>
              <a:cs typeface="Arial" panose="020B0604020202020204" pitchFamily="34" charset="0"/>
            </a:rPr>
            <a:t>Programa 18</a:t>
          </a:r>
        </a:p>
      </dgm:t>
    </dgm:pt>
    <dgm:pt modelId="{474A81AD-BFE3-4D32-9342-2C25E06E5B46}" type="parTrans" cxnId="{0872B5C3-971C-4397-94C1-FDC0412A9ADC}">
      <dgm:prSet/>
      <dgm:spPr/>
      <dgm:t>
        <a:bodyPr/>
        <a:lstStyle/>
        <a:p>
          <a:pPr algn="ctr"/>
          <a:endParaRPr lang="en-US"/>
        </a:p>
      </dgm:t>
    </dgm:pt>
    <dgm:pt modelId="{28FB44EF-A1AD-4FBB-B0D1-E98EB36FC510}" type="sibTrans" cxnId="{0872B5C3-971C-4397-94C1-FDC0412A9ADC}">
      <dgm:prSet/>
      <dgm:spPr/>
      <dgm:t>
        <a:bodyPr/>
        <a:lstStyle/>
        <a:p>
          <a:pPr algn="ctr"/>
          <a:endParaRPr lang="en-US"/>
        </a:p>
      </dgm:t>
    </dgm:pt>
    <dgm:pt modelId="{9A4BDCAE-D9CA-400C-8B2D-68AB68A08E2A}">
      <dgm:prSet phldrT="[Text]" custT="1"/>
      <dgm:spPr>
        <a:xfrm>
          <a:off x="2710462" y="104713"/>
          <a:ext cx="1080487" cy="445865"/>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a:t>
          </a:r>
        </a:p>
        <a:p>
          <a:pPr algn="ctr"/>
          <a:r>
            <a:rPr lang="en-US" sz="900">
              <a:solidFill>
                <a:sysClr val="windowText" lastClr="000000"/>
              </a:solidFill>
              <a:latin typeface="Arial" panose="020B0604020202020204" pitchFamily="34" charset="0"/>
              <a:ea typeface="+mn-ea"/>
              <a:cs typeface="Arial" panose="020B0604020202020204" pitchFamily="34" charset="0"/>
            </a:rPr>
            <a:t>Derecho de patentes</a:t>
          </a:r>
          <a:endParaRPr lang="en-US" sz="1100">
            <a:solidFill>
              <a:sysClr val="windowText" lastClr="000000"/>
            </a:solidFill>
            <a:latin typeface="Arial" panose="020B0604020202020204" pitchFamily="34" charset="0"/>
            <a:ea typeface="+mn-ea"/>
            <a:cs typeface="Arial" panose="020B0604020202020204" pitchFamily="34" charset="0"/>
          </a:endParaRPr>
        </a:p>
      </dgm:t>
    </dgm:pt>
    <dgm:pt modelId="{E9A3E352-4E95-497B-A994-2D750C2A9509}" type="parTrans" cxnId="{A0D7B160-B2D6-4FF0-B898-61A69264BA8C}">
      <dgm:prSet/>
      <dgm:spPr>
        <a:xfrm rot="16175855">
          <a:off x="3111703" y="685815"/>
          <a:ext cx="283126"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D8ADEECF-D7D2-4E14-BB97-4FB081DAC71A}" type="sibTrans" cxnId="{A0D7B160-B2D6-4FF0-B898-61A69264BA8C}">
      <dgm:prSet/>
      <dgm:spPr/>
      <dgm:t>
        <a:bodyPr/>
        <a:lstStyle/>
        <a:p>
          <a:pPr algn="ctr"/>
          <a:endParaRPr lang="en-US"/>
        </a:p>
      </dgm:t>
    </dgm:pt>
    <dgm:pt modelId="{584F0456-7C88-4E15-A6D5-3DF2BDDC45F2}">
      <dgm:prSet phldrT="[Text]" custT="1"/>
      <dgm:spPr>
        <a:xfrm>
          <a:off x="4126469" y="161929"/>
          <a:ext cx="1307093" cy="54142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9</a:t>
          </a:r>
        </a:p>
        <a:p>
          <a:pPr algn="ctr"/>
          <a:r>
            <a:rPr lang="en-US" sz="900">
              <a:solidFill>
                <a:sysClr val="windowText" lastClr="000000"/>
              </a:solidFill>
              <a:latin typeface="Arial" panose="020B0604020202020204" pitchFamily="34" charset="0"/>
              <a:ea typeface="+mn-ea"/>
              <a:cs typeface="Arial" panose="020B0604020202020204" pitchFamily="34" charset="0"/>
            </a:rPr>
            <a:t>Oficinas regionales en la sede</a:t>
          </a:r>
        </a:p>
      </dgm:t>
    </dgm:pt>
    <dgm:pt modelId="{5BE92476-635C-4AE2-AD14-BF50BB0972EC}" type="parTrans" cxnId="{44EB880B-7660-4CF0-97E5-4E577ACA821D}">
      <dgm:prSet/>
      <dgm:spPr>
        <a:xfrm rot="20325438">
          <a:off x="3610069" y="741604"/>
          <a:ext cx="717773"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3EF0F88F-A3C1-4CFC-8CDA-621CE91394E1}" type="sibTrans" cxnId="{44EB880B-7660-4CF0-97E5-4E577ACA821D}">
      <dgm:prSet/>
      <dgm:spPr/>
      <dgm:t>
        <a:bodyPr/>
        <a:lstStyle/>
        <a:p>
          <a:pPr algn="ctr"/>
          <a:endParaRPr lang="en-US"/>
        </a:p>
      </dgm:t>
    </dgm:pt>
    <dgm:pt modelId="{2EF75B39-F486-43BE-8B27-294595126005}">
      <dgm:prSet phldrT="[Text]" custT="1"/>
      <dgm:spPr>
        <a:xfrm>
          <a:off x="5191175" y="771614"/>
          <a:ext cx="1131445" cy="509021"/>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10</a:t>
          </a:r>
        </a:p>
        <a:p>
          <a:pPr algn="ctr"/>
          <a:r>
            <a:rPr lang="en-US" sz="900">
              <a:solidFill>
                <a:sysClr val="windowText" lastClr="000000"/>
              </a:solidFill>
              <a:latin typeface="Arial" panose="020B0604020202020204" pitchFamily="34" charset="0"/>
              <a:ea typeface="+mn-ea"/>
              <a:cs typeface="Arial" panose="020B0604020202020204" pitchFamily="34" charset="0"/>
            </a:rPr>
            <a:t>Países T/D</a:t>
          </a:r>
        </a:p>
      </dgm:t>
    </dgm:pt>
    <dgm:pt modelId="{66F0DCEC-2B26-4038-AF1F-D0A98A0F7930}" type="parTrans" cxnId="{D0987D88-807B-4994-94E2-80A6C1D9AE52}">
      <dgm:prSet/>
      <dgm:spPr>
        <a:xfrm rot="1232">
          <a:off x="3848146" y="1019360"/>
          <a:ext cx="134302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A29EC13D-3B1F-4904-8025-5B38BEEF3183}" type="sibTrans" cxnId="{D0987D88-807B-4994-94E2-80A6C1D9AE52}">
      <dgm:prSet/>
      <dgm:spPr/>
      <dgm:t>
        <a:bodyPr/>
        <a:lstStyle/>
        <a:p>
          <a:pPr algn="ctr"/>
          <a:endParaRPr lang="en-US"/>
        </a:p>
      </dgm:t>
    </dgm:pt>
    <dgm:pt modelId="{4761FE57-664D-44AD-8EF1-E6096D64297F}">
      <dgm:prSet phldrT="[Text]" custT="1"/>
      <dgm:spPr>
        <a:xfrm>
          <a:off x="304732" y="756443"/>
          <a:ext cx="1244234" cy="531334"/>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11</a:t>
          </a:r>
        </a:p>
        <a:p>
          <a:pPr algn="ctr"/>
          <a:r>
            <a:rPr lang="en-US" sz="900">
              <a:solidFill>
                <a:sysClr val="windowText" lastClr="000000"/>
              </a:solidFill>
              <a:latin typeface="Arial" panose="020B0604020202020204" pitchFamily="34" charset="0"/>
              <a:ea typeface="+mn-ea"/>
              <a:cs typeface="Arial" panose="020B0604020202020204" pitchFamily="34" charset="0"/>
            </a:rPr>
            <a:t>Academia de la OMPI</a:t>
          </a:r>
        </a:p>
      </dgm:t>
    </dgm:pt>
    <dgm:pt modelId="{F6DE2413-45CD-453B-A258-F22A53BBB241}" type="parTrans" cxnId="{A5666C79-BF01-4153-AB0A-BB16CAE1F135}">
      <dgm:prSet/>
      <dgm:spPr>
        <a:xfrm rot="10804604">
          <a:off x="1548963" y="1017367"/>
          <a:ext cx="1114107"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288511AC-ECAB-47A8-A0B0-D7AAFEE02A39}" type="sibTrans" cxnId="{A5666C79-BF01-4153-AB0A-BB16CAE1F135}">
      <dgm:prSet/>
      <dgm:spPr/>
      <dgm:t>
        <a:bodyPr/>
        <a:lstStyle/>
        <a:p>
          <a:pPr algn="ctr"/>
          <a:endParaRPr lang="en-US"/>
        </a:p>
      </dgm:t>
    </dgm:pt>
    <dgm:pt modelId="{61905482-A221-41E9-B64F-E0DDCF7406CB}">
      <dgm:prSet phldrT="[Text]" custT="1"/>
      <dgm:spPr>
        <a:xfrm>
          <a:off x="1121477" y="161925"/>
          <a:ext cx="1470776" cy="558146"/>
        </a:xfrm>
        <a:solidFill>
          <a:srgbClr val="4F81BD">
            <a:lumMod val="40000"/>
            <a:lumOff val="60000"/>
          </a:srgbClr>
        </a:solidFill>
        <a:ln>
          <a:noFill/>
        </a:ln>
        <a:effectLst>
          <a:outerShdw blurRad="40000" dist="23000" dir="5400000" rotWithShape="0">
            <a:srgbClr val="000000">
              <a:alpha val="35000"/>
            </a:srgbClr>
          </a:outerShdw>
        </a:effectLst>
      </dgm:spPr>
      <dgm:t>
        <a:bodyPr/>
        <a:lstStyle/>
        <a:p>
          <a:pPr algn="ctr"/>
          <a:r>
            <a:rPr lang="en-US" sz="1000">
              <a:solidFill>
                <a:sysClr val="windowText" lastClr="000000"/>
              </a:solidFill>
              <a:latin typeface="Arial" panose="020B0604020202020204" pitchFamily="34" charset="0"/>
              <a:ea typeface="+mn-ea"/>
              <a:cs typeface="Arial" panose="020B0604020202020204" pitchFamily="34" charset="0"/>
            </a:rPr>
            <a:t>Programa 20</a:t>
          </a:r>
        </a:p>
        <a:p>
          <a:pPr algn="ctr"/>
          <a:r>
            <a:rPr lang="en-US" sz="900">
              <a:solidFill>
                <a:sysClr val="windowText" lastClr="000000"/>
              </a:solidFill>
              <a:latin typeface="Arial" panose="020B0604020202020204" pitchFamily="34" charset="0"/>
              <a:ea typeface="+mn-ea"/>
              <a:cs typeface="Arial" panose="020B0604020202020204" pitchFamily="34" charset="0"/>
            </a:rPr>
            <a:t>Relaciones exteriores</a:t>
          </a:r>
        </a:p>
      </dgm:t>
    </dgm:pt>
    <dgm:pt modelId="{19A5BFAE-AE0D-4BC3-821E-ACDBC402E1F3}" type="parTrans" cxnId="{7A10D267-5114-47D3-9B72-BCDF70FFAB8C}">
      <dgm:prSet/>
      <dgm:spPr>
        <a:xfrm rot="12160169">
          <a:off x="2328712" y="754331"/>
          <a:ext cx="586918" cy="12644"/>
        </a:xfrm>
        <a:noFill/>
        <a:ln w="9525" cap="flat" cmpd="sng" algn="ctr">
          <a:solidFill>
            <a:srgbClr val="4F81BD">
              <a:shade val="60000"/>
              <a:hueOff val="0"/>
              <a:satOff val="0"/>
              <a:lumOff val="0"/>
              <a:alphaOff val="0"/>
            </a:srgbClr>
          </a:solidFill>
          <a:prstDash val="solid"/>
        </a:ln>
        <a:effectLst/>
      </dgm:spPr>
      <dgm:t>
        <a:bodyPr/>
        <a:lstStyle/>
        <a:p>
          <a:endParaRPr lang="en-US">
            <a:solidFill>
              <a:sysClr val="windowText" lastClr="000000">
                <a:hueOff val="0"/>
                <a:satOff val="0"/>
                <a:lumOff val="0"/>
                <a:alphaOff val="0"/>
              </a:sysClr>
            </a:solidFill>
            <a:latin typeface="Calibri"/>
            <a:ea typeface="+mn-ea"/>
            <a:cs typeface="+mn-cs"/>
          </a:endParaRPr>
        </a:p>
      </dgm:t>
    </dgm:pt>
    <dgm:pt modelId="{41B3C576-1467-4E2A-8F61-40CA47AE2A73}" type="sibTrans" cxnId="{7A10D267-5114-47D3-9B72-BCDF70FFAB8C}">
      <dgm:prSet/>
      <dgm:spPr/>
      <dgm:t>
        <a:bodyPr/>
        <a:lstStyle/>
        <a:p>
          <a:pPr algn="ctr"/>
          <a:endParaRPr lang="en-US"/>
        </a:p>
      </dgm:t>
    </dgm:pt>
    <dgm:pt modelId="{4FC73BDC-CE2C-45F4-85CD-F387963DA006}" type="pres">
      <dgm:prSet presAssocID="{3E4183EF-B989-4620-A02C-D54686D6628F}" presName="cycle" presStyleCnt="0">
        <dgm:presLayoutVars>
          <dgm:chMax val="1"/>
          <dgm:dir/>
          <dgm:animLvl val="ctr"/>
          <dgm:resizeHandles val="exact"/>
        </dgm:presLayoutVars>
      </dgm:prSet>
      <dgm:spPr/>
      <dgm:t>
        <a:bodyPr/>
        <a:lstStyle/>
        <a:p>
          <a:endParaRPr lang="en-US"/>
        </a:p>
      </dgm:t>
    </dgm:pt>
    <dgm:pt modelId="{3C7CADF7-0742-432E-9EEF-EA9C347A7661}" type="pres">
      <dgm:prSet presAssocID="{60F584FC-F7FF-4FD7-86E3-8773293C0460}" presName="centerShape" presStyleLbl="node0" presStyleIdx="0" presStyleCnt="1" custScaleX="323001" custScaleY="97556" custLinFactNeighborX="812" custLinFactNeighborY="19492"/>
      <dgm:spPr>
        <a:prstGeom prst="ellipse">
          <a:avLst/>
        </a:prstGeom>
      </dgm:spPr>
      <dgm:t>
        <a:bodyPr/>
        <a:lstStyle/>
        <a:p>
          <a:endParaRPr lang="en-US"/>
        </a:p>
      </dgm:t>
    </dgm:pt>
    <dgm:pt modelId="{E887F142-3B93-49E1-A09D-1DCD207D21D1}" type="pres">
      <dgm:prSet presAssocID="{E9A3E352-4E95-497B-A994-2D750C2A9509}" presName="Name9" presStyleLbl="parChTrans1D2" presStyleIdx="0" presStyleCnt="5"/>
      <dgm:spPr>
        <a:custGeom>
          <a:avLst/>
          <a:gdLst/>
          <a:ahLst/>
          <a:cxnLst/>
          <a:rect l="0" t="0" r="0" b="0"/>
          <a:pathLst>
            <a:path>
              <a:moveTo>
                <a:pt x="0" y="6322"/>
              </a:moveTo>
              <a:lnTo>
                <a:pt x="283126" y="6322"/>
              </a:lnTo>
            </a:path>
          </a:pathLst>
        </a:custGeom>
      </dgm:spPr>
      <dgm:t>
        <a:bodyPr/>
        <a:lstStyle/>
        <a:p>
          <a:endParaRPr lang="en-US"/>
        </a:p>
      </dgm:t>
    </dgm:pt>
    <dgm:pt modelId="{0C3245EA-B4A2-4A29-A94D-6F5271E8D13D}" type="pres">
      <dgm:prSet presAssocID="{E9A3E352-4E95-497B-A994-2D750C2A9509}" presName="connTx" presStyleLbl="parChTrans1D2" presStyleIdx="0" presStyleCnt="5"/>
      <dgm:spPr/>
      <dgm:t>
        <a:bodyPr/>
        <a:lstStyle/>
        <a:p>
          <a:endParaRPr lang="en-US"/>
        </a:p>
      </dgm:t>
    </dgm:pt>
    <dgm:pt modelId="{3EA08C86-6A87-4381-A9A9-F10D993E2D53}" type="pres">
      <dgm:prSet presAssocID="{9A4BDCAE-D9CA-400C-8B2D-68AB68A08E2A}" presName="node" presStyleLbl="node1" presStyleIdx="0" presStyleCnt="5" custScaleX="295579" custScaleY="139951" custRadScaleRad="80951" custRadScaleInc="24718">
        <dgm:presLayoutVars>
          <dgm:bulletEnabled val="1"/>
        </dgm:presLayoutVars>
      </dgm:prSet>
      <dgm:spPr>
        <a:prstGeom prst="ellipse">
          <a:avLst/>
        </a:prstGeom>
      </dgm:spPr>
      <dgm:t>
        <a:bodyPr/>
        <a:lstStyle/>
        <a:p>
          <a:endParaRPr lang="en-US"/>
        </a:p>
      </dgm:t>
    </dgm:pt>
    <dgm:pt modelId="{00112A8F-12E8-45AC-B551-DFB66BE45059}" type="pres">
      <dgm:prSet presAssocID="{5BE92476-635C-4AE2-AD14-BF50BB0972EC}" presName="Name9" presStyleLbl="parChTrans1D2" presStyleIdx="1" presStyleCnt="5"/>
      <dgm:spPr>
        <a:custGeom>
          <a:avLst/>
          <a:gdLst/>
          <a:ahLst/>
          <a:cxnLst/>
          <a:rect l="0" t="0" r="0" b="0"/>
          <a:pathLst>
            <a:path>
              <a:moveTo>
                <a:pt x="0" y="6322"/>
              </a:moveTo>
              <a:lnTo>
                <a:pt x="717773" y="6322"/>
              </a:lnTo>
            </a:path>
          </a:pathLst>
        </a:custGeom>
      </dgm:spPr>
      <dgm:t>
        <a:bodyPr/>
        <a:lstStyle/>
        <a:p>
          <a:endParaRPr lang="en-US"/>
        </a:p>
      </dgm:t>
    </dgm:pt>
    <dgm:pt modelId="{48B32C5A-7076-4480-B5CB-D9EFDA8D8FDB}" type="pres">
      <dgm:prSet presAssocID="{5BE92476-635C-4AE2-AD14-BF50BB0972EC}" presName="connTx" presStyleLbl="parChTrans1D2" presStyleIdx="1" presStyleCnt="5"/>
      <dgm:spPr/>
      <dgm:t>
        <a:bodyPr/>
        <a:lstStyle/>
        <a:p>
          <a:endParaRPr lang="en-US"/>
        </a:p>
      </dgm:t>
    </dgm:pt>
    <dgm:pt modelId="{423B6D89-2000-40C7-8429-BD38C7402395}" type="pres">
      <dgm:prSet presAssocID="{584F0456-7C88-4E15-A6D5-3DF2BDDC45F2}" presName="node" presStyleLbl="node1" presStyleIdx="1" presStyleCnt="5" custScaleX="334488" custScaleY="159187" custRadScaleRad="268850" custRadScaleInc="12920">
        <dgm:presLayoutVars>
          <dgm:bulletEnabled val="1"/>
        </dgm:presLayoutVars>
      </dgm:prSet>
      <dgm:spPr>
        <a:prstGeom prst="ellipse">
          <a:avLst/>
        </a:prstGeom>
      </dgm:spPr>
      <dgm:t>
        <a:bodyPr/>
        <a:lstStyle/>
        <a:p>
          <a:endParaRPr lang="en-US"/>
        </a:p>
      </dgm:t>
    </dgm:pt>
    <dgm:pt modelId="{650854B0-9FE7-4FFD-96B2-18F6452E0859}" type="pres">
      <dgm:prSet presAssocID="{66F0DCEC-2B26-4038-AF1F-D0A98A0F7930}" presName="Name9" presStyleLbl="parChTrans1D2" presStyleIdx="2" presStyleCnt="5"/>
      <dgm:spPr>
        <a:custGeom>
          <a:avLst/>
          <a:gdLst/>
          <a:ahLst/>
          <a:cxnLst/>
          <a:rect l="0" t="0" r="0" b="0"/>
          <a:pathLst>
            <a:path>
              <a:moveTo>
                <a:pt x="0" y="6322"/>
              </a:moveTo>
              <a:lnTo>
                <a:pt x="1343028" y="6322"/>
              </a:lnTo>
            </a:path>
          </a:pathLst>
        </a:custGeom>
      </dgm:spPr>
      <dgm:t>
        <a:bodyPr/>
        <a:lstStyle/>
        <a:p>
          <a:endParaRPr lang="en-US"/>
        </a:p>
      </dgm:t>
    </dgm:pt>
    <dgm:pt modelId="{7FE108B5-F558-4942-A9EC-465F3C2E5813}" type="pres">
      <dgm:prSet presAssocID="{66F0DCEC-2B26-4038-AF1F-D0A98A0F7930}" presName="connTx" presStyleLbl="parChTrans1D2" presStyleIdx="2" presStyleCnt="5"/>
      <dgm:spPr/>
      <dgm:t>
        <a:bodyPr/>
        <a:lstStyle/>
        <a:p>
          <a:endParaRPr lang="en-US"/>
        </a:p>
      </dgm:t>
    </dgm:pt>
    <dgm:pt modelId="{6394B413-6D12-4C4F-9A8D-E0508CAE8617}" type="pres">
      <dgm:prSet presAssocID="{2EF75B39-F486-43BE-8B27-294595126005}" presName="node" presStyleLbl="node1" presStyleIdx="2" presStyleCnt="5" custScaleX="287925" custScaleY="113038" custRadScaleRad="429962" custRadScaleInc="-135493">
        <dgm:presLayoutVars>
          <dgm:bulletEnabled val="1"/>
        </dgm:presLayoutVars>
      </dgm:prSet>
      <dgm:spPr>
        <a:prstGeom prst="ellipse">
          <a:avLst/>
        </a:prstGeom>
      </dgm:spPr>
      <dgm:t>
        <a:bodyPr/>
        <a:lstStyle/>
        <a:p>
          <a:endParaRPr lang="en-US"/>
        </a:p>
      </dgm:t>
    </dgm:pt>
    <dgm:pt modelId="{DEF09AAB-E09E-4486-8914-E37D47E60824}" type="pres">
      <dgm:prSet presAssocID="{F6DE2413-45CD-453B-A258-F22A53BBB241}" presName="Name9" presStyleLbl="parChTrans1D2" presStyleIdx="3" presStyleCnt="5"/>
      <dgm:spPr>
        <a:custGeom>
          <a:avLst/>
          <a:gdLst/>
          <a:ahLst/>
          <a:cxnLst/>
          <a:rect l="0" t="0" r="0" b="0"/>
          <a:pathLst>
            <a:path>
              <a:moveTo>
                <a:pt x="0" y="6322"/>
              </a:moveTo>
              <a:lnTo>
                <a:pt x="1114107" y="6322"/>
              </a:lnTo>
            </a:path>
          </a:pathLst>
        </a:custGeom>
      </dgm:spPr>
      <dgm:t>
        <a:bodyPr/>
        <a:lstStyle/>
        <a:p>
          <a:endParaRPr lang="en-US"/>
        </a:p>
      </dgm:t>
    </dgm:pt>
    <dgm:pt modelId="{B0514361-30D3-4311-BC21-0743B7F01673}" type="pres">
      <dgm:prSet presAssocID="{F6DE2413-45CD-453B-A258-F22A53BBB241}" presName="connTx" presStyleLbl="parChTrans1D2" presStyleIdx="3" presStyleCnt="5"/>
      <dgm:spPr/>
      <dgm:t>
        <a:bodyPr/>
        <a:lstStyle/>
        <a:p>
          <a:endParaRPr lang="en-US"/>
        </a:p>
      </dgm:t>
    </dgm:pt>
    <dgm:pt modelId="{2ED32773-10C9-4671-A0BF-4C0DAB40AE25}" type="pres">
      <dgm:prSet presAssocID="{4761FE57-664D-44AD-8EF1-E6096D64297F}" presName="node" presStyleLbl="node1" presStyleIdx="3" presStyleCnt="5" custScaleX="286835" custScaleY="133186" custRadScaleRad="397371" custRadScaleInc="134575">
        <dgm:presLayoutVars>
          <dgm:bulletEnabled val="1"/>
        </dgm:presLayoutVars>
      </dgm:prSet>
      <dgm:spPr>
        <a:prstGeom prst="ellipse">
          <a:avLst/>
        </a:prstGeom>
      </dgm:spPr>
      <dgm:t>
        <a:bodyPr/>
        <a:lstStyle/>
        <a:p>
          <a:endParaRPr lang="en-US"/>
        </a:p>
      </dgm:t>
    </dgm:pt>
    <dgm:pt modelId="{06FD983D-3F71-4BCE-AD7F-6DD1041A2F23}" type="pres">
      <dgm:prSet presAssocID="{19A5BFAE-AE0D-4BC3-821E-ACDBC402E1F3}" presName="Name9" presStyleLbl="parChTrans1D2" presStyleIdx="4" presStyleCnt="5"/>
      <dgm:spPr>
        <a:custGeom>
          <a:avLst/>
          <a:gdLst/>
          <a:ahLst/>
          <a:cxnLst/>
          <a:rect l="0" t="0" r="0" b="0"/>
          <a:pathLst>
            <a:path>
              <a:moveTo>
                <a:pt x="0" y="6322"/>
              </a:moveTo>
              <a:lnTo>
                <a:pt x="586918" y="6322"/>
              </a:lnTo>
            </a:path>
          </a:pathLst>
        </a:custGeom>
      </dgm:spPr>
      <dgm:t>
        <a:bodyPr/>
        <a:lstStyle/>
        <a:p>
          <a:endParaRPr lang="en-US"/>
        </a:p>
      </dgm:t>
    </dgm:pt>
    <dgm:pt modelId="{2261EECA-A4AA-4C81-9B4D-3893A28ED758}" type="pres">
      <dgm:prSet presAssocID="{19A5BFAE-AE0D-4BC3-821E-ACDBC402E1F3}" presName="connTx" presStyleLbl="parChTrans1D2" presStyleIdx="4" presStyleCnt="5"/>
      <dgm:spPr/>
      <dgm:t>
        <a:bodyPr/>
        <a:lstStyle/>
        <a:p>
          <a:endParaRPr lang="en-US"/>
        </a:p>
      </dgm:t>
    </dgm:pt>
    <dgm:pt modelId="{CFBB929F-8BEB-442D-8D00-28EE1C02C39C}" type="pres">
      <dgm:prSet presAssocID="{61905482-A221-41E9-B64F-E0DDCF7406CB}" presName="node" presStyleLbl="node1" presStyleIdx="4" presStyleCnt="5" custScaleX="339116" custScaleY="142525" custRadScaleRad="244547" custRadScaleInc="-10114">
        <dgm:presLayoutVars>
          <dgm:bulletEnabled val="1"/>
        </dgm:presLayoutVars>
      </dgm:prSet>
      <dgm:spPr>
        <a:prstGeom prst="ellipse">
          <a:avLst/>
        </a:prstGeom>
      </dgm:spPr>
      <dgm:t>
        <a:bodyPr/>
        <a:lstStyle/>
        <a:p>
          <a:endParaRPr lang="en-US"/>
        </a:p>
      </dgm:t>
    </dgm:pt>
  </dgm:ptLst>
  <dgm:cxnLst>
    <dgm:cxn modelId="{18337CC3-B8D2-45F7-BFCC-2E078E8D8041}" type="presOf" srcId="{66F0DCEC-2B26-4038-AF1F-D0A98A0F7930}" destId="{650854B0-9FE7-4FFD-96B2-18F6452E0859}" srcOrd="0" destOrd="0" presId="urn:microsoft.com/office/officeart/2005/8/layout/radial1"/>
    <dgm:cxn modelId="{C8A711C3-071C-4D52-B37E-1C121898842C}" type="presOf" srcId="{4761FE57-664D-44AD-8EF1-E6096D64297F}" destId="{2ED32773-10C9-4671-A0BF-4C0DAB40AE25}" srcOrd="0" destOrd="0" presId="urn:microsoft.com/office/officeart/2005/8/layout/radial1"/>
    <dgm:cxn modelId="{535FAE4E-A045-428F-85DF-2830594BFAEC}" type="presOf" srcId="{9A4BDCAE-D9CA-400C-8B2D-68AB68A08E2A}" destId="{3EA08C86-6A87-4381-A9A9-F10D993E2D53}" srcOrd="0" destOrd="0" presId="urn:microsoft.com/office/officeart/2005/8/layout/radial1"/>
    <dgm:cxn modelId="{44EB880B-7660-4CF0-97E5-4E577ACA821D}" srcId="{60F584FC-F7FF-4FD7-86E3-8773293C0460}" destId="{584F0456-7C88-4E15-A6D5-3DF2BDDC45F2}" srcOrd="1" destOrd="0" parTransId="{5BE92476-635C-4AE2-AD14-BF50BB0972EC}" sibTransId="{3EF0F88F-A3C1-4CFC-8CDA-621CE91394E1}"/>
    <dgm:cxn modelId="{E8A1968E-A1DF-4AAF-A398-413D27EAB77A}" type="presOf" srcId="{584F0456-7C88-4E15-A6D5-3DF2BDDC45F2}" destId="{423B6D89-2000-40C7-8429-BD38C7402395}" srcOrd="0" destOrd="0" presId="urn:microsoft.com/office/officeart/2005/8/layout/radial1"/>
    <dgm:cxn modelId="{6236DEF7-5052-455D-885B-456FC7214853}" type="presOf" srcId="{19A5BFAE-AE0D-4BC3-821E-ACDBC402E1F3}" destId="{06FD983D-3F71-4BCE-AD7F-6DD1041A2F23}" srcOrd="0" destOrd="0" presId="urn:microsoft.com/office/officeart/2005/8/layout/radial1"/>
    <dgm:cxn modelId="{0872B5C3-971C-4397-94C1-FDC0412A9ADC}" srcId="{3E4183EF-B989-4620-A02C-D54686D6628F}" destId="{60F584FC-F7FF-4FD7-86E3-8773293C0460}" srcOrd="0" destOrd="0" parTransId="{474A81AD-BFE3-4D32-9342-2C25E06E5B46}" sibTransId="{28FB44EF-A1AD-4FBB-B0D1-E98EB36FC510}"/>
    <dgm:cxn modelId="{236A1A85-7692-47DA-BA71-4E794F934267}" type="presOf" srcId="{19A5BFAE-AE0D-4BC3-821E-ACDBC402E1F3}" destId="{2261EECA-A4AA-4C81-9B4D-3893A28ED758}" srcOrd="1" destOrd="0" presId="urn:microsoft.com/office/officeart/2005/8/layout/radial1"/>
    <dgm:cxn modelId="{A0D7B160-B2D6-4FF0-B898-61A69264BA8C}" srcId="{60F584FC-F7FF-4FD7-86E3-8773293C0460}" destId="{9A4BDCAE-D9CA-400C-8B2D-68AB68A08E2A}" srcOrd="0" destOrd="0" parTransId="{E9A3E352-4E95-497B-A994-2D750C2A9509}" sibTransId="{D8ADEECF-D7D2-4E14-BB97-4FB081DAC71A}"/>
    <dgm:cxn modelId="{5B700530-D46C-46F7-A2B6-E104A6EB1FA1}" type="presOf" srcId="{E9A3E352-4E95-497B-A994-2D750C2A9509}" destId="{E887F142-3B93-49E1-A09D-1DCD207D21D1}" srcOrd="0" destOrd="0" presId="urn:microsoft.com/office/officeart/2005/8/layout/radial1"/>
    <dgm:cxn modelId="{5FACA6CE-2EAB-437C-BE40-381D10C6AD33}" type="presOf" srcId="{5BE92476-635C-4AE2-AD14-BF50BB0972EC}" destId="{48B32C5A-7076-4480-B5CB-D9EFDA8D8FDB}" srcOrd="1" destOrd="0" presId="urn:microsoft.com/office/officeart/2005/8/layout/radial1"/>
    <dgm:cxn modelId="{E4AA5F13-A8B9-4797-9739-E3FAAEB6E206}" type="presOf" srcId="{5BE92476-635C-4AE2-AD14-BF50BB0972EC}" destId="{00112A8F-12E8-45AC-B551-DFB66BE45059}" srcOrd="0" destOrd="0" presId="urn:microsoft.com/office/officeart/2005/8/layout/radial1"/>
    <dgm:cxn modelId="{7A10D267-5114-47D3-9B72-BCDF70FFAB8C}" srcId="{60F584FC-F7FF-4FD7-86E3-8773293C0460}" destId="{61905482-A221-41E9-B64F-E0DDCF7406CB}" srcOrd="4" destOrd="0" parTransId="{19A5BFAE-AE0D-4BC3-821E-ACDBC402E1F3}" sibTransId="{41B3C576-1467-4E2A-8F61-40CA47AE2A73}"/>
    <dgm:cxn modelId="{AC7B54D3-86ED-4471-83FC-6138C266DCDC}" type="presOf" srcId="{66F0DCEC-2B26-4038-AF1F-D0A98A0F7930}" destId="{7FE108B5-F558-4942-A9EC-465F3C2E5813}" srcOrd="1" destOrd="0" presId="urn:microsoft.com/office/officeart/2005/8/layout/radial1"/>
    <dgm:cxn modelId="{A5666C79-BF01-4153-AB0A-BB16CAE1F135}" srcId="{60F584FC-F7FF-4FD7-86E3-8773293C0460}" destId="{4761FE57-664D-44AD-8EF1-E6096D64297F}" srcOrd="3" destOrd="0" parTransId="{F6DE2413-45CD-453B-A258-F22A53BBB241}" sibTransId="{288511AC-ECAB-47A8-A0B0-D7AAFEE02A39}"/>
    <dgm:cxn modelId="{D6A4771F-EC8F-4A5E-8C43-2255791EDE9F}" type="presOf" srcId="{3E4183EF-B989-4620-A02C-D54686D6628F}" destId="{4FC73BDC-CE2C-45F4-85CD-F387963DA006}" srcOrd="0" destOrd="0" presId="urn:microsoft.com/office/officeart/2005/8/layout/radial1"/>
    <dgm:cxn modelId="{9B62E04D-B461-47C6-9FBB-987DB90A3BD2}" type="presOf" srcId="{F6DE2413-45CD-453B-A258-F22A53BBB241}" destId="{B0514361-30D3-4311-BC21-0743B7F01673}" srcOrd="1" destOrd="0" presId="urn:microsoft.com/office/officeart/2005/8/layout/radial1"/>
    <dgm:cxn modelId="{2D182214-21BB-41EE-894C-3744D61EA136}" type="presOf" srcId="{61905482-A221-41E9-B64F-E0DDCF7406CB}" destId="{CFBB929F-8BEB-442D-8D00-28EE1C02C39C}" srcOrd="0" destOrd="0" presId="urn:microsoft.com/office/officeart/2005/8/layout/radial1"/>
    <dgm:cxn modelId="{D0987D88-807B-4994-94E2-80A6C1D9AE52}" srcId="{60F584FC-F7FF-4FD7-86E3-8773293C0460}" destId="{2EF75B39-F486-43BE-8B27-294595126005}" srcOrd="2" destOrd="0" parTransId="{66F0DCEC-2B26-4038-AF1F-D0A98A0F7930}" sibTransId="{A29EC13D-3B1F-4904-8025-5B38BEEF3183}"/>
    <dgm:cxn modelId="{41280E4F-9645-4970-A74A-93C9DB8CD46D}" type="presOf" srcId="{E9A3E352-4E95-497B-A994-2D750C2A9509}" destId="{0C3245EA-B4A2-4A29-A94D-6F5271E8D13D}" srcOrd="1" destOrd="0" presId="urn:microsoft.com/office/officeart/2005/8/layout/radial1"/>
    <dgm:cxn modelId="{D49469BC-0CD9-4774-91D0-D780A05743C4}" type="presOf" srcId="{2EF75B39-F486-43BE-8B27-294595126005}" destId="{6394B413-6D12-4C4F-9A8D-E0508CAE8617}" srcOrd="0" destOrd="0" presId="urn:microsoft.com/office/officeart/2005/8/layout/radial1"/>
    <dgm:cxn modelId="{D49F00C4-828E-4573-A6A3-6E57A0826AD3}" type="presOf" srcId="{60F584FC-F7FF-4FD7-86E3-8773293C0460}" destId="{3C7CADF7-0742-432E-9EEF-EA9C347A7661}" srcOrd="0" destOrd="0" presId="urn:microsoft.com/office/officeart/2005/8/layout/radial1"/>
    <dgm:cxn modelId="{FF1F021B-9146-4C96-B280-84C8CE3C31D8}" type="presOf" srcId="{F6DE2413-45CD-453B-A258-F22A53BBB241}" destId="{DEF09AAB-E09E-4486-8914-E37D47E60824}" srcOrd="0" destOrd="0" presId="urn:microsoft.com/office/officeart/2005/8/layout/radial1"/>
    <dgm:cxn modelId="{0B06C576-8A9C-4F79-AF07-07C46C8F1845}" type="presParOf" srcId="{4FC73BDC-CE2C-45F4-85CD-F387963DA006}" destId="{3C7CADF7-0742-432E-9EEF-EA9C347A7661}" srcOrd="0" destOrd="0" presId="urn:microsoft.com/office/officeart/2005/8/layout/radial1"/>
    <dgm:cxn modelId="{186206F6-0ECC-430B-90F8-88808DB946CA}" type="presParOf" srcId="{4FC73BDC-CE2C-45F4-85CD-F387963DA006}" destId="{E887F142-3B93-49E1-A09D-1DCD207D21D1}" srcOrd="1" destOrd="0" presId="urn:microsoft.com/office/officeart/2005/8/layout/radial1"/>
    <dgm:cxn modelId="{D54FEBFC-A85B-463F-9192-1E65189871F1}" type="presParOf" srcId="{E887F142-3B93-49E1-A09D-1DCD207D21D1}" destId="{0C3245EA-B4A2-4A29-A94D-6F5271E8D13D}" srcOrd="0" destOrd="0" presId="urn:microsoft.com/office/officeart/2005/8/layout/radial1"/>
    <dgm:cxn modelId="{1C28A7DF-E1A0-40A7-A59D-17C7EF0B52D4}" type="presParOf" srcId="{4FC73BDC-CE2C-45F4-85CD-F387963DA006}" destId="{3EA08C86-6A87-4381-A9A9-F10D993E2D53}" srcOrd="2" destOrd="0" presId="urn:microsoft.com/office/officeart/2005/8/layout/radial1"/>
    <dgm:cxn modelId="{512DAF1A-D442-4610-8DD1-766F85583179}" type="presParOf" srcId="{4FC73BDC-CE2C-45F4-85CD-F387963DA006}" destId="{00112A8F-12E8-45AC-B551-DFB66BE45059}" srcOrd="3" destOrd="0" presId="urn:microsoft.com/office/officeart/2005/8/layout/radial1"/>
    <dgm:cxn modelId="{606F1F6D-02F6-4892-9B24-890A4E3EFDC0}" type="presParOf" srcId="{00112A8F-12E8-45AC-B551-DFB66BE45059}" destId="{48B32C5A-7076-4480-B5CB-D9EFDA8D8FDB}" srcOrd="0" destOrd="0" presId="urn:microsoft.com/office/officeart/2005/8/layout/radial1"/>
    <dgm:cxn modelId="{5A955613-DE8D-4E0B-B117-3A5591DD0686}" type="presParOf" srcId="{4FC73BDC-CE2C-45F4-85CD-F387963DA006}" destId="{423B6D89-2000-40C7-8429-BD38C7402395}" srcOrd="4" destOrd="0" presId="urn:microsoft.com/office/officeart/2005/8/layout/radial1"/>
    <dgm:cxn modelId="{EEC3AD1F-4301-4821-B49B-2F39CE5278C1}" type="presParOf" srcId="{4FC73BDC-CE2C-45F4-85CD-F387963DA006}" destId="{650854B0-9FE7-4FFD-96B2-18F6452E0859}" srcOrd="5" destOrd="0" presId="urn:microsoft.com/office/officeart/2005/8/layout/radial1"/>
    <dgm:cxn modelId="{4280FD93-82C5-48B8-901E-07D2F011C51C}" type="presParOf" srcId="{650854B0-9FE7-4FFD-96B2-18F6452E0859}" destId="{7FE108B5-F558-4942-A9EC-465F3C2E5813}" srcOrd="0" destOrd="0" presId="urn:microsoft.com/office/officeart/2005/8/layout/radial1"/>
    <dgm:cxn modelId="{D5B6F39A-3B50-400D-B123-FB1909077336}" type="presParOf" srcId="{4FC73BDC-CE2C-45F4-85CD-F387963DA006}" destId="{6394B413-6D12-4C4F-9A8D-E0508CAE8617}" srcOrd="6" destOrd="0" presId="urn:microsoft.com/office/officeart/2005/8/layout/radial1"/>
    <dgm:cxn modelId="{427F85BB-E834-4862-A213-0AF35D0B6113}" type="presParOf" srcId="{4FC73BDC-CE2C-45F4-85CD-F387963DA006}" destId="{DEF09AAB-E09E-4486-8914-E37D47E60824}" srcOrd="7" destOrd="0" presId="urn:microsoft.com/office/officeart/2005/8/layout/radial1"/>
    <dgm:cxn modelId="{BDC5EBA5-E521-41C3-92CF-8FDABEAAC9CF}" type="presParOf" srcId="{DEF09AAB-E09E-4486-8914-E37D47E60824}" destId="{B0514361-30D3-4311-BC21-0743B7F01673}" srcOrd="0" destOrd="0" presId="urn:microsoft.com/office/officeart/2005/8/layout/radial1"/>
    <dgm:cxn modelId="{6537D760-25A8-497E-9E7C-F5B3CD907876}" type="presParOf" srcId="{4FC73BDC-CE2C-45F4-85CD-F387963DA006}" destId="{2ED32773-10C9-4671-A0BF-4C0DAB40AE25}" srcOrd="8" destOrd="0" presId="urn:microsoft.com/office/officeart/2005/8/layout/radial1"/>
    <dgm:cxn modelId="{957676DF-B503-42A4-9C2C-32B3A93E5876}" type="presParOf" srcId="{4FC73BDC-CE2C-45F4-85CD-F387963DA006}" destId="{06FD983D-3F71-4BCE-AD7F-6DD1041A2F23}" srcOrd="9" destOrd="0" presId="urn:microsoft.com/office/officeart/2005/8/layout/radial1"/>
    <dgm:cxn modelId="{12D263ED-FAA2-42D1-AAFA-181FF325A4C2}" type="presParOf" srcId="{06FD983D-3F71-4BCE-AD7F-6DD1041A2F23}" destId="{2261EECA-A4AA-4C81-9B4D-3893A28ED758}" srcOrd="0" destOrd="0" presId="urn:microsoft.com/office/officeart/2005/8/layout/radial1"/>
    <dgm:cxn modelId="{880EA11C-5541-4C69-AAD1-DF50B5410B9A}" type="presParOf" srcId="{4FC73BDC-CE2C-45F4-85CD-F387963DA006}" destId="{CFBB929F-8BEB-442D-8D00-28EE1C02C39C}" srcOrd="10" destOrd="0" presId="urn:microsoft.com/office/officeart/2005/8/layout/radial1"/>
  </dgm:cxnLst>
  <dgm:bg/>
  <dgm:whole/>
  <dgm:extLst>
    <a:ext uri="http://schemas.microsoft.com/office/drawing/2008/diagram">
      <dsp:dataModelExt xmlns:dsp="http://schemas.microsoft.com/office/drawing/2008/diagram" relId="rId17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D981426F-5B7B-4AA5-957A-6E8C9E1A2487}" type="doc">
      <dgm:prSet loTypeId="urn:microsoft.com/office/officeart/2005/8/layout/radial1" loCatId="relationship" qsTypeId="urn:microsoft.com/office/officeart/2005/8/quickstyle/simple4" qsCatId="simple" csTypeId="urn:microsoft.com/office/officeart/2005/8/colors/accent1_1" csCatId="accent1" phldr="1"/>
      <dgm:spPr/>
      <dgm:t>
        <a:bodyPr/>
        <a:lstStyle/>
        <a:p>
          <a:endParaRPr lang="en-US"/>
        </a:p>
      </dgm:t>
    </dgm:pt>
    <dgm:pt modelId="{A7516A72-1FC0-46ED-AAC4-AF0F7063F737}">
      <dgm:prSet phldrT="[Text]" custT="1"/>
      <dgm:spPr>
        <a:xfrm>
          <a:off x="2420526" y="1093081"/>
          <a:ext cx="1151350" cy="518033"/>
        </a:xfr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gm:spPr>
      <dgm:t>
        <a:bodyPr/>
        <a:lstStyle/>
        <a:p>
          <a:r>
            <a:rPr lang="en-US" sz="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dgm:t>
    </dgm:pt>
    <dgm:pt modelId="{6B1EB84D-437E-47A1-87CB-9027EE716AD0}" type="sibTrans" cxnId="{996B9653-906A-49F8-9E4B-3836F7905D4E}">
      <dgm:prSet/>
      <dgm:spPr/>
      <dgm:t>
        <a:bodyPr/>
        <a:lstStyle/>
        <a:p>
          <a:endParaRPr lang="en-US"/>
        </a:p>
      </dgm:t>
    </dgm:pt>
    <dgm:pt modelId="{D9E0AFEB-65B5-4280-ADD0-766B3ADA6CFD}" type="parTrans" cxnId="{996B9653-906A-49F8-9E4B-3836F7905D4E}">
      <dgm:prSet/>
      <dgm:spPr/>
      <dgm:t>
        <a:bodyPr/>
        <a:lstStyle/>
        <a:p>
          <a:endParaRPr lang="en-US"/>
        </a:p>
      </dgm:t>
    </dgm:pt>
    <dgm:pt modelId="{D460D018-736B-4CE5-A14B-061F8EFE829B}">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el respeto por la P.I.  </a:t>
          </a:r>
        </a:p>
      </dgm:t>
    </dgm:pt>
    <dgm:pt modelId="{13E4242D-C1FF-4F31-B2EF-0F857644C218}" type="sibTrans" cxnId="{333E8F20-31E9-4D6F-9F31-24FBF63076E9}">
      <dgm:prSet/>
      <dgm:spPr/>
      <dgm:t>
        <a:bodyPr/>
        <a:lstStyle/>
        <a:p>
          <a:endParaRPr lang="en-US"/>
        </a:p>
      </dgm:t>
    </dgm:pt>
    <dgm:pt modelId="{B4A5C031-92B2-438E-80BC-EAA05F5C7CF7}" type="parTrans" cxnId="{333E8F20-31E9-4D6F-9F31-24FBF63076E9}">
      <dgm:prSet/>
      <dgm:spPr>
        <a:xfrm rot="13395629">
          <a:off x="2151725" y="874173"/>
          <a:ext cx="689899" cy="15688"/>
        </a:xfrm>
      </dgm:spPr>
      <dgm:t>
        <a:bodyPr/>
        <a:lstStyle/>
        <a:p>
          <a:endParaRPr lang="en-US"/>
        </a:p>
      </dgm:t>
    </dgm:pt>
    <dgm:pt modelId="{44FBC2E2-D754-42C1-BEE4-690296442511}">
      <dgm:prSet phldrT="[Text]" custT="1"/>
      <dgm:spPr>
        <a:xfrm>
          <a:off x="394362" y="394362"/>
          <a:ext cx="1121236" cy="547064"/>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r>
            <a:rPr lang="en-US" sz="900">
              <a:solidFill>
                <a:sysClr val="windowText" lastClr="000000"/>
              </a:solidFill>
              <a:latin typeface="Arial" panose="020B0604020202020204" pitchFamily="34" charset="0"/>
              <a:ea typeface="+mn-ea"/>
              <a:cs typeface="Arial" panose="020B0604020202020204" pitchFamily="34" charset="0"/>
            </a:rPr>
            <a:t>Soluciones operativas para las OPI</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A8D506B7-E9B0-4378-B011-FCC599FE960D}" type="sibTrans" cxnId="{A1357B0A-C240-4A91-89D8-A39634308683}">
      <dgm:prSet/>
      <dgm:spPr/>
      <dgm:t>
        <a:bodyPr/>
        <a:lstStyle/>
        <a:p>
          <a:endParaRPr lang="en-US"/>
        </a:p>
      </dgm:t>
    </dgm:pt>
    <dgm:pt modelId="{2F72DDEE-62D3-48A5-836A-4C87596541F0}" type="parTrans" cxnId="{A1357B0A-C240-4A91-89D8-A39634308683}">
      <dgm:prSet/>
      <dgm:spPr>
        <a:xfrm rot="11911849">
          <a:off x="1386509" y="1002224"/>
          <a:ext cx="1178596" cy="15688"/>
        </a:xfrm>
      </dgm:spPr>
      <dgm:t>
        <a:bodyPr/>
        <a:lstStyle/>
        <a:p>
          <a:endParaRPr lang="en-US"/>
        </a:p>
      </dgm:t>
    </dgm:pt>
    <dgm:pt modelId="{2628F477-2289-4CEE-9618-96DDAFCD4291}">
      <dgm:prSet phldrT="[Text]" custT="1"/>
      <dgm:spPr>
        <a:xfrm>
          <a:off x="125838" y="1077331"/>
          <a:ext cx="1226366" cy="565842"/>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conocimientos </a:t>
          </a:r>
        </a:p>
      </dgm:t>
    </dgm:pt>
    <dgm:pt modelId="{6D6ABE48-6FEB-4EAA-849C-585AC08FCF5B}" type="sibTrans" cxnId="{E5DD3C3F-F401-46C8-9D1F-CEE8478EFA81}">
      <dgm:prSet/>
      <dgm:spPr/>
      <dgm:t>
        <a:bodyPr/>
        <a:lstStyle/>
        <a:p>
          <a:endParaRPr lang="en-US"/>
        </a:p>
      </dgm:t>
    </dgm:pt>
    <dgm:pt modelId="{DEF73824-C893-4963-9504-7E97D2FF5253}" type="parTrans" cxnId="{E5DD3C3F-F401-46C8-9D1F-CEE8478EFA81}">
      <dgm:prSet/>
      <dgm:spPr>
        <a:xfrm rot="10787580">
          <a:off x="1352182" y="1348263"/>
          <a:ext cx="1068366" cy="15688"/>
        </a:xfrm>
      </dgm:spPr>
      <dgm:t>
        <a:bodyPr/>
        <a:lstStyle/>
        <a:p>
          <a:endParaRPr lang="en-US"/>
        </a:p>
      </dgm:t>
    </dgm:pt>
    <dgm:pt modelId="{7C1FA040-4399-40F0-866F-845B7914F68D}">
      <dgm:prSet phldrT="[Text]" custT="1"/>
      <dgm:spPr>
        <a:xfrm>
          <a:off x="1161917" y="1599226"/>
          <a:ext cx="118547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gm:t>
    </dgm:pt>
    <dgm:pt modelId="{82A7CC90-6A4C-422A-B221-BA4CF5B4D442}" type="sibTrans" cxnId="{345C13DF-1D3F-4982-AF23-DC2641540559}">
      <dgm:prSet/>
      <dgm:spPr/>
      <dgm:t>
        <a:bodyPr/>
        <a:lstStyle/>
        <a:p>
          <a:endParaRPr lang="en-US"/>
        </a:p>
      </dgm:t>
    </dgm:pt>
    <dgm:pt modelId="{98585C11-761C-43C4-979D-FB1B8BABF102}" type="parTrans" cxnId="{345C13DF-1D3F-4982-AF23-DC2641540559}">
      <dgm:prSet/>
      <dgm:spPr>
        <a:xfrm rot="9469235">
          <a:off x="2172826" y="1595939"/>
          <a:ext cx="412013" cy="15688"/>
        </a:xfrm>
      </dgm:spPr>
      <dgm:t>
        <a:bodyPr/>
        <a:lstStyle/>
        <a:p>
          <a:endParaRPr lang="en-US"/>
        </a:p>
      </dgm:t>
    </dgm:pt>
    <dgm:pt modelId="{14602118-D739-48CC-85E0-791974AFA995}">
      <dgm:prSet phldrT="[Text]" custT="1"/>
      <dgm:spPr>
        <a:xfrm>
          <a:off x="2431900" y="1816765"/>
          <a:ext cx="1166160"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Sistemas de Madrid y Lisboa </a:t>
          </a:r>
        </a:p>
      </dgm:t>
    </dgm:pt>
    <dgm:pt modelId="{85730AA2-ED16-41DB-9898-B2A63ECD874D}" type="sibTrans" cxnId="{3138FD81-FCE3-4020-9313-BAD8BCAF820B}">
      <dgm:prSet/>
      <dgm:spPr/>
      <dgm:t>
        <a:bodyPr/>
        <a:lstStyle/>
        <a:p>
          <a:endParaRPr lang="en-US"/>
        </a:p>
      </dgm:t>
    </dgm:pt>
    <dgm:pt modelId="{3F89048A-3F9F-4897-8631-4599F4976029}" type="parTrans" cxnId="{3138FD81-FCE3-4020-9313-BAD8BCAF820B}">
      <dgm:prSet/>
      <dgm:spPr>
        <a:xfrm rot="5310814">
          <a:off x="2902714" y="1706095"/>
          <a:ext cx="205754" cy="15688"/>
        </a:xfrm>
      </dgm:spPr>
      <dgm:t>
        <a:bodyPr/>
        <a:lstStyle/>
        <a:p>
          <a:endParaRPr lang="en-US"/>
        </a:p>
      </dgm:t>
    </dgm:pt>
    <dgm:pt modelId="{DB0D84B1-C440-4746-9EEF-F1ED71D64DD2}">
      <dgm:prSet phldrT="[Text]" custT="1"/>
      <dgm:spPr>
        <a:xfrm>
          <a:off x="3686814" y="1599228"/>
          <a:ext cx="1083094"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gm:t>
    </dgm:pt>
    <dgm:pt modelId="{99C4878C-8523-40E3-93C5-8DC55D31DB77}" type="sibTrans" cxnId="{C7DD68AE-99B2-4937-A127-D654A2E99784}">
      <dgm:prSet/>
      <dgm:spPr/>
      <dgm:t>
        <a:bodyPr/>
        <a:lstStyle/>
        <a:p>
          <a:endParaRPr lang="en-US"/>
        </a:p>
      </dgm:t>
    </dgm:pt>
    <dgm:pt modelId="{9E510621-404D-46D6-8EB3-39712C8626D4}" type="parTrans" cxnId="{C7DD68AE-99B2-4937-A127-D654A2E99784}">
      <dgm:prSet/>
      <dgm:spPr>
        <a:xfrm rot="1339913">
          <a:off x="3405281" y="1600267"/>
          <a:ext cx="428315" cy="15688"/>
        </a:xfrm>
      </dgm:spPr>
      <dgm:t>
        <a:bodyPr/>
        <a:lstStyle/>
        <a:p>
          <a:endParaRPr lang="en-US"/>
        </a:p>
      </dgm:t>
    </dgm:pt>
    <dgm:pt modelId="{6DAE892F-3F2D-42A5-BB1C-58D0E6BD9A47}">
      <dgm:prSet phldrT="[Text]" custT="1"/>
      <dgm:spPr>
        <a:xfrm>
          <a:off x="4623265" y="1091842"/>
          <a:ext cx="112875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28BD2EB6-8814-456D-B684-C7C0E2C0705F}" type="sibTrans" cxnId="{FE1169E0-24DF-4FBB-A1C9-8F332C85663A}">
      <dgm:prSet/>
      <dgm:spPr/>
      <dgm:t>
        <a:bodyPr/>
        <a:lstStyle/>
        <a:p>
          <a:endParaRPr lang="en-US"/>
        </a:p>
      </dgm:t>
    </dgm:pt>
    <dgm:pt modelId="{D22DE764-173E-47DF-9480-722F8D8EA62C}" type="parTrans" cxnId="{FE1169E0-24DF-4FBB-A1C9-8F332C85663A}">
      <dgm:prSet/>
      <dgm:spPr>
        <a:xfrm rot="21598056">
          <a:off x="3571876" y="1343631"/>
          <a:ext cx="1051389" cy="15688"/>
        </a:xfrm>
      </dgm:spPr>
      <dgm:t>
        <a:bodyPr/>
        <a:lstStyle/>
        <a:p>
          <a:endParaRPr lang="en-US"/>
        </a:p>
      </dgm:t>
    </dgm:pt>
    <dgm:pt modelId="{F0FE4372-65E6-4D92-B9B0-D2B79F26FB27}">
      <dgm:prSet phldrT="[Text]" custT="1"/>
      <dgm:spPr>
        <a:xfrm>
          <a:off x="4493860" y="399485"/>
          <a:ext cx="95566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s-ES_tradnl" sz="900">
              <a:latin typeface="Arial" panose="020B0604020202020204" pitchFamily="34" charset="0"/>
              <a:cs typeface="Arial" panose="020B0604020202020204" pitchFamily="34" charset="0"/>
            </a:rPr>
            <a:t>D.A.D.C. </a:t>
          </a:r>
          <a:endPar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2B06661-55BE-4022-AD18-067DB2509F93}" type="sibTrans" cxnId="{1229807D-6A59-498C-A707-9DD6CEEA0C8D}">
      <dgm:prSet/>
      <dgm:spPr/>
      <dgm:t>
        <a:bodyPr/>
        <a:lstStyle/>
        <a:p>
          <a:endParaRPr lang="en-US"/>
        </a:p>
      </dgm:t>
    </dgm:pt>
    <dgm:pt modelId="{D94B5549-C2D2-4629-ACDF-33C6E334FA3A}" type="parTrans" cxnId="{1229807D-6A59-498C-A707-9DD6CEEA0C8D}">
      <dgm:prSet/>
      <dgm:spPr>
        <a:xfrm rot="20439227">
          <a:off x="3416518" y="988188"/>
          <a:ext cx="1187650" cy="15688"/>
        </a:xfrm>
      </dgm:spPr>
      <dgm:t>
        <a:bodyPr/>
        <a:lstStyle/>
        <a:p>
          <a:endParaRPr lang="en-US"/>
        </a:p>
      </dgm:t>
    </dgm:pt>
    <dgm:pt modelId="{898446A3-EA8C-4C13-8A65-DF8A110D0838}">
      <dgm:prSet phldrT="[Text]" custT="1"/>
      <dgm:spPr>
        <a:xfrm>
          <a:off x="3565254" y="108069"/>
          <a:ext cx="931838"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DD.II e II.GG</a:t>
          </a:r>
        </a:p>
      </dgm:t>
    </dgm:pt>
    <dgm:pt modelId="{E56928EA-8406-4998-BE40-3F4796EA5932}" type="sibTrans" cxnId="{A93C1B4A-74B5-4343-AF12-0C2C4D914189}">
      <dgm:prSet/>
      <dgm:spPr/>
      <dgm:t>
        <a:bodyPr/>
        <a:lstStyle/>
        <a:p>
          <a:endParaRPr lang="en-US"/>
        </a:p>
      </dgm:t>
    </dgm:pt>
    <dgm:pt modelId="{DB9FEC62-86A7-454A-89B3-F32F1907C71A}" type="parTrans" cxnId="{A93C1B4A-74B5-4343-AF12-0C2C4D914189}">
      <dgm:prSet/>
      <dgm:spPr>
        <a:xfrm rot="18985007">
          <a:off x="3136860" y="846492"/>
          <a:ext cx="764698" cy="15688"/>
        </a:xfrm>
      </dgm:spPr>
      <dgm:t>
        <a:bodyPr/>
        <a:lstStyle/>
        <a:p>
          <a:endParaRPr lang="en-US"/>
        </a:p>
      </dgm:t>
    </dgm:pt>
    <dgm:pt modelId="{68A5766F-115C-487E-B7CB-4ADE150678D1}">
      <dgm:prSet phldrT="[Text]" custT="1"/>
      <dgm:spPr>
        <a:xfrm>
          <a:off x="2544575" y="3207"/>
          <a:ext cx="903253" cy="518033"/>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gm:t>
    </dgm:pt>
    <dgm:pt modelId="{BA9B1909-6561-415A-8EF0-B53DE88FCEBA}" type="sibTrans" cxnId="{84826536-FF9D-47C5-902D-DB146A527C2A}">
      <dgm:prSet/>
      <dgm:spPr/>
      <dgm:t>
        <a:bodyPr/>
        <a:lstStyle/>
        <a:p>
          <a:endParaRPr lang="en-US"/>
        </a:p>
      </dgm:t>
    </dgm:pt>
    <dgm:pt modelId="{BA28F4A6-AD16-499D-88C1-DBE004B28175}" type="parTrans" cxnId="{84826536-FF9D-47C5-902D-DB146A527C2A}">
      <dgm:prSet/>
      <dgm:spPr>
        <a:xfrm rot="16200000">
          <a:off x="2710281" y="799317"/>
          <a:ext cx="571840" cy="15688"/>
        </a:xfrm>
      </dgm:spPr>
      <dgm:t>
        <a:bodyPr/>
        <a:lstStyle/>
        <a:p>
          <a:endParaRPr lang="en-US"/>
        </a:p>
      </dgm:t>
    </dgm:pt>
    <dgm:pt modelId="{30FB17EC-C15B-4BC5-A5F8-93316C76A7D4}">
      <dgm:prSet phldrT="[Text]" custT="1"/>
      <dgm:spPr>
        <a:xfrm>
          <a:off x="1445996" y="131454"/>
          <a:ext cx="1086818" cy="546395"/>
        </a:xfrm>
        <a:solidFill>
          <a:srgbClr val="4F81BD">
            <a:lumMod val="40000"/>
            <a:lumOff val="60000"/>
          </a:srgbClr>
        </a:solidFill>
        <a:ln>
          <a:noFill/>
        </a:ln>
        <a:effectLst>
          <a:outerShdw blurRad="40000" dist="23000" dir="5400000" rotWithShape="0">
            <a:srgbClr val="000000">
              <a:alpha val="35000"/>
            </a:srgbClr>
          </a:outerShdw>
        </a:effectLst>
      </dgm:spPr>
      <dgm:t>
        <a:bodyPr/>
        <a:lstStyle/>
        <a:p>
          <a:r>
            <a:rPr lang="en-US"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r>
            <a:rPr lang="en-US"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P.I. y desafíos mundiales</a:t>
          </a:r>
        </a:p>
      </dgm:t>
    </dgm:pt>
    <dgm:pt modelId="{0B9D3332-6506-49A3-B313-03598D7AB1F1}" type="parTrans" cxnId="{D234319B-4C2D-4168-B829-6322CF3AD3F4}">
      <dgm:prSet/>
      <dgm:spPr/>
      <dgm:t>
        <a:bodyPr/>
        <a:lstStyle/>
        <a:p>
          <a:endParaRPr lang="en-US"/>
        </a:p>
      </dgm:t>
    </dgm:pt>
    <dgm:pt modelId="{CBA5F467-8B69-4E2F-97AD-8C76474C75DA}" type="sibTrans" cxnId="{D234319B-4C2D-4168-B829-6322CF3AD3F4}">
      <dgm:prSet/>
      <dgm:spPr/>
      <dgm:t>
        <a:bodyPr/>
        <a:lstStyle/>
        <a:p>
          <a:endParaRPr lang="en-US"/>
        </a:p>
      </dgm:t>
    </dgm:pt>
    <dgm:pt modelId="{9D8B49BD-1DF7-4888-9A7E-2CFD4320CC2B}" type="pres">
      <dgm:prSet presAssocID="{D981426F-5B7B-4AA5-957A-6E8C9E1A2487}" presName="cycle" presStyleCnt="0">
        <dgm:presLayoutVars>
          <dgm:chMax val="1"/>
          <dgm:dir/>
          <dgm:animLvl val="ctr"/>
          <dgm:resizeHandles val="exact"/>
        </dgm:presLayoutVars>
      </dgm:prSet>
      <dgm:spPr/>
      <dgm:t>
        <a:bodyPr/>
        <a:lstStyle/>
        <a:p>
          <a:endParaRPr lang="en-US"/>
        </a:p>
      </dgm:t>
    </dgm:pt>
    <dgm:pt modelId="{493DA7EC-5D69-41B7-92E4-ED7ED9F48883}" type="pres">
      <dgm:prSet presAssocID="{A7516A72-1FC0-46ED-AAC4-AF0F7063F737}" presName="centerShape" presStyleLbl="node0" presStyleIdx="0" presStyleCnt="1" custScaleX="279897" custScaleY="97914"/>
      <dgm:spPr>
        <a:prstGeom prst="ellipse">
          <a:avLst/>
        </a:prstGeom>
      </dgm:spPr>
      <dgm:t>
        <a:bodyPr/>
        <a:lstStyle/>
        <a:p>
          <a:endParaRPr lang="en-US"/>
        </a:p>
      </dgm:t>
    </dgm:pt>
    <dgm:pt modelId="{E6ACA703-0949-41B3-BE6B-C702E5C7275F}" type="pres">
      <dgm:prSet presAssocID="{BA28F4A6-AD16-499D-88C1-DBE004B28175}" presName="Name9" presStyleLbl="parChTrans1D2" presStyleIdx="0" presStyleCnt="11"/>
      <dgm:spPr/>
      <dgm:t>
        <a:bodyPr/>
        <a:lstStyle/>
        <a:p>
          <a:endParaRPr lang="en-US"/>
        </a:p>
      </dgm:t>
    </dgm:pt>
    <dgm:pt modelId="{B06AADB2-5D51-41DC-8677-C0CC2357518B}" type="pres">
      <dgm:prSet presAssocID="{BA28F4A6-AD16-499D-88C1-DBE004B28175}" presName="connTx" presStyleLbl="parChTrans1D2" presStyleIdx="0" presStyleCnt="11"/>
      <dgm:spPr/>
      <dgm:t>
        <a:bodyPr/>
        <a:lstStyle/>
        <a:p>
          <a:endParaRPr lang="en-US"/>
        </a:p>
      </dgm:t>
    </dgm:pt>
    <dgm:pt modelId="{AFD0CC05-9AD4-4A51-8739-4FB4CA1E4ACE}" type="pres">
      <dgm:prSet presAssocID="{68A5766F-115C-487E-B7CB-4ADE150678D1}" presName="node" presStyleLbl="node1" presStyleIdx="0" presStyleCnt="11" custScaleX="203460" custScaleY="117548">
        <dgm:presLayoutVars>
          <dgm:bulletEnabled val="1"/>
        </dgm:presLayoutVars>
      </dgm:prSet>
      <dgm:spPr>
        <a:prstGeom prst="ellipse">
          <a:avLst/>
        </a:prstGeom>
      </dgm:spPr>
      <dgm:t>
        <a:bodyPr/>
        <a:lstStyle/>
        <a:p>
          <a:endParaRPr lang="en-US"/>
        </a:p>
      </dgm:t>
    </dgm:pt>
    <dgm:pt modelId="{34515D96-C834-4D67-AF5C-3B293601CBC3}" type="pres">
      <dgm:prSet presAssocID="{DB9FEC62-86A7-454A-89B3-F32F1907C71A}" presName="Name9" presStyleLbl="parChTrans1D2" presStyleIdx="1" presStyleCnt="11"/>
      <dgm:spPr/>
      <dgm:t>
        <a:bodyPr/>
        <a:lstStyle/>
        <a:p>
          <a:endParaRPr lang="en-US"/>
        </a:p>
      </dgm:t>
    </dgm:pt>
    <dgm:pt modelId="{A8CF68B1-7D91-429E-8C8D-53007288E1DC}" type="pres">
      <dgm:prSet presAssocID="{DB9FEC62-86A7-454A-89B3-F32F1907C71A}" presName="connTx" presStyleLbl="parChTrans1D2" presStyleIdx="1" presStyleCnt="11"/>
      <dgm:spPr/>
      <dgm:t>
        <a:bodyPr/>
        <a:lstStyle/>
        <a:p>
          <a:endParaRPr lang="en-US"/>
        </a:p>
      </dgm:t>
    </dgm:pt>
    <dgm:pt modelId="{D9366F31-B7D7-4B43-830C-AD5E2193A794}" type="pres">
      <dgm:prSet presAssocID="{898446A3-EA8C-4C13-8A65-DF8A110D0838}" presName="node" presStyleLbl="node1" presStyleIdx="1" presStyleCnt="11" custScaleX="218045" custScaleY="116036" custRadScaleRad="127795" custRadScaleInc="76247">
        <dgm:presLayoutVars>
          <dgm:bulletEnabled val="1"/>
        </dgm:presLayoutVars>
      </dgm:prSet>
      <dgm:spPr>
        <a:prstGeom prst="ellipse">
          <a:avLst/>
        </a:prstGeom>
      </dgm:spPr>
      <dgm:t>
        <a:bodyPr/>
        <a:lstStyle/>
        <a:p>
          <a:endParaRPr lang="en-US"/>
        </a:p>
      </dgm:t>
    </dgm:pt>
    <dgm:pt modelId="{3F0F15B6-4D5A-493B-B03E-AE8141DC3DCE}" type="pres">
      <dgm:prSet presAssocID="{D94B5549-C2D2-4629-ACDF-33C6E334FA3A}" presName="Name9" presStyleLbl="parChTrans1D2" presStyleIdx="2" presStyleCnt="11"/>
      <dgm:spPr/>
      <dgm:t>
        <a:bodyPr/>
        <a:lstStyle/>
        <a:p>
          <a:endParaRPr lang="en-US"/>
        </a:p>
      </dgm:t>
    </dgm:pt>
    <dgm:pt modelId="{905DF954-A0B6-4A5F-9CE2-F1C3ADBDD0C1}" type="pres">
      <dgm:prSet presAssocID="{D94B5549-C2D2-4629-ACDF-33C6E334FA3A}" presName="connTx" presStyleLbl="parChTrans1D2" presStyleIdx="2" presStyleCnt="11"/>
      <dgm:spPr/>
      <dgm:t>
        <a:bodyPr/>
        <a:lstStyle/>
        <a:p>
          <a:endParaRPr lang="en-US"/>
        </a:p>
      </dgm:t>
    </dgm:pt>
    <dgm:pt modelId="{ECD2D13D-466C-468B-BD6C-1B646D8E5B8E}" type="pres">
      <dgm:prSet presAssocID="{F0FE4372-65E6-4D92-B9B0-D2B79F26FB27}" presName="node" presStyleLbl="node1" presStyleIdx="2" presStyleCnt="11" custScaleX="187738" custScaleY="116138" custRadScaleRad="181555" custRadScaleInc="28830">
        <dgm:presLayoutVars>
          <dgm:bulletEnabled val="1"/>
        </dgm:presLayoutVars>
      </dgm:prSet>
      <dgm:spPr>
        <a:prstGeom prst="ellipse">
          <a:avLst/>
        </a:prstGeom>
      </dgm:spPr>
      <dgm:t>
        <a:bodyPr/>
        <a:lstStyle/>
        <a:p>
          <a:endParaRPr lang="en-US"/>
        </a:p>
      </dgm:t>
    </dgm:pt>
    <dgm:pt modelId="{5CF8296B-0142-429D-A71A-20799D2EB74B}" type="pres">
      <dgm:prSet presAssocID="{D22DE764-173E-47DF-9480-722F8D8EA62C}" presName="Name9" presStyleLbl="parChTrans1D2" presStyleIdx="3" presStyleCnt="11"/>
      <dgm:spPr/>
      <dgm:t>
        <a:bodyPr/>
        <a:lstStyle/>
        <a:p>
          <a:endParaRPr lang="en-US"/>
        </a:p>
      </dgm:t>
    </dgm:pt>
    <dgm:pt modelId="{48797E66-4F8B-4B79-BCA7-6F88E85CF835}" type="pres">
      <dgm:prSet presAssocID="{D22DE764-173E-47DF-9480-722F8D8EA62C}" presName="connTx" presStyleLbl="parChTrans1D2" presStyleIdx="3" presStyleCnt="11"/>
      <dgm:spPr/>
      <dgm:t>
        <a:bodyPr/>
        <a:lstStyle/>
        <a:p>
          <a:endParaRPr lang="en-US"/>
        </a:p>
      </dgm:t>
    </dgm:pt>
    <dgm:pt modelId="{7E7DDE23-6C04-407D-AAB6-669511EA704E}" type="pres">
      <dgm:prSet presAssocID="{6DAE892F-3F2D-42A5-BB1C-58D0E6BD9A47}" presName="node" presStyleLbl="node1" presStyleIdx="3" presStyleCnt="11" custScaleX="240380" custScaleY="117805" custRadScaleRad="202075" custRadScaleInc="-62672">
        <dgm:presLayoutVars>
          <dgm:bulletEnabled val="1"/>
        </dgm:presLayoutVars>
      </dgm:prSet>
      <dgm:spPr>
        <a:prstGeom prst="ellipse">
          <a:avLst/>
        </a:prstGeom>
      </dgm:spPr>
      <dgm:t>
        <a:bodyPr/>
        <a:lstStyle/>
        <a:p>
          <a:endParaRPr lang="en-US"/>
        </a:p>
      </dgm:t>
    </dgm:pt>
    <dgm:pt modelId="{DC281168-2DBC-4CFB-B21D-C54E9628B383}" type="pres">
      <dgm:prSet presAssocID="{9E510621-404D-46D6-8EB3-39712C8626D4}" presName="Name9" presStyleLbl="parChTrans1D2" presStyleIdx="4" presStyleCnt="11"/>
      <dgm:spPr/>
      <dgm:t>
        <a:bodyPr/>
        <a:lstStyle/>
        <a:p>
          <a:endParaRPr lang="en-US"/>
        </a:p>
      </dgm:t>
    </dgm:pt>
    <dgm:pt modelId="{0D3BFC0A-5ED4-4CCF-A336-A529B3363890}" type="pres">
      <dgm:prSet presAssocID="{9E510621-404D-46D6-8EB3-39712C8626D4}" presName="connTx" presStyleLbl="parChTrans1D2" presStyleIdx="4" presStyleCnt="11"/>
      <dgm:spPr/>
      <dgm:t>
        <a:bodyPr/>
        <a:lstStyle/>
        <a:p>
          <a:endParaRPr lang="en-US"/>
        </a:p>
      </dgm:t>
    </dgm:pt>
    <dgm:pt modelId="{66DADE40-99AE-41BE-B997-129EED231064}" type="pres">
      <dgm:prSet presAssocID="{DB0D84B1-C440-4746-9EEF-F1ED71D64DD2}" presName="node" presStyleLbl="node1" presStyleIdx="4" presStyleCnt="11" custScaleX="205590" custScaleY="103202" custRadScaleRad="172499" custRadScaleInc="-163972">
        <dgm:presLayoutVars>
          <dgm:bulletEnabled val="1"/>
        </dgm:presLayoutVars>
      </dgm:prSet>
      <dgm:spPr>
        <a:prstGeom prst="ellipse">
          <a:avLst/>
        </a:prstGeom>
      </dgm:spPr>
      <dgm:t>
        <a:bodyPr/>
        <a:lstStyle/>
        <a:p>
          <a:endParaRPr lang="en-US"/>
        </a:p>
      </dgm:t>
    </dgm:pt>
    <dgm:pt modelId="{4DF1B0BE-A63A-4BEA-9EE5-4168481CC99E}" type="pres">
      <dgm:prSet presAssocID="{3F89048A-3F9F-4897-8631-4599F4976029}" presName="Name9" presStyleLbl="parChTrans1D2" presStyleIdx="5" presStyleCnt="11"/>
      <dgm:spPr/>
      <dgm:t>
        <a:bodyPr/>
        <a:lstStyle/>
        <a:p>
          <a:endParaRPr lang="en-US"/>
        </a:p>
      </dgm:t>
    </dgm:pt>
    <dgm:pt modelId="{32B4D7AF-BD29-4AC4-BA11-37F2AE9561F4}" type="pres">
      <dgm:prSet presAssocID="{3F89048A-3F9F-4897-8631-4599F4976029}" presName="connTx" presStyleLbl="parChTrans1D2" presStyleIdx="5" presStyleCnt="11"/>
      <dgm:spPr/>
      <dgm:t>
        <a:bodyPr/>
        <a:lstStyle/>
        <a:p>
          <a:endParaRPr lang="en-US"/>
        </a:p>
      </dgm:t>
    </dgm:pt>
    <dgm:pt modelId="{DB594876-4070-4577-942D-67F5CD4D6A19}" type="pres">
      <dgm:prSet presAssocID="{14602118-D739-48CC-85E0-791974AFA995}" presName="node" presStyleLbl="node1" presStyleIdx="5" presStyleCnt="11" custScaleX="250523" custScaleY="116291" custRadScaleRad="111093" custRadScaleInc="-188945">
        <dgm:presLayoutVars>
          <dgm:bulletEnabled val="1"/>
        </dgm:presLayoutVars>
      </dgm:prSet>
      <dgm:spPr>
        <a:prstGeom prst="ellipse">
          <a:avLst/>
        </a:prstGeom>
      </dgm:spPr>
      <dgm:t>
        <a:bodyPr/>
        <a:lstStyle/>
        <a:p>
          <a:endParaRPr lang="en-US"/>
        </a:p>
      </dgm:t>
    </dgm:pt>
    <dgm:pt modelId="{E49C447F-3477-4311-B10B-FFFA7DE7209F}" type="pres">
      <dgm:prSet presAssocID="{98585C11-761C-43C4-979D-FB1B8BABF102}" presName="Name9" presStyleLbl="parChTrans1D2" presStyleIdx="6" presStyleCnt="11"/>
      <dgm:spPr/>
      <dgm:t>
        <a:bodyPr/>
        <a:lstStyle/>
        <a:p>
          <a:endParaRPr lang="en-US"/>
        </a:p>
      </dgm:t>
    </dgm:pt>
    <dgm:pt modelId="{B930024E-8665-4782-9C41-36517A71FCD4}" type="pres">
      <dgm:prSet presAssocID="{98585C11-761C-43C4-979D-FB1B8BABF102}" presName="connTx" presStyleLbl="parChTrans1D2" presStyleIdx="6" presStyleCnt="11"/>
      <dgm:spPr/>
      <dgm:t>
        <a:bodyPr/>
        <a:lstStyle/>
        <a:p>
          <a:endParaRPr lang="en-US"/>
        </a:p>
      </dgm:t>
    </dgm:pt>
    <dgm:pt modelId="{69F18085-0AC3-4BAE-9B16-F8478FFBD61E}" type="pres">
      <dgm:prSet presAssocID="{7C1FA040-4399-40F0-866F-845B7914F68D}" presName="node" presStyleLbl="node1" presStyleIdx="6" presStyleCnt="11" custScaleX="248902" custScaleY="105725" custRadScaleRad="93629" custRadScaleInc="72066">
        <dgm:presLayoutVars>
          <dgm:bulletEnabled val="1"/>
        </dgm:presLayoutVars>
      </dgm:prSet>
      <dgm:spPr>
        <a:prstGeom prst="ellipse">
          <a:avLst/>
        </a:prstGeom>
      </dgm:spPr>
      <dgm:t>
        <a:bodyPr/>
        <a:lstStyle/>
        <a:p>
          <a:endParaRPr lang="en-US"/>
        </a:p>
      </dgm:t>
    </dgm:pt>
    <dgm:pt modelId="{FCC14444-D5E7-4E9C-B980-A27CD799E442}" type="pres">
      <dgm:prSet presAssocID="{DEF73824-C893-4963-9504-7E97D2FF5253}" presName="Name9" presStyleLbl="parChTrans1D2" presStyleIdx="7" presStyleCnt="11"/>
      <dgm:spPr/>
      <dgm:t>
        <a:bodyPr/>
        <a:lstStyle/>
        <a:p>
          <a:endParaRPr lang="en-US"/>
        </a:p>
      </dgm:t>
    </dgm:pt>
    <dgm:pt modelId="{3EA6B60F-F2E8-4D48-9EC1-CAAE09243949}" type="pres">
      <dgm:prSet presAssocID="{DEF73824-C893-4963-9504-7E97D2FF5253}" presName="connTx" presStyleLbl="parChTrans1D2" presStyleIdx="7" presStyleCnt="11"/>
      <dgm:spPr/>
      <dgm:t>
        <a:bodyPr/>
        <a:lstStyle/>
        <a:p>
          <a:endParaRPr lang="en-US"/>
        </a:p>
      </dgm:t>
    </dgm:pt>
    <dgm:pt modelId="{49C45DFA-0A15-4DAA-80DC-CAE4ABCC6B43}" type="pres">
      <dgm:prSet presAssocID="{2628F477-2289-4CEE-9618-96DDAFCD4291}" presName="node" presStyleLbl="node1" presStyleIdx="7" presStyleCnt="11" custScaleX="277720" custScaleY="121401" custRadScaleRad="163148" custRadScaleInc="124911">
        <dgm:presLayoutVars>
          <dgm:bulletEnabled val="1"/>
        </dgm:presLayoutVars>
      </dgm:prSet>
      <dgm:spPr>
        <a:prstGeom prst="ellipse">
          <a:avLst/>
        </a:prstGeom>
      </dgm:spPr>
      <dgm:t>
        <a:bodyPr/>
        <a:lstStyle/>
        <a:p>
          <a:endParaRPr lang="en-US"/>
        </a:p>
      </dgm:t>
    </dgm:pt>
    <dgm:pt modelId="{7B59CB2C-C82F-41EE-B3CF-ADD4878ADBA6}" type="pres">
      <dgm:prSet presAssocID="{2F72DDEE-62D3-48A5-836A-4C87596541F0}" presName="Name9" presStyleLbl="parChTrans1D2" presStyleIdx="8" presStyleCnt="11"/>
      <dgm:spPr/>
      <dgm:t>
        <a:bodyPr/>
        <a:lstStyle/>
        <a:p>
          <a:endParaRPr lang="en-US"/>
        </a:p>
      </dgm:t>
    </dgm:pt>
    <dgm:pt modelId="{280B3AB5-4999-4B99-8BE9-E09C9DF5D482}" type="pres">
      <dgm:prSet presAssocID="{2F72DDEE-62D3-48A5-836A-4C87596541F0}" presName="connTx" presStyleLbl="parChTrans1D2" presStyleIdx="8" presStyleCnt="11"/>
      <dgm:spPr/>
      <dgm:t>
        <a:bodyPr/>
        <a:lstStyle/>
        <a:p>
          <a:endParaRPr lang="en-US"/>
        </a:p>
      </dgm:t>
    </dgm:pt>
    <dgm:pt modelId="{402B25BB-F397-46B5-AAB7-C38C2276BF82}" type="pres">
      <dgm:prSet presAssocID="{44FBC2E2-D754-42C1-BEE4-690296442511}" presName="node" presStyleLbl="node1" presStyleIdx="8" presStyleCnt="11" custScaleX="249515" custScaleY="130596" custRadScaleRad="203588" custRadScaleInc="40973">
        <dgm:presLayoutVars>
          <dgm:bulletEnabled val="1"/>
        </dgm:presLayoutVars>
      </dgm:prSet>
      <dgm:spPr>
        <a:prstGeom prst="ellipse">
          <a:avLst/>
        </a:prstGeom>
      </dgm:spPr>
      <dgm:t>
        <a:bodyPr/>
        <a:lstStyle/>
        <a:p>
          <a:endParaRPr lang="en-US"/>
        </a:p>
      </dgm:t>
    </dgm:pt>
    <dgm:pt modelId="{EFB9CB5A-411C-454B-96B1-9ED988829CBE}" type="pres">
      <dgm:prSet presAssocID="{B4A5C031-92B2-438E-80BC-EAA05F5C7CF7}" presName="Name9" presStyleLbl="parChTrans1D2" presStyleIdx="9" presStyleCnt="11"/>
      <dgm:spPr/>
      <dgm:t>
        <a:bodyPr/>
        <a:lstStyle/>
        <a:p>
          <a:endParaRPr lang="en-US"/>
        </a:p>
      </dgm:t>
    </dgm:pt>
    <dgm:pt modelId="{A140118B-14B1-45A7-9CF9-17E4D006F84D}" type="pres">
      <dgm:prSet presAssocID="{B4A5C031-92B2-438E-80BC-EAA05F5C7CF7}" presName="connTx" presStyleLbl="parChTrans1D2" presStyleIdx="9" presStyleCnt="11"/>
      <dgm:spPr/>
      <dgm:t>
        <a:bodyPr/>
        <a:lstStyle/>
        <a:p>
          <a:endParaRPr lang="en-US"/>
        </a:p>
      </dgm:t>
    </dgm:pt>
    <dgm:pt modelId="{5AF8D9AC-0C15-4D1B-BCD3-7FFCFF0A581D}" type="pres">
      <dgm:prSet presAssocID="{D460D018-736B-4CE5-A14B-061F8EFE829B}" presName="node" presStyleLbl="node1" presStyleIdx="9" presStyleCnt="11" custScaleX="225067" custScaleY="138249" custRadScaleRad="189537" custRadScaleInc="-49121">
        <dgm:presLayoutVars>
          <dgm:bulletEnabled val="1"/>
        </dgm:presLayoutVars>
      </dgm:prSet>
      <dgm:spPr>
        <a:prstGeom prst="ellipse">
          <a:avLst/>
        </a:prstGeom>
      </dgm:spPr>
      <dgm:t>
        <a:bodyPr/>
        <a:lstStyle/>
        <a:p>
          <a:endParaRPr lang="en-US"/>
        </a:p>
      </dgm:t>
    </dgm:pt>
    <dgm:pt modelId="{EA581F84-B016-4CDB-99D6-9E3DD9F505FC}" type="pres">
      <dgm:prSet presAssocID="{0B9D3332-6506-49A3-B313-03598D7AB1F1}" presName="Name9" presStyleLbl="parChTrans1D2" presStyleIdx="10" presStyleCnt="11"/>
      <dgm:spPr/>
      <dgm:t>
        <a:bodyPr/>
        <a:lstStyle/>
        <a:p>
          <a:endParaRPr lang="en-US"/>
        </a:p>
      </dgm:t>
    </dgm:pt>
    <dgm:pt modelId="{5EA7C01D-B441-4CF8-BC42-1137E519F776}" type="pres">
      <dgm:prSet presAssocID="{0B9D3332-6506-49A3-B313-03598D7AB1F1}" presName="connTx" presStyleLbl="parChTrans1D2" presStyleIdx="10" presStyleCnt="11"/>
      <dgm:spPr/>
      <dgm:t>
        <a:bodyPr/>
        <a:lstStyle/>
        <a:p>
          <a:endParaRPr lang="en-US"/>
        </a:p>
      </dgm:t>
    </dgm:pt>
    <dgm:pt modelId="{0BAA02DA-E841-4BF5-8708-178825E9BEE2}" type="pres">
      <dgm:prSet presAssocID="{30FB17EC-C15B-4BC5-A5F8-93316C76A7D4}" presName="node" presStyleLbl="node1" presStyleIdx="10" presStyleCnt="11" custScaleX="229753" custScaleY="144242" custRadScaleRad="135918" custRadScaleInc="-86860">
        <dgm:presLayoutVars>
          <dgm:bulletEnabled val="1"/>
        </dgm:presLayoutVars>
      </dgm:prSet>
      <dgm:spPr/>
      <dgm:t>
        <a:bodyPr/>
        <a:lstStyle/>
        <a:p>
          <a:endParaRPr lang="en-US"/>
        </a:p>
      </dgm:t>
    </dgm:pt>
  </dgm:ptLst>
  <dgm:cxnLst>
    <dgm:cxn modelId="{B1B69374-C0A1-45D3-9ECF-D237B64D91D9}" type="presOf" srcId="{DB9FEC62-86A7-454A-89B3-F32F1907C71A}" destId="{34515D96-C834-4D67-AF5C-3B293601CBC3}" srcOrd="0" destOrd="0" presId="urn:microsoft.com/office/officeart/2005/8/layout/radial1"/>
    <dgm:cxn modelId="{FE1169E0-24DF-4FBB-A1C9-8F332C85663A}" srcId="{A7516A72-1FC0-46ED-AAC4-AF0F7063F737}" destId="{6DAE892F-3F2D-42A5-BB1C-58D0E6BD9A47}" srcOrd="3" destOrd="0" parTransId="{D22DE764-173E-47DF-9480-722F8D8EA62C}" sibTransId="{28BD2EB6-8814-456D-B684-C7C0E2C0705F}"/>
    <dgm:cxn modelId="{B99C29DF-171E-4E00-AD40-8F93D670426D}" type="presOf" srcId="{30FB17EC-C15B-4BC5-A5F8-93316C76A7D4}" destId="{0BAA02DA-E841-4BF5-8708-178825E9BEE2}" srcOrd="0" destOrd="0" presId="urn:microsoft.com/office/officeart/2005/8/layout/radial1"/>
    <dgm:cxn modelId="{11AE38A9-6B3C-4A6F-A41C-9098F6D46574}" type="presOf" srcId="{D94B5549-C2D2-4629-ACDF-33C6E334FA3A}" destId="{905DF954-A0B6-4A5F-9CE2-F1C3ADBDD0C1}" srcOrd="1" destOrd="0" presId="urn:microsoft.com/office/officeart/2005/8/layout/radial1"/>
    <dgm:cxn modelId="{3ED54C21-A655-448E-811F-3C40146A08BA}" type="presOf" srcId="{68A5766F-115C-487E-B7CB-4ADE150678D1}" destId="{AFD0CC05-9AD4-4A51-8739-4FB4CA1E4ACE}" srcOrd="0" destOrd="0" presId="urn:microsoft.com/office/officeart/2005/8/layout/radial1"/>
    <dgm:cxn modelId="{857B2A15-F3D8-41D9-8257-7E76F1F802F5}" type="presOf" srcId="{7C1FA040-4399-40F0-866F-845B7914F68D}" destId="{69F18085-0AC3-4BAE-9B16-F8478FFBD61E}" srcOrd="0" destOrd="0" presId="urn:microsoft.com/office/officeart/2005/8/layout/radial1"/>
    <dgm:cxn modelId="{476B85BC-59D9-41AB-8B23-486FDE5061AB}" type="presOf" srcId="{BA28F4A6-AD16-499D-88C1-DBE004B28175}" destId="{E6ACA703-0949-41B3-BE6B-C702E5C7275F}" srcOrd="0" destOrd="0" presId="urn:microsoft.com/office/officeart/2005/8/layout/radial1"/>
    <dgm:cxn modelId="{42D4434B-E380-474F-AB71-22A67703478E}" type="presOf" srcId="{898446A3-EA8C-4C13-8A65-DF8A110D0838}" destId="{D9366F31-B7D7-4B43-830C-AD5E2193A794}" srcOrd="0" destOrd="0" presId="urn:microsoft.com/office/officeart/2005/8/layout/radial1"/>
    <dgm:cxn modelId="{F694961B-DBDD-4D4F-8569-15AAF83ED36C}" type="presOf" srcId="{14602118-D739-48CC-85E0-791974AFA995}" destId="{DB594876-4070-4577-942D-67F5CD4D6A19}" srcOrd="0" destOrd="0" presId="urn:microsoft.com/office/officeart/2005/8/layout/radial1"/>
    <dgm:cxn modelId="{43A5BECB-3BA0-4ED7-AAC6-A2B0412AB7D6}" type="presOf" srcId="{D22DE764-173E-47DF-9480-722F8D8EA62C}" destId="{5CF8296B-0142-429D-A71A-20799D2EB74B}" srcOrd="0" destOrd="0" presId="urn:microsoft.com/office/officeart/2005/8/layout/radial1"/>
    <dgm:cxn modelId="{F93B7C34-F84D-41CA-806F-4024CF7785CB}" type="presOf" srcId="{DB0D84B1-C440-4746-9EEF-F1ED71D64DD2}" destId="{66DADE40-99AE-41BE-B997-129EED231064}" srcOrd="0" destOrd="0" presId="urn:microsoft.com/office/officeart/2005/8/layout/radial1"/>
    <dgm:cxn modelId="{6AF5DE9F-03C5-4459-94E2-1771C9632C46}" type="presOf" srcId="{B4A5C031-92B2-438E-80BC-EAA05F5C7CF7}" destId="{EFB9CB5A-411C-454B-96B1-9ED988829CBE}" srcOrd="0" destOrd="0" presId="urn:microsoft.com/office/officeart/2005/8/layout/radial1"/>
    <dgm:cxn modelId="{D9F842AF-1C8A-4583-AD00-9F220B381EB7}" type="presOf" srcId="{D22DE764-173E-47DF-9480-722F8D8EA62C}" destId="{48797E66-4F8B-4B79-BCA7-6F88E85CF835}" srcOrd="1" destOrd="0" presId="urn:microsoft.com/office/officeart/2005/8/layout/radial1"/>
    <dgm:cxn modelId="{D234319B-4C2D-4168-B829-6322CF3AD3F4}" srcId="{A7516A72-1FC0-46ED-AAC4-AF0F7063F737}" destId="{30FB17EC-C15B-4BC5-A5F8-93316C76A7D4}" srcOrd="10" destOrd="0" parTransId="{0B9D3332-6506-49A3-B313-03598D7AB1F1}" sibTransId="{CBA5F467-8B69-4E2F-97AD-8C76474C75DA}"/>
    <dgm:cxn modelId="{A1357B0A-C240-4A91-89D8-A39634308683}" srcId="{A7516A72-1FC0-46ED-AAC4-AF0F7063F737}" destId="{44FBC2E2-D754-42C1-BEE4-690296442511}" srcOrd="8" destOrd="0" parTransId="{2F72DDEE-62D3-48A5-836A-4C87596541F0}" sibTransId="{A8D506B7-E9B0-4378-B011-FCC599FE960D}"/>
    <dgm:cxn modelId="{DF0A65E7-CD73-4E05-A4C3-811DC1095E47}" type="presOf" srcId="{0B9D3332-6506-49A3-B313-03598D7AB1F1}" destId="{5EA7C01D-B441-4CF8-BC42-1137E519F776}" srcOrd="1" destOrd="0" presId="urn:microsoft.com/office/officeart/2005/8/layout/radial1"/>
    <dgm:cxn modelId="{E37517E6-72BD-458A-8838-898E07CA175D}" type="presOf" srcId="{2F72DDEE-62D3-48A5-836A-4C87596541F0}" destId="{280B3AB5-4999-4B99-8BE9-E09C9DF5D482}" srcOrd="1" destOrd="0" presId="urn:microsoft.com/office/officeart/2005/8/layout/radial1"/>
    <dgm:cxn modelId="{3254E64E-00E6-41A0-A6D6-6F234064E299}" type="presOf" srcId="{0B9D3332-6506-49A3-B313-03598D7AB1F1}" destId="{EA581F84-B016-4CDB-99D6-9E3DD9F505FC}" srcOrd="0" destOrd="0" presId="urn:microsoft.com/office/officeart/2005/8/layout/radial1"/>
    <dgm:cxn modelId="{8B1AD3BF-741C-4865-A4ED-05EA14B7B76A}" type="presOf" srcId="{B4A5C031-92B2-438E-80BC-EAA05F5C7CF7}" destId="{A140118B-14B1-45A7-9CF9-17E4D006F84D}" srcOrd="1" destOrd="0" presId="urn:microsoft.com/office/officeart/2005/8/layout/radial1"/>
    <dgm:cxn modelId="{84828B2A-0E9F-473C-B1E4-F0B9723F6593}" type="presOf" srcId="{F0FE4372-65E6-4D92-B9B0-D2B79F26FB27}" destId="{ECD2D13D-466C-468B-BD6C-1B646D8E5B8E}" srcOrd="0" destOrd="0" presId="urn:microsoft.com/office/officeart/2005/8/layout/radial1"/>
    <dgm:cxn modelId="{0FA2311E-049B-4F28-849A-32FEF8A75643}" type="presOf" srcId="{DB9FEC62-86A7-454A-89B3-F32F1907C71A}" destId="{A8CF68B1-7D91-429E-8C8D-53007288E1DC}" srcOrd="1" destOrd="0" presId="urn:microsoft.com/office/officeart/2005/8/layout/radial1"/>
    <dgm:cxn modelId="{DF0E2FA0-16BF-4BFA-B438-57B4287271B1}" type="presOf" srcId="{9E510621-404D-46D6-8EB3-39712C8626D4}" destId="{0D3BFC0A-5ED4-4CCF-A336-A529B3363890}" srcOrd="1" destOrd="0" presId="urn:microsoft.com/office/officeart/2005/8/layout/radial1"/>
    <dgm:cxn modelId="{D3C2F36E-4A03-474E-B743-DE02DC433942}" type="presOf" srcId="{98585C11-761C-43C4-979D-FB1B8BABF102}" destId="{E49C447F-3477-4311-B10B-FFFA7DE7209F}" srcOrd="0" destOrd="0" presId="urn:microsoft.com/office/officeart/2005/8/layout/radial1"/>
    <dgm:cxn modelId="{052F37D6-5C4E-4120-B686-52F33BCD7EDF}" type="presOf" srcId="{9E510621-404D-46D6-8EB3-39712C8626D4}" destId="{DC281168-2DBC-4CFB-B21D-C54E9628B383}" srcOrd="0" destOrd="0" presId="urn:microsoft.com/office/officeart/2005/8/layout/radial1"/>
    <dgm:cxn modelId="{4BA08A50-6505-4F00-8D60-604DBEBA397B}" type="presOf" srcId="{DEF73824-C893-4963-9504-7E97D2FF5253}" destId="{3EA6B60F-F2E8-4D48-9EC1-CAAE09243949}" srcOrd="1" destOrd="0" presId="urn:microsoft.com/office/officeart/2005/8/layout/radial1"/>
    <dgm:cxn modelId="{333E8F20-31E9-4D6F-9F31-24FBF63076E9}" srcId="{A7516A72-1FC0-46ED-AAC4-AF0F7063F737}" destId="{D460D018-736B-4CE5-A14B-061F8EFE829B}" srcOrd="9" destOrd="0" parTransId="{B4A5C031-92B2-438E-80BC-EAA05F5C7CF7}" sibTransId="{13E4242D-C1FF-4F31-B2EF-0F857644C218}"/>
    <dgm:cxn modelId="{C49DE0B8-25AC-4E4A-98B0-EEA5CCD63197}" type="presOf" srcId="{D981426F-5B7B-4AA5-957A-6E8C9E1A2487}" destId="{9D8B49BD-1DF7-4888-9A7E-2CFD4320CC2B}" srcOrd="0" destOrd="0" presId="urn:microsoft.com/office/officeart/2005/8/layout/radial1"/>
    <dgm:cxn modelId="{996B9653-906A-49F8-9E4B-3836F7905D4E}" srcId="{D981426F-5B7B-4AA5-957A-6E8C9E1A2487}" destId="{A7516A72-1FC0-46ED-AAC4-AF0F7063F737}" srcOrd="0" destOrd="0" parTransId="{D9E0AFEB-65B5-4280-ADD0-766B3ADA6CFD}" sibTransId="{6B1EB84D-437E-47A1-87CB-9027EE716AD0}"/>
    <dgm:cxn modelId="{84826536-FF9D-47C5-902D-DB146A527C2A}" srcId="{A7516A72-1FC0-46ED-AAC4-AF0F7063F737}" destId="{68A5766F-115C-487E-B7CB-4ADE150678D1}" srcOrd="0" destOrd="0" parTransId="{BA28F4A6-AD16-499D-88C1-DBE004B28175}" sibTransId="{BA9B1909-6561-415A-8EF0-B53DE88FCEBA}"/>
    <dgm:cxn modelId="{345C13DF-1D3F-4982-AF23-DC2641540559}" srcId="{A7516A72-1FC0-46ED-AAC4-AF0F7063F737}" destId="{7C1FA040-4399-40F0-866F-845B7914F68D}" srcOrd="6" destOrd="0" parTransId="{98585C11-761C-43C4-979D-FB1B8BABF102}" sibTransId="{82A7CC90-6A4C-422A-B221-BA4CF5B4D442}"/>
    <dgm:cxn modelId="{C7DD68AE-99B2-4937-A127-D654A2E99784}" srcId="{A7516A72-1FC0-46ED-AAC4-AF0F7063F737}" destId="{DB0D84B1-C440-4746-9EEF-F1ED71D64DD2}" srcOrd="4" destOrd="0" parTransId="{9E510621-404D-46D6-8EB3-39712C8626D4}" sibTransId="{99C4878C-8523-40E3-93C5-8DC55D31DB77}"/>
    <dgm:cxn modelId="{C877ECD4-877F-4E52-9527-634501353C19}" type="presOf" srcId="{DEF73824-C893-4963-9504-7E97D2FF5253}" destId="{FCC14444-D5E7-4E9C-B980-A27CD799E442}" srcOrd="0" destOrd="0" presId="urn:microsoft.com/office/officeart/2005/8/layout/radial1"/>
    <dgm:cxn modelId="{E5DD3C3F-F401-46C8-9D1F-CEE8478EFA81}" srcId="{A7516A72-1FC0-46ED-AAC4-AF0F7063F737}" destId="{2628F477-2289-4CEE-9618-96DDAFCD4291}" srcOrd="7" destOrd="0" parTransId="{DEF73824-C893-4963-9504-7E97D2FF5253}" sibTransId="{6D6ABE48-6FEB-4EAA-849C-585AC08FCF5B}"/>
    <dgm:cxn modelId="{1229807D-6A59-498C-A707-9DD6CEEA0C8D}" srcId="{A7516A72-1FC0-46ED-AAC4-AF0F7063F737}" destId="{F0FE4372-65E6-4D92-B9B0-D2B79F26FB27}" srcOrd="2" destOrd="0" parTransId="{D94B5549-C2D2-4629-ACDF-33C6E334FA3A}" sibTransId="{E2B06661-55BE-4022-AD18-067DB2509F93}"/>
    <dgm:cxn modelId="{250B6324-6550-4DB4-AD76-CB4159B823E2}" type="presOf" srcId="{2628F477-2289-4CEE-9618-96DDAFCD4291}" destId="{49C45DFA-0A15-4DAA-80DC-CAE4ABCC6B43}" srcOrd="0" destOrd="0" presId="urn:microsoft.com/office/officeart/2005/8/layout/radial1"/>
    <dgm:cxn modelId="{5208A744-91E1-409B-B0BD-018C929E39DF}" type="presOf" srcId="{44FBC2E2-D754-42C1-BEE4-690296442511}" destId="{402B25BB-F397-46B5-AAB7-C38C2276BF82}" srcOrd="0" destOrd="0" presId="urn:microsoft.com/office/officeart/2005/8/layout/radial1"/>
    <dgm:cxn modelId="{80D7B25A-E0C6-4C9F-AF48-C149399203B2}" type="presOf" srcId="{D94B5549-C2D2-4629-ACDF-33C6E334FA3A}" destId="{3F0F15B6-4D5A-493B-B03E-AE8141DC3DCE}" srcOrd="0" destOrd="0" presId="urn:microsoft.com/office/officeart/2005/8/layout/radial1"/>
    <dgm:cxn modelId="{6BA4BEA6-8FC5-4368-8E8D-95D54951DE34}" type="presOf" srcId="{6DAE892F-3F2D-42A5-BB1C-58D0E6BD9A47}" destId="{7E7DDE23-6C04-407D-AAB6-669511EA704E}" srcOrd="0" destOrd="0" presId="urn:microsoft.com/office/officeart/2005/8/layout/radial1"/>
    <dgm:cxn modelId="{3138FD81-FCE3-4020-9313-BAD8BCAF820B}" srcId="{A7516A72-1FC0-46ED-AAC4-AF0F7063F737}" destId="{14602118-D739-48CC-85E0-791974AFA995}" srcOrd="5" destOrd="0" parTransId="{3F89048A-3F9F-4897-8631-4599F4976029}" sibTransId="{85730AA2-ED16-41DB-9898-B2A63ECD874D}"/>
    <dgm:cxn modelId="{84CC466B-6EEA-4754-AA20-C296ECF5F197}" type="presOf" srcId="{98585C11-761C-43C4-979D-FB1B8BABF102}" destId="{B930024E-8665-4782-9C41-36517A71FCD4}" srcOrd="1" destOrd="0" presId="urn:microsoft.com/office/officeart/2005/8/layout/radial1"/>
    <dgm:cxn modelId="{477BB70D-AC79-450D-AF05-7C2A724ECBBB}" type="presOf" srcId="{3F89048A-3F9F-4897-8631-4599F4976029}" destId="{32B4D7AF-BD29-4AC4-BA11-37F2AE9561F4}" srcOrd="1" destOrd="0" presId="urn:microsoft.com/office/officeart/2005/8/layout/radial1"/>
    <dgm:cxn modelId="{8A160D96-7071-4C2E-A08A-3AA64423953D}" type="presOf" srcId="{A7516A72-1FC0-46ED-AAC4-AF0F7063F737}" destId="{493DA7EC-5D69-41B7-92E4-ED7ED9F48883}" srcOrd="0" destOrd="0" presId="urn:microsoft.com/office/officeart/2005/8/layout/radial1"/>
    <dgm:cxn modelId="{A93C1B4A-74B5-4343-AF12-0C2C4D914189}" srcId="{A7516A72-1FC0-46ED-AAC4-AF0F7063F737}" destId="{898446A3-EA8C-4C13-8A65-DF8A110D0838}" srcOrd="1" destOrd="0" parTransId="{DB9FEC62-86A7-454A-89B3-F32F1907C71A}" sibTransId="{E56928EA-8406-4998-BE40-3F4796EA5932}"/>
    <dgm:cxn modelId="{52909A59-81EF-41BD-8649-1ACF364A292B}" type="presOf" srcId="{BA28F4A6-AD16-499D-88C1-DBE004B28175}" destId="{B06AADB2-5D51-41DC-8677-C0CC2357518B}" srcOrd="1" destOrd="0" presId="urn:microsoft.com/office/officeart/2005/8/layout/radial1"/>
    <dgm:cxn modelId="{60B16FCE-600C-4D6C-B5D2-FBE38A49FCCA}" type="presOf" srcId="{2F72DDEE-62D3-48A5-836A-4C87596541F0}" destId="{7B59CB2C-C82F-41EE-B3CF-ADD4878ADBA6}" srcOrd="0" destOrd="0" presId="urn:microsoft.com/office/officeart/2005/8/layout/radial1"/>
    <dgm:cxn modelId="{16E53D4C-2826-4967-9A0E-5AEE02039A1D}" type="presOf" srcId="{D460D018-736B-4CE5-A14B-061F8EFE829B}" destId="{5AF8D9AC-0C15-4D1B-BCD3-7FFCFF0A581D}" srcOrd="0" destOrd="0" presId="urn:microsoft.com/office/officeart/2005/8/layout/radial1"/>
    <dgm:cxn modelId="{A912AE9B-F60E-41B5-859E-D80ACFF37A13}" type="presOf" srcId="{3F89048A-3F9F-4897-8631-4599F4976029}" destId="{4DF1B0BE-A63A-4BEA-9EE5-4168481CC99E}" srcOrd="0" destOrd="0" presId="urn:microsoft.com/office/officeart/2005/8/layout/radial1"/>
    <dgm:cxn modelId="{7D812061-7EB3-4D73-96B8-40654E707062}" type="presParOf" srcId="{9D8B49BD-1DF7-4888-9A7E-2CFD4320CC2B}" destId="{493DA7EC-5D69-41B7-92E4-ED7ED9F48883}" srcOrd="0" destOrd="0" presId="urn:microsoft.com/office/officeart/2005/8/layout/radial1"/>
    <dgm:cxn modelId="{7699F2C9-E6A0-416C-9504-7B4A1B4F0482}" type="presParOf" srcId="{9D8B49BD-1DF7-4888-9A7E-2CFD4320CC2B}" destId="{E6ACA703-0949-41B3-BE6B-C702E5C7275F}" srcOrd="1" destOrd="0" presId="urn:microsoft.com/office/officeart/2005/8/layout/radial1"/>
    <dgm:cxn modelId="{9D54E511-3378-4C6A-ADA4-9F017D93DFC0}" type="presParOf" srcId="{E6ACA703-0949-41B3-BE6B-C702E5C7275F}" destId="{B06AADB2-5D51-41DC-8677-C0CC2357518B}" srcOrd="0" destOrd="0" presId="urn:microsoft.com/office/officeart/2005/8/layout/radial1"/>
    <dgm:cxn modelId="{D78F3877-DFE9-4630-9B47-D2ED76B0DAAA}" type="presParOf" srcId="{9D8B49BD-1DF7-4888-9A7E-2CFD4320CC2B}" destId="{AFD0CC05-9AD4-4A51-8739-4FB4CA1E4ACE}" srcOrd="2" destOrd="0" presId="urn:microsoft.com/office/officeart/2005/8/layout/radial1"/>
    <dgm:cxn modelId="{EA90C013-B15B-41E8-A385-50DA65A83AB3}" type="presParOf" srcId="{9D8B49BD-1DF7-4888-9A7E-2CFD4320CC2B}" destId="{34515D96-C834-4D67-AF5C-3B293601CBC3}" srcOrd="3" destOrd="0" presId="urn:microsoft.com/office/officeart/2005/8/layout/radial1"/>
    <dgm:cxn modelId="{EC53B72F-2389-4969-9631-E00F8EC394C8}" type="presParOf" srcId="{34515D96-C834-4D67-AF5C-3B293601CBC3}" destId="{A8CF68B1-7D91-429E-8C8D-53007288E1DC}" srcOrd="0" destOrd="0" presId="urn:microsoft.com/office/officeart/2005/8/layout/radial1"/>
    <dgm:cxn modelId="{25F1B111-AD83-491F-862C-19566BF4D2D5}" type="presParOf" srcId="{9D8B49BD-1DF7-4888-9A7E-2CFD4320CC2B}" destId="{D9366F31-B7D7-4B43-830C-AD5E2193A794}" srcOrd="4" destOrd="0" presId="urn:microsoft.com/office/officeart/2005/8/layout/radial1"/>
    <dgm:cxn modelId="{AB7DAC88-4FE7-48B1-B64B-B69600ACD2E1}" type="presParOf" srcId="{9D8B49BD-1DF7-4888-9A7E-2CFD4320CC2B}" destId="{3F0F15B6-4D5A-493B-B03E-AE8141DC3DCE}" srcOrd="5" destOrd="0" presId="urn:microsoft.com/office/officeart/2005/8/layout/radial1"/>
    <dgm:cxn modelId="{9BAFB675-EC0D-4FDF-9E8C-DCE5255867D5}" type="presParOf" srcId="{3F0F15B6-4D5A-493B-B03E-AE8141DC3DCE}" destId="{905DF954-A0B6-4A5F-9CE2-F1C3ADBDD0C1}" srcOrd="0" destOrd="0" presId="urn:microsoft.com/office/officeart/2005/8/layout/radial1"/>
    <dgm:cxn modelId="{B29AA78E-95A8-4F3E-8D64-CC0BE08DF1CC}" type="presParOf" srcId="{9D8B49BD-1DF7-4888-9A7E-2CFD4320CC2B}" destId="{ECD2D13D-466C-468B-BD6C-1B646D8E5B8E}" srcOrd="6" destOrd="0" presId="urn:microsoft.com/office/officeart/2005/8/layout/radial1"/>
    <dgm:cxn modelId="{1B9F4F77-E9D2-4F82-9F12-01C535C3C201}" type="presParOf" srcId="{9D8B49BD-1DF7-4888-9A7E-2CFD4320CC2B}" destId="{5CF8296B-0142-429D-A71A-20799D2EB74B}" srcOrd="7" destOrd="0" presId="urn:microsoft.com/office/officeart/2005/8/layout/radial1"/>
    <dgm:cxn modelId="{A98D5060-FBFF-48E8-A9AA-C0486AB94909}" type="presParOf" srcId="{5CF8296B-0142-429D-A71A-20799D2EB74B}" destId="{48797E66-4F8B-4B79-BCA7-6F88E85CF835}" srcOrd="0" destOrd="0" presId="urn:microsoft.com/office/officeart/2005/8/layout/radial1"/>
    <dgm:cxn modelId="{51E89429-87F7-4528-9902-862BAA77D046}" type="presParOf" srcId="{9D8B49BD-1DF7-4888-9A7E-2CFD4320CC2B}" destId="{7E7DDE23-6C04-407D-AAB6-669511EA704E}" srcOrd="8" destOrd="0" presId="urn:microsoft.com/office/officeart/2005/8/layout/radial1"/>
    <dgm:cxn modelId="{EE8B7E67-12F6-40F5-AC28-7D263B5EC08C}" type="presParOf" srcId="{9D8B49BD-1DF7-4888-9A7E-2CFD4320CC2B}" destId="{DC281168-2DBC-4CFB-B21D-C54E9628B383}" srcOrd="9" destOrd="0" presId="urn:microsoft.com/office/officeart/2005/8/layout/radial1"/>
    <dgm:cxn modelId="{7CA0744A-7720-45C4-9FCE-EDEC9F384D62}" type="presParOf" srcId="{DC281168-2DBC-4CFB-B21D-C54E9628B383}" destId="{0D3BFC0A-5ED4-4CCF-A336-A529B3363890}" srcOrd="0" destOrd="0" presId="urn:microsoft.com/office/officeart/2005/8/layout/radial1"/>
    <dgm:cxn modelId="{126B919B-9470-4B3D-B849-2161BEBBC8B7}" type="presParOf" srcId="{9D8B49BD-1DF7-4888-9A7E-2CFD4320CC2B}" destId="{66DADE40-99AE-41BE-B997-129EED231064}" srcOrd="10" destOrd="0" presId="urn:microsoft.com/office/officeart/2005/8/layout/radial1"/>
    <dgm:cxn modelId="{187DEEF8-2057-462B-97DD-0BCE31BAC1A9}" type="presParOf" srcId="{9D8B49BD-1DF7-4888-9A7E-2CFD4320CC2B}" destId="{4DF1B0BE-A63A-4BEA-9EE5-4168481CC99E}" srcOrd="11" destOrd="0" presId="urn:microsoft.com/office/officeart/2005/8/layout/radial1"/>
    <dgm:cxn modelId="{F7C23626-9AB9-439E-B8C6-2F775F6DAAE7}" type="presParOf" srcId="{4DF1B0BE-A63A-4BEA-9EE5-4168481CC99E}" destId="{32B4D7AF-BD29-4AC4-BA11-37F2AE9561F4}" srcOrd="0" destOrd="0" presId="urn:microsoft.com/office/officeart/2005/8/layout/radial1"/>
    <dgm:cxn modelId="{20DFC902-B6C2-44E2-B42C-325AA8EE10F1}" type="presParOf" srcId="{9D8B49BD-1DF7-4888-9A7E-2CFD4320CC2B}" destId="{DB594876-4070-4577-942D-67F5CD4D6A19}" srcOrd="12" destOrd="0" presId="urn:microsoft.com/office/officeart/2005/8/layout/radial1"/>
    <dgm:cxn modelId="{BDDAB45C-AD0E-473E-97D2-30FF4CCE9595}" type="presParOf" srcId="{9D8B49BD-1DF7-4888-9A7E-2CFD4320CC2B}" destId="{E49C447F-3477-4311-B10B-FFFA7DE7209F}" srcOrd="13" destOrd="0" presId="urn:microsoft.com/office/officeart/2005/8/layout/radial1"/>
    <dgm:cxn modelId="{4338FECD-21CF-45FB-8403-0971386E1A9A}" type="presParOf" srcId="{E49C447F-3477-4311-B10B-FFFA7DE7209F}" destId="{B930024E-8665-4782-9C41-36517A71FCD4}" srcOrd="0" destOrd="0" presId="urn:microsoft.com/office/officeart/2005/8/layout/radial1"/>
    <dgm:cxn modelId="{37B443FB-01A7-4D21-9A05-B1B9BCAC5CBB}" type="presParOf" srcId="{9D8B49BD-1DF7-4888-9A7E-2CFD4320CC2B}" destId="{69F18085-0AC3-4BAE-9B16-F8478FFBD61E}" srcOrd="14" destOrd="0" presId="urn:microsoft.com/office/officeart/2005/8/layout/radial1"/>
    <dgm:cxn modelId="{85A0C39A-7ACE-4F63-9F37-40743B8EB416}" type="presParOf" srcId="{9D8B49BD-1DF7-4888-9A7E-2CFD4320CC2B}" destId="{FCC14444-D5E7-4E9C-B980-A27CD799E442}" srcOrd="15" destOrd="0" presId="urn:microsoft.com/office/officeart/2005/8/layout/radial1"/>
    <dgm:cxn modelId="{F8674961-406D-4FB9-A5EB-B64B8F0DBC09}" type="presParOf" srcId="{FCC14444-D5E7-4E9C-B980-A27CD799E442}" destId="{3EA6B60F-F2E8-4D48-9EC1-CAAE09243949}" srcOrd="0" destOrd="0" presId="urn:microsoft.com/office/officeart/2005/8/layout/radial1"/>
    <dgm:cxn modelId="{518CA6F6-5B78-4A5C-ACDA-6EC0479A09DB}" type="presParOf" srcId="{9D8B49BD-1DF7-4888-9A7E-2CFD4320CC2B}" destId="{49C45DFA-0A15-4DAA-80DC-CAE4ABCC6B43}" srcOrd="16" destOrd="0" presId="urn:microsoft.com/office/officeart/2005/8/layout/radial1"/>
    <dgm:cxn modelId="{8408EC08-932F-420E-8245-C989B6C46B49}" type="presParOf" srcId="{9D8B49BD-1DF7-4888-9A7E-2CFD4320CC2B}" destId="{7B59CB2C-C82F-41EE-B3CF-ADD4878ADBA6}" srcOrd="17" destOrd="0" presId="urn:microsoft.com/office/officeart/2005/8/layout/radial1"/>
    <dgm:cxn modelId="{A2CEF380-9F51-40A5-9A04-6E645CE7C299}" type="presParOf" srcId="{7B59CB2C-C82F-41EE-B3CF-ADD4878ADBA6}" destId="{280B3AB5-4999-4B99-8BE9-E09C9DF5D482}" srcOrd="0" destOrd="0" presId="urn:microsoft.com/office/officeart/2005/8/layout/radial1"/>
    <dgm:cxn modelId="{6A234303-B77E-4074-A5CF-7F75A27E0BE1}" type="presParOf" srcId="{9D8B49BD-1DF7-4888-9A7E-2CFD4320CC2B}" destId="{402B25BB-F397-46B5-AAB7-C38C2276BF82}" srcOrd="18" destOrd="0" presId="urn:microsoft.com/office/officeart/2005/8/layout/radial1"/>
    <dgm:cxn modelId="{E2C22A61-9078-4766-A7C7-78BEA4E0EFE3}" type="presParOf" srcId="{9D8B49BD-1DF7-4888-9A7E-2CFD4320CC2B}" destId="{EFB9CB5A-411C-454B-96B1-9ED988829CBE}" srcOrd="19" destOrd="0" presId="urn:microsoft.com/office/officeart/2005/8/layout/radial1"/>
    <dgm:cxn modelId="{11FAF48B-7DD4-499F-8EDB-CCE7EF9A3971}" type="presParOf" srcId="{EFB9CB5A-411C-454B-96B1-9ED988829CBE}" destId="{A140118B-14B1-45A7-9CF9-17E4D006F84D}" srcOrd="0" destOrd="0" presId="urn:microsoft.com/office/officeart/2005/8/layout/radial1"/>
    <dgm:cxn modelId="{7C06FE97-A9C0-4258-A858-5157DA0EDD61}" type="presParOf" srcId="{9D8B49BD-1DF7-4888-9A7E-2CFD4320CC2B}" destId="{5AF8D9AC-0C15-4D1B-BCD3-7FFCFF0A581D}" srcOrd="20" destOrd="0" presId="urn:microsoft.com/office/officeart/2005/8/layout/radial1"/>
    <dgm:cxn modelId="{1B726231-6589-4662-A1D5-BC2CD3AC233C}" type="presParOf" srcId="{9D8B49BD-1DF7-4888-9A7E-2CFD4320CC2B}" destId="{EA581F84-B016-4CDB-99D6-9E3DD9F505FC}" srcOrd="21" destOrd="0" presId="urn:microsoft.com/office/officeart/2005/8/layout/radial1"/>
    <dgm:cxn modelId="{46C56476-9C48-4A51-B7E9-01C04650845D}" type="presParOf" srcId="{EA581F84-B016-4CDB-99D6-9E3DD9F505FC}" destId="{5EA7C01D-B441-4CF8-BC42-1137E519F776}" srcOrd="0" destOrd="0" presId="urn:microsoft.com/office/officeart/2005/8/layout/radial1"/>
    <dgm:cxn modelId="{71793609-5FEE-4D6C-BD3F-19F13388E0CA}" type="presParOf" srcId="{9D8B49BD-1DF7-4888-9A7E-2CFD4320CC2B}" destId="{0BAA02DA-E841-4BF5-8708-178825E9BEE2}" srcOrd="22" destOrd="0" presId="urn:microsoft.com/office/officeart/2005/8/layout/radial1"/>
  </dgm:cxnLst>
  <dgm:bg>
    <a:noFill/>
  </dgm:bg>
  <dgm:whole/>
  <dgm:extLst>
    <a:ext uri="http://schemas.microsoft.com/office/drawing/2008/diagram">
      <dsp:dataModelExt xmlns:dsp="http://schemas.microsoft.com/office/drawing/2008/diagram" relId="rId18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2D173F-A40A-406A-BA41-067F590F5B00}">
      <dsp:nvSpPr>
        <dsp:cNvPr id="0" name=""/>
        <dsp:cNvSpPr/>
      </dsp:nvSpPr>
      <dsp:spPr>
        <a:xfrm>
          <a:off x="2395316" y="772684"/>
          <a:ext cx="1196446" cy="47871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dsp:txBody>
      <dsp:txXfrm>
        <a:off x="2570531" y="842790"/>
        <a:ext cx="846016" cy="338500"/>
      </dsp:txXfrm>
    </dsp:sp>
    <dsp:sp modelId="{2E00D982-49D5-455F-888E-68E4C81A2365}">
      <dsp:nvSpPr>
        <dsp:cNvPr id="0" name=""/>
        <dsp:cNvSpPr/>
      </dsp:nvSpPr>
      <dsp:spPr>
        <a:xfrm rot="16200000">
          <a:off x="2825814" y="597710"/>
          <a:ext cx="335451" cy="14497"/>
        </a:xfrm>
        <a:custGeom>
          <a:avLst/>
          <a:gdLst/>
          <a:ahLst/>
          <a:cxnLst/>
          <a:rect l="0" t="0" r="0" b="0"/>
          <a:pathLst>
            <a:path>
              <a:moveTo>
                <a:pt x="0" y="7259"/>
              </a:moveTo>
              <a:lnTo>
                <a:pt x="355250"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85153" y="596572"/>
        <a:ext cx="16772" cy="16772"/>
      </dsp:txXfrm>
    </dsp:sp>
    <dsp:sp modelId="{44473C27-A9A3-4167-AEAF-A01C156E33F0}">
      <dsp:nvSpPr>
        <dsp:cNvPr id="0" name=""/>
        <dsp:cNvSpPr/>
      </dsp:nvSpPr>
      <dsp:spPr>
        <a:xfrm>
          <a:off x="2493322" y="-41479"/>
          <a:ext cx="1000433" cy="4787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 </a:t>
          </a:r>
        </a:p>
      </dsp:txBody>
      <dsp:txXfrm>
        <a:off x="2639832" y="28627"/>
        <a:ext cx="707413" cy="338500"/>
      </dsp:txXfrm>
    </dsp:sp>
    <dsp:sp modelId="{3FE6E2C5-0D84-4EA6-8A7C-D44D396A169E}">
      <dsp:nvSpPr>
        <dsp:cNvPr id="0" name=""/>
        <dsp:cNvSpPr/>
      </dsp:nvSpPr>
      <dsp:spPr>
        <a:xfrm rot="19792485">
          <a:off x="3319500" y="757100"/>
          <a:ext cx="201792" cy="14497"/>
        </a:xfrm>
        <a:custGeom>
          <a:avLst/>
          <a:gdLst/>
          <a:ahLst/>
          <a:cxnLst/>
          <a:rect l="0" t="0" r="0" b="0"/>
          <a:pathLst>
            <a:path>
              <a:moveTo>
                <a:pt x="0" y="7259"/>
              </a:moveTo>
              <a:lnTo>
                <a:pt x="255651"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5352" y="759304"/>
        <a:ext cx="10089" cy="10089"/>
      </dsp:txXfrm>
    </dsp:sp>
    <dsp:sp modelId="{5F1C34CD-B8DF-45F7-A431-2126D61FFACC}">
      <dsp:nvSpPr>
        <dsp:cNvPr id="0" name=""/>
        <dsp:cNvSpPr/>
      </dsp:nvSpPr>
      <dsp:spPr>
        <a:xfrm>
          <a:off x="3331666" y="275685"/>
          <a:ext cx="1004124" cy="497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3478717" y="348563"/>
        <a:ext cx="710022" cy="351885"/>
      </dsp:txXfrm>
    </dsp:sp>
    <dsp:sp modelId="{93B3BE9E-D237-4DD9-937C-973455BC3658}">
      <dsp:nvSpPr>
        <dsp:cNvPr id="0" name=""/>
        <dsp:cNvSpPr/>
      </dsp:nvSpPr>
      <dsp:spPr>
        <a:xfrm rot="13">
          <a:off x="3591762" y="1004796"/>
          <a:ext cx="830893" cy="14497"/>
        </a:xfrm>
        <a:custGeom>
          <a:avLst/>
          <a:gdLst/>
          <a:ahLst/>
          <a:cxnLst/>
          <a:rect l="0" t="0" r="0" b="0"/>
          <a:pathLst>
            <a:path>
              <a:moveTo>
                <a:pt x="0" y="7259"/>
              </a:moveTo>
              <a:lnTo>
                <a:pt x="1061555"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86437" y="991272"/>
        <a:ext cx="41544" cy="41544"/>
      </dsp:txXfrm>
    </dsp:sp>
    <dsp:sp modelId="{3A26272E-8DBD-422F-ABA2-A3DA0C9B3C69}">
      <dsp:nvSpPr>
        <dsp:cNvPr id="0" name=""/>
        <dsp:cNvSpPr/>
      </dsp:nvSpPr>
      <dsp:spPr>
        <a:xfrm>
          <a:off x="4422656" y="623475"/>
          <a:ext cx="1302453" cy="7771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Oficinas regionales en la sede</a:t>
          </a:r>
          <a:endParaRPr lang="en-US" sz="900" kern="1200">
            <a:solidFill>
              <a:sysClr val="windowText" lastClr="000000"/>
            </a:solidFill>
            <a:latin typeface="Arial" panose="020B0604020202020204" pitchFamily="34" charset="0"/>
            <a:ea typeface="+mn-ea"/>
            <a:cs typeface="Arial" panose="020B0604020202020204" pitchFamily="34" charset="0"/>
          </a:endParaRPr>
        </a:p>
      </dsp:txBody>
      <dsp:txXfrm>
        <a:off x="4613396" y="737286"/>
        <a:ext cx="920973" cy="549525"/>
      </dsp:txXfrm>
    </dsp:sp>
    <dsp:sp modelId="{7F30A5E4-3531-49F3-AC3C-8F1D2236451A}">
      <dsp:nvSpPr>
        <dsp:cNvPr id="0" name=""/>
        <dsp:cNvSpPr/>
      </dsp:nvSpPr>
      <dsp:spPr>
        <a:xfrm rot="1574343">
          <a:off x="3355225" y="1256429"/>
          <a:ext cx="297657" cy="14497"/>
        </a:xfrm>
        <a:custGeom>
          <a:avLst/>
          <a:gdLst/>
          <a:ahLst/>
          <a:cxnLst/>
          <a:rect l="0" t="0" r="0" b="0"/>
          <a:pathLst>
            <a:path>
              <a:moveTo>
                <a:pt x="0" y="7259"/>
              </a:moveTo>
              <a:lnTo>
                <a:pt x="339042"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96613" y="1256236"/>
        <a:ext cx="14882" cy="14882"/>
      </dsp:txXfrm>
    </dsp:sp>
    <dsp:sp modelId="{E01DCF12-19AC-4734-9210-5F881573D3F5}">
      <dsp:nvSpPr>
        <dsp:cNvPr id="0" name=""/>
        <dsp:cNvSpPr/>
      </dsp:nvSpPr>
      <dsp:spPr>
        <a:xfrm>
          <a:off x="3451344" y="1267298"/>
          <a:ext cx="1114117" cy="48995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14503" y="1339050"/>
        <a:ext cx="787799" cy="346448"/>
      </dsp:txXfrm>
    </dsp:sp>
    <dsp:sp modelId="{9350C245-A165-4791-BD7A-BFCED0BB0361}">
      <dsp:nvSpPr>
        <dsp:cNvPr id="0" name=""/>
        <dsp:cNvSpPr/>
      </dsp:nvSpPr>
      <dsp:spPr>
        <a:xfrm rot="5400000">
          <a:off x="2876127" y="1361560"/>
          <a:ext cx="234823" cy="14497"/>
        </a:xfrm>
        <a:custGeom>
          <a:avLst/>
          <a:gdLst/>
          <a:ahLst/>
          <a:cxnLst/>
          <a:rect l="0" t="0" r="0" b="0"/>
          <a:pathLst>
            <a:path>
              <a:moveTo>
                <a:pt x="0" y="7259"/>
              </a:moveTo>
              <a:lnTo>
                <a:pt x="327479"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87668" y="1362938"/>
        <a:ext cx="11741" cy="11741"/>
      </dsp:txXfrm>
    </dsp:sp>
    <dsp:sp modelId="{C7416AF2-49A6-451C-80C3-A5143C86D045}">
      <dsp:nvSpPr>
        <dsp:cNvPr id="0" name=""/>
        <dsp:cNvSpPr/>
      </dsp:nvSpPr>
      <dsp:spPr>
        <a:xfrm>
          <a:off x="2422794" y="1486220"/>
          <a:ext cx="1141490" cy="67996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2589961" y="1585799"/>
        <a:ext cx="807156" cy="480810"/>
      </dsp:txXfrm>
    </dsp:sp>
    <dsp:sp modelId="{2A6DC4FF-B426-4171-A201-27B83DA94370}">
      <dsp:nvSpPr>
        <dsp:cNvPr id="0" name=""/>
        <dsp:cNvSpPr/>
      </dsp:nvSpPr>
      <dsp:spPr>
        <a:xfrm rot="9410013">
          <a:off x="2356208" y="1226512"/>
          <a:ext cx="238363" cy="14497"/>
        </a:xfrm>
        <a:custGeom>
          <a:avLst/>
          <a:gdLst/>
          <a:ahLst/>
          <a:cxnLst/>
          <a:rect l="0" t="0" r="0" b="0"/>
          <a:pathLst>
            <a:path>
              <a:moveTo>
                <a:pt x="0" y="7259"/>
              </a:moveTo>
              <a:lnTo>
                <a:pt x="32842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69430" y="1227802"/>
        <a:ext cx="11918" cy="11918"/>
      </dsp:txXfrm>
    </dsp:sp>
    <dsp:sp modelId="{353BAFE4-0977-4589-9534-7471241857D7}">
      <dsp:nvSpPr>
        <dsp:cNvPr id="0" name=""/>
        <dsp:cNvSpPr/>
      </dsp:nvSpPr>
      <dsp:spPr>
        <a:xfrm>
          <a:off x="1360018" y="1176085"/>
          <a:ext cx="1138192" cy="5828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Economía y estadística </a:t>
          </a:r>
        </a:p>
      </dsp:txBody>
      <dsp:txXfrm>
        <a:off x="1526702" y="1261443"/>
        <a:ext cx="804824" cy="412145"/>
      </dsp:txXfrm>
    </dsp:sp>
    <dsp:sp modelId="{D3C62D02-BD66-40AA-8598-E6F03FA4330E}">
      <dsp:nvSpPr>
        <dsp:cNvPr id="0" name=""/>
        <dsp:cNvSpPr/>
      </dsp:nvSpPr>
      <dsp:spPr>
        <a:xfrm rot="10800000">
          <a:off x="1567047" y="1004792"/>
          <a:ext cx="828269" cy="14497"/>
        </a:xfrm>
        <a:custGeom>
          <a:avLst/>
          <a:gdLst/>
          <a:ahLst/>
          <a:cxnLst/>
          <a:rect l="0" t="0" r="0" b="0"/>
          <a:pathLst>
            <a:path>
              <a:moveTo>
                <a:pt x="0" y="7259"/>
              </a:moveTo>
              <a:lnTo>
                <a:pt x="1146536"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60474" y="991334"/>
        <a:ext cx="41413" cy="41413"/>
      </dsp:txXfrm>
    </dsp:sp>
    <dsp:sp modelId="{694C81C6-3E54-45BC-9ED9-5944CBD672A7}">
      <dsp:nvSpPr>
        <dsp:cNvPr id="0" name=""/>
        <dsp:cNvSpPr/>
      </dsp:nvSpPr>
      <dsp:spPr>
        <a:xfrm>
          <a:off x="177635" y="657992"/>
          <a:ext cx="1389411" cy="7080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p>
      </dsp:txBody>
      <dsp:txXfrm>
        <a:off x="381110" y="761690"/>
        <a:ext cx="982461" cy="500701"/>
      </dsp:txXfrm>
    </dsp:sp>
    <dsp:sp modelId="{98E66AFE-BCED-48F2-B78A-230BF42B9FFC}">
      <dsp:nvSpPr>
        <dsp:cNvPr id="0" name=""/>
        <dsp:cNvSpPr/>
      </dsp:nvSpPr>
      <dsp:spPr>
        <a:xfrm rot="12476106">
          <a:off x="2476475" y="774741"/>
          <a:ext cx="166433" cy="14497"/>
        </a:xfrm>
        <a:custGeom>
          <a:avLst/>
          <a:gdLst/>
          <a:ahLst/>
          <a:cxnLst/>
          <a:rect l="0" t="0" r="0" b="0"/>
          <a:pathLst>
            <a:path>
              <a:moveTo>
                <a:pt x="0" y="7259"/>
              </a:moveTo>
              <a:lnTo>
                <a:pt x="219777" y="725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55531" y="777829"/>
        <a:ext cx="8321" cy="8321"/>
      </dsp:txXfrm>
    </dsp:sp>
    <dsp:sp modelId="{A8CAB3F2-A4A1-434C-9CB4-641DE8526482}">
      <dsp:nvSpPr>
        <dsp:cNvPr id="0" name=""/>
        <dsp:cNvSpPr/>
      </dsp:nvSpPr>
      <dsp:spPr>
        <a:xfrm>
          <a:off x="1537470" y="229480"/>
          <a:ext cx="1103509" cy="6060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sp:txBody>
      <dsp:txXfrm>
        <a:off x="1699075" y="318239"/>
        <a:ext cx="780299" cy="42856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246962" y="538314"/>
          <a:ext cx="1259174" cy="4090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a:t>
          </a:r>
        </a:p>
      </dsp:txBody>
      <dsp:txXfrm>
        <a:off x="2431364" y="598213"/>
        <a:ext cx="890370" cy="289221"/>
      </dsp:txXfrm>
    </dsp:sp>
    <dsp:sp modelId="{4AC11394-3179-4EC5-A97F-D1A1B521CE2F}">
      <dsp:nvSpPr>
        <dsp:cNvPr id="0" name=""/>
        <dsp:cNvSpPr/>
      </dsp:nvSpPr>
      <dsp:spPr>
        <a:xfrm rot="1134">
          <a:off x="3506136" y="736735"/>
          <a:ext cx="622177" cy="12797"/>
        </a:xfrm>
        <a:custGeom>
          <a:avLst/>
          <a:gdLst/>
          <a:ahLst/>
          <a:cxnLst/>
          <a:rect l="0" t="0" r="0" b="0"/>
          <a:pathLst>
            <a:path>
              <a:moveTo>
                <a:pt x="0" y="6398"/>
              </a:moveTo>
              <a:lnTo>
                <a:pt x="769072"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01670" y="727580"/>
        <a:ext cx="31108" cy="31108"/>
      </dsp:txXfrm>
    </dsp:sp>
    <dsp:sp modelId="{035B4C9A-0916-4FCC-A1CF-85DB358A289A}">
      <dsp:nvSpPr>
        <dsp:cNvPr id="0" name=""/>
        <dsp:cNvSpPr/>
      </dsp:nvSpPr>
      <dsp:spPr>
        <a:xfrm>
          <a:off x="4128313" y="516645"/>
          <a:ext cx="1580246" cy="45370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359735" y="583088"/>
        <a:ext cx="1117402" cy="320818"/>
      </dsp:txXfrm>
    </dsp:sp>
    <dsp:sp modelId="{ADF94B70-0D7F-4A27-8DF9-17BCD27F4A7A}">
      <dsp:nvSpPr>
        <dsp:cNvPr id="0" name=""/>
        <dsp:cNvSpPr/>
      </dsp:nvSpPr>
      <dsp:spPr>
        <a:xfrm rot="10801296">
          <a:off x="1728239" y="736090"/>
          <a:ext cx="518724" cy="12797"/>
        </a:xfrm>
        <a:custGeom>
          <a:avLst/>
          <a:gdLst/>
          <a:ahLst/>
          <a:cxnLst/>
          <a:rect l="0" t="0" r="0" b="0"/>
          <a:pathLst>
            <a:path>
              <a:moveTo>
                <a:pt x="0" y="6398"/>
              </a:moveTo>
              <a:lnTo>
                <a:pt x="605386" y="63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74633" y="729520"/>
        <a:ext cx="25936" cy="25936"/>
      </dsp:txXfrm>
    </dsp:sp>
    <dsp:sp modelId="{0FAF3FA1-8E6C-455E-B189-A468B3F4D8BC}">
      <dsp:nvSpPr>
        <dsp:cNvPr id="0" name=""/>
        <dsp:cNvSpPr/>
      </dsp:nvSpPr>
      <dsp:spPr>
        <a:xfrm>
          <a:off x="466725" y="515049"/>
          <a:ext cx="1261513" cy="4542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sp:txBody>
      <dsp:txXfrm>
        <a:off x="651469" y="581566"/>
        <a:ext cx="892025" cy="32117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19622" y="708011"/>
          <a:ext cx="1208221" cy="40722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dsp:txBody>
      <dsp:txXfrm>
        <a:off x="2596562" y="767648"/>
        <a:ext cx="854341" cy="287954"/>
      </dsp:txXfrm>
    </dsp:sp>
    <dsp:sp modelId="{5337AE63-3722-42CC-AF72-36670EB7C5E1}">
      <dsp:nvSpPr>
        <dsp:cNvPr id="0" name=""/>
        <dsp:cNvSpPr/>
      </dsp:nvSpPr>
      <dsp:spPr>
        <a:xfrm rot="16231713">
          <a:off x="2907298" y="582433"/>
          <a:ext cx="238829" cy="12339"/>
        </a:xfrm>
        <a:custGeom>
          <a:avLst/>
          <a:gdLst/>
          <a:ahLst/>
          <a:cxnLst/>
          <a:rect l="0" t="0" r="0" b="0"/>
          <a:pathLst>
            <a:path>
              <a:moveTo>
                <a:pt x="0" y="6169"/>
              </a:moveTo>
              <a:lnTo>
                <a:pt x="238957"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20741" y="582632"/>
        <a:ext cx="11941" cy="11941"/>
      </dsp:txXfrm>
    </dsp:sp>
    <dsp:sp modelId="{CED9197C-8322-406B-917C-172FA36E7B76}">
      <dsp:nvSpPr>
        <dsp:cNvPr id="0" name=""/>
        <dsp:cNvSpPr/>
      </dsp:nvSpPr>
      <dsp:spPr>
        <a:xfrm>
          <a:off x="2505127" y="23736"/>
          <a:ext cx="1049483" cy="4454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2658820" y="88972"/>
        <a:ext cx="742097" cy="314986"/>
      </dsp:txXfrm>
    </dsp:sp>
    <dsp:sp modelId="{4AC11394-3179-4EC5-A97F-D1A1B521CE2F}">
      <dsp:nvSpPr>
        <dsp:cNvPr id="0" name=""/>
        <dsp:cNvSpPr/>
      </dsp:nvSpPr>
      <dsp:spPr>
        <a:xfrm rot="20243593">
          <a:off x="3382883" y="642482"/>
          <a:ext cx="544782" cy="12339"/>
        </a:xfrm>
        <a:custGeom>
          <a:avLst/>
          <a:gdLst/>
          <a:ahLst/>
          <a:cxnLst/>
          <a:rect l="0" t="0" r="0" b="0"/>
          <a:pathLst>
            <a:path>
              <a:moveTo>
                <a:pt x="0" y="6169"/>
              </a:moveTo>
              <a:lnTo>
                <a:pt x="566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41655" y="635032"/>
        <a:ext cx="27239" cy="27239"/>
      </dsp:txXfrm>
    </dsp:sp>
    <dsp:sp modelId="{035B4C9A-0916-4FCC-A1CF-85DB358A289A}">
      <dsp:nvSpPr>
        <dsp:cNvPr id="0" name=""/>
        <dsp:cNvSpPr/>
      </dsp:nvSpPr>
      <dsp:spPr>
        <a:xfrm>
          <a:off x="3645584" y="122250"/>
          <a:ext cx="1408145" cy="4745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3851802" y="191742"/>
        <a:ext cx="995709" cy="335538"/>
      </dsp:txXfrm>
    </dsp:sp>
    <dsp:sp modelId="{ADF94B70-0D7F-4A27-8DF9-17BCD27F4A7A}">
      <dsp:nvSpPr>
        <dsp:cNvPr id="0" name=""/>
        <dsp:cNvSpPr/>
      </dsp:nvSpPr>
      <dsp:spPr>
        <a:xfrm rot="551">
          <a:off x="3627843" y="905644"/>
          <a:ext cx="1148357" cy="12339"/>
        </a:xfrm>
        <a:custGeom>
          <a:avLst/>
          <a:gdLst/>
          <a:ahLst/>
          <a:cxnLst/>
          <a:rect l="0" t="0" r="0" b="0"/>
          <a:pathLst>
            <a:path>
              <a:moveTo>
                <a:pt x="0" y="6169"/>
              </a:moveTo>
              <a:lnTo>
                <a:pt x="1149022"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73313" y="883105"/>
        <a:ext cx="57417" cy="57417"/>
      </dsp:txXfrm>
    </dsp:sp>
    <dsp:sp modelId="{0FAF3FA1-8E6C-455E-B189-A468B3F4D8BC}">
      <dsp:nvSpPr>
        <dsp:cNvPr id="0" name=""/>
        <dsp:cNvSpPr/>
      </dsp:nvSpPr>
      <dsp:spPr>
        <a:xfrm>
          <a:off x="4776200" y="660499"/>
          <a:ext cx="1164224" cy="50300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4946697" y="734162"/>
        <a:ext cx="823230" cy="355674"/>
      </dsp:txXfrm>
    </dsp:sp>
    <dsp:sp modelId="{447FEE0B-EFE1-4BAD-80EF-66C3DD36014A}">
      <dsp:nvSpPr>
        <dsp:cNvPr id="0" name=""/>
        <dsp:cNvSpPr/>
      </dsp:nvSpPr>
      <dsp:spPr>
        <a:xfrm rot="1168161">
          <a:off x="3435416" y="1083022"/>
          <a:ext cx="181206" cy="12339"/>
        </a:xfrm>
        <a:custGeom>
          <a:avLst/>
          <a:gdLst/>
          <a:ahLst/>
          <a:cxnLst/>
          <a:rect l="0" t="0" r="0" b="0"/>
          <a:pathLst>
            <a:path>
              <a:moveTo>
                <a:pt x="0" y="6169"/>
              </a:moveTo>
              <a:lnTo>
                <a:pt x="229885"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21489" y="1084662"/>
        <a:ext cx="9060" cy="9060"/>
      </dsp:txXfrm>
    </dsp:sp>
    <dsp:sp modelId="{3F1A2A14-E080-4448-96C3-A8E6002E7EE2}">
      <dsp:nvSpPr>
        <dsp:cNvPr id="0" name=""/>
        <dsp:cNvSpPr/>
      </dsp:nvSpPr>
      <dsp:spPr>
        <a:xfrm>
          <a:off x="3446571" y="1028412"/>
          <a:ext cx="1327319" cy="53461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3640952" y="1106705"/>
        <a:ext cx="938557" cy="378031"/>
      </dsp:txXfrm>
    </dsp:sp>
    <dsp:sp modelId="{E64AB50F-BCCF-45E7-A4E4-85ABC4F0C76B}">
      <dsp:nvSpPr>
        <dsp:cNvPr id="0" name=""/>
        <dsp:cNvSpPr/>
      </dsp:nvSpPr>
      <dsp:spPr>
        <a:xfrm rot="9567707">
          <a:off x="2440037" y="1089376"/>
          <a:ext cx="185551" cy="12339"/>
        </a:xfrm>
        <a:custGeom>
          <a:avLst/>
          <a:gdLst/>
          <a:ahLst/>
          <a:cxnLst/>
          <a:rect l="0" t="0" r="0" b="0"/>
          <a:pathLst>
            <a:path>
              <a:moveTo>
                <a:pt x="0" y="6169"/>
              </a:moveTo>
              <a:lnTo>
                <a:pt x="215118"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528174" y="1090907"/>
        <a:ext cx="9277" cy="9277"/>
      </dsp:txXfrm>
    </dsp:sp>
    <dsp:sp modelId="{97004BB0-64D3-4A92-A1C1-813788F5650F}">
      <dsp:nvSpPr>
        <dsp:cNvPr id="0" name=""/>
        <dsp:cNvSpPr/>
      </dsp:nvSpPr>
      <dsp:spPr>
        <a:xfrm>
          <a:off x="1215105" y="1018965"/>
          <a:ext cx="1396340" cy="61737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a:t>
          </a:r>
        </a:p>
        <a:p>
          <a:pPr lvl="0" algn="ctr" defTabSz="444500">
            <a:lnSpc>
              <a:spcPct val="90000"/>
            </a:lnSpc>
            <a:spcBef>
              <a:spcPct val="0"/>
            </a:spcBef>
            <a:spcAft>
              <a:spcPct val="35000"/>
            </a:spcAft>
          </a:pPr>
          <a:r>
            <a:rPr lang="en-US" sz="900" kern="1200" baseline="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oficinas de P.I. </a:t>
          </a:r>
        </a:p>
      </dsp:txBody>
      <dsp:txXfrm>
        <a:off x="1419594" y="1109377"/>
        <a:ext cx="987362" cy="436550"/>
      </dsp:txXfrm>
    </dsp:sp>
    <dsp:sp modelId="{D74286FF-AAFA-441A-87F1-98384D680093}">
      <dsp:nvSpPr>
        <dsp:cNvPr id="0" name=""/>
        <dsp:cNvSpPr/>
      </dsp:nvSpPr>
      <dsp:spPr>
        <a:xfrm rot="10797497">
          <a:off x="1389803" y="906270"/>
          <a:ext cx="1029819" cy="12339"/>
        </a:xfrm>
        <a:custGeom>
          <a:avLst/>
          <a:gdLst/>
          <a:ahLst/>
          <a:cxnLst/>
          <a:rect l="0" t="0" r="0" b="0"/>
          <a:pathLst>
            <a:path>
              <a:moveTo>
                <a:pt x="0" y="6169"/>
              </a:moveTo>
              <a:lnTo>
                <a:pt x="1030370"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78968" y="886694"/>
        <a:ext cx="51490" cy="51490"/>
      </dsp:txXfrm>
    </dsp:sp>
    <dsp:sp modelId="{755CFD49-3313-42A9-A1A9-D99CF689F3D7}">
      <dsp:nvSpPr>
        <dsp:cNvPr id="0" name=""/>
        <dsp:cNvSpPr/>
      </dsp:nvSpPr>
      <dsp:spPr>
        <a:xfrm>
          <a:off x="3433" y="634912"/>
          <a:ext cx="1386371" cy="5568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endParaRPr lang="en-US" sz="900" kern="1200">
            <a:solidFill>
              <a:srgbClr val="C00000"/>
            </a:solidFill>
            <a:latin typeface="Arial" panose="020B0604020202020204" pitchFamily="34" charset="0"/>
            <a:ea typeface="+mn-ea"/>
            <a:cs typeface="Arial" panose="020B0604020202020204" pitchFamily="34" charset="0"/>
          </a:endParaRPr>
        </a:p>
      </dsp:txBody>
      <dsp:txXfrm>
        <a:off x="206462" y="716456"/>
        <a:ext cx="980313" cy="393727"/>
      </dsp:txXfrm>
    </dsp:sp>
    <dsp:sp modelId="{6674A0B6-35AA-4763-B890-1E2177289BCF}">
      <dsp:nvSpPr>
        <dsp:cNvPr id="0" name=""/>
        <dsp:cNvSpPr/>
      </dsp:nvSpPr>
      <dsp:spPr>
        <a:xfrm rot="12231066">
          <a:off x="2224226" y="652026"/>
          <a:ext cx="452579" cy="12339"/>
        </a:xfrm>
        <a:custGeom>
          <a:avLst/>
          <a:gdLst/>
          <a:ahLst/>
          <a:cxnLst/>
          <a:rect l="0" t="0" r="0" b="0"/>
          <a:pathLst>
            <a:path>
              <a:moveTo>
                <a:pt x="0" y="6169"/>
              </a:moveTo>
              <a:lnTo>
                <a:pt x="452821" y="6169"/>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39202" y="646881"/>
        <a:ext cx="22628" cy="22628"/>
      </dsp:txXfrm>
    </dsp:sp>
    <dsp:sp modelId="{16FD236C-1C35-46D3-A6E9-C486F23997B9}">
      <dsp:nvSpPr>
        <dsp:cNvPr id="0" name=""/>
        <dsp:cNvSpPr/>
      </dsp:nvSpPr>
      <dsp:spPr>
        <a:xfrm>
          <a:off x="1150782" y="125497"/>
          <a:ext cx="1324081" cy="5015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Gestion ejecutiva </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44689" y="198944"/>
        <a:ext cx="936267" cy="35463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511811" y="788849"/>
          <a:ext cx="1186152" cy="52041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a:t>
          </a:r>
        </a:p>
      </dsp:txBody>
      <dsp:txXfrm>
        <a:off x="2685519" y="865061"/>
        <a:ext cx="838736" cy="367987"/>
      </dsp:txXfrm>
    </dsp:sp>
    <dsp:sp modelId="{27C08CD6-CB73-4E0E-BA37-473C15E9C926}">
      <dsp:nvSpPr>
        <dsp:cNvPr id="0" name=""/>
        <dsp:cNvSpPr/>
      </dsp:nvSpPr>
      <dsp:spPr>
        <a:xfrm rot="16200000">
          <a:off x="2993276" y="669585"/>
          <a:ext cx="223223" cy="15304"/>
        </a:xfrm>
        <a:custGeom>
          <a:avLst/>
          <a:gdLst/>
          <a:ahLst/>
          <a:cxnLst/>
          <a:rect l="0" t="0" r="0" b="0"/>
          <a:pathLst>
            <a:path>
              <a:moveTo>
                <a:pt x="0" y="14194"/>
              </a:moveTo>
              <a:lnTo>
                <a:pt x="487996"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99307" y="671657"/>
        <a:ext cx="11161" cy="11161"/>
      </dsp:txXfrm>
    </dsp:sp>
    <dsp:sp modelId="{8441BECF-C9FE-4C31-BFA4-B45EB6B3D1F0}">
      <dsp:nvSpPr>
        <dsp:cNvPr id="0" name=""/>
        <dsp:cNvSpPr/>
      </dsp:nvSpPr>
      <dsp:spPr>
        <a:xfrm>
          <a:off x="2670917" y="-29339"/>
          <a:ext cx="867941" cy="5949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Derecho de patentes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798024" y="57792"/>
        <a:ext cx="613727" cy="420703"/>
      </dsp:txXfrm>
    </dsp:sp>
    <dsp:sp modelId="{27678B34-738D-4B59-81F4-6EB54DA6F256}">
      <dsp:nvSpPr>
        <dsp:cNvPr id="0" name=""/>
        <dsp:cNvSpPr/>
      </dsp:nvSpPr>
      <dsp:spPr>
        <a:xfrm rot="19885361">
          <a:off x="3459973" y="772232"/>
          <a:ext cx="278149" cy="15304"/>
        </a:xfrm>
        <a:custGeom>
          <a:avLst/>
          <a:gdLst/>
          <a:ahLst/>
          <a:cxnLst/>
          <a:rect l="0" t="0" r="0" b="0"/>
          <a:pathLst>
            <a:path>
              <a:moveTo>
                <a:pt x="0" y="7652"/>
              </a:moveTo>
              <a:lnTo>
                <a:pt x="278149"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592094" y="772930"/>
        <a:ext cx="13907" cy="13907"/>
      </dsp:txXfrm>
    </dsp:sp>
    <dsp:sp modelId="{77E0AE60-7058-4D43-911F-C57FA8C6CA9F}">
      <dsp:nvSpPr>
        <dsp:cNvPr id="0" name=""/>
        <dsp:cNvSpPr/>
      </dsp:nvSpPr>
      <dsp:spPr>
        <a:xfrm>
          <a:off x="3594720" y="273384"/>
          <a:ext cx="912978"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D.A.D.C.</a:t>
          </a:r>
        </a:p>
      </dsp:txBody>
      <dsp:txXfrm>
        <a:off x="3728423" y="349596"/>
        <a:ext cx="645572" cy="367987"/>
      </dsp:txXfrm>
    </dsp:sp>
    <dsp:sp modelId="{EED79A7F-2696-484A-8083-D28DF0387AD5}">
      <dsp:nvSpPr>
        <dsp:cNvPr id="0" name=""/>
        <dsp:cNvSpPr/>
      </dsp:nvSpPr>
      <dsp:spPr>
        <a:xfrm rot="21587580">
          <a:off x="3697941" y="1037543"/>
          <a:ext cx="950664" cy="15304"/>
        </a:xfrm>
        <a:custGeom>
          <a:avLst/>
          <a:gdLst/>
          <a:ahLst/>
          <a:cxnLst/>
          <a:rect l="0" t="0" r="0" b="0"/>
          <a:pathLst>
            <a:path>
              <a:moveTo>
                <a:pt x="0" y="7652"/>
              </a:moveTo>
              <a:lnTo>
                <a:pt x="950664"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49506" y="1021428"/>
        <a:ext cx="47533" cy="47533"/>
      </dsp:txXfrm>
    </dsp:sp>
    <dsp:sp modelId="{05994623-F04A-4AAC-82E3-2D63726DAA8A}">
      <dsp:nvSpPr>
        <dsp:cNvPr id="0" name=""/>
        <dsp:cNvSpPr/>
      </dsp:nvSpPr>
      <dsp:spPr>
        <a:xfrm>
          <a:off x="4648596" y="701151"/>
          <a:ext cx="920289" cy="68132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783369" y="800929"/>
        <a:ext cx="650743" cy="481771"/>
      </dsp:txXfrm>
    </dsp:sp>
    <dsp:sp modelId="{B654B038-4242-46EF-A10B-FF9B1A085532}">
      <dsp:nvSpPr>
        <dsp:cNvPr id="0" name=""/>
        <dsp:cNvSpPr/>
      </dsp:nvSpPr>
      <dsp:spPr>
        <a:xfrm rot="1837435">
          <a:off x="3437481" y="1325512"/>
          <a:ext cx="294702" cy="15304"/>
        </a:xfrm>
        <a:custGeom>
          <a:avLst/>
          <a:gdLst/>
          <a:ahLst/>
          <a:cxnLst/>
          <a:rect l="0" t="0" r="0" b="0"/>
          <a:pathLst>
            <a:path>
              <a:moveTo>
                <a:pt x="0" y="14194"/>
              </a:moveTo>
              <a:lnTo>
                <a:pt x="476437" y="1419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77465" y="1325796"/>
        <a:ext cx="14735" cy="14735"/>
      </dsp:txXfrm>
    </dsp:sp>
    <dsp:sp modelId="{3DB28723-07CF-4EFC-8E24-18E41E76D4AF}">
      <dsp:nvSpPr>
        <dsp:cNvPr id="0" name=""/>
        <dsp:cNvSpPr/>
      </dsp:nvSpPr>
      <dsp:spPr>
        <a:xfrm>
          <a:off x="3535262" y="1344965"/>
          <a:ext cx="1018142" cy="52041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C.A.D.</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684365" y="1421177"/>
        <a:ext cx="719936" cy="367987"/>
      </dsp:txXfrm>
    </dsp:sp>
    <dsp:sp modelId="{AD2F0D4B-AECA-4B10-81AC-261AA8BE8E98}">
      <dsp:nvSpPr>
        <dsp:cNvPr id="0" name=""/>
        <dsp:cNvSpPr/>
      </dsp:nvSpPr>
      <dsp:spPr>
        <a:xfrm rot="9033691">
          <a:off x="2548206" y="1297449"/>
          <a:ext cx="205970" cy="15304"/>
        </a:xfrm>
        <a:custGeom>
          <a:avLst/>
          <a:gdLst/>
          <a:ahLst/>
          <a:cxnLst/>
          <a:rect l="0" t="0" r="0" b="0"/>
          <a:pathLst>
            <a:path>
              <a:moveTo>
                <a:pt x="0" y="7652"/>
              </a:moveTo>
              <a:lnTo>
                <a:pt x="205970"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46042" y="1299952"/>
        <a:ext cx="10298" cy="10298"/>
      </dsp:txXfrm>
    </dsp:sp>
    <dsp:sp modelId="{2BEED572-A282-4C32-95EB-3B1996D142B1}">
      <dsp:nvSpPr>
        <dsp:cNvPr id="0" name=""/>
        <dsp:cNvSpPr/>
      </dsp:nvSpPr>
      <dsp:spPr>
        <a:xfrm>
          <a:off x="1583626" y="1278650"/>
          <a:ext cx="1170743" cy="5971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 </a:t>
          </a:r>
        </a:p>
      </dsp:txBody>
      <dsp:txXfrm>
        <a:off x="1755077" y="1366102"/>
        <a:ext cx="827841" cy="422257"/>
      </dsp:txXfrm>
    </dsp:sp>
    <dsp:sp modelId="{C58C2EC9-2FE7-4521-9408-887873CF9CD6}">
      <dsp:nvSpPr>
        <dsp:cNvPr id="0" name=""/>
        <dsp:cNvSpPr/>
      </dsp:nvSpPr>
      <dsp:spPr>
        <a:xfrm rot="10801435">
          <a:off x="1637979" y="1040973"/>
          <a:ext cx="873832" cy="15304"/>
        </a:xfrm>
        <a:custGeom>
          <a:avLst/>
          <a:gdLst/>
          <a:ahLst/>
          <a:cxnLst/>
          <a:rect l="0" t="0" r="0" b="0"/>
          <a:pathLst>
            <a:path>
              <a:moveTo>
                <a:pt x="0" y="7652"/>
              </a:moveTo>
              <a:lnTo>
                <a:pt x="873832"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53050" y="1026779"/>
        <a:ext cx="43691" cy="43691"/>
      </dsp:txXfrm>
    </dsp:sp>
    <dsp:sp modelId="{53F278CD-DAFE-4670-A5E7-7708D74F671E}">
      <dsp:nvSpPr>
        <dsp:cNvPr id="0" name=""/>
        <dsp:cNvSpPr/>
      </dsp:nvSpPr>
      <dsp:spPr>
        <a:xfrm>
          <a:off x="539667" y="732217"/>
          <a:ext cx="1098312" cy="63199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Países T/D</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00511" y="824770"/>
        <a:ext cx="776624" cy="446886"/>
      </dsp:txXfrm>
    </dsp:sp>
    <dsp:sp modelId="{9D7A60DE-15BF-4701-8167-A6BE55521FB0}">
      <dsp:nvSpPr>
        <dsp:cNvPr id="0" name=""/>
        <dsp:cNvSpPr/>
      </dsp:nvSpPr>
      <dsp:spPr>
        <a:xfrm rot="12498855">
          <a:off x="2575734" y="800625"/>
          <a:ext cx="164494" cy="15304"/>
        </a:xfrm>
        <a:custGeom>
          <a:avLst/>
          <a:gdLst/>
          <a:ahLst/>
          <a:cxnLst/>
          <a:rect l="0" t="0" r="0" b="0"/>
          <a:pathLst>
            <a:path>
              <a:moveTo>
                <a:pt x="0" y="7652"/>
              </a:moveTo>
              <a:lnTo>
                <a:pt x="164494" y="7652"/>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53869" y="804165"/>
        <a:ext cx="8224" cy="8224"/>
      </dsp:txXfrm>
    </dsp:sp>
    <dsp:sp modelId="{0FDECDAE-6064-4D03-98A4-386BBAAFB761}">
      <dsp:nvSpPr>
        <dsp:cNvPr id="0" name=""/>
        <dsp:cNvSpPr/>
      </dsp:nvSpPr>
      <dsp:spPr>
        <a:xfrm>
          <a:off x="1573318" y="206349"/>
          <a:ext cx="1172986" cy="66706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0005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los conocimientos</a:t>
          </a:r>
        </a:p>
      </dsp:txBody>
      <dsp:txXfrm>
        <a:off x="1745098" y="304038"/>
        <a:ext cx="829426" cy="47168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45551" y="773802"/>
          <a:ext cx="1195573" cy="42784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dsp:txBody>
      <dsp:txXfrm>
        <a:off x="2520639" y="836458"/>
        <a:ext cx="845397" cy="302529"/>
      </dsp:txXfrm>
    </dsp:sp>
    <dsp:sp modelId="{DDE83488-D0AF-4A61-9C32-0D1EF5D54320}">
      <dsp:nvSpPr>
        <dsp:cNvPr id="0" name=""/>
        <dsp:cNvSpPr/>
      </dsp:nvSpPr>
      <dsp:spPr>
        <a:xfrm rot="16200000">
          <a:off x="2829598" y="652432"/>
          <a:ext cx="227479" cy="15260"/>
        </a:xfrm>
        <a:custGeom>
          <a:avLst/>
          <a:gdLst/>
          <a:ahLst/>
          <a:cxnLst/>
          <a:rect l="0" t="0" r="0" b="0"/>
          <a:pathLst>
            <a:path>
              <a:moveTo>
                <a:pt x="0" y="7630"/>
              </a:moveTo>
              <a:lnTo>
                <a:pt x="227479"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937651" y="654375"/>
        <a:ext cx="11373" cy="11373"/>
      </dsp:txXfrm>
    </dsp:sp>
    <dsp:sp modelId="{5A264607-8295-4AD5-8D4E-5E0F0A25C928}">
      <dsp:nvSpPr>
        <dsp:cNvPr id="0" name=""/>
        <dsp:cNvSpPr/>
      </dsp:nvSpPr>
      <dsp:spPr>
        <a:xfrm>
          <a:off x="2439188" y="-82153"/>
          <a:ext cx="1008300" cy="6284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sp:txBody>
      <dsp:txXfrm>
        <a:off x="2586850" y="9885"/>
        <a:ext cx="712976" cy="444400"/>
      </dsp:txXfrm>
    </dsp:sp>
    <dsp:sp modelId="{64B847BA-C336-4F4D-BCB1-E9F8B02329EB}">
      <dsp:nvSpPr>
        <dsp:cNvPr id="0" name=""/>
        <dsp:cNvSpPr/>
      </dsp:nvSpPr>
      <dsp:spPr>
        <a:xfrm rot="20188286">
          <a:off x="3306430" y="735728"/>
          <a:ext cx="396281" cy="15260"/>
        </a:xfrm>
        <a:custGeom>
          <a:avLst/>
          <a:gdLst/>
          <a:ahLst/>
          <a:cxnLst/>
          <a:rect l="0" t="0" r="0" b="0"/>
          <a:pathLst>
            <a:path>
              <a:moveTo>
                <a:pt x="0" y="7630"/>
              </a:moveTo>
              <a:lnTo>
                <a:pt x="396281"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94664" y="733451"/>
        <a:ext cx="19814" cy="19814"/>
      </dsp:txXfrm>
    </dsp:sp>
    <dsp:sp modelId="{1AB73DFF-B172-4EE5-8B1D-E235635E7315}">
      <dsp:nvSpPr>
        <dsp:cNvPr id="0" name=""/>
        <dsp:cNvSpPr/>
      </dsp:nvSpPr>
      <dsp:spPr>
        <a:xfrm>
          <a:off x="3477666" y="159510"/>
          <a:ext cx="1384146" cy="5884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Centro de Arbitraje y Mediación</a:t>
          </a:r>
        </a:p>
      </dsp:txBody>
      <dsp:txXfrm>
        <a:off x="3680369" y="245688"/>
        <a:ext cx="978740" cy="416105"/>
      </dsp:txXfrm>
    </dsp:sp>
    <dsp:sp modelId="{27C08CD6-CB73-4E0E-BA37-473C15E9C926}">
      <dsp:nvSpPr>
        <dsp:cNvPr id="0" name=""/>
        <dsp:cNvSpPr/>
      </dsp:nvSpPr>
      <dsp:spPr>
        <a:xfrm rot="21594430">
          <a:off x="3541118" y="978507"/>
          <a:ext cx="761599" cy="15260"/>
        </a:xfrm>
        <a:custGeom>
          <a:avLst/>
          <a:gdLst/>
          <a:ahLst/>
          <a:cxnLst/>
          <a:rect l="0" t="0" r="0" b="0"/>
          <a:pathLst>
            <a:path>
              <a:moveTo>
                <a:pt x="0" y="7630"/>
              </a:moveTo>
              <a:lnTo>
                <a:pt x="761599"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902878" y="967097"/>
        <a:ext cx="38079" cy="38079"/>
      </dsp:txXfrm>
    </dsp:sp>
    <dsp:sp modelId="{8441BECF-C9FE-4C31-BFA4-B45EB6B3D1F0}">
      <dsp:nvSpPr>
        <dsp:cNvPr id="0" name=""/>
        <dsp:cNvSpPr/>
      </dsp:nvSpPr>
      <dsp:spPr>
        <a:xfrm>
          <a:off x="4302710" y="713874"/>
          <a:ext cx="1452358" cy="5409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515403" y="793093"/>
        <a:ext cx="1026972" cy="382500"/>
      </dsp:txXfrm>
    </dsp:sp>
    <dsp:sp modelId="{27678B34-738D-4B59-81F4-6EB54DA6F256}">
      <dsp:nvSpPr>
        <dsp:cNvPr id="0" name=""/>
        <dsp:cNvSpPr/>
      </dsp:nvSpPr>
      <dsp:spPr>
        <a:xfrm rot="1795886">
          <a:off x="3230379" y="1268476"/>
          <a:ext cx="427675" cy="15260"/>
        </a:xfrm>
        <a:custGeom>
          <a:avLst/>
          <a:gdLst/>
          <a:ahLst/>
          <a:cxnLst/>
          <a:rect l="0" t="0" r="0" b="0"/>
          <a:pathLst>
            <a:path>
              <a:moveTo>
                <a:pt x="0" y="7630"/>
              </a:moveTo>
              <a:lnTo>
                <a:pt x="427675"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433524" y="1265414"/>
        <a:ext cx="21383" cy="21383"/>
      </dsp:txXfrm>
    </dsp:sp>
    <dsp:sp modelId="{77E0AE60-7058-4D43-911F-C57FA8C6CA9F}">
      <dsp:nvSpPr>
        <dsp:cNvPr id="0" name=""/>
        <dsp:cNvSpPr/>
      </dsp:nvSpPr>
      <dsp:spPr>
        <a:xfrm>
          <a:off x="3413518" y="1328137"/>
          <a:ext cx="1130614" cy="5115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3579093" y="1403051"/>
        <a:ext cx="799464" cy="361718"/>
      </dsp:txXfrm>
    </dsp:sp>
    <dsp:sp modelId="{EED79A7F-2696-484A-8083-D28DF0387AD5}">
      <dsp:nvSpPr>
        <dsp:cNvPr id="0" name=""/>
        <dsp:cNvSpPr/>
      </dsp:nvSpPr>
      <dsp:spPr>
        <a:xfrm rot="9153725">
          <a:off x="2415129" y="1202357"/>
          <a:ext cx="200220" cy="15260"/>
        </a:xfrm>
        <a:custGeom>
          <a:avLst/>
          <a:gdLst/>
          <a:ahLst/>
          <a:cxnLst/>
          <a:rect l="0" t="0" r="0" b="0"/>
          <a:pathLst>
            <a:path>
              <a:moveTo>
                <a:pt x="0" y="7630"/>
              </a:moveTo>
              <a:lnTo>
                <a:pt x="200220"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10234" y="1204982"/>
        <a:ext cx="10011" cy="10011"/>
      </dsp:txXfrm>
    </dsp:sp>
    <dsp:sp modelId="{05994623-F04A-4AAC-82E3-2D63726DAA8A}">
      <dsp:nvSpPr>
        <dsp:cNvPr id="0" name=""/>
        <dsp:cNvSpPr/>
      </dsp:nvSpPr>
      <dsp:spPr>
        <a:xfrm>
          <a:off x="1245892" y="1142539"/>
          <a:ext cx="1372129" cy="7405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 intern. y normas técnicas</a:t>
          </a:r>
        </a:p>
      </dsp:txBody>
      <dsp:txXfrm>
        <a:off x="1446836" y="1250992"/>
        <a:ext cx="970241" cy="523659"/>
      </dsp:txXfrm>
    </dsp:sp>
    <dsp:sp modelId="{B654B038-4242-46EF-A10B-FF9B1A085532}">
      <dsp:nvSpPr>
        <dsp:cNvPr id="0" name=""/>
        <dsp:cNvSpPr/>
      </dsp:nvSpPr>
      <dsp:spPr>
        <a:xfrm rot="10726884">
          <a:off x="1419144" y="1002649"/>
          <a:ext cx="927564" cy="15260"/>
        </a:xfrm>
        <a:custGeom>
          <a:avLst/>
          <a:gdLst/>
          <a:ahLst/>
          <a:cxnLst/>
          <a:rect l="0" t="0" r="0" b="0"/>
          <a:pathLst>
            <a:path>
              <a:moveTo>
                <a:pt x="0" y="7630"/>
              </a:moveTo>
              <a:lnTo>
                <a:pt x="927564"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59738" y="987090"/>
        <a:ext cx="46378" cy="46378"/>
      </dsp:txXfrm>
    </dsp:sp>
    <dsp:sp modelId="{3DB28723-07CF-4EFC-8E24-18E41E76D4AF}">
      <dsp:nvSpPr>
        <dsp:cNvPr id="0" name=""/>
        <dsp:cNvSpPr/>
      </dsp:nvSpPr>
      <dsp:spPr>
        <a:xfrm>
          <a:off x="75201" y="744021"/>
          <a:ext cx="1344862" cy="58081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sp:txBody>
      <dsp:txXfrm>
        <a:off x="272151" y="829080"/>
        <a:ext cx="950962" cy="410698"/>
      </dsp:txXfrm>
    </dsp:sp>
    <dsp:sp modelId="{AD2F0D4B-AECA-4B10-81AC-261AA8BE8E98}">
      <dsp:nvSpPr>
        <dsp:cNvPr id="0" name=""/>
        <dsp:cNvSpPr/>
      </dsp:nvSpPr>
      <dsp:spPr>
        <a:xfrm rot="12171353">
          <a:off x="2195917" y="744136"/>
          <a:ext cx="375266" cy="15260"/>
        </a:xfrm>
        <a:custGeom>
          <a:avLst/>
          <a:gdLst/>
          <a:ahLst/>
          <a:cxnLst/>
          <a:rect l="0" t="0" r="0" b="0"/>
          <a:pathLst>
            <a:path>
              <a:moveTo>
                <a:pt x="0" y="7630"/>
              </a:moveTo>
              <a:lnTo>
                <a:pt x="375266" y="7630"/>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74168" y="742385"/>
        <a:ext cx="18763" cy="18763"/>
      </dsp:txXfrm>
    </dsp:sp>
    <dsp:sp modelId="{2BEED572-A282-4C32-95EB-3B1996D142B1}">
      <dsp:nvSpPr>
        <dsp:cNvPr id="0" name=""/>
        <dsp:cNvSpPr/>
      </dsp:nvSpPr>
      <dsp:spPr>
        <a:xfrm>
          <a:off x="842169" y="112575"/>
          <a:ext cx="1613850" cy="6592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a los conocimientos</a:t>
          </a:r>
        </a:p>
      </dsp:txBody>
      <dsp:txXfrm>
        <a:off x="1078512" y="209116"/>
        <a:ext cx="1141164" cy="466141"/>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472647" y="799597"/>
          <a:ext cx="1209701" cy="49670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dsp:txBody>
      <dsp:txXfrm>
        <a:off x="2649804" y="872338"/>
        <a:ext cx="855387" cy="351227"/>
      </dsp:txXfrm>
    </dsp:sp>
    <dsp:sp modelId="{5337AE63-3722-42CC-AF72-36670EB7C5E1}">
      <dsp:nvSpPr>
        <dsp:cNvPr id="0" name=""/>
        <dsp:cNvSpPr/>
      </dsp:nvSpPr>
      <dsp:spPr>
        <a:xfrm rot="16172403">
          <a:off x="3010116" y="727212"/>
          <a:ext cx="129734" cy="15042"/>
        </a:xfrm>
        <a:custGeom>
          <a:avLst/>
          <a:gdLst/>
          <a:ahLst/>
          <a:cxnLst/>
          <a:rect l="0" t="0" r="0" b="0"/>
          <a:pathLst>
            <a:path>
              <a:moveTo>
                <a:pt x="0" y="7815"/>
              </a:moveTo>
              <a:lnTo>
                <a:pt x="150618"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71740" y="731490"/>
        <a:ext cx="6486" cy="6486"/>
      </dsp:txXfrm>
    </dsp:sp>
    <dsp:sp modelId="{CED9197C-8322-406B-917C-172FA36E7B76}">
      <dsp:nvSpPr>
        <dsp:cNvPr id="0" name=""/>
        <dsp:cNvSpPr/>
      </dsp:nvSpPr>
      <dsp:spPr>
        <a:xfrm>
          <a:off x="2329088" y="140109"/>
          <a:ext cx="1486497" cy="5297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546780" y="217691"/>
        <a:ext cx="1051113" cy="374596"/>
      </dsp:txXfrm>
    </dsp:sp>
    <dsp:sp modelId="{4AC11394-3179-4EC5-A97F-D1A1B521CE2F}">
      <dsp:nvSpPr>
        <dsp:cNvPr id="0" name=""/>
        <dsp:cNvSpPr/>
      </dsp:nvSpPr>
      <dsp:spPr>
        <a:xfrm rot="21596297">
          <a:off x="3682346" y="1039542"/>
          <a:ext cx="440109" cy="15042"/>
        </a:xfrm>
        <a:custGeom>
          <a:avLst/>
          <a:gdLst/>
          <a:ahLst/>
          <a:cxnLst/>
          <a:rect l="0" t="0" r="0" b="0"/>
          <a:pathLst>
            <a:path>
              <a:moveTo>
                <a:pt x="0" y="7815"/>
              </a:moveTo>
              <a:lnTo>
                <a:pt x="468343"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91399" y="1036061"/>
        <a:ext cx="22005" cy="22005"/>
      </dsp:txXfrm>
    </dsp:sp>
    <dsp:sp modelId="{035B4C9A-0916-4FCC-A1CF-85DB358A289A}">
      <dsp:nvSpPr>
        <dsp:cNvPr id="0" name=""/>
        <dsp:cNvSpPr/>
      </dsp:nvSpPr>
      <dsp:spPr>
        <a:xfrm>
          <a:off x="4122454" y="796092"/>
          <a:ext cx="1222536" cy="5001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301490" y="869337"/>
        <a:ext cx="864464" cy="353661"/>
      </dsp:txXfrm>
    </dsp:sp>
    <dsp:sp modelId="{ADF94B70-0D7F-4A27-8DF9-17BCD27F4A7A}">
      <dsp:nvSpPr>
        <dsp:cNvPr id="0" name=""/>
        <dsp:cNvSpPr/>
      </dsp:nvSpPr>
      <dsp:spPr>
        <a:xfrm rot="10801784">
          <a:off x="2255281" y="1040060"/>
          <a:ext cx="217367" cy="15042"/>
        </a:xfrm>
        <a:custGeom>
          <a:avLst/>
          <a:gdLst/>
          <a:ahLst/>
          <a:cxnLst/>
          <a:rect l="0" t="0" r="0" b="0"/>
          <a:pathLst>
            <a:path>
              <a:moveTo>
                <a:pt x="0" y="7815"/>
              </a:moveTo>
              <a:lnTo>
                <a:pt x="439465" y="7815"/>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8530" y="1042148"/>
        <a:ext cx="10868" cy="10868"/>
      </dsp:txXfrm>
    </dsp:sp>
    <dsp:sp modelId="{0FAF3FA1-8E6C-455E-B189-A468B3F4D8BC}">
      <dsp:nvSpPr>
        <dsp:cNvPr id="0" name=""/>
        <dsp:cNvSpPr/>
      </dsp:nvSpPr>
      <dsp:spPr>
        <a:xfrm>
          <a:off x="609952" y="792480"/>
          <a:ext cx="1645330" cy="5092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sp:txBody>
      <dsp:txXfrm>
        <a:off x="850905" y="867056"/>
        <a:ext cx="1163424" cy="360084"/>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28316" y="751101"/>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dsp:txBody>
      <dsp:txXfrm>
        <a:off x="2226921" y="832649"/>
        <a:ext cx="958950" cy="393750"/>
      </dsp:txXfrm>
    </dsp:sp>
    <dsp:sp modelId="{4AC11394-3179-4EC5-A97F-D1A1B521CE2F}">
      <dsp:nvSpPr>
        <dsp:cNvPr id="0" name=""/>
        <dsp:cNvSpPr/>
      </dsp:nvSpPr>
      <dsp:spPr>
        <a:xfrm rot="16193319">
          <a:off x="2622533" y="658806"/>
          <a:ext cx="166321" cy="18269"/>
        </a:xfrm>
        <a:custGeom>
          <a:avLst/>
          <a:gdLst/>
          <a:ahLst/>
          <a:cxnLst/>
          <a:rect l="0" t="0" r="0" b="0"/>
          <a:pathLst>
            <a:path>
              <a:moveTo>
                <a:pt x="0" y="9134"/>
              </a:moveTo>
              <a:lnTo>
                <a:pt x="163517"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701535" y="663783"/>
        <a:ext cx="8316" cy="8316"/>
      </dsp:txXfrm>
    </dsp:sp>
    <dsp:sp modelId="{035B4C9A-0916-4FCC-A1CF-85DB358A289A}">
      <dsp:nvSpPr>
        <dsp:cNvPr id="0" name=""/>
        <dsp:cNvSpPr/>
      </dsp:nvSpPr>
      <dsp:spPr>
        <a:xfrm>
          <a:off x="1948646" y="7949"/>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Lisboa</a:t>
          </a:r>
        </a:p>
      </dsp:txBody>
      <dsp:txXfrm>
        <a:off x="2170168" y="92424"/>
        <a:ext cx="1069606" cy="407881"/>
      </dsp:txXfrm>
    </dsp:sp>
    <dsp:sp modelId="{64248C57-3CE0-4657-BC67-6279BA0257B1}">
      <dsp:nvSpPr>
        <dsp:cNvPr id="0" name=""/>
        <dsp:cNvSpPr/>
      </dsp:nvSpPr>
      <dsp:spPr>
        <a:xfrm rot="2869">
          <a:off x="3384475" y="1021116"/>
          <a:ext cx="384187" cy="18269"/>
        </a:xfrm>
        <a:custGeom>
          <a:avLst/>
          <a:gdLst/>
          <a:ahLst/>
          <a:cxnLst/>
          <a:rect l="0" t="0" r="0" b="0"/>
          <a:pathLst>
            <a:path>
              <a:moveTo>
                <a:pt x="0" y="9134"/>
              </a:moveTo>
              <a:lnTo>
                <a:pt x="463565"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66964" y="1020646"/>
        <a:ext cx="19209" cy="19209"/>
      </dsp:txXfrm>
    </dsp:sp>
    <dsp:sp modelId="{976BA53C-17D4-4F7C-9078-1272C469C9E5}">
      <dsp:nvSpPr>
        <dsp:cNvPr id="0" name=""/>
        <dsp:cNvSpPr/>
      </dsp:nvSpPr>
      <dsp:spPr>
        <a:xfrm>
          <a:off x="3768660" y="770785"/>
          <a:ext cx="1582089" cy="52057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000352" y="847021"/>
        <a:ext cx="1118705" cy="368101"/>
      </dsp:txXfrm>
    </dsp:sp>
    <dsp:sp modelId="{ADF94B70-0D7F-4A27-8DF9-17BCD27F4A7A}">
      <dsp:nvSpPr>
        <dsp:cNvPr id="0" name=""/>
        <dsp:cNvSpPr/>
      </dsp:nvSpPr>
      <dsp:spPr>
        <a:xfrm rot="10791658">
          <a:off x="1570464" y="1022591"/>
          <a:ext cx="457865" cy="18269"/>
        </a:xfrm>
        <a:custGeom>
          <a:avLst/>
          <a:gdLst/>
          <a:ahLst/>
          <a:cxnLst/>
          <a:rect l="0" t="0" r="0" b="0"/>
          <a:pathLst>
            <a:path>
              <a:moveTo>
                <a:pt x="0" y="9134"/>
              </a:moveTo>
              <a:lnTo>
                <a:pt x="457860" y="913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87949" y="1020279"/>
        <a:ext cx="22893" cy="22893"/>
      </dsp:txXfrm>
    </dsp:sp>
    <dsp:sp modelId="{0FAF3FA1-8E6C-455E-B189-A468B3F4D8BC}">
      <dsp:nvSpPr>
        <dsp:cNvPr id="0" name=""/>
        <dsp:cNvSpPr/>
      </dsp:nvSpPr>
      <dsp:spPr>
        <a:xfrm>
          <a:off x="135606" y="782942"/>
          <a:ext cx="1434875" cy="5021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en T/D</a:t>
          </a:r>
          <a:endPar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45739" y="856481"/>
        <a:ext cx="1014609" cy="35508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518347" y="945719"/>
          <a:ext cx="1159126" cy="519140"/>
        </a:xfrm>
        <a:prstGeom prst="ellipse">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latin typeface="Arial" panose="020B0604020202020204" pitchFamily="34" charset="0"/>
              <a:cs typeface="Arial" panose="020B0604020202020204" pitchFamily="34" charset="0"/>
            </a:rPr>
            <a:t>Programa 7 </a:t>
          </a:r>
        </a:p>
      </dsp:txBody>
      <dsp:txXfrm>
        <a:off x="2688097" y="1021745"/>
        <a:ext cx="819626" cy="367088"/>
      </dsp:txXfrm>
    </dsp:sp>
    <dsp:sp modelId="{E6ACA703-0949-41B3-BE6B-C702E5C7275F}">
      <dsp:nvSpPr>
        <dsp:cNvPr id="0" name=""/>
        <dsp:cNvSpPr/>
      </dsp:nvSpPr>
      <dsp:spPr>
        <a:xfrm rot="16166714">
          <a:off x="2904314" y="748636"/>
          <a:ext cx="378499" cy="15688"/>
        </a:xfrm>
        <a:custGeom>
          <a:avLst/>
          <a:gdLst/>
          <a:ahLst/>
          <a:cxnLst/>
          <a:rect l="0" t="0" r="0" b="0"/>
          <a:pathLst>
            <a:path>
              <a:moveTo>
                <a:pt x="0" y="7844"/>
              </a:moveTo>
              <a:lnTo>
                <a:pt x="378499"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84102" y="747018"/>
        <a:ext cx="18924" cy="18924"/>
      </dsp:txXfrm>
    </dsp:sp>
    <dsp:sp modelId="{AFD0CC05-9AD4-4A51-8739-4FB4CA1E4ACE}">
      <dsp:nvSpPr>
        <dsp:cNvPr id="0" name=""/>
        <dsp:cNvSpPr/>
      </dsp:nvSpPr>
      <dsp:spPr>
        <a:xfrm>
          <a:off x="2517744" y="-11748"/>
          <a:ext cx="1142368" cy="578992"/>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2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Marcas, DD.II. e II.GG.</a:t>
          </a:r>
        </a:p>
      </dsp:txBody>
      <dsp:txXfrm>
        <a:off x="2685040" y="73043"/>
        <a:ext cx="807776" cy="409410"/>
      </dsp:txXfrm>
    </dsp:sp>
    <dsp:sp modelId="{34515D96-C834-4D67-AF5C-3B293601CBC3}">
      <dsp:nvSpPr>
        <dsp:cNvPr id="0" name=""/>
        <dsp:cNvSpPr/>
      </dsp:nvSpPr>
      <dsp:spPr>
        <a:xfrm rot="19443659">
          <a:off x="3343508" y="794641"/>
          <a:ext cx="620115" cy="15688"/>
        </a:xfrm>
        <a:custGeom>
          <a:avLst/>
          <a:gdLst/>
          <a:ahLst/>
          <a:cxnLst/>
          <a:rect l="0" t="0" r="0" b="0"/>
          <a:pathLst>
            <a:path>
              <a:moveTo>
                <a:pt x="0" y="7844"/>
              </a:moveTo>
              <a:lnTo>
                <a:pt x="62011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38063" y="786982"/>
        <a:ext cx="31005" cy="31005"/>
      </dsp:txXfrm>
    </dsp:sp>
    <dsp:sp modelId="{D9366F31-B7D7-4B43-830C-AD5E2193A794}">
      <dsp:nvSpPr>
        <dsp:cNvPr id="0" name=""/>
        <dsp:cNvSpPr/>
      </dsp:nvSpPr>
      <dsp:spPr>
        <a:xfrm>
          <a:off x="3664299" y="144791"/>
          <a:ext cx="107693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3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D.A.D.C.</a:t>
          </a:r>
        </a:p>
      </dsp:txBody>
      <dsp:txXfrm>
        <a:off x="3822012" y="220817"/>
        <a:ext cx="761504" cy="367088"/>
      </dsp:txXfrm>
    </dsp:sp>
    <dsp:sp modelId="{5CF8296B-0142-429D-A71A-20799D2EB74B}">
      <dsp:nvSpPr>
        <dsp:cNvPr id="0" name=""/>
        <dsp:cNvSpPr/>
      </dsp:nvSpPr>
      <dsp:spPr>
        <a:xfrm rot="20866442">
          <a:off x="3609358" y="988556"/>
          <a:ext cx="905173" cy="15688"/>
        </a:xfrm>
        <a:custGeom>
          <a:avLst/>
          <a:gdLst/>
          <a:ahLst/>
          <a:cxnLst/>
          <a:rect l="0" t="0" r="0" b="0"/>
          <a:pathLst>
            <a:path>
              <a:moveTo>
                <a:pt x="0" y="7844"/>
              </a:moveTo>
              <a:lnTo>
                <a:pt x="905173"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39316" y="973771"/>
        <a:ext cx="45258" cy="45258"/>
      </dsp:txXfrm>
    </dsp:sp>
    <dsp:sp modelId="{7E7DDE23-6C04-407D-AAB6-669511EA704E}">
      <dsp:nvSpPr>
        <dsp:cNvPr id="0" name=""/>
        <dsp:cNvSpPr/>
      </dsp:nvSpPr>
      <dsp:spPr>
        <a:xfrm>
          <a:off x="4450129" y="530165"/>
          <a:ext cx="1131170"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5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PCT</a:t>
          </a:r>
        </a:p>
      </dsp:txBody>
      <dsp:txXfrm>
        <a:off x="4615785" y="606191"/>
        <a:ext cx="799858" cy="367088"/>
      </dsp:txXfrm>
    </dsp:sp>
    <dsp:sp modelId="{DC281168-2DBC-4CFB-B21D-C54E9628B383}">
      <dsp:nvSpPr>
        <dsp:cNvPr id="0" name=""/>
        <dsp:cNvSpPr/>
      </dsp:nvSpPr>
      <dsp:spPr>
        <a:xfrm rot="321060">
          <a:off x="3663606" y="1284688"/>
          <a:ext cx="731469" cy="15688"/>
        </a:xfrm>
        <a:custGeom>
          <a:avLst/>
          <a:gdLst/>
          <a:ahLst/>
          <a:cxnLst/>
          <a:rect l="0" t="0" r="0" b="0"/>
          <a:pathLst>
            <a:path>
              <a:moveTo>
                <a:pt x="0" y="7844"/>
              </a:moveTo>
              <a:lnTo>
                <a:pt x="731469"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11054" y="1274245"/>
        <a:ext cx="36573" cy="36573"/>
      </dsp:txXfrm>
    </dsp:sp>
    <dsp:sp modelId="{66DADE40-99AE-41BE-B997-129EED231064}">
      <dsp:nvSpPr>
        <dsp:cNvPr id="0" name=""/>
        <dsp:cNvSpPr/>
      </dsp:nvSpPr>
      <dsp:spPr>
        <a:xfrm>
          <a:off x="4377505" y="1098350"/>
          <a:ext cx="1366772" cy="58160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6350" rIns="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6</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Sistemas de Madrid y de Lisboa</a:t>
          </a:r>
        </a:p>
      </dsp:txBody>
      <dsp:txXfrm>
        <a:off x="4577664" y="1183524"/>
        <a:ext cx="966454" cy="411255"/>
      </dsp:txXfrm>
    </dsp:sp>
    <dsp:sp modelId="{4DF1B0BE-A63A-4BEA-9EE5-4168481CC99E}">
      <dsp:nvSpPr>
        <dsp:cNvPr id="0" name=""/>
        <dsp:cNvSpPr/>
      </dsp:nvSpPr>
      <dsp:spPr>
        <a:xfrm rot="1634450">
          <a:off x="3433290" y="1579041"/>
          <a:ext cx="811648" cy="15688"/>
        </a:xfrm>
        <a:custGeom>
          <a:avLst/>
          <a:gdLst/>
          <a:ahLst/>
          <a:cxnLst/>
          <a:rect l="0" t="0" r="0" b="0"/>
          <a:pathLst>
            <a:path>
              <a:moveTo>
                <a:pt x="0" y="7844"/>
              </a:moveTo>
              <a:lnTo>
                <a:pt x="811648"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818823" y="1566594"/>
        <a:ext cx="40582" cy="40582"/>
      </dsp:txXfrm>
    </dsp:sp>
    <dsp:sp modelId="{DB594876-4070-4577-942D-67F5CD4D6A19}">
      <dsp:nvSpPr>
        <dsp:cNvPr id="0" name=""/>
        <dsp:cNvSpPr/>
      </dsp:nvSpPr>
      <dsp:spPr>
        <a:xfrm>
          <a:off x="3886893" y="1727296"/>
          <a:ext cx="1447436" cy="513559"/>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9</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 Oficinas regionales en la sede</a:t>
          </a:r>
        </a:p>
      </dsp:txBody>
      <dsp:txXfrm>
        <a:off x="4098865" y="1802505"/>
        <a:ext cx="1023492" cy="363141"/>
      </dsp:txXfrm>
    </dsp:sp>
    <dsp:sp modelId="{E49C447F-3477-4311-B10B-FFFA7DE7209F}">
      <dsp:nvSpPr>
        <dsp:cNvPr id="0" name=""/>
        <dsp:cNvSpPr/>
      </dsp:nvSpPr>
      <dsp:spPr>
        <a:xfrm rot="4599128">
          <a:off x="3001348" y="1655192"/>
          <a:ext cx="410345" cy="15688"/>
        </a:xfrm>
        <a:custGeom>
          <a:avLst/>
          <a:gdLst/>
          <a:ahLst/>
          <a:cxnLst/>
          <a:rect l="0" t="0" r="0" b="0"/>
          <a:pathLst>
            <a:path>
              <a:moveTo>
                <a:pt x="0" y="7844"/>
              </a:moveTo>
              <a:lnTo>
                <a:pt x="41034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196262" y="1652778"/>
        <a:ext cx="20517" cy="20517"/>
      </dsp:txXfrm>
    </dsp:sp>
    <dsp:sp modelId="{69F18085-0AC3-4BAE-9B16-F8478FFBD61E}">
      <dsp:nvSpPr>
        <dsp:cNvPr id="0" name=""/>
        <dsp:cNvSpPr/>
      </dsp:nvSpPr>
      <dsp:spPr>
        <a:xfrm>
          <a:off x="2721142" y="1861283"/>
          <a:ext cx="1188011" cy="519140"/>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10 </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latin typeface="Arial" panose="020B0604020202020204" pitchFamily="34" charset="0"/>
            <a:cs typeface="Arial" panose="020B0604020202020204" pitchFamily="34" charset="0"/>
          </a:endParaRPr>
        </a:p>
      </dsp:txBody>
      <dsp:txXfrm>
        <a:off x="2895122" y="1937309"/>
        <a:ext cx="840051" cy="367088"/>
      </dsp:txXfrm>
    </dsp:sp>
    <dsp:sp modelId="{FCC14444-D5E7-4E9C-B980-A27CD799E442}">
      <dsp:nvSpPr>
        <dsp:cNvPr id="0" name=""/>
        <dsp:cNvSpPr/>
      </dsp:nvSpPr>
      <dsp:spPr>
        <a:xfrm rot="8635570">
          <a:off x="2273616" y="1588148"/>
          <a:ext cx="575985" cy="15688"/>
        </a:xfrm>
        <a:custGeom>
          <a:avLst/>
          <a:gdLst/>
          <a:ahLst/>
          <a:cxnLst/>
          <a:rect l="0" t="0" r="0" b="0"/>
          <a:pathLst>
            <a:path>
              <a:moveTo>
                <a:pt x="0" y="7844"/>
              </a:moveTo>
              <a:lnTo>
                <a:pt x="575985"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547208" y="1581593"/>
        <a:ext cx="28799" cy="28799"/>
      </dsp:txXfrm>
    </dsp:sp>
    <dsp:sp modelId="{49C45DFA-0A15-4DAA-80DC-CAE4ABCC6B43}">
      <dsp:nvSpPr>
        <dsp:cNvPr id="0" name=""/>
        <dsp:cNvSpPr/>
      </dsp:nvSpPr>
      <dsp:spPr>
        <a:xfrm>
          <a:off x="1334410" y="1726203"/>
          <a:ext cx="1318559" cy="567051"/>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17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Fomentar el respeto por la P.I.</a:t>
          </a:r>
        </a:p>
      </dsp:txBody>
      <dsp:txXfrm>
        <a:off x="1527508" y="1809246"/>
        <a:ext cx="932363" cy="400965"/>
      </dsp:txXfrm>
    </dsp:sp>
    <dsp:sp modelId="{7B59CB2C-C82F-41EE-B3CF-ADD4878ADBA6}">
      <dsp:nvSpPr>
        <dsp:cNvPr id="0" name=""/>
        <dsp:cNvSpPr/>
      </dsp:nvSpPr>
      <dsp:spPr>
        <a:xfrm rot="10226795">
          <a:off x="1706107" y="1359721"/>
          <a:ext cx="855210" cy="15688"/>
        </a:xfrm>
        <a:custGeom>
          <a:avLst/>
          <a:gdLst/>
          <a:ahLst/>
          <a:cxnLst/>
          <a:rect l="0" t="0" r="0" b="0"/>
          <a:pathLst>
            <a:path>
              <a:moveTo>
                <a:pt x="0" y="7844"/>
              </a:moveTo>
              <a:lnTo>
                <a:pt x="8552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112332" y="1346185"/>
        <a:ext cx="42760" cy="42760"/>
      </dsp:txXfrm>
    </dsp:sp>
    <dsp:sp modelId="{402B25BB-F397-46B5-AAB7-C38C2276BF82}">
      <dsp:nvSpPr>
        <dsp:cNvPr id="0" name=""/>
        <dsp:cNvSpPr/>
      </dsp:nvSpPr>
      <dsp:spPr>
        <a:xfrm>
          <a:off x="298418" y="1277798"/>
          <a:ext cx="1479882" cy="548233"/>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18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La P.I. y los desafíos mundiales</a:t>
          </a:r>
          <a:endParaRPr lang="en-US" sz="900" kern="1200">
            <a:latin typeface="Arial" panose="020B0604020202020204" pitchFamily="34" charset="0"/>
            <a:cs typeface="Arial" panose="020B0604020202020204" pitchFamily="34" charset="0"/>
          </a:endParaRPr>
        </a:p>
      </dsp:txBody>
      <dsp:txXfrm>
        <a:off x="515142" y="1358085"/>
        <a:ext cx="1046434" cy="387659"/>
      </dsp:txXfrm>
    </dsp:sp>
    <dsp:sp modelId="{EFB9CB5A-411C-454B-96B1-9ED988829CBE}">
      <dsp:nvSpPr>
        <dsp:cNvPr id="0" name=""/>
        <dsp:cNvSpPr/>
      </dsp:nvSpPr>
      <dsp:spPr>
        <a:xfrm rot="11307274">
          <a:off x="1713994" y="1054050"/>
          <a:ext cx="838410" cy="15688"/>
        </a:xfrm>
        <a:custGeom>
          <a:avLst/>
          <a:gdLst/>
          <a:ahLst/>
          <a:cxnLst/>
          <a:rect l="0" t="0" r="0" b="0"/>
          <a:pathLst>
            <a:path>
              <a:moveTo>
                <a:pt x="0" y="7844"/>
              </a:moveTo>
              <a:lnTo>
                <a:pt x="838410"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112239" y="1040934"/>
        <a:ext cx="41920" cy="41920"/>
      </dsp:txXfrm>
    </dsp:sp>
    <dsp:sp modelId="{5AF8D9AC-0C15-4D1B-BCD3-7FFCFF0A581D}">
      <dsp:nvSpPr>
        <dsp:cNvPr id="0" name=""/>
        <dsp:cNvSpPr/>
      </dsp:nvSpPr>
      <dsp:spPr>
        <a:xfrm>
          <a:off x="577563" y="612244"/>
          <a:ext cx="1163040" cy="609714"/>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20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Relaciones exteriores</a:t>
          </a:r>
        </a:p>
      </dsp:txBody>
      <dsp:txXfrm>
        <a:off x="747886" y="701535"/>
        <a:ext cx="822394" cy="431132"/>
      </dsp:txXfrm>
    </dsp:sp>
    <dsp:sp modelId="{5DC5D51E-945B-4CCC-B580-737CA66D42E3}">
      <dsp:nvSpPr>
        <dsp:cNvPr id="0" name=""/>
        <dsp:cNvSpPr/>
      </dsp:nvSpPr>
      <dsp:spPr>
        <a:xfrm rot="12711204">
          <a:off x="2166739" y="817869"/>
          <a:ext cx="640497" cy="15688"/>
        </a:xfrm>
        <a:custGeom>
          <a:avLst/>
          <a:gdLst/>
          <a:ahLst/>
          <a:cxnLst/>
          <a:rect l="0" t="0" r="0" b="0"/>
          <a:pathLst>
            <a:path>
              <a:moveTo>
                <a:pt x="0" y="7844"/>
              </a:moveTo>
              <a:lnTo>
                <a:pt x="640497" y="784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470976" y="809700"/>
        <a:ext cx="32024" cy="32024"/>
      </dsp:txXfrm>
    </dsp:sp>
    <dsp:sp modelId="{26661F75-1D9F-48E2-8FB0-82462D91AB89}">
      <dsp:nvSpPr>
        <dsp:cNvPr id="0" name=""/>
        <dsp:cNvSpPr/>
      </dsp:nvSpPr>
      <dsp:spPr>
        <a:xfrm>
          <a:off x="1229889" y="212491"/>
          <a:ext cx="1308026" cy="477027"/>
        </a:xfrm>
        <a:prstGeom prst="ellipse">
          <a:avLst/>
        </a:prstGeom>
        <a:solidFill>
          <a:schemeClr val="accent1">
            <a:lumMod val="40000"/>
            <a:lumOff val="60000"/>
          </a:scheme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latin typeface="Arial" panose="020B0604020202020204" pitchFamily="34" charset="0"/>
              <a:cs typeface="Arial" panose="020B0604020202020204" pitchFamily="34" charset="0"/>
            </a:rPr>
            <a:t>Programa 31 </a:t>
          </a:r>
        </a:p>
        <a:p>
          <a:pPr lvl="0" algn="ctr" defTabSz="444500">
            <a:lnSpc>
              <a:spcPct val="90000"/>
            </a:lnSpc>
            <a:spcBef>
              <a:spcPct val="0"/>
            </a:spcBef>
            <a:spcAft>
              <a:spcPct val="35000"/>
            </a:spcAft>
          </a:pPr>
          <a:r>
            <a:rPr lang="en-US" sz="900" kern="1200">
              <a:latin typeface="Arial" panose="020B0604020202020204" pitchFamily="34" charset="0"/>
              <a:cs typeface="Arial" panose="020B0604020202020204" pitchFamily="34" charset="0"/>
            </a:rPr>
            <a:t>Sistema de La Haya</a:t>
          </a:r>
        </a:p>
      </dsp:txBody>
      <dsp:txXfrm>
        <a:off x="1421445" y="282350"/>
        <a:ext cx="924914" cy="337309"/>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365670" y="1143539"/>
          <a:ext cx="1194777" cy="37964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 </a:t>
          </a:r>
        </a:p>
      </dsp:txBody>
      <dsp:txXfrm>
        <a:off x="2540641" y="1199137"/>
        <a:ext cx="844835" cy="268452"/>
      </dsp:txXfrm>
    </dsp:sp>
    <dsp:sp modelId="{E6ACA703-0949-41B3-BE6B-C702E5C7275F}">
      <dsp:nvSpPr>
        <dsp:cNvPr id="0" name=""/>
        <dsp:cNvSpPr/>
      </dsp:nvSpPr>
      <dsp:spPr>
        <a:xfrm rot="16173306">
          <a:off x="2597823" y="775856"/>
          <a:ext cx="721917" cy="13473"/>
        </a:xfrm>
        <a:custGeom>
          <a:avLst/>
          <a:gdLst/>
          <a:ahLst/>
          <a:cxnLst/>
          <a:rect l="0" t="0" r="0" b="0"/>
          <a:pathLst>
            <a:path>
              <a:moveTo>
                <a:pt x="0" y="6736"/>
              </a:moveTo>
              <a:lnTo>
                <a:pt x="7223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40734" y="764544"/>
        <a:ext cx="36095" cy="36095"/>
      </dsp:txXfrm>
    </dsp:sp>
    <dsp:sp modelId="{AFD0CC05-9AD4-4A51-8739-4FB4CA1E4ACE}">
      <dsp:nvSpPr>
        <dsp:cNvPr id="0" name=""/>
        <dsp:cNvSpPr/>
      </dsp:nvSpPr>
      <dsp:spPr>
        <a:xfrm>
          <a:off x="2479774" y="2229"/>
          <a:ext cx="949153" cy="41941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22275">
            <a:lnSpc>
              <a:spcPct val="90000"/>
            </a:lnSpc>
            <a:spcBef>
              <a:spcPct val="0"/>
            </a:spcBef>
            <a:spcAft>
              <a:spcPct val="35000"/>
            </a:spcAft>
          </a:pPr>
          <a:r>
            <a:rPr lang="en-US" sz="95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pPr lvl="0" algn="ctr" defTabSz="422275">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sp:txBody>
      <dsp:txXfrm>
        <a:off x="2618774" y="63651"/>
        <a:ext cx="671153" cy="296572"/>
      </dsp:txXfrm>
    </dsp:sp>
    <dsp:sp modelId="{34515D96-C834-4D67-AF5C-3B293601CBC3}">
      <dsp:nvSpPr>
        <dsp:cNvPr id="0" name=""/>
        <dsp:cNvSpPr/>
      </dsp:nvSpPr>
      <dsp:spPr>
        <a:xfrm rot="18850491">
          <a:off x="3010960" y="841649"/>
          <a:ext cx="846610" cy="13473"/>
        </a:xfrm>
        <a:custGeom>
          <a:avLst/>
          <a:gdLst/>
          <a:ahLst/>
          <a:cxnLst/>
          <a:rect l="0" t="0" r="0" b="0"/>
          <a:pathLst>
            <a:path>
              <a:moveTo>
                <a:pt x="0" y="6736"/>
              </a:moveTo>
              <a:lnTo>
                <a:pt x="84706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13100" y="827220"/>
        <a:ext cx="42330" cy="42330"/>
      </dsp:txXfrm>
    </dsp:sp>
    <dsp:sp modelId="{D9366F31-B7D7-4B43-830C-AD5E2193A794}">
      <dsp:nvSpPr>
        <dsp:cNvPr id="0" name=""/>
        <dsp:cNvSpPr/>
      </dsp:nvSpPr>
      <dsp:spPr>
        <a:xfrm>
          <a:off x="3456227" y="63130"/>
          <a:ext cx="987926" cy="50850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dis. e indic.</a:t>
          </a:r>
        </a:p>
      </dsp:txBody>
      <dsp:txXfrm>
        <a:off x="3600905" y="137599"/>
        <a:ext cx="698570" cy="359567"/>
      </dsp:txXfrm>
    </dsp:sp>
    <dsp:sp modelId="{3F0F15B6-4D5A-493B-B03E-AE8141DC3DCE}">
      <dsp:nvSpPr>
        <dsp:cNvPr id="0" name=""/>
        <dsp:cNvSpPr/>
      </dsp:nvSpPr>
      <dsp:spPr>
        <a:xfrm rot="20276127">
          <a:off x="3285680" y="941602"/>
          <a:ext cx="1254532" cy="13473"/>
        </a:xfrm>
        <a:custGeom>
          <a:avLst/>
          <a:gdLst/>
          <a:ahLst/>
          <a:cxnLst/>
          <a:rect l="0" t="0" r="0" b="0"/>
          <a:pathLst>
            <a:path>
              <a:moveTo>
                <a:pt x="0" y="6736"/>
              </a:moveTo>
              <a:lnTo>
                <a:pt x="12552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81583" y="916975"/>
        <a:ext cx="62726" cy="62726"/>
      </dsp:txXfrm>
    </dsp:sp>
    <dsp:sp modelId="{ECD2D13D-466C-468B-BD6C-1B646D8E5B8E}">
      <dsp:nvSpPr>
        <dsp:cNvPr id="0" name=""/>
        <dsp:cNvSpPr/>
      </dsp:nvSpPr>
      <dsp:spPr>
        <a:xfrm>
          <a:off x="4376385" y="339198"/>
          <a:ext cx="965102" cy="45139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D.A.D.C.</a:t>
          </a:r>
        </a:p>
      </dsp:txBody>
      <dsp:txXfrm>
        <a:off x="4517721" y="405303"/>
        <a:ext cx="682430" cy="319180"/>
      </dsp:txXfrm>
    </dsp:sp>
    <dsp:sp modelId="{5CF8296B-0142-429D-A71A-20799D2EB74B}">
      <dsp:nvSpPr>
        <dsp:cNvPr id="0" name=""/>
        <dsp:cNvSpPr/>
      </dsp:nvSpPr>
      <dsp:spPr>
        <a:xfrm rot="21223332">
          <a:off x="3524396" y="1206567"/>
          <a:ext cx="1060060" cy="13473"/>
        </a:xfrm>
        <a:custGeom>
          <a:avLst/>
          <a:gdLst/>
          <a:ahLst/>
          <a:cxnLst/>
          <a:rect l="0" t="0" r="0" b="0"/>
          <a:pathLst>
            <a:path>
              <a:moveTo>
                <a:pt x="0" y="6736"/>
              </a:moveTo>
              <a:lnTo>
                <a:pt x="106062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27924" y="1186802"/>
        <a:ext cx="53003" cy="53003"/>
      </dsp:txXfrm>
    </dsp:sp>
    <dsp:sp modelId="{7E7DDE23-6C04-407D-AAB6-669511EA704E}">
      <dsp:nvSpPr>
        <dsp:cNvPr id="0" name=""/>
        <dsp:cNvSpPr/>
      </dsp:nvSpPr>
      <dsp:spPr>
        <a:xfrm>
          <a:off x="4554777" y="850200"/>
          <a:ext cx="1281949" cy="47509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sp:txBody>
      <dsp:txXfrm>
        <a:off x="4742514" y="919776"/>
        <a:ext cx="906475" cy="335942"/>
      </dsp:txXfrm>
    </dsp:sp>
    <dsp:sp modelId="{DC281168-2DBC-4CFB-B21D-C54E9628B383}">
      <dsp:nvSpPr>
        <dsp:cNvPr id="0" name=""/>
        <dsp:cNvSpPr/>
      </dsp:nvSpPr>
      <dsp:spPr>
        <a:xfrm rot="535167">
          <a:off x="3491573" y="1501781"/>
          <a:ext cx="1175029" cy="13473"/>
        </a:xfrm>
        <a:custGeom>
          <a:avLst/>
          <a:gdLst/>
          <a:ahLst/>
          <a:cxnLst/>
          <a:rect l="0" t="0" r="0" b="0"/>
          <a:pathLst>
            <a:path>
              <a:moveTo>
                <a:pt x="0" y="6736"/>
              </a:moveTo>
              <a:lnTo>
                <a:pt x="127013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49712" y="1479141"/>
        <a:ext cx="58751" cy="58751"/>
      </dsp:txXfrm>
    </dsp:sp>
    <dsp:sp modelId="{66DADE40-99AE-41BE-B997-129EED231064}">
      <dsp:nvSpPr>
        <dsp:cNvPr id="0" name=""/>
        <dsp:cNvSpPr/>
      </dsp:nvSpPr>
      <dsp:spPr>
        <a:xfrm>
          <a:off x="4616721" y="1461244"/>
          <a:ext cx="1155440" cy="4446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785931" y="1526360"/>
        <a:ext cx="817020" cy="314409"/>
      </dsp:txXfrm>
    </dsp:sp>
    <dsp:sp modelId="{4DF1B0BE-A63A-4BEA-9EE5-4168481CC99E}">
      <dsp:nvSpPr>
        <dsp:cNvPr id="0" name=""/>
        <dsp:cNvSpPr/>
      </dsp:nvSpPr>
      <dsp:spPr>
        <a:xfrm rot="1801296">
          <a:off x="3192068" y="1712388"/>
          <a:ext cx="877134" cy="13473"/>
        </a:xfrm>
        <a:custGeom>
          <a:avLst/>
          <a:gdLst/>
          <a:ahLst/>
          <a:cxnLst/>
          <a:rect l="0" t="0" r="0" b="0"/>
          <a:pathLst>
            <a:path>
              <a:moveTo>
                <a:pt x="0" y="6736"/>
              </a:moveTo>
              <a:lnTo>
                <a:pt x="877603"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08707" y="1697196"/>
        <a:ext cx="43856" cy="43856"/>
      </dsp:txXfrm>
    </dsp:sp>
    <dsp:sp modelId="{DB594876-4070-4577-942D-67F5CD4D6A19}">
      <dsp:nvSpPr>
        <dsp:cNvPr id="0" name=""/>
        <dsp:cNvSpPr/>
      </dsp:nvSpPr>
      <dsp:spPr>
        <a:xfrm>
          <a:off x="3711461" y="1897840"/>
          <a:ext cx="1320753" cy="49918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Sistemas de Madrid y Lisboa</a:t>
          </a:r>
        </a:p>
      </dsp:txBody>
      <dsp:txXfrm>
        <a:off x="3904881" y="1970943"/>
        <a:ext cx="933913" cy="352975"/>
      </dsp:txXfrm>
    </dsp:sp>
    <dsp:sp modelId="{E49C447F-3477-4311-B10B-FFFA7DE7209F}">
      <dsp:nvSpPr>
        <dsp:cNvPr id="0" name=""/>
        <dsp:cNvSpPr/>
      </dsp:nvSpPr>
      <dsp:spPr>
        <a:xfrm rot="5055876">
          <a:off x="2749270" y="1773757"/>
          <a:ext cx="517394" cy="13473"/>
        </a:xfrm>
        <a:custGeom>
          <a:avLst/>
          <a:gdLst/>
          <a:ahLst/>
          <a:cxnLst/>
          <a:rect l="0" t="0" r="0" b="0"/>
          <a:pathLst>
            <a:path>
              <a:moveTo>
                <a:pt x="0" y="6736"/>
              </a:moveTo>
              <a:lnTo>
                <a:pt x="51767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95032" y="1767558"/>
        <a:ext cx="25869" cy="25869"/>
      </dsp:txXfrm>
    </dsp:sp>
    <dsp:sp modelId="{69F18085-0AC3-4BAE-9B16-F8478FFBD61E}">
      <dsp:nvSpPr>
        <dsp:cNvPr id="0" name=""/>
        <dsp:cNvSpPr/>
      </dsp:nvSpPr>
      <dsp:spPr>
        <a:xfrm>
          <a:off x="2436505" y="2037703"/>
          <a:ext cx="1243879" cy="49073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sp:txBody>
      <dsp:txXfrm>
        <a:off x="2618667" y="2109569"/>
        <a:ext cx="879555" cy="347000"/>
      </dsp:txXfrm>
    </dsp:sp>
    <dsp:sp modelId="{FCC14444-D5E7-4E9C-B980-A27CD799E442}">
      <dsp:nvSpPr>
        <dsp:cNvPr id="0" name=""/>
        <dsp:cNvSpPr/>
      </dsp:nvSpPr>
      <dsp:spPr>
        <a:xfrm rot="8556156">
          <a:off x="2062153" y="1729227"/>
          <a:ext cx="748556" cy="13473"/>
        </a:xfrm>
        <a:custGeom>
          <a:avLst/>
          <a:gdLst/>
          <a:ahLst/>
          <a:cxnLst/>
          <a:rect l="0" t="0" r="0" b="0"/>
          <a:pathLst>
            <a:path>
              <a:moveTo>
                <a:pt x="0" y="6736"/>
              </a:moveTo>
              <a:lnTo>
                <a:pt x="74895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17717" y="1717249"/>
        <a:ext cx="37427" cy="37427"/>
      </dsp:txXfrm>
    </dsp:sp>
    <dsp:sp modelId="{49C45DFA-0A15-4DAA-80DC-CAE4ABCC6B43}">
      <dsp:nvSpPr>
        <dsp:cNvPr id="0" name=""/>
        <dsp:cNvSpPr/>
      </dsp:nvSpPr>
      <dsp:spPr>
        <a:xfrm>
          <a:off x="1284248" y="1913945"/>
          <a:ext cx="1094079" cy="5692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info. y conocimientos</a:t>
          </a:r>
        </a:p>
      </dsp:txBody>
      <dsp:txXfrm>
        <a:off x="1444472" y="1997315"/>
        <a:ext cx="773631" cy="402543"/>
      </dsp:txXfrm>
    </dsp:sp>
    <dsp:sp modelId="{7B59CB2C-C82F-41EE-B3CF-ADD4878ADBA6}">
      <dsp:nvSpPr>
        <dsp:cNvPr id="0" name=""/>
        <dsp:cNvSpPr/>
      </dsp:nvSpPr>
      <dsp:spPr>
        <a:xfrm rot="9930924">
          <a:off x="1206262" y="1610719"/>
          <a:ext cx="1314150" cy="13473"/>
        </a:xfrm>
        <a:custGeom>
          <a:avLst/>
          <a:gdLst/>
          <a:ahLst/>
          <a:cxnLst/>
          <a:rect l="0" t="0" r="0" b="0"/>
          <a:pathLst>
            <a:path>
              <a:moveTo>
                <a:pt x="0" y="6736"/>
              </a:moveTo>
              <a:lnTo>
                <a:pt x="131485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30483" y="1584602"/>
        <a:ext cx="65707" cy="65707"/>
      </dsp:txXfrm>
    </dsp:sp>
    <dsp:sp modelId="{402B25BB-F397-46B5-AAB7-C38C2276BF82}">
      <dsp:nvSpPr>
        <dsp:cNvPr id="0" name=""/>
        <dsp:cNvSpPr/>
      </dsp:nvSpPr>
      <dsp:spPr>
        <a:xfrm>
          <a:off x="76163" y="1623924"/>
          <a:ext cx="1222372" cy="59464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OPI </a:t>
          </a:r>
        </a:p>
      </dsp:txBody>
      <dsp:txXfrm>
        <a:off x="255175" y="1711008"/>
        <a:ext cx="864348" cy="420481"/>
      </dsp:txXfrm>
    </dsp:sp>
    <dsp:sp modelId="{EFB9CB5A-411C-454B-96B1-9ED988829CBE}">
      <dsp:nvSpPr>
        <dsp:cNvPr id="0" name=""/>
        <dsp:cNvSpPr/>
      </dsp:nvSpPr>
      <dsp:spPr>
        <a:xfrm rot="10864935">
          <a:off x="1301790" y="1305304"/>
          <a:ext cx="1065027" cy="13473"/>
        </a:xfrm>
        <a:custGeom>
          <a:avLst/>
          <a:gdLst/>
          <a:ahLst/>
          <a:cxnLst/>
          <a:rect l="0" t="0" r="0" b="0"/>
          <a:pathLst>
            <a:path>
              <a:moveTo>
                <a:pt x="0" y="6736"/>
              </a:moveTo>
              <a:lnTo>
                <a:pt x="106559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07678" y="1285414"/>
        <a:ext cx="53251" cy="53251"/>
      </dsp:txXfrm>
    </dsp:sp>
    <dsp:sp modelId="{5AF8D9AC-0C15-4D1B-BCD3-7FFCFF0A581D}">
      <dsp:nvSpPr>
        <dsp:cNvPr id="0" name=""/>
        <dsp:cNvSpPr/>
      </dsp:nvSpPr>
      <dsp:spPr>
        <a:xfrm>
          <a:off x="49235" y="1037649"/>
          <a:ext cx="1253337" cy="50501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respeto por P.I.</a:t>
          </a:r>
        </a:p>
      </dsp:txBody>
      <dsp:txXfrm>
        <a:off x="232782" y="1111607"/>
        <a:ext cx="886243" cy="357098"/>
      </dsp:txXfrm>
    </dsp:sp>
    <dsp:sp modelId="{701CC827-3AE5-4421-983B-6398C783C82F}">
      <dsp:nvSpPr>
        <dsp:cNvPr id="0" name=""/>
        <dsp:cNvSpPr/>
      </dsp:nvSpPr>
      <dsp:spPr>
        <a:xfrm rot="11760165">
          <a:off x="1355317" y="1035785"/>
          <a:ext cx="1187278" cy="13473"/>
        </a:xfrm>
        <a:custGeom>
          <a:avLst/>
          <a:gdLst/>
          <a:ahLst/>
          <a:cxnLst/>
          <a:rect l="0" t="0" r="0" b="0"/>
          <a:pathLst>
            <a:path>
              <a:moveTo>
                <a:pt x="0" y="6736"/>
              </a:moveTo>
              <a:lnTo>
                <a:pt x="1187912"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919274" y="1012839"/>
        <a:ext cx="59363" cy="59363"/>
      </dsp:txXfrm>
    </dsp:sp>
    <dsp:sp modelId="{A86195D8-E78B-4F8B-B1C4-EFBBA8999B88}">
      <dsp:nvSpPr>
        <dsp:cNvPr id="0" name=""/>
        <dsp:cNvSpPr/>
      </dsp:nvSpPr>
      <dsp:spPr>
        <a:xfrm>
          <a:off x="162781" y="495037"/>
          <a:ext cx="1379446" cy="4660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dsp:txBody>
      <dsp:txXfrm>
        <a:off x="364796" y="563288"/>
        <a:ext cx="975416" cy="329548"/>
      </dsp:txXfrm>
    </dsp:sp>
    <dsp:sp modelId="{48D8EFE9-A375-4136-B36E-91EB3A5F0349}">
      <dsp:nvSpPr>
        <dsp:cNvPr id="0" name=""/>
        <dsp:cNvSpPr/>
      </dsp:nvSpPr>
      <dsp:spPr>
        <a:xfrm rot="13294674">
          <a:off x="1990700" y="855245"/>
          <a:ext cx="882032" cy="13473"/>
        </a:xfrm>
        <a:custGeom>
          <a:avLst/>
          <a:gdLst/>
          <a:ahLst/>
          <a:cxnLst/>
          <a:rect l="0" t="0" r="0" b="0"/>
          <a:pathLst>
            <a:path>
              <a:moveTo>
                <a:pt x="0" y="6736"/>
              </a:moveTo>
              <a:lnTo>
                <a:pt x="88250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09665" y="839931"/>
        <a:ext cx="44101" cy="44101"/>
      </dsp:txXfrm>
    </dsp:sp>
    <dsp:sp modelId="{2CC81EFE-1B09-4239-A772-C0141AEBEE08}">
      <dsp:nvSpPr>
        <dsp:cNvPr id="0" name=""/>
        <dsp:cNvSpPr/>
      </dsp:nvSpPr>
      <dsp:spPr>
        <a:xfrm>
          <a:off x="1200329" y="67082"/>
          <a:ext cx="1265057" cy="5272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Programa 30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p>
      </dsp:txBody>
      <dsp:txXfrm>
        <a:off x="1385592" y="144295"/>
        <a:ext cx="894531" cy="372816"/>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155327" y="1282483"/>
          <a:ext cx="1354520" cy="503402"/>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 </a:t>
          </a:r>
        </a:p>
      </dsp:txBody>
      <dsp:txXfrm>
        <a:off x="2353692" y="1356205"/>
        <a:ext cx="957790" cy="355958"/>
      </dsp:txXfrm>
    </dsp:sp>
    <dsp:sp modelId="{E6ACA703-0949-41B3-BE6B-C702E5C7275F}">
      <dsp:nvSpPr>
        <dsp:cNvPr id="0" name=""/>
        <dsp:cNvSpPr/>
      </dsp:nvSpPr>
      <dsp:spPr>
        <a:xfrm rot="16925805">
          <a:off x="2647240" y="979617"/>
          <a:ext cx="605037" cy="15718"/>
        </a:xfrm>
        <a:custGeom>
          <a:avLst/>
          <a:gdLst/>
          <a:ahLst/>
          <a:cxnLst/>
          <a:rect l="0" t="0" r="0" b="0"/>
          <a:pathLst>
            <a:path>
              <a:moveTo>
                <a:pt x="0" y="6736"/>
              </a:moveTo>
              <a:lnTo>
                <a:pt x="66706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34633" y="972351"/>
        <a:ext cx="30251" cy="30251"/>
      </dsp:txXfrm>
    </dsp:sp>
    <dsp:sp modelId="{AFD0CC05-9AD4-4A51-8739-4FB4CA1E4ACE}">
      <dsp:nvSpPr>
        <dsp:cNvPr id="0" name=""/>
        <dsp:cNvSpPr/>
      </dsp:nvSpPr>
      <dsp:spPr>
        <a:xfrm>
          <a:off x="2554830" y="166975"/>
          <a:ext cx="1028768" cy="5262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Derecho de patentes</a:t>
          </a:r>
        </a:p>
      </dsp:txBody>
      <dsp:txXfrm>
        <a:off x="2705490" y="244045"/>
        <a:ext cx="727448" cy="372127"/>
      </dsp:txXfrm>
    </dsp:sp>
    <dsp:sp modelId="{34515D96-C834-4D67-AF5C-3B293601CBC3}">
      <dsp:nvSpPr>
        <dsp:cNvPr id="0" name=""/>
        <dsp:cNvSpPr/>
      </dsp:nvSpPr>
      <dsp:spPr>
        <a:xfrm rot="19365705">
          <a:off x="3042731" y="1040954"/>
          <a:ext cx="856844" cy="15718"/>
        </a:xfrm>
        <a:custGeom>
          <a:avLst/>
          <a:gdLst/>
          <a:ahLst/>
          <a:cxnLst/>
          <a:rect l="0" t="0" r="0" b="0"/>
          <a:pathLst>
            <a:path>
              <a:moveTo>
                <a:pt x="0" y="6736"/>
              </a:moveTo>
              <a:lnTo>
                <a:pt x="853408"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49733" y="1027393"/>
        <a:ext cx="42842" cy="42842"/>
      </dsp:txXfrm>
    </dsp:sp>
    <dsp:sp modelId="{D9366F31-B7D7-4B43-830C-AD5E2193A794}">
      <dsp:nvSpPr>
        <dsp:cNvPr id="0" name=""/>
        <dsp:cNvSpPr/>
      </dsp:nvSpPr>
      <dsp:spPr>
        <a:xfrm>
          <a:off x="3586019" y="276866"/>
          <a:ext cx="1059999" cy="56357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cs typeface="Arial" panose="020B0604020202020204" pitchFamily="34" charset="0"/>
            </a:rPr>
            <a:t>Marcas, DD.II. e II.GG.</a:t>
          </a:r>
          <a:endParaRPr lang="en-US" sz="900" kern="1200">
            <a:solidFill>
              <a:sysClr val="windowText" lastClr="000000"/>
            </a:solidFill>
            <a:latin typeface="Arial" panose="020B0604020202020204" pitchFamily="34" charset="0"/>
            <a:ea typeface="+mn-ea"/>
            <a:cs typeface="Arial" panose="020B0604020202020204" pitchFamily="34" charset="0"/>
          </a:endParaRPr>
        </a:p>
      </dsp:txBody>
      <dsp:txXfrm>
        <a:off x="3741252" y="359400"/>
        <a:ext cx="749533" cy="398511"/>
      </dsp:txXfrm>
    </dsp:sp>
    <dsp:sp modelId="{3F0F15B6-4D5A-493B-B03E-AE8141DC3DCE}">
      <dsp:nvSpPr>
        <dsp:cNvPr id="0" name=""/>
        <dsp:cNvSpPr/>
      </dsp:nvSpPr>
      <dsp:spPr>
        <a:xfrm rot="20600334">
          <a:off x="3336325" y="1206229"/>
          <a:ext cx="1131673" cy="15718"/>
        </a:xfrm>
        <a:custGeom>
          <a:avLst/>
          <a:gdLst/>
          <a:ahLst/>
          <a:cxnLst/>
          <a:rect l="0" t="0" r="0" b="0"/>
          <a:pathLst>
            <a:path>
              <a:moveTo>
                <a:pt x="0" y="6736"/>
              </a:moveTo>
              <a:lnTo>
                <a:pt x="110105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73870" y="1185796"/>
        <a:ext cx="56583" cy="56583"/>
      </dsp:txXfrm>
    </dsp:sp>
    <dsp:sp modelId="{ECD2D13D-466C-468B-BD6C-1B646D8E5B8E}">
      <dsp:nvSpPr>
        <dsp:cNvPr id="0" name=""/>
        <dsp:cNvSpPr/>
      </dsp:nvSpPr>
      <dsp:spPr>
        <a:xfrm>
          <a:off x="4354388" y="730910"/>
          <a:ext cx="967494" cy="4061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 </a:t>
          </a:r>
          <a:r>
            <a:rPr lang="en-US" sz="900" kern="1200">
              <a:solidFill>
                <a:sysClr val="windowText" lastClr="000000"/>
              </a:solidFill>
              <a:latin typeface="Arial" panose="020B0604020202020204" pitchFamily="34" charset="0"/>
              <a:cs typeface="Arial" panose="020B0604020202020204" pitchFamily="34" charset="0"/>
            </a:rPr>
            <a:t>D.A.D.C</a:t>
          </a:r>
          <a:endParaRPr lang="en-US" sz="900" kern="1200">
            <a:solidFill>
              <a:sysClr val="windowText" lastClr="000000"/>
            </a:solidFill>
            <a:latin typeface="Arial" panose="020B0604020202020204" pitchFamily="34" charset="0"/>
            <a:ea typeface="+mn-ea"/>
            <a:cs typeface="Arial" panose="020B0604020202020204" pitchFamily="34" charset="0"/>
          </a:endParaRPr>
        </a:p>
      </dsp:txBody>
      <dsp:txXfrm>
        <a:off x="4496074" y="790386"/>
        <a:ext cx="684122" cy="287178"/>
      </dsp:txXfrm>
    </dsp:sp>
    <dsp:sp modelId="{5CF8296B-0142-429D-A71A-20799D2EB74B}">
      <dsp:nvSpPr>
        <dsp:cNvPr id="0" name=""/>
        <dsp:cNvSpPr/>
      </dsp:nvSpPr>
      <dsp:spPr>
        <a:xfrm rot="21435936">
          <a:off x="3503789" y="1471872"/>
          <a:ext cx="937847" cy="15718"/>
        </a:xfrm>
        <a:custGeom>
          <a:avLst/>
          <a:gdLst/>
          <a:ahLst/>
          <a:cxnLst/>
          <a:rect l="0" t="0" r="0" b="0"/>
          <a:pathLst>
            <a:path>
              <a:moveTo>
                <a:pt x="0" y="6736"/>
              </a:moveTo>
              <a:lnTo>
                <a:pt x="1241186"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49267" y="1456285"/>
        <a:ext cx="46892" cy="46892"/>
      </dsp:txXfrm>
    </dsp:sp>
    <dsp:sp modelId="{7E7DDE23-6C04-407D-AAB6-669511EA704E}">
      <dsp:nvSpPr>
        <dsp:cNvPr id="0" name=""/>
        <dsp:cNvSpPr/>
      </dsp:nvSpPr>
      <dsp:spPr>
        <a:xfrm>
          <a:off x="4436532" y="1156922"/>
          <a:ext cx="1328162" cy="537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p>
      </dsp:txBody>
      <dsp:txXfrm>
        <a:off x="4631037" y="1235693"/>
        <a:ext cx="939152" cy="380338"/>
      </dsp:txXfrm>
    </dsp:sp>
    <dsp:sp modelId="{DC281168-2DBC-4CFB-B21D-C54E9628B383}">
      <dsp:nvSpPr>
        <dsp:cNvPr id="0" name=""/>
        <dsp:cNvSpPr/>
      </dsp:nvSpPr>
      <dsp:spPr>
        <a:xfrm rot="661374">
          <a:off x="3422184" y="1749506"/>
          <a:ext cx="1112247" cy="15718"/>
        </a:xfrm>
        <a:custGeom>
          <a:avLst/>
          <a:gdLst/>
          <a:ahLst/>
          <a:cxnLst/>
          <a:rect l="0" t="0" r="0" b="0"/>
          <a:pathLst>
            <a:path>
              <a:moveTo>
                <a:pt x="0" y="6736"/>
              </a:moveTo>
              <a:lnTo>
                <a:pt x="1158420"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50501" y="1729559"/>
        <a:ext cx="55612" cy="55612"/>
      </dsp:txXfrm>
    </dsp:sp>
    <dsp:sp modelId="{66DADE40-99AE-41BE-B997-129EED231064}">
      <dsp:nvSpPr>
        <dsp:cNvPr id="0" name=""/>
        <dsp:cNvSpPr/>
      </dsp:nvSpPr>
      <dsp:spPr>
        <a:xfrm>
          <a:off x="4475808" y="1756143"/>
          <a:ext cx="957396" cy="38276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 PCT</a:t>
          </a:r>
        </a:p>
      </dsp:txBody>
      <dsp:txXfrm>
        <a:off x="4616015" y="1812197"/>
        <a:ext cx="676982" cy="270654"/>
      </dsp:txXfrm>
    </dsp:sp>
    <dsp:sp modelId="{4DF1B0BE-A63A-4BEA-9EE5-4168481CC99E}">
      <dsp:nvSpPr>
        <dsp:cNvPr id="0" name=""/>
        <dsp:cNvSpPr/>
      </dsp:nvSpPr>
      <dsp:spPr>
        <a:xfrm rot="2096424">
          <a:off x="3084911" y="1957420"/>
          <a:ext cx="729415" cy="15718"/>
        </a:xfrm>
        <a:custGeom>
          <a:avLst/>
          <a:gdLst/>
          <a:ahLst/>
          <a:cxnLst/>
          <a:rect l="0" t="0" r="0" b="0"/>
          <a:pathLst>
            <a:path>
              <a:moveTo>
                <a:pt x="0" y="6736"/>
              </a:moveTo>
              <a:lnTo>
                <a:pt x="790334"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431383" y="1947044"/>
        <a:ext cx="36470" cy="36470"/>
      </dsp:txXfrm>
    </dsp:sp>
    <dsp:sp modelId="{DB594876-4070-4577-942D-67F5CD4D6A19}">
      <dsp:nvSpPr>
        <dsp:cNvPr id="0" name=""/>
        <dsp:cNvSpPr/>
      </dsp:nvSpPr>
      <dsp:spPr>
        <a:xfrm>
          <a:off x="3482407" y="2121113"/>
          <a:ext cx="1235178" cy="59711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 Sistemas de Madrid y Lisboa </a:t>
          </a:r>
        </a:p>
      </dsp:txBody>
      <dsp:txXfrm>
        <a:off x="3663295" y="2208558"/>
        <a:ext cx="873402" cy="422225"/>
      </dsp:txXfrm>
    </dsp:sp>
    <dsp:sp modelId="{E49C447F-3477-4311-B10B-FFFA7DE7209F}">
      <dsp:nvSpPr>
        <dsp:cNvPr id="0" name=""/>
        <dsp:cNvSpPr/>
      </dsp:nvSpPr>
      <dsp:spPr>
        <a:xfrm rot="5003739">
          <a:off x="2605908" y="2064913"/>
          <a:ext cx="578074" cy="15718"/>
        </a:xfrm>
        <a:custGeom>
          <a:avLst/>
          <a:gdLst/>
          <a:ahLst/>
          <a:cxnLst/>
          <a:rect l="0" t="0" r="0" b="0"/>
          <a:pathLst>
            <a:path>
              <a:moveTo>
                <a:pt x="0" y="6736"/>
              </a:moveTo>
              <a:lnTo>
                <a:pt x="62573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880493" y="2058321"/>
        <a:ext cx="28903" cy="28903"/>
      </dsp:txXfrm>
    </dsp:sp>
    <dsp:sp modelId="{69F18085-0AC3-4BAE-9B16-F8478FFBD61E}">
      <dsp:nvSpPr>
        <dsp:cNvPr id="0" name=""/>
        <dsp:cNvSpPr/>
      </dsp:nvSpPr>
      <dsp:spPr>
        <a:xfrm>
          <a:off x="2374788" y="2359562"/>
          <a:ext cx="1166006" cy="5120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Academia de la OMPI </a:t>
          </a:r>
        </a:p>
      </dsp:txBody>
      <dsp:txXfrm>
        <a:off x="2545546" y="2434547"/>
        <a:ext cx="824490" cy="362060"/>
      </dsp:txXfrm>
    </dsp:sp>
    <dsp:sp modelId="{FCC14444-D5E7-4E9C-B980-A27CD799E442}">
      <dsp:nvSpPr>
        <dsp:cNvPr id="0" name=""/>
        <dsp:cNvSpPr/>
      </dsp:nvSpPr>
      <dsp:spPr>
        <a:xfrm rot="8166771">
          <a:off x="1819796" y="2070807"/>
          <a:ext cx="893473" cy="15718"/>
        </a:xfrm>
        <a:custGeom>
          <a:avLst/>
          <a:gdLst/>
          <a:ahLst/>
          <a:cxnLst/>
          <a:rect l="0" t="0" r="0" b="0"/>
          <a:pathLst>
            <a:path>
              <a:moveTo>
                <a:pt x="0" y="6736"/>
              </a:moveTo>
              <a:lnTo>
                <a:pt x="96431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44196" y="2056329"/>
        <a:ext cx="44673" cy="44673"/>
      </dsp:txXfrm>
    </dsp:sp>
    <dsp:sp modelId="{49C45DFA-0A15-4DAA-80DC-CAE4ABCC6B43}">
      <dsp:nvSpPr>
        <dsp:cNvPr id="0" name=""/>
        <dsp:cNvSpPr/>
      </dsp:nvSpPr>
      <dsp:spPr>
        <a:xfrm>
          <a:off x="988422" y="2361392"/>
          <a:ext cx="1350291" cy="59451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Acceso a info. y conocimientos</a:t>
          </a:r>
        </a:p>
      </dsp:txBody>
      <dsp:txXfrm>
        <a:off x="1186168" y="2448457"/>
        <a:ext cx="954799" cy="420388"/>
      </dsp:txXfrm>
    </dsp:sp>
    <dsp:sp modelId="{7B59CB2C-C82F-41EE-B3CF-ADD4878ADBA6}">
      <dsp:nvSpPr>
        <dsp:cNvPr id="0" name=""/>
        <dsp:cNvSpPr/>
      </dsp:nvSpPr>
      <dsp:spPr>
        <a:xfrm rot="9802809">
          <a:off x="1357150" y="1822317"/>
          <a:ext cx="967610" cy="15718"/>
        </a:xfrm>
        <a:custGeom>
          <a:avLst/>
          <a:gdLst/>
          <a:ahLst/>
          <a:cxnLst/>
          <a:rect l="0" t="0" r="0" b="0"/>
          <a:pathLst>
            <a:path>
              <a:moveTo>
                <a:pt x="0" y="6736"/>
              </a:moveTo>
              <a:lnTo>
                <a:pt x="1328759"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6766" y="1805986"/>
        <a:ext cx="48380" cy="48380"/>
      </dsp:txXfrm>
    </dsp:sp>
    <dsp:sp modelId="{402B25BB-F397-46B5-AAB7-C38C2276BF82}">
      <dsp:nvSpPr>
        <dsp:cNvPr id="0" name=""/>
        <dsp:cNvSpPr/>
      </dsp:nvSpPr>
      <dsp:spPr>
        <a:xfrm>
          <a:off x="61478" y="1842316"/>
          <a:ext cx="1451732" cy="60470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Soluciones operativas para OPI</a:t>
          </a:r>
        </a:p>
      </dsp:txBody>
      <dsp:txXfrm>
        <a:off x="274079" y="1930873"/>
        <a:ext cx="1026530" cy="427593"/>
      </dsp:txXfrm>
    </dsp:sp>
    <dsp:sp modelId="{EFB9CB5A-411C-454B-96B1-9ED988829CBE}">
      <dsp:nvSpPr>
        <dsp:cNvPr id="0" name=""/>
        <dsp:cNvSpPr/>
      </dsp:nvSpPr>
      <dsp:spPr>
        <a:xfrm rot="10869129">
          <a:off x="1131064" y="1502416"/>
          <a:ext cx="1025356" cy="15718"/>
        </a:xfrm>
        <a:custGeom>
          <a:avLst/>
          <a:gdLst/>
          <a:ahLst/>
          <a:cxnLst/>
          <a:rect l="0" t="0" r="0" b="0"/>
          <a:pathLst>
            <a:path>
              <a:moveTo>
                <a:pt x="0" y="6736"/>
              </a:moveTo>
              <a:lnTo>
                <a:pt x="1201111"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18108" y="1484641"/>
        <a:ext cx="51267" cy="51267"/>
      </dsp:txXfrm>
    </dsp:sp>
    <dsp:sp modelId="{5AF8D9AC-0C15-4D1B-BCD3-7FFCFF0A581D}">
      <dsp:nvSpPr>
        <dsp:cNvPr id="0" name=""/>
        <dsp:cNvSpPr/>
      </dsp:nvSpPr>
      <dsp:spPr>
        <a:xfrm>
          <a:off x="2428" y="1180528"/>
          <a:ext cx="1129121" cy="61618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cs typeface="Arial" panose="020B0604020202020204" pitchFamily="34" charset="0"/>
            </a:rPr>
            <a:t>Fomentar el respeto por P.I.</a:t>
          </a:r>
          <a:endParaRPr lang="en-US" sz="900" kern="1200">
            <a:solidFill>
              <a:sysClr val="windowText" lastClr="000000"/>
            </a:solidFill>
            <a:latin typeface="Arial" panose="020B0604020202020204" pitchFamily="34" charset="0"/>
            <a:ea typeface="+mn-ea"/>
            <a:cs typeface="Arial" panose="020B0604020202020204" pitchFamily="34" charset="0"/>
          </a:endParaRPr>
        </a:p>
      </dsp:txBody>
      <dsp:txXfrm>
        <a:off x="167784" y="1270766"/>
        <a:ext cx="798409" cy="435708"/>
      </dsp:txXfrm>
    </dsp:sp>
    <dsp:sp modelId="{701CC827-3AE5-4421-983B-6398C783C82F}">
      <dsp:nvSpPr>
        <dsp:cNvPr id="0" name=""/>
        <dsp:cNvSpPr/>
      </dsp:nvSpPr>
      <dsp:spPr>
        <a:xfrm rot="11924478">
          <a:off x="1320201" y="1189585"/>
          <a:ext cx="1039774" cy="15718"/>
        </a:xfrm>
        <a:custGeom>
          <a:avLst/>
          <a:gdLst/>
          <a:ahLst/>
          <a:cxnLst/>
          <a:rect l="0" t="0" r="0" b="0"/>
          <a:pathLst>
            <a:path>
              <a:moveTo>
                <a:pt x="0" y="6736"/>
              </a:moveTo>
              <a:lnTo>
                <a:pt x="1208775"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4094" y="1171450"/>
        <a:ext cx="51988" cy="51988"/>
      </dsp:txXfrm>
    </dsp:sp>
    <dsp:sp modelId="{A86195D8-E78B-4F8B-B1C4-EFBBA8999B88}">
      <dsp:nvSpPr>
        <dsp:cNvPr id="0" name=""/>
        <dsp:cNvSpPr/>
      </dsp:nvSpPr>
      <dsp:spPr>
        <a:xfrm>
          <a:off x="336420" y="573053"/>
          <a:ext cx="1093143" cy="5993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Relaciones exteriores</a:t>
          </a:r>
        </a:p>
      </dsp:txBody>
      <dsp:txXfrm>
        <a:off x="496507" y="660822"/>
        <a:ext cx="772969" cy="423787"/>
      </dsp:txXfrm>
    </dsp:sp>
    <dsp:sp modelId="{155F429B-0A10-4501-ADF1-CAD1F85BB50E}">
      <dsp:nvSpPr>
        <dsp:cNvPr id="0" name=""/>
        <dsp:cNvSpPr/>
      </dsp:nvSpPr>
      <dsp:spPr>
        <a:xfrm rot="13691574">
          <a:off x="2012369" y="1016169"/>
          <a:ext cx="727944" cy="15718"/>
        </a:xfrm>
        <a:custGeom>
          <a:avLst/>
          <a:gdLst/>
          <a:ahLst/>
          <a:cxnLst/>
          <a:rect l="0" t="0" r="0" b="0"/>
          <a:pathLst>
            <a:path>
              <a:moveTo>
                <a:pt x="0" y="6736"/>
              </a:moveTo>
              <a:lnTo>
                <a:pt x="814517" y="673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8142" y="1005830"/>
        <a:ext cx="36397" cy="36397"/>
      </dsp:txXfrm>
    </dsp:sp>
    <dsp:sp modelId="{04A81C5D-1DF3-47DF-8447-322057132F11}">
      <dsp:nvSpPr>
        <dsp:cNvPr id="0" name=""/>
        <dsp:cNvSpPr/>
      </dsp:nvSpPr>
      <dsp:spPr>
        <a:xfrm>
          <a:off x="1200833" y="147192"/>
          <a:ext cx="1346048" cy="62995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Pymes y cap. empresarial</a:t>
          </a:r>
          <a:endParaRPr lang="en-US" sz="900" kern="1200">
            <a:solidFill>
              <a:srgbClr val="FF0000"/>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397957" y="239447"/>
        <a:ext cx="951800" cy="44544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166606" y="666821"/>
          <a:ext cx="1741969" cy="65993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dsp:txBody>
      <dsp:txXfrm>
        <a:off x="2421711" y="763466"/>
        <a:ext cx="1231759" cy="466640"/>
      </dsp:txXfrm>
    </dsp:sp>
    <dsp:sp modelId="{4344ACFB-6B44-4AAF-B1DB-49AB3ED02AF7}">
      <dsp:nvSpPr>
        <dsp:cNvPr id="0" name=""/>
        <dsp:cNvSpPr/>
      </dsp:nvSpPr>
      <dsp:spPr>
        <a:xfrm rot="16264180">
          <a:off x="2974966" y="588671"/>
          <a:ext cx="140186" cy="16154"/>
        </a:xfrm>
        <a:custGeom>
          <a:avLst/>
          <a:gdLst/>
          <a:ahLst/>
          <a:cxnLst/>
          <a:rect l="0" t="0" r="0" b="0"/>
          <a:pathLst>
            <a:path>
              <a:moveTo>
                <a:pt x="0" y="8077"/>
              </a:moveTo>
              <a:lnTo>
                <a:pt x="140186"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41555" y="593244"/>
        <a:ext cx="7009" cy="7009"/>
      </dsp:txXfrm>
    </dsp:sp>
    <dsp:sp modelId="{19ACA16F-4F02-4741-A973-0858AA9E727D}">
      <dsp:nvSpPr>
        <dsp:cNvPr id="0" name=""/>
        <dsp:cNvSpPr/>
      </dsp:nvSpPr>
      <dsp:spPr>
        <a:xfrm>
          <a:off x="2063086" y="0"/>
          <a:ext cx="1976398" cy="5266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autor y derechos conexos</a:t>
          </a:r>
        </a:p>
      </dsp:txBody>
      <dsp:txXfrm>
        <a:off x="2352523" y="77129"/>
        <a:ext cx="1397524" cy="372413"/>
      </dsp:txXfrm>
    </dsp:sp>
    <dsp:sp modelId="{5337AE63-3722-42CC-AF72-36670EB7C5E1}">
      <dsp:nvSpPr>
        <dsp:cNvPr id="0" name=""/>
        <dsp:cNvSpPr/>
      </dsp:nvSpPr>
      <dsp:spPr>
        <a:xfrm rot="21595165">
          <a:off x="3908569" y="987200"/>
          <a:ext cx="404498" cy="16154"/>
        </a:xfrm>
        <a:custGeom>
          <a:avLst/>
          <a:gdLst/>
          <a:ahLst/>
          <a:cxnLst/>
          <a:rect l="0" t="0" r="0" b="0"/>
          <a:pathLst>
            <a:path>
              <a:moveTo>
                <a:pt x="0" y="8077"/>
              </a:moveTo>
              <a:lnTo>
                <a:pt x="404498"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00705" y="985165"/>
        <a:ext cx="20224" cy="20224"/>
      </dsp:txXfrm>
    </dsp:sp>
    <dsp:sp modelId="{CED9197C-8322-406B-917C-172FA36E7B76}">
      <dsp:nvSpPr>
        <dsp:cNvPr id="0" name=""/>
        <dsp:cNvSpPr/>
      </dsp:nvSpPr>
      <dsp:spPr>
        <a:xfrm>
          <a:off x="4313062" y="655604"/>
          <a:ext cx="1624600" cy="67649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 regionales en la sede</a:t>
          </a:r>
        </a:p>
      </dsp:txBody>
      <dsp:txXfrm>
        <a:off x="4550979" y="754674"/>
        <a:ext cx="1148766" cy="478353"/>
      </dsp:txXfrm>
    </dsp:sp>
    <dsp:sp modelId="{4AC11394-3179-4EC5-A97F-D1A1B521CE2F}">
      <dsp:nvSpPr>
        <dsp:cNvPr id="0" name=""/>
        <dsp:cNvSpPr/>
      </dsp:nvSpPr>
      <dsp:spPr>
        <a:xfrm rot="5406477">
          <a:off x="2963176" y="1392329"/>
          <a:ext cx="147307" cy="16154"/>
        </a:xfrm>
        <a:custGeom>
          <a:avLst/>
          <a:gdLst/>
          <a:ahLst/>
          <a:cxnLst/>
          <a:rect l="0" t="0" r="0" b="0"/>
          <a:pathLst>
            <a:path>
              <a:moveTo>
                <a:pt x="0" y="8077"/>
              </a:moveTo>
              <a:lnTo>
                <a:pt x="147307"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3033147" y="1396723"/>
        <a:ext cx="7365" cy="7365"/>
      </dsp:txXfrm>
    </dsp:sp>
    <dsp:sp modelId="{035B4C9A-0916-4FCC-A1CF-85DB358A289A}">
      <dsp:nvSpPr>
        <dsp:cNvPr id="0" name=""/>
        <dsp:cNvSpPr/>
      </dsp:nvSpPr>
      <dsp:spPr>
        <a:xfrm>
          <a:off x="2254009" y="1474060"/>
          <a:ext cx="1564634" cy="3869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2483144" y="1530722"/>
        <a:ext cx="1106364" cy="273586"/>
      </dsp:txXfrm>
    </dsp:sp>
    <dsp:sp modelId="{ADF94B70-0D7F-4A27-8DF9-17BCD27F4A7A}">
      <dsp:nvSpPr>
        <dsp:cNvPr id="0" name=""/>
        <dsp:cNvSpPr/>
      </dsp:nvSpPr>
      <dsp:spPr>
        <a:xfrm rot="10791925">
          <a:off x="1648404" y="991364"/>
          <a:ext cx="518219" cy="16154"/>
        </a:xfrm>
        <a:custGeom>
          <a:avLst/>
          <a:gdLst/>
          <a:ahLst/>
          <a:cxnLst/>
          <a:rect l="0" t="0" r="0" b="0"/>
          <a:pathLst>
            <a:path>
              <a:moveTo>
                <a:pt x="0" y="8077"/>
              </a:moveTo>
              <a:lnTo>
                <a:pt x="518219" y="807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94558" y="986486"/>
        <a:ext cx="25910" cy="25910"/>
      </dsp:txXfrm>
    </dsp:sp>
    <dsp:sp modelId="{0FAF3FA1-8E6C-455E-B189-A468B3F4D8BC}">
      <dsp:nvSpPr>
        <dsp:cNvPr id="0" name=""/>
        <dsp:cNvSpPr/>
      </dsp:nvSpPr>
      <dsp:spPr>
        <a:xfrm>
          <a:off x="0" y="687000"/>
          <a:ext cx="1648420" cy="62997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a:p>
          <a:pPr lvl="0" algn="ctr" defTabSz="488950">
            <a:lnSpc>
              <a:spcPct val="90000"/>
            </a:lnSpc>
            <a:spcBef>
              <a:spcPct val="0"/>
            </a:spcBef>
            <a:spcAft>
              <a:spcPct val="35000"/>
            </a:spcAft>
          </a:pPr>
          <a:r>
            <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Relaciones exteriores</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1406" y="779257"/>
        <a:ext cx="1165608" cy="445457"/>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068005" y="732827"/>
          <a:ext cx="1356160" cy="556846"/>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30</a:t>
          </a:r>
        </a:p>
      </dsp:txBody>
      <dsp:txXfrm>
        <a:off x="2266610" y="814375"/>
        <a:ext cx="958950" cy="393750"/>
      </dsp:txXfrm>
    </dsp:sp>
    <dsp:sp modelId="{4AC11394-3179-4EC5-A97F-D1A1B521CE2F}">
      <dsp:nvSpPr>
        <dsp:cNvPr id="0" name=""/>
        <dsp:cNvSpPr/>
      </dsp:nvSpPr>
      <dsp:spPr>
        <a:xfrm rot="16193288">
          <a:off x="2663623" y="641934"/>
          <a:ext cx="163517" cy="18269"/>
        </a:xfrm>
        <a:custGeom>
          <a:avLst/>
          <a:gdLst/>
          <a:ahLst/>
          <a:cxnLst/>
          <a:rect l="0" t="0" r="0" b="0"/>
          <a:pathLst>
            <a:path>
              <a:moveTo>
                <a:pt x="0" y="9134"/>
              </a:moveTo>
              <a:lnTo>
                <a:pt x="163517"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741294" y="646980"/>
        <a:ext cx="8175" cy="8175"/>
      </dsp:txXfrm>
    </dsp:sp>
    <dsp:sp modelId="{035B4C9A-0916-4FCC-A1CF-85DB358A289A}">
      <dsp:nvSpPr>
        <dsp:cNvPr id="0" name=""/>
        <dsp:cNvSpPr/>
      </dsp:nvSpPr>
      <dsp:spPr>
        <a:xfrm>
          <a:off x="1988334" y="-7521"/>
          <a:ext cx="1512650" cy="57683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209856" y="76954"/>
        <a:ext cx="1069606" cy="407881"/>
      </dsp:txXfrm>
    </dsp:sp>
    <dsp:sp modelId="{64248C57-3CE0-4657-BC67-6279BA0257B1}">
      <dsp:nvSpPr>
        <dsp:cNvPr id="0" name=""/>
        <dsp:cNvSpPr/>
      </dsp:nvSpPr>
      <dsp:spPr>
        <a:xfrm rot="2869">
          <a:off x="3424164" y="1002875"/>
          <a:ext cx="463565" cy="18269"/>
        </a:xfrm>
        <a:custGeom>
          <a:avLst/>
          <a:gdLst/>
          <a:ahLst/>
          <a:cxnLst/>
          <a:rect l="0" t="0" r="0" b="0"/>
          <a:pathLst>
            <a:path>
              <a:moveTo>
                <a:pt x="0" y="9134"/>
              </a:moveTo>
              <a:lnTo>
                <a:pt x="463565"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644357" y="1000420"/>
        <a:ext cx="23178" cy="23178"/>
      </dsp:txXfrm>
    </dsp:sp>
    <dsp:sp modelId="{976BA53C-17D4-4F7C-9078-1272C469C9E5}">
      <dsp:nvSpPr>
        <dsp:cNvPr id="0" name=""/>
        <dsp:cNvSpPr/>
      </dsp:nvSpPr>
      <dsp:spPr>
        <a:xfrm>
          <a:off x="3887727" y="722494"/>
          <a:ext cx="1423332" cy="5806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96169" y="807522"/>
        <a:ext cx="1006448" cy="410550"/>
      </dsp:txXfrm>
    </dsp:sp>
    <dsp:sp modelId="{ADF94B70-0D7F-4A27-8DF9-17BCD27F4A7A}">
      <dsp:nvSpPr>
        <dsp:cNvPr id="0" name=""/>
        <dsp:cNvSpPr/>
      </dsp:nvSpPr>
      <dsp:spPr>
        <a:xfrm rot="10791658">
          <a:off x="1610158" y="1004316"/>
          <a:ext cx="457860" cy="18269"/>
        </a:xfrm>
        <a:custGeom>
          <a:avLst/>
          <a:gdLst/>
          <a:ahLst/>
          <a:cxnLst/>
          <a:rect l="0" t="0" r="0" b="0"/>
          <a:pathLst>
            <a:path>
              <a:moveTo>
                <a:pt x="0" y="9134"/>
              </a:moveTo>
              <a:lnTo>
                <a:pt x="457860" y="913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27641" y="1002004"/>
        <a:ext cx="22893" cy="22893"/>
      </dsp:txXfrm>
    </dsp:sp>
    <dsp:sp modelId="{0FAF3FA1-8E6C-455E-B189-A468B3F4D8BC}">
      <dsp:nvSpPr>
        <dsp:cNvPr id="0" name=""/>
        <dsp:cNvSpPr/>
      </dsp:nvSpPr>
      <dsp:spPr>
        <a:xfrm>
          <a:off x="175295" y="718912"/>
          <a:ext cx="1434875" cy="59367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8895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889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a:p>
          <a:pPr lvl="0" algn="ctr" defTabSz="48895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85428" y="805853"/>
        <a:ext cx="1014609" cy="41978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1984304" y="691030"/>
          <a:ext cx="1477301" cy="434321"/>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dsp:txBody>
      <dsp:txXfrm>
        <a:off x="2200650" y="754635"/>
        <a:ext cx="1044609" cy="307111"/>
      </dsp:txXfrm>
    </dsp:sp>
    <dsp:sp modelId="{5337AE63-3722-42CC-AF72-36670EB7C5E1}">
      <dsp:nvSpPr>
        <dsp:cNvPr id="0" name=""/>
        <dsp:cNvSpPr/>
      </dsp:nvSpPr>
      <dsp:spPr>
        <a:xfrm rot="16216882">
          <a:off x="2633700" y="592655"/>
          <a:ext cx="181534" cy="15217"/>
        </a:xfrm>
        <a:custGeom>
          <a:avLst/>
          <a:gdLst/>
          <a:ahLst/>
          <a:cxnLst/>
          <a:rect l="0" t="0" r="0" b="0"/>
          <a:pathLst>
            <a:path>
              <a:moveTo>
                <a:pt x="0" y="6998"/>
              </a:moveTo>
              <a:lnTo>
                <a:pt x="158573"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19929" y="595726"/>
        <a:ext cx="9076" cy="9076"/>
      </dsp:txXfrm>
    </dsp:sp>
    <dsp:sp modelId="{CED9197C-8322-406B-917C-172FA36E7B76}">
      <dsp:nvSpPr>
        <dsp:cNvPr id="0" name=""/>
        <dsp:cNvSpPr/>
      </dsp:nvSpPr>
      <dsp:spPr>
        <a:xfrm>
          <a:off x="2077434" y="10399"/>
          <a:ext cx="1297408" cy="49909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7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267435" y="83490"/>
        <a:ext cx="917406" cy="352917"/>
      </dsp:txXfrm>
    </dsp:sp>
    <dsp:sp modelId="{4AC11394-3179-4EC5-A97F-D1A1B521CE2F}">
      <dsp:nvSpPr>
        <dsp:cNvPr id="0" name=""/>
        <dsp:cNvSpPr/>
      </dsp:nvSpPr>
      <dsp:spPr>
        <a:xfrm rot="21559251">
          <a:off x="3460978" y="887002"/>
          <a:ext cx="815226" cy="15217"/>
        </a:xfrm>
        <a:custGeom>
          <a:avLst/>
          <a:gdLst/>
          <a:ahLst/>
          <a:cxnLst/>
          <a:rect l="0" t="0" r="0" b="0"/>
          <a:pathLst>
            <a:path>
              <a:moveTo>
                <a:pt x="0" y="6998"/>
              </a:moveTo>
              <a:lnTo>
                <a:pt x="1011830"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48210" y="874229"/>
        <a:ext cx="40761" cy="40761"/>
      </dsp:txXfrm>
    </dsp:sp>
    <dsp:sp modelId="{035B4C9A-0916-4FCC-A1CF-85DB358A289A}">
      <dsp:nvSpPr>
        <dsp:cNvPr id="0" name=""/>
        <dsp:cNvSpPr/>
      </dsp:nvSpPr>
      <dsp:spPr>
        <a:xfrm>
          <a:off x="4275896" y="560744"/>
          <a:ext cx="1483636" cy="6404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Lisboa  </a:t>
          </a:r>
        </a:p>
      </dsp:txBody>
      <dsp:txXfrm>
        <a:off x="4493169" y="654541"/>
        <a:ext cx="1049090" cy="452893"/>
      </dsp:txXfrm>
    </dsp:sp>
    <dsp:sp modelId="{1281FAF2-438A-4E06-A630-42C5CD6DB1D1}">
      <dsp:nvSpPr>
        <dsp:cNvPr id="0" name=""/>
        <dsp:cNvSpPr/>
      </dsp:nvSpPr>
      <dsp:spPr>
        <a:xfrm rot="5377226">
          <a:off x="2640960" y="1201730"/>
          <a:ext cx="167979" cy="15217"/>
        </a:xfrm>
        <a:custGeom>
          <a:avLst/>
          <a:gdLst/>
          <a:ahLst/>
          <a:cxnLst/>
          <a:rect l="0" t="0" r="0" b="0"/>
          <a:pathLst>
            <a:path>
              <a:moveTo>
                <a:pt x="0" y="6998"/>
              </a:moveTo>
              <a:lnTo>
                <a:pt x="149401"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720751" y="1205139"/>
        <a:ext cx="8398" cy="8398"/>
      </dsp:txXfrm>
    </dsp:sp>
    <dsp:sp modelId="{9D8804DD-C1C3-4668-9E8F-40BB54189D15}">
      <dsp:nvSpPr>
        <dsp:cNvPr id="0" name=""/>
        <dsp:cNvSpPr/>
      </dsp:nvSpPr>
      <dsp:spPr>
        <a:xfrm>
          <a:off x="1927632" y="1293327"/>
          <a:ext cx="1598833" cy="46569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161776" y="1361527"/>
        <a:ext cx="1130545" cy="329297"/>
      </dsp:txXfrm>
    </dsp:sp>
    <dsp:sp modelId="{D0E3F8D6-DE9C-4394-8B02-9C131280903E}">
      <dsp:nvSpPr>
        <dsp:cNvPr id="0" name=""/>
        <dsp:cNvSpPr/>
      </dsp:nvSpPr>
      <dsp:spPr>
        <a:xfrm rot="10767707">
          <a:off x="1300636" y="910730"/>
          <a:ext cx="684060" cy="15217"/>
        </a:xfrm>
        <a:custGeom>
          <a:avLst/>
          <a:gdLst/>
          <a:ahLst/>
          <a:cxnLst/>
          <a:rect l="0" t="0" r="0" b="0"/>
          <a:pathLst>
            <a:path>
              <a:moveTo>
                <a:pt x="0" y="6998"/>
              </a:moveTo>
              <a:lnTo>
                <a:pt x="887737" y="699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625565" y="901237"/>
        <a:ext cx="34203" cy="34203"/>
      </dsp:txXfrm>
    </dsp:sp>
    <dsp:sp modelId="{F1CADBCB-761B-4EBD-8811-73EECDD73DC5}">
      <dsp:nvSpPr>
        <dsp:cNvPr id="0" name=""/>
        <dsp:cNvSpPr/>
      </dsp:nvSpPr>
      <dsp:spPr>
        <a:xfrm>
          <a:off x="0" y="629587"/>
          <a:ext cx="1300788" cy="5961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 </a:t>
          </a:r>
        </a:p>
      </dsp:txBody>
      <dsp:txXfrm>
        <a:off x="190496" y="716890"/>
        <a:ext cx="919796" cy="421539"/>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333896" y="717169"/>
          <a:ext cx="1297936" cy="392775"/>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dsp:txBody>
      <dsp:txXfrm>
        <a:off x="2523974" y="774690"/>
        <a:ext cx="917780" cy="277733"/>
      </dsp:txXfrm>
    </dsp:sp>
    <dsp:sp modelId="{743B4520-8441-42A0-AFCB-45C212516FFF}">
      <dsp:nvSpPr>
        <dsp:cNvPr id="0" name=""/>
        <dsp:cNvSpPr/>
      </dsp:nvSpPr>
      <dsp:spPr>
        <a:xfrm rot="16200000">
          <a:off x="2878608" y="604988"/>
          <a:ext cx="208512" cy="15849"/>
        </a:xfrm>
        <a:custGeom>
          <a:avLst/>
          <a:gdLst/>
          <a:ahLst/>
          <a:cxnLst/>
          <a:rect l="0" t="0" r="0" b="0"/>
          <a:pathLst>
            <a:path>
              <a:moveTo>
                <a:pt x="0" y="7052"/>
              </a:moveTo>
              <a:lnTo>
                <a:pt x="197570"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77652" y="607700"/>
        <a:ext cx="10425" cy="10425"/>
      </dsp:txXfrm>
    </dsp:sp>
    <dsp:sp modelId="{825B4589-2D50-4097-AF2B-6D3BD9DDE0B2}">
      <dsp:nvSpPr>
        <dsp:cNvPr id="0" name=""/>
        <dsp:cNvSpPr/>
      </dsp:nvSpPr>
      <dsp:spPr>
        <a:xfrm>
          <a:off x="2383130" y="-24155"/>
          <a:ext cx="1199468" cy="53281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PCT</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58788" y="53874"/>
        <a:ext cx="848152" cy="376754"/>
      </dsp:txXfrm>
    </dsp:sp>
    <dsp:sp modelId="{7A96B68C-E15D-4E1B-A46C-7E5DE405A90C}">
      <dsp:nvSpPr>
        <dsp:cNvPr id="0" name=""/>
        <dsp:cNvSpPr/>
      </dsp:nvSpPr>
      <dsp:spPr>
        <a:xfrm rot="20720515">
          <a:off x="3462209" y="686727"/>
          <a:ext cx="715125" cy="15849"/>
        </a:xfrm>
        <a:custGeom>
          <a:avLst/>
          <a:gdLst/>
          <a:ahLst/>
          <a:cxnLst/>
          <a:rect l="0" t="0" r="0" b="0"/>
          <a:pathLst>
            <a:path>
              <a:moveTo>
                <a:pt x="0" y="7052"/>
              </a:moveTo>
              <a:lnTo>
                <a:pt x="74021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01894" y="676774"/>
        <a:ext cx="35756" cy="35756"/>
      </dsp:txXfrm>
    </dsp:sp>
    <dsp:sp modelId="{9DCD972B-1513-465A-AD2B-AD5E9EEB7291}">
      <dsp:nvSpPr>
        <dsp:cNvPr id="0" name=""/>
        <dsp:cNvSpPr/>
      </dsp:nvSpPr>
      <dsp:spPr>
        <a:xfrm>
          <a:off x="4018166" y="160412"/>
          <a:ext cx="1550015" cy="55926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de Lisboa</a:t>
          </a:r>
        </a:p>
      </dsp:txBody>
      <dsp:txXfrm>
        <a:off x="4245160" y="242315"/>
        <a:ext cx="1096027" cy="395461"/>
      </dsp:txXfrm>
    </dsp:sp>
    <dsp:sp modelId="{5337AE63-3722-42CC-AF72-36670EB7C5E1}">
      <dsp:nvSpPr>
        <dsp:cNvPr id="0" name=""/>
        <dsp:cNvSpPr/>
      </dsp:nvSpPr>
      <dsp:spPr>
        <a:xfrm rot="645857">
          <a:off x="3526747" y="1069966"/>
          <a:ext cx="641026" cy="15849"/>
        </a:xfrm>
        <a:custGeom>
          <a:avLst/>
          <a:gdLst/>
          <a:ahLst/>
          <a:cxnLst/>
          <a:rect l="0" t="0" r="0" b="0"/>
          <a:pathLst>
            <a:path>
              <a:moveTo>
                <a:pt x="0" y="7052"/>
              </a:moveTo>
              <a:lnTo>
                <a:pt x="633292"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831235" y="1061865"/>
        <a:ext cx="32051" cy="32051"/>
      </dsp:txXfrm>
    </dsp:sp>
    <dsp:sp modelId="{CED9197C-8322-406B-917C-172FA36E7B76}">
      <dsp:nvSpPr>
        <dsp:cNvPr id="0" name=""/>
        <dsp:cNvSpPr/>
      </dsp:nvSpPr>
      <dsp:spPr>
        <a:xfrm>
          <a:off x="4090389" y="980936"/>
          <a:ext cx="1425379" cy="55733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Clasificaciones y normas técnicas</a:t>
          </a:r>
        </a:p>
      </dsp:txBody>
      <dsp:txXfrm>
        <a:off x="4299131" y="1062556"/>
        <a:ext cx="1007895" cy="394098"/>
      </dsp:txXfrm>
    </dsp:sp>
    <dsp:sp modelId="{4AC11394-3179-4EC5-A97F-D1A1B521CE2F}">
      <dsp:nvSpPr>
        <dsp:cNvPr id="0" name=""/>
        <dsp:cNvSpPr/>
      </dsp:nvSpPr>
      <dsp:spPr>
        <a:xfrm rot="5438197">
          <a:off x="2892804" y="1188926"/>
          <a:ext cx="173825" cy="15849"/>
        </a:xfrm>
        <a:custGeom>
          <a:avLst/>
          <a:gdLst/>
          <a:ahLst/>
          <a:cxnLst/>
          <a:rect l="0" t="0" r="0" b="0"/>
          <a:pathLst>
            <a:path>
              <a:moveTo>
                <a:pt x="0" y="7052"/>
              </a:moveTo>
              <a:lnTo>
                <a:pt x="222368"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975371" y="1192505"/>
        <a:ext cx="8691" cy="8691"/>
      </dsp:txXfrm>
    </dsp:sp>
    <dsp:sp modelId="{035B4C9A-0916-4FCC-A1CF-85DB358A289A}">
      <dsp:nvSpPr>
        <dsp:cNvPr id="0" name=""/>
        <dsp:cNvSpPr/>
      </dsp:nvSpPr>
      <dsp:spPr>
        <a:xfrm>
          <a:off x="2061536" y="1283756"/>
          <a:ext cx="1827314" cy="6404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información y los conocimientos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329140" y="1377548"/>
        <a:ext cx="1292106" cy="452867"/>
      </dsp:txXfrm>
    </dsp:sp>
    <dsp:sp modelId="{ADF94B70-0D7F-4A27-8DF9-17BCD27F4A7A}">
      <dsp:nvSpPr>
        <dsp:cNvPr id="0" name=""/>
        <dsp:cNvSpPr/>
      </dsp:nvSpPr>
      <dsp:spPr>
        <a:xfrm rot="10177423">
          <a:off x="1894844" y="1055675"/>
          <a:ext cx="537175" cy="15849"/>
        </a:xfrm>
        <a:custGeom>
          <a:avLst/>
          <a:gdLst/>
          <a:ahLst/>
          <a:cxnLst/>
          <a:rect l="0" t="0" r="0" b="0"/>
          <a:pathLst>
            <a:path>
              <a:moveTo>
                <a:pt x="0" y="7052"/>
              </a:moveTo>
              <a:lnTo>
                <a:pt x="615314"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50002" y="1050171"/>
        <a:ext cx="26858" cy="26858"/>
      </dsp:txXfrm>
    </dsp:sp>
    <dsp:sp modelId="{0FAF3FA1-8E6C-455E-B189-A468B3F4D8BC}">
      <dsp:nvSpPr>
        <dsp:cNvPr id="0" name=""/>
        <dsp:cNvSpPr/>
      </dsp:nvSpPr>
      <dsp:spPr>
        <a:xfrm>
          <a:off x="361876" y="914402"/>
          <a:ext cx="1606150" cy="66405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Soluciones operativas para las OPI</a:t>
          </a: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597091" y="1011650"/>
        <a:ext cx="1135720" cy="469555"/>
      </dsp:txXfrm>
    </dsp:sp>
    <dsp:sp modelId="{4C755D63-E57A-4826-AD35-228CF0B8702F}">
      <dsp:nvSpPr>
        <dsp:cNvPr id="0" name=""/>
        <dsp:cNvSpPr/>
      </dsp:nvSpPr>
      <dsp:spPr>
        <a:xfrm rot="11708708">
          <a:off x="1861674" y="689960"/>
          <a:ext cx="648743" cy="15849"/>
        </a:xfrm>
        <a:custGeom>
          <a:avLst/>
          <a:gdLst/>
          <a:ahLst/>
          <a:cxnLst/>
          <a:rect l="0" t="0" r="0" b="0"/>
          <a:pathLst>
            <a:path>
              <a:moveTo>
                <a:pt x="0" y="7052"/>
              </a:moveTo>
              <a:lnTo>
                <a:pt x="644351" y="705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169827" y="681666"/>
        <a:ext cx="32437" cy="32437"/>
      </dsp:txXfrm>
    </dsp:sp>
    <dsp:sp modelId="{24E3E7DC-0BA5-48AF-955A-AA52F4F430B1}">
      <dsp:nvSpPr>
        <dsp:cNvPr id="0" name=""/>
        <dsp:cNvSpPr/>
      </dsp:nvSpPr>
      <dsp:spPr>
        <a:xfrm>
          <a:off x="509653" y="197165"/>
          <a:ext cx="1536181" cy="5097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734621" y="271816"/>
        <a:ext cx="1086245" cy="360444"/>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77494" y="921179"/>
          <a:ext cx="1332883" cy="486144"/>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a:t>
          </a:r>
        </a:p>
      </dsp:txBody>
      <dsp:txXfrm>
        <a:off x="2572690" y="992373"/>
        <a:ext cx="942491" cy="343756"/>
      </dsp:txXfrm>
    </dsp:sp>
    <dsp:sp modelId="{650854B0-9FE7-4FFD-96B2-18F6452E0859}">
      <dsp:nvSpPr>
        <dsp:cNvPr id="0" name=""/>
        <dsp:cNvSpPr/>
      </dsp:nvSpPr>
      <dsp:spPr>
        <a:xfrm rot="16222721">
          <a:off x="2866505" y="732453"/>
          <a:ext cx="360456" cy="17004"/>
        </a:xfrm>
        <a:custGeom>
          <a:avLst/>
          <a:gdLst/>
          <a:ahLst/>
          <a:cxnLst/>
          <a:rect l="0" t="0" r="0" b="0"/>
          <a:pathLst>
            <a:path>
              <a:moveTo>
                <a:pt x="0" y="8502"/>
              </a:moveTo>
              <a:lnTo>
                <a:pt x="401655"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37722" y="731944"/>
        <a:ext cx="18022" cy="18022"/>
      </dsp:txXfrm>
    </dsp:sp>
    <dsp:sp modelId="{6394B413-6D12-4C4F-9A8D-E0508CAE8617}">
      <dsp:nvSpPr>
        <dsp:cNvPr id="0" name=""/>
        <dsp:cNvSpPr/>
      </dsp:nvSpPr>
      <dsp:spPr>
        <a:xfrm>
          <a:off x="2390023" y="-21012"/>
          <a:ext cx="1319648" cy="58174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2583281" y="64183"/>
        <a:ext cx="933132" cy="411355"/>
      </dsp:txXfrm>
    </dsp:sp>
    <dsp:sp modelId="{DEF09AAB-E09E-4486-8914-E37D47E60824}">
      <dsp:nvSpPr>
        <dsp:cNvPr id="0" name=""/>
        <dsp:cNvSpPr/>
      </dsp:nvSpPr>
      <dsp:spPr>
        <a:xfrm rot="20327628">
          <a:off x="3482111" y="880961"/>
          <a:ext cx="540089" cy="17004"/>
        </a:xfrm>
        <a:custGeom>
          <a:avLst/>
          <a:gdLst/>
          <a:ahLst/>
          <a:cxnLst/>
          <a:rect l="0" t="0" r="0" b="0"/>
          <a:pathLst>
            <a:path>
              <a:moveTo>
                <a:pt x="0" y="8502"/>
              </a:moveTo>
              <a:lnTo>
                <a:pt x="611519"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738653" y="875961"/>
        <a:ext cx="27004" cy="27004"/>
      </dsp:txXfrm>
    </dsp:sp>
    <dsp:sp modelId="{2ED32773-10C9-4671-A0BF-4C0DAB40AE25}">
      <dsp:nvSpPr>
        <dsp:cNvPr id="0" name=""/>
        <dsp:cNvSpPr/>
      </dsp:nvSpPr>
      <dsp:spPr>
        <a:xfrm>
          <a:off x="3867760" y="390223"/>
          <a:ext cx="1095195" cy="48383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s-ES_tradnl" sz="900" kern="1200">
              <a:latin typeface="Arial" panose="020B0604020202020204" pitchFamily="34" charset="0"/>
              <a:cs typeface="Arial" panose="020B0604020202020204" pitchFamily="34" charset="0"/>
            </a:rPr>
            <a:t>Países T/D</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028148" y="461079"/>
        <a:ext cx="774419" cy="342124"/>
      </dsp:txXfrm>
    </dsp:sp>
    <dsp:sp modelId="{6A5F15CA-77E2-4C48-8498-A7C7D3C4428C}">
      <dsp:nvSpPr>
        <dsp:cNvPr id="0" name=""/>
        <dsp:cNvSpPr/>
      </dsp:nvSpPr>
      <dsp:spPr>
        <a:xfrm rot="21592342">
          <a:off x="3710364" y="1153163"/>
          <a:ext cx="988753" cy="17004"/>
        </a:xfrm>
        <a:custGeom>
          <a:avLst/>
          <a:gdLst/>
          <a:ahLst/>
          <a:cxnLst/>
          <a:rect l="0" t="0" r="0" b="0"/>
          <a:pathLst>
            <a:path>
              <a:moveTo>
                <a:pt x="0" y="8502"/>
              </a:moveTo>
              <a:lnTo>
                <a:pt x="1178174"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80022" y="1136947"/>
        <a:ext cx="49437" cy="49437"/>
      </dsp:txXfrm>
    </dsp:sp>
    <dsp:sp modelId="{638FE4E5-2063-40D0-A44F-91C88716CF8C}">
      <dsp:nvSpPr>
        <dsp:cNvPr id="0" name=""/>
        <dsp:cNvSpPr/>
      </dsp:nvSpPr>
      <dsp:spPr>
        <a:xfrm>
          <a:off x="4699107" y="904216"/>
          <a:ext cx="1244492" cy="5099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p>
      </dsp:txBody>
      <dsp:txXfrm>
        <a:off x="4881359" y="978893"/>
        <a:ext cx="879988" cy="360570"/>
      </dsp:txXfrm>
    </dsp:sp>
    <dsp:sp modelId="{EAF47FDD-7D57-4FF6-9F6B-6E604D2CC0DE}">
      <dsp:nvSpPr>
        <dsp:cNvPr id="0" name=""/>
        <dsp:cNvSpPr/>
      </dsp:nvSpPr>
      <dsp:spPr>
        <a:xfrm rot="10786818">
          <a:off x="1305321" y="1160360"/>
          <a:ext cx="1072214" cy="17004"/>
        </a:xfrm>
        <a:custGeom>
          <a:avLst/>
          <a:gdLst/>
          <a:ahLst/>
          <a:cxnLst/>
          <a:rect l="0" t="0" r="0" b="0"/>
          <a:pathLst>
            <a:path>
              <a:moveTo>
                <a:pt x="0" y="8502"/>
              </a:moveTo>
              <a:lnTo>
                <a:pt x="1276148"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14623" y="1142057"/>
        <a:ext cx="53610" cy="53610"/>
      </dsp:txXfrm>
    </dsp:sp>
    <dsp:sp modelId="{F74F2681-A109-4B75-8C08-B2B26769CF03}">
      <dsp:nvSpPr>
        <dsp:cNvPr id="0" name=""/>
        <dsp:cNvSpPr/>
      </dsp:nvSpPr>
      <dsp:spPr>
        <a:xfrm>
          <a:off x="77272" y="842407"/>
          <a:ext cx="1228068" cy="6617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13</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Bases mundiales de datos</a:t>
          </a:r>
        </a:p>
      </dsp:txBody>
      <dsp:txXfrm>
        <a:off x="257118" y="939315"/>
        <a:ext cx="868376" cy="467914"/>
      </dsp:txXfrm>
    </dsp:sp>
    <dsp:sp modelId="{AC7E3352-64BC-4978-9AB6-2DD833483239}">
      <dsp:nvSpPr>
        <dsp:cNvPr id="0" name=""/>
        <dsp:cNvSpPr/>
      </dsp:nvSpPr>
      <dsp:spPr>
        <a:xfrm rot="12167746">
          <a:off x="2125932" y="875162"/>
          <a:ext cx="500749" cy="17004"/>
        </a:xfrm>
        <a:custGeom>
          <a:avLst/>
          <a:gdLst/>
          <a:ahLst/>
          <a:cxnLst/>
          <a:rect l="0" t="0" r="0" b="0"/>
          <a:pathLst>
            <a:path>
              <a:moveTo>
                <a:pt x="0" y="8502"/>
              </a:moveTo>
              <a:lnTo>
                <a:pt x="766822" y="850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63788" y="871145"/>
        <a:ext cx="25037" cy="25037"/>
      </dsp:txXfrm>
    </dsp:sp>
    <dsp:sp modelId="{05C48364-E63B-4056-87CF-0BE50D74190B}">
      <dsp:nvSpPr>
        <dsp:cNvPr id="0" name=""/>
        <dsp:cNvSpPr/>
      </dsp:nvSpPr>
      <dsp:spPr>
        <a:xfrm>
          <a:off x="946259" y="278310"/>
          <a:ext cx="1400751" cy="5973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ts val="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Soluciones operativas para las oficinas de P.I</a:t>
          </a:r>
        </a:p>
      </dsp:txBody>
      <dsp:txXfrm>
        <a:off x="1151394" y="365795"/>
        <a:ext cx="990481" cy="422413"/>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286678" y="677686"/>
          <a:ext cx="1405858" cy="445713"/>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15</a:t>
          </a:r>
        </a:p>
      </dsp:txBody>
      <dsp:txXfrm>
        <a:off x="2492561" y="742959"/>
        <a:ext cx="994092" cy="315167"/>
      </dsp:txXfrm>
    </dsp:sp>
    <dsp:sp modelId="{72463A3F-A956-4917-8722-9FD79FB3E09A}">
      <dsp:nvSpPr>
        <dsp:cNvPr id="0" name=""/>
        <dsp:cNvSpPr/>
      </dsp:nvSpPr>
      <dsp:spPr>
        <a:xfrm rot="16214742">
          <a:off x="2934645" y="613811"/>
          <a:ext cx="112316" cy="15435"/>
        </a:xfrm>
        <a:custGeom>
          <a:avLst/>
          <a:gdLst/>
          <a:ahLst/>
          <a:cxnLst/>
          <a:rect l="0" t="0" r="0" b="0"/>
          <a:pathLst>
            <a:path>
              <a:moveTo>
                <a:pt x="0" y="7778"/>
              </a:moveTo>
              <a:lnTo>
                <a:pt x="126270"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2987996" y="618721"/>
        <a:ext cx="5615" cy="5615"/>
      </dsp:txXfrm>
    </dsp:sp>
    <dsp:sp modelId="{A030EF9D-9337-4706-B87A-64BDE162520A}">
      <dsp:nvSpPr>
        <dsp:cNvPr id="0" name=""/>
        <dsp:cNvSpPr/>
      </dsp:nvSpPr>
      <dsp:spPr>
        <a:xfrm>
          <a:off x="2492091" y="64561"/>
          <a:ext cx="1000054" cy="5008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  D.A.D.C.</a:t>
          </a:r>
        </a:p>
      </dsp:txBody>
      <dsp:txXfrm>
        <a:off x="2638546" y="137903"/>
        <a:ext cx="707144" cy="354126"/>
      </dsp:txXfrm>
    </dsp:sp>
    <dsp:sp modelId="{00112A8F-12E8-45AC-B551-DFB66BE45059}">
      <dsp:nvSpPr>
        <dsp:cNvPr id="0" name=""/>
        <dsp:cNvSpPr/>
      </dsp:nvSpPr>
      <dsp:spPr>
        <a:xfrm rot="20627748">
          <a:off x="3497646" y="671014"/>
          <a:ext cx="510460" cy="15435"/>
        </a:xfrm>
        <a:custGeom>
          <a:avLst/>
          <a:gdLst/>
          <a:ahLst/>
          <a:cxnLst/>
          <a:rect l="0" t="0" r="0" b="0"/>
          <a:pathLst>
            <a:path>
              <a:moveTo>
                <a:pt x="0" y="7778"/>
              </a:moveTo>
              <a:lnTo>
                <a:pt x="403209"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3740115" y="665970"/>
        <a:ext cx="25523" cy="25523"/>
      </dsp:txXfrm>
    </dsp:sp>
    <dsp:sp modelId="{423B6D89-2000-40C7-8429-BD38C7402395}">
      <dsp:nvSpPr>
        <dsp:cNvPr id="0" name=""/>
        <dsp:cNvSpPr/>
      </dsp:nvSpPr>
      <dsp:spPr>
        <a:xfrm>
          <a:off x="3891747" y="258831"/>
          <a:ext cx="1102904" cy="4385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PCT</a:t>
          </a:r>
        </a:p>
      </dsp:txBody>
      <dsp:txXfrm>
        <a:off x="4053264" y="323059"/>
        <a:ext cx="779870" cy="310120"/>
      </dsp:txXfrm>
    </dsp:sp>
    <dsp:sp modelId="{650854B0-9FE7-4FFD-96B2-18F6452E0859}">
      <dsp:nvSpPr>
        <dsp:cNvPr id="0" name=""/>
        <dsp:cNvSpPr/>
      </dsp:nvSpPr>
      <dsp:spPr>
        <a:xfrm rot="761562">
          <a:off x="3557278" y="1070233"/>
          <a:ext cx="440039" cy="15435"/>
        </a:xfrm>
        <a:custGeom>
          <a:avLst/>
          <a:gdLst/>
          <a:ahLst/>
          <a:cxnLst/>
          <a:rect l="0" t="0" r="0" b="0"/>
          <a:pathLst>
            <a:path>
              <a:moveTo>
                <a:pt x="0" y="7778"/>
              </a:moveTo>
              <a:lnTo>
                <a:pt x="106008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3766297" y="1066950"/>
        <a:ext cx="22001" cy="22001"/>
      </dsp:txXfrm>
    </dsp:sp>
    <dsp:sp modelId="{6394B413-6D12-4C4F-9A8D-E0508CAE8617}">
      <dsp:nvSpPr>
        <dsp:cNvPr id="0" name=""/>
        <dsp:cNvSpPr/>
      </dsp:nvSpPr>
      <dsp:spPr>
        <a:xfrm>
          <a:off x="3872097" y="1010337"/>
          <a:ext cx="1477835" cy="51077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Sistemas de Madrid y Lisboa</a:t>
          </a:r>
        </a:p>
      </dsp:txBody>
      <dsp:txXfrm>
        <a:off x="4088521" y="1085138"/>
        <a:ext cx="1044987" cy="361174"/>
      </dsp:txXfrm>
    </dsp:sp>
    <dsp:sp modelId="{6A5F15CA-77E2-4C48-8498-A7C7D3C4428C}">
      <dsp:nvSpPr>
        <dsp:cNvPr id="0" name=""/>
        <dsp:cNvSpPr/>
      </dsp:nvSpPr>
      <dsp:spPr>
        <a:xfrm rot="5325552">
          <a:off x="2931533" y="1179954"/>
          <a:ext cx="128586" cy="15435"/>
        </a:xfrm>
        <a:custGeom>
          <a:avLst/>
          <a:gdLst/>
          <a:ahLst/>
          <a:cxnLst/>
          <a:rect l="0" t="0" r="0" b="0"/>
          <a:pathLst>
            <a:path>
              <a:moveTo>
                <a:pt x="0" y="7778"/>
              </a:moveTo>
              <a:lnTo>
                <a:pt x="141173"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a:off x="2992611" y="1184457"/>
        <a:ext cx="6429" cy="6429"/>
      </dsp:txXfrm>
    </dsp:sp>
    <dsp:sp modelId="{638FE4E5-2063-40D0-A44F-91C88716CF8C}">
      <dsp:nvSpPr>
        <dsp:cNvPr id="0" name=""/>
        <dsp:cNvSpPr/>
      </dsp:nvSpPr>
      <dsp:spPr>
        <a:xfrm>
          <a:off x="2268518" y="1251943"/>
          <a:ext cx="1467962" cy="4876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2483496" y="1323359"/>
        <a:ext cx="1038006" cy="344826"/>
      </dsp:txXfrm>
    </dsp:sp>
    <dsp:sp modelId="{EAF47FDD-7D57-4FF6-9F6B-6E604D2CC0DE}">
      <dsp:nvSpPr>
        <dsp:cNvPr id="0" name=""/>
        <dsp:cNvSpPr/>
      </dsp:nvSpPr>
      <dsp:spPr>
        <a:xfrm rot="10059138">
          <a:off x="1762606" y="1089606"/>
          <a:ext cx="656150" cy="15435"/>
        </a:xfrm>
        <a:custGeom>
          <a:avLst/>
          <a:gdLst/>
          <a:ahLst/>
          <a:cxnLst/>
          <a:rect l="0" t="0" r="0" b="0"/>
          <a:pathLst>
            <a:path>
              <a:moveTo>
                <a:pt x="0" y="7778"/>
              </a:moveTo>
              <a:lnTo>
                <a:pt x="94225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rot="10800000">
        <a:off x="2074278" y="1080920"/>
        <a:ext cx="32807" cy="32807"/>
      </dsp:txXfrm>
    </dsp:sp>
    <dsp:sp modelId="{F74F2681-A109-4B75-8C08-B2B26769CF03}">
      <dsp:nvSpPr>
        <dsp:cNvPr id="0" name=""/>
        <dsp:cNvSpPr/>
      </dsp:nvSpPr>
      <dsp:spPr>
        <a:xfrm>
          <a:off x="680123" y="1016663"/>
          <a:ext cx="1145417" cy="52814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847865" y="1094008"/>
        <a:ext cx="809933" cy="373456"/>
      </dsp:txXfrm>
    </dsp:sp>
    <dsp:sp modelId="{AC7E3352-64BC-4978-9AB6-2DD833483239}">
      <dsp:nvSpPr>
        <dsp:cNvPr id="0" name=""/>
        <dsp:cNvSpPr/>
      </dsp:nvSpPr>
      <dsp:spPr>
        <a:xfrm rot="11610990">
          <a:off x="2250477" y="736967"/>
          <a:ext cx="181515" cy="15435"/>
        </a:xfrm>
        <a:custGeom>
          <a:avLst/>
          <a:gdLst/>
          <a:ahLst/>
          <a:cxnLst/>
          <a:rect l="0" t="0" r="0" b="0"/>
          <a:pathLst>
            <a:path>
              <a:moveTo>
                <a:pt x="0" y="7778"/>
              </a:moveTo>
              <a:lnTo>
                <a:pt x="386761" y="7778"/>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solidFill>
            <a:latin typeface="Calibri"/>
            <a:ea typeface="+mn-ea"/>
            <a:cs typeface="+mn-cs"/>
          </a:endParaRPr>
        </a:p>
      </dsp:txBody>
      <dsp:txXfrm rot="10800000">
        <a:off x="2336697" y="740147"/>
        <a:ext cx="9075" cy="9075"/>
      </dsp:txXfrm>
    </dsp:sp>
    <dsp:sp modelId="{05C48364-E63B-4056-87CF-0BE50D74190B}">
      <dsp:nvSpPr>
        <dsp:cNvPr id="0" name=""/>
        <dsp:cNvSpPr/>
      </dsp:nvSpPr>
      <dsp:spPr>
        <a:xfrm>
          <a:off x="571427" y="285149"/>
          <a:ext cx="1917365" cy="52910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Acceso a la información y los conocimientos</a:t>
          </a:r>
        </a:p>
      </dsp:txBody>
      <dsp:txXfrm>
        <a:off x="852219" y="362635"/>
        <a:ext cx="1355781" cy="374137"/>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85339" y="1091931"/>
          <a:ext cx="1272000" cy="379555"/>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16</a:t>
          </a:r>
        </a:p>
      </dsp:txBody>
      <dsp:txXfrm>
        <a:off x="2571619" y="1147516"/>
        <a:ext cx="899440" cy="268385"/>
      </dsp:txXfrm>
    </dsp:sp>
    <dsp:sp modelId="{E887F142-3B93-49E1-A09D-1DCD207D21D1}">
      <dsp:nvSpPr>
        <dsp:cNvPr id="0" name=""/>
        <dsp:cNvSpPr/>
      </dsp:nvSpPr>
      <dsp:spPr>
        <a:xfrm rot="16201461">
          <a:off x="2781830" y="844260"/>
          <a:ext cx="479382" cy="15958"/>
        </a:xfrm>
        <a:custGeom>
          <a:avLst/>
          <a:gdLst/>
          <a:ahLst/>
          <a:cxnLst/>
          <a:rect l="0" t="0" r="0" b="0"/>
          <a:pathLst>
            <a:path>
              <a:moveTo>
                <a:pt x="0" y="7514"/>
              </a:moveTo>
              <a:lnTo>
                <a:pt x="46964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9537" y="840255"/>
        <a:ext cx="23969" cy="23969"/>
      </dsp:txXfrm>
    </dsp:sp>
    <dsp:sp modelId="{3EA08C86-6A87-4381-A9A9-F10D993E2D53}">
      <dsp:nvSpPr>
        <dsp:cNvPr id="0" name=""/>
        <dsp:cNvSpPr/>
      </dsp:nvSpPr>
      <dsp:spPr>
        <a:xfrm>
          <a:off x="2457114" y="103423"/>
          <a:ext cx="1129234" cy="50912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 del PCT</a:t>
          </a:r>
        </a:p>
      </dsp:txBody>
      <dsp:txXfrm>
        <a:off x="2622486" y="177982"/>
        <a:ext cx="798490" cy="360006"/>
      </dsp:txXfrm>
    </dsp:sp>
    <dsp:sp modelId="{72463A3F-A956-4917-8722-9FD79FB3E09A}">
      <dsp:nvSpPr>
        <dsp:cNvPr id="0" name=""/>
        <dsp:cNvSpPr/>
      </dsp:nvSpPr>
      <dsp:spPr>
        <a:xfrm rot="19711978">
          <a:off x="3241536" y="895395"/>
          <a:ext cx="795973" cy="15958"/>
        </a:xfrm>
        <a:custGeom>
          <a:avLst/>
          <a:gdLst/>
          <a:ahLst/>
          <a:cxnLst/>
          <a:rect l="0" t="0" r="0" b="0"/>
          <a:pathLst>
            <a:path>
              <a:moveTo>
                <a:pt x="0" y="7514"/>
              </a:moveTo>
              <a:lnTo>
                <a:pt x="741432"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9624" y="883474"/>
        <a:ext cx="39798" cy="39798"/>
      </dsp:txXfrm>
    </dsp:sp>
    <dsp:sp modelId="{A030EF9D-9337-4706-B87A-64BDE162520A}">
      <dsp:nvSpPr>
        <dsp:cNvPr id="0" name=""/>
        <dsp:cNvSpPr/>
      </dsp:nvSpPr>
      <dsp:spPr>
        <a:xfrm>
          <a:off x="3655817" y="189065"/>
          <a:ext cx="1403068" cy="54998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Sistemas de Madrid y de Lisboa</a:t>
          </a:r>
        </a:p>
      </dsp:txBody>
      <dsp:txXfrm>
        <a:off x="3861292" y="269608"/>
        <a:ext cx="992118" cy="388896"/>
      </dsp:txXfrm>
    </dsp:sp>
    <dsp:sp modelId="{00112A8F-12E8-45AC-B551-DFB66BE45059}">
      <dsp:nvSpPr>
        <dsp:cNvPr id="0" name=""/>
        <dsp:cNvSpPr/>
      </dsp:nvSpPr>
      <dsp:spPr>
        <a:xfrm rot="21030864">
          <a:off x="3568531" y="1087793"/>
          <a:ext cx="1131278" cy="15958"/>
        </a:xfrm>
        <a:custGeom>
          <a:avLst/>
          <a:gdLst/>
          <a:ahLst/>
          <a:cxnLst/>
          <a:rect l="0" t="0" r="0" b="0"/>
          <a:pathLst>
            <a:path>
              <a:moveTo>
                <a:pt x="0" y="7514"/>
              </a:moveTo>
              <a:lnTo>
                <a:pt x="10734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05888" y="1067490"/>
        <a:ext cx="56563" cy="56563"/>
      </dsp:txXfrm>
    </dsp:sp>
    <dsp:sp modelId="{423B6D89-2000-40C7-8429-BD38C7402395}">
      <dsp:nvSpPr>
        <dsp:cNvPr id="0" name=""/>
        <dsp:cNvSpPr/>
      </dsp:nvSpPr>
      <dsp:spPr>
        <a:xfrm>
          <a:off x="4663697" y="691041"/>
          <a:ext cx="989836" cy="46712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C.A.D</a:t>
          </a:r>
        </a:p>
      </dsp:txBody>
      <dsp:txXfrm>
        <a:off x="4808655" y="759450"/>
        <a:ext cx="699920" cy="330305"/>
      </dsp:txXfrm>
    </dsp:sp>
    <dsp:sp modelId="{650854B0-9FE7-4FFD-96B2-18F6452E0859}">
      <dsp:nvSpPr>
        <dsp:cNvPr id="0" name=""/>
        <dsp:cNvSpPr/>
      </dsp:nvSpPr>
      <dsp:spPr>
        <a:xfrm rot="512584">
          <a:off x="3584597" y="1423554"/>
          <a:ext cx="868221" cy="15958"/>
        </a:xfrm>
        <a:custGeom>
          <a:avLst/>
          <a:gdLst/>
          <a:ahLst/>
          <a:cxnLst/>
          <a:rect l="0" t="0" r="0" b="0"/>
          <a:pathLst>
            <a:path>
              <a:moveTo>
                <a:pt x="0" y="7514"/>
              </a:moveTo>
              <a:lnTo>
                <a:pt x="82355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997002" y="1409827"/>
        <a:ext cx="43411" cy="43411"/>
      </dsp:txXfrm>
    </dsp:sp>
    <dsp:sp modelId="{6394B413-6D12-4C4F-9A8D-E0508CAE8617}">
      <dsp:nvSpPr>
        <dsp:cNvPr id="0" name=""/>
        <dsp:cNvSpPr/>
      </dsp:nvSpPr>
      <dsp:spPr>
        <a:xfrm>
          <a:off x="4399194" y="1325765"/>
          <a:ext cx="1406458" cy="53712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 9</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Oficinas regionales en la sede</a:t>
          </a:r>
        </a:p>
      </dsp:txBody>
      <dsp:txXfrm>
        <a:off x="4605165" y="1404425"/>
        <a:ext cx="994516" cy="379805"/>
      </dsp:txXfrm>
    </dsp:sp>
    <dsp:sp modelId="{DEF09AAB-E09E-4486-8914-E37D47E60824}">
      <dsp:nvSpPr>
        <dsp:cNvPr id="0" name=""/>
        <dsp:cNvSpPr/>
      </dsp:nvSpPr>
      <dsp:spPr>
        <a:xfrm rot="1927179">
          <a:off x="3220930" y="1700228"/>
          <a:ext cx="959574" cy="15958"/>
        </a:xfrm>
        <a:custGeom>
          <a:avLst/>
          <a:gdLst/>
          <a:ahLst/>
          <a:cxnLst/>
          <a:rect l="0" t="0" r="0" b="0"/>
          <a:pathLst>
            <a:path>
              <a:moveTo>
                <a:pt x="0" y="7514"/>
              </a:moveTo>
              <a:lnTo>
                <a:pt x="91071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76728" y="1684218"/>
        <a:ext cx="47978" cy="47978"/>
      </dsp:txXfrm>
    </dsp:sp>
    <dsp:sp modelId="{2ED32773-10C9-4671-A0BF-4C0DAB40AE25}">
      <dsp:nvSpPr>
        <dsp:cNvPr id="0" name=""/>
        <dsp:cNvSpPr/>
      </dsp:nvSpPr>
      <dsp:spPr>
        <a:xfrm>
          <a:off x="3866654" y="1924674"/>
          <a:ext cx="1084705" cy="45636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Países T/D</a:t>
          </a:r>
        </a:p>
      </dsp:txBody>
      <dsp:txXfrm>
        <a:off x="4025505" y="1991507"/>
        <a:ext cx="767003" cy="322695"/>
      </dsp:txXfrm>
    </dsp:sp>
    <dsp:sp modelId="{EAF47FDD-7D57-4FF6-9F6B-6E604D2CC0DE}">
      <dsp:nvSpPr>
        <dsp:cNvPr id="0" name=""/>
        <dsp:cNvSpPr/>
      </dsp:nvSpPr>
      <dsp:spPr>
        <a:xfrm rot="5416133">
          <a:off x="2700630" y="1781828"/>
          <a:ext cx="636648" cy="15958"/>
        </a:xfrm>
        <a:custGeom>
          <a:avLst/>
          <a:gdLst/>
          <a:ahLst/>
          <a:cxnLst/>
          <a:rect l="0" t="0" r="0" b="0"/>
          <a:pathLst>
            <a:path>
              <a:moveTo>
                <a:pt x="0" y="7514"/>
              </a:moveTo>
              <a:lnTo>
                <a:pt x="615710"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3003038" y="1773891"/>
        <a:ext cx="31832" cy="31832"/>
      </dsp:txXfrm>
    </dsp:sp>
    <dsp:sp modelId="{F74F2681-A109-4B75-8C08-B2B26769CF03}">
      <dsp:nvSpPr>
        <dsp:cNvPr id="0" name=""/>
        <dsp:cNvSpPr/>
      </dsp:nvSpPr>
      <dsp:spPr>
        <a:xfrm>
          <a:off x="2279867" y="2108127"/>
          <a:ext cx="1472736" cy="52215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495544" y="2184595"/>
        <a:ext cx="1041382" cy="369218"/>
      </dsp:txXfrm>
    </dsp:sp>
    <dsp:sp modelId="{AC7E3352-64BC-4978-9AB6-2DD833483239}">
      <dsp:nvSpPr>
        <dsp:cNvPr id="0" name=""/>
        <dsp:cNvSpPr/>
      </dsp:nvSpPr>
      <dsp:spPr>
        <a:xfrm rot="8969968">
          <a:off x="1800532" y="1697505"/>
          <a:ext cx="1002786" cy="15958"/>
        </a:xfrm>
        <a:custGeom>
          <a:avLst/>
          <a:gdLst/>
          <a:ahLst/>
          <a:cxnLst/>
          <a:rect l="0" t="0" r="0" b="0"/>
          <a:pathLst>
            <a:path>
              <a:moveTo>
                <a:pt x="0" y="7514"/>
              </a:moveTo>
              <a:lnTo>
                <a:pt x="95169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276855" y="1680415"/>
        <a:ext cx="50139" cy="50139"/>
      </dsp:txXfrm>
    </dsp:sp>
    <dsp:sp modelId="{05C48364-E63B-4056-87CF-0BE50D74190B}">
      <dsp:nvSpPr>
        <dsp:cNvPr id="0" name=""/>
        <dsp:cNvSpPr/>
      </dsp:nvSpPr>
      <dsp:spPr>
        <a:xfrm>
          <a:off x="853867" y="1923006"/>
          <a:ext cx="1328952" cy="48810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19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Comunicaciones</a:t>
          </a:r>
          <a:endParaRPr lang="en-US" sz="8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1048488" y="1994487"/>
        <a:ext cx="939710" cy="345144"/>
      </dsp:txXfrm>
    </dsp:sp>
    <dsp:sp modelId="{06FD983D-3F71-4BCE-AD7F-6DD1041A2F23}">
      <dsp:nvSpPr>
        <dsp:cNvPr id="0" name=""/>
        <dsp:cNvSpPr/>
      </dsp:nvSpPr>
      <dsp:spPr>
        <a:xfrm rot="10274898">
          <a:off x="1292216" y="1449805"/>
          <a:ext cx="1170726" cy="15958"/>
        </a:xfrm>
        <a:custGeom>
          <a:avLst/>
          <a:gdLst/>
          <a:ahLst/>
          <a:cxnLst/>
          <a:rect l="0" t="0" r="0" b="0"/>
          <a:pathLst>
            <a:path>
              <a:moveTo>
                <a:pt x="0" y="7514"/>
              </a:moveTo>
              <a:lnTo>
                <a:pt x="1110861"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48311" y="1428516"/>
        <a:ext cx="58536" cy="58536"/>
      </dsp:txXfrm>
    </dsp:sp>
    <dsp:sp modelId="{CFBB929F-8BEB-442D-8D00-28EE1C02C39C}">
      <dsp:nvSpPr>
        <dsp:cNvPr id="0" name=""/>
        <dsp:cNvSpPr/>
      </dsp:nvSpPr>
      <dsp:spPr>
        <a:xfrm>
          <a:off x="78629" y="1380387"/>
          <a:ext cx="1260987" cy="51455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ejecutiva</a:t>
          </a:r>
        </a:p>
      </dsp:txBody>
      <dsp:txXfrm>
        <a:off x="263296" y="1455741"/>
        <a:ext cx="891653" cy="363842"/>
      </dsp:txXfrm>
    </dsp:sp>
    <dsp:sp modelId="{C494819C-C98E-47AA-9AF0-D23BA2FEB24F}">
      <dsp:nvSpPr>
        <dsp:cNvPr id="0" name=""/>
        <dsp:cNvSpPr/>
      </dsp:nvSpPr>
      <dsp:spPr>
        <a:xfrm rot="11316053">
          <a:off x="1640324" y="1126736"/>
          <a:ext cx="818332" cy="15958"/>
        </a:xfrm>
        <a:custGeom>
          <a:avLst/>
          <a:gdLst/>
          <a:ahLst/>
          <a:cxnLst/>
          <a:rect l="0" t="0" r="0" b="0"/>
          <a:pathLst>
            <a:path>
              <a:moveTo>
                <a:pt x="0" y="7514"/>
              </a:moveTo>
              <a:lnTo>
                <a:pt x="940004"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029032" y="1114257"/>
        <a:ext cx="40916" cy="40916"/>
      </dsp:txXfrm>
    </dsp:sp>
    <dsp:sp modelId="{77FEFA40-E907-476F-8675-3DC698720930}">
      <dsp:nvSpPr>
        <dsp:cNvPr id="0" name=""/>
        <dsp:cNvSpPr/>
      </dsp:nvSpPr>
      <dsp:spPr>
        <a:xfrm>
          <a:off x="5531" y="623543"/>
          <a:ext cx="1696977" cy="66071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22</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Gestión de programas y recursos</a:t>
          </a:r>
        </a:p>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p>
      </dsp:txBody>
      <dsp:txXfrm>
        <a:off x="254048" y="720302"/>
        <a:ext cx="1199943" cy="467192"/>
      </dsp:txXfrm>
    </dsp:sp>
    <dsp:sp modelId="{EF98737B-1136-4CD3-A0AC-E4FF8E58DD83}">
      <dsp:nvSpPr>
        <dsp:cNvPr id="0" name=""/>
        <dsp:cNvSpPr/>
      </dsp:nvSpPr>
      <dsp:spPr>
        <a:xfrm rot="12897517">
          <a:off x="2083998" y="882632"/>
          <a:ext cx="755874" cy="15958"/>
        </a:xfrm>
        <a:custGeom>
          <a:avLst/>
          <a:gdLst/>
          <a:ahLst/>
          <a:cxnLst/>
          <a:rect l="0" t="0" r="0" b="0"/>
          <a:pathLst>
            <a:path>
              <a:moveTo>
                <a:pt x="0" y="7514"/>
              </a:moveTo>
              <a:lnTo>
                <a:pt x="717268" y="7514"/>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443038" y="871715"/>
        <a:ext cx="37793" cy="37793"/>
      </dsp:txXfrm>
    </dsp:sp>
    <dsp:sp modelId="{C8187693-0532-46C7-A6F3-C4A32348C87B}">
      <dsp:nvSpPr>
        <dsp:cNvPr id="0" name=""/>
        <dsp:cNvSpPr/>
      </dsp:nvSpPr>
      <dsp:spPr>
        <a:xfrm>
          <a:off x="1236184" y="189915"/>
          <a:ext cx="1196703" cy="5241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31</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Sistema de La Haya</a:t>
          </a:r>
        </a:p>
      </dsp:txBody>
      <dsp:txXfrm>
        <a:off x="1411437" y="266671"/>
        <a:ext cx="846197" cy="370610"/>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2AF917-2F47-4639-8A23-58AD52EC0F32}">
      <dsp:nvSpPr>
        <dsp:cNvPr id="0" name=""/>
        <dsp:cNvSpPr/>
      </dsp:nvSpPr>
      <dsp:spPr>
        <a:xfrm>
          <a:off x="2264317" y="699137"/>
          <a:ext cx="1367366" cy="431510"/>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17</a:t>
          </a:r>
        </a:p>
      </dsp:txBody>
      <dsp:txXfrm>
        <a:off x="2464563" y="762330"/>
        <a:ext cx="966874" cy="305124"/>
      </dsp:txXfrm>
    </dsp:sp>
    <dsp:sp modelId="{DB73B42A-BE4F-46BC-B512-015EB15734E7}">
      <dsp:nvSpPr>
        <dsp:cNvPr id="0" name=""/>
        <dsp:cNvSpPr/>
      </dsp:nvSpPr>
      <dsp:spPr>
        <a:xfrm rot="16275001">
          <a:off x="2854895" y="593046"/>
          <a:ext cx="199987" cy="12252"/>
        </a:xfrm>
        <a:custGeom>
          <a:avLst/>
          <a:gdLst/>
          <a:ahLst/>
          <a:cxnLst/>
          <a:rect l="0" t="0" r="0" b="0"/>
          <a:pathLst>
            <a:path>
              <a:moveTo>
                <a:pt x="0" y="6126"/>
              </a:moveTo>
              <a:lnTo>
                <a:pt x="257054"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9890" y="594173"/>
        <a:ext cx="9999" cy="9999"/>
      </dsp:txXfrm>
    </dsp:sp>
    <dsp:sp modelId="{8C16842D-5717-4E53-9353-18DF877708CF}">
      <dsp:nvSpPr>
        <dsp:cNvPr id="0" name=""/>
        <dsp:cNvSpPr/>
      </dsp:nvSpPr>
      <dsp:spPr>
        <a:xfrm>
          <a:off x="2348233" y="-10409"/>
          <a:ext cx="1228795" cy="50962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Marcas, DD.II. e II.GG. </a:t>
          </a:r>
        </a:p>
      </dsp:txBody>
      <dsp:txXfrm>
        <a:off x="2528186" y="64223"/>
        <a:ext cx="868889" cy="360358"/>
      </dsp:txXfrm>
    </dsp:sp>
    <dsp:sp modelId="{F32845D8-3F89-45CE-82D0-5F6D6B81E25D}">
      <dsp:nvSpPr>
        <dsp:cNvPr id="0" name=""/>
        <dsp:cNvSpPr/>
      </dsp:nvSpPr>
      <dsp:spPr>
        <a:xfrm rot="20606743">
          <a:off x="3437978" y="707910"/>
          <a:ext cx="371500" cy="12252"/>
        </a:xfrm>
        <a:custGeom>
          <a:avLst/>
          <a:gdLst/>
          <a:ahLst/>
          <a:cxnLst/>
          <a:rect l="0" t="0" r="0" b="0"/>
          <a:pathLst>
            <a:path>
              <a:moveTo>
                <a:pt x="0" y="6126"/>
              </a:moveTo>
              <a:lnTo>
                <a:pt x="422238"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4440" y="704749"/>
        <a:ext cx="18575" cy="18575"/>
      </dsp:txXfrm>
    </dsp:sp>
    <dsp:sp modelId="{56946440-4960-4194-9471-9ABCF62950BA}">
      <dsp:nvSpPr>
        <dsp:cNvPr id="0" name=""/>
        <dsp:cNvSpPr/>
      </dsp:nvSpPr>
      <dsp:spPr>
        <a:xfrm>
          <a:off x="3688766" y="293470"/>
          <a:ext cx="1149312" cy="4608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3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D.A.D.C</a:t>
          </a:r>
        </a:p>
      </dsp:txBody>
      <dsp:txXfrm>
        <a:off x="3857079" y="360959"/>
        <a:ext cx="812686" cy="325863"/>
      </dsp:txXfrm>
    </dsp:sp>
    <dsp:sp modelId="{5337AE63-3722-42CC-AF72-36670EB7C5E1}">
      <dsp:nvSpPr>
        <dsp:cNvPr id="0" name=""/>
        <dsp:cNvSpPr/>
      </dsp:nvSpPr>
      <dsp:spPr>
        <a:xfrm rot="1080">
          <a:off x="3631683" y="909135"/>
          <a:ext cx="982468" cy="12252"/>
        </a:xfrm>
        <a:custGeom>
          <a:avLst/>
          <a:gdLst/>
          <a:ahLst/>
          <a:cxnLst/>
          <a:rect l="0" t="0" r="0" b="0"/>
          <a:pathLst>
            <a:path>
              <a:moveTo>
                <a:pt x="0" y="6126"/>
              </a:moveTo>
              <a:lnTo>
                <a:pt x="106803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098356" y="890700"/>
        <a:ext cx="49123" cy="49123"/>
      </dsp:txXfrm>
    </dsp:sp>
    <dsp:sp modelId="{CED9197C-8322-406B-917C-172FA36E7B76}">
      <dsp:nvSpPr>
        <dsp:cNvPr id="0" name=""/>
        <dsp:cNvSpPr/>
      </dsp:nvSpPr>
      <dsp:spPr>
        <a:xfrm>
          <a:off x="4614152" y="562353"/>
          <a:ext cx="1326272" cy="7065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4808380" y="665824"/>
        <a:ext cx="937816" cy="499599"/>
      </dsp:txXfrm>
    </dsp:sp>
    <dsp:sp modelId="{4AC11394-3179-4EC5-A97F-D1A1B521CE2F}">
      <dsp:nvSpPr>
        <dsp:cNvPr id="0" name=""/>
        <dsp:cNvSpPr/>
      </dsp:nvSpPr>
      <dsp:spPr>
        <a:xfrm rot="1039915">
          <a:off x="3426335" y="1111595"/>
          <a:ext cx="343191" cy="12252"/>
        </a:xfrm>
        <a:custGeom>
          <a:avLst/>
          <a:gdLst/>
          <a:ahLst/>
          <a:cxnLst/>
          <a:rect l="0" t="0" r="0" b="0"/>
          <a:pathLst>
            <a:path>
              <a:moveTo>
                <a:pt x="0" y="6126"/>
              </a:moveTo>
              <a:lnTo>
                <a:pt x="392192"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589351" y="1109141"/>
        <a:ext cx="17159" cy="17159"/>
      </dsp:txXfrm>
    </dsp:sp>
    <dsp:sp modelId="{035B4C9A-0916-4FCC-A1CF-85DB358A289A}">
      <dsp:nvSpPr>
        <dsp:cNvPr id="0" name=""/>
        <dsp:cNvSpPr/>
      </dsp:nvSpPr>
      <dsp:spPr>
        <a:xfrm>
          <a:off x="3664957" y="1051526"/>
          <a:ext cx="1140307" cy="530086"/>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3831951" y="1129155"/>
        <a:ext cx="806319" cy="374828"/>
      </dsp:txXfrm>
    </dsp:sp>
    <dsp:sp modelId="{64248C57-3CE0-4657-BC67-6279BA0257B1}">
      <dsp:nvSpPr>
        <dsp:cNvPr id="0" name=""/>
        <dsp:cNvSpPr/>
      </dsp:nvSpPr>
      <dsp:spPr>
        <a:xfrm rot="5388050">
          <a:off x="2886174" y="1187315"/>
          <a:ext cx="125587" cy="12252"/>
        </a:xfrm>
        <a:custGeom>
          <a:avLst/>
          <a:gdLst/>
          <a:ahLst/>
          <a:cxnLst/>
          <a:rect l="0" t="0" r="0" b="0"/>
          <a:pathLst>
            <a:path>
              <a:moveTo>
                <a:pt x="0" y="6126"/>
              </a:moveTo>
              <a:lnTo>
                <a:pt x="139216"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2945829" y="1190301"/>
        <a:ext cx="6279" cy="6279"/>
      </dsp:txXfrm>
    </dsp:sp>
    <dsp:sp modelId="{976BA53C-17D4-4F7C-9078-1272C469C9E5}">
      <dsp:nvSpPr>
        <dsp:cNvPr id="0" name=""/>
        <dsp:cNvSpPr/>
      </dsp:nvSpPr>
      <dsp:spPr>
        <a:xfrm>
          <a:off x="2354231" y="1256234"/>
          <a:ext cx="1191506" cy="459042"/>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Academia de la OMPI</a:t>
          </a:r>
        </a:p>
      </dsp:txBody>
      <dsp:txXfrm>
        <a:off x="2528723" y="1323459"/>
        <a:ext cx="842522" cy="324592"/>
      </dsp:txXfrm>
    </dsp:sp>
    <dsp:sp modelId="{73944B9B-8143-474E-A2B5-719E57EA1FE0}">
      <dsp:nvSpPr>
        <dsp:cNvPr id="0" name=""/>
        <dsp:cNvSpPr/>
      </dsp:nvSpPr>
      <dsp:spPr>
        <a:xfrm rot="9635897">
          <a:off x="2202110" y="1118966"/>
          <a:ext cx="298108" cy="12252"/>
        </a:xfrm>
        <a:custGeom>
          <a:avLst/>
          <a:gdLst/>
          <a:ahLst/>
          <a:cxnLst/>
          <a:rect l="0" t="0" r="0" b="0"/>
          <a:pathLst>
            <a:path>
              <a:moveTo>
                <a:pt x="0" y="6126"/>
              </a:moveTo>
              <a:lnTo>
                <a:pt x="38449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43711" y="1117639"/>
        <a:ext cx="14905" cy="14905"/>
      </dsp:txXfrm>
    </dsp:sp>
    <dsp:sp modelId="{2BDBEDDB-6DE8-44DC-8FC2-1ED793273BD1}">
      <dsp:nvSpPr>
        <dsp:cNvPr id="0" name=""/>
        <dsp:cNvSpPr/>
      </dsp:nvSpPr>
      <dsp:spPr>
        <a:xfrm>
          <a:off x="1074287" y="1015032"/>
          <a:ext cx="1231674" cy="68574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16</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Economía y estadística </a:t>
          </a:r>
        </a:p>
      </dsp:txBody>
      <dsp:txXfrm>
        <a:off x="1254661" y="1115456"/>
        <a:ext cx="870926" cy="484893"/>
      </dsp:txXfrm>
    </dsp:sp>
    <dsp:sp modelId="{ADF94B70-0D7F-4A27-8DF9-17BCD27F4A7A}">
      <dsp:nvSpPr>
        <dsp:cNvPr id="0" name=""/>
        <dsp:cNvSpPr/>
      </dsp:nvSpPr>
      <dsp:spPr>
        <a:xfrm rot="10802850">
          <a:off x="1259515" y="907783"/>
          <a:ext cx="1004803" cy="12252"/>
        </a:xfrm>
        <a:custGeom>
          <a:avLst/>
          <a:gdLst/>
          <a:ahLst/>
          <a:cxnLst/>
          <a:rect l="0" t="0" r="0" b="0"/>
          <a:pathLst>
            <a:path>
              <a:moveTo>
                <a:pt x="0" y="6126"/>
              </a:moveTo>
              <a:lnTo>
                <a:pt x="1090567"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736797" y="888789"/>
        <a:ext cx="50240" cy="50240"/>
      </dsp:txXfrm>
    </dsp:sp>
    <dsp:sp modelId="{0FAF3FA1-8E6C-455E-B189-A468B3F4D8BC}">
      <dsp:nvSpPr>
        <dsp:cNvPr id="0" name=""/>
        <dsp:cNvSpPr/>
      </dsp:nvSpPr>
      <dsp:spPr>
        <a:xfrm>
          <a:off x="22092" y="635314"/>
          <a:ext cx="1237424" cy="55533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Comunicaciones</a:t>
          </a:r>
          <a:endParaRPr lang="en-US" sz="1000" kern="1200">
            <a:solidFill>
              <a:sysClr val="windowText" lastClr="000000"/>
            </a:solidFill>
            <a:latin typeface="Arial" panose="020B0604020202020204" pitchFamily="34" charset="0"/>
            <a:ea typeface="+mn-ea"/>
            <a:cs typeface="Arial" panose="020B0604020202020204" pitchFamily="34" charset="0"/>
          </a:endParaRPr>
        </a:p>
      </dsp:txBody>
      <dsp:txXfrm>
        <a:off x="203309" y="716640"/>
        <a:ext cx="874990" cy="392678"/>
      </dsp:txXfrm>
    </dsp:sp>
    <dsp:sp modelId="{7DF391B8-9498-4F55-ACE3-A6D0DB9A80F6}">
      <dsp:nvSpPr>
        <dsp:cNvPr id="0" name=""/>
        <dsp:cNvSpPr/>
      </dsp:nvSpPr>
      <dsp:spPr>
        <a:xfrm rot="12018079">
          <a:off x="2201807" y="690465"/>
          <a:ext cx="312179" cy="12252"/>
        </a:xfrm>
        <a:custGeom>
          <a:avLst/>
          <a:gdLst/>
          <a:ahLst/>
          <a:cxnLst/>
          <a:rect l="0" t="0" r="0" b="0"/>
          <a:pathLst>
            <a:path>
              <a:moveTo>
                <a:pt x="0" y="6126"/>
              </a:moveTo>
              <a:lnTo>
                <a:pt x="355209" y="6126"/>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50093" y="688787"/>
        <a:ext cx="15608" cy="15608"/>
      </dsp:txXfrm>
    </dsp:sp>
    <dsp:sp modelId="{E3F75BBA-60EC-4D9A-B0CC-E18ADA53928C}">
      <dsp:nvSpPr>
        <dsp:cNvPr id="0" name=""/>
        <dsp:cNvSpPr/>
      </dsp:nvSpPr>
      <dsp:spPr>
        <a:xfrm>
          <a:off x="1065332" y="236260"/>
          <a:ext cx="1363893" cy="46888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20 </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Relaciones exteriores</a:t>
          </a:r>
        </a:p>
      </dsp:txBody>
      <dsp:txXfrm>
        <a:off x="1265070" y="304926"/>
        <a:ext cx="964417" cy="33154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C7CADF7-0742-432E-9EEF-EA9C347A7661}">
      <dsp:nvSpPr>
        <dsp:cNvPr id="0" name=""/>
        <dsp:cNvSpPr/>
      </dsp:nvSpPr>
      <dsp:spPr>
        <a:xfrm>
          <a:off x="2311157" y="773797"/>
          <a:ext cx="1348606" cy="407319"/>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solidFill>
              <a:latin typeface="Arial" panose="020B0604020202020204" pitchFamily="34" charset="0"/>
              <a:ea typeface="+mn-ea"/>
              <a:cs typeface="Arial" panose="020B0604020202020204" pitchFamily="34" charset="0"/>
            </a:rPr>
            <a:t>Programa 18</a:t>
          </a:r>
        </a:p>
      </dsp:txBody>
      <dsp:txXfrm>
        <a:off x="2508656" y="833447"/>
        <a:ext cx="953608" cy="288019"/>
      </dsp:txXfrm>
    </dsp:sp>
    <dsp:sp modelId="{E887F142-3B93-49E1-A09D-1DCD207D21D1}">
      <dsp:nvSpPr>
        <dsp:cNvPr id="0" name=""/>
        <dsp:cNvSpPr/>
      </dsp:nvSpPr>
      <dsp:spPr>
        <a:xfrm rot="16514051">
          <a:off x="2935065" y="691893"/>
          <a:ext cx="151952" cy="12644"/>
        </a:xfrm>
        <a:custGeom>
          <a:avLst/>
          <a:gdLst/>
          <a:ahLst/>
          <a:cxnLst/>
          <a:rect l="0" t="0" r="0" b="0"/>
          <a:pathLst>
            <a:path>
              <a:moveTo>
                <a:pt x="0" y="6322"/>
              </a:moveTo>
              <a:lnTo>
                <a:pt x="283126"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007242" y="694416"/>
        <a:ext cx="7597" cy="7597"/>
      </dsp:txXfrm>
    </dsp:sp>
    <dsp:sp modelId="{3EA08C86-6A87-4381-A9A9-F10D993E2D53}">
      <dsp:nvSpPr>
        <dsp:cNvPr id="0" name=""/>
        <dsp:cNvSpPr/>
      </dsp:nvSpPr>
      <dsp:spPr>
        <a:xfrm>
          <a:off x="2427655" y="38501"/>
          <a:ext cx="1234113" cy="58432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Derecho de patentes</a:t>
          </a:r>
          <a:endParaRPr lang="en-US" sz="1100" kern="1200">
            <a:solidFill>
              <a:sysClr val="windowText" lastClr="000000"/>
            </a:solidFill>
            <a:latin typeface="Arial" panose="020B0604020202020204" pitchFamily="34" charset="0"/>
            <a:ea typeface="+mn-ea"/>
            <a:cs typeface="Arial" panose="020B0604020202020204" pitchFamily="34" charset="0"/>
          </a:endParaRPr>
        </a:p>
      </dsp:txBody>
      <dsp:txXfrm>
        <a:off x="2608387" y="124074"/>
        <a:ext cx="872649" cy="413182"/>
      </dsp:txXfrm>
    </dsp:sp>
    <dsp:sp modelId="{00112A8F-12E8-45AC-B551-DFB66BE45059}">
      <dsp:nvSpPr>
        <dsp:cNvPr id="0" name=""/>
        <dsp:cNvSpPr/>
      </dsp:nvSpPr>
      <dsp:spPr>
        <a:xfrm rot="20325438">
          <a:off x="3382445" y="721116"/>
          <a:ext cx="492357" cy="12644"/>
        </a:xfrm>
        <a:custGeom>
          <a:avLst/>
          <a:gdLst/>
          <a:ahLst/>
          <a:cxnLst/>
          <a:rect l="0" t="0" r="0" b="0"/>
          <a:pathLst>
            <a:path>
              <a:moveTo>
                <a:pt x="0" y="6322"/>
              </a:moveTo>
              <a:lnTo>
                <a:pt x="717773"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3616315" y="715129"/>
        <a:ext cx="24617" cy="24617"/>
      </dsp:txXfrm>
    </dsp:sp>
    <dsp:sp modelId="{423B6D89-2000-40C7-8429-BD38C7402395}">
      <dsp:nvSpPr>
        <dsp:cNvPr id="0" name=""/>
        <dsp:cNvSpPr/>
      </dsp:nvSpPr>
      <dsp:spPr>
        <a:xfrm>
          <a:off x="3700596" y="95693"/>
          <a:ext cx="1396567" cy="66464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9</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Oficinas regionales en la sede</a:t>
          </a:r>
        </a:p>
      </dsp:txBody>
      <dsp:txXfrm>
        <a:off x="3905119" y="193028"/>
        <a:ext cx="987521" cy="469973"/>
      </dsp:txXfrm>
    </dsp:sp>
    <dsp:sp modelId="{650854B0-9FE7-4FFD-96B2-18F6452E0859}">
      <dsp:nvSpPr>
        <dsp:cNvPr id="0" name=""/>
        <dsp:cNvSpPr/>
      </dsp:nvSpPr>
      <dsp:spPr>
        <a:xfrm rot="1232">
          <a:off x="3659763" y="971563"/>
          <a:ext cx="1043795" cy="12644"/>
        </a:xfrm>
        <a:custGeom>
          <a:avLst/>
          <a:gdLst/>
          <a:ahLst/>
          <a:cxnLst/>
          <a:rect l="0" t="0" r="0" b="0"/>
          <a:pathLst>
            <a:path>
              <a:moveTo>
                <a:pt x="0" y="6322"/>
              </a:moveTo>
              <a:lnTo>
                <a:pt x="134302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a:off x="4155566" y="951790"/>
        <a:ext cx="52189" cy="52189"/>
      </dsp:txXfrm>
    </dsp:sp>
    <dsp:sp modelId="{6394B413-6D12-4C4F-9A8D-E0508CAE8617}">
      <dsp:nvSpPr>
        <dsp:cNvPr id="0" name=""/>
        <dsp:cNvSpPr/>
      </dsp:nvSpPr>
      <dsp:spPr>
        <a:xfrm>
          <a:off x="4703558" y="742307"/>
          <a:ext cx="1202155" cy="471960"/>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Países T/D</a:t>
          </a:r>
        </a:p>
      </dsp:txBody>
      <dsp:txXfrm>
        <a:off x="4879610" y="811424"/>
        <a:ext cx="850051" cy="333726"/>
      </dsp:txXfrm>
    </dsp:sp>
    <dsp:sp modelId="{DEF09AAB-E09E-4486-8914-E37D47E60824}">
      <dsp:nvSpPr>
        <dsp:cNvPr id="0" name=""/>
        <dsp:cNvSpPr/>
      </dsp:nvSpPr>
      <dsp:spPr>
        <a:xfrm rot="10804604">
          <a:off x="1425056" y="969638"/>
          <a:ext cx="886107" cy="12644"/>
        </a:xfrm>
        <a:custGeom>
          <a:avLst/>
          <a:gdLst/>
          <a:ahLst/>
          <a:cxnLst/>
          <a:rect l="0" t="0" r="0" b="0"/>
          <a:pathLst>
            <a:path>
              <a:moveTo>
                <a:pt x="0" y="6322"/>
              </a:moveTo>
              <a:lnTo>
                <a:pt x="1114107"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1845957" y="953807"/>
        <a:ext cx="44305" cy="44305"/>
      </dsp:txXfrm>
    </dsp:sp>
    <dsp:sp modelId="{2ED32773-10C9-4671-A0BF-4C0DAB40AE25}">
      <dsp:nvSpPr>
        <dsp:cNvPr id="0" name=""/>
        <dsp:cNvSpPr/>
      </dsp:nvSpPr>
      <dsp:spPr>
        <a:xfrm>
          <a:off x="227454" y="696523"/>
          <a:ext cx="1197604" cy="55608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11</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Academia de la OMPI</a:t>
          </a:r>
        </a:p>
      </dsp:txBody>
      <dsp:txXfrm>
        <a:off x="402839" y="777959"/>
        <a:ext cx="846834" cy="393211"/>
      </dsp:txXfrm>
    </dsp:sp>
    <dsp:sp modelId="{06FD983D-3F71-4BCE-AD7F-6DD1041A2F23}">
      <dsp:nvSpPr>
        <dsp:cNvPr id="0" name=""/>
        <dsp:cNvSpPr/>
      </dsp:nvSpPr>
      <dsp:spPr>
        <a:xfrm rot="12160169">
          <a:off x="2173974" y="722639"/>
          <a:ext cx="433100" cy="12644"/>
        </a:xfrm>
        <a:custGeom>
          <a:avLst/>
          <a:gdLst/>
          <a:ahLst/>
          <a:cxnLst/>
          <a:rect l="0" t="0" r="0" b="0"/>
          <a:pathLst>
            <a:path>
              <a:moveTo>
                <a:pt x="0" y="6322"/>
              </a:moveTo>
              <a:lnTo>
                <a:pt x="586918" y="6322"/>
              </a:lnTo>
            </a:path>
          </a:pathLst>
        </a:custGeom>
        <a:noFill/>
        <a:ln w="9525" cap="flat" cmpd="sng" algn="ctr">
          <a:solidFill>
            <a:srgbClr val="4F81BD">
              <a:shade val="60000"/>
              <a:hueOff val="0"/>
              <a:satOff val="0"/>
              <a:lumOff val="0"/>
              <a:alphaOff val="0"/>
            </a:srgb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solidFill>
              <a:sysClr val="windowText" lastClr="000000">
                <a:hueOff val="0"/>
                <a:satOff val="0"/>
                <a:lumOff val="0"/>
                <a:alphaOff val="0"/>
              </a:sysClr>
            </a:solidFill>
            <a:latin typeface="Calibri"/>
            <a:ea typeface="+mn-ea"/>
            <a:cs typeface="+mn-cs"/>
          </a:endParaRPr>
        </a:p>
      </dsp:txBody>
      <dsp:txXfrm rot="10800000">
        <a:off x="2379696" y="718134"/>
        <a:ext cx="21655" cy="21655"/>
      </dsp:txXfrm>
    </dsp:sp>
    <dsp:sp modelId="{CFBB929F-8BEB-442D-8D00-28EE1C02C39C}">
      <dsp:nvSpPr>
        <dsp:cNvPr id="0" name=""/>
        <dsp:cNvSpPr/>
      </dsp:nvSpPr>
      <dsp:spPr>
        <a:xfrm>
          <a:off x="980614" y="138225"/>
          <a:ext cx="1415890" cy="59507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solidFill>
              <a:latin typeface="Arial" panose="020B0604020202020204" pitchFamily="34" charset="0"/>
              <a:ea typeface="+mn-ea"/>
              <a:cs typeface="Arial" panose="020B0604020202020204" pitchFamily="34" charset="0"/>
            </a:rPr>
            <a:t>Programa 20</a:t>
          </a:r>
        </a:p>
        <a:p>
          <a:pPr lvl="0" algn="ctr" defTabSz="44450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Relaciones exteriores</a:t>
          </a:r>
        </a:p>
      </dsp:txBody>
      <dsp:txXfrm>
        <a:off x="1187966" y="225372"/>
        <a:ext cx="1001186" cy="420781"/>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3DA7EC-5D69-41B7-92E4-ED7ED9F48883}">
      <dsp:nvSpPr>
        <dsp:cNvPr id="0" name=""/>
        <dsp:cNvSpPr/>
      </dsp:nvSpPr>
      <dsp:spPr>
        <a:xfrm>
          <a:off x="2232751" y="1105744"/>
          <a:ext cx="1318639" cy="461288"/>
        </a:xfrm>
        <a:prstGeom prst="ellipse">
          <a:avLst/>
        </a:prstGeom>
        <a:gradFill rotWithShape="0">
          <a:gsLst>
            <a:gs pos="0">
              <a:sysClr val="window" lastClr="FFFFFF">
                <a:hueOff val="0"/>
                <a:satOff val="0"/>
                <a:lumOff val="0"/>
                <a:alphaOff val="0"/>
                <a:shade val="51000"/>
                <a:satMod val="130000"/>
              </a:sysClr>
            </a:gs>
            <a:gs pos="80000">
              <a:sysClr val="window" lastClr="FFFFFF">
                <a:hueOff val="0"/>
                <a:satOff val="0"/>
                <a:lumOff val="0"/>
                <a:alphaOff val="0"/>
                <a:shade val="93000"/>
                <a:satMod val="130000"/>
              </a:sysClr>
            </a:gs>
            <a:gs pos="100000">
              <a:sysClr val="window" lastClr="FFFFFF">
                <a:hueOff val="0"/>
                <a:satOff val="0"/>
                <a:lumOff val="0"/>
                <a:alphaOff val="0"/>
                <a:shade val="94000"/>
                <a:satMod val="135000"/>
              </a:sys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20 </a:t>
          </a:r>
        </a:p>
      </dsp:txBody>
      <dsp:txXfrm>
        <a:off x="2425861" y="1173298"/>
        <a:ext cx="932419" cy="326180"/>
      </dsp:txXfrm>
    </dsp:sp>
    <dsp:sp modelId="{E6ACA703-0949-41B3-BE6B-C702E5C7275F}">
      <dsp:nvSpPr>
        <dsp:cNvPr id="0" name=""/>
        <dsp:cNvSpPr/>
      </dsp:nvSpPr>
      <dsp:spPr>
        <a:xfrm rot="16200000">
          <a:off x="2601588" y="807904"/>
          <a:ext cx="580965" cy="14715"/>
        </a:xfrm>
        <a:custGeom>
          <a:avLst/>
          <a:gdLst/>
          <a:ahLst/>
          <a:cxnLst/>
          <a:rect l="0" t="0" r="0" b="0"/>
          <a:pathLst>
            <a:path>
              <a:moveTo>
                <a:pt x="0" y="7357"/>
              </a:moveTo>
              <a:lnTo>
                <a:pt x="580965"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877547" y="800737"/>
        <a:ext cx="29048" cy="29048"/>
      </dsp:txXfrm>
    </dsp:sp>
    <dsp:sp modelId="{AFD0CC05-9AD4-4A51-8739-4FB4CA1E4ACE}">
      <dsp:nvSpPr>
        <dsp:cNvPr id="0" name=""/>
        <dsp:cNvSpPr/>
      </dsp:nvSpPr>
      <dsp:spPr>
        <a:xfrm>
          <a:off x="2412805" y="-29008"/>
          <a:ext cx="958532" cy="5537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Derecho de patentes</a:t>
          </a:r>
        </a:p>
      </dsp:txBody>
      <dsp:txXfrm>
        <a:off x="2553179" y="52092"/>
        <a:ext cx="677784" cy="391587"/>
      </dsp:txXfrm>
    </dsp:sp>
    <dsp:sp modelId="{34515D96-C834-4D67-AF5C-3B293601CBC3}">
      <dsp:nvSpPr>
        <dsp:cNvPr id="0" name=""/>
        <dsp:cNvSpPr/>
      </dsp:nvSpPr>
      <dsp:spPr>
        <a:xfrm rot="18912243">
          <a:off x="3003667" y="850661"/>
          <a:ext cx="740387" cy="14715"/>
        </a:xfrm>
        <a:custGeom>
          <a:avLst/>
          <a:gdLst/>
          <a:ahLst/>
          <a:cxnLst/>
          <a:rect l="0" t="0" r="0" b="0"/>
          <a:pathLst>
            <a:path>
              <a:moveTo>
                <a:pt x="0" y="7357"/>
              </a:moveTo>
              <a:lnTo>
                <a:pt x="740387"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55351" y="839509"/>
        <a:ext cx="37019" cy="37019"/>
      </dsp:txXfrm>
    </dsp:sp>
    <dsp:sp modelId="{D9366F31-B7D7-4B43-830C-AD5E2193A794}">
      <dsp:nvSpPr>
        <dsp:cNvPr id="0" name=""/>
        <dsp:cNvSpPr/>
      </dsp:nvSpPr>
      <dsp:spPr>
        <a:xfrm>
          <a:off x="3365568" y="82943"/>
          <a:ext cx="1027245" cy="54666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2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Marcas, DD.II e II.GG</a:t>
          </a:r>
        </a:p>
      </dsp:txBody>
      <dsp:txXfrm>
        <a:off x="3516005" y="163000"/>
        <a:ext cx="726371" cy="386550"/>
      </dsp:txXfrm>
    </dsp:sp>
    <dsp:sp modelId="{3F0F15B6-4D5A-493B-B03E-AE8141DC3DCE}">
      <dsp:nvSpPr>
        <dsp:cNvPr id="0" name=""/>
        <dsp:cNvSpPr/>
      </dsp:nvSpPr>
      <dsp:spPr>
        <a:xfrm rot="20410331">
          <a:off x="3319100" y="979979"/>
          <a:ext cx="1082050" cy="14715"/>
        </a:xfrm>
        <a:custGeom>
          <a:avLst/>
          <a:gdLst/>
          <a:ahLst/>
          <a:cxnLst/>
          <a:rect l="0" t="0" r="0" b="0"/>
          <a:pathLst>
            <a:path>
              <a:moveTo>
                <a:pt x="0" y="7357"/>
              </a:moveTo>
              <a:lnTo>
                <a:pt x="1082050"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833074" y="960285"/>
        <a:ext cx="54102" cy="54102"/>
      </dsp:txXfrm>
    </dsp:sp>
    <dsp:sp modelId="{ECD2D13D-466C-468B-BD6C-1B646D8E5B8E}">
      <dsp:nvSpPr>
        <dsp:cNvPr id="0" name=""/>
        <dsp:cNvSpPr/>
      </dsp:nvSpPr>
      <dsp:spPr>
        <a:xfrm>
          <a:off x="4308913" y="392489"/>
          <a:ext cx="884463" cy="547144"/>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3</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a:t>
          </a:r>
          <a:r>
            <a:rPr lang="es-ES_tradnl" sz="900" kern="1200">
              <a:latin typeface="Arial" panose="020B0604020202020204" pitchFamily="34" charset="0"/>
              <a:cs typeface="Arial" panose="020B0604020202020204" pitchFamily="34" charset="0"/>
            </a:rPr>
            <a:t>D.A.D.C. </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438440" y="472616"/>
        <a:ext cx="625409" cy="386890"/>
      </dsp:txXfrm>
    </dsp:sp>
    <dsp:sp modelId="{5CF8296B-0142-429D-A71A-20799D2EB74B}">
      <dsp:nvSpPr>
        <dsp:cNvPr id="0" name=""/>
        <dsp:cNvSpPr/>
      </dsp:nvSpPr>
      <dsp:spPr>
        <a:xfrm rot="21475584">
          <a:off x="3547567" y="1287587"/>
          <a:ext cx="978281" cy="14715"/>
        </a:xfrm>
        <a:custGeom>
          <a:avLst/>
          <a:gdLst/>
          <a:ahLst/>
          <a:cxnLst/>
          <a:rect l="0" t="0" r="0" b="0"/>
          <a:pathLst>
            <a:path>
              <a:moveTo>
                <a:pt x="0" y="7357"/>
              </a:moveTo>
              <a:lnTo>
                <a:pt x="978281"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012251" y="1270488"/>
        <a:ext cx="48914" cy="48914"/>
      </dsp:txXfrm>
    </dsp:sp>
    <dsp:sp modelId="{7E7DDE23-6C04-407D-AAB6-669511EA704E}">
      <dsp:nvSpPr>
        <dsp:cNvPr id="0" name=""/>
        <dsp:cNvSpPr/>
      </dsp:nvSpPr>
      <dsp:spPr>
        <a:xfrm>
          <a:off x="4523990" y="979301"/>
          <a:ext cx="1132468" cy="55499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CC.TT., ECT y RR.GG</a:t>
          </a: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4689836" y="1060579"/>
        <a:ext cx="800776" cy="392442"/>
      </dsp:txXfrm>
    </dsp:sp>
    <dsp:sp modelId="{DC281168-2DBC-4CFB-B21D-C54E9628B383}">
      <dsp:nvSpPr>
        <dsp:cNvPr id="0" name=""/>
        <dsp:cNvSpPr/>
      </dsp:nvSpPr>
      <dsp:spPr>
        <a:xfrm rot="844639">
          <a:off x="3414745" y="1570251"/>
          <a:ext cx="878551" cy="14715"/>
        </a:xfrm>
        <a:custGeom>
          <a:avLst/>
          <a:gdLst/>
          <a:ahLst/>
          <a:cxnLst/>
          <a:rect l="0" t="0" r="0" b="0"/>
          <a:pathLst>
            <a:path>
              <a:moveTo>
                <a:pt x="0" y="7357"/>
              </a:moveTo>
              <a:lnTo>
                <a:pt x="878551"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832057" y="1555645"/>
        <a:ext cx="43927" cy="43927"/>
      </dsp:txXfrm>
    </dsp:sp>
    <dsp:sp modelId="{66DADE40-99AE-41BE-B997-129EED231064}">
      <dsp:nvSpPr>
        <dsp:cNvPr id="0" name=""/>
        <dsp:cNvSpPr/>
      </dsp:nvSpPr>
      <dsp:spPr>
        <a:xfrm>
          <a:off x="4229056" y="1549992"/>
          <a:ext cx="968567" cy="486201"/>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5</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PCT</a:t>
          </a:r>
        </a:p>
      </dsp:txBody>
      <dsp:txXfrm>
        <a:off x="4370899" y="1621194"/>
        <a:ext cx="684881" cy="343797"/>
      </dsp:txXfrm>
    </dsp:sp>
    <dsp:sp modelId="{4DF1B0BE-A63A-4BEA-9EE5-4168481CC99E}">
      <dsp:nvSpPr>
        <dsp:cNvPr id="0" name=""/>
        <dsp:cNvSpPr/>
      </dsp:nvSpPr>
      <dsp:spPr>
        <a:xfrm rot="2563085">
          <a:off x="3055281" y="1724673"/>
          <a:ext cx="530542" cy="14715"/>
        </a:xfrm>
        <a:custGeom>
          <a:avLst/>
          <a:gdLst/>
          <a:ahLst/>
          <a:cxnLst/>
          <a:rect l="0" t="0" r="0" b="0"/>
          <a:pathLst>
            <a:path>
              <a:moveTo>
                <a:pt x="0" y="7357"/>
              </a:moveTo>
              <a:lnTo>
                <a:pt x="53054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307289" y="1718767"/>
        <a:ext cx="26527" cy="26527"/>
      </dsp:txXfrm>
    </dsp:sp>
    <dsp:sp modelId="{DB594876-4070-4577-942D-67F5CD4D6A19}">
      <dsp:nvSpPr>
        <dsp:cNvPr id="0" name=""/>
        <dsp:cNvSpPr/>
      </dsp:nvSpPr>
      <dsp:spPr>
        <a:xfrm>
          <a:off x="3190381" y="1882802"/>
          <a:ext cx="1180254" cy="547865"/>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6</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 Sistemas de Madrid y Lisboa </a:t>
          </a:r>
        </a:p>
      </dsp:txBody>
      <dsp:txXfrm>
        <a:off x="3363225" y="1963035"/>
        <a:ext cx="834566" cy="387399"/>
      </dsp:txXfrm>
    </dsp:sp>
    <dsp:sp modelId="{E49C447F-3477-4311-B10B-FFFA7DE7209F}">
      <dsp:nvSpPr>
        <dsp:cNvPr id="0" name=""/>
        <dsp:cNvSpPr/>
      </dsp:nvSpPr>
      <dsp:spPr>
        <a:xfrm rot="7089375">
          <a:off x="2412643" y="1770236"/>
          <a:ext cx="486579" cy="14715"/>
        </a:xfrm>
        <a:custGeom>
          <a:avLst/>
          <a:gdLst/>
          <a:ahLst/>
          <a:cxnLst/>
          <a:rect l="0" t="0" r="0" b="0"/>
          <a:pathLst>
            <a:path>
              <a:moveTo>
                <a:pt x="0" y="7357"/>
              </a:moveTo>
              <a:lnTo>
                <a:pt x="486579"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643768" y="1765429"/>
        <a:ext cx="24328" cy="24328"/>
      </dsp:txXfrm>
    </dsp:sp>
    <dsp:sp modelId="{69F18085-0AC3-4BAE-9B16-F8478FFBD61E}">
      <dsp:nvSpPr>
        <dsp:cNvPr id="0" name=""/>
        <dsp:cNvSpPr/>
      </dsp:nvSpPr>
      <dsp:spPr>
        <a:xfrm>
          <a:off x="1824846" y="1985897"/>
          <a:ext cx="1172617" cy="49808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11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Academia de la OMPI </a:t>
          </a:r>
        </a:p>
      </dsp:txBody>
      <dsp:txXfrm>
        <a:off x="1996572" y="2058840"/>
        <a:ext cx="829165" cy="352201"/>
      </dsp:txXfrm>
    </dsp:sp>
    <dsp:sp modelId="{FCC14444-D5E7-4E9C-B980-A27CD799E442}">
      <dsp:nvSpPr>
        <dsp:cNvPr id="0" name=""/>
        <dsp:cNvSpPr/>
      </dsp:nvSpPr>
      <dsp:spPr>
        <a:xfrm rot="9571853">
          <a:off x="1701715" y="1630839"/>
          <a:ext cx="763608" cy="14715"/>
        </a:xfrm>
        <a:custGeom>
          <a:avLst/>
          <a:gdLst/>
          <a:ahLst/>
          <a:cxnLst/>
          <a:rect l="0" t="0" r="0" b="0"/>
          <a:pathLst>
            <a:path>
              <a:moveTo>
                <a:pt x="0" y="7357"/>
              </a:moveTo>
              <a:lnTo>
                <a:pt x="763608"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064429" y="1619107"/>
        <a:ext cx="38180" cy="38180"/>
      </dsp:txXfrm>
    </dsp:sp>
    <dsp:sp modelId="{49C45DFA-0A15-4DAA-80DC-CAE4ABCC6B43}">
      <dsp:nvSpPr>
        <dsp:cNvPr id="0" name=""/>
        <dsp:cNvSpPr/>
      </dsp:nvSpPr>
      <dsp:spPr>
        <a:xfrm>
          <a:off x="574135" y="1671445"/>
          <a:ext cx="1308383" cy="571939"/>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14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Acceso a la info. y conocimientos </a:t>
          </a:r>
        </a:p>
      </dsp:txBody>
      <dsp:txXfrm>
        <a:off x="765743" y="1755204"/>
        <a:ext cx="925167" cy="404421"/>
      </dsp:txXfrm>
    </dsp:sp>
    <dsp:sp modelId="{7B59CB2C-C82F-41EE-B3CF-ADD4878ADBA6}">
      <dsp:nvSpPr>
        <dsp:cNvPr id="0" name=""/>
        <dsp:cNvSpPr/>
      </dsp:nvSpPr>
      <dsp:spPr>
        <a:xfrm rot="10711371">
          <a:off x="1263624" y="1358503"/>
          <a:ext cx="971072" cy="14715"/>
        </a:xfrm>
        <a:custGeom>
          <a:avLst/>
          <a:gdLst/>
          <a:ahLst/>
          <a:cxnLst/>
          <a:rect l="0" t="0" r="0" b="0"/>
          <a:pathLst>
            <a:path>
              <a:moveTo>
                <a:pt x="0" y="7357"/>
              </a:moveTo>
              <a:lnTo>
                <a:pt x="97107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724884" y="1341584"/>
        <a:ext cx="48553" cy="48553"/>
      </dsp:txXfrm>
    </dsp:sp>
    <dsp:sp modelId="{402B25BB-F397-46B5-AAB7-C38C2276BF82}">
      <dsp:nvSpPr>
        <dsp:cNvPr id="0" name=""/>
        <dsp:cNvSpPr/>
      </dsp:nvSpPr>
      <dsp:spPr>
        <a:xfrm>
          <a:off x="88993" y="1085885"/>
          <a:ext cx="1175505" cy="615258"/>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15 </a:t>
          </a:r>
        </a:p>
        <a:p>
          <a:pPr lvl="0" algn="ctr" defTabSz="400050">
            <a:lnSpc>
              <a:spcPct val="90000"/>
            </a:lnSpc>
            <a:spcBef>
              <a:spcPct val="0"/>
            </a:spcBef>
            <a:spcAft>
              <a:spcPct val="35000"/>
            </a:spcAft>
          </a:pPr>
          <a:r>
            <a:rPr lang="en-US" sz="900" kern="1200">
              <a:solidFill>
                <a:sysClr val="windowText" lastClr="000000"/>
              </a:solidFill>
              <a:latin typeface="Arial" panose="020B0604020202020204" pitchFamily="34" charset="0"/>
              <a:ea typeface="+mn-ea"/>
              <a:cs typeface="Arial" panose="020B0604020202020204" pitchFamily="34" charset="0"/>
            </a:rPr>
            <a:t>Soluciones operativas para las OPI</a:t>
          </a:r>
          <a:endPar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61142" y="1175987"/>
        <a:ext cx="831207" cy="435054"/>
      </dsp:txXfrm>
    </dsp:sp>
    <dsp:sp modelId="{EFB9CB5A-411C-454B-96B1-9ED988829CBE}">
      <dsp:nvSpPr>
        <dsp:cNvPr id="0" name=""/>
        <dsp:cNvSpPr/>
      </dsp:nvSpPr>
      <dsp:spPr>
        <a:xfrm rot="11790448">
          <a:off x="1370044" y="1032134"/>
          <a:ext cx="1040402" cy="14715"/>
        </a:xfrm>
        <a:custGeom>
          <a:avLst/>
          <a:gdLst/>
          <a:ahLst/>
          <a:cxnLst/>
          <a:rect l="0" t="0" r="0" b="0"/>
          <a:pathLst>
            <a:path>
              <a:moveTo>
                <a:pt x="0" y="7357"/>
              </a:moveTo>
              <a:lnTo>
                <a:pt x="1040402"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1864235" y="1013482"/>
        <a:ext cx="52020" cy="52020"/>
      </dsp:txXfrm>
    </dsp:sp>
    <dsp:sp modelId="{5AF8D9AC-0C15-4D1B-BCD3-7FFCFF0A581D}">
      <dsp:nvSpPr>
        <dsp:cNvPr id="0" name=""/>
        <dsp:cNvSpPr/>
      </dsp:nvSpPr>
      <dsp:spPr>
        <a:xfrm>
          <a:off x="383827" y="424517"/>
          <a:ext cx="1060326" cy="651313"/>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17 </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Fomentar el respeto por la P.I.  </a:t>
          </a:r>
        </a:p>
      </dsp:txBody>
      <dsp:txXfrm>
        <a:off x="539108" y="519900"/>
        <a:ext cx="749764" cy="460547"/>
      </dsp:txXfrm>
    </dsp:sp>
    <dsp:sp modelId="{EA581F84-B016-4CDB-99D6-9E3DD9F505FC}">
      <dsp:nvSpPr>
        <dsp:cNvPr id="0" name=""/>
        <dsp:cNvSpPr/>
      </dsp:nvSpPr>
      <dsp:spPr>
        <a:xfrm rot="13360492">
          <a:off x="2018029" y="863323"/>
          <a:ext cx="737830" cy="14715"/>
        </a:xfrm>
        <a:custGeom>
          <a:avLst/>
          <a:gdLst/>
          <a:ahLst/>
          <a:cxnLst/>
          <a:rect l="0" t="0" r="0" b="0"/>
          <a:pathLst>
            <a:path>
              <a:moveTo>
                <a:pt x="0" y="7357"/>
              </a:moveTo>
              <a:lnTo>
                <a:pt x="737830" y="7357"/>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rot="10800000">
        <a:off x="2368498" y="852235"/>
        <a:ext cx="36891" cy="36891"/>
      </dsp:txXfrm>
    </dsp:sp>
    <dsp:sp modelId="{0BAA02DA-E841-4BF5-8708-178825E9BEE2}">
      <dsp:nvSpPr>
        <dsp:cNvPr id="0" name=""/>
        <dsp:cNvSpPr/>
      </dsp:nvSpPr>
      <dsp:spPr>
        <a:xfrm>
          <a:off x="1269896" y="0"/>
          <a:ext cx="1082403" cy="679547"/>
        </a:xfrm>
        <a:prstGeom prst="ellipse">
          <a:avLst/>
        </a:prstGeom>
        <a:solidFill>
          <a:srgbClr val="4F81BD">
            <a:lumMod val="40000"/>
            <a:lumOff val="60000"/>
          </a:srgbClr>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Programa 18</a:t>
          </a:r>
        </a:p>
        <a:p>
          <a:pPr lvl="0" algn="ctr" defTabSz="444500">
            <a:lnSpc>
              <a:spcPct val="90000"/>
            </a:lnSpc>
            <a:spcBef>
              <a:spcPct val="0"/>
            </a:spcBef>
            <a:spcAft>
              <a:spcPct val="35000"/>
            </a:spcAft>
          </a:pPr>
          <a:r>
            <a:rPr lang="en-US"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P.I. y desafíos mundiales</a:t>
          </a:r>
        </a:p>
      </dsp:txBody>
      <dsp:txXfrm>
        <a:off x="1428410" y="99517"/>
        <a:ext cx="765375" cy="480513"/>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9E3802-FD3F-4B6F-8BEC-7BCE949A5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23 (S).dotm</Template>
  <TotalTime>4</TotalTime>
  <Pages>281</Pages>
  <Words>86318</Words>
  <Characters>475673</Characters>
  <Application>Microsoft Office Word</Application>
  <DocSecurity>0</DocSecurity>
  <Lines>3963</Lines>
  <Paragraphs>1121</Paragraphs>
  <ScaleCrop>false</ScaleCrop>
  <HeadingPairs>
    <vt:vector size="2" baseType="variant">
      <vt:variant>
        <vt:lpstr>Title</vt:lpstr>
      </vt:variant>
      <vt:variant>
        <vt:i4>1</vt:i4>
      </vt:variant>
    </vt:vector>
  </HeadingPairs>
  <TitlesOfParts>
    <vt:vector size="1" baseType="lpstr">
      <vt:lpstr>WO/PBC/23/3 - Proyecto de propuesta de presupuesto por programas para 2016/17</vt:lpstr>
    </vt:vector>
  </TitlesOfParts>
  <Company>WIPO</Company>
  <LinksUpToDate>false</LinksUpToDate>
  <CharactersWithSpaces>560870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WO/PBC/23/3 - Proyecto de propuesta de presupuesto por programas para 2016/17</dc:title>
  <dc:creator>HALLER Mario</dc:creator>
  <cp:lastModifiedBy>HALLER Mario</cp:lastModifiedBy>
  <cp:revision>5</cp:revision>
  <cp:lastPrinted>2015-06-10T08:44:00Z</cp:lastPrinted>
  <dcterms:created xsi:type="dcterms:W3CDTF">2015-06-09T15:54:00Z</dcterms:created>
  <dcterms:modified xsi:type="dcterms:W3CDTF">2015-06-10T08:45:00Z</dcterms:modified>
</cp:coreProperties>
</file>