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1B2BD5" w:rsidTr="0088395E">
        <w:tc>
          <w:tcPr>
            <w:tcW w:w="4513" w:type="dxa"/>
            <w:tcBorders>
              <w:bottom w:val="single" w:sz="4" w:space="0" w:color="auto"/>
            </w:tcBorders>
            <w:tcMar>
              <w:bottom w:w="170" w:type="dxa"/>
            </w:tcMar>
          </w:tcPr>
          <w:p w:rsidR="00E504E5" w:rsidRPr="001B2BD5" w:rsidRDefault="00E504E5" w:rsidP="0066138B">
            <w:pPr>
              <w:rPr>
                <w:lang w:val="es-ES_tradnl"/>
              </w:rPr>
            </w:pPr>
            <w:bookmarkStart w:id="0" w:name="_GoBack"/>
            <w:bookmarkEnd w:id="0"/>
          </w:p>
        </w:tc>
        <w:tc>
          <w:tcPr>
            <w:tcW w:w="4337" w:type="dxa"/>
            <w:tcBorders>
              <w:bottom w:val="single" w:sz="4" w:space="0" w:color="auto"/>
            </w:tcBorders>
            <w:tcMar>
              <w:left w:w="0" w:type="dxa"/>
              <w:right w:w="0" w:type="dxa"/>
            </w:tcMar>
          </w:tcPr>
          <w:p w:rsidR="00E504E5" w:rsidRPr="001B2BD5" w:rsidRDefault="00921576" w:rsidP="0066138B">
            <w:pPr>
              <w:rPr>
                <w:lang w:val="es-ES_tradnl"/>
              </w:rPr>
            </w:pPr>
            <w:r w:rsidRPr="001B2BD5">
              <w:rPr>
                <w:noProof/>
                <w:lang w:val="en-US" w:eastAsia="en-US"/>
              </w:rPr>
              <w:drawing>
                <wp:inline distT="0" distB="0" distL="0" distR="0" wp14:anchorId="17002004" wp14:editId="7AD8F4F1">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1B2BD5" w:rsidRDefault="00E504E5" w:rsidP="0066138B">
            <w:pPr>
              <w:jc w:val="right"/>
              <w:rPr>
                <w:lang w:val="es-ES_tradnl"/>
              </w:rPr>
            </w:pPr>
            <w:r w:rsidRPr="001B2BD5">
              <w:rPr>
                <w:b/>
                <w:sz w:val="40"/>
                <w:szCs w:val="40"/>
                <w:lang w:val="es-ES_tradnl"/>
              </w:rPr>
              <w:t>S</w:t>
            </w:r>
          </w:p>
        </w:tc>
      </w:tr>
      <w:tr w:rsidR="008B2CC1" w:rsidRPr="001B2BD5"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1B2BD5" w:rsidRDefault="00921576" w:rsidP="0066138B">
            <w:pPr>
              <w:jc w:val="right"/>
              <w:rPr>
                <w:rFonts w:ascii="Arial Black" w:hAnsi="Arial Black"/>
                <w:caps/>
                <w:sz w:val="15"/>
                <w:lang w:val="es-ES_tradnl"/>
              </w:rPr>
            </w:pPr>
            <w:r w:rsidRPr="001B2BD5">
              <w:rPr>
                <w:rFonts w:ascii="Arial Black" w:hAnsi="Arial Black"/>
                <w:caps/>
                <w:sz w:val="15"/>
                <w:lang w:val="es-ES_tradnl"/>
              </w:rPr>
              <w:t>WO/PBC/22/</w:t>
            </w:r>
            <w:bookmarkStart w:id="1" w:name="Code"/>
            <w:bookmarkEnd w:id="1"/>
            <w:r w:rsidR="007F5AE2" w:rsidRPr="001B2BD5">
              <w:rPr>
                <w:rFonts w:ascii="Arial Black" w:hAnsi="Arial Black"/>
                <w:caps/>
                <w:sz w:val="15"/>
                <w:lang w:val="es-ES_tradnl"/>
              </w:rPr>
              <w:t>28</w:t>
            </w:r>
          </w:p>
        </w:tc>
      </w:tr>
      <w:tr w:rsidR="008B2CC1" w:rsidRPr="001B2BD5" w:rsidTr="00AB613D">
        <w:trPr>
          <w:trHeight w:hRule="exact" w:val="170"/>
        </w:trPr>
        <w:tc>
          <w:tcPr>
            <w:tcW w:w="9356" w:type="dxa"/>
            <w:gridSpan w:val="3"/>
            <w:noWrap/>
            <w:tcMar>
              <w:left w:w="0" w:type="dxa"/>
              <w:right w:w="0" w:type="dxa"/>
            </w:tcMar>
            <w:vAlign w:val="bottom"/>
          </w:tcPr>
          <w:p w:rsidR="008B2CC1" w:rsidRPr="001B2BD5" w:rsidRDefault="008B2CC1" w:rsidP="0066138B">
            <w:pPr>
              <w:jc w:val="right"/>
              <w:rPr>
                <w:rFonts w:ascii="Arial Black" w:hAnsi="Arial Black"/>
                <w:caps/>
                <w:sz w:val="15"/>
                <w:lang w:val="es-ES_tradnl"/>
              </w:rPr>
            </w:pPr>
            <w:r w:rsidRPr="001B2BD5">
              <w:rPr>
                <w:rFonts w:ascii="Arial Black" w:hAnsi="Arial Black"/>
                <w:caps/>
                <w:sz w:val="15"/>
                <w:lang w:val="es-ES_tradnl"/>
              </w:rPr>
              <w:t>ORIGINAL:</w:t>
            </w:r>
            <w:r w:rsidR="00F84474" w:rsidRPr="001B2BD5">
              <w:rPr>
                <w:rFonts w:ascii="Arial Black" w:hAnsi="Arial Black"/>
                <w:caps/>
                <w:sz w:val="15"/>
                <w:lang w:val="es-ES_tradnl"/>
              </w:rPr>
              <w:t xml:space="preserve"> </w:t>
            </w:r>
            <w:r w:rsidRPr="001B2BD5">
              <w:rPr>
                <w:rFonts w:ascii="Arial Black" w:hAnsi="Arial Black"/>
                <w:caps/>
                <w:sz w:val="15"/>
                <w:lang w:val="es-ES_tradnl"/>
              </w:rPr>
              <w:t xml:space="preserve"> </w:t>
            </w:r>
            <w:bookmarkStart w:id="2" w:name="Original"/>
            <w:bookmarkEnd w:id="2"/>
            <w:r w:rsidR="007F5AE2" w:rsidRPr="001B2BD5">
              <w:rPr>
                <w:rFonts w:ascii="Arial Black" w:hAnsi="Arial Black"/>
                <w:caps/>
                <w:sz w:val="15"/>
                <w:lang w:val="es-ES_tradnl"/>
              </w:rPr>
              <w:t>INGLÉS</w:t>
            </w:r>
          </w:p>
        </w:tc>
      </w:tr>
      <w:tr w:rsidR="008B2CC1" w:rsidRPr="001B2BD5" w:rsidTr="00AB613D">
        <w:trPr>
          <w:trHeight w:hRule="exact" w:val="198"/>
        </w:trPr>
        <w:tc>
          <w:tcPr>
            <w:tcW w:w="9356" w:type="dxa"/>
            <w:gridSpan w:val="3"/>
            <w:tcMar>
              <w:left w:w="0" w:type="dxa"/>
              <w:right w:w="0" w:type="dxa"/>
            </w:tcMar>
            <w:vAlign w:val="bottom"/>
          </w:tcPr>
          <w:p w:rsidR="008B2CC1" w:rsidRPr="001B2BD5" w:rsidRDefault="00675021" w:rsidP="0066138B">
            <w:pPr>
              <w:jc w:val="right"/>
              <w:rPr>
                <w:rFonts w:ascii="Arial Black" w:hAnsi="Arial Black"/>
                <w:caps/>
                <w:sz w:val="15"/>
                <w:lang w:val="es-ES_tradnl"/>
              </w:rPr>
            </w:pPr>
            <w:r w:rsidRPr="001B2BD5">
              <w:rPr>
                <w:rFonts w:ascii="Arial Black" w:hAnsi="Arial Black"/>
                <w:caps/>
                <w:sz w:val="15"/>
                <w:lang w:val="es-ES_tradnl"/>
              </w:rPr>
              <w:t>fecha</w:t>
            </w:r>
            <w:r w:rsidR="008B2CC1" w:rsidRPr="001B2BD5">
              <w:rPr>
                <w:rFonts w:ascii="Arial Black" w:hAnsi="Arial Black"/>
                <w:caps/>
                <w:sz w:val="15"/>
                <w:lang w:val="es-ES_tradnl"/>
              </w:rPr>
              <w:t>:</w:t>
            </w:r>
            <w:r w:rsidR="00F84474" w:rsidRPr="001B2BD5">
              <w:rPr>
                <w:rFonts w:ascii="Arial Black" w:hAnsi="Arial Black"/>
                <w:caps/>
                <w:sz w:val="15"/>
                <w:lang w:val="es-ES_tradnl"/>
              </w:rPr>
              <w:t xml:space="preserve"> </w:t>
            </w:r>
            <w:r w:rsidR="008B2CC1" w:rsidRPr="001B2BD5">
              <w:rPr>
                <w:rFonts w:ascii="Arial Black" w:hAnsi="Arial Black"/>
                <w:caps/>
                <w:sz w:val="15"/>
                <w:lang w:val="es-ES_tradnl"/>
              </w:rPr>
              <w:t xml:space="preserve"> </w:t>
            </w:r>
            <w:bookmarkStart w:id="3" w:name="Date"/>
            <w:bookmarkEnd w:id="3"/>
            <w:r w:rsidR="006740C0" w:rsidRPr="001B2BD5">
              <w:rPr>
                <w:rFonts w:ascii="Arial Black" w:hAnsi="Arial Black"/>
                <w:caps/>
                <w:sz w:val="15"/>
                <w:lang w:val="es-ES_tradnl"/>
              </w:rPr>
              <w:t>2</w:t>
            </w:r>
            <w:r w:rsidR="007F5AE2" w:rsidRPr="001B2BD5">
              <w:rPr>
                <w:rFonts w:ascii="Arial Black" w:hAnsi="Arial Black"/>
                <w:caps/>
                <w:sz w:val="15"/>
                <w:lang w:val="es-ES_tradnl"/>
              </w:rPr>
              <w:t>9 DE JULIO DE 2014</w:t>
            </w:r>
          </w:p>
        </w:tc>
      </w:tr>
    </w:tbl>
    <w:p w:rsidR="008B2CC1" w:rsidRPr="001B2BD5" w:rsidRDefault="008B2CC1" w:rsidP="0066138B">
      <w:pPr>
        <w:rPr>
          <w:lang w:val="es-ES_tradnl"/>
        </w:rPr>
      </w:pPr>
    </w:p>
    <w:p w:rsidR="008B2CC1" w:rsidRPr="001B2BD5" w:rsidRDefault="008B2CC1" w:rsidP="0066138B">
      <w:pPr>
        <w:rPr>
          <w:lang w:val="es-ES_tradnl"/>
        </w:rPr>
      </w:pPr>
    </w:p>
    <w:p w:rsidR="008B2CC1" w:rsidRPr="001B2BD5" w:rsidRDefault="008B2CC1" w:rsidP="0066138B">
      <w:pPr>
        <w:rPr>
          <w:lang w:val="es-ES_tradnl"/>
        </w:rPr>
      </w:pPr>
    </w:p>
    <w:p w:rsidR="008B2CC1" w:rsidRPr="001B2BD5" w:rsidRDefault="008B2CC1" w:rsidP="0066138B">
      <w:pPr>
        <w:rPr>
          <w:lang w:val="es-ES_tradnl"/>
        </w:rPr>
      </w:pPr>
    </w:p>
    <w:p w:rsidR="008B2CC1" w:rsidRPr="001B2BD5" w:rsidRDefault="008B2CC1" w:rsidP="0066138B">
      <w:pPr>
        <w:rPr>
          <w:lang w:val="es-ES_tradnl"/>
        </w:rPr>
      </w:pPr>
    </w:p>
    <w:p w:rsidR="00921576" w:rsidRPr="001B2BD5" w:rsidRDefault="00921576" w:rsidP="0066138B">
      <w:pPr>
        <w:rPr>
          <w:b/>
          <w:sz w:val="28"/>
          <w:szCs w:val="28"/>
          <w:lang w:val="es-ES_tradnl"/>
        </w:rPr>
      </w:pPr>
      <w:r w:rsidRPr="001B2BD5">
        <w:rPr>
          <w:b/>
          <w:sz w:val="28"/>
          <w:szCs w:val="28"/>
          <w:lang w:val="es-ES_tradnl"/>
        </w:rPr>
        <w:t>Comité del Programa y Presupuesto</w:t>
      </w:r>
    </w:p>
    <w:p w:rsidR="003845C1" w:rsidRPr="001B2BD5" w:rsidRDefault="003845C1" w:rsidP="0066138B">
      <w:pPr>
        <w:rPr>
          <w:lang w:val="es-ES_tradnl"/>
        </w:rPr>
      </w:pPr>
    </w:p>
    <w:p w:rsidR="003845C1" w:rsidRPr="001B2BD5" w:rsidRDefault="003845C1" w:rsidP="0066138B">
      <w:pPr>
        <w:rPr>
          <w:lang w:val="es-ES_tradnl"/>
        </w:rPr>
      </w:pPr>
    </w:p>
    <w:p w:rsidR="00921576" w:rsidRPr="001B2BD5" w:rsidRDefault="00921576" w:rsidP="0066138B">
      <w:pPr>
        <w:rPr>
          <w:b/>
          <w:sz w:val="24"/>
          <w:szCs w:val="24"/>
          <w:lang w:val="es-ES_tradnl"/>
        </w:rPr>
      </w:pPr>
      <w:r w:rsidRPr="001B2BD5">
        <w:rPr>
          <w:b/>
          <w:sz w:val="24"/>
          <w:szCs w:val="24"/>
          <w:lang w:val="es-ES_tradnl"/>
        </w:rPr>
        <w:t>Vigésima segunda sesión</w:t>
      </w:r>
    </w:p>
    <w:p w:rsidR="00921576" w:rsidRPr="001B2BD5" w:rsidRDefault="00921576" w:rsidP="0066138B">
      <w:pPr>
        <w:rPr>
          <w:b/>
          <w:sz w:val="24"/>
          <w:szCs w:val="24"/>
          <w:lang w:val="es-ES_tradnl"/>
        </w:rPr>
      </w:pPr>
      <w:r w:rsidRPr="001B2BD5">
        <w:rPr>
          <w:b/>
          <w:sz w:val="24"/>
          <w:szCs w:val="24"/>
          <w:lang w:val="es-ES_tradnl"/>
        </w:rPr>
        <w:t>Ginebra, 1 a 5 de septiembre de 2014</w:t>
      </w:r>
    </w:p>
    <w:p w:rsidR="008B2CC1" w:rsidRPr="001B2BD5" w:rsidRDefault="008B2CC1" w:rsidP="0066138B">
      <w:pPr>
        <w:rPr>
          <w:lang w:val="es-ES_tradnl"/>
        </w:rPr>
      </w:pPr>
    </w:p>
    <w:p w:rsidR="008B2CC1" w:rsidRPr="001B2BD5" w:rsidRDefault="008B2CC1" w:rsidP="0066138B">
      <w:pPr>
        <w:rPr>
          <w:lang w:val="es-ES_tradnl"/>
        </w:rPr>
      </w:pPr>
    </w:p>
    <w:p w:rsidR="008B2CC1" w:rsidRPr="001B2BD5" w:rsidRDefault="008B2CC1" w:rsidP="0066138B">
      <w:pPr>
        <w:rPr>
          <w:lang w:val="es-ES_tradnl"/>
        </w:rPr>
      </w:pPr>
    </w:p>
    <w:p w:rsidR="00883BE9" w:rsidRPr="001B2BD5" w:rsidRDefault="00AA3FE4" w:rsidP="0066138B">
      <w:pPr>
        <w:rPr>
          <w:caps/>
          <w:sz w:val="24"/>
          <w:lang w:val="es-ES_tradnl"/>
        </w:rPr>
      </w:pPr>
      <w:bookmarkStart w:id="4" w:name="TitleOfDoc"/>
      <w:bookmarkEnd w:id="4"/>
      <w:r w:rsidRPr="001B2BD5">
        <w:rPr>
          <w:caps/>
          <w:sz w:val="24"/>
          <w:lang w:val="es-ES_tradnl"/>
        </w:rPr>
        <w:t xml:space="preserve">examen de la situacion financiera de la OMPI y de su politica </w:t>
      </w:r>
      <w:r w:rsidR="006740C0" w:rsidRPr="001B2BD5">
        <w:rPr>
          <w:caps/>
          <w:sz w:val="24"/>
          <w:lang w:val="es-ES_tradnl"/>
        </w:rPr>
        <w:t>de</w:t>
      </w:r>
      <w:r w:rsidR="001652C0">
        <w:rPr>
          <w:caps/>
          <w:sz w:val="24"/>
          <w:lang w:val="es-ES_tradnl"/>
        </w:rPr>
        <w:t xml:space="preserve"> reservas</w:t>
      </w:r>
    </w:p>
    <w:p w:rsidR="00883BE9" w:rsidRPr="001B2BD5" w:rsidRDefault="00883BE9" w:rsidP="0066138B">
      <w:pPr>
        <w:rPr>
          <w:caps/>
          <w:sz w:val="24"/>
          <w:lang w:val="es-ES_tradnl"/>
        </w:rPr>
      </w:pPr>
    </w:p>
    <w:p w:rsidR="00883BE9" w:rsidRPr="001B2BD5" w:rsidRDefault="00883BE9" w:rsidP="0066138B">
      <w:pPr>
        <w:rPr>
          <w:i/>
          <w:lang w:val="es-ES_tradnl"/>
        </w:rPr>
      </w:pPr>
      <w:r w:rsidRPr="001B2BD5">
        <w:rPr>
          <w:i/>
          <w:lang w:val="es-ES_tradnl"/>
        </w:rPr>
        <w:t>Document</w:t>
      </w:r>
      <w:r w:rsidR="00AA3FE4" w:rsidRPr="001B2BD5">
        <w:rPr>
          <w:i/>
          <w:lang w:val="es-ES_tradnl"/>
        </w:rPr>
        <w:t>o</w:t>
      </w:r>
      <w:r w:rsidRPr="001B2BD5">
        <w:rPr>
          <w:i/>
          <w:lang w:val="es-ES_tradnl"/>
        </w:rPr>
        <w:t xml:space="preserve"> prepar</w:t>
      </w:r>
      <w:r w:rsidR="00AA3FE4" w:rsidRPr="001B2BD5">
        <w:rPr>
          <w:i/>
          <w:lang w:val="es-ES_tradnl"/>
        </w:rPr>
        <w:t>ado por la</w:t>
      </w:r>
      <w:r w:rsidRPr="001B2BD5">
        <w:rPr>
          <w:i/>
          <w:lang w:val="es-ES_tradnl"/>
        </w:rPr>
        <w:t xml:space="preserve"> </w:t>
      </w:r>
      <w:r w:rsidR="00AA3FE4" w:rsidRPr="001B2BD5">
        <w:rPr>
          <w:i/>
          <w:lang w:val="es-ES_tradnl"/>
        </w:rPr>
        <w:t xml:space="preserve">Secretaría </w:t>
      </w:r>
    </w:p>
    <w:p w:rsidR="00883BE9" w:rsidRPr="001B2BD5" w:rsidRDefault="00883BE9" w:rsidP="0066138B">
      <w:pPr>
        <w:rPr>
          <w:lang w:val="es-ES_tradnl"/>
        </w:rPr>
      </w:pPr>
    </w:p>
    <w:p w:rsidR="00883BE9" w:rsidRPr="001B2BD5" w:rsidRDefault="00883BE9" w:rsidP="0066138B">
      <w:pPr>
        <w:rPr>
          <w:lang w:val="es-ES_tradnl"/>
        </w:rPr>
      </w:pPr>
    </w:p>
    <w:p w:rsidR="00883BE9" w:rsidRPr="001B2BD5" w:rsidRDefault="00883BE9" w:rsidP="0066138B">
      <w:pPr>
        <w:rPr>
          <w:lang w:val="es-ES_tradnl"/>
        </w:rPr>
      </w:pPr>
    </w:p>
    <w:p w:rsidR="00883BE9" w:rsidRPr="001B2BD5" w:rsidRDefault="00883BE9" w:rsidP="0066138B">
      <w:pPr>
        <w:rPr>
          <w:lang w:val="es-ES_tradnl"/>
        </w:rPr>
      </w:pPr>
    </w:p>
    <w:p w:rsidR="00883BE9" w:rsidRPr="001B2BD5" w:rsidRDefault="00883BE9" w:rsidP="0066138B">
      <w:pPr>
        <w:rPr>
          <w:b/>
          <w:caps/>
          <w:lang w:val="es-ES_tradnl"/>
        </w:rPr>
      </w:pPr>
      <w:r w:rsidRPr="001B2BD5">
        <w:rPr>
          <w:b/>
          <w:caps/>
          <w:lang w:val="es-ES_tradnl"/>
        </w:rPr>
        <w:t>introduc</w:t>
      </w:r>
      <w:r w:rsidR="00AA3FE4" w:rsidRPr="001B2BD5">
        <w:rPr>
          <w:b/>
          <w:caps/>
          <w:lang w:val="es-ES_tradnl"/>
        </w:rPr>
        <w:t>ción</w:t>
      </w:r>
    </w:p>
    <w:p w:rsidR="00883BE9" w:rsidRPr="001B2BD5" w:rsidRDefault="00883BE9" w:rsidP="0066138B">
      <w:pPr>
        <w:rPr>
          <w:lang w:val="es-ES_tradnl"/>
        </w:rPr>
      </w:pPr>
    </w:p>
    <w:p w:rsidR="00883BE9" w:rsidRPr="001B2BD5" w:rsidRDefault="00AA3FE4" w:rsidP="0066138B">
      <w:pPr>
        <w:pStyle w:val="ONUMFS"/>
        <w:rPr>
          <w:lang w:val="es-ES_tradnl"/>
        </w:rPr>
      </w:pPr>
      <w:r w:rsidRPr="001B2BD5">
        <w:rPr>
          <w:lang w:val="es-ES_tradnl"/>
        </w:rPr>
        <w:t>El presente documento tiene por objeto facilitar el examen por los Estados miembros de las políticas de la OMPI en materia de reservas y políticas conexas</w:t>
      </w:r>
      <w:r w:rsidR="00883BE9" w:rsidRPr="001B2BD5">
        <w:rPr>
          <w:lang w:val="es-ES_tradnl"/>
        </w:rPr>
        <w:t>.</w:t>
      </w:r>
    </w:p>
    <w:p w:rsidR="00883BE9" w:rsidRPr="001B2BD5" w:rsidRDefault="006740C0" w:rsidP="0066138B">
      <w:pPr>
        <w:pStyle w:val="ONUMFS"/>
        <w:rPr>
          <w:lang w:val="es-ES_tradnl"/>
        </w:rPr>
      </w:pPr>
      <w:r w:rsidRPr="001B2BD5">
        <w:rPr>
          <w:lang w:val="es-ES_tradnl"/>
        </w:rPr>
        <w:t xml:space="preserve">En vista de que una buena parte de sus ingresos provienen de </w:t>
      </w:r>
      <w:r w:rsidR="00AA3FE4" w:rsidRPr="001B2BD5">
        <w:rPr>
          <w:lang w:val="es-ES_tradnl"/>
        </w:rPr>
        <w:t>las tasas que percibe por los servicios q</w:t>
      </w:r>
      <w:r w:rsidRPr="001B2BD5">
        <w:rPr>
          <w:lang w:val="es-ES_tradnl"/>
        </w:rPr>
        <w:t xml:space="preserve">ue presta a la economía mundial, la OMPI corre el riesgo de que los </w:t>
      </w:r>
      <w:r w:rsidR="00AA3FE4" w:rsidRPr="001B2BD5">
        <w:rPr>
          <w:lang w:val="es-ES_tradnl"/>
        </w:rPr>
        <w:t xml:space="preserve">ingresos reales puedan ser inferiores a los de las previsiones bienales que constituyen la base </w:t>
      </w:r>
      <w:r w:rsidRPr="001B2BD5">
        <w:rPr>
          <w:lang w:val="es-ES_tradnl"/>
        </w:rPr>
        <w:t xml:space="preserve">para la elaboración </w:t>
      </w:r>
      <w:r w:rsidR="00AA3FE4" w:rsidRPr="001B2BD5">
        <w:rPr>
          <w:lang w:val="es-ES_tradnl"/>
        </w:rPr>
        <w:t xml:space="preserve">del presupuesto bienal.  </w:t>
      </w:r>
      <w:r w:rsidRPr="001B2BD5">
        <w:rPr>
          <w:lang w:val="es-ES_tradnl"/>
        </w:rPr>
        <w:t xml:space="preserve">Existen diversas estrategias para </w:t>
      </w:r>
      <w:r w:rsidR="00AA3FE4" w:rsidRPr="001B2BD5">
        <w:rPr>
          <w:lang w:val="es-ES_tradnl"/>
        </w:rPr>
        <w:t xml:space="preserve">mitigar ese riesgo, entre las cuales </w:t>
      </w:r>
      <w:r w:rsidRPr="001B2BD5">
        <w:rPr>
          <w:lang w:val="es-ES_tradnl"/>
        </w:rPr>
        <w:t>están</w:t>
      </w:r>
      <w:r w:rsidR="00883BE9" w:rsidRPr="001B2BD5">
        <w:rPr>
          <w:lang w:val="es-ES_tradnl"/>
        </w:rPr>
        <w:t xml:space="preserve">:  i) </w:t>
      </w:r>
      <w:r w:rsidRPr="001B2BD5">
        <w:rPr>
          <w:lang w:val="es-ES_tradnl"/>
        </w:rPr>
        <w:t xml:space="preserve">la creación </w:t>
      </w:r>
      <w:r w:rsidR="00AA3FE4" w:rsidRPr="001B2BD5">
        <w:rPr>
          <w:lang w:val="es-ES_tradnl"/>
        </w:rPr>
        <w:t>y utilización de un modelo sólido y fiable que permita pr</w:t>
      </w:r>
      <w:r w:rsidR="000B6F60" w:rsidRPr="001B2BD5">
        <w:rPr>
          <w:lang w:val="es-ES_tradnl"/>
        </w:rPr>
        <w:t>onosticar</w:t>
      </w:r>
      <w:r w:rsidR="00AA3FE4" w:rsidRPr="001B2BD5">
        <w:rPr>
          <w:lang w:val="es-ES_tradnl"/>
        </w:rPr>
        <w:t xml:space="preserve"> los flujos de ingresos del </w:t>
      </w:r>
      <w:r w:rsidR="000B6F60" w:rsidRPr="001B2BD5">
        <w:rPr>
          <w:lang w:val="es-ES_tradnl"/>
        </w:rPr>
        <w:t>PCT y</w:t>
      </w:r>
      <w:r w:rsidR="00883BE9" w:rsidRPr="001B2BD5">
        <w:rPr>
          <w:lang w:val="es-ES_tradnl"/>
        </w:rPr>
        <w:t xml:space="preserve"> </w:t>
      </w:r>
      <w:r w:rsidR="00AA3FE4" w:rsidRPr="001B2BD5">
        <w:rPr>
          <w:lang w:val="es-ES_tradnl"/>
        </w:rPr>
        <w:t xml:space="preserve">de los Sistemas de </w:t>
      </w:r>
      <w:r w:rsidR="00883BE9" w:rsidRPr="001B2BD5">
        <w:rPr>
          <w:lang w:val="es-ES_tradnl"/>
        </w:rPr>
        <w:t xml:space="preserve">Madrid </w:t>
      </w:r>
      <w:r w:rsidR="00AA3FE4" w:rsidRPr="001B2BD5">
        <w:rPr>
          <w:lang w:val="es-ES_tradnl"/>
        </w:rPr>
        <w:t>y La Haya</w:t>
      </w:r>
      <w:r w:rsidR="00883BE9" w:rsidRPr="001B2BD5">
        <w:rPr>
          <w:lang w:val="es-ES_tradnl"/>
        </w:rPr>
        <w:t xml:space="preserve">, </w:t>
      </w:r>
      <w:r w:rsidR="00AA3FE4" w:rsidRPr="001B2BD5">
        <w:rPr>
          <w:lang w:val="es-ES_tradnl"/>
        </w:rPr>
        <w:t xml:space="preserve">que constituyen más del </w:t>
      </w:r>
      <w:r w:rsidR="00883BE9" w:rsidRPr="001B2BD5">
        <w:rPr>
          <w:lang w:val="es-ES_tradnl"/>
        </w:rPr>
        <w:t xml:space="preserve">90 </w:t>
      </w:r>
      <w:r w:rsidR="00AA3FE4" w:rsidRPr="001B2BD5">
        <w:rPr>
          <w:lang w:val="es-ES_tradnl"/>
        </w:rPr>
        <w:t xml:space="preserve">por ciento de </w:t>
      </w:r>
      <w:r w:rsidR="000B6F60" w:rsidRPr="001B2BD5">
        <w:rPr>
          <w:lang w:val="es-ES_tradnl"/>
        </w:rPr>
        <w:t>l</w:t>
      </w:r>
      <w:r w:rsidR="00AA3FE4" w:rsidRPr="001B2BD5">
        <w:rPr>
          <w:lang w:val="es-ES_tradnl"/>
        </w:rPr>
        <w:t>os ingresos generales de la Organización</w:t>
      </w:r>
      <w:r w:rsidR="00883BE9" w:rsidRPr="001B2BD5">
        <w:rPr>
          <w:lang w:val="es-ES_tradnl"/>
        </w:rPr>
        <w:t xml:space="preserve">; </w:t>
      </w:r>
      <w:r w:rsidR="00AA3FE4" w:rsidRPr="001B2BD5">
        <w:rPr>
          <w:lang w:val="es-ES_tradnl"/>
        </w:rPr>
        <w:t xml:space="preserve">y </w:t>
      </w:r>
      <w:r w:rsidR="00883BE9" w:rsidRPr="001B2BD5">
        <w:rPr>
          <w:lang w:val="es-ES_tradnl"/>
        </w:rPr>
        <w:t xml:space="preserve">ii) </w:t>
      </w:r>
      <w:r w:rsidR="00AA3FE4" w:rsidRPr="001B2BD5">
        <w:rPr>
          <w:lang w:val="es-ES_tradnl"/>
        </w:rPr>
        <w:t xml:space="preserve">el establecimiento de políticas y procesos de gestión financiera que posibiliten </w:t>
      </w:r>
      <w:r w:rsidR="000B6F60" w:rsidRPr="001B2BD5">
        <w:rPr>
          <w:lang w:val="es-ES_tradnl"/>
        </w:rPr>
        <w:t>la</w:t>
      </w:r>
      <w:r w:rsidR="00AA3FE4" w:rsidRPr="001B2BD5">
        <w:rPr>
          <w:lang w:val="es-ES_tradnl"/>
        </w:rPr>
        <w:t xml:space="preserve"> supervisión y </w:t>
      </w:r>
      <w:r w:rsidR="000B6F60" w:rsidRPr="001B2BD5">
        <w:rPr>
          <w:lang w:val="es-ES_tradnl"/>
        </w:rPr>
        <w:t>la gestión</w:t>
      </w:r>
      <w:r w:rsidR="00214EEF">
        <w:rPr>
          <w:lang w:val="es-ES_tradnl"/>
        </w:rPr>
        <w:t xml:space="preserve"> </w:t>
      </w:r>
      <w:r w:rsidR="00214EEF" w:rsidRPr="001B2BD5">
        <w:rPr>
          <w:lang w:val="es-ES_tradnl"/>
        </w:rPr>
        <w:t>constante</w:t>
      </w:r>
      <w:r w:rsidR="00214EEF">
        <w:rPr>
          <w:lang w:val="es-ES_tradnl"/>
        </w:rPr>
        <w:t>s</w:t>
      </w:r>
      <w:r w:rsidR="000B6F60" w:rsidRPr="001B2BD5">
        <w:rPr>
          <w:lang w:val="es-ES_tradnl"/>
        </w:rPr>
        <w:t xml:space="preserve"> </w:t>
      </w:r>
      <w:r w:rsidR="00AA3FE4" w:rsidRPr="001B2BD5">
        <w:rPr>
          <w:lang w:val="es-ES_tradnl"/>
        </w:rPr>
        <w:t>de la situación financiera de la Organización</w:t>
      </w:r>
      <w:r w:rsidR="00883BE9" w:rsidRPr="001B2BD5">
        <w:rPr>
          <w:lang w:val="es-ES_tradnl"/>
        </w:rPr>
        <w:t>.</w:t>
      </w:r>
    </w:p>
    <w:p w:rsidR="00883BE9" w:rsidRPr="001B2BD5" w:rsidRDefault="00AA3FE4" w:rsidP="0066138B">
      <w:pPr>
        <w:pStyle w:val="ONUMFS"/>
        <w:rPr>
          <w:lang w:val="es-ES_tradnl"/>
        </w:rPr>
      </w:pPr>
      <w:r w:rsidRPr="001B2BD5">
        <w:rPr>
          <w:lang w:val="es-ES_tradnl"/>
        </w:rPr>
        <w:t xml:space="preserve">En </w:t>
      </w:r>
      <w:r w:rsidR="000B6F60" w:rsidRPr="001B2BD5">
        <w:rPr>
          <w:lang w:val="es-ES_tradnl"/>
        </w:rPr>
        <w:t xml:space="preserve">el ámbito de la </w:t>
      </w:r>
      <w:r w:rsidRPr="001B2BD5">
        <w:rPr>
          <w:lang w:val="es-ES_tradnl"/>
        </w:rPr>
        <w:t xml:space="preserve">gestión financiera, el término </w:t>
      </w:r>
      <w:r w:rsidR="00883BE9" w:rsidRPr="001B2BD5">
        <w:rPr>
          <w:lang w:val="es-ES_tradnl"/>
        </w:rPr>
        <w:t>“</w:t>
      </w:r>
      <w:r w:rsidRPr="001B2BD5">
        <w:rPr>
          <w:lang w:val="es-ES_tradnl"/>
        </w:rPr>
        <w:t xml:space="preserve">reservas” </w:t>
      </w:r>
      <w:r w:rsidR="00051DA5" w:rsidRPr="001B2BD5">
        <w:rPr>
          <w:lang w:val="es-ES_tradnl"/>
        </w:rPr>
        <w:t>tiene varias acepciones</w:t>
      </w:r>
      <w:r w:rsidR="00D61FBF" w:rsidRPr="001B2BD5">
        <w:rPr>
          <w:lang w:val="es-ES_tradnl"/>
        </w:rPr>
        <w:t>.  Puede referirse,</w:t>
      </w:r>
      <w:r w:rsidRPr="001B2BD5">
        <w:rPr>
          <w:lang w:val="es-ES_tradnl"/>
        </w:rPr>
        <w:t xml:space="preserve"> por ejemplo, </w:t>
      </w:r>
      <w:r w:rsidR="00D61FBF" w:rsidRPr="001B2BD5">
        <w:rPr>
          <w:lang w:val="es-ES_tradnl"/>
        </w:rPr>
        <w:t xml:space="preserve">a </w:t>
      </w:r>
      <w:r w:rsidRPr="001B2BD5">
        <w:rPr>
          <w:lang w:val="es-ES_tradnl"/>
        </w:rPr>
        <w:t xml:space="preserve">los fondos que </w:t>
      </w:r>
      <w:r w:rsidR="00A346FA" w:rsidRPr="001B2BD5">
        <w:rPr>
          <w:lang w:val="es-ES_tradnl"/>
        </w:rPr>
        <w:t xml:space="preserve">se </w:t>
      </w:r>
      <w:r w:rsidRPr="001B2BD5">
        <w:rPr>
          <w:lang w:val="es-ES_tradnl"/>
        </w:rPr>
        <w:t xml:space="preserve">reservan para fines especiales </w:t>
      </w:r>
      <w:r w:rsidR="00A346FA" w:rsidRPr="001B2BD5">
        <w:rPr>
          <w:lang w:val="es-ES_tradnl"/>
        </w:rPr>
        <w:t xml:space="preserve">y </w:t>
      </w:r>
      <w:r w:rsidR="00D61FBF" w:rsidRPr="001B2BD5">
        <w:rPr>
          <w:lang w:val="es-ES_tradnl"/>
        </w:rPr>
        <w:t>cuya utilización está sujeta a re</w:t>
      </w:r>
      <w:r w:rsidRPr="001B2BD5">
        <w:rPr>
          <w:lang w:val="es-ES_tradnl"/>
        </w:rPr>
        <w:t>glas espec</w:t>
      </w:r>
      <w:r w:rsidR="00A346FA" w:rsidRPr="001B2BD5">
        <w:rPr>
          <w:lang w:val="es-ES_tradnl"/>
        </w:rPr>
        <w:t>íficas</w:t>
      </w:r>
      <w:r w:rsidR="00883BE9" w:rsidRPr="001B2BD5">
        <w:rPr>
          <w:lang w:val="es-ES_tradnl"/>
        </w:rPr>
        <w:t xml:space="preserve"> </w:t>
      </w:r>
      <w:r w:rsidRPr="001B2BD5">
        <w:rPr>
          <w:lang w:val="es-ES_tradnl"/>
        </w:rPr>
        <w:t xml:space="preserve">o </w:t>
      </w:r>
      <w:r w:rsidR="00D61FBF" w:rsidRPr="001B2BD5">
        <w:rPr>
          <w:lang w:val="es-ES_tradnl"/>
        </w:rPr>
        <w:t>a las</w:t>
      </w:r>
      <w:r w:rsidRPr="001B2BD5">
        <w:rPr>
          <w:lang w:val="es-ES_tradnl"/>
        </w:rPr>
        <w:t xml:space="preserve"> provisiones </w:t>
      </w:r>
      <w:r w:rsidR="00D61FBF" w:rsidRPr="001B2BD5">
        <w:rPr>
          <w:lang w:val="es-ES_tradnl"/>
        </w:rPr>
        <w:t xml:space="preserve">que se crean </w:t>
      </w:r>
      <w:r w:rsidRPr="001B2BD5">
        <w:rPr>
          <w:lang w:val="es-ES_tradnl"/>
        </w:rPr>
        <w:t>para cubrir pasivos futuros</w:t>
      </w:r>
      <w:r w:rsidR="00883BE9" w:rsidRPr="001B2BD5">
        <w:rPr>
          <w:lang w:val="es-ES_tradnl"/>
        </w:rPr>
        <w:t xml:space="preserve">.  </w:t>
      </w:r>
      <w:r w:rsidR="00A346FA" w:rsidRPr="001B2BD5">
        <w:rPr>
          <w:lang w:val="es-ES_tradnl"/>
        </w:rPr>
        <w:t xml:space="preserve">En </w:t>
      </w:r>
      <w:r w:rsidR="00D61FBF" w:rsidRPr="001B2BD5">
        <w:rPr>
          <w:lang w:val="es-ES_tradnl"/>
        </w:rPr>
        <w:t xml:space="preserve">la esfera contable y </w:t>
      </w:r>
      <w:r w:rsidR="00826B93" w:rsidRPr="001B2BD5">
        <w:rPr>
          <w:lang w:val="es-ES_tradnl"/>
        </w:rPr>
        <w:t>financiera</w:t>
      </w:r>
      <w:r w:rsidR="00883BE9" w:rsidRPr="001B2BD5">
        <w:rPr>
          <w:lang w:val="es-ES_tradnl"/>
        </w:rPr>
        <w:t xml:space="preserve">, </w:t>
      </w:r>
      <w:r w:rsidR="00A346FA" w:rsidRPr="001B2BD5">
        <w:rPr>
          <w:lang w:val="es-ES_tradnl"/>
        </w:rPr>
        <w:t xml:space="preserve">las </w:t>
      </w:r>
      <w:r w:rsidR="00826B93" w:rsidRPr="001B2BD5">
        <w:rPr>
          <w:lang w:val="es-ES_tradnl"/>
        </w:rPr>
        <w:t>reservas</w:t>
      </w:r>
      <w:r w:rsidR="00A346FA" w:rsidRPr="001B2BD5">
        <w:rPr>
          <w:lang w:val="es-ES_tradnl"/>
        </w:rPr>
        <w:t xml:space="preserve"> se </w:t>
      </w:r>
      <w:r w:rsidR="00826B93" w:rsidRPr="001B2BD5">
        <w:rPr>
          <w:lang w:val="es-ES_tradnl"/>
        </w:rPr>
        <w:t>definen</w:t>
      </w:r>
      <w:r w:rsidR="00A346FA" w:rsidRPr="001B2BD5">
        <w:rPr>
          <w:lang w:val="es-ES_tradnl"/>
        </w:rPr>
        <w:t xml:space="preserve"> como los </w:t>
      </w:r>
      <w:r w:rsidR="00883BE9" w:rsidRPr="001B2BD5">
        <w:rPr>
          <w:lang w:val="es-ES_tradnl"/>
        </w:rPr>
        <w:t>“</w:t>
      </w:r>
      <w:r w:rsidR="00597865" w:rsidRPr="001B2BD5">
        <w:rPr>
          <w:lang w:val="es-ES_tradnl"/>
        </w:rPr>
        <w:t xml:space="preserve">activos </w:t>
      </w:r>
      <w:r w:rsidR="00A346FA" w:rsidRPr="001B2BD5">
        <w:rPr>
          <w:lang w:val="es-ES_tradnl"/>
        </w:rPr>
        <w:t>netos</w:t>
      </w:r>
      <w:r w:rsidR="00883BE9" w:rsidRPr="001B2BD5">
        <w:rPr>
          <w:lang w:val="es-ES_tradnl"/>
        </w:rPr>
        <w:t>”</w:t>
      </w:r>
      <w:r w:rsidR="00A346FA" w:rsidRPr="001B2BD5">
        <w:rPr>
          <w:lang w:val="es-ES_tradnl"/>
        </w:rPr>
        <w:t xml:space="preserve"> de la</w:t>
      </w:r>
      <w:r w:rsidR="00883BE9" w:rsidRPr="001B2BD5">
        <w:rPr>
          <w:lang w:val="es-ES_tradnl"/>
        </w:rPr>
        <w:t xml:space="preserve"> </w:t>
      </w:r>
      <w:r w:rsidR="00D61FBF" w:rsidRPr="001B2BD5">
        <w:rPr>
          <w:lang w:val="es-ES_tradnl"/>
        </w:rPr>
        <w:t>o</w:t>
      </w:r>
      <w:r w:rsidRPr="001B2BD5">
        <w:rPr>
          <w:lang w:val="es-ES_tradnl"/>
        </w:rPr>
        <w:t>rganización</w:t>
      </w:r>
      <w:r w:rsidR="00883BE9" w:rsidRPr="001B2BD5">
        <w:rPr>
          <w:lang w:val="es-ES_tradnl"/>
        </w:rPr>
        <w:t xml:space="preserve">.  </w:t>
      </w:r>
      <w:r w:rsidR="003313B3" w:rsidRPr="001B2BD5">
        <w:rPr>
          <w:lang w:val="es-ES_tradnl"/>
        </w:rPr>
        <w:t>Una</w:t>
      </w:r>
      <w:r w:rsidR="00597865" w:rsidRPr="001B2BD5">
        <w:rPr>
          <w:lang w:val="es-ES_tradnl"/>
        </w:rPr>
        <w:t xml:space="preserve"> o</w:t>
      </w:r>
      <w:r w:rsidRPr="001B2BD5">
        <w:rPr>
          <w:lang w:val="es-ES_tradnl"/>
        </w:rPr>
        <w:t>rganización</w:t>
      </w:r>
      <w:r w:rsidR="00883BE9" w:rsidRPr="001B2BD5">
        <w:rPr>
          <w:lang w:val="es-ES_tradnl"/>
        </w:rPr>
        <w:t xml:space="preserve"> </w:t>
      </w:r>
      <w:r w:rsidR="003313B3" w:rsidRPr="001B2BD5">
        <w:rPr>
          <w:lang w:val="es-ES_tradnl"/>
        </w:rPr>
        <w:t xml:space="preserve">con </w:t>
      </w:r>
      <w:r w:rsidR="00597865" w:rsidRPr="001B2BD5">
        <w:rPr>
          <w:lang w:val="es-ES_tradnl"/>
        </w:rPr>
        <w:t>una b</w:t>
      </w:r>
      <w:r w:rsidR="00A346FA" w:rsidRPr="001B2BD5">
        <w:rPr>
          <w:lang w:val="es-ES_tradnl"/>
        </w:rPr>
        <w:t xml:space="preserve">uena </w:t>
      </w:r>
      <w:r w:rsidR="00826B93" w:rsidRPr="001B2BD5">
        <w:rPr>
          <w:lang w:val="es-ES_tradnl"/>
        </w:rPr>
        <w:t>gestión</w:t>
      </w:r>
      <w:r w:rsidR="00A346FA" w:rsidRPr="001B2BD5">
        <w:rPr>
          <w:lang w:val="es-ES_tradnl"/>
        </w:rPr>
        <w:t xml:space="preserve"> </w:t>
      </w:r>
      <w:r w:rsidR="00826B93" w:rsidRPr="001B2BD5">
        <w:rPr>
          <w:lang w:val="es-ES_tradnl"/>
        </w:rPr>
        <w:t>financiera</w:t>
      </w:r>
      <w:r w:rsidR="00597865" w:rsidRPr="001B2BD5">
        <w:rPr>
          <w:lang w:val="es-ES_tradnl"/>
        </w:rPr>
        <w:t xml:space="preserve"> trata </w:t>
      </w:r>
      <w:r w:rsidR="00A346FA" w:rsidRPr="001B2BD5">
        <w:rPr>
          <w:lang w:val="es-ES_tradnl"/>
        </w:rPr>
        <w:t xml:space="preserve">de tener un nivel </w:t>
      </w:r>
      <w:r w:rsidR="00883BE9" w:rsidRPr="001B2BD5">
        <w:rPr>
          <w:lang w:val="es-ES_tradnl"/>
        </w:rPr>
        <w:t xml:space="preserve"> “</w:t>
      </w:r>
      <w:r w:rsidR="00A346FA" w:rsidRPr="001B2BD5">
        <w:rPr>
          <w:lang w:val="es-ES_tradnl"/>
        </w:rPr>
        <w:t>saludable</w:t>
      </w:r>
      <w:r w:rsidR="00883BE9" w:rsidRPr="001B2BD5">
        <w:rPr>
          <w:lang w:val="es-ES_tradnl"/>
        </w:rPr>
        <w:t xml:space="preserve">” </w:t>
      </w:r>
      <w:r w:rsidR="00A346FA" w:rsidRPr="001B2BD5">
        <w:rPr>
          <w:lang w:val="es-ES_tradnl"/>
        </w:rPr>
        <w:t xml:space="preserve">de </w:t>
      </w:r>
      <w:r w:rsidR="00597865" w:rsidRPr="001B2BD5">
        <w:rPr>
          <w:lang w:val="es-ES_tradnl"/>
        </w:rPr>
        <w:t xml:space="preserve">activos </w:t>
      </w:r>
      <w:r w:rsidR="00A346FA" w:rsidRPr="001B2BD5">
        <w:rPr>
          <w:lang w:val="es-ES_tradnl"/>
        </w:rPr>
        <w:t>netos.  Ese nivel viene determinado</w:t>
      </w:r>
      <w:r w:rsidR="00597865" w:rsidRPr="001B2BD5">
        <w:rPr>
          <w:lang w:val="es-ES_tradnl"/>
        </w:rPr>
        <w:t>,</w:t>
      </w:r>
      <w:r w:rsidR="00A346FA" w:rsidRPr="001B2BD5">
        <w:rPr>
          <w:lang w:val="es-ES_tradnl"/>
        </w:rPr>
        <w:t xml:space="preserve"> en general, por </w:t>
      </w:r>
      <w:r w:rsidR="00597865" w:rsidRPr="001B2BD5">
        <w:rPr>
          <w:lang w:val="es-ES_tradnl"/>
        </w:rPr>
        <w:t>una serie de factores,</w:t>
      </w:r>
      <w:r w:rsidR="00826B93" w:rsidRPr="001B2BD5">
        <w:rPr>
          <w:lang w:val="es-ES_tradnl"/>
        </w:rPr>
        <w:t xml:space="preserve"> </w:t>
      </w:r>
      <w:r w:rsidR="00A346FA" w:rsidRPr="001B2BD5">
        <w:rPr>
          <w:lang w:val="es-ES_tradnl"/>
        </w:rPr>
        <w:t xml:space="preserve">entre los </w:t>
      </w:r>
      <w:r w:rsidR="00597865" w:rsidRPr="001B2BD5">
        <w:rPr>
          <w:lang w:val="es-ES_tradnl"/>
        </w:rPr>
        <w:t>que se cuentan</w:t>
      </w:r>
      <w:r w:rsidR="00A346FA" w:rsidRPr="001B2BD5">
        <w:rPr>
          <w:lang w:val="es-ES_tradnl"/>
        </w:rPr>
        <w:t xml:space="preserve"> el tamaño de la </w:t>
      </w:r>
      <w:r w:rsidR="003313B3" w:rsidRPr="001B2BD5">
        <w:rPr>
          <w:lang w:val="es-ES_tradnl"/>
        </w:rPr>
        <w:t>o</w:t>
      </w:r>
      <w:r w:rsidRPr="001B2BD5">
        <w:rPr>
          <w:lang w:val="es-ES_tradnl"/>
        </w:rPr>
        <w:t>rganización</w:t>
      </w:r>
      <w:r w:rsidR="00883BE9" w:rsidRPr="001B2BD5">
        <w:rPr>
          <w:lang w:val="es-ES_tradnl"/>
        </w:rPr>
        <w:t xml:space="preserve">, </w:t>
      </w:r>
      <w:r w:rsidR="00A346FA" w:rsidRPr="001B2BD5">
        <w:rPr>
          <w:lang w:val="es-ES_tradnl"/>
        </w:rPr>
        <w:t>su estructura financiera, la naturaleza</w:t>
      </w:r>
      <w:r w:rsidR="00597865" w:rsidRPr="001B2BD5">
        <w:rPr>
          <w:lang w:val="es-ES_tradnl"/>
        </w:rPr>
        <w:t xml:space="preserve"> de sus actividades y </w:t>
      </w:r>
      <w:r w:rsidR="00826B93" w:rsidRPr="001B2BD5">
        <w:rPr>
          <w:lang w:val="es-ES_tradnl"/>
        </w:rPr>
        <w:t>la</w:t>
      </w:r>
      <w:r w:rsidR="00597865" w:rsidRPr="001B2BD5">
        <w:rPr>
          <w:lang w:val="es-ES_tradnl"/>
        </w:rPr>
        <w:t>s</w:t>
      </w:r>
      <w:r w:rsidR="00826B93" w:rsidRPr="001B2BD5">
        <w:rPr>
          <w:lang w:val="es-ES_tradnl"/>
        </w:rPr>
        <w:t xml:space="preserve"> características</w:t>
      </w:r>
      <w:r w:rsidR="00A346FA" w:rsidRPr="001B2BD5">
        <w:rPr>
          <w:lang w:val="es-ES_tradnl"/>
        </w:rPr>
        <w:t xml:space="preserve"> de la </w:t>
      </w:r>
      <w:r w:rsidR="00826B93" w:rsidRPr="001B2BD5">
        <w:rPr>
          <w:lang w:val="es-ES_tradnl"/>
        </w:rPr>
        <w:t>demanda</w:t>
      </w:r>
      <w:r w:rsidR="00A346FA" w:rsidRPr="001B2BD5">
        <w:rPr>
          <w:lang w:val="es-ES_tradnl"/>
        </w:rPr>
        <w:t xml:space="preserve"> de sus productos y </w:t>
      </w:r>
      <w:r w:rsidR="00826B93" w:rsidRPr="001B2BD5">
        <w:rPr>
          <w:lang w:val="es-ES_tradnl"/>
        </w:rPr>
        <w:t>servicios</w:t>
      </w:r>
      <w:r w:rsidR="00883BE9" w:rsidRPr="001B2BD5">
        <w:rPr>
          <w:lang w:val="es-ES_tradnl"/>
        </w:rPr>
        <w:t xml:space="preserve">.  </w:t>
      </w:r>
      <w:r w:rsidR="009837EC" w:rsidRPr="001B2BD5">
        <w:rPr>
          <w:lang w:val="es-ES_tradnl"/>
        </w:rPr>
        <w:t>L</w:t>
      </w:r>
      <w:r w:rsidR="00A346FA" w:rsidRPr="001B2BD5">
        <w:rPr>
          <w:lang w:val="es-ES_tradnl"/>
        </w:rPr>
        <w:t xml:space="preserve">as </w:t>
      </w:r>
      <w:r w:rsidRPr="001B2BD5">
        <w:rPr>
          <w:lang w:val="es-ES_tradnl"/>
        </w:rPr>
        <w:t>organizaciones</w:t>
      </w:r>
      <w:r w:rsidR="00A346FA" w:rsidRPr="001B2BD5">
        <w:rPr>
          <w:lang w:val="es-ES_tradnl"/>
        </w:rPr>
        <w:t xml:space="preserve"> que no tienen acceso a los mercados de </w:t>
      </w:r>
      <w:r w:rsidR="00826B93" w:rsidRPr="001B2BD5">
        <w:rPr>
          <w:lang w:val="es-ES_tradnl"/>
        </w:rPr>
        <w:t>capitales</w:t>
      </w:r>
      <w:r w:rsidR="00A346FA" w:rsidRPr="001B2BD5">
        <w:rPr>
          <w:lang w:val="es-ES_tradnl"/>
        </w:rPr>
        <w:t xml:space="preserve"> y que</w:t>
      </w:r>
      <w:r w:rsidR="009837EC" w:rsidRPr="001B2BD5">
        <w:rPr>
          <w:lang w:val="es-ES_tradnl"/>
        </w:rPr>
        <w:t xml:space="preserve">, </w:t>
      </w:r>
      <w:r w:rsidR="000C4080">
        <w:rPr>
          <w:lang w:val="es-ES_tradnl"/>
        </w:rPr>
        <w:t>por lo tanto</w:t>
      </w:r>
      <w:r w:rsidR="009837EC" w:rsidRPr="001B2BD5">
        <w:rPr>
          <w:lang w:val="es-ES_tradnl"/>
        </w:rPr>
        <w:t xml:space="preserve">, </w:t>
      </w:r>
      <w:r w:rsidR="003313B3" w:rsidRPr="001B2BD5">
        <w:rPr>
          <w:lang w:val="es-ES_tradnl"/>
        </w:rPr>
        <w:t>podrían enfrentarse a una falta de liquidez</w:t>
      </w:r>
      <w:r w:rsidR="00CF6D93" w:rsidRPr="001B2BD5">
        <w:rPr>
          <w:lang w:val="es-ES_tradnl"/>
        </w:rPr>
        <w:t xml:space="preserve"> </w:t>
      </w:r>
      <w:r w:rsidR="00A346FA" w:rsidRPr="001B2BD5">
        <w:rPr>
          <w:lang w:val="es-ES_tradnl"/>
        </w:rPr>
        <w:t xml:space="preserve">durante la realización de sus actividades, </w:t>
      </w:r>
      <w:r w:rsidR="009837EC" w:rsidRPr="001B2BD5">
        <w:rPr>
          <w:lang w:val="es-ES_tradnl"/>
        </w:rPr>
        <w:t xml:space="preserve">además de mantener reservas, </w:t>
      </w:r>
      <w:r w:rsidR="00A346FA" w:rsidRPr="001B2BD5">
        <w:rPr>
          <w:lang w:val="es-ES_tradnl"/>
        </w:rPr>
        <w:t xml:space="preserve">establecen fondos de operaciones para mitigar </w:t>
      </w:r>
      <w:r w:rsidR="009837EC" w:rsidRPr="001B2BD5">
        <w:rPr>
          <w:lang w:val="es-ES_tradnl"/>
        </w:rPr>
        <w:t xml:space="preserve">ese </w:t>
      </w:r>
      <w:r w:rsidR="00A346FA" w:rsidRPr="001B2BD5">
        <w:rPr>
          <w:lang w:val="es-ES_tradnl"/>
        </w:rPr>
        <w:t xml:space="preserve">riesgo.  </w:t>
      </w:r>
      <w:r w:rsidR="00883BE9" w:rsidRPr="001B2BD5">
        <w:rPr>
          <w:lang w:val="es-ES_tradnl"/>
        </w:rPr>
        <w:t xml:space="preserve"> </w:t>
      </w:r>
      <w:r w:rsidR="003313B3" w:rsidRPr="001B2BD5">
        <w:rPr>
          <w:lang w:val="es-ES_tradnl"/>
        </w:rPr>
        <w:t xml:space="preserve">La </w:t>
      </w:r>
      <w:r w:rsidR="009837EC" w:rsidRPr="001B2BD5">
        <w:rPr>
          <w:lang w:val="es-ES_tradnl"/>
        </w:rPr>
        <w:lastRenderedPageBreak/>
        <w:t xml:space="preserve">planificación, gestión y utilización de </w:t>
      </w:r>
      <w:r w:rsidR="00A346FA" w:rsidRPr="001B2BD5">
        <w:rPr>
          <w:lang w:val="es-ES_tradnl"/>
        </w:rPr>
        <w:t>las reservas</w:t>
      </w:r>
      <w:r w:rsidR="009837EC" w:rsidRPr="001B2BD5">
        <w:rPr>
          <w:lang w:val="es-ES_tradnl"/>
        </w:rPr>
        <w:t xml:space="preserve">, así como la presentación de informes </w:t>
      </w:r>
      <w:r w:rsidR="003313B3" w:rsidRPr="001B2BD5">
        <w:rPr>
          <w:lang w:val="es-ES_tradnl"/>
        </w:rPr>
        <w:t>sobre ellas</w:t>
      </w:r>
      <w:r w:rsidR="009837EC" w:rsidRPr="001B2BD5">
        <w:rPr>
          <w:lang w:val="es-ES_tradnl"/>
        </w:rPr>
        <w:t xml:space="preserve">, será determinante para la </w:t>
      </w:r>
      <w:r w:rsidR="00A346FA" w:rsidRPr="001B2BD5">
        <w:rPr>
          <w:lang w:val="es-ES_tradnl"/>
        </w:rPr>
        <w:t>gestión financiera</w:t>
      </w:r>
      <w:r w:rsidR="009837EC" w:rsidRPr="001B2BD5">
        <w:rPr>
          <w:lang w:val="es-ES_tradnl"/>
        </w:rPr>
        <w:t xml:space="preserve"> de la</w:t>
      </w:r>
      <w:r w:rsidR="00A346FA" w:rsidRPr="001B2BD5">
        <w:rPr>
          <w:lang w:val="es-ES_tradnl"/>
        </w:rPr>
        <w:t xml:space="preserve"> </w:t>
      </w:r>
      <w:r w:rsidR="009837EC" w:rsidRPr="001B2BD5">
        <w:rPr>
          <w:lang w:val="es-ES_tradnl"/>
        </w:rPr>
        <w:t>o</w:t>
      </w:r>
      <w:r w:rsidRPr="001B2BD5">
        <w:rPr>
          <w:lang w:val="es-ES_tradnl"/>
        </w:rPr>
        <w:t>rganización</w:t>
      </w:r>
      <w:r w:rsidR="00883BE9" w:rsidRPr="001B2BD5">
        <w:rPr>
          <w:lang w:val="es-ES_tradnl"/>
        </w:rPr>
        <w:t>.</w:t>
      </w:r>
    </w:p>
    <w:p w:rsidR="00883BE9" w:rsidRPr="001B2BD5" w:rsidRDefault="00A346FA" w:rsidP="0066138B">
      <w:pPr>
        <w:rPr>
          <w:b/>
          <w:caps/>
          <w:lang w:val="es-ES_tradnl"/>
        </w:rPr>
      </w:pPr>
      <w:r w:rsidRPr="001B2BD5">
        <w:rPr>
          <w:b/>
          <w:caps/>
          <w:lang w:val="es-ES_tradnl"/>
        </w:rPr>
        <w:t xml:space="preserve">POLITICAS </w:t>
      </w:r>
      <w:r w:rsidR="00AA3FE4" w:rsidRPr="001B2BD5">
        <w:rPr>
          <w:b/>
          <w:caps/>
          <w:lang w:val="es-ES_tradnl"/>
        </w:rPr>
        <w:t xml:space="preserve">de la OMPI </w:t>
      </w:r>
      <w:r w:rsidRPr="001B2BD5">
        <w:rPr>
          <w:b/>
          <w:caps/>
          <w:lang w:val="es-ES_tradnl"/>
        </w:rPr>
        <w:t xml:space="preserve">RELATIVAS A LOS </w:t>
      </w:r>
      <w:r w:rsidR="00AA3FE4" w:rsidRPr="001B2BD5">
        <w:rPr>
          <w:b/>
          <w:caps/>
          <w:lang w:val="es-ES_tradnl"/>
        </w:rPr>
        <w:t xml:space="preserve">Fondos de reserva y </w:t>
      </w:r>
      <w:r w:rsidRPr="001B2BD5">
        <w:rPr>
          <w:b/>
          <w:caps/>
          <w:lang w:val="es-ES_tradnl"/>
        </w:rPr>
        <w:t xml:space="preserve">DE </w:t>
      </w:r>
      <w:r w:rsidR="00AA3FE4" w:rsidRPr="001B2BD5">
        <w:rPr>
          <w:b/>
          <w:caps/>
          <w:lang w:val="es-ES_tradnl"/>
        </w:rPr>
        <w:t>Operaciones</w:t>
      </w:r>
    </w:p>
    <w:p w:rsidR="00883BE9" w:rsidRPr="001B2BD5" w:rsidRDefault="00883BE9" w:rsidP="0066138B">
      <w:pPr>
        <w:rPr>
          <w:lang w:val="es-ES_tradnl"/>
        </w:rPr>
      </w:pPr>
    </w:p>
    <w:p w:rsidR="00883BE9" w:rsidRPr="001B2BD5" w:rsidRDefault="00A346FA" w:rsidP="0066138B">
      <w:pPr>
        <w:pStyle w:val="ONUMFS"/>
        <w:rPr>
          <w:lang w:val="es-ES_tradnl"/>
        </w:rPr>
      </w:pPr>
      <w:r w:rsidRPr="001B2BD5">
        <w:rPr>
          <w:lang w:val="es-ES_tradnl"/>
        </w:rPr>
        <w:t xml:space="preserve">En el caso de la </w:t>
      </w:r>
      <w:r w:rsidR="00AA3FE4" w:rsidRPr="001B2BD5">
        <w:rPr>
          <w:lang w:val="es-ES_tradnl"/>
        </w:rPr>
        <w:t>OMPI</w:t>
      </w:r>
      <w:r w:rsidRPr="001B2BD5">
        <w:rPr>
          <w:lang w:val="es-ES_tradnl"/>
        </w:rPr>
        <w:t xml:space="preserve">, </w:t>
      </w:r>
      <w:r w:rsidR="003B5D3F" w:rsidRPr="001B2BD5">
        <w:rPr>
          <w:lang w:val="es-ES_tradnl"/>
        </w:rPr>
        <w:t xml:space="preserve">los </w:t>
      </w:r>
      <w:r w:rsidRPr="001B2BD5">
        <w:rPr>
          <w:lang w:val="es-ES_tradnl"/>
        </w:rPr>
        <w:t>fondos de reserva y de operaciones</w:t>
      </w:r>
      <w:r w:rsidR="00883BE9" w:rsidRPr="001B2BD5">
        <w:rPr>
          <w:lang w:val="es-ES_tradnl"/>
        </w:rPr>
        <w:t xml:space="preserve"> </w:t>
      </w:r>
      <w:r w:rsidR="003B5D3F" w:rsidRPr="001B2BD5">
        <w:rPr>
          <w:lang w:val="es-ES_tradnl"/>
        </w:rPr>
        <w:t>representan los</w:t>
      </w:r>
      <w:r w:rsidR="00883BE9" w:rsidRPr="001B2BD5">
        <w:rPr>
          <w:lang w:val="es-ES_tradnl"/>
        </w:rPr>
        <w:t xml:space="preserve"> </w:t>
      </w:r>
      <w:r w:rsidR="00597865" w:rsidRPr="001B2BD5">
        <w:rPr>
          <w:lang w:val="es-ES_tradnl"/>
        </w:rPr>
        <w:t xml:space="preserve">activos </w:t>
      </w:r>
      <w:r w:rsidRPr="001B2BD5">
        <w:rPr>
          <w:lang w:val="es-ES_tradnl"/>
        </w:rPr>
        <w:t>netos</w:t>
      </w:r>
      <w:r w:rsidR="00883BE9" w:rsidRPr="001B2BD5">
        <w:rPr>
          <w:lang w:val="es-ES_tradnl"/>
        </w:rPr>
        <w:t xml:space="preserve"> </w:t>
      </w:r>
      <w:r w:rsidR="003B5D3F" w:rsidRPr="001B2BD5">
        <w:rPr>
          <w:lang w:val="es-ES_tradnl"/>
        </w:rPr>
        <w:t xml:space="preserve">de la </w:t>
      </w:r>
      <w:r w:rsidR="00AA3FE4" w:rsidRPr="001B2BD5">
        <w:rPr>
          <w:lang w:val="es-ES_tradnl"/>
        </w:rPr>
        <w:t>Organización</w:t>
      </w:r>
      <w:r w:rsidR="00883BE9" w:rsidRPr="001B2BD5">
        <w:rPr>
          <w:lang w:val="es-ES_tradnl"/>
        </w:rPr>
        <w:t xml:space="preserve">, </w:t>
      </w:r>
      <w:r w:rsidR="003B5D3F" w:rsidRPr="001B2BD5">
        <w:rPr>
          <w:lang w:val="es-ES_tradnl"/>
        </w:rPr>
        <w:t>es decir, la diferencia entre el total de activos y el total de pasivos</w:t>
      </w:r>
      <w:r w:rsidR="00883BE9" w:rsidRPr="001B2BD5">
        <w:rPr>
          <w:lang w:val="es-ES_tradnl"/>
        </w:rPr>
        <w:t xml:space="preserve">.  </w:t>
      </w:r>
      <w:r w:rsidR="003B5D3F" w:rsidRPr="001B2BD5">
        <w:rPr>
          <w:lang w:val="es-ES_tradnl"/>
        </w:rPr>
        <w:t xml:space="preserve">El </w:t>
      </w:r>
      <w:r w:rsidR="00AA3FE4" w:rsidRPr="001B2BD5">
        <w:rPr>
          <w:lang w:val="es-ES_tradnl"/>
        </w:rPr>
        <w:t>Reglamento Financiero y Reglamentación Financiera de la OMPI</w:t>
      </w:r>
      <w:r w:rsidR="003B5D3F" w:rsidRPr="001B2BD5">
        <w:rPr>
          <w:lang w:val="es-ES_tradnl"/>
        </w:rPr>
        <w:t xml:space="preserve"> define </w:t>
      </w:r>
      <w:r w:rsidR="003313B3" w:rsidRPr="001B2BD5">
        <w:rPr>
          <w:lang w:val="es-ES_tradnl"/>
        </w:rPr>
        <w:t xml:space="preserve">los </w:t>
      </w:r>
      <w:r w:rsidR="003B5D3F" w:rsidRPr="001B2BD5">
        <w:rPr>
          <w:lang w:val="es-ES_tradnl"/>
        </w:rPr>
        <w:t xml:space="preserve">dos componentes específicos de los </w:t>
      </w:r>
      <w:r w:rsidRPr="001B2BD5">
        <w:rPr>
          <w:lang w:val="es-ES_tradnl"/>
        </w:rPr>
        <w:t xml:space="preserve">fondos de reserva y de operaciones de la </w:t>
      </w:r>
      <w:r w:rsidR="003B5D3F" w:rsidRPr="001B2BD5">
        <w:rPr>
          <w:lang w:val="es-ES_tradnl"/>
        </w:rPr>
        <w:t>O</w:t>
      </w:r>
      <w:r w:rsidR="00AA3FE4" w:rsidRPr="001B2BD5">
        <w:rPr>
          <w:lang w:val="es-ES_tradnl"/>
        </w:rPr>
        <w:t>rganización</w:t>
      </w:r>
      <w:r w:rsidR="003B5D3F" w:rsidRPr="001B2BD5">
        <w:rPr>
          <w:lang w:val="es-ES_tradnl"/>
        </w:rPr>
        <w:t xml:space="preserve"> como sigue</w:t>
      </w:r>
      <w:r w:rsidR="00883BE9" w:rsidRPr="001B2BD5">
        <w:rPr>
          <w:lang w:val="es-ES_tradnl"/>
        </w:rPr>
        <w:t>:</w:t>
      </w:r>
    </w:p>
    <w:p w:rsidR="00883BE9" w:rsidRPr="001B2BD5" w:rsidRDefault="00CF6D93" w:rsidP="0066138B">
      <w:pPr>
        <w:numPr>
          <w:ilvl w:val="0"/>
          <w:numId w:val="10"/>
        </w:numPr>
        <w:tabs>
          <w:tab w:val="clear" w:pos="720"/>
          <w:tab w:val="num" w:pos="-567"/>
        </w:tabs>
        <w:spacing w:after="120"/>
        <w:ind w:left="567" w:hanging="283"/>
        <w:rPr>
          <w:lang w:val="es-ES_tradnl"/>
        </w:rPr>
      </w:pPr>
      <w:r w:rsidRPr="001B2BD5">
        <w:rPr>
          <w:szCs w:val="22"/>
          <w:lang w:val="es-ES_tradnl"/>
        </w:rPr>
        <w:t>“</w:t>
      </w:r>
      <w:r w:rsidR="003B5D3F" w:rsidRPr="001B2BD5">
        <w:rPr>
          <w:szCs w:val="22"/>
          <w:lang w:val="es-ES_tradnl"/>
        </w:rPr>
        <w:t>Se entenderá por “</w:t>
      </w:r>
      <w:r w:rsidR="003B5D3F" w:rsidRPr="001B2BD5">
        <w:rPr>
          <w:b/>
          <w:szCs w:val="22"/>
          <w:lang w:val="es-ES_tradnl"/>
        </w:rPr>
        <w:t>fondos de reserva</w:t>
      </w:r>
      <w:r w:rsidR="003B5D3F" w:rsidRPr="001B2BD5">
        <w:rPr>
          <w:szCs w:val="22"/>
          <w:lang w:val="es-ES_tradnl"/>
        </w:rPr>
        <w:t xml:space="preserve">” los fondos establecidos por las Asambleas de los Estados miembros y de las Uniones, cada una en lo que le concierna, en los que deberá depositarse el excedente de ingresos en concepto de tasas una vez descontados los importes necesarios para financiar las consignaciones del presupuesto por programas. Los fondos de reserva serán utilizados en la manera que decidan las Asambleas de los Estados miembros y de las Uniones, </w:t>
      </w:r>
      <w:r w:rsidRPr="001B2BD5">
        <w:rPr>
          <w:szCs w:val="22"/>
          <w:lang w:val="es-ES_tradnl"/>
        </w:rPr>
        <w:t xml:space="preserve">cada una en lo que le  concierna.” </w:t>
      </w:r>
      <w:r w:rsidR="00883BE9" w:rsidRPr="001B2BD5">
        <w:rPr>
          <w:i/>
          <w:lang w:val="es-ES_tradnl"/>
        </w:rPr>
        <w:t>(</w:t>
      </w:r>
      <w:r w:rsidRPr="001B2BD5">
        <w:rPr>
          <w:i/>
          <w:lang w:val="es-ES_tradnl"/>
        </w:rPr>
        <w:t>Regla 101.3</w:t>
      </w:r>
      <w:r w:rsidR="00353DEE" w:rsidRPr="001B2BD5">
        <w:rPr>
          <w:i/>
          <w:lang w:val="es-ES_tradnl"/>
        </w:rPr>
        <w:t>.</w:t>
      </w:r>
      <w:r w:rsidR="00883BE9" w:rsidRPr="001B2BD5">
        <w:rPr>
          <w:i/>
          <w:lang w:val="es-ES_tradnl"/>
        </w:rPr>
        <w:t>n))</w:t>
      </w:r>
      <w:r w:rsidR="00883BE9" w:rsidRPr="001B2BD5">
        <w:rPr>
          <w:lang w:val="es-ES_tradnl"/>
        </w:rPr>
        <w:t xml:space="preserve">;  </w:t>
      </w:r>
      <w:r w:rsidRPr="001B2BD5">
        <w:rPr>
          <w:lang w:val="es-ES_tradnl"/>
        </w:rPr>
        <w:t>y</w:t>
      </w:r>
    </w:p>
    <w:p w:rsidR="00883BE9" w:rsidRPr="001B2BD5" w:rsidRDefault="00CF6D93" w:rsidP="0066138B">
      <w:pPr>
        <w:numPr>
          <w:ilvl w:val="0"/>
          <w:numId w:val="10"/>
        </w:numPr>
        <w:tabs>
          <w:tab w:val="clear" w:pos="720"/>
          <w:tab w:val="num" w:pos="567"/>
        </w:tabs>
        <w:spacing w:after="120"/>
        <w:ind w:left="567" w:hanging="283"/>
        <w:rPr>
          <w:lang w:val="es-ES_tradnl"/>
        </w:rPr>
      </w:pPr>
      <w:r w:rsidRPr="001B2BD5">
        <w:rPr>
          <w:szCs w:val="22"/>
          <w:lang w:val="es-ES_tradnl"/>
        </w:rPr>
        <w:t>Se entenderá por “</w:t>
      </w:r>
      <w:r w:rsidRPr="001B2BD5">
        <w:rPr>
          <w:b/>
          <w:szCs w:val="22"/>
          <w:lang w:val="es-ES_tradnl"/>
        </w:rPr>
        <w:t>fondos de operaciones</w:t>
      </w:r>
      <w:r w:rsidRPr="001B2BD5">
        <w:rPr>
          <w:szCs w:val="22"/>
          <w:lang w:val="es-ES_tradnl"/>
        </w:rPr>
        <w:t xml:space="preserve">” los fondos establecidos para financiar por anticipado las consignaciones en caso de que se produzca un déficit provisional de tesorería y para otro tipo de fines que decidan las Asambleas de los Estados miembros y de las Uniones, cada una en lo que le concierna. </w:t>
      </w:r>
      <w:r w:rsidR="00883BE9" w:rsidRPr="001B2BD5">
        <w:rPr>
          <w:i/>
          <w:lang w:val="es-ES_tradnl"/>
        </w:rPr>
        <w:t>(</w:t>
      </w:r>
      <w:r w:rsidRPr="001B2BD5">
        <w:rPr>
          <w:i/>
          <w:lang w:val="es-ES_tradnl"/>
        </w:rPr>
        <w:t xml:space="preserve">Regla </w:t>
      </w:r>
      <w:r w:rsidR="00883BE9" w:rsidRPr="001B2BD5">
        <w:rPr>
          <w:i/>
          <w:lang w:val="es-ES_tradnl"/>
        </w:rPr>
        <w:t>101.3</w:t>
      </w:r>
      <w:r w:rsidR="00353DEE" w:rsidRPr="001B2BD5">
        <w:rPr>
          <w:i/>
          <w:lang w:val="es-ES_tradnl"/>
        </w:rPr>
        <w:t>.</w:t>
      </w:r>
      <w:r w:rsidR="00883BE9" w:rsidRPr="001B2BD5">
        <w:rPr>
          <w:i/>
          <w:lang w:val="es-ES_tradnl"/>
        </w:rPr>
        <w:t xml:space="preserve">q) </w:t>
      </w:r>
      <w:r w:rsidRPr="001B2BD5">
        <w:rPr>
          <w:i/>
          <w:lang w:val="es-ES_tradnl"/>
        </w:rPr>
        <w:t xml:space="preserve">y Artículo </w:t>
      </w:r>
      <w:r w:rsidR="00883BE9" w:rsidRPr="001B2BD5">
        <w:rPr>
          <w:i/>
          <w:lang w:val="es-ES_tradnl"/>
        </w:rPr>
        <w:t>4.3)</w:t>
      </w:r>
      <w:r w:rsidR="00883BE9" w:rsidRPr="001B2BD5">
        <w:rPr>
          <w:lang w:val="es-ES_tradnl"/>
        </w:rPr>
        <w:t>.</w:t>
      </w:r>
    </w:p>
    <w:p w:rsidR="00883BE9" w:rsidRPr="001B2BD5" w:rsidRDefault="00353DEE" w:rsidP="0066138B">
      <w:pPr>
        <w:pStyle w:val="ONUMFS"/>
        <w:rPr>
          <w:lang w:val="es-ES_tradnl"/>
        </w:rPr>
      </w:pPr>
      <w:r w:rsidRPr="001B2BD5">
        <w:rPr>
          <w:lang w:val="es-ES_tradnl"/>
        </w:rPr>
        <w:t xml:space="preserve">A lo largo de los años, en la OMPI y en </w:t>
      </w:r>
      <w:r w:rsidR="00CF6D93" w:rsidRPr="001B2BD5">
        <w:rPr>
          <w:lang w:val="es-ES_tradnl"/>
        </w:rPr>
        <w:t xml:space="preserve">las </w:t>
      </w:r>
      <w:r w:rsidR="00ED0A3C" w:rsidRPr="001B2BD5">
        <w:rPr>
          <w:lang w:val="es-ES_tradnl"/>
        </w:rPr>
        <w:t>organizaciones</w:t>
      </w:r>
      <w:r w:rsidR="00CF6D93" w:rsidRPr="001B2BD5">
        <w:rPr>
          <w:lang w:val="es-ES_tradnl"/>
        </w:rPr>
        <w:t xml:space="preserve"> q</w:t>
      </w:r>
      <w:r w:rsidR="00ED0A3C" w:rsidRPr="001B2BD5">
        <w:rPr>
          <w:lang w:val="es-ES_tradnl"/>
        </w:rPr>
        <w:t>u</w:t>
      </w:r>
      <w:r w:rsidRPr="001B2BD5">
        <w:rPr>
          <w:lang w:val="es-ES_tradnl"/>
        </w:rPr>
        <w:t xml:space="preserve">e la precedieron </w:t>
      </w:r>
      <w:r w:rsidR="00ED180D" w:rsidRPr="001B2BD5">
        <w:rPr>
          <w:lang w:val="es-ES_tradnl"/>
        </w:rPr>
        <w:t xml:space="preserve">se ha venido utilizando </w:t>
      </w:r>
      <w:r w:rsidRPr="001B2BD5">
        <w:rPr>
          <w:lang w:val="es-ES_tradnl"/>
        </w:rPr>
        <w:t>un</w:t>
      </w:r>
      <w:r w:rsidR="00CF6D93" w:rsidRPr="001B2BD5">
        <w:rPr>
          <w:lang w:val="es-ES_tradnl"/>
        </w:rPr>
        <w:t xml:space="preserve"> complejo sistema de fondos de reserva y de </w:t>
      </w:r>
      <w:r w:rsidR="00ED0A3C" w:rsidRPr="001B2BD5">
        <w:rPr>
          <w:lang w:val="es-ES_tradnl"/>
        </w:rPr>
        <w:t>operaciones</w:t>
      </w:r>
      <w:r w:rsidR="00CF6D93" w:rsidRPr="001B2BD5">
        <w:rPr>
          <w:lang w:val="es-ES_tradnl"/>
        </w:rPr>
        <w:t xml:space="preserve"> para las Uniones</w:t>
      </w:r>
      <w:r w:rsidR="00883BE9" w:rsidRPr="001B2BD5">
        <w:rPr>
          <w:lang w:val="es-ES_tradnl"/>
        </w:rPr>
        <w:t xml:space="preserve">, </w:t>
      </w:r>
      <w:r w:rsidR="00F6083E" w:rsidRPr="001B2BD5">
        <w:rPr>
          <w:lang w:val="es-ES_tradnl"/>
        </w:rPr>
        <w:t>como</w:t>
      </w:r>
      <w:r w:rsidR="00ED0A3C" w:rsidRPr="001B2BD5">
        <w:rPr>
          <w:lang w:val="es-ES_tradnl"/>
        </w:rPr>
        <w:t xml:space="preserve"> parte del proceso de aplicación de los </w:t>
      </w:r>
      <w:r w:rsidR="00F6083E" w:rsidRPr="001B2BD5">
        <w:rPr>
          <w:lang w:val="es-ES_tradnl"/>
        </w:rPr>
        <w:t>acuerdos</w:t>
      </w:r>
      <w:r w:rsidR="00ED0A3C" w:rsidRPr="001B2BD5">
        <w:rPr>
          <w:lang w:val="es-ES_tradnl"/>
        </w:rPr>
        <w:t xml:space="preserve"> y tratados internacional</w:t>
      </w:r>
      <w:r w:rsidRPr="001B2BD5">
        <w:rPr>
          <w:lang w:val="es-ES_tradnl"/>
        </w:rPr>
        <w:t>es.  La evolución de</w:t>
      </w:r>
      <w:r w:rsidR="00ED0A3C" w:rsidRPr="001B2BD5">
        <w:rPr>
          <w:lang w:val="es-ES_tradnl"/>
        </w:rPr>
        <w:t xml:space="preserve"> las </w:t>
      </w:r>
      <w:r w:rsidR="00F6083E" w:rsidRPr="001B2BD5">
        <w:rPr>
          <w:lang w:val="es-ES_tradnl"/>
        </w:rPr>
        <w:t>Uniones</w:t>
      </w:r>
      <w:r w:rsidR="00ED0A3C" w:rsidRPr="001B2BD5">
        <w:rPr>
          <w:lang w:val="es-ES_tradnl"/>
        </w:rPr>
        <w:t xml:space="preserve"> de la </w:t>
      </w:r>
      <w:r w:rsidR="00AA3FE4" w:rsidRPr="001B2BD5">
        <w:rPr>
          <w:lang w:val="es-ES_tradnl"/>
        </w:rPr>
        <w:t>OMPI</w:t>
      </w:r>
      <w:r w:rsidR="00ED0A3C" w:rsidRPr="001B2BD5">
        <w:rPr>
          <w:lang w:val="es-ES_tradnl"/>
        </w:rPr>
        <w:t xml:space="preserve">, </w:t>
      </w:r>
      <w:r w:rsidR="00ED180D" w:rsidRPr="001B2BD5">
        <w:rPr>
          <w:lang w:val="es-ES_tradnl"/>
        </w:rPr>
        <w:t xml:space="preserve">que han experimentado </w:t>
      </w:r>
      <w:r w:rsidR="005E0723" w:rsidRPr="001B2BD5">
        <w:rPr>
          <w:lang w:val="es-ES_tradnl"/>
        </w:rPr>
        <w:t xml:space="preserve">ritmos de crecimiento distintos y </w:t>
      </w:r>
      <w:r w:rsidR="00ED180D" w:rsidRPr="001B2BD5">
        <w:rPr>
          <w:lang w:val="es-ES_tradnl"/>
        </w:rPr>
        <w:t>se enfrentan a</w:t>
      </w:r>
      <w:r w:rsidR="005E0723" w:rsidRPr="001B2BD5">
        <w:rPr>
          <w:lang w:val="es-ES_tradnl"/>
        </w:rPr>
        <w:t xml:space="preserve"> riesgos </w:t>
      </w:r>
      <w:r w:rsidR="00ED180D" w:rsidRPr="001B2BD5">
        <w:rPr>
          <w:lang w:val="es-ES_tradnl"/>
        </w:rPr>
        <w:t xml:space="preserve">específicos, </w:t>
      </w:r>
      <w:r w:rsidR="00ED0A3C" w:rsidRPr="001B2BD5">
        <w:rPr>
          <w:lang w:val="es-ES_tradnl"/>
        </w:rPr>
        <w:t xml:space="preserve">no </w:t>
      </w:r>
      <w:r w:rsidR="00ED180D" w:rsidRPr="001B2BD5">
        <w:rPr>
          <w:lang w:val="es-ES_tradnl"/>
        </w:rPr>
        <w:t xml:space="preserve">ha quedado </w:t>
      </w:r>
      <w:r w:rsidR="00ED0A3C" w:rsidRPr="001B2BD5">
        <w:rPr>
          <w:lang w:val="es-ES_tradnl"/>
        </w:rPr>
        <w:t xml:space="preserve">adecuadamente </w:t>
      </w:r>
      <w:r w:rsidR="00ED180D" w:rsidRPr="001B2BD5">
        <w:rPr>
          <w:lang w:val="es-ES_tradnl"/>
        </w:rPr>
        <w:t xml:space="preserve">reflejada </w:t>
      </w:r>
      <w:r w:rsidR="00ED0A3C" w:rsidRPr="001B2BD5">
        <w:rPr>
          <w:lang w:val="es-ES_tradnl"/>
        </w:rPr>
        <w:t xml:space="preserve">en el nivel de </w:t>
      </w:r>
      <w:r w:rsidR="00F6083E" w:rsidRPr="001B2BD5">
        <w:rPr>
          <w:lang w:val="es-ES_tradnl"/>
        </w:rPr>
        <w:t>reservas</w:t>
      </w:r>
      <w:r w:rsidR="00ED0A3C" w:rsidRPr="001B2BD5">
        <w:rPr>
          <w:lang w:val="es-ES_tradnl"/>
        </w:rPr>
        <w:t xml:space="preserve"> de las Uniones</w:t>
      </w:r>
      <w:r w:rsidR="00883BE9" w:rsidRPr="001B2BD5">
        <w:rPr>
          <w:lang w:val="es-ES_tradnl"/>
        </w:rPr>
        <w:t xml:space="preserve">.  </w:t>
      </w:r>
      <w:r w:rsidR="00F6083E" w:rsidRPr="001B2BD5">
        <w:rPr>
          <w:lang w:val="es-ES_tradnl"/>
        </w:rPr>
        <w:t>Asimismo</w:t>
      </w:r>
      <w:r w:rsidR="00ED0A3C" w:rsidRPr="001B2BD5">
        <w:rPr>
          <w:lang w:val="es-ES_tradnl"/>
        </w:rPr>
        <w:t xml:space="preserve">, los </w:t>
      </w:r>
      <w:r w:rsidR="00A346FA" w:rsidRPr="001B2BD5">
        <w:rPr>
          <w:lang w:val="es-ES_tradnl"/>
        </w:rPr>
        <w:t xml:space="preserve">fondos de operaciones </w:t>
      </w:r>
      <w:r w:rsidR="00ED0A3C" w:rsidRPr="001B2BD5">
        <w:rPr>
          <w:lang w:val="es-ES_tradnl"/>
        </w:rPr>
        <w:t>de las Uniones</w:t>
      </w:r>
      <w:r w:rsidR="00883BE9" w:rsidRPr="001B2BD5">
        <w:rPr>
          <w:lang w:val="es-ES_tradnl"/>
        </w:rPr>
        <w:t xml:space="preserve">, </w:t>
      </w:r>
      <w:r w:rsidR="00ED0A3C" w:rsidRPr="001B2BD5">
        <w:rPr>
          <w:lang w:val="es-ES_tradnl"/>
        </w:rPr>
        <w:t xml:space="preserve">que se </w:t>
      </w:r>
      <w:r w:rsidR="00F6083E" w:rsidRPr="001B2BD5">
        <w:rPr>
          <w:lang w:val="es-ES_tradnl"/>
        </w:rPr>
        <w:t>crearon</w:t>
      </w:r>
      <w:r w:rsidR="00ED0A3C" w:rsidRPr="001B2BD5">
        <w:rPr>
          <w:lang w:val="es-ES_tradnl"/>
        </w:rPr>
        <w:t xml:space="preserve"> en la </w:t>
      </w:r>
      <w:r w:rsidR="00F6083E" w:rsidRPr="001B2BD5">
        <w:rPr>
          <w:lang w:val="es-ES_tradnl"/>
        </w:rPr>
        <w:t>época</w:t>
      </w:r>
      <w:r w:rsidR="00ED0A3C" w:rsidRPr="001B2BD5">
        <w:rPr>
          <w:lang w:val="es-ES_tradnl"/>
        </w:rPr>
        <w:t xml:space="preserve"> en que </w:t>
      </w:r>
      <w:r w:rsidR="00065126" w:rsidRPr="001B2BD5">
        <w:rPr>
          <w:lang w:val="es-ES_tradnl"/>
        </w:rPr>
        <w:t xml:space="preserve">estas </w:t>
      </w:r>
      <w:r w:rsidR="00ED0A3C" w:rsidRPr="001B2BD5">
        <w:rPr>
          <w:lang w:val="es-ES_tradnl"/>
        </w:rPr>
        <w:t>comenzaron a funcionar</w:t>
      </w:r>
      <w:r w:rsidR="00065126" w:rsidRPr="001B2BD5">
        <w:rPr>
          <w:lang w:val="es-ES_tradnl"/>
        </w:rPr>
        <w:t>,</w:t>
      </w:r>
      <w:r w:rsidR="00ED0A3C" w:rsidRPr="001B2BD5">
        <w:rPr>
          <w:lang w:val="es-ES_tradnl"/>
        </w:rPr>
        <w:t xml:space="preserve"> se </w:t>
      </w:r>
      <w:r w:rsidR="00ED180D" w:rsidRPr="001B2BD5">
        <w:rPr>
          <w:lang w:val="es-ES_tradnl"/>
        </w:rPr>
        <w:t>han  mantenido</w:t>
      </w:r>
      <w:r w:rsidR="00ED0A3C" w:rsidRPr="001B2BD5">
        <w:rPr>
          <w:lang w:val="es-ES_tradnl"/>
        </w:rPr>
        <w:t xml:space="preserve"> </w:t>
      </w:r>
      <w:r w:rsidR="00F6083E" w:rsidRPr="001B2BD5">
        <w:rPr>
          <w:lang w:val="es-ES_tradnl"/>
        </w:rPr>
        <w:t>estáticos</w:t>
      </w:r>
      <w:r w:rsidR="00065126" w:rsidRPr="001B2BD5">
        <w:rPr>
          <w:lang w:val="es-ES_tradnl"/>
        </w:rPr>
        <w:t>, sin a</w:t>
      </w:r>
      <w:r w:rsidR="00ED180D" w:rsidRPr="001B2BD5">
        <w:rPr>
          <w:lang w:val="es-ES_tradnl"/>
        </w:rPr>
        <w:t>justarse</w:t>
      </w:r>
      <w:r w:rsidR="00065126" w:rsidRPr="001B2BD5">
        <w:rPr>
          <w:lang w:val="es-ES_tradnl"/>
        </w:rPr>
        <w:t xml:space="preserve"> a l</w:t>
      </w:r>
      <w:r w:rsidR="00ED0A3C" w:rsidRPr="001B2BD5">
        <w:rPr>
          <w:lang w:val="es-ES_tradnl"/>
        </w:rPr>
        <w:t xml:space="preserve">as </w:t>
      </w:r>
      <w:r w:rsidR="00F6083E" w:rsidRPr="001B2BD5">
        <w:rPr>
          <w:lang w:val="es-ES_tradnl"/>
        </w:rPr>
        <w:t>necesidades</w:t>
      </w:r>
      <w:r w:rsidR="00ED0A3C" w:rsidRPr="001B2BD5">
        <w:rPr>
          <w:lang w:val="es-ES_tradnl"/>
        </w:rPr>
        <w:t xml:space="preserve"> </w:t>
      </w:r>
      <w:r w:rsidR="00065126" w:rsidRPr="001B2BD5">
        <w:rPr>
          <w:lang w:val="es-ES_tradnl"/>
        </w:rPr>
        <w:t xml:space="preserve">cambiantes </w:t>
      </w:r>
      <w:r w:rsidR="00ED0A3C" w:rsidRPr="001B2BD5">
        <w:rPr>
          <w:lang w:val="es-ES_tradnl"/>
        </w:rPr>
        <w:t xml:space="preserve">de </w:t>
      </w:r>
      <w:r w:rsidR="00ED180D" w:rsidRPr="001B2BD5">
        <w:rPr>
          <w:lang w:val="es-ES_tradnl"/>
        </w:rPr>
        <w:t>liquidez</w:t>
      </w:r>
      <w:r w:rsidR="00883BE9" w:rsidRPr="001B2BD5">
        <w:rPr>
          <w:lang w:val="es-ES_tradnl"/>
        </w:rPr>
        <w:t>.</w:t>
      </w:r>
    </w:p>
    <w:p w:rsidR="00883BE9" w:rsidRPr="001B2BD5" w:rsidRDefault="00ED180D" w:rsidP="0066138B">
      <w:pPr>
        <w:pStyle w:val="ONUMFS"/>
        <w:rPr>
          <w:lang w:val="es-ES_tradnl"/>
        </w:rPr>
      </w:pPr>
      <w:r w:rsidRPr="001B2BD5">
        <w:rPr>
          <w:lang w:val="es-ES_tradnl"/>
        </w:rPr>
        <w:t>Conscientes de e</w:t>
      </w:r>
      <w:r w:rsidR="00065126" w:rsidRPr="001B2BD5">
        <w:rPr>
          <w:lang w:val="es-ES_tradnl"/>
        </w:rPr>
        <w:t>stas deficiencias</w:t>
      </w:r>
      <w:r w:rsidRPr="001B2BD5">
        <w:rPr>
          <w:lang w:val="es-ES_tradnl"/>
        </w:rPr>
        <w:t>, los Estados miembros examinaron</w:t>
      </w:r>
      <w:r w:rsidR="00065126" w:rsidRPr="001B2BD5">
        <w:rPr>
          <w:lang w:val="es-ES_tradnl"/>
        </w:rPr>
        <w:t xml:space="preserve"> y aprobar</w:t>
      </w:r>
      <w:r w:rsidRPr="001B2BD5">
        <w:rPr>
          <w:lang w:val="es-ES_tradnl"/>
        </w:rPr>
        <w:t>on</w:t>
      </w:r>
      <w:r w:rsidR="00065126" w:rsidRPr="001B2BD5">
        <w:rPr>
          <w:lang w:val="es-ES_tradnl"/>
        </w:rPr>
        <w:t xml:space="preserve"> </w:t>
      </w:r>
      <w:r w:rsidRPr="001B2BD5">
        <w:rPr>
          <w:lang w:val="es-ES_tradnl"/>
        </w:rPr>
        <w:t xml:space="preserve">en 2000 </w:t>
      </w:r>
      <w:r w:rsidR="00065126" w:rsidRPr="001B2BD5">
        <w:rPr>
          <w:lang w:val="es-ES_tradnl"/>
        </w:rPr>
        <w:t>la propuesta de mantener un nivel adecuado</w:t>
      </w:r>
      <w:r w:rsidR="00883BE9" w:rsidRPr="001B2BD5">
        <w:rPr>
          <w:lang w:val="es-ES_tradnl"/>
        </w:rPr>
        <w:t xml:space="preserve"> (</w:t>
      </w:r>
      <w:r w:rsidR="00504493" w:rsidRPr="001B2BD5">
        <w:rPr>
          <w:lang w:val="es-ES_tradnl"/>
        </w:rPr>
        <w:t>previsión</w:t>
      </w:r>
      <w:r w:rsidR="00065126" w:rsidRPr="001B2BD5">
        <w:rPr>
          <w:lang w:val="es-ES_tradnl"/>
        </w:rPr>
        <w:t>)</w:t>
      </w:r>
      <w:r w:rsidR="00883BE9" w:rsidRPr="001B2BD5">
        <w:rPr>
          <w:lang w:val="es-ES_tradnl"/>
        </w:rPr>
        <w:t xml:space="preserve"> </w:t>
      </w:r>
      <w:r w:rsidR="00065126" w:rsidRPr="001B2BD5">
        <w:rPr>
          <w:lang w:val="es-ES_tradnl"/>
        </w:rPr>
        <w:t>de</w:t>
      </w:r>
      <w:r w:rsidR="00883BE9" w:rsidRPr="001B2BD5">
        <w:rPr>
          <w:lang w:val="es-ES_tradnl"/>
        </w:rPr>
        <w:t xml:space="preserve"> </w:t>
      </w:r>
      <w:r w:rsidR="00065126" w:rsidRPr="001B2BD5">
        <w:rPr>
          <w:lang w:val="es-ES_tradnl"/>
        </w:rPr>
        <w:t xml:space="preserve">fondos de </w:t>
      </w:r>
      <w:r w:rsidR="00AA3FE4" w:rsidRPr="001B2BD5">
        <w:rPr>
          <w:lang w:val="es-ES_tradnl"/>
        </w:rPr>
        <w:t>reserva</w:t>
      </w:r>
      <w:r w:rsidR="00065126" w:rsidRPr="001B2BD5">
        <w:rPr>
          <w:lang w:val="es-ES_tradnl"/>
        </w:rPr>
        <w:t xml:space="preserve"> y de operaciones que reflejara mejor los riesgos y </w:t>
      </w:r>
      <w:r w:rsidR="00504493" w:rsidRPr="001B2BD5">
        <w:rPr>
          <w:lang w:val="es-ES_tradnl"/>
        </w:rPr>
        <w:t xml:space="preserve">problemas </w:t>
      </w:r>
      <w:r w:rsidR="00065126" w:rsidRPr="001B2BD5">
        <w:rPr>
          <w:lang w:val="es-ES_tradnl"/>
        </w:rPr>
        <w:t xml:space="preserve">de </w:t>
      </w:r>
      <w:r w:rsidR="00504493" w:rsidRPr="001B2BD5">
        <w:rPr>
          <w:lang w:val="es-ES_tradnl"/>
        </w:rPr>
        <w:t>liquidez</w:t>
      </w:r>
      <w:r w:rsidR="00065126" w:rsidRPr="001B2BD5">
        <w:rPr>
          <w:lang w:val="es-ES_tradnl"/>
        </w:rPr>
        <w:t xml:space="preserve"> específicos de cada Unión.  Asimismo, los </w:t>
      </w:r>
      <w:r w:rsidR="00A346FA" w:rsidRPr="001B2BD5">
        <w:rPr>
          <w:lang w:val="es-ES_tradnl"/>
        </w:rPr>
        <w:t xml:space="preserve">Estados miembros </w:t>
      </w:r>
      <w:r w:rsidR="00065126" w:rsidRPr="001B2BD5">
        <w:rPr>
          <w:lang w:val="es-ES_tradnl"/>
        </w:rPr>
        <w:t xml:space="preserve">aprobaron el establecimiento de un </w:t>
      </w:r>
      <w:r w:rsidR="000E67DE" w:rsidRPr="001B2BD5">
        <w:rPr>
          <w:lang w:val="es-ES_tradnl"/>
        </w:rPr>
        <w:t>mecanismo</w:t>
      </w:r>
      <w:r w:rsidR="00065126" w:rsidRPr="001B2BD5">
        <w:rPr>
          <w:lang w:val="es-ES_tradnl"/>
        </w:rPr>
        <w:t xml:space="preserve"> para ajustar los niveles </w:t>
      </w:r>
      <w:r w:rsidR="00756E4B" w:rsidRPr="001B2BD5">
        <w:rPr>
          <w:lang w:val="es-ES_tradnl"/>
        </w:rPr>
        <w:t>combinados</w:t>
      </w:r>
      <w:r w:rsidR="00065126" w:rsidRPr="001B2BD5">
        <w:rPr>
          <w:lang w:val="es-ES_tradnl"/>
        </w:rPr>
        <w:t xml:space="preserve"> de </w:t>
      </w:r>
      <w:r w:rsidR="00756E4B" w:rsidRPr="001B2BD5">
        <w:rPr>
          <w:lang w:val="es-ES_tradnl"/>
        </w:rPr>
        <w:t>fondos</w:t>
      </w:r>
      <w:r w:rsidR="00065126" w:rsidRPr="001B2BD5">
        <w:rPr>
          <w:lang w:val="es-ES_tradnl"/>
        </w:rPr>
        <w:t xml:space="preserve"> de rese</w:t>
      </w:r>
      <w:r w:rsidR="00756E4B" w:rsidRPr="001B2BD5">
        <w:rPr>
          <w:lang w:val="es-ES_tradnl"/>
        </w:rPr>
        <w:t>rva</w:t>
      </w:r>
      <w:r w:rsidR="00065126" w:rsidRPr="001B2BD5">
        <w:rPr>
          <w:lang w:val="es-ES_tradnl"/>
        </w:rPr>
        <w:t xml:space="preserve"> y de </w:t>
      </w:r>
      <w:r w:rsidR="00756E4B" w:rsidRPr="001B2BD5">
        <w:rPr>
          <w:lang w:val="es-ES_tradnl"/>
        </w:rPr>
        <w:t>operaciones</w:t>
      </w:r>
      <w:r w:rsidR="00883BE9" w:rsidRPr="001B2BD5">
        <w:rPr>
          <w:lang w:val="es-ES_tradnl"/>
        </w:rPr>
        <w:t xml:space="preserve">, </w:t>
      </w:r>
      <w:r w:rsidR="00065126" w:rsidRPr="001B2BD5">
        <w:rPr>
          <w:lang w:val="es-ES_tradnl"/>
        </w:rPr>
        <w:t xml:space="preserve">por </w:t>
      </w:r>
      <w:r w:rsidR="00756E4B" w:rsidRPr="001B2BD5">
        <w:rPr>
          <w:lang w:val="es-ES_tradnl"/>
        </w:rPr>
        <w:t>Unión</w:t>
      </w:r>
      <w:r w:rsidR="00883BE9" w:rsidRPr="001B2BD5">
        <w:rPr>
          <w:lang w:val="es-ES_tradnl"/>
        </w:rPr>
        <w:t xml:space="preserve">, </w:t>
      </w:r>
      <w:r w:rsidR="00065126" w:rsidRPr="001B2BD5">
        <w:rPr>
          <w:lang w:val="es-ES_tradnl"/>
        </w:rPr>
        <w:t xml:space="preserve">manteniendo al </w:t>
      </w:r>
      <w:r w:rsidR="00756E4B" w:rsidRPr="001B2BD5">
        <w:rPr>
          <w:lang w:val="es-ES_tradnl"/>
        </w:rPr>
        <w:t>mismo</w:t>
      </w:r>
      <w:r w:rsidR="00065126" w:rsidRPr="001B2BD5">
        <w:rPr>
          <w:lang w:val="es-ES_tradnl"/>
        </w:rPr>
        <w:t xml:space="preserve"> tiempo la separación entre el </w:t>
      </w:r>
      <w:r w:rsidR="00756E4B" w:rsidRPr="001B2BD5">
        <w:rPr>
          <w:lang w:val="es-ES_tradnl"/>
        </w:rPr>
        <w:t>fondo</w:t>
      </w:r>
      <w:r w:rsidR="00065126" w:rsidRPr="001B2BD5">
        <w:rPr>
          <w:lang w:val="es-ES_tradnl"/>
        </w:rPr>
        <w:t xml:space="preserve"> de </w:t>
      </w:r>
      <w:r w:rsidR="00756E4B" w:rsidRPr="001B2BD5">
        <w:rPr>
          <w:lang w:val="es-ES_tradnl"/>
        </w:rPr>
        <w:t>reserva</w:t>
      </w:r>
      <w:r w:rsidR="00504493" w:rsidRPr="001B2BD5">
        <w:rPr>
          <w:lang w:val="es-ES_tradnl"/>
        </w:rPr>
        <w:t>s</w:t>
      </w:r>
      <w:r w:rsidR="00065126" w:rsidRPr="001B2BD5">
        <w:rPr>
          <w:lang w:val="es-ES_tradnl"/>
        </w:rPr>
        <w:t xml:space="preserve"> y el fondo de </w:t>
      </w:r>
      <w:r w:rsidR="00756E4B" w:rsidRPr="001B2BD5">
        <w:rPr>
          <w:lang w:val="es-ES_tradnl"/>
        </w:rPr>
        <w:t>operaciones</w:t>
      </w:r>
      <w:r w:rsidR="00065126" w:rsidRPr="001B2BD5">
        <w:rPr>
          <w:lang w:val="es-ES_tradnl"/>
        </w:rPr>
        <w:t xml:space="preserve">.  El </w:t>
      </w:r>
      <w:r w:rsidR="00756E4B" w:rsidRPr="001B2BD5">
        <w:rPr>
          <w:lang w:val="es-ES_tradnl"/>
        </w:rPr>
        <w:t>fondo</w:t>
      </w:r>
      <w:r w:rsidR="00065126" w:rsidRPr="001B2BD5">
        <w:rPr>
          <w:lang w:val="es-ES_tradnl"/>
        </w:rPr>
        <w:t xml:space="preserve"> de </w:t>
      </w:r>
      <w:r w:rsidR="00756E4B" w:rsidRPr="001B2BD5">
        <w:rPr>
          <w:lang w:val="es-ES_tradnl"/>
        </w:rPr>
        <w:t>operaciones</w:t>
      </w:r>
      <w:r w:rsidR="00883BE9" w:rsidRPr="001B2BD5">
        <w:rPr>
          <w:lang w:val="es-ES_tradnl"/>
        </w:rPr>
        <w:t xml:space="preserve">, </w:t>
      </w:r>
      <w:r w:rsidR="00065126" w:rsidRPr="001B2BD5">
        <w:rPr>
          <w:lang w:val="es-ES_tradnl"/>
        </w:rPr>
        <w:t xml:space="preserve">financiado con las </w:t>
      </w:r>
      <w:r w:rsidR="00756E4B" w:rsidRPr="001B2BD5">
        <w:rPr>
          <w:lang w:val="es-ES_tradnl"/>
        </w:rPr>
        <w:t>contribuciones</w:t>
      </w:r>
      <w:r w:rsidR="00065126" w:rsidRPr="001B2BD5">
        <w:rPr>
          <w:lang w:val="es-ES_tradnl"/>
        </w:rPr>
        <w:t xml:space="preserve"> de los Estados</w:t>
      </w:r>
      <w:r w:rsidR="00883BE9" w:rsidRPr="001B2BD5">
        <w:rPr>
          <w:lang w:val="es-ES_tradnl"/>
        </w:rPr>
        <w:t xml:space="preserve">, </w:t>
      </w:r>
      <w:r w:rsidR="00065126" w:rsidRPr="001B2BD5">
        <w:rPr>
          <w:lang w:val="es-ES_tradnl"/>
        </w:rPr>
        <w:t xml:space="preserve">se mantiene hasta la fecha y es administrado por la </w:t>
      </w:r>
      <w:r w:rsidR="00AA3FE4" w:rsidRPr="001B2BD5">
        <w:rPr>
          <w:lang w:val="es-ES_tradnl"/>
        </w:rPr>
        <w:t xml:space="preserve">OMPI </w:t>
      </w:r>
      <w:r w:rsidR="000E67DE" w:rsidRPr="001B2BD5">
        <w:rPr>
          <w:lang w:val="es-ES_tradnl"/>
        </w:rPr>
        <w:t>para los</w:t>
      </w:r>
      <w:r w:rsidR="00883BE9" w:rsidRPr="001B2BD5">
        <w:rPr>
          <w:lang w:val="es-ES_tradnl"/>
        </w:rPr>
        <w:t xml:space="preserve"> </w:t>
      </w:r>
      <w:r w:rsidR="00A346FA" w:rsidRPr="001B2BD5">
        <w:rPr>
          <w:lang w:val="es-ES_tradnl"/>
        </w:rPr>
        <w:t xml:space="preserve">Estados miembros </w:t>
      </w:r>
      <w:r w:rsidR="000E67DE" w:rsidRPr="001B2BD5">
        <w:rPr>
          <w:lang w:val="es-ES_tradnl"/>
        </w:rPr>
        <w:t>de las Uniones respectivas</w:t>
      </w:r>
      <w:r w:rsidR="00883BE9" w:rsidRPr="001B2BD5">
        <w:rPr>
          <w:lang w:val="es-ES_tradnl"/>
        </w:rPr>
        <w:t>.</w:t>
      </w:r>
    </w:p>
    <w:p w:rsidR="00883BE9" w:rsidRPr="001B2BD5" w:rsidRDefault="00504493" w:rsidP="0066138B">
      <w:pPr>
        <w:pStyle w:val="ONUMFS"/>
        <w:rPr>
          <w:lang w:val="es-ES_tradnl"/>
        </w:rPr>
      </w:pPr>
      <w:r w:rsidRPr="001B2BD5">
        <w:rPr>
          <w:lang w:val="es-ES_tradnl"/>
        </w:rPr>
        <w:t xml:space="preserve">Contar con un </w:t>
      </w:r>
      <w:r w:rsidR="000E67DE" w:rsidRPr="001B2BD5">
        <w:rPr>
          <w:lang w:val="es-ES_tradnl"/>
        </w:rPr>
        <w:t xml:space="preserve">nivel adecuado de </w:t>
      </w:r>
      <w:r w:rsidR="00A346FA" w:rsidRPr="001B2BD5">
        <w:rPr>
          <w:lang w:val="es-ES_tradnl"/>
        </w:rPr>
        <w:t xml:space="preserve">fondos de reserva y de operaciones </w:t>
      </w:r>
      <w:r w:rsidRPr="001B2BD5">
        <w:rPr>
          <w:lang w:val="es-ES_tradnl"/>
        </w:rPr>
        <w:t>permite atenuar</w:t>
      </w:r>
      <w:r w:rsidR="000E67DE" w:rsidRPr="001B2BD5">
        <w:rPr>
          <w:lang w:val="es-ES_tradnl"/>
        </w:rPr>
        <w:t xml:space="preserve"> los riesgos </w:t>
      </w:r>
      <w:r w:rsidR="00740B2A" w:rsidRPr="001B2BD5">
        <w:rPr>
          <w:lang w:val="es-ES_tradnl"/>
        </w:rPr>
        <w:t>más</w:t>
      </w:r>
      <w:r w:rsidR="000E67DE" w:rsidRPr="001B2BD5">
        <w:rPr>
          <w:lang w:val="es-ES_tradnl"/>
        </w:rPr>
        <w:t xml:space="preserve"> importantes</w:t>
      </w:r>
      <w:r w:rsidR="00883BE9" w:rsidRPr="001B2BD5">
        <w:rPr>
          <w:lang w:val="es-ES_tradnl"/>
        </w:rPr>
        <w:t xml:space="preserve">, </w:t>
      </w:r>
      <w:r w:rsidRPr="001B2BD5">
        <w:rPr>
          <w:lang w:val="es-ES_tradnl"/>
        </w:rPr>
        <w:t xml:space="preserve">en particular el riesgo de que </w:t>
      </w:r>
      <w:r w:rsidR="000E67DE" w:rsidRPr="001B2BD5">
        <w:rPr>
          <w:lang w:val="es-ES_tradnl"/>
        </w:rPr>
        <w:t xml:space="preserve">los ingresos estimados para un bienio particular no se </w:t>
      </w:r>
      <w:r w:rsidRPr="001B2BD5">
        <w:rPr>
          <w:lang w:val="es-ES_tradnl"/>
        </w:rPr>
        <w:t>logren obtener</w:t>
      </w:r>
      <w:r w:rsidR="00883BE9" w:rsidRPr="001B2BD5">
        <w:rPr>
          <w:lang w:val="es-ES_tradnl"/>
        </w:rPr>
        <w:t xml:space="preserve">.  </w:t>
      </w:r>
      <w:r w:rsidRPr="001B2BD5">
        <w:rPr>
          <w:lang w:val="es-ES_tradnl"/>
        </w:rPr>
        <w:t>Así, se consideraba que las previsiones de</w:t>
      </w:r>
      <w:r w:rsidR="000E67DE" w:rsidRPr="001B2BD5">
        <w:rPr>
          <w:lang w:val="es-ES_tradnl"/>
        </w:rPr>
        <w:t xml:space="preserve"> gasto</w:t>
      </w:r>
      <w:r w:rsidRPr="001B2BD5">
        <w:rPr>
          <w:lang w:val="es-ES_tradnl"/>
        </w:rPr>
        <w:t>s</w:t>
      </w:r>
      <w:r w:rsidR="000E67DE" w:rsidRPr="001B2BD5">
        <w:rPr>
          <w:lang w:val="es-ES_tradnl"/>
        </w:rPr>
        <w:t xml:space="preserve"> </w:t>
      </w:r>
      <w:r w:rsidRPr="001B2BD5">
        <w:rPr>
          <w:lang w:val="es-ES_tradnl"/>
        </w:rPr>
        <w:t>p</w:t>
      </w:r>
      <w:r w:rsidR="000E67DE" w:rsidRPr="001B2BD5">
        <w:rPr>
          <w:lang w:val="es-ES_tradnl"/>
        </w:rPr>
        <w:t xml:space="preserve">ara el bienio </w:t>
      </w:r>
      <w:r w:rsidRPr="001B2BD5">
        <w:rPr>
          <w:lang w:val="es-ES_tradnl"/>
        </w:rPr>
        <w:t xml:space="preserve">eran el mejor </w:t>
      </w:r>
      <w:r w:rsidR="000E67DE" w:rsidRPr="001B2BD5">
        <w:rPr>
          <w:lang w:val="es-ES_tradnl"/>
        </w:rPr>
        <w:t xml:space="preserve">indicador para estimar el nivel de protección </w:t>
      </w:r>
      <w:r w:rsidRPr="001B2BD5">
        <w:rPr>
          <w:lang w:val="es-ES_tradnl"/>
        </w:rPr>
        <w:t>n</w:t>
      </w:r>
      <w:r w:rsidR="000E67DE" w:rsidRPr="001B2BD5">
        <w:rPr>
          <w:lang w:val="es-ES_tradnl"/>
        </w:rPr>
        <w:t xml:space="preserve">ecesario </w:t>
      </w:r>
      <w:r w:rsidR="00FB6DA1" w:rsidRPr="001B2BD5">
        <w:rPr>
          <w:lang w:val="es-ES_tradnl"/>
        </w:rPr>
        <w:t>para minimizar</w:t>
      </w:r>
      <w:r w:rsidRPr="001B2BD5">
        <w:rPr>
          <w:lang w:val="es-ES_tradnl"/>
        </w:rPr>
        <w:t xml:space="preserve"> los</w:t>
      </w:r>
      <w:r w:rsidR="000E67DE" w:rsidRPr="001B2BD5">
        <w:rPr>
          <w:lang w:val="es-ES_tradnl"/>
        </w:rPr>
        <w:t xml:space="preserve"> riesgo</w:t>
      </w:r>
      <w:r w:rsidRPr="001B2BD5">
        <w:rPr>
          <w:lang w:val="es-ES_tradnl"/>
        </w:rPr>
        <w:t>s</w:t>
      </w:r>
      <w:r w:rsidR="00883BE9" w:rsidRPr="001B2BD5">
        <w:rPr>
          <w:lang w:val="es-ES_tradnl"/>
        </w:rPr>
        <w:t xml:space="preserve">.  </w:t>
      </w:r>
      <w:r w:rsidR="00FB6DA1" w:rsidRPr="001B2BD5">
        <w:rPr>
          <w:lang w:val="es-ES_tradnl"/>
        </w:rPr>
        <w:t>Se decidió, en consecuencia</w:t>
      </w:r>
      <w:r w:rsidR="000E67DE" w:rsidRPr="001B2BD5">
        <w:rPr>
          <w:lang w:val="es-ES_tradnl"/>
        </w:rPr>
        <w:t xml:space="preserve">, expresar el total de los </w:t>
      </w:r>
      <w:r w:rsidR="00826B93" w:rsidRPr="001B2BD5">
        <w:rPr>
          <w:lang w:val="es-ES_tradnl"/>
        </w:rPr>
        <w:t>fondos de reserva y de operaciones</w:t>
      </w:r>
      <w:r w:rsidR="000E67DE" w:rsidRPr="001B2BD5">
        <w:rPr>
          <w:lang w:val="es-ES_tradnl"/>
        </w:rPr>
        <w:t xml:space="preserve"> como porcentaje del gasto bienal</w:t>
      </w:r>
      <w:r w:rsidR="00883BE9" w:rsidRPr="001B2BD5">
        <w:rPr>
          <w:lang w:val="es-ES_tradnl"/>
        </w:rPr>
        <w:t xml:space="preserve"> </w:t>
      </w:r>
      <w:r w:rsidR="00FB6DA1" w:rsidRPr="001B2BD5">
        <w:rPr>
          <w:lang w:val="es-ES_tradnl"/>
        </w:rPr>
        <w:t xml:space="preserve">estimado </w:t>
      </w:r>
      <w:r w:rsidR="00883BE9" w:rsidRPr="001B2BD5">
        <w:rPr>
          <w:lang w:val="es-ES_tradnl"/>
        </w:rPr>
        <w:t>(</w:t>
      </w:r>
      <w:r w:rsidR="000E67DE" w:rsidRPr="001B2BD5">
        <w:rPr>
          <w:lang w:val="es-ES_tradnl"/>
        </w:rPr>
        <w:t xml:space="preserve">factor </w:t>
      </w:r>
      <w:r w:rsidR="00883BE9" w:rsidRPr="001B2BD5">
        <w:rPr>
          <w:lang w:val="es-ES_tradnl"/>
        </w:rPr>
        <w:t>P</w:t>
      </w:r>
      <w:r w:rsidR="00FB6DA1" w:rsidRPr="001B2BD5">
        <w:rPr>
          <w:lang w:val="es-ES_tradnl"/>
        </w:rPr>
        <w:t xml:space="preserve">GBE), lo que permite establecer el periodo de tiempo en que </w:t>
      </w:r>
      <w:r w:rsidR="000E67DE" w:rsidRPr="001B2BD5">
        <w:rPr>
          <w:lang w:val="es-ES_tradnl"/>
        </w:rPr>
        <w:t xml:space="preserve">se podría financiar una actividad con cargo a los </w:t>
      </w:r>
      <w:r w:rsidR="00A346FA" w:rsidRPr="001B2BD5">
        <w:rPr>
          <w:lang w:val="es-ES_tradnl"/>
        </w:rPr>
        <w:t>fondos de reserva y de operaciones</w:t>
      </w:r>
      <w:r w:rsidR="000E67DE" w:rsidRPr="001B2BD5">
        <w:rPr>
          <w:lang w:val="es-ES_tradnl"/>
        </w:rPr>
        <w:t>.</w:t>
      </w:r>
    </w:p>
    <w:p w:rsidR="00883BE9" w:rsidRPr="001B2BD5" w:rsidRDefault="000E67DE" w:rsidP="0066138B">
      <w:pPr>
        <w:pStyle w:val="ONUMFS"/>
        <w:rPr>
          <w:lang w:val="es-ES_tradnl"/>
        </w:rPr>
      </w:pPr>
      <w:r w:rsidRPr="001B2BD5">
        <w:rPr>
          <w:lang w:val="es-ES_tradnl"/>
        </w:rPr>
        <w:t xml:space="preserve">En el </w:t>
      </w:r>
      <w:r w:rsidR="00740B2A" w:rsidRPr="001B2BD5">
        <w:rPr>
          <w:lang w:val="es-ES_tradnl"/>
        </w:rPr>
        <w:t>momento</w:t>
      </w:r>
      <w:r w:rsidRPr="001B2BD5">
        <w:rPr>
          <w:lang w:val="es-ES_tradnl"/>
        </w:rPr>
        <w:t xml:space="preserve"> en que se </w:t>
      </w:r>
      <w:r w:rsidR="00740B2A" w:rsidRPr="001B2BD5">
        <w:rPr>
          <w:lang w:val="es-ES_tradnl"/>
        </w:rPr>
        <w:t>adoptó</w:t>
      </w:r>
      <w:r w:rsidRPr="001B2BD5">
        <w:rPr>
          <w:lang w:val="es-ES_tradnl"/>
        </w:rPr>
        <w:t xml:space="preserve"> la </w:t>
      </w:r>
      <w:r w:rsidR="00740B2A" w:rsidRPr="001B2BD5">
        <w:rPr>
          <w:lang w:val="es-ES_tradnl"/>
        </w:rPr>
        <w:t>decisión</w:t>
      </w:r>
      <w:r w:rsidRPr="001B2BD5">
        <w:rPr>
          <w:lang w:val="es-ES_tradnl"/>
        </w:rPr>
        <w:t xml:space="preserve"> sobre los f</w:t>
      </w:r>
      <w:r w:rsidR="00A346FA" w:rsidRPr="001B2BD5">
        <w:rPr>
          <w:lang w:val="es-ES_tradnl"/>
        </w:rPr>
        <w:t>ondos de reserva y de operaciones</w:t>
      </w:r>
      <w:r w:rsidRPr="001B2BD5">
        <w:rPr>
          <w:lang w:val="es-ES_tradnl"/>
        </w:rPr>
        <w:t xml:space="preserve">, la </w:t>
      </w:r>
      <w:r w:rsidR="00740B2A" w:rsidRPr="001B2BD5">
        <w:rPr>
          <w:lang w:val="es-ES_tradnl"/>
        </w:rPr>
        <w:t>volatilidad</w:t>
      </w:r>
      <w:r w:rsidRPr="001B2BD5">
        <w:rPr>
          <w:lang w:val="es-ES_tradnl"/>
        </w:rPr>
        <w:t xml:space="preserve"> de la demanda y el</w:t>
      </w:r>
      <w:r w:rsidR="00740B2A" w:rsidRPr="001B2BD5">
        <w:rPr>
          <w:lang w:val="es-ES_tradnl"/>
        </w:rPr>
        <w:t xml:space="preserve"> </w:t>
      </w:r>
      <w:r w:rsidRPr="001B2BD5">
        <w:rPr>
          <w:lang w:val="es-ES_tradnl"/>
        </w:rPr>
        <w:t xml:space="preserve">nivel </w:t>
      </w:r>
      <w:r w:rsidR="00740B2A" w:rsidRPr="001B2BD5">
        <w:rPr>
          <w:lang w:val="es-ES_tradnl"/>
        </w:rPr>
        <w:t>relativamente</w:t>
      </w:r>
      <w:r w:rsidRPr="001B2BD5">
        <w:rPr>
          <w:lang w:val="es-ES_tradnl"/>
        </w:rPr>
        <w:t xml:space="preserve"> bajo de madurez </w:t>
      </w:r>
      <w:r w:rsidR="00582FFA" w:rsidRPr="001B2BD5">
        <w:rPr>
          <w:lang w:val="es-ES_tradnl"/>
        </w:rPr>
        <w:t xml:space="preserve">de </w:t>
      </w:r>
      <w:r w:rsidRPr="001B2BD5">
        <w:rPr>
          <w:lang w:val="es-ES_tradnl"/>
        </w:rPr>
        <w:t xml:space="preserve">las </w:t>
      </w:r>
      <w:r w:rsidR="00740B2A" w:rsidRPr="001B2BD5">
        <w:rPr>
          <w:lang w:val="es-ES_tradnl"/>
        </w:rPr>
        <w:t>previsiones</w:t>
      </w:r>
      <w:r w:rsidRPr="001B2BD5">
        <w:rPr>
          <w:lang w:val="es-ES_tradnl"/>
        </w:rPr>
        <w:t xml:space="preserve"> y la </w:t>
      </w:r>
      <w:r w:rsidR="00740B2A" w:rsidRPr="001B2BD5">
        <w:rPr>
          <w:lang w:val="es-ES_tradnl"/>
        </w:rPr>
        <w:t>planificación</w:t>
      </w:r>
      <w:r w:rsidRPr="001B2BD5">
        <w:rPr>
          <w:lang w:val="es-ES_tradnl"/>
        </w:rPr>
        <w:t xml:space="preserve"> de los ingresos </w:t>
      </w:r>
      <w:r w:rsidR="00740B2A" w:rsidRPr="001B2BD5">
        <w:rPr>
          <w:lang w:val="es-ES_tradnl"/>
        </w:rPr>
        <w:t>había</w:t>
      </w:r>
      <w:r w:rsidRPr="001B2BD5">
        <w:rPr>
          <w:lang w:val="es-ES_tradnl"/>
        </w:rPr>
        <w:t xml:space="preserve"> dado lugar a </w:t>
      </w:r>
      <w:r w:rsidR="00740B2A" w:rsidRPr="001B2BD5">
        <w:rPr>
          <w:lang w:val="es-ES_tradnl"/>
        </w:rPr>
        <w:t>superávit</w:t>
      </w:r>
      <w:r w:rsidRPr="001B2BD5">
        <w:rPr>
          <w:lang w:val="es-ES_tradnl"/>
        </w:rPr>
        <w:t xml:space="preserve"> presupuestarios imprevistos que, en virtud de una </w:t>
      </w:r>
      <w:r w:rsidR="00740B2A" w:rsidRPr="001B2BD5">
        <w:rPr>
          <w:lang w:val="es-ES_tradnl"/>
        </w:rPr>
        <w:t>decisión</w:t>
      </w:r>
      <w:r w:rsidRPr="001B2BD5">
        <w:rPr>
          <w:lang w:val="es-ES_tradnl"/>
        </w:rPr>
        <w:t xml:space="preserve"> previa </w:t>
      </w:r>
      <w:r w:rsidR="00883BE9" w:rsidRPr="001B2BD5">
        <w:rPr>
          <w:lang w:val="es-ES_tradnl"/>
        </w:rPr>
        <w:t>(</w:t>
      </w:r>
      <w:r w:rsidR="00067661" w:rsidRPr="001B2BD5">
        <w:rPr>
          <w:lang w:val="es-ES_tradnl"/>
        </w:rPr>
        <w:t>de</w:t>
      </w:r>
      <w:r w:rsidRPr="001B2BD5">
        <w:rPr>
          <w:lang w:val="es-ES_tradnl"/>
        </w:rPr>
        <w:t xml:space="preserve"> principios de los noventa) de los </w:t>
      </w:r>
      <w:r w:rsidR="00A346FA" w:rsidRPr="001B2BD5">
        <w:rPr>
          <w:lang w:val="es-ES_tradnl"/>
        </w:rPr>
        <w:t>Estados miembros</w:t>
      </w:r>
      <w:r w:rsidR="00883BE9" w:rsidRPr="001B2BD5">
        <w:rPr>
          <w:lang w:val="es-ES_tradnl"/>
        </w:rPr>
        <w:t xml:space="preserve">, </w:t>
      </w:r>
      <w:r w:rsidRPr="001B2BD5">
        <w:rPr>
          <w:lang w:val="es-ES_tradnl"/>
        </w:rPr>
        <w:t xml:space="preserve">se </w:t>
      </w:r>
      <w:r w:rsidR="00740B2A" w:rsidRPr="001B2BD5">
        <w:rPr>
          <w:lang w:val="es-ES_tradnl"/>
        </w:rPr>
        <w:t>había</w:t>
      </w:r>
      <w:r w:rsidRPr="001B2BD5">
        <w:rPr>
          <w:lang w:val="es-ES_tradnl"/>
        </w:rPr>
        <w:t xml:space="preserve"> asignado a un</w:t>
      </w:r>
      <w:r w:rsidR="00883BE9" w:rsidRPr="001B2BD5">
        <w:rPr>
          <w:lang w:val="es-ES_tradnl"/>
        </w:rPr>
        <w:t xml:space="preserve"> </w:t>
      </w:r>
      <w:r w:rsidR="007E6B47" w:rsidRPr="001B2BD5">
        <w:rPr>
          <w:lang w:val="es-ES_tradnl"/>
        </w:rPr>
        <w:t xml:space="preserve">Fondo de Reserva Especial para </w:t>
      </w:r>
      <w:r w:rsidR="003307E0" w:rsidRPr="001B2BD5">
        <w:rPr>
          <w:lang w:val="es-ES_tradnl"/>
        </w:rPr>
        <w:t>locales suplementarios y la informatización.</w:t>
      </w:r>
      <w:r w:rsidR="00883BE9" w:rsidRPr="001B2BD5">
        <w:rPr>
          <w:lang w:val="es-ES_tradnl"/>
        </w:rPr>
        <w:t xml:space="preserve">  </w:t>
      </w:r>
      <w:r w:rsidR="00740B2A" w:rsidRPr="001B2BD5">
        <w:rPr>
          <w:lang w:val="es-ES_tradnl"/>
        </w:rPr>
        <w:t xml:space="preserve">Si bien los </w:t>
      </w:r>
      <w:r w:rsidR="00A346FA" w:rsidRPr="001B2BD5">
        <w:rPr>
          <w:lang w:val="es-ES_tradnl"/>
        </w:rPr>
        <w:t xml:space="preserve">Estados miembros </w:t>
      </w:r>
      <w:r w:rsidR="00740B2A" w:rsidRPr="001B2BD5">
        <w:rPr>
          <w:lang w:val="es-ES_tradnl"/>
        </w:rPr>
        <w:t xml:space="preserve">habían aprobado </w:t>
      </w:r>
      <w:r w:rsidR="00067661" w:rsidRPr="001B2BD5">
        <w:rPr>
          <w:lang w:val="es-ES_tradnl"/>
        </w:rPr>
        <w:t xml:space="preserve">la financiación de </w:t>
      </w:r>
      <w:r w:rsidR="00740B2A" w:rsidRPr="001B2BD5">
        <w:rPr>
          <w:lang w:val="es-ES_tradnl"/>
        </w:rPr>
        <w:t>pro</w:t>
      </w:r>
      <w:r w:rsidR="00067661" w:rsidRPr="001B2BD5">
        <w:rPr>
          <w:lang w:val="es-ES_tradnl"/>
        </w:rPr>
        <w:t>yectos y actividades prioritario</w:t>
      </w:r>
      <w:r w:rsidR="00740B2A" w:rsidRPr="001B2BD5">
        <w:rPr>
          <w:lang w:val="es-ES_tradnl"/>
        </w:rPr>
        <w:t>s con cargo a ese fondo, se temía también que, en un momento en que las necesidades de inversiones de capital de la O</w:t>
      </w:r>
      <w:r w:rsidR="00AA3FE4" w:rsidRPr="001B2BD5">
        <w:rPr>
          <w:lang w:val="es-ES_tradnl"/>
        </w:rPr>
        <w:t>rganización</w:t>
      </w:r>
      <w:r w:rsidR="00740B2A" w:rsidRPr="001B2BD5">
        <w:rPr>
          <w:lang w:val="es-ES_tradnl"/>
        </w:rPr>
        <w:t xml:space="preserve"> estaba creciendo</w:t>
      </w:r>
      <w:r w:rsidR="00883BE9" w:rsidRPr="001B2BD5">
        <w:rPr>
          <w:lang w:val="es-ES_tradnl"/>
        </w:rPr>
        <w:t xml:space="preserve"> (</w:t>
      </w:r>
      <w:r w:rsidR="00740B2A" w:rsidRPr="001B2BD5">
        <w:rPr>
          <w:lang w:val="es-ES_tradnl"/>
        </w:rPr>
        <w:t xml:space="preserve">en paralelo al </w:t>
      </w:r>
      <w:r w:rsidR="00740B2A" w:rsidRPr="001B2BD5">
        <w:rPr>
          <w:lang w:val="es-ES_tradnl"/>
        </w:rPr>
        <w:lastRenderedPageBreak/>
        <w:t>crecimiento de los sistemas de registro</w:t>
      </w:r>
      <w:r w:rsidR="00883BE9" w:rsidRPr="001B2BD5">
        <w:rPr>
          <w:lang w:val="es-ES_tradnl"/>
        </w:rPr>
        <w:t xml:space="preserve">), </w:t>
      </w:r>
      <w:r w:rsidR="00740B2A" w:rsidRPr="001B2BD5">
        <w:rPr>
          <w:lang w:val="es-ES_tradnl"/>
        </w:rPr>
        <w:t xml:space="preserve">la práctica de asignar fondos para proyectos de largo plazo a través de un fondo de reserva especial separado exigía un alto nivel de </w:t>
      </w:r>
      <w:r w:rsidR="00067661" w:rsidRPr="001B2BD5">
        <w:rPr>
          <w:lang w:val="es-ES_tradnl"/>
        </w:rPr>
        <w:t>liquidez</w:t>
      </w:r>
      <w:r w:rsidR="00740B2A" w:rsidRPr="001B2BD5">
        <w:rPr>
          <w:lang w:val="es-ES_tradnl"/>
        </w:rPr>
        <w:t xml:space="preserve"> y era ineficaz.</w:t>
      </w:r>
      <w:r w:rsidR="00883BE9" w:rsidRPr="001B2BD5">
        <w:rPr>
          <w:lang w:val="es-ES_tradnl"/>
        </w:rPr>
        <w:t xml:space="preserve">  </w:t>
      </w:r>
      <w:r w:rsidR="00740B2A" w:rsidRPr="001B2BD5">
        <w:rPr>
          <w:lang w:val="es-ES_tradnl"/>
        </w:rPr>
        <w:t>Por lo tanto, junto a la propuesta sobre las políticas relativas a los fondos de reserva y de operaciones</w:t>
      </w:r>
      <w:r w:rsidR="00883BE9" w:rsidRPr="001B2BD5">
        <w:rPr>
          <w:lang w:val="es-ES_tradnl"/>
        </w:rPr>
        <w:t xml:space="preserve">, </w:t>
      </w:r>
      <w:r w:rsidR="00740B2A" w:rsidRPr="001B2BD5">
        <w:rPr>
          <w:lang w:val="es-ES_tradnl"/>
        </w:rPr>
        <w:t xml:space="preserve">los </w:t>
      </w:r>
      <w:r w:rsidR="00A346FA" w:rsidRPr="001B2BD5">
        <w:rPr>
          <w:lang w:val="es-ES_tradnl"/>
        </w:rPr>
        <w:t xml:space="preserve">Estados miembros </w:t>
      </w:r>
      <w:r w:rsidR="00740B2A" w:rsidRPr="001B2BD5">
        <w:rPr>
          <w:lang w:val="es-ES_tradnl"/>
        </w:rPr>
        <w:t>también examinar</w:t>
      </w:r>
      <w:r w:rsidR="00067661" w:rsidRPr="001B2BD5">
        <w:rPr>
          <w:lang w:val="es-ES_tradnl"/>
        </w:rPr>
        <w:t>on</w:t>
      </w:r>
      <w:r w:rsidR="00740B2A" w:rsidRPr="001B2BD5">
        <w:rPr>
          <w:lang w:val="es-ES_tradnl"/>
        </w:rPr>
        <w:t xml:space="preserve"> y aprobar</w:t>
      </w:r>
      <w:r w:rsidR="00067661" w:rsidRPr="001B2BD5">
        <w:rPr>
          <w:lang w:val="es-ES_tradnl"/>
        </w:rPr>
        <w:t>on</w:t>
      </w:r>
      <w:r w:rsidR="00740B2A" w:rsidRPr="001B2BD5">
        <w:rPr>
          <w:lang w:val="es-ES_tradnl"/>
        </w:rPr>
        <w:t xml:space="preserve"> </w:t>
      </w:r>
      <w:r w:rsidR="00067661" w:rsidRPr="001B2BD5">
        <w:rPr>
          <w:lang w:val="es-ES_tradnl"/>
        </w:rPr>
        <w:t>una propuesta para suprimir el Fondo de Reserva E</w:t>
      </w:r>
      <w:r w:rsidR="00740B2A" w:rsidRPr="001B2BD5">
        <w:rPr>
          <w:lang w:val="es-ES_tradnl"/>
        </w:rPr>
        <w:t xml:space="preserve">special, </w:t>
      </w:r>
      <w:r w:rsidR="00067661" w:rsidRPr="001B2BD5">
        <w:rPr>
          <w:lang w:val="es-ES_tradnl"/>
        </w:rPr>
        <w:t xml:space="preserve">que haría que </w:t>
      </w:r>
      <w:r w:rsidR="00740B2A" w:rsidRPr="001B2BD5">
        <w:rPr>
          <w:lang w:val="es-ES_tradnl"/>
        </w:rPr>
        <w:t xml:space="preserve">los superávit o déficit de cada Unión </w:t>
      </w:r>
      <w:r w:rsidR="00067661" w:rsidRPr="001B2BD5">
        <w:rPr>
          <w:lang w:val="es-ES_tradnl"/>
        </w:rPr>
        <w:t>tuvieran un efecto directo en sus</w:t>
      </w:r>
      <w:r w:rsidR="00740B2A" w:rsidRPr="001B2BD5">
        <w:rPr>
          <w:lang w:val="es-ES_tradnl"/>
        </w:rPr>
        <w:t xml:space="preserve"> fondos de reserva y de operaciones, </w:t>
      </w:r>
      <w:r w:rsidR="00067661" w:rsidRPr="001B2BD5">
        <w:rPr>
          <w:lang w:val="es-ES_tradnl"/>
        </w:rPr>
        <w:t xml:space="preserve">aumentándolos o disminuyéndolos, </w:t>
      </w:r>
      <w:r w:rsidR="00740B2A" w:rsidRPr="001B2BD5">
        <w:rPr>
          <w:lang w:val="es-ES_tradnl"/>
        </w:rPr>
        <w:t xml:space="preserve">en vez de </w:t>
      </w:r>
      <w:r w:rsidR="00067661" w:rsidRPr="001B2BD5">
        <w:rPr>
          <w:lang w:val="es-ES_tradnl"/>
        </w:rPr>
        <w:t>ser asignados</w:t>
      </w:r>
      <w:r w:rsidR="007E6B47" w:rsidRPr="001B2BD5">
        <w:rPr>
          <w:lang w:val="es-ES_tradnl"/>
        </w:rPr>
        <w:t xml:space="preserve"> al Fondo de Reserva E</w:t>
      </w:r>
      <w:r w:rsidR="00740B2A" w:rsidRPr="001B2BD5">
        <w:rPr>
          <w:lang w:val="es-ES_tradnl"/>
        </w:rPr>
        <w:t>special</w:t>
      </w:r>
      <w:r w:rsidR="00883BE9" w:rsidRPr="001B2BD5">
        <w:rPr>
          <w:lang w:val="es-ES_tradnl"/>
        </w:rPr>
        <w:t xml:space="preserve">.  </w:t>
      </w:r>
      <w:r w:rsidR="003307E0" w:rsidRPr="001B2BD5">
        <w:rPr>
          <w:lang w:val="es-ES_tradnl"/>
        </w:rPr>
        <w:t>Por otra parte, los</w:t>
      </w:r>
      <w:r w:rsidR="00883BE9" w:rsidRPr="001B2BD5">
        <w:rPr>
          <w:lang w:val="es-ES_tradnl"/>
        </w:rPr>
        <w:t xml:space="preserve"> </w:t>
      </w:r>
      <w:r w:rsidR="00A346FA" w:rsidRPr="001B2BD5">
        <w:rPr>
          <w:lang w:val="es-ES_tradnl"/>
        </w:rPr>
        <w:t xml:space="preserve">Estados miembros </w:t>
      </w:r>
      <w:r w:rsidR="00883BE9" w:rsidRPr="001B2BD5">
        <w:rPr>
          <w:lang w:val="es-ES_tradnl"/>
        </w:rPr>
        <w:t>decid</w:t>
      </w:r>
      <w:r w:rsidR="003307E0" w:rsidRPr="001B2BD5">
        <w:rPr>
          <w:lang w:val="es-ES_tradnl"/>
        </w:rPr>
        <w:t xml:space="preserve">ieron </w:t>
      </w:r>
      <w:r w:rsidR="00006F7C" w:rsidRPr="001B2BD5">
        <w:rPr>
          <w:lang w:val="es-ES_tradnl"/>
        </w:rPr>
        <w:t>mantener</w:t>
      </w:r>
      <w:r w:rsidR="003307E0" w:rsidRPr="001B2BD5">
        <w:rPr>
          <w:lang w:val="es-ES_tradnl"/>
        </w:rPr>
        <w:t xml:space="preserve"> la </w:t>
      </w:r>
      <w:r w:rsidR="00006F7C" w:rsidRPr="001B2BD5">
        <w:rPr>
          <w:lang w:val="es-ES_tradnl"/>
        </w:rPr>
        <w:t>posibilidad</w:t>
      </w:r>
      <w:r w:rsidR="003307E0" w:rsidRPr="001B2BD5">
        <w:rPr>
          <w:lang w:val="es-ES_tradnl"/>
        </w:rPr>
        <w:t xml:space="preserve"> de aprobar proyectos y actividades que </w:t>
      </w:r>
      <w:r w:rsidR="00006F7C" w:rsidRPr="001B2BD5">
        <w:rPr>
          <w:lang w:val="es-ES_tradnl"/>
        </w:rPr>
        <w:t xml:space="preserve">pudieran </w:t>
      </w:r>
      <w:r w:rsidR="003307E0" w:rsidRPr="001B2BD5">
        <w:rPr>
          <w:lang w:val="es-ES_tradnl"/>
        </w:rPr>
        <w:t>financiar</w:t>
      </w:r>
      <w:r w:rsidR="00006F7C" w:rsidRPr="001B2BD5">
        <w:rPr>
          <w:lang w:val="es-ES_tradnl"/>
        </w:rPr>
        <w:t>se</w:t>
      </w:r>
      <w:r w:rsidR="003307E0" w:rsidRPr="001B2BD5">
        <w:rPr>
          <w:lang w:val="es-ES_tradnl"/>
        </w:rPr>
        <w:t xml:space="preserve"> con los superávit disponibles</w:t>
      </w:r>
      <w:r w:rsidR="00883BE9" w:rsidRPr="001B2BD5">
        <w:rPr>
          <w:lang w:val="es-ES_tradnl"/>
        </w:rPr>
        <w:t xml:space="preserve"> (</w:t>
      </w:r>
      <w:r w:rsidR="003307E0" w:rsidRPr="001B2BD5">
        <w:rPr>
          <w:lang w:val="es-ES_tradnl"/>
        </w:rPr>
        <w:t xml:space="preserve">por encima de los niveles </w:t>
      </w:r>
      <w:r w:rsidR="00006F7C" w:rsidRPr="001B2BD5">
        <w:rPr>
          <w:lang w:val="es-ES_tradnl"/>
        </w:rPr>
        <w:t>previstos para</w:t>
      </w:r>
      <w:r w:rsidR="003307E0" w:rsidRPr="001B2BD5">
        <w:rPr>
          <w:lang w:val="es-ES_tradnl"/>
        </w:rPr>
        <w:t xml:space="preserve"> cada Unión).  Se consideró que ese era </w:t>
      </w:r>
      <w:r w:rsidR="00006F7C" w:rsidRPr="001B2BD5">
        <w:rPr>
          <w:lang w:val="es-ES_tradnl"/>
        </w:rPr>
        <w:t>el</w:t>
      </w:r>
      <w:r w:rsidR="003307E0" w:rsidRPr="001B2BD5">
        <w:rPr>
          <w:lang w:val="es-ES_tradnl"/>
        </w:rPr>
        <w:t xml:space="preserve"> método más eficaz </w:t>
      </w:r>
      <w:r w:rsidR="00006F7C" w:rsidRPr="001B2BD5">
        <w:rPr>
          <w:lang w:val="es-ES_tradnl"/>
        </w:rPr>
        <w:t xml:space="preserve">para gestionar </w:t>
      </w:r>
      <w:r w:rsidR="003307E0" w:rsidRPr="001B2BD5">
        <w:rPr>
          <w:lang w:val="es-ES_tradnl"/>
        </w:rPr>
        <w:t>la financiación de proyectos de inversión a largo plazo</w:t>
      </w:r>
      <w:r w:rsidR="00883BE9" w:rsidRPr="001B2BD5">
        <w:rPr>
          <w:lang w:val="es-ES_tradnl"/>
        </w:rPr>
        <w:t xml:space="preserve"> (</w:t>
      </w:r>
      <w:r w:rsidR="003307E0" w:rsidRPr="001B2BD5">
        <w:rPr>
          <w:lang w:val="es-ES_tradnl"/>
        </w:rPr>
        <w:t xml:space="preserve">véase el </w:t>
      </w:r>
      <w:r w:rsidR="00B729BB" w:rsidRPr="001B2BD5">
        <w:rPr>
          <w:lang w:val="es-ES_tradnl"/>
        </w:rPr>
        <w:t>documento</w:t>
      </w:r>
      <w:r w:rsidR="00883BE9" w:rsidRPr="001B2BD5">
        <w:rPr>
          <w:lang w:val="es-ES_tradnl"/>
        </w:rPr>
        <w:t xml:space="preserve"> A/35/15</w:t>
      </w:r>
      <w:r w:rsidR="00B729BB" w:rsidRPr="001B2BD5">
        <w:rPr>
          <w:lang w:val="es-ES_tradnl"/>
        </w:rPr>
        <w:t xml:space="preserve">: </w:t>
      </w:r>
      <w:r w:rsidR="003307E0" w:rsidRPr="001B2BD5">
        <w:rPr>
          <w:lang w:val="es-ES_tradnl"/>
        </w:rPr>
        <w:t>informe de la 35ª serie de reuniones de las Asambleas</w:t>
      </w:r>
      <w:r w:rsidR="00883BE9" w:rsidRPr="001B2BD5">
        <w:rPr>
          <w:lang w:val="es-ES_tradnl"/>
        </w:rPr>
        <w:t>)</w:t>
      </w:r>
      <w:r w:rsidR="003307E0" w:rsidRPr="001B2BD5">
        <w:rPr>
          <w:lang w:val="es-ES_tradnl"/>
        </w:rPr>
        <w:t>.</w:t>
      </w:r>
      <w:r w:rsidR="00883BE9" w:rsidRPr="001B2BD5">
        <w:rPr>
          <w:lang w:val="es-ES_tradnl"/>
        </w:rPr>
        <w:t xml:space="preserve"> </w:t>
      </w:r>
    </w:p>
    <w:p w:rsidR="00883BE9" w:rsidRPr="001B2BD5" w:rsidRDefault="00C03305" w:rsidP="0066138B">
      <w:pPr>
        <w:pStyle w:val="ONUMFS"/>
        <w:rPr>
          <w:lang w:val="es-ES_tradnl"/>
        </w:rPr>
      </w:pPr>
      <w:r w:rsidRPr="001B2BD5">
        <w:rPr>
          <w:lang w:val="es-ES_tradnl"/>
        </w:rPr>
        <w:t>Diez</w:t>
      </w:r>
      <w:r w:rsidR="003307E0" w:rsidRPr="001B2BD5">
        <w:rPr>
          <w:lang w:val="es-ES_tradnl"/>
        </w:rPr>
        <w:t xml:space="preserve"> años después, en 2010, tras un examen de las</w:t>
      </w:r>
      <w:r w:rsidR="00883BE9" w:rsidRPr="001B2BD5">
        <w:rPr>
          <w:lang w:val="es-ES_tradnl"/>
        </w:rPr>
        <w:t xml:space="preserve"> </w:t>
      </w:r>
      <w:r w:rsidR="00A346FA" w:rsidRPr="001B2BD5">
        <w:rPr>
          <w:lang w:val="es-ES_tradnl"/>
        </w:rPr>
        <w:t>políticas</w:t>
      </w:r>
      <w:r w:rsidRPr="001B2BD5">
        <w:rPr>
          <w:lang w:val="es-ES_tradnl"/>
        </w:rPr>
        <w:t xml:space="preserve"> y prácticas existentes, se estimó que seguían constituyendo una base sólida para una gestión financiera eficaz.  Sin embargo, en un contexto de crisis económica y financiera</w:t>
      </w:r>
      <w:r w:rsidR="00883BE9" w:rsidRPr="001B2BD5">
        <w:rPr>
          <w:lang w:val="es-ES_tradnl"/>
        </w:rPr>
        <w:t xml:space="preserve">, </w:t>
      </w:r>
      <w:r w:rsidRPr="001B2BD5">
        <w:rPr>
          <w:lang w:val="es-ES_tradnl"/>
        </w:rPr>
        <w:t xml:space="preserve">la importancia de mantener </w:t>
      </w:r>
      <w:r w:rsidR="00AA3FE4" w:rsidRPr="001B2BD5">
        <w:rPr>
          <w:lang w:val="es-ES_tradnl"/>
        </w:rPr>
        <w:t xml:space="preserve">reservas </w:t>
      </w:r>
      <w:r w:rsidRPr="001B2BD5">
        <w:rPr>
          <w:lang w:val="es-ES_tradnl"/>
        </w:rPr>
        <w:t xml:space="preserve">sanas y de evitar </w:t>
      </w:r>
      <w:r w:rsidR="008E48CB" w:rsidRPr="001B2BD5">
        <w:rPr>
          <w:lang w:val="es-ES_tradnl"/>
        </w:rPr>
        <w:t>el</w:t>
      </w:r>
      <w:r w:rsidRPr="001B2BD5">
        <w:rPr>
          <w:lang w:val="es-ES_tradnl"/>
        </w:rPr>
        <w:t xml:space="preserve"> </w:t>
      </w:r>
      <w:r w:rsidR="00B729BB" w:rsidRPr="001B2BD5">
        <w:rPr>
          <w:lang w:val="es-ES_tradnl"/>
        </w:rPr>
        <w:t>déficit</w:t>
      </w:r>
      <w:r w:rsidRPr="001B2BD5">
        <w:rPr>
          <w:lang w:val="es-ES_tradnl"/>
        </w:rPr>
        <w:t xml:space="preserve"> </w:t>
      </w:r>
      <w:r w:rsidR="00006F7C" w:rsidRPr="001B2BD5">
        <w:rPr>
          <w:lang w:val="es-ES_tradnl"/>
        </w:rPr>
        <w:t>acentuó</w:t>
      </w:r>
      <w:r w:rsidRPr="001B2BD5">
        <w:rPr>
          <w:lang w:val="es-ES_tradnl"/>
        </w:rPr>
        <w:t xml:space="preserve"> la necesidad de </w:t>
      </w:r>
      <w:r w:rsidR="00006F7C" w:rsidRPr="001B2BD5">
        <w:rPr>
          <w:lang w:val="es-ES_tradnl"/>
        </w:rPr>
        <w:t>someter</w:t>
      </w:r>
      <w:r w:rsidRPr="001B2BD5">
        <w:rPr>
          <w:lang w:val="es-ES_tradnl"/>
        </w:rPr>
        <w:t xml:space="preserve"> </w:t>
      </w:r>
      <w:r w:rsidR="00006F7C" w:rsidRPr="001B2BD5">
        <w:rPr>
          <w:lang w:val="es-ES_tradnl"/>
        </w:rPr>
        <w:t>la utilización d</w:t>
      </w:r>
      <w:r w:rsidRPr="001B2BD5">
        <w:rPr>
          <w:lang w:val="es-ES_tradnl"/>
        </w:rPr>
        <w:t>e las r</w:t>
      </w:r>
      <w:r w:rsidR="00AA3FE4" w:rsidRPr="001B2BD5">
        <w:rPr>
          <w:lang w:val="es-ES_tradnl"/>
        </w:rPr>
        <w:t xml:space="preserve">eservas </w:t>
      </w:r>
      <w:r w:rsidRPr="001B2BD5">
        <w:rPr>
          <w:lang w:val="es-ES_tradnl"/>
        </w:rPr>
        <w:t xml:space="preserve">a criterios y principios claros y bien </w:t>
      </w:r>
      <w:r w:rsidR="00B729BB" w:rsidRPr="001B2BD5">
        <w:rPr>
          <w:lang w:val="es-ES_tradnl"/>
        </w:rPr>
        <w:t>documentados</w:t>
      </w:r>
      <w:r w:rsidRPr="001B2BD5">
        <w:rPr>
          <w:lang w:val="es-ES_tradnl"/>
        </w:rPr>
        <w:t xml:space="preserve">, </w:t>
      </w:r>
      <w:r w:rsidR="00006F7C" w:rsidRPr="001B2BD5">
        <w:rPr>
          <w:lang w:val="es-ES_tradnl"/>
        </w:rPr>
        <w:t>y</w:t>
      </w:r>
      <w:r w:rsidRPr="001B2BD5">
        <w:rPr>
          <w:lang w:val="es-ES_tradnl"/>
        </w:rPr>
        <w:t xml:space="preserve"> a un </w:t>
      </w:r>
      <w:r w:rsidR="00B729BB" w:rsidRPr="001B2BD5">
        <w:rPr>
          <w:lang w:val="es-ES_tradnl"/>
        </w:rPr>
        <w:t>mecanismo</w:t>
      </w:r>
      <w:r w:rsidRPr="001B2BD5">
        <w:rPr>
          <w:lang w:val="es-ES_tradnl"/>
        </w:rPr>
        <w:t xml:space="preserve"> de </w:t>
      </w:r>
      <w:r w:rsidR="00B729BB" w:rsidRPr="001B2BD5">
        <w:rPr>
          <w:lang w:val="es-ES_tradnl"/>
        </w:rPr>
        <w:t>aprobación</w:t>
      </w:r>
      <w:r w:rsidRPr="001B2BD5">
        <w:rPr>
          <w:lang w:val="es-ES_tradnl"/>
        </w:rPr>
        <w:t xml:space="preserve"> bien definido</w:t>
      </w:r>
      <w:r w:rsidR="00006F7C" w:rsidRPr="001B2BD5">
        <w:rPr>
          <w:lang w:val="es-ES_tradnl"/>
        </w:rPr>
        <w:t xml:space="preserve">.  Así pues, </w:t>
      </w:r>
      <w:r w:rsidRPr="001B2BD5">
        <w:rPr>
          <w:lang w:val="es-ES_tradnl"/>
        </w:rPr>
        <w:t>los E</w:t>
      </w:r>
      <w:r w:rsidR="00A346FA" w:rsidRPr="001B2BD5">
        <w:rPr>
          <w:lang w:val="es-ES_tradnl"/>
        </w:rPr>
        <w:t xml:space="preserve">stados miembros </w:t>
      </w:r>
      <w:r w:rsidRPr="001B2BD5">
        <w:rPr>
          <w:lang w:val="es-ES_tradnl"/>
        </w:rPr>
        <w:t xml:space="preserve">examinaron y </w:t>
      </w:r>
      <w:r w:rsidR="00B729BB" w:rsidRPr="001B2BD5">
        <w:rPr>
          <w:lang w:val="es-ES_tradnl"/>
        </w:rPr>
        <w:t>aprobaron</w:t>
      </w:r>
      <w:r w:rsidRPr="001B2BD5">
        <w:rPr>
          <w:lang w:val="es-ES_tradnl"/>
        </w:rPr>
        <w:t xml:space="preserve"> la política sobre los fondos de reserva y los principios aplicados en relación con el uso de las reservas</w:t>
      </w:r>
      <w:r w:rsidR="00AA3FE4" w:rsidRPr="001B2BD5">
        <w:rPr>
          <w:lang w:val="es-ES_tradnl"/>
        </w:rPr>
        <w:t xml:space="preserve"> </w:t>
      </w:r>
      <w:r w:rsidR="00883BE9" w:rsidRPr="001B2BD5">
        <w:rPr>
          <w:lang w:val="es-ES_tradnl"/>
        </w:rPr>
        <w:t xml:space="preserve"> (</w:t>
      </w:r>
      <w:r w:rsidRPr="001B2BD5">
        <w:rPr>
          <w:lang w:val="es-ES_tradnl"/>
        </w:rPr>
        <w:t xml:space="preserve">véase </w:t>
      </w:r>
      <w:r w:rsidR="00B729BB" w:rsidRPr="001B2BD5">
        <w:rPr>
          <w:lang w:val="es-ES_tradnl"/>
        </w:rPr>
        <w:t>el documento</w:t>
      </w:r>
      <w:r w:rsidR="00883BE9" w:rsidRPr="001B2BD5">
        <w:rPr>
          <w:lang w:val="es-ES_tradnl"/>
        </w:rPr>
        <w:t xml:space="preserve"> A/48/15</w:t>
      </w:r>
      <w:r w:rsidR="00B729BB" w:rsidRPr="001B2BD5">
        <w:rPr>
          <w:lang w:val="es-ES_tradnl"/>
        </w:rPr>
        <w:t>: informe de la 48ª serie de reuniones de las Asambleas</w:t>
      </w:r>
      <w:r w:rsidR="00883BE9" w:rsidRPr="001B2BD5">
        <w:rPr>
          <w:lang w:val="es-ES_tradnl"/>
        </w:rPr>
        <w:t xml:space="preserve">). </w:t>
      </w:r>
    </w:p>
    <w:p w:rsidR="00883BE9" w:rsidRPr="001B2BD5" w:rsidRDefault="00B729BB" w:rsidP="0066138B">
      <w:pPr>
        <w:pStyle w:val="ONUMFS"/>
        <w:rPr>
          <w:lang w:val="es-ES_tradnl"/>
        </w:rPr>
      </w:pPr>
      <w:r w:rsidRPr="001B2BD5">
        <w:rPr>
          <w:lang w:val="es-ES_tradnl"/>
        </w:rPr>
        <w:t xml:space="preserve">La planificación, utilización y </w:t>
      </w:r>
      <w:r w:rsidR="00006F7C" w:rsidRPr="001B2BD5">
        <w:rPr>
          <w:lang w:val="es-ES_tradnl"/>
        </w:rPr>
        <w:t>notificación de</w:t>
      </w:r>
      <w:r w:rsidRPr="001B2BD5">
        <w:rPr>
          <w:lang w:val="es-ES_tradnl"/>
        </w:rPr>
        <w:t xml:space="preserve"> los</w:t>
      </w:r>
      <w:r w:rsidR="00883BE9" w:rsidRPr="001B2BD5">
        <w:rPr>
          <w:lang w:val="es-ES_tradnl"/>
        </w:rPr>
        <w:t xml:space="preserve"> </w:t>
      </w:r>
      <w:r w:rsidR="00A346FA" w:rsidRPr="001B2BD5">
        <w:rPr>
          <w:lang w:val="es-ES_tradnl"/>
        </w:rPr>
        <w:t>fondos de reserva y de operaciones</w:t>
      </w:r>
      <w:r w:rsidRPr="001B2BD5">
        <w:rPr>
          <w:lang w:val="es-ES_tradnl"/>
        </w:rPr>
        <w:t xml:space="preserve"> se rigen ahora por los tratados de la </w:t>
      </w:r>
      <w:r w:rsidR="00AA3FE4" w:rsidRPr="001B2BD5">
        <w:rPr>
          <w:lang w:val="es-ES_tradnl"/>
        </w:rPr>
        <w:t>OMPI</w:t>
      </w:r>
      <w:r w:rsidRPr="001B2BD5">
        <w:rPr>
          <w:lang w:val="es-ES_tradnl"/>
        </w:rPr>
        <w:t>, las políticas de</w:t>
      </w:r>
      <w:r w:rsidR="00883BE9" w:rsidRPr="001B2BD5">
        <w:rPr>
          <w:lang w:val="es-ES_tradnl"/>
        </w:rPr>
        <w:t xml:space="preserve"> </w:t>
      </w:r>
      <w:r w:rsidRPr="001B2BD5">
        <w:rPr>
          <w:lang w:val="es-ES_tradnl"/>
        </w:rPr>
        <w:t>reservas de</w:t>
      </w:r>
      <w:r w:rsidR="00883BE9" w:rsidRPr="001B2BD5">
        <w:rPr>
          <w:lang w:val="es-ES_tradnl"/>
        </w:rPr>
        <w:t xml:space="preserve"> </w:t>
      </w:r>
      <w:r w:rsidR="00AA3FE4" w:rsidRPr="001B2BD5">
        <w:rPr>
          <w:lang w:val="es-ES_tradnl"/>
        </w:rPr>
        <w:t>la OMPI</w:t>
      </w:r>
      <w:r w:rsidR="00A346FA" w:rsidRPr="001B2BD5">
        <w:rPr>
          <w:lang w:val="es-ES_tradnl"/>
        </w:rPr>
        <w:t xml:space="preserve"> </w:t>
      </w:r>
      <w:r w:rsidR="00883BE9" w:rsidRPr="001B2BD5">
        <w:rPr>
          <w:lang w:val="es-ES_tradnl"/>
        </w:rPr>
        <w:t xml:space="preserve"> (2000 </w:t>
      </w:r>
      <w:r w:rsidRPr="001B2BD5">
        <w:rPr>
          <w:lang w:val="es-ES_tradnl"/>
        </w:rPr>
        <w:t>y</w:t>
      </w:r>
      <w:r w:rsidR="00883BE9" w:rsidRPr="001B2BD5">
        <w:rPr>
          <w:lang w:val="es-ES_tradnl"/>
        </w:rPr>
        <w:t xml:space="preserve"> 2010) </w:t>
      </w:r>
      <w:r w:rsidRPr="001B2BD5">
        <w:rPr>
          <w:lang w:val="es-ES_tradnl"/>
        </w:rPr>
        <w:t xml:space="preserve">y las </w:t>
      </w:r>
      <w:r w:rsidR="00883BE9" w:rsidRPr="001B2BD5">
        <w:rPr>
          <w:lang w:val="es-ES_tradnl"/>
        </w:rPr>
        <w:t>IPSAS (</w:t>
      </w:r>
      <w:r w:rsidRPr="001B2BD5">
        <w:rPr>
          <w:lang w:val="es-ES_tradnl"/>
        </w:rPr>
        <w:t>norma contables de la OMPI</w:t>
      </w:r>
      <w:r w:rsidR="00883BE9" w:rsidRPr="001B2BD5">
        <w:rPr>
          <w:lang w:val="es-ES_tradnl"/>
        </w:rPr>
        <w:t>).</w:t>
      </w:r>
      <w:r w:rsidRPr="001B2BD5">
        <w:rPr>
          <w:lang w:val="es-ES_tradnl"/>
        </w:rPr>
        <w:t xml:space="preserve">  Las prácticas actuales en </w:t>
      </w:r>
      <w:r w:rsidR="00006F7C" w:rsidRPr="001B2BD5">
        <w:rPr>
          <w:lang w:val="es-ES_tradnl"/>
        </w:rPr>
        <w:t>relación con</w:t>
      </w:r>
      <w:r w:rsidRPr="001B2BD5">
        <w:rPr>
          <w:lang w:val="es-ES_tradnl"/>
        </w:rPr>
        <w:t xml:space="preserve"> los </w:t>
      </w:r>
      <w:r w:rsidR="00A346FA" w:rsidRPr="001B2BD5">
        <w:rPr>
          <w:lang w:val="es-ES_tradnl"/>
        </w:rPr>
        <w:t xml:space="preserve">fondos de reserva y de operaciones </w:t>
      </w:r>
      <w:r w:rsidRPr="001B2BD5">
        <w:rPr>
          <w:lang w:val="es-ES_tradnl"/>
        </w:rPr>
        <w:t>reflejan fielmente las políticas de la O</w:t>
      </w:r>
      <w:r w:rsidR="00AA3FE4" w:rsidRPr="001B2BD5">
        <w:rPr>
          <w:lang w:val="es-ES_tradnl"/>
        </w:rPr>
        <w:t>rganizació</w:t>
      </w:r>
      <w:r w:rsidRPr="001B2BD5">
        <w:rPr>
          <w:lang w:val="es-ES_tradnl"/>
        </w:rPr>
        <w:t>n</w:t>
      </w:r>
      <w:r w:rsidR="00883BE9" w:rsidRPr="001B2BD5">
        <w:rPr>
          <w:lang w:val="es-ES_tradnl"/>
        </w:rPr>
        <w:t>.</w:t>
      </w:r>
    </w:p>
    <w:p w:rsidR="00883BE9" w:rsidRPr="001B2BD5" w:rsidRDefault="00883BE9" w:rsidP="0066138B">
      <w:pPr>
        <w:rPr>
          <w:lang w:val="es-ES_tradnl"/>
        </w:rPr>
      </w:pPr>
    </w:p>
    <w:p w:rsidR="00883BE9" w:rsidRPr="001B2BD5" w:rsidRDefault="00597865" w:rsidP="0066138B">
      <w:pPr>
        <w:pStyle w:val="Heading1"/>
        <w:spacing w:before="0" w:after="0"/>
        <w:rPr>
          <w:lang w:val="es-ES_tradnl"/>
        </w:rPr>
      </w:pPr>
      <w:r w:rsidRPr="001B2BD5">
        <w:rPr>
          <w:lang w:val="es-ES_tradnl"/>
        </w:rPr>
        <w:t>situación financiera</w:t>
      </w:r>
      <w:r w:rsidR="00B729BB" w:rsidRPr="001B2BD5">
        <w:rPr>
          <w:b w:val="0"/>
          <w:bCs w:val="0"/>
          <w:caps w:val="0"/>
          <w:kern w:val="0"/>
          <w:szCs w:val="20"/>
          <w:lang w:val="es-ES_tradnl"/>
        </w:rPr>
        <w:t xml:space="preserve"> </w:t>
      </w:r>
      <w:r w:rsidR="00B729BB" w:rsidRPr="001B2BD5">
        <w:rPr>
          <w:lang w:val="es-ES_tradnl"/>
        </w:rPr>
        <w:t xml:space="preserve">de la OMPI </w:t>
      </w:r>
      <w:r w:rsidR="00883BE9" w:rsidRPr="001B2BD5">
        <w:rPr>
          <w:lang w:val="es-ES_tradnl"/>
        </w:rPr>
        <w:t>(</w:t>
      </w:r>
      <w:r w:rsidRPr="001B2BD5">
        <w:rPr>
          <w:lang w:val="es-ES_tradnl"/>
        </w:rPr>
        <w:t xml:space="preserve">activos </w:t>
      </w:r>
      <w:r w:rsidR="00826B93" w:rsidRPr="001B2BD5">
        <w:rPr>
          <w:lang w:val="es-ES_tradnl"/>
        </w:rPr>
        <w:t xml:space="preserve"> netos</w:t>
      </w:r>
      <w:r w:rsidR="00883BE9" w:rsidRPr="001B2BD5">
        <w:rPr>
          <w:lang w:val="es-ES_tradnl"/>
        </w:rPr>
        <w:t>)</w:t>
      </w:r>
      <w:r w:rsidR="00B729BB" w:rsidRPr="001B2BD5">
        <w:rPr>
          <w:lang w:val="es-ES_tradnl"/>
        </w:rPr>
        <w:t>,</w:t>
      </w:r>
      <w:r w:rsidR="00883BE9" w:rsidRPr="001B2BD5">
        <w:rPr>
          <w:lang w:val="es-ES_tradnl"/>
        </w:rPr>
        <w:t xml:space="preserve"> 2013</w:t>
      </w:r>
    </w:p>
    <w:p w:rsidR="00883BE9" w:rsidRPr="001B2BD5" w:rsidRDefault="00883BE9" w:rsidP="0066138B">
      <w:pPr>
        <w:pStyle w:val="Heading1"/>
        <w:spacing w:before="0" w:after="0"/>
        <w:rPr>
          <w:lang w:val="es-ES_tradnl"/>
        </w:rPr>
      </w:pPr>
    </w:p>
    <w:p w:rsidR="00883BE9" w:rsidRPr="001B2BD5" w:rsidRDefault="00B729BB" w:rsidP="0066138B">
      <w:pPr>
        <w:pStyle w:val="ONUMFS"/>
        <w:rPr>
          <w:lang w:val="es-ES_tradnl"/>
        </w:rPr>
      </w:pPr>
      <w:r w:rsidRPr="001B2BD5">
        <w:rPr>
          <w:lang w:val="es-ES_tradnl"/>
        </w:rPr>
        <w:t xml:space="preserve">Los </w:t>
      </w:r>
      <w:r w:rsidR="00597865" w:rsidRPr="001B2BD5">
        <w:rPr>
          <w:lang w:val="es-ES_tradnl"/>
        </w:rPr>
        <w:t>activos netos</w:t>
      </w:r>
      <w:r w:rsidRPr="001B2BD5">
        <w:rPr>
          <w:lang w:val="es-ES_tradnl"/>
        </w:rPr>
        <w:t xml:space="preserve"> a </w:t>
      </w:r>
      <w:r w:rsidR="00C0236D" w:rsidRPr="001B2BD5">
        <w:rPr>
          <w:lang w:val="es-ES_tradnl"/>
        </w:rPr>
        <w:t>finales</w:t>
      </w:r>
      <w:r w:rsidRPr="001B2BD5">
        <w:rPr>
          <w:lang w:val="es-ES_tradnl"/>
        </w:rPr>
        <w:t xml:space="preserve"> del ejercicio </w:t>
      </w:r>
      <w:r w:rsidR="00C0236D" w:rsidRPr="001B2BD5">
        <w:rPr>
          <w:lang w:val="es-ES_tradnl"/>
        </w:rPr>
        <w:t>financiero</w:t>
      </w:r>
      <w:r w:rsidR="00883BE9" w:rsidRPr="001B2BD5">
        <w:rPr>
          <w:lang w:val="es-ES_tradnl"/>
        </w:rPr>
        <w:t xml:space="preserve"> 2013 </w:t>
      </w:r>
      <w:r w:rsidRPr="001B2BD5">
        <w:rPr>
          <w:lang w:val="es-ES_tradnl"/>
        </w:rPr>
        <w:t>ascend</w:t>
      </w:r>
      <w:r w:rsidR="00214EEF">
        <w:rPr>
          <w:lang w:val="es-ES_tradnl"/>
        </w:rPr>
        <w:t>ían</w:t>
      </w:r>
      <w:r w:rsidRPr="001B2BD5">
        <w:rPr>
          <w:lang w:val="es-ES_tradnl"/>
        </w:rPr>
        <w:t xml:space="preserve"> a </w:t>
      </w:r>
      <w:r w:rsidR="00883BE9" w:rsidRPr="001B2BD5">
        <w:rPr>
          <w:lang w:val="es-ES_tradnl"/>
        </w:rPr>
        <w:t>208</w:t>
      </w:r>
      <w:r w:rsidRPr="001B2BD5">
        <w:rPr>
          <w:lang w:val="es-ES_tradnl"/>
        </w:rPr>
        <w:t>,</w:t>
      </w:r>
      <w:r w:rsidR="00883BE9" w:rsidRPr="001B2BD5">
        <w:rPr>
          <w:lang w:val="es-ES_tradnl"/>
        </w:rPr>
        <w:t>8 mill</w:t>
      </w:r>
      <w:r w:rsidRPr="001B2BD5">
        <w:rPr>
          <w:lang w:val="es-ES_tradnl"/>
        </w:rPr>
        <w:t>ones de francos suizos</w:t>
      </w:r>
      <w:r w:rsidR="00883BE9" w:rsidRPr="001B2BD5">
        <w:rPr>
          <w:lang w:val="es-ES_tradnl"/>
        </w:rPr>
        <w:t xml:space="preserve">.  </w:t>
      </w:r>
      <w:r w:rsidRPr="001B2BD5">
        <w:rPr>
          <w:lang w:val="es-ES_tradnl"/>
        </w:rPr>
        <w:t xml:space="preserve">De ese total, </w:t>
      </w:r>
      <w:r w:rsidR="00883BE9" w:rsidRPr="001B2BD5">
        <w:rPr>
          <w:lang w:val="es-ES_tradnl"/>
        </w:rPr>
        <w:t>15</w:t>
      </w:r>
      <w:r w:rsidRPr="001B2BD5">
        <w:rPr>
          <w:lang w:val="es-ES_tradnl"/>
        </w:rPr>
        <w:t>,</w:t>
      </w:r>
      <w:r w:rsidR="00883BE9" w:rsidRPr="001B2BD5">
        <w:rPr>
          <w:lang w:val="es-ES_tradnl"/>
        </w:rPr>
        <w:t xml:space="preserve">1 </w:t>
      </w:r>
      <w:r w:rsidR="00A346FA" w:rsidRPr="001B2BD5">
        <w:rPr>
          <w:lang w:val="es-ES_tradnl"/>
        </w:rPr>
        <w:t>millones</w:t>
      </w:r>
      <w:r w:rsidRPr="001B2BD5">
        <w:rPr>
          <w:lang w:val="es-ES_tradnl"/>
        </w:rPr>
        <w:t xml:space="preserve"> </w:t>
      </w:r>
      <w:r w:rsidR="00C0236D" w:rsidRPr="001B2BD5">
        <w:rPr>
          <w:lang w:val="es-ES_tradnl"/>
        </w:rPr>
        <w:t>corresponden</w:t>
      </w:r>
      <w:r w:rsidRPr="001B2BD5">
        <w:rPr>
          <w:lang w:val="es-ES_tradnl"/>
        </w:rPr>
        <w:t xml:space="preserve"> a la </w:t>
      </w:r>
      <w:r w:rsidR="00C0236D" w:rsidRPr="001B2BD5">
        <w:rPr>
          <w:lang w:val="es-ES_tradnl"/>
        </w:rPr>
        <w:t>revaluación</w:t>
      </w:r>
      <w:r w:rsidRPr="001B2BD5">
        <w:rPr>
          <w:lang w:val="es-ES_tradnl"/>
        </w:rPr>
        <w:t xml:space="preserve"> de </w:t>
      </w:r>
      <w:r w:rsidR="00C0236D" w:rsidRPr="001B2BD5">
        <w:rPr>
          <w:lang w:val="es-ES_tradnl"/>
        </w:rPr>
        <w:t>reservas</w:t>
      </w:r>
      <w:r w:rsidRPr="001B2BD5">
        <w:rPr>
          <w:lang w:val="es-ES_tradnl"/>
        </w:rPr>
        <w:t xml:space="preserve"> </w:t>
      </w:r>
      <w:r w:rsidR="00C0236D" w:rsidRPr="001B2BD5">
        <w:rPr>
          <w:lang w:val="es-ES_tradnl"/>
        </w:rPr>
        <w:t>realizada tras el ejercicio de revaloración</w:t>
      </w:r>
      <w:r w:rsidR="00883BE9" w:rsidRPr="001B2BD5">
        <w:rPr>
          <w:lang w:val="es-ES_tradnl"/>
        </w:rPr>
        <w:t xml:space="preserve"> (</w:t>
      </w:r>
      <w:r w:rsidR="00C0236D" w:rsidRPr="001B2BD5">
        <w:rPr>
          <w:lang w:val="es-ES_tradnl"/>
        </w:rPr>
        <w:t xml:space="preserve">del valor histórico al valor razonable) del terreno propiedad de la </w:t>
      </w:r>
      <w:r w:rsidR="00AA3FE4" w:rsidRPr="001B2BD5">
        <w:rPr>
          <w:lang w:val="es-ES_tradnl"/>
        </w:rPr>
        <w:t>Organización</w:t>
      </w:r>
      <w:r w:rsidR="00006F7C" w:rsidRPr="001B2BD5">
        <w:rPr>
          <w:lang w:val="es-ES_tradnl"/>
        </w:rPr>
        <w:t>,</w:t>
      </w:r>
      <w:r w:rsidR="00883BE9" w:rsidRPr="001B2BD5">
        <w:rPr>
          <w:lang w:val="es-ES_tradnl"/>
        </w:rPr>
        <w:t xml:space="preserve"> </w:t>
      </w:r>
      <w:r w:rsidR="001719F2" w:rsidRPr="001B2BD5">
        <w:rPr>
          <w:lang w:val="es-ES_tradnl"/>
        </w:rPr>
        <w:t xml:space="preserve">8,3 millones corresponden a </w:t>
      </w:r>
      <w:r w:rsidR="00C0236D" w:rsidRPr="001B2BD5">
        <w:rPr>
          <w:lang w:val="es-ES_tradnl"/>
        </w:rPr>
        <w:t>los fondos</w:t>
      </w:r>
      <w:r w:rsidR="001719F2" w:rsidRPr="001B2BD5">
        <w:rPr>
          <w:lang w:val="es-ES_tradnl"/>
        </w:rPr>
        <w:t xml:space="preserve"> de operaciones</w:t>
      </w:r>
      <w:r w:rsidR="00C0236D" w:rsidRPr="001B2BD5">
        <w:rPr>
          <w:lang w:val="es-ES_tradnl"/>
        </w:rPr>
        <w:t xml:space="preserve"> y </w:t>
      </w:r>
      <w:r w:rsidR="001719F2" w:rsidRPr="001B2BD5">
        <w:rPr>
          <w:lang w:val="es-ES_tradnl"/>
        </w:rPr>
        <w:t>los superávit acumulados representaron</w:t>
      </w:r>
      <w:r w:rsidR="00C0236D" w:rsidRPr="001B2BD5">
        <w:rPr>
          <w:lang w:val="es-ES_tradnl"/>
        </w:rPr>
        <w:t xml:space="preserve"> </w:t>
      </w:r>
      <w:r w:rsidR="00883BE9" w:rsidRPr="001B2BD5">
        <w:rPr>
          <w:lang w:val="es-ES_tradnl"/>
        </w:rPr>
        <w:t>185</w:t>
      </w:r>
      <w:r w:rsidR="00C0236D" w:rsidRPr="001B2BD5">
        <w:rPr>
          <w:lang w:val="es-ES_tradnl"/>
        </w:rPr>
        <w:t>,</w:t>
      </w:r>
      <w:r w:rsidR="00883BE9" w:rsidRPr="001B2BD5">
        <w:rPr>
          <w:lang w:val="es-ES_tradnl"/>
        </w:rPr>
        <w:t xml:space="preserve">4 </w:t>
      </w:r>
      <w:r w:rsidR="00A346FA" w:rsidRPr="001B2BD5">
        <w:rPr>
          <w:lang w:val="es-ES_tradnl"/>
        </w:rPr>
        <w:t>millones de francos suizos</w:t>
      </w:r>
      <w:r w:rsidR="00C0236D" w:rsidRPr="001B2BD5">
        <w:rPr>
          <w:lang w:val="es-ES_tradnl"/>
        </w:rPr>
        <w:t>.  Según la política de la O</w:t>
      </w:r>
      <w:r w:rsidR="00AA3FE4" w:rsidRPr="001B2BD5">
        <w:rPr>
          <w:lang w:val="es-ES_tradnl"/>
        </w:rPr>
        <w:t>rganización</w:t>
      </w:r>
      <w:r w:rsidR="00C0236D" w:rsidRPr="001B2BD5">
        <w:rPr>
          <w:lang w:val="es-ES_tradnl"/>
        </w:rPr>
        <w:t xml:space="preserve">, los fondos excedentarios acumulados que superen el nivel </w:t>
      </w:r>
      <w:r w:rsidR="001719F2" w:rsidRPr="001B2BD5">
        <w:rPr>
          <w:lang w:val="es-ES_tradnl"/>
        </w:rPr>
        <w:t>previsto</w:t>
      </w:r>
      <w:r w:rsidR="00C0236D" w:rsidRPr="001B2BD5">
        <w:rPr>
          <w:lang w:val="es-ES_tradnl"/>
        </w:rPr>
        <w:t xml:space="preserve"> pueden </w:t>
      </w:r>
      <w:r w:rsidR="001719F2" w:rsidRPr="001B2BD5">
        <w:rPr>
          <w:lang w:val="es-ES_tradnl"/>
        </w:rPr>
        <w:t>utilizarse</w:t>
      </w:r>
      <w:r w:rsidR="00C0236D" w:rsidRPr="001B2BD5">
        <w:rPr>
          <w:lang w:val="es-ES_tradnl"/>
        </w:rPr>
        <w:t xml:space="preserve"> para proyectos, p</w:t>
      </w:r>
      <w:r w:rsidR="001719F2" w:rsidRPr="001B2BD5">
        <w:rPr>
          <w:lang w:val="es-ES_tradnl"/>
        </w:rPr>
        <w:t>or</w:t>
      </w:r>
      <w:r w:rsidR="00C0236D" w:rsidRPr="001B2BD5">
        <w:rPr>
          <w:lang w:val="es-ES_tradnl"/>
        </w:rPr>
        <w:t xml:space="preserve"> decisión de las </w:t>
      </w:r>
      <w:r w:rsidR="00883BE9" w:rsidRPr="001B2BD5">
        <w:rPr>
          <w:lang w:val="es-ES_tradnl"/>
        </w:rPr>
        <w:t>As</w:t>
      </w:r>
      <w:r w:rsidR="00C0236D" w:rsidRPr="001B2BD5">
        <w:rPr>
          <w:lang w:val="es-ES_tradnl"/>
        </w:rPr>
        <w:t>ambleas</w:t>
      </w:r>
      <w:r w:rsidR="00883BE9" w:rsidRPr="001B2BD5">
        <w:rPr>
          <w:lang w:val="es-ES_tradnl"/>
        </w:rPr>
        <w:t xml:space="preserve">. </w:t>
      </w:r>
    </w:p>
    <w:p w:rsidR="00883BE9" w:rsidRPr="001B2BD5" w:rsidRDefault="00C0236D" w:rsidP="0066138B">
      <w:pPr>
        <w:pStyle w:val="ONUMFS"/>
        <w:rPr>
          <w:lang w:val="es-ES_tradnl"/>
        </w:rPr>
      </w:pPr>
      <w:r w:rsidRPr="001B2BD5">
        <w:rPr>
          <w:lang w:val="es-ES_tradnl"/>
        </w:rPr>
        <w:t xml:space="preserve">A </w:t>
      </w:r>
      <w:r w:rsidR="00562DB0" w:rsidRPr="001B2BD5">
        <w:rPr>
          <w:lang w:val="es-ES_tradnl"/>
        </w:rPr>
        <w:t>diciembre</w:t>
      </w:r>
      <w:r w:rsidRPr="001B2BD5">
        <w:rPr>
          <w:lang w:val="es-ES_tradnl"/>
        </w:rPr>
        <w:t xml:space="preserve"> de </w:t>
      </w:r>
      <w:r w:rsidR="00883BE9" w:rsidRPr="001B2BD5">
        <w:rPr>
          <w:lang w:val="es-ES_tradnl"/>
        </w:rPr>
        <w:t xml:space="preserve">2013, </w:t>
      </w:r>
      <w:r w:rsidRPr="001B2BD5">
        <w:rPr>
          <w:lang w:val="es-ES_tradnl"/>
        </w:rPr>
        <w:t xml:space="preserve">el saldo de </w:t>
      </w:r>
      <w:r w:rsidR="001719F2" w:rsidRPr="001B2BD5">
        <w:rPr>
          <w:lang w:val="es-ES_tradnl"/>
        </w:rPr>
        <w:t xml:space="preserve">los </w:t>
      </w:r>
      <w:r w:rsidR="00562DB0" w:rsidRPr="001B2BD5">
        <w:rPr>
          <w:lang w:val="es-ES_tradnl"/>
        </w:rPr>
        <w:t>superávit</w:t>
      </w:r>
      <w:r w:rsidRPr="001B2BD5">
        <w:rPr>
          <w:lang w:val="es-ES_tradnl"/>
        </w:rPr>
        <w:t xml:space="preserve"> </w:t>
      </w:r>
      <w:r w:rsidR="00562DB0" w:rsidRPr="001B2BD5">
        <w:rPr>
          <w:lang w:val="es-ES_tradnl"/>
        </w:rPr>
        <w:t>acumulados</w:t>
      </w:r>
      <w:r w:rsidRPr="001B2BD5">
        <w:rPr>
          <w:lang w:val="es-ES_tradnl"/>
        </w:rPr>
        <w:t xml:space="preserve"> </w:t>
      </w:r>
      <w:r w:rsidR="001719F2" w:rsidRPr="001B2BD5">
        <w:rPr>
          <w:lang w:val="es-ES_tradnl"/>
        </w:rPr>
        <w:t>incluía</w:t>
      </w:r>
      <w:r w:rsidRPr="001B2BD5">
        <w:rPr>
          <w:lang w:val="es-ES_tradnl"/>
        </w:rPr>
        <w:t xml:space="preserve"> fondos que </w:t>
      </w:r>
      <w:r w:rsidR="00562DB0" w:rsidRPr="001B2BD5">
        <w:rPr>
          <w:lang w:val="es-ES_tradnl"/>
        </w:rPr>
        <w:t>habían</w:t>
      </w:r>
      <w:r w:rsidRPr="001B2BD5">
        <w:rPr>
          <w:lang w:val="es-ES_tradnl"/>
        </w:rPr>
        <w:t xml:space="preserve"> sido aprobados para proyectos especiales de </w:t>
      </w:r>
      <w:r w:rsidR="00562DB0" w:rsidRPr="001B2BD5">
        <w:rPr>
          <w:lang w:val="es-ES_tradnl"/>
        </w:rPr>
        <w:t>conformidad</w:t>
      </w:r>
      <w:r w:rsidRPr="001B2BD5">
        <w:rPr>
          <w:lang w:val="es-ES_tradnl"/>
        </w:rPr>
        <w:t xml:space="preserve"> con la</w:t>
      </w:r>
      <w:r w:rsidR="00562DB0" w:rsidRPr="001B2BD5">
        <w:rPr>
          <w:lang w:val="es-ES_tradnl"/>
        </w:rPr>
        <w:t xml:space="preserve"> política</w:t>
      </w:r>
      <w:r w:rsidRPr="001B2BD5">
        <w:rPr>
          <w:lang w:val="es-ES_tradnl"/>
        </w:rPr>
        <w:t xml:space="preserve"> </w:t>
      </w:r>
      <w:r w:rsidR="00562DB0" w:rsidRPr="001B2BD5">
        <w:rPr>
          <w:lang w:val="es-ES_tradnl"/>
        </w:rPr>
        <w:t>mencionada</w:t>
      </w:r>
      <w:r w:rsidRPr="001B2BD5">
        <w:rPr>
          <w:lang w:val="es-ES_tradnl"/>
        </w:rPr>
        <w:t>.  Esto incluye</w:t>
      </w:r>
      <w:r w:rsidR="00883BE9" w:rsidRPr="001B2BD5">
        <w:rPr>
          <w:lang w:val="es-ES_tradnl"/>
        </w:rPr>
        <w:t xml:space="preserve"> 24</w:t>
      </w:r>
      <w:r w:rsidRPr="001B2BD5">
        <w:rPr>
          <w:lang w:val="es-ES_tradnl"/>
        </w:rPr>
        <w:t>,</w:t>
      </w:r>
      <w:r w:rsidR="00883BE9" w:rsidRPr="001B2BD5">
        <w:rPr>
          <w:lang w:val="es-ES_tradnl"/>
        </w:rPr>
        <w:t xml:space="preserve">8 </w:t>
      </w:r>
      <w:r w:rsidR="00A346FA" w:rsidRPr="001B2BD5">
        <w:rPr>
          <w:lang w:val="es-ES_tradnl"/>
        </w:rPr>
        <w:t xml:space="preserve">millones de francos suizos </w:t>
      </w:r>
      <w:r w:rsidRPr="001B2BD5">
        <w:rPr>
          <w:lang w:val="es-ES_tradnl"/>
        </w:rPr>
        <w:t xml:space="preserve">para </w:t>
      </w:r>
      <w:r w:rsidR="00562DB0" w:rsidRPr="001B2BD5">
        <w:rPr>
          <w:lang w:val="es-ES_tradnl"/>
        </w:rPr>
        <w:t>proyectos</w:t>
      </w:r>
      <w:r w:rsidRPr="001B2BD5">
        <w:rPr>
          <w:lang w:val="es-ES_tradnl"/>
        </w:rPr>
        <w:t xml:space="preserve"> en curso al 31 de diciembre de </w:t>
      </w:r>
      <w:r w:rsidR="00883BE9" w:rsidRPr="001B2BD5">
        <w:rPr>
          <w:lang w:val="es-ES_tradnl"/>
        </w:rPr>
        <w:t xml:space="preserve">2013 </w:t>
      </w:r>
      <w:r w:rsidRPr="001B2BD5">
        <w:rPr>
          <w:lang w:val="es-ES_tradnl"/>
        </w:rPr>
        <w:t>y</w:t>
      </w:r>
      <w:r w:rsidR="00883BE9" w:rsidRPr="001B2BD5">
        <w:rPr>
          <w:lang w:val="es-ES_tradnl"/>
        </w:rPr>
        <w:t xml:space="preserve"> 11</w:t>
      </w:r>
      <w:r w:rsidRPr="001B2BD5">
        <w:rPr>
          <w:lang w:val="es-ES_tradnl"/>
        </w:rPr>
        <w:t>,</w:t>
      </w:r>
      <w:r w:rsidR="00883BE9" w:rsidRPr="001B2BD5">
        <w:rPr>
          <w:lang w:val="es-ES_tradnl"/>
        </w:rPr>
        <w:t xml:space="preserve">2 </w:t>
      </w:r>
      <w:r w:rsidR="00A346FA" w:rsidRPr="001B2BD5">
        <w:rPr>
          <w:lang w:val="es-ES_tradnl"/>
        </w:rPr>
        <w:t xml:space="preserve">millones </w:t>
      </w:r>
      <w:r w:rsidRPr="001B2BD5">
        <w:rPr>
          <w:lang w:val="es-ES_tradnl"/>
        </w:rPr>
        <w:t xml:space="preserve">para nuevos proyectos que </w:t>
      </w:r>
      <w:r w:rsidR="00562DB0" w:rsidRPr="001B2BD5">
        <w:rPr>
          <w:lang w:val="es-ES_tradnl"/>
        </w:rPr>
        <w:t xml:space="preserve">debían comenzar en </w:t>
      </w:r>
      <w:r w:rsidR="00883BE9" w:rsidRPr="001B2BD5">
        <w:rPr>
          <w:lang w:val="es-ES_tradnl"/>
        </w:rPr>
        <w:t>2014</w:t>
      </w:r>
      <w:r w:rsidR="00562DB0" w:rsidRPr="001B2BD5">
        <w:rPr>
          <w:lang w:val="es-ES_tradnl"/>
        </w:rPr>
        <w:t>, en el marco del plan maestro de mejoras de infraestructura</w:t>
      </w:r>
      <w:r w:rsidR="00883BE9" w:rsidRPr="001B2BD5">
        <w:rPr>
          <w:lang w:val="es-ES_tradnl"/>
        </w:rPr>
        <w:t xml:space="preserve">.  </w:t>
      </w:r>
      <w:r w:rsidR="00562DB0" w:rsidRPr="001B2BD5">
        <w:rPr>
          <w:lang w:val="es-ES_tradnl"/>
        </w:rPr>
        <w:t xml:space="preserve">Sigue habiendo un saldo de </w:t>
      </w:r>
      <w:r w:rsidR="00883BE9" w:rsidRPr="001B2BD5">
        <w:rPr>
          <w:lang w:val="es-ES_tradnl"/>
        </w:rPr>
        <w:t>23</w:t>
      </w:r>
      <w:r w:rsidR="00562DB0" w:rsidRPr="001B2BD5">
        <w:rPr>
          <w:lang w:val="es-ES_tradnl"/>
        </w:rPr>
        <w:t>,</w:t>
      </w:r>
      <w:r w:rsidR="00883BE9" w:rsidRPr="001B2BD5">
        <w:rPr>
          <w:lang w:val="es-ES_tradnl"/>
        </w:rPr>
        <w:t xml:space="preserve">3 </w:t>
      </w:r>
      <w:r w:rsidR="00A346FA" w:rsidRPr="001B2BD5">
        <w:rPr>
          <w:lang w:val="es-ES_tradnl"/>
        </w:rPr>
        <w:t xml:space="preserve">millones de francos suizos </w:t>
      </w:r>
      <w:r w:rsidR="00562DB0" w:rsidRPr="001B2BD5">
        <w:rPr>
          <w:lang w:val="es-ES_tradnl"/>
        </w:rPr>
        <w:t xml:space="preserve">para proyectos de construcción.  Se estima que estos últimos proyectos no incidirán en el nivel de los </w:t>
      </w:r>
      <w:r w:rsidR="00597865" w:rsidRPr="001B2BD5">
        <w:rPr>
          <w:lang w:val="es-ES_tradnl"/>
        </w:rPr>
        <w:t xml:space="preserve">activos </w:t>
      </w:r>
      <w:r w:rsidR="00A346FA" w:rsidRPr="001B2BD5">
        <w:rPr>
          <w:lang w:val="es-ES_tradnl"/>
        </w:rPr>
        <w:t>netos</w:t>
      </w:r>
      <w:r w:rsidR="00562DB0" w:rsidRPr="001B2BD5">
        <w:rPr>
          <w:lang w:val="es-ES_tradnl"/>
        </w:rPr>
        <w:t>, ya que los gastos incurridos durante la fase de construcción se capitalizarán como parte de las obras en curso</w:t>
      </w:r>
      <w:r w:rsidR="00883BE9" w:rsidRPr="001B2BD5">
        <w:rPr>
          <w:lang w:val="es-ES_tradnl"/>
        </w:rPr>
        <w:t xml:space="preserve">. </w:t>
      </w:r>
    </w:p>
    <w:p w:rsidR="00883BE9" w:rsidRPr="001B2BD5" w:rsidRDefault="00562DB0" w:rsidP="0066138B">
      <w:pPr>
        <w:pStyle w:val="ONUMFS"/>
        <w:rPr>
          <w:lang w:val="es-ES_tradnl"/>
        </w:rPr>
      </w:pPr>
      <w:r w:rsidRPr="001B2BD5">
        <w:rPr>
          <w:lang w:val="es-ES_tradnl"/>
        </w:rPr>
        <w:t>E</w:t>
      </w:r>
      <w:r w:rsidR="001719F2" w:rsidRPr="001B2BD5">
        <w:rPr>
          <w:lang w:val="es-ES_tradnl"/>
        </w:rPr>
        <w:t>n e</w:t>
      </w:r>
      <w:r w:rsidRPr="001B2BD5">
        <w:rPr>
          <w:lang w:val="es-ES_tradnl"/>
        </w:rPr>
        <w:t>l siguiente gr</w:t>
      </w:r>
      <w:r w:rsidR="00AE37EB" w:rsidRPr="001B2BD5">
        <w:rPr>
          <w:lang w:val="es-ES_tradnl"/>
        </w:rPr>
        <w:t>á</w:t>
      </w:r>
      <w:r w:rsidRPr="001B2BD5">
        <w:rPr>
          <w:lang w:val="es-ES_tradnl"/>
        </w:rPr>
        <w:t xml:space="preserve">fico </w:t>
      </w:r>
      <w:r w:rsidR="001719F2" w:rsidRPr="001B2BD5">
        <w:rPr>
          <w:lang w:val="es-ES_tradnl"/>
        </w:rPr>
        <w:t>se presentan</w:t>
      </w:r>
      <w:r w:rsidRPr="001B2BD5">
        <w:rPr>
          <w:lang w:val="es-ES_tradnl"/>
        </w:rPr>
        <w:t xml:space="preserve"> tres perspectivas diferentes de los</w:t>
      </w:r>
      <w:r w:rsidR="00883BE9" w:rsidRPr="001B2BD5">
        <w:rPr>
          <w:lang w:val="es-ES_tradnl"/>
        </w:rPr>
        <w:t xml:space="preserve"> </w:t>
      </w:r>
      <w:r w:rsidR="00597865" w:rsidRPr="001B2BD5">
        <w:rPr>
          <w:lang w:val="es-ES_tradnl"/>
        </w:rPr>
        <w:t xml:space="preserve">activos netos </w:t>
      </w:r>
      <w:r w:rsidR="00883BE9" w:rsidRPr="001B2BD5">
        <w:rPr>
          <w:lang w:val="es-ES_tradnl"/>
        </w:rPr>
        <w:t>(</w:t>
      </w:r>
      <w:r w:rsidR="00A346FA" w:rsidRPr="001B2BD5">
        <w:rPr>
          <w:lang w:val="es-ES_tradnl"/>
        </w:rPr>
        <w:t>fondos de reserva y de operaciones</w:t>
      </w:r>
      <w:r w:rsidR="00883BE9" w:rsidRPr="001B2BD5">
        <w:rPr>
          <w:lang w:val="es-ES_tradnl"/>
        </w:rPr>
        <w:t xml:space="preserve">) </w:t>
      </w:r>
      <w:r w:rsidRPr="001B2BD5">
        <w:rPr>
          <w:lang w:val="es-ES_tradnl"/>
        </w:rPr>
        <w:t xml:space="preserve">al 31 de diciembre de </w:t>
      </w:r>
      <w:r w:rsidR="00883BE9" w:rsidRPr="001B2BD5">
        <w:rPr>
          <w:lang w:val="es-ES_tradnl"/>
        </w:rPr>
        <w:t xml:space="preserve">2013, </w:t>
      </w:r>
      <w:r w:rsidR="00AE37EB" w:rsidRPr="001B2BD5">
        <w:rPr>
          <w:lang w:val="es-ES_tradnl"/>
        </w:rPr>
        <w:t>a saber, la p</w:t>
      </w:r>
      <w:r w:rsidR="00B95DBA" w:rsidRPr="001B2BD5">
        <w:rPr>
          <w:lang w:val="es-ES_tradnl"/>
        </w:rPr>
        <w:t xml:space="preserve">erspectiva de </w:t>
      </w:r>
      <w:r w:rsidRPr="001B2BD5">
        <w:rPr>
          <w:lang w:val="es-ES_tradnl"/>
        </w:rPr>
        <w:t xml:space="preserve">los estados financieros, </w:t>
      </w:r>
      <w:r w:rsidR="00B95DBA" w:rsidRPr="001B2BD5">
        <w:rPr>
          <w:lang w:val="es-ES_tradnl"/>
        </w:rPr>
        <w:t xml:space="preserve">el análisis </w:t>
      </w:r>
      <w:r w:rsidR="00AE37EB" w:rsidRPr="001B2BD5">
        <w:rPr>
          <w:lang w:val="es-ES_tradnl"/>
        </w:rPr>
        <w:t>comparativ</w:t>
      </w:r>
      <w:r w:rsidR="00B95DBA" w:rsidRPr="001B2BD5">
        <w:rPr>
          <w:lang w:val="es-ES_tradnl"/>
        </w:rPr>
        <w:t>o</w:t>
      </w:r>
      <w:r w:rsidR="00AE37EB" w:rsidRPr="001B2BD5">
        <w:rPr>
          <w:lang w:val="es-ES_tradnl"/>
        </w:rPr>
        <w:t xml:space="preserve"> de</w:t>
      </w:r>
      <w:r w:rsidRPr="001B2BD5">
        <w:rPr>
          <w:lang w:val="es-ES_tradnl"/>
        </w:rPr>
        <w:t xml:space="preserve"> </w:t>
      </w:r>
      <w:r w:rsidR="00AE37EB" w:rsidRPr="001B2BD5">
        <w:rPr>
          <w:lang w:val="es-ES_tradnl"/>
        </w:rPr>
        <w:t>los componentes de</w:t>
      </w:r>
      <w:r w:rsidRPr="001B2BD5">
        <w:rPr>
          <w:lang w:val="es-ES_tradnl"/>
        </w:rPr>
        <w:t xml:space="preserve"> largo plazo </w:t>
      </w:r>
      <w:r w:rsidR="00AE37EB" w:rsidRPr="001B2BD5">
        <w:rPr>
          <w:lang w:val="es-ES_tradnl"/>
        </w:rPr>
        <w:t>y de corto plazo (a</w:t>
      </w:r>
      <w:r w:rsidRPr="001B2BD5">
        <w:rPr>
          <w:lang w:val="es-ES_tradnl"/>
        </w:rPr>
        <w:t>ctivos corrientes</w:t>
      </w:r>
      <w:r w:rsidR="00AE37EB" w:rsidRPr="001B2BD5">
        <w:rPr>
          <w:lang w:val="es-ES_tradnl"/>
        </w:rPr>
        <w:t>)</w:t>
      </w:r>
      <w:r w:rsidRPr="001B2BD5">
        <w:rPr>
          <w:lang w:val="es-ES_tradnl"/>
        </w:rPr>
        <w:t xml:space="preserve"> de los activos </w:t>
      </w:r>
      <w:r w:rsidR="00597865" w:rsidRPr="001B2BD5">
        <w:rPr>
          <w:lang w:val="es-ES_tradnl"/>
        </w:rPr>
        <w:t>netos</w:t>
      </w:r>
      <w:r w:rsidRPr="001B2BD5">
        <w:rPr>
          <w:lang w:val="es-ES_tradnl"/>
        </w:rPr>
        <w:t xml:space="preserve">, y </w:t>
      </w:r>
      <w:r w:rsidR="00B95DBA" w:rsidRPr="001B2BD5">
        <w:rPr>
          <w:lang w:val="es-ES_tradnl"/>
        </w:rPr>
        <w:t>el análisis</w:t>
      </w:r>
      <w:r w:rsidRPr="001B2BD5">
        <w:rPr>
          <w:lang w:val="es-ES_tradnl"/>
        </w:rPr>
        <w:t xml:space="preserve"> de la política de reservas</w:t>
      </w:r>
      <w:r w:rsidR="00883BE9" w:rsidRPr="001B2BD5">
        <w:rPr>
          <w:lang w:val="es-ES_tradnl"/>
        </w:rPr>
        <w:t xml:space="preserve">. </w:t>
      </w:r>
    </w:p>
    <w:p w:rsidR="00883BE9" w:rsidRPr="001B2BD5" w:rsidRDefault="00883BE9" w:rsidP="0066138B">
      <w:pPr>
        <w:spacing w:after="120"/>
        <w:jc w:val="center"/>
        <w:rPr>
          <w:sz w:val="18"/>
          <w:lang w:val="es-ES_tradnl"/>
        </w:rPr>
      </w:pPr>
      <w:r w:rsidRPr="001B2BD5">
        <w:rPr>
          <w:noProof/>
          <w:lang w:val="en-US" w:eastAsia="en-US"/>
        </w:rPr>
        <w:drawing>
          <wp:inline distT="0" distB="0" distL="0" distR="0" wp14:anchorId="7039CA4B" wp14:editId="74128C1D">
            <wp:extent cx="4302877" cy="309433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02877" cy="3094330"/>
                    </a:xfrm>
                    <a:prstGeom prst="rect">
                      <a:avLst/>
                    </a:prstGeom>
                    <a:noFill/>
                    <a:ln>
                      <a:noFill/>
                    </a:ln>
                  </pic:spPr>
                </pic:pic>
              </a:graphicData>
            </a:graphic>
          </wp:inline>
        </w:drawing>
      </w:r>
    </w:p>
    <w:p w:rsidR="00072B90" w:rsidRPr="001B2BD5" w:rsidRDefault="00072B90" w:rsidP="0066138B">
      <w:pPr>
        <w:rPr>
          <w:sz w:val="18"/>
          <w:szCs w:val="18"/>
          <w:lang w:val="es-ES_tradnl"/>
        </w:rPr>
      </w:pPr>
      <w:r w:rsidRPr="001B2BD5">
        <w:rPr>
          <w:sz w:val="18"/>
          <w:szCs w:val="18"/>
          <w:lang w:val="es-ES_tradnl"/>
        </w:rPr>
        <w:t xml:space="preserve">Nota: Este gráfico es una foto. A continuación </w:t>
      </w:r>
      <w:r w:rsidR="00D61FBF" w:rsidRPr="001B2BD5">
        <w:rPr>
          <w:sz w:val="18"/>
          <w:szCs w:val="18"/>
          <w:lang w:val="es-ES_tradnl"/>
        </w:rPr>
        <w:t>se traducen los conceptos reseñados</w:t>
      </w:r>
      <w:r w:rsidRPr="001B2BD5">
        <w:rPr>
          <w:sz w:val="18"/>
          <w:szCs w:val="18"/>
          <w:lang w:val="es-ES_tradnl"/>
        </w:rPr>
        <w:t xml:space="preserve">. </w:t>
      </w:r>
    </w:p>
    <w:p w:rsidR="00883BE9" w:rsidRPr="001B2BD5" w:rsidRDefault="00072B90" w:rsidP="0066138B">
      <w:pPr>
        <w:rPr>
          <w:sz w:val="18"/>
          <w:szCs w:val="18"/>
          <w:lang w:val="es-ES_tradnl"/>
        </w:rPr>
      </w:pPr>
      <w:r w:rsidRPr="001B2BD5">
        <w:rPr>
          <w:sz w:val="18"/>
          <w:szCs w:val="18"/>
          <w:lang w:val="es-ES_tradnl"/>
        </w:rPr>
        <w:t>Financial statement presentation: presentación de los estados financieros</w:t>
      </w:r>
    </w:p>
    <w:p w:rsidR="00072B90" w:rsidRPr="001B2BD5" w:rsidRDefault="00072B90" w:rsidP="0066138B">
      <w:pPr>
        <w:rPr>
          <w:sz w:val="18"/>
          <w:szCs w:val="18"/>
          <w:lang w:val="es-ES_tradnl"/>
        </w:rPr>
      </w:pPr>
      <w:r w:rsidRPr="001B2BD5">
        <w:rPr>
          <w:sz w:val="18"/>
          <w:szCs w:val="18"/>
          <w:lang w:val="es-ES_tradnl"/>
        </w:rPr>
        <w:t>Accumulated surplus= superávit acumulado</w:t>
      </w:r>
    </w:p>
    <w:p w:rsidR="00072B90" w:rsidRPr="001B2BD5" w:rsidRDefault="00072B90" w:rsidP="0066138B">
      <w:pPr>
        <w:rPr>
          <w:sz w:val="18"/>
          <w:szCs w:val="18"/>
          <w:lang w:val="es-ES_tradnl"/>
        </w:rPr>
      </w:pPr>
      <w:r w:rsidRPr="001B2BD5">
        <w:rPr>
          <w:sz w:val="18"/>
          <w:szCs w:val="18"/>
          <w:lang w:val="es-ES_tradnl"/>
        </w:rPr>
        <w:t>WCF = fondo de operaciones</w:t>
      </w:r>
    </w:p>
    <w:p w:rsidR="00072B90" w:rsidRPr="001B2BD5" w:rsidRDefault="00072B90" w:rsidP="0066138B">
      <w:pPr>
        <w:rPr>
          <w:sz w:val="18"/>
          <w:szCs w:val="18"/>
          <w:lang w:val="es-ES_tradnl"/>
        </w:rPr>
      </w:pPr>
      <w:r w:rsidRPr="001B2BD5">
        <w:rPr>
          <w:sz w:val="18"/>
          <w:szCs w:val="18"/>
          <w:lang w:val="es-ES_tradnl"/>
        </w:rPr>
        <w:t>Reval. Res.=revaluación de las reservas</w:t>
      </w:r>
    </w:p>
    <w:p w:rsidR="00072B90" w:rsidRPr="001B2BD5" w:rsidRDefault="00072B90" w:rsidP="0066138B">
      <w:pPr>
        <w:rPr>
          <w:sz w:val="18"/>
          <w:szCs w:val="18"/>
          <w:lang w:val="es-ES_tradnl"/>
        </w:rPr>
      </w:pPr>
      <w:r w:rsidRPr="001B2BD5">
        <w:rPr>
          <w:sz w:val="18"/>
          <w:szCs w:val="18"/>
          <w:lang w:val="es-ES_tradnl"/>
        </w:rPr>
        <w:t>Short-term/long term analysis= análisis de corto y largo plazo</w:t>
      </w:r>
    </w:p>
    <w:p w:rsidR="00072B90" w:rsidRPr="001B2BD5" w:rsidRDefault="00072B90" w:rsidP="0066138B">
      <w:pPr>
        <w:rPr>
          <w:sz w:val="18"/>
          <w:szCs w:val="18"/>
          <w:lang w:val="es-ES_tradnl"/>
        </w:rPr>
      </w:pPr>
      <w:r w:rsidRPr="001B2BD5">
        <w:rPr>
          <w:sz w:val="18"/>
          <w:szCs w:val="18"/>
          <w:lang w:val="es-ES_tradnl"/>
        </w:rPr>
        <w:t>Short-term net assets= activos netos a corto plazo</w:t>
      </w:r>
    </w:p>
    <w:p w:rsidR="00072B90" w:rsidRPr="001B2BD5" w:rsidRDefault="00072B90" w:rsidP="0066138B">
      <w:pPr>
        <w:rPr>
          <w:sz w:val="18"/>
          <w:szCs w:val="18"/>
          <w:lang w:val="es-ES_tradnl"/>
        </w:rPr>
      </w:pPr>
      <w:r w:rsidRPr="001B2BD5">
        <w:rPr>
          <w:sz w:val="18"/>
          <w:szCs w:val="18"/>
          <w:lang w:val="es-ES_tradnl"/>
        </w:rPr>
        <w:t>Long-term net assets= activos netos a largo plazo</w:t>
      </w:r>
    </w:p>
    <w:p w:rsidR="00072B90" w:rsidRPr="001B2BD5" w:rsidRDefault="00072B90" w:rsidP="0066138B">
      <w:pPr>
        <w:rPr>
          <w:sz w:val="18"/>
          <w:szCs w:val="18"/>
          <w:lang w:val="es-ES_tradnl"/>
        </w:rPr>
      </w:pPr>
      <w:r w:rsidRPr="001B2BD5">
        <w:rPr>
          <w:sz w:val="18"/>
          <w:szCs w:val="18"/>
          <w:lang w:val="es-ES_tradnl"/>
        </w:rPr>
        <w:t>Policy on reserve analysis=análisis de la política de reservas</w:t>
      </w:r>
    </w:p>
    <w:p w:rsidR="00072B90" w:rsidRPr="001B2BD5" w:rsidRDefault="00072B90" w:rsidP="0066138B">
      <w:pPr>
        <w:rPr>
          <w:sz w:val="18"/>
          <w:szCs w:val="18"/>
          <w:lang w:val="es-ES_tradnl"/>
        </w:rPr>
      </w:pPr>
      <w:r w:rsidRPr="001B2BD5">
        <w:rPr>
          <w:sz w:val="18"/>
          <w:szCs w:val="18"/>
          <w:lang w:val="es-ES_tradnl"/>
        </w:rPr>
        <w:t>Reserve balance=saldo de reservas</w:t>
      </w:r>
    </w:p>
    <w:p w:rsidR="00072B90" w:rsidRPr="001B2BD5" w:rsidRDefault="00072B90" w:rsidP="0066138B">
      <w:pPr>
        <w:rPr>
          <w:sz w:val="18"/>
          <w:szCs w:val="18"/>
          <w:lang w:val="es-ES_tradnl"/>
        </w:rPr>
      </w:pPr>
      <w:r w:rsidRPr="001B2BD5">
        <w:rPr>
          <w:sz w:val="18"/>
          <w:szCs w:val="18"/>
          <w:lang w:val="es-ES_tradnl"/>
        </w:rPr>
        <w:t>Approved projects=proyectos aprobados</w:t>
      </w:r>
    </w:p>
    <w:p w:rsidR="00072B90" w:rsidRPr="001B2BD5" w:rsidRDefault="00072B90" w:rsidP="0066138B">
      <w:pPr>
        <w:rPr>
          <w:sz w:val="18"/>
          <w:szCs w:val="18"/>
          <w:lang w:val="es-ES_tradnl"/>
        </w:rPr>
      </w:pPr>
      <w:r w:rsidRPr="001B2BD5">
        <w:rPr>
          <w:sz w:val="18"/>
          <w:szCs w:val="18"/>
          <w:lang w:val="es-ES_tradnl"/>
        </w:rPr>
        <w:t xml:space="preserve">Reserve target= previsión de reservas  </w:t>
      </w:r>
    </w:p>
    <w:p w:rsidR="00072B90" w:rsidRPr="001B2BD5" w:rsidRDefault="00072B90" w:rsidP="0066138B">
      <w:pPr>
        <w:rPr>
          <w:sz w:val="18"/>
          <w:szCs w:val="18"/>
          <w:lang w:val="es-ES_tradnl"/>
        </w:rPr>
      </w:pPr>
      <w:r w:rsidRPr="001B2BD5">
        <w:rPr>
          <w:sz w:val="18"/>
          <w:szCs w:val="18"/>
          <w:lang w:val="es-ES_tradnl"/>
        </w:rPr>
        <w:t>Net assets=activos netos</w:t>
      </w:r>
    </w:p>
    <w:p w:rsidR="00072B90" w:rsidRPr="001B2BD5" w:rsidRDefault="00072B90" w:rsidP="0066138B">
      <w:pPr>
        <w:rPr>
          <w:lang w:val="es-ES_tradnl"/>
        </w:rPr>
      </w:pPr>
    </w:p>
    <w:p w:rsidR="00072B90" w:rsidRPr="001B2BD5" w:rsidRDefault="00072B90" w:rsidP="0066138B">
      <w:pPr>
        <w:pStyle w:val="Heading1"/>
        <w:spacing w:before="0" w:after="0"/>
        <w:rPr>
          <w:lang w:val="es-ES_tradnl"/>
        </w:rPr>
      </w:pPr>
    </w:p>
    <w:p w:rsidR="00883BE9" w:rsidRPr="001B2BD5" w:rsidRDefault="00883BE9" w:rsidP="0066138B">
      <w:pPr>
        <w:pStyle w:val="Heading1"/>
        <w:spacing w:before="0" w:after="0"/>
        <w:rPr>
          <w:lang w:val="es-ES_tradnl"/>
        </w:rPr>
      </w:pPr>
      <w:r w:rsidRPr="001B2BD5">
        <w:rPr>
          <w:lang w:val="es-ES_tradnl"/>
        </w:rPr>
        <w:t>transi</w:t>
      </w:r>
      <w:r w:rsidR="00826B93" w:rsidRPr="001B2BD5">
        <w:rPr>
          <w:lang w:val="es-ES_tradnl"/>
        </w:rPr>
        <w:t xml:space="preserve">ción </w:t>
      </w:r>
      <w:r w:rsidR="00855615" w:rsidRPr="001B2BD5">
        <w:rPr>
          <w:lang w:val="es-ES_tradnl"/>
        </w:rPr>
        <w:t>a</w:t>
      </w:r>
      <w:r w:rsidR="00826B93" w:rsidRPr="001B2BD5">
        <w:rPr>
          <w:lang w:val="es-ES_tradnl"/>
        </w:rPr>
        <w:t xml:space="preserve"> las IPSAS y su</w:t>
      </w:r>
      <w:r w:rsidR="00855615" w:rsidRPr="001B2BD5">
        <w:rPr>
          <w:lang w:val="es-ES_tradnl"/>
        </w:rPr>
        <w:t>s efectos</w:t>
      </w:r>
      <w:r w:rsidR="00826B93" w:rsidRPr="001B2BD5">
        <w:rPr>
          <w:lang w:val="es-ES_tradnl"/>
        </w:rPr>
        <w:t xml:space="preserve"> en los </w:t>
      </w:r>
      <w:r w:rsidR="00597865" w:rsidRPr="001B2BD5">
        <w:rPr>
          <w:lang w:val="es-ES_tradnl"/>
        </w:rPr>
        <w:t xml:space="preserve">activos </w:t>
      </w:r>
      <w:r w:rsidR="00826B93" w:rsidRPr="001B2BD5">
        <w:rPr>
          <w:lang w:val="es-ES_tradnl"/>
        </w:rPr>
        <w:t>netos</w:t>
      </w:r>
    </w:p>
    <w:p w:rsidR="00883BE9" w:rsidRPr="001B2BD5" w:rsidRDefault="00883BE9" w:rsidP="0066138B">
      <w:pPr>
        <w:rPr>
          <w:lang w:val="es-ES_tradnl"/>
        </w:rPr>
      </w:pPr>
    </w:p>
    <w:p w:rsidR="00883BE9" w:rsidRPr="001B2BD5" w:rsidRDefault="00B95DBA" w:rsidP="0066138B">
      <w:pPr>
        <w:pStyle w:val="ONUMFS"/>
        <w:rPr>
          <w:lang w:val="es-ES_tradnl"/>
        </w:rPr>
      </w:pPr>
      <w:r w:rsidRPr="001B2BD5">
        <w:rPr>
          <w:lang w:val="es-ES_tradnl"/>
        </w:rPr>
        <w:t xml:space="preserve">En 2010, la </w:t>
      </w:r>
      <w:r w:rsidR="00AA3FE4" w:rsidRPr="001B2BD5">
        <w:rPr>
          <w:lang w:val="es-ES_tradnl"/>
        </w:rPr>
        <w:t>Organización</w:t>
      </w:r>
      <w:r w:rsidR="00883BE9" w:rsidRPr="001B2BD5">
        <w:rPr>
          <w:lang w:val="es-ES_tradnl"/>
        </w:rPr>
        <w:t xml:space="preserve"> adopt</w:t>
      </w:r>
      <w:r w:rsidRPr="001B2BD5">
        <w:rPr>
          <w:lang w:val="es-ES_tradnl"/>
        </w:rPr>
        <w:t>ó las Normas Internacionales de Contabilidad del Sector Público (IPSAS).  Las principales ventajas de las normas</w:t>
      </w:r>
      <w:r w:rsidR="00883BE9" w:rsidRPr="001B2BD5">
        <w:rPr>
          <w:lang w:val="es-ES_tradnl"/>
        </w:rPr>
        <w:t xml:space="preserve"> IPSAS </w:t>
      </w:r>
      <w:r w:rsidRPr="001B2BD5">
        <w:rPr>
          <w:lang w:val="es-ES_tradnl"/>
        </w:rPr>
        <w:t>para las partes interesadas y para los usuarios de los e</w:t>
      </w:r>
      <w:r w:rsidR="00597865" w:rsidRPr="001B2BD5">
        <w:rPr>
          <w:lang w:val="es-ES_tradnl"/>
        </w:rPr>
        <w:t>stados financieros</w:t>
      </w:r>
      <w:r w:rsidRPr="001B2BD5">
        <w:rPr>
          <w:lang w:val="es-ES_tradnl"/>
        </w:rPr>
        <w:t xml:space="preserve"> es que fomenta</w:t>
      </w:r>
      <w:r w:rsidR="001719F2" w:rsidRPr="001B2BD5">
        <w:rPr>
          <w:lang w:val="es-ES_tradnl"/>
        </w:rPr>
        <w:t>n</w:t>
      </w:r>
      <w:r w:rsidRPr="001B2BD5">
        <w:rPr>
          <w:lang w:val="es-ES_tradnl"/>
        </w:rPr>
        <w:t xml:space="preserve"> una mayor rendición de cuentas y transparencia</w:t>
      </w:r>
      <w:r w:rsidR="001719F2" w:rsidRPr="001B2BD5">
        <w:rPr>
          <w:lang w:val="es-ES_tradnl"/>
        </w:rPr>
        <w:t>,</w:t>
      </w:r>
      <w:r w:rsidRPr="001B2BD5">
        <w:rPr>
          <w:lang w:val="es-ES_tradnl"/>
        </w:rPr>
        <w:t xml:space="preserve"> y ofrecen información más fi</w:t>
      </w:r>
      <w:r w:rsidR="001719F2" w:rsidRPr="001B2BD5">
        <w:rPr>
          <w:lang w:val="es-ES_tradnl"/>
        </w:rPr>
        <w:t>dedigna</w:t>
      </w:r>
      <w:r w:rsidRPr="001B2BD5">
        <w:rPr>
          <w:lang w:val="es-ES_tradnl"/>
        </w:rPr>
        <w:t xml:space="preserve">.  La </w:t>
      </w:r>
      <w:r w:rsidR="00960879" w:rsidRPr="001B2BD5">
        <w:rPr>
          <w:lang w:val="es-ES_tradnl"/>
        </w:rPr>
        <w:t>principal ventaja, desde el punto de vista de</w:t>
      </w:r>
      <w:r w:rsidR="000E646C" w:rsidRPr="001B2BD5">
        <w:rPr>
          <w:lang w:val="es-ES_tradnl"/>
        </w:rPr>
        <w:t xml:space="preserve"> la gobernanza</w:t>
      </w:r>
      <w:r w:rsidR="00960879" w:rsidRPr="001B2BD5">
        <w:rPr>
          <w:lang w:val="es-ES_tradnl"/>
        </w:rPr>
        <w:t>, de</w:t>
      </w:r>
      <w:r w:rsidRPr="001B2BD5">
        <w:rPr>
          <w:lang w:val="es-ES_tradnl"/>
        </w:rPr>
        <w:t xml:space="preserve"> la </w:t>
      </w:r>
      <w:r w:rsidR="000E646C" w:rsidRPr="001B2BD5">
        <w:rPr>
          <w:lang w:val="es-ES_tradnl"/>
        </w:rPr>
        <w:t>adopción</w:t>
      </w:r>
      <w:r w:rsidRPr="001B2BD5">
        <w:rPr>
          <w:lang w:val="es-ES_tradnl"/>
        </w:rPr>
        <w:t xml:space="preserve"> de las IPSAS en l</w:t>
      </w:r>
      <w:r w:rsidR="00960879" w:rsidRPr="001B2BD5">
        <w:rPr>
          <w:lang w:val="es-ES_tradnl"/>
        </w:rPr>
        <w:t>os organismos</w:t>
      </w:r>
      <w:r w:rsidRPr="001B2BD5">
        <w:rPr>
          <w:lang w:val="es-ES_tradnl"/>
        </w:rPr>
        <w:t xml:space="preserve"> de las</w:t>
      </w:r>
      <w:r w:rsidR="00077E75" w:rsidRPr="001B2BD5">
        <w:rPr>
          <w:lang w:val="es-ES_tradnl"/>
        </w:rPr>
        <w:t xml:space="preserve"> Naciones</w:t>
      </w:r>
      <w:r w:rsidRPr="001B2BD5">
        <w:rPr>
          <w:lang w:val="es-ES_tradnl"/>
        </w:rPr>
        <w:t xml:space="preserve"> Unidas </w:t>
      </w:r>
      <w:r w:rsidR="00077E75" w:rsidRPr="001B2BD5">
        <w:rPr>
          <w:lang w:val="es-ES_tradnl"/>
        </w:rPr>
        <w:t xml:space="preserve">es que </w:t>
      </w:r>
      <w:r w:rsidRPr="001B2BD5">
        <w:rPr>
          <w:lang w:val="es-ES_tradnl"/>
        </w:rPr>
        <w:t>los activos, pasivo</w:t>
      </w:r>
      <w:r w:rsidR="000E646C" w:rsidRPr="001B2BD5">
        <w:rPr>
          <w:lang w:val="es-ES_tradnl"/>
        </w:rPr>
        <w:t>s</w:t>
      </w:r>
      <w:r w:rsidRPr="001B2BD5">
        <w:rPr>
          <w:lang w:val="es-ES_tradnl"/>
        </w:rPr>
        <w:t xml:space="preserve">, ingresos y gastos se </w:t>
      </w:r>
      <w:r w:rsidR="00960879" w:rsidRPr="001B2BD5">
        <w:rPr>
          <w:lang w:val="es-ES_tradnl"/>
        </w:rPr>
        <w:t>reconocen</w:t>
      </w:r>
      <w:r w:rsidR="00077E75" w:rsidRPr="001B2BD5">
        <w:rPr>
          <w:lang w:val="es-ES_tradnl"/>
        </w:rPr>
        <w:t xml:space="preserve"> </w:t>
      </w:r>
      <w:r w:rsidR="001719F2" w:rsidRPr="001B2BD5">
        <w:rPr>
          <w:lang w:val="es-ES_tradnl"/>
        </w:rPr>
        <w:t xml:space="preserve">ahora </w:t>
      </w:r>
      <w:r w:rsidRPr="001B2BD5">
        <w:rPr>
          <w:lang w:val="es-ES_tradnl"/>
        </w:rPr>
        <w:t xml:space="preserve">de forma </w:t>
      </w:r>
      <w:r w:rsidR="000E646C" w:rsidRPr="001B2BD5">
        <w:rPr>
          <w:lang w:val="es-ES_tradnl"/>
        </w:rPr>
        <w:t>más</w:t>
      </w:r>
      <w:r w:rsidRPr="001B2BD5">
        <w:rPr>
          <w:lang w:val="es-ES_tradnl"/>
        </w:rPr>
        <w:t xml:space="preserve"> realista y </w:t>
      </w:r>
      <w:r w:rsidR="000E646C" w:rsidRPr="001B2BD5">
        <w:rPr>
          <w:lang w:val="es-ES_tradnl"/>
        </w:rPr>
        <w:t>exhaustiva</w:t>
      </w:r>
      <w:r w:rsidR="00883BE9" w:rsidRPr="001B2BD5">
        <w:rPr>
          <w:lang w:val="es-ES_tradnl"/>
        </w:rPr>
        <w:t xml:space="preserve">.  </w:t>
      </w:r>
      <w:r w:rsidR="00960879" w:rsidRPr="001B2BD5">
        <w:rPr>
          <w:lang w:val="es-ES_tradnl"/>
        </w:rPr>
        <w:t>L</w:t>
      </w:r>
      <w:r w:rsidR="000E646C" w:rsidRPr="001B2BD5">
        <w:rPr>
          <w:lang w:val="es-ES_tradnl"/>
        </w:rPr>
        <w:t xml:space="preserve">as normas han permitido </w:t>
      </w:r>
      <w:r w:rsidR="00960879" w:rsidRPr="001B2BD5">
        <w:rPr>
          <w:lang w:val="es-ES_tradnl"/>
        </w:rPr>
        <w:t xml:space="preserve">asimismo </w:t>
      </w:r>
      <w:r w:rsidR="000E646C" w:rsidRPr="001B2BD5">
        <w:rPr>
          <w:lang w:val="es-ES_tradnl"/>
        </w:rPr>
        <w:t xml:space="preserve">lograr un mayor </w:t>
      </w:r>
      <w:r w:rsidR="00904766" w:rsidRPr="001B2BD5">
        <w:rPr>
          <w:lang w:val="es-ES_tradnl"/>
        </w:rPr>
        <w:t xml:space="preserve">grado de </w:t>
      </w:r>
      <w:r w:rsidR="000E646C" w:rsidRPr="001B2BD5">
        <w:rPr>
          <w:lang w:val="es-ES_tradnl"/>
        </w:rPr>
        <w:t>armonización</w:t>
      </w:r>
      <w:r w:rsidR="00883BE9" w:rsidRPr="001B2BD5">
        <w:rPr>
          <w:lang w:val="es-ES_tradnl"/>
        </w:rPr>
        <w:t xml:space="preserve">, </w:t>
      </w:r>
      <w:r w:rsidR="000E646C" w:rsidRPr="001B2BD5">
        <w:rPr>
          <w:lang w:val="es-ES_tradnl"/>
        </w:rPr>
        <w:t xml:space="preserve">comparabilidad y </w:t>
      </w:r>
      <w:r w:rsidR="00904766" w:rsidRPr="001B2BD5">
        <w:rPr>
          <w:lang w:val="es-ES_tradnl"/>
        </w:rPr>
        <w:t>homogeneidad</w:t>
      </w:r>
      <w:r w:rsidR="000E646C" w:rsidRPr="001B2BD5">
        <w:rPr>
          <w:lang w:val="es-ES_tradnl"/>
        </w:rPr>
        <w:t xml:space="preserve"> en</w:t>
      </w:r>
      <w:r w:rsidR="00E24DBB" w:rsidRPr="001B2BD5">
        <w:rPr>
          <w:lang w:val="es-ES_tradnl"/>
        </w:rPr>
        <w:t xml:space="preserve"> todas</w:t>
      </w:r>
      <w:r w:rsidR="000E646C" w:rsidRPr="001B2BD5">
        <w:rPr>
          <w:lang w:val="es-ES_tradnl"/>
        </w:rPr>
        <w:t xml:space="preserve"> las organizaciones</w:t>
      </w:r>
      <w:r w:rsidR="00883BE9" w:rsidRPr="001B2BD5">
        <w:rPr>
          <w:lang w:val="es-ES_tradnl"/>
        </w:rPr>
        <w:t>.</w:t>
      </w:r>
    </w:p>
    <w:p w:rsidR="00883BE9" w:rsidRPr="001B2BD5" w:rsidRDefault="000E646C" w:rsidP="0066138B">
      <w:pPr>
        <w:pStyle w:val="ONUMFS"/>
        <w:rPr>
          <w:lang w:val="es-ES_tradnl"/>
        </w:rPr>
      </w:pPr>
      <w:r w:rsidRPr="001B2BD5">
        <w:rPr>
          <w:lang w:val="es-ES_tradnl"/>
        </w:rPr>
        <w:t>El cambio más</w:t>
      </w:r>
      <w:r w:rsidR="00960879" w:rsidRPr="001B2BD5">
        <w:rPr>
          <w:lang w:val="es-ES_tradnl"/>
        </w:rPr>
        <w:t xml:space="preserve"> significativo, </w:t>
      </w:r>
      <w:r w:rsidRPr="001B2BD5">
        <w:rPr>
          <w:lang w:val="es-ES_tradnl"/>
        </w:rPr>
        <w:t>desde una perspectiva contable y financiera</w:t>
      </w:r>
      <w:r w:rsidR="00960879" w:rsidRPr="001B2BD5">
        <w:rPr>
          <w:lang w:val="es-ES_tradnl"/>
        </w:rPr>
        <w:t>,</w:t>
      </w:r>
      <w:r w:rsidRPr="001B2BD5">
        <w:rPr>
          <w:lang w:val="es-ES_tradnl"/>
        </w:rPr>
        <w:t xml:space="preserve"> es que las normas </w:t>
      </w:r>
      <w:r w:rsidR="00883BE9" w:rsidRPr="001B2BD5">
        <w:rPr>
          <w:lang w:val="es-ES_tradnl"/>
        </w:rPr>
        <w:t xml:space="preserve">IPSAS </w:t>
      </w:r>
      <w:r w:rsidRPr="001B2BD5">
        <w:rPr>
          <w:lang w:val="es-ES_tradnl"/>
        </w:rPr>
        <w:t>exigen que las organizaciones adopten normas de contabilidad basadas</w:t>
      </w:r>
      <w:r w:rsidR="009F1021" w:rsidRPr="001B2BD5">
        <w:rPr>
          <w:lang w:val="es-ES_tradnl"/>
        </w:rPr>
        <w:t xml:space="preserve"> íntegramente </w:t>
      </w:r>
      <w:r w:rsidRPr="001B2BD5">
        <w:rPr>
          <w:lang w:val="es-ES_tradnl"/>
        </w:rPr>
        <w:t>en valores devengados</w:t>
      </w:r>
      <w:r w:rsidR="00883BE9" w:rsidRPr="001B2BD5">
        <w:rPr>
          <w:lang w:val="es-ES_tradnl"/>
        </w:rPr>
        <w:t xml:space="preserve">.  </w:t>
      </w:r>
      <w:r w:rsidR="009F1021" w:rsidRPr="001B2BD5">
        <w:rPr>
          <w:lang w:val="es-ES_tradnl"/>
        </w:rPr>
        <w:t xml:space="preserve">Esto significa que las </w:t>
      </w:r>
      <w:r w:rsidR="00960879" w:rsidRPr="001B2BD5">
        <w:rPr>
          <w:lang w:val="es-ES_tradnl"/>
        </w:rPr>
        <w:t>transacciones</w:t>
      </w:r>
      <w:r w:rsidR="009F1021" w:rsidRPr="001B2BD5">
        <w:rPr>
          <w:lang w:val="es-ES_tradnl"/>
        </w:rPr>
        <w:t xml:space="preserve"> </w:t>
      </w:r>
      <w:r w:rsidR="00960879" w:rsidRPr="001B2BD5">
        <w:rPr>
          <w:lang w:val="es-ES_tradnl"/>
        </w:rPr>
        <w:t xml:space="preserve">y otras operaciones se reconocen cuando ocurren y en los </w:t>
      </w:r>
      <w:r w:rsidR="00597865" w:rsidRPr="001B2BD5">
        <w:rPr>
          <w:lang w:val="es-ES_tradnl"/>
        </w:rPr>
        <w:t xml:space="preserve">estados financieros </w:t>
      </w:r>
      <w:r w:rsidR="00960879" w:rsidRPr="001B2BD5">
        <w:rPr>
          <w:lang w:val="es-ES_tradnl"/>
        </w:rPr>
        <w:t>con los que guardan relación.  De este modo, los gastos</w:t>
      </w:r>
      <w:r w:rsidR="00904766" w:rsidRPr="001B2BD5">
        <w:rPr>
          <w:lang w:val="es-ES_tradnl"/>
        </w:rPr>
        <w:t xml:space="preserve"> </w:t>
      </w:r>
      <w:r w:rsidR="00855615" w:rsidRPr="001B2BD5">
        <w:rPr>
          <w:lang w:val="es-ES_tradnl"/>
        </w:rPr>
        <w:t>relativos a</w:t>
      </w:r>
      <w:r w:rsidR="00883BE9" w:rsidRPr="001B2BD5">
        <w:rPr>
          <w:lang w:val="es-ES_tradnl"/>
        </w:rPr>
        <w:t xml:space="preserve"> </w:t>
      </w:r>
      <w:r w:rsidR="00597865" w:rsidRPr="001B2BD5">
        <w:rPr>
          <w:lang w:val="es-ES_tradnl"/>
        </w:rPr>
        <w:t xml:space="preserve">productos </w:t>
      </w:r>
      <w:r w:rsidR="00855615" w:rsidRPr="001B2BD5">
        <w:rPr>
          <w:lang w:val="es-ES_tradnl"/>
        </w:rPr>
        <w:t>o</w:t>
      </w:r>
      <w:r w:rsidR="00597865" w:rsidRPr="001B2BD5">
        <w:rPr>
          <w:lang w:val="es-ES_tradnl"/>
        </w:rPr>
        <w:t xml:space="preserve"> servicios </w:t>
      </w:r>
      <w:r w:rsidR="00904766" w:rsidRPr="001B2BD5">
        <w:rPr>
          <w:lang w:val="es-ES_tradnl"/>
        </w:rPr>
        <w:t xml:space="preserve">se reconocen en los estados financieros cuando </w:t>
      </w:r>
      <w:r w:rsidR="00855615" w:rsidRPr="001B2BD5">
        <w:rPr>
          <w:lang w:val="es-ES_tradnl"/>
        </w:rPr>
        <w:t xml:space="preserve">tiene lugar la entrega de los productos o la ejecución o prestación de los servicios, </w:t>
      </w:r>
      <w:r w:rsidR="00904766" w:rsidRPr="001B2BD5">
        <w:rPr>
          <w:lang w:val="es-ES_tradnl"/>
        </w:rPr>
        <w:t xml:space="preserve">y los ingresos se </w:t>
      </w:r>
      <w:r w:rsidR="00FE6B51" w:rsidRPr="001B2BD5">
        <w:rPr>
          <w:lang w:val="es-ES_tradnl"/>
        </w:rPr>
        <w:t xml:space="preserve">generan y </w:t>
      </w:r>
      <w:r w:rsidR="00904766" w:rsidRPr="001B2BD5">
        <w:rPr>
          <w:lang w:val="es-ES_tradnl"/>
        </w:rPr>
        <w:t xml:space="preserve">reconocen </w:t>
      </w:r>
      <w:r w:rsidR="00FE6B51" w:rsidRPr="001B2BD5">
        <w:rPr>
          <w:lang w:val="es-ES_tradnl"/>
        </w:rPr>
        <w:t xml:space="preserve">en el momento de la </w:t>
      </w:r>
      <w:r w:rsidR="00855615" w:rsidRPr="001B2BD5">
        <w:rPr>
          <w:lang w:val="es-ES_tradnl"/>
        </w:rPr>
        <w:t>prestación efectiva</w:t>
      </w:r>
      <w:r w:rsidR="00FE6B51" w:rsidRPr="001B2BD5">
        <w:rPr>
          <w:lang w:val="es-ES_tradnl"/>
        </w:rPr>
        <w:t xml:space="preserve"> de los servicios</w:t>
      </w:r>
      <w:r w:rsidR="00883BE9" w:rsidRPr="001B2BD5">
        <w:rPr>
          <w:lang w:val="es-ES_tradnl"/>
        </w:rPr>
        <w:t>.</w:t>
      </w:r>
    </w:p>
    <w:p w:rsidR="00883BE9" w:rsidRPr="001B2BD5" w:rsidRDefault="00FE6B51" w:rsidP="0066138B">
      <w:pPr>
        <w:pStyle w:val="ONUMFS"/>
        <w:rPr>
          <w:lang w:val="es-ES_tradnl"/>
        </w:rPr>
      </w:pPr>
      <w:r w:rsidRPr="001B2BD5">
        <w:rPr>
          <w:lang w:val="es-ES_tradnl"/>
        </w:rPr>
        <w:t xml:space="preserve">En </w:t>
      </w:r>
      <w:r w:rsidR="00AA3FE4" w:rsidRPr="001B2BD5">
        <w:rPr>
          <w:lang w:val="es-ES_tradnl"/>
        </w:rPr>
        <w:t>la OMPI</w:t>
      </w:r>
      <w:r w:rsidR="00883BE9" w:rsidRPr="001B2BD5">
        <w:rPr>
          <w:lang w:val="es-ES_tradnl"/>
        </w:rPr>
        <w:t xml:space="preserve">, </w:t>
      </w:r>
      <w:r w:rsidRPr="001B2BD5">
        <w:rPr>
          <w:lang w:val="es-ES_tradnl"/>
        </w:rPr>
        <w:t xml:space="preserve">el cambio </w:t>
      </w:r>
      <w:r w:rsidR="007C5F11" w:rsidRPr="001B2BD5">
        <w:rPr>
          <w:lang w:val="es-ES_tradnl"/>
        </w:rPr>
        <w:t>más</w:t>
      </w:r>
      <w:r w:rsidRPr="001B2BD5">
        <w:rPr>
          <w:lang w:val="es-ES_tradnl"/>
        </w:rPr>
        <w:t xml:space="preserve"> importante </w:t>
      </w:r>
      <w:r w:rsidR="00E24DBB" w:rsidRPr="001B2BD5">
        <w:rPr>
          <w:lang w:val="es-ES_tradnl"/>
        </w:rPr>
        <w:t>que ha entrañado</w:t>
      </w:r>
      <w:r w:rsidRPr="001B2BD5">
        <w:rPr>
          <w:lang w:val="es-ES_tradnl"/>
        </w:rPr>
        <w:t xml:space="preserve"> la </w:t>
      </w:r>
      <w:r w:rsidR="007C5F11" w:rsidRPr="001B2BD5">
        <w:rPr>
          <w:lang w:val="es-ES_tradnl"/>
        </w:rPr>
        <w:t>transición</w:t>
      </w:r>
      <w:r w:rsidRPr="001B2BD5">
        <w:rPr>
          <w:lang w:val="es-ES_tradnl"/>
        </w:rPr>
        <w:t xml:space="preserve"> a las </w:t>
      </w:r>
      <w:r w:rsidR="00883BE9" w:rsidRPr="001B2BD5">
        <w:rPr>
          <w:lang w:val="es-ES_tradnl"/>
        </w:rPr>
        <w:t xml:space="preserve">IPSAS </w:t>
      </w:r>
      <w:r w:rsidRPr="001B2BD5">
        <w:rPr>
          <w:lang w:val="es-ES_tradnl"/>
        </w:rPr>
        <w:t xml:space="preserve">es </w:t>
      </w:r>
      <w:r w:rsidR="00E24DBB" w:rsidRPr="001B2BD5">
        <w:rPr>
          <w:lang w:val="es-ES_tradnl"/>
        </w:rPr>
        <w:t xml:space="preserve">un </w:t>
      </w:r>
      <w:r w:rsidR="007C5F11" w:rsidRPr="001B2BD5">
        <w:rPr>
          <w:lang w:val="es-ES_tradnl"/>
        </w:rPr>
        <w:t>reconocimiento</w:t>
      </w:r>
      <w:r w:rsidRPr="001B2BD5">
        <w:rPr>
          <w:lang w:val="es-ES_tradnl"/>
        </w:rPr>
        <w:t xml:space="preserve"> </w:t>
      </w:r>
      <w:r w:rsidR="00E24DBB" w:rsidRPr="001B2BD5">
        <w:rPr>
          <w:lang w:val="es-ES_tradnl"/>
        </w:rPr>
        <w:t xml:space="preserve">más íntegro </w:t>
      </w:r>
      <w:r w:rsidRPr="001B2BD5">
        <w:rPr>
          <w:lang w:val="es-ES_tradnl"/>
        </w:rPr>
        <w:t>de los terrenos y edificios</w:t>
      </w:r>
      <w:r w:rsidR="00E24DBB" w:rsidRPr="001B2BD5">
        <w:rPr>
          <w:lang w:val="es-ES_tradnl"/>
        </w:rPr>
        <w:t>, que</w:t>
      </w:r>
      <w:r w:rsidRPr="001B2BD5">
        <w:rPr>
          <w:lang w:val="es-ES_tradnl"/>
        </w:rPr>
        <w:t xml:space="preserve"> </w:t>
      </w:r>
      <w:r w:rsidR="00E24DBB" w:rsidRPr="001B2BD5">
        <w:rPr>
          <w:lang w:val="es-ES_tradnl"/>
        </w:rPr>
        <w:t xml:space="preserve">ha dado lugar al aumento del total de los </w:t>
      </w:r>
      <w:r w:rsidRPr="001B2BD5">
        <w:rPr>
          <w:lang w:val="es-ES_tradnl"/>
        </w:rPr>
        <w:t>activos en el estado sobre la</w:t>
      </w:r>
      <w:r w:rsidR="00883BE9" w:rsidRPr="001B2BD5">
        <w:rPr>
          <w:lang w:val="es-ES_tradnl"/>
        </w:rPr>
        <w:t xml:space="preserve"> </w:t>
      </w:r>
      <w:r w:rsidR="00597865" w:rsidRPr="001B2BD5">
        <w:rPr>
          <w:lang w:val="es-ES_tradnl"/>
        </w:rPr>
        <w:t>situación financi</w:t>
      </w:r>
      <w:r w:rsidRPr="001B2BD5">
        <w:rPr>
          <w:lang w:val="es-ES_tradnl"/>
        </w:rPr>
        <w:t>era</w:t>
      </w:r>
      <w:r w:rsidR="00883BE9" w:rsidRPr="001B2BD5">
        <w:rPr>
          <w:lang w:val="es-ES_tradnl"/>
        </w:rPr>
        <w:t xml:space="preserve">, </w:t>
      </w:r>
      <w:r w:rsidR="00E24DBB" w:rsidRPr="001B2BD5">
        <w:rPr>
          <w:lang w:val="es-ES_tradnl"/>
        </w:rPr>
        <w:t xml:space="preserve">el pleno </w:t>
      </w:r>
      <w:r w:rsidR="007C5F11" w:rsidRPr="001B2BD5">
        <w:rPr>
          <w:lang w:val="es-ES_tradnl"/>
        </w:rPr>
        <w:t>reconocimiento</w:t>
      </w:r>
      <w:r w:rsidRPr="001B2BD5">
        <w:rPr>
          <w:lang w:val="es-ES_tradnl"/>
        </w:rPr>
        <w:t xml:space="preserve"> del </w:t>
      </w:r>
      <w:r w:rsidR="007C5F11" w:rsidRPr="001B2BD5">
        <w:rPr>
          <w:lang w:val="es-ES_tradnl"/>
        </w:rPr>
        <w:t>pasivo derivado de los beneficios posteriores al empleo</w:t>
      </w:r>
      <w:r w:rsidR="00E24DBB" w:rsidRPr="001B2BD5">
        <w:rPr>
          <w:lang w:val="es-ES_tradnl"/>
        </w:rPr>
        <w:t>,</w:t>
      </w:r>
      <w:r w:rsidR="007C5F11" w:rsidRPr="001B2BD5">
        <w:rPr>
          <w:lang w:val="es-ES_tradnl"/>
        </w:rPr>
        <w:t xml:space="preserve"> </w:t>
      </w:r>
      <w:r w:rsidR="002F54CA" w:rsidRPr="001B2BD5">
        <w:rPr>
          <w:lang w:val="es-ES_tradnl"/>
        </w:rPr>
        <w:t xml:space="preserve">que </w:t>
      </w:r>
      <w:r w:rsidR="00E24DBB" w:rsidRPr="001B2BD5">
        <w:rPr>
          <w:lang w:val="es-ES_tradnl"/>
        </w:rPr>
        <w:t>ha conducido a</w:t>
      </w:r>
      <w:r w:rsidR="002F54CA" w:rsidRPr="001B2BD5">
        <w:rPr>
          <w:lang w:val="es-ES_tradnl"/>
        </w:rPr>
        <w:t xml:space="preserve"> un aumento importante en el pasivo derivado de los beneficios (prestaciones) a los empleados en los estados financieros y el reconocimiento de los importes percibidos por las tasas </w:t>
      </w:r>
      <w:r w:rsidR="00E24DBB" w:rsidRPr="001B2BD5">
        <w:rPr>
          <w:lang w:val="es-ES_tradnl"/>
        </w:rPr>
        <w:t xml:space="preserve">como ingresos en el momento en que se prestan los </w:t>
      </w:r>
      <w:r w:rsidR="002F54CA" w:rsidRPr="001B2BD5">
        <w:rPr>
          <w:lang w:val="es-ES_tradnl"/>
        </w:rPr>
        <w:t>servicios</w:t>
      </w:r>
      <w:r w:rsidR="00E24DBB" w:rsidRPr="001B2BD5">
        <w:rPr>
          <w:lang w:val="es-ES_tradnl"/>
        </w:rPr>
        <w:t>,</w:t>
      </w:r>
      <w:r w:rsidR="002F54CA" w:rsidRPr="001B2BD5">
        <w:rPr>
          <w:lang w:val="es-ES_tradnl"/>
        </w:rPr>
        <w:t xml:space="preserve"> lo que </w:t>
      </w:r>
      <w:r w:rsidR="0000501C" w:rsidRPr="001B2BD5">
        <w:rPr>
          <w:lang w:val="es-ES_tradnl"/>
        </w:rPr>
        <w:t>ha originado</w:t>
      </w:r>
      <w:r w:rsidR="002F54CA" w:rsidRPr="001B2BD5">
        <w:rPr>
          <w:lang w:val="es-ES_tradnl"/>
        </w:rPr>
        <w:t xml:space="preserve"> un</w:t>
      </w:r>
      <w:r w:rsidR="00EE0222" w:rsidRPr="001B2BD5">
        <w:rPr>
          <w:lang w:val="es-ES_tradnl"/>
        </w:rPr>
        <w:t xml:space="preserve"> importante</w:t>
      </w:r>
      <w:r w:rsidR="002F54CA" w:rsidRPr="001B2BD5">
        <w:rPr>
          <w:lang w:val="es-ES_tradnl"/>
        </w:rPr>
        <w:t xml:space="preserve"> pasivo </w:t>
      </w:r>
      <w:r w:rsidR="0000501C" w:rsidRPr="001B2BD5">
        <w:rPr>
          <w:lang w:val="es-ES_tradnl"/>
        </w:rPr>
        <w:t>por in</w:t>
      </w:r>
      <w:r w:rsidR="002F54CA" w:rsidRPr="001B2BD5">
        <w:rPr>
          <w:lang w:val="es-ES_tradnl"/>
        </w:rPr>
        <w:t xml:space="preserve">gresos diferidos en los </w:t>
      </w:r>
      <w:r w:rsidR="00597865" w:rsidRPr="001B2BD5">
        <w:rPr>
          <w:lang w:val="es-ES_tradnl"/>
        </w:rPr>
        <w:t>estados financieros</w:t>
      </w:r>
      <w:r w:rsidR="00883BE9" w:rsidRPr="001B2BD5">
        <w:rPr>
          <w:lang w:val="es-ES_tradnl"/>
        </w:rPr>
        <w:t xml:space="preserve">.  </w:t>
      </w:r>
      <w:r w:rsidR="00EE0222" w:rsidRPr="001B2BD5">
        <w:rPr>
          <w:lang w:val="es-ES_tradnl"/>
        </w:rPr>
        <w:t xml:space="preserve">Estos y otros cambios </w:t>
      </w:r>
      <w:r w:rsidR="0000501C" w:rsidRPr="001B2BD5">
        <w:rPr>
          <w:lang w:val="es-ES_tradnl"/>
        </w:rPr>
        <w:t>alteraron</w:t>
      </w:r>
      <w:r w:rsidR="00EE0222" w:rsidRPr="001B2BD5">
        <w:rPr>
          <w:lang w:val="es-ES_tradnl"/>
        </w:rPr>
        <w:t xml:space="preserve"> el nivel y la composición de los</w:t>
      </w:r>
      <w:r w:rsidR="00883BE9" w:rsidRPr="001B2BD5">
        <w:rPr>
          <w:lang w:val="es-ES_tradnl"/>
        </w:rPr>
        <w:t xml:space="preserve"> </w:t>
      </w:r>
      <w:r w:rsidR="00597865" w:rsidRPr="001B2BD5">
        <w:rPr>
          <w:lang w:val="es-ES_tradnl"/>
        </w:rPr>
        <w:t xml:space="preserve">activos </w:t>
      </w:r>
      <w:r w:rsidR="00A346FA" w:rsidRPr="001B2BD5">
        <w:rPr>
          <w:lang w:val="es-ES_tradnl"/>
        </w:rPr>
        <w:t>netos</w:t>
      </w:r>
      <w:r w:rsidR="00883BE9" w:rsidRPr="001B2BD5">
        <w:rPr>
          <w:lang w:val="es-ES_tradnl"/>
        </w:rPr>
        <w:t xml:space="preserve"> (</w:t>
      </w:r>
      <w:r w:rsidR="00826B93" w:rsidRPr="001B2BD5">
        <w:rPr>
          <w:lang w:val="es-ES_tradnl"/>
        </w:rPr>
        <w:t>fondos de reserva y de operaciones</w:t>
      </w:r>
      <w:r w:rsidR="00883BE9" w:rsidRPr="001B2BD5">
        <w:rPr>
          <w:lang w:val="es-ES_tradnl"/>
        </w:rPr>
        <w:t xml:space="preserve">) </w:t>
      </w:r>
      <w:r w:rsidR="00EE0222" w:rsidRPr="001B2BD5">
        <w:rPr>
          <w:lang w:val="es-ES_tradnl"/>
        </w:rPr>
        <w:t>de la</w:t>
      </w:r>
      <w:r w:rsidR="00883BE9" w:rsidRPr="001B2BD5">
        <w:rPr>
          <w:lang w:val="es-ES_tradnl"/>
        </w:rPr>
        <w:t xml:space="preserve"> </w:t>
      </w:r>
      <w:r w:rsidR="00AA3FE4" w:rsidRPr="001B2BD5">
        <w:rPr>
          <w:lang w:val="es-ES_tradnl"/>
        </w:rPr>
        <w:t>Organización</w:t>
      </w:r>
      <w:r w:rsidR="00883BE9" w:rsidRPr="001B2BD5">
        <w:rPr>
          <w:lang w:val="es-ES_tradnl"/>
        </w:rPr>
        <w:t xml:space="preserve"> </w:t>
      </w:r>
      <w:r w:rsidR="0000501C" w:rsidRPr="001B2BD5">
        <w:rPr>
          <w:lang w:val="es-ES_tradnl"/>
        </w:rPr>
        <w:t>cuando</w:t>
      </w:r>
      <w:r w:rsidR="00EE0222" w:rsidRPr="001B2BD5">
        <w:rPr>
          <w:lang w:val="es-ES_tradnl"/>
        </w:rPr>
        <w:t xml:space="preserve"> se adoptaron las IPSAS, el 1º de enero de 2010.  El resumen de los cambios efectuados a los </w:t>
      </w:r>
      <w:r w:rsidR="00597865" w:rsidRPr="001B2BD5">
        <w:rPr>
          <w:lang w:val="es-ES_tradnl"/>
        </w:rPr>
        <w:t xml:space="preserve">activos </w:t>
      </w:r>
      <w:r w:rsidR="00826B93" w:rsidRPr="001B2BD5">
        <w:rPr>
          <w:lang w:val="es-ES_tradnl"/>
        </w:rPr>
        <w:t>netos</w:t>
      </w:r>
      <w:r w:rsidR="00883BE9" w:rsidRPr="001B2BD5">
        <w:rPr>
          <w:lang w:val="es-ES_tradnl"/>
        </w:rPr>
        <w:t xml:space="preserve"> (</w:t>
      </w:r>
      <w:r w:rsidR="00826B93" w:rsidRPr="001B2BD5">
        <w:rPr>
          <w:lang w:val="es-ES_tradnl"/>
        </w:rPr>
        <w:t>fondos de reserva y de operaciones</w:t>
      </w:r>
      <w:r w:rsidR="00883BE9" w:rsidRPr="001B2BD5">
        <w:rPr>
          <w:lang w:val="es-ES_tradnl"/>
        </w:rPr>
        <w:t xml:space="preserve">) </w:t>
      </w:r>
      <w:r w:rsidR="00EE0222" w:rsidRPr="001B2BD5">
        <w:rPr>
          <w:lang w:val="es-ES_tradnl"/>
        </w:rPr>
        <w:t xml:space="preserve">y su evolución hasta el 31 de diciembre de </w:t>
      </w:r>
      <w:r w:rsidR="00883BE9" w:rsidRPr="001B2BD5">
        <w:rPr>
          <w:lang w:val="es-ES_tradnl"/>
        </w:rPr>
        <w:t xml:space="preserve">2013 </w:t>
      </w:r>
      <w:r w:rsidR="00EE0222" w:rsidRPr="001B2BD5">
        <w:rPr>
          <w:lang w:val="es-ES_tradnl"/>
        </w:rPr>
        <w:t xml:space="preserve">se reseñan en los gráficos </w:t>
      </w:r>
      <w:r w:rsidR="00883BE9" w:rsidRPr="001B2BD5">
        <w:rPr>
          <w:lang w:val="es-ES_tradnl"/>
        </w:rPr>
        <w:t xml:space="preserve">1, 2 </w:t>
      </w:r>
      <w:r w:rsidR="00EE0222" w:rsidRPr="001B2BD5">
        <w:rPr>
          <w:lang w:val="es-ES_tradnl"/>
        </w:rPr>
        <w:t xml:space="preserve">y </w:t>
      </w:r>
      <w:r w:rsidR="00883BE9" w:rsidRPr="001B2BD5">
        <w:rPr>
          <w:lang w:val="es-ES_tradnl"/>
        </w:rPr>
        <w:t xml:space="preserve">3 </w:t>
      </w:r>
      <w:r w:rsidR="00EE0222" w:rsidRPr="001B2BD5">
        <w:rPr>
          <w:lang w:val="es-ES_tradnl"/>
        </w:rPr>
        <w:t>más abajo</w:t>
      </w:r>
      <w:r w:rsidR="00883BE9" w:rsidRPr="001B2BD5">
        <w:rPr>
          <w:lang w:val="es-ES_tradnl"/>
        </w:rPr>
        <w:t>.</w:t>
      </w:r>
    </w:p>
    <w:p w:rsidR="00883BE9" w:rsidRPr="001B2BD5" w:rsidRDefault="00883BE9" w:rsidP="0066138B">
      <w:pPr>
        <w:keepNext/>
        <w:keepLines/>
        <w:rPr>
          <w:lang w:val="es-ES_tradnl"/>
        </w:rPr>
      </w:pPr>
    </w:p>
    <w:p w:rsidR="00883BE9" w:rsidRPr="001B2BD5" w:rsidRDefault="00826B93" w:rsidP="0066138B">
      <w:pPr>
        <w:keepNext/>
        <w:keepLines/>
        <w:rPr>
          <w:lang w:val="es-ES_tradnl"/>
        </w:rPr>
      </w:pPr>
      <w:r w:rsidRPr="001B2BD5">
        <w:rPr>
          <w:lang w:val="es-ES_tradnl"/>
        </w:rPr>
        <w:t xml:space="preserve">Gráfico 1 – Evolución de los </w:t>
      </w:r>
      <w:r w:rsidR="00597865" w:rsidRPr="001B2BD5">
        <w:rPr>
          <w:lang w:val="es-ES_tradnl"/>
        </w:rPr>
        <w:t xml:space="preserve">activos </w:t>
      </w:r>
      <w:r w:rsidRPr="001B2BD5">
        <w:rPr>
          <w:lang w:val="es-ES_tradnl"/>
        </w:rPr>
        <w:t>netos – presentación de los estados financieros</w:t>
      </w:r>
    </w:p>
    <w:p w:rsidR="00883BE9" w:rsidRPr="001B2BD5" w:rsidRDefault="001C501D" w:rsidP="0066138B">
      <w:pPr>
        <w:rPr>
          <w:lang w:val="es-ES_tradnl"/>
        </w:rPr>
      </w:pPr>
      <w:r w:rsidRPr="001B2BD5">
        <w:rPr>
          <w:noProof/>
          <w:lang w:val="en-US" w:eastAsia="en-US"/>
        </w:rPr>
        <w:drawing>
          <wp:inline distT="0" distB="0" distL="0" distR="0" wp14:anchorId="069631E5" wp14:editId="4B04CD52">
            <wp:extent cx="6170955" cy="2941970"/>
            <wp:effectExtent l="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8044" cy="2959652"/>
                    </a:xfrm>
                    <a:prstGeom prst="rect">
                      <a:avLst/>
                    </a:prstGeom>
                    <a:noFill/>
                    <a:ln>
                      <a:noFill/>
                    </a:ln>
                  </pic:spPr>
                </pic:pic>
              </a:graphicData>
            </a:graphic>
          </wp:inline>
        </w:drawing>
      </w:r>
      <w:r w:rsidRPr="001B2BD5">
        <w:rPr>
          <w:lang w:val="es-ES_tradnl"/>
        </w:rPr>
        <w:t xml:space="preserve"> </w:t>
      </w:r>
      <w:r w:rsidR="00051DA5" w:rsidRPr="001B2BD5">
        <w:rPr>
          <w:lang w:val="es-ES_tradnl"/>
        </w:rPr>
        <w:t xml:space="preserve"> </w:t>
      </w:r>
    </w:p>
    <w:p w:rsidR="00883BE9" w:rsidRPr="001B2BD5" w:rsidRDefault="00826B93" w:rsidP="0066138B">
      <w:pPr>
        <w:keepNext/>
        <w:keepLines/>
        <w:rPr>
          <w:lang w:val="es-ES_tradnl"/>
        </w:rPr>
      </w:pPr>
      <w:r w:rsidRPr="001B2BD5">
        <w:rPr>
          <w:lang w:val="es-ES_tradnl"/>
        </w:rPr>
        <w:t xml:space="preserve">Gráfico 2 – Evolución de los </w:t>
      </w:r>
      <w:r w:rsidR="00597865" w:rsidRPr="001B2BD5">
        <w:rPr>
          <w:lang w:val="es-ES_tradnl"/>
        </w:rPr>
        <w:t xml:space="preserve">activos </w:t>
      </w:r>
      <w:r w:rsidRPr="001B2BD5">
        <w:rPr>
          <w:lang w:val="es-ES_tradnl"/>
        </w:rPr>
        <w:t>netos – análisis a corto y largo plazo</w:t>
      </w:r>
    </w:p>
    <w:p w:rsidR="00883BE9" w:rsidRPr="001B2BD5" w:rsidRDefault="00883BE9" w:rsidP="0066138B">
      <w:pPr>
        <w:keepNext/>
        <w:keepLines/>
        <w:rPr>
          <w:sz w:val="18"/>
          <w:lang w:val="es-ES_tradnl"/>
        </w:rPr>
      </w:pPr>
    </w:p>
    <w:p w:rsidR="00883BE9" w:rsidRPr="001B2BD5" w:rsidRDefault="001C501D" w:rsidP="0066138B">
      <w:pPr>
        <w:keepNext/>
        <w:keepLines/>
        <w:rPr>
          <w:lang w:val="es-ES_tradnl"/>
        </w:rPr>
      </w:pPr>
      <w:r w:rsidRPr="001B2BD5">
        <w:rPr>
          <w:noProof/>
          <w:lang w:val="en-US" w:eastAsia="en-US"/>
        </w:rPr>
        <w:drawing>
          <wp:inline distT="0" distB="0" distL="0" distR="0" wp14:anchorId="1245A64C" wp14:editId="15096D7B">
            <wp:extent cx="6133412" cy="289476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38928" cy="2897364"/>
                    </a:xfrm>
                    <a:prstGeom prst="rect">
                      <a:avLst/>
                    </a:prstGeom>
                    <a:noFill/>
                    <a:ln>
                      <a:noFill/>
                    </a:ln>
                  </pic:spPr>
                </pic:pic>
              </a:graphicData>
            </a:graphic>
          </wp:inline>
        </w:drawing>
      </w:r>
      <w:r w:rsidRPr="001B2BD5">
        <w:rPr>
          <w:lang w:val="es-ES_tradnl"/>
        </w:rPr>
        <w:t xml:space="preserve"> </w:t>
      </w:r>
    </w:p>
    <w:p w:rsidR="00C05D16" w:rsidRDefault="00C05D16">
      <w:pPr>
        <w:rPr>
          <w:lang w:val="es-ES_tradnl"/>
        </w:rPr>
      </w:pPr>
      <w:r>
        <w:rPr>
          <w:lang w:val="es-ES_tradnl"/>
        </w:rPr>
        <w:br w:type="page"/>
      </w:r>
    </w:p>
    <w:p w:rsidR="00883BE9" w:rsidRPr="001B2BD5" w:rsidRDefault="00883BE9" w:rsidP="0066138B">
      <w:pPr>
        <w:keepNext/>
        <w:keepLines/>
        <w:rPr>
          <w:lang w:val="es-ES_tradnl"/>
        </w:rPr>
      </w:pPr>
    </w:p>
    <w:p w:rsidR="00883BE9" w:rsidRPr="001B2BD5" w:rsidRDefault="00826B93" w:rsidP="0066138B">
      <w:pPr>
        <w:spacing w:after="240"/>
        <w:rPr>
          <w:lang w:val="es-ES_tradnl"/>
        </w:rPr>
      </w:pPr>
      <w:r w:rsidRPr="001B2BD5">
        <w:rPr>
          <w:lang w:val="es-ES_tradnl"/>
        </w:rPr>
        <w:t>Gráfico</w:t>
      </w:r>
      <w:r w:rsidR="00883BE9" w:rsidRPr="001B2BD5">
        <w:rPr>
          <w:lang w:val="es-ES_tradnl"/>
        </w:rPr>
        <w:t xml:space="preserve"> 3 – Evolu</w:t>
      </w:r>
      <w:r w:rsidRPr="001B2BD5">
        <w:rPr>
          <w:lang w:val="es-ES_tradnl"/>
        </w:rPr>
        <w:t xml:space="preserve">ción de los </w:t>
      </w:r>
      <w:r w:rsidR="00597865" w:rsidRPr="001B2BD5">
        <w:rPr>
          <w:lang w:val="es-ES_tradnl"/>
        </w:rPr>
        <w:t xml:space="preserve">activos </w:t>
      </w:r>
      <w:r w:rsidRPr="001B2BD5">
        <w:rPr>
          <w:lang w:val="es-ES_tradnl"/>
        </w:rPr>
        <w:t>netos</w:t>
      </w:r>
      <w:r w:rsidR="00883BE9" w:rsidRPr="001B2BD5">
        <w:rPr>
          <w:lang w:val="es-ES_tradnl"/>
        </w:rPr>
        <w:t xml:space="preserve"> – </w:t>
      </w:r>
      <w:r w:rsidRPr="001B2BD5">
        <w:rPr>
          <w:lang w:val="es-ES_tradnl"/>
        </w:rPr>
        <w:t xml:space="preserve">análisis de las políticas </w:t>
      </w:r>
      <w:r w:rsidR="0000501C" w:rsidRPr="001B2BD5">
        <w:rPr>
          <w:lang w:val="es-ES_tradnl"/>
        </w:rPr>
        <w:t>de</w:t>
      </w:r>
      <w:r w:rsidRPr="001B2BD5">
        <w:rPr>
          <w:lang w:val="es-ES_tradnl"/>
        </w:rPr>
        <w:t xml:space="preserve"> reservas</w:t>
      </w:r>
    </w:p>
    <w:p w:rsidR="00883BE9" w:rsidRPr="001B2BD5" w:rsidRDefault="001C501D" w:rsidP="0066138B">
      <w:pPr>
        <w:rPr>
          <w:lang w:val="es-ES_tradnl"/>
        </w:rPr>
      </w:pPr>
      <w:r w:rsidRPr="001B2BD5">
        <w:rPr>
          <w:noProof/>
          <w:lang w:val="en-US" w:eastAsia="en-US"/>
        </w:rPr>
        <w:drawing>
          <wp:inline distT="0" distB="0" distL="0" distR="0" wp14:anchorId="25B9C02E" wp14:editId="620E7CE6">
            <wp:extent cx="6548668" cy="2778221"/>
            <wp:effectExtent l="0" t="0" r="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65143" cy="2785210"/>
                    </a:xfrm>
                    <a:prstGeom prst="rect">
                      <a:avLst/>
                    </a:prstGeom>
                    <a:noFill/>
                    <a:ln>
                      <a:noFill/>
                    </a:ln>
                  </pic:spPr>
                </pic:pic>
              </a:graphicData>
            </a:graphic>
          </wp:inline>
        </w:drawing>
      </w:r>
    </w:p>
    <w:p w:rsidR="00883BE9" w:rsidRPr="001B2BD5" w:rsidRDefault="00883BE9" w:rsidP="0066138B">
      <w:pPr>
        <w:rPr>
          <w:i/>
          <w:iCs/>
          <w:sz w:val="20"/>
          <w:lang w:val="es-ES_tradnl"/>
        </w:rPr>
      </w:pPr>
      <w:r w:rsidRPr="001B2BD5">
        <w:rPr>
          <w:i/>
          <w:iCs/>
          <w:sz w:val="20"/>
          <w:lang w:val="es-ES_tradnl"/>
        </w:rPr>
        <w:t>Not</w:t>
      </w:r>
      <w:r w:rsidR="00EE0222" w:rsidRPr="001B2BD5">
        <w:rPr>
          <w:i/>
          <w:iCs/>
          <w:sz w:val="20"/>
          <w:lang w:val="es-ES_tradnl"/>
        </w:rPr>
        <w:t>a</w:t>
      </w:r>
      <w:r w:rsidR="00706DD7" w:rsidRPr="001B2BD5">
        <w:rPr>
          <w:i/>
          <w:iCs/>
          <w:sz w:val="20"/>
          <w:lang w:val="es-ES_tradnl"/>
        </w:rPr>
        <w:t>:  Las</w:t>
      </w:r>
      <w:r w:rsidR="00EE0222" w:rsidRPr="001B2BD5">
        <w:rPr>
          <w:i/>
          <w:iCs/>
          <w:sz w:val="20"/>
          <w:lang w:val="es-ES_tradnl"/>
        </w:rPr>
        <w:t xml:space="preserve"> cifras </w:t>
      </w:r>
      <w:r w:rsidR="00706DD7" w:rsidRPr="001B2BD5">
        <w:rPr>
          <w:i/>
          <w:iCs/>
          <w:sz w:val="20"/>
          <w:lang w:val="es-ES_tradnl"/>
        </w:rPr>
        <w:t>correspondientes</w:t>
      </w:r>
      <w:r w:rsidR="00EE0222" w:rsidRPr="001B2BD5">
        <w:rPr>
          <w:i/>
          <w:iCs/>
          <w:sz w:val="20"/>
          <w:lang w:val="es-ES_tradnl"/>
        </w:rPr>
        <w:t xml:space="preserve"> a </w:t>
      </w:r>
      <w:r w:rsidRPr="001B2BD5">
        <w:rPr>
          <w:i/>
          <w:iCs/>
          <w:sz w:val="20"/>
          <w:lang w:val="es-ES_tradnl"/>
        </w:rPr>
        <w:t xml:space="preserve">31/12/2011 </w:t>
      </w:r>
      <w:r w:rsidR="00EE0222" w:rsidRPr="001B2BD5">
        <w:rPr>
          <w:i/>
          <w:iCs/>
          <w:sz w:val="20"/>
          <w:lang w:val="es-ES_tradnl"/>
        </w:rPr>
        <w:t>y</w:t>
      </w:r>
      <w:r w:rsidRPr="001B2BD5">
        <w:rPr>
          <w:i/>
          <w:iCs/>
          <w:sz w:val="20"/>
          <w:lang w:val="es-ES_tradnl"/>
        </w:rPr>
        <w:t xml:space="preserve"> 31/12/2012 </w:t>
      </w:r>
      <w:r w:rsidR="00706DD7" w:rsidRPr="001B2BD5">
        <w:rPr>
          <w:i/>
          <w:iCs/>
          <w:sz w:val="20"/>
          <w:lang w:val="es-ES_tradnl"/>
        </w:rPr>
        <w:t xml:space="preserve">son el resultado de la revisión </w:t>
      </w:r>
      <w:r w:rsidR="0000501C" w:rsidRPr="001B2BD5">
        <w:rPr>
          <w:i/>
          <w:iCs/>
          <w:sz w:val="20"/>
          <w:lang w:val="es-ES_tradnl"/>
        </w:rPr>
        <w:t xml:space="preserve">de las cifras consecutiva a </w:t>
      </w:r>
      <w:r w:rsidR="00EE0222" w:rsidRPr="001B2BD5">
        <w:rPr>
          <w:i/>
          <w:iCs/>
          <w:sz w:val="20"/>
          <w:lang w:val="es-ES_tradnl"/>
        </w:rPr>
        <w:t xml:space="preserve">la </w:t>
      </w:r>
      <w:r w:rsidR="00706DD7" w:rsidRPr="001B2BD5">
        <w:rPr>
          <w:i/>
          <w:iCs/>
          <w:sz w:val="20"/>
          <w:lang w:val="es-ES_tradnl"/>
        </w:rPr>
        <w:t>modificación</w:t>
      </w:r>
      <w:r w:rsidR="00EE0222" w:rsidRPr="001B2BD5">
        <w:rPr>
          <w:i/>
          <w:iCs/>
          <w:sz w:val="20"/>
          <w:lang w:val="es-ES_tradnl"/>
        </w:rPr>
        <w:t xml:space="preserve"> de la </w:t>
      </w:r>
      <w:r w:rsidR="00706DD7" w:rsidRPr="001B2BD5">
        <w:rPr>
          <w:i/>
          <w:iCs/>
          <w:sz w:val="20"/>
          <w:lang w:val="es-ES_tradnl"/>
        </w:rPr>
        <w:t>política</w:t>
      </w:r>
      <w:r w:rsidR="00EE0222" w:rsidRPr="001B2BD5">
        <w:rPr>
          <w:i/>
          <w:iCs/>
          <w:sz w:val="20"/>
          <w:lang w:val="es-ES_tradnl"/>
        </w:rPr>
        <w:t xml:space="preserve"> contable en lo que atañe al reconocimiento de </w:t>
      </w:r>
      <w:r w:rsidR="00706DD7" w:rsidRPr="001B2BD5">
        <w:rPr>
          <w:i/>
          <w:iCs/>
          <w:sz w:val="20"/>
          <w:lang w:val="es-ES_tradnl"/>
        </w:rPr>
        <w:t>los</w:t>
      </w:r>
      <w:r w:rsidR="00EE0222" w:rsidRPr="001B2BD5">
        <w:rPr>
          <w:i/>
          <w:iCs/>
          <w:sz w:val="20"/>
          <w:lang w:val="es-ES_tradnl"/>
        </w:rPr>
        <w:t xml:space="preserve"> </w:t>
      </w:r>
      <w:r w:rsidR="00826B93" w:rsidRPr="001B2BD5">
        <w:rPr>
          <w:i/>
          <w:iCs/>
          <w:sz w:val="20"/>
          <w:lang w:val="es-ES_tradnl"/>
        </w:rPr>
        <w:t>ingresos del PCT</w:t>
      </w:r>
      <w:r w:rsidRPr="001B2BD5">
        <w:rPr>
          <w:i/>
          <w:iCs/>
          <w:sz w:val="20"/>
          <w:lang w:val="es-ES_tradnl"/>
        </w:rPr>
        <w:t>.</w:t>
      </w:r>
    </w:p>
    <w:p w:rsidR="00883BE9" w:rsidRPr="001B2BD5" w:rsidRDefault="00883BE9" w:rsidP="0066138B">
      <w:pPr>
        <w:rPr>
          <w:lang w:val="es-ES_tradnl"/>
        </w:rPr>
      </w:pPr>
    </w:p>
    <w:p w:rsidR="00883BE9" w:rsidRPr="001B2BD5" w:rsidRDefault="00EE0222" w:rsidP="0066138B">
      <w:pPr>
        <w:pStyle w:val="ONUMFS"/>
        <w:rPr>
          <w:lang w:val="es-ES_tradnl"/>
        </w:rPr>
      </w:pPr>
      <w:r w:rsidRPr="001B2BD5">
        <w:rPr>
          <w:lang w:val="es-ES_tradnl"/>
        </w:rPr>
        <w:t xml:space="preserve">Se </w:t>
      </w:r>
      <w:r w:rsidR="00706DD7" w:rsidRPr="001B2BD5">
        <w:rPr>
          <w:lang w:val="es-ES_tradnl"/>
        </w:rPr>
        <w:t>registró</w:t>
      </w:r>
      <w:r w:rsidRPr="001B2BD5">
        <w:rPr>
          <w:lang w:val="es-ES_tradnl"/>
        </w:rPr>
        <w:t xml:space="preserve"> una disminución de los a</w:t>
      </w:r>
      <w:r w:rsidR="00597865" w:rsidRPr="001B2BD5">
        <w:rPr>
          <w:lang w:val="es-ES_tradnl"/>
        </w:rPr>
        <w:t xml:space="preserve">ctivos </w:t>
      </w:r>
      <w:r w:rsidR="00826B93" w:rsidRPr="001B2BD5">
        <w:rPr>
          <w:lang w:val="es-ES_tradnl"/>
        </w:rPr>
        <w:t>netos</w:t>
      </w:r>
      <w:r w:rsidR="00883BE9" w:rsidRPr="001B2BD5">
        <w:rPr>
          <w:lang w:val="es-ES_tradnl"/>
        </w:rPr>
        <w:t xml:space="preserve"> (</w:t>
      </w:r>
      <w:r w:rsidR="00826B93" w:rsidRPr="001B2BD5">
        <w:rPr>
          <w:lang w:val="es-ES_tradnl"/>
        </w:rPr>
        <w:t>fondos de reserva y de operaciones</w:t>
      </w:r>
      <w:r w:rsidR="00883BE9" w:rsidRPr="001B2BD5">
        <w:rPr>
          <w:lang w:val="es-ES_tradnl"/>
        </w:rPr>
        <w:t xml:space="preserve">) </w:t>
      </w:r>
      <w:r w:rsidR="00C05D16">
        <w:rPr>
          <w:lang w:val="es-ES_tradnl"/>
        </w:rPr>
        <w:t>de </w:t>
      </w:r>
      <w:r w:rsidR="00883BE9" w:rsidRPr="001B2BD5">
        <w:rPr>
          <w:lang w:val="es-ES_tradnl"/>
        </w:rPr>
        <w:t xml:space="preserve">20 </w:t>
      </w:r>
      <w:r w:rsidR="00A346FA" w:rsidRPr="001B2BD5">
        <w:rPr>
          <w:lang w:val="es-ES_tradnl"/>
        </w:rPr>
        <w:t xml:space="preserve">millones de francos suizos </w:t>
      </w:r>
      <w:r w:rsidRPr="001B2BD5">
        <w:rPr>
          <w:lang w:val="es-ES_tradnl"/>
        </w:rPr>
        <w:t xml:space="preserve">como </w:t>
      </w:r>
      <w:r w:rsidR="00706DD7" w:rsidRPr="001B2BD5">
        <w:rPr>
          <w:lang w:val="es-ES_tradnl"/>
        </w:rPr>
        <w:t>consecuencia</w:t>
      </w:r>
      <w:r w:rsidRPr="001B2BD5">
        <w:rPr>
          <w:lang w:val="es-ES_tradnl"/>
        </w:rPr>
        <w:t xml:space="preserve"> de la </w:t>
      </w:r>
      <w:r w:rsidR="00706DD7" w:rsidRPr="001B2BD5">
        <w:rPr>
          <w:lang w:val="es-ES_tradnl"/>
        </w:rPr>
        <w:t>transición</w:t>
      </w:r>
      <w:r w:rsidRPr="001B2BD5">
        <w:rPr>
          <w:lang w:val="es-ES_tradnl"/>
        </w:rPr>
        <w:t xml:space="preserve"> a las </w:t>
      </w:r>
      <w:r w:rsidR="00883BE9" w:rsidRPr="001B2BD5">
        <w:rPr>
          <w:lang w:val="es-ES_tradnl"/>
        </w:rPr>
        <w:t xml:space="preserve">IPSAS </w:t>
      </w:r>
      <w:r w:rsidRPr="001B2BD5">
        <w:rPr>
          <w:lang w:val="es-ES_tradnl"/>
        </w:rPr>
        <w:t xml:space="preserve">el 1º de enero de 2010.  </w:t>
      </w:r>
      <w:r w:rsidR="0000501C" w:rsidRPr="001B2BD5">
        <w:rPr>
          <w:lang w:val="es-ES_tradnl"/>
        </w:rPr>
        <w:t>E</w:t>
      </w:r>
      <w:r w:rsidRPr="001B2BD5">
        <w:rPr>
          <w:lang w:val="es-ES_tradnl"/>
        </w:rPr>
        <w:t>se n</w:t>
      </w:r>
      <w:r w:rsidR="0000501C" w:rsidRPr="001B2BD5">
        <w:rPr>
          <w:lang w:val="es-ES_tradnl"/>
        </w:rPr>
        <w:t xml:space="preserve">ivel reducido se situaba, no obstante, </w:t>
      </w:r>
      <w:r w:rsidRPr="001B2BD5">
        <w:rPr>
          <w:lang w:val="es-ES_tradnl"/>
        </w:rPr>
        <w:t xml:space="preserve">por encima </w:t>
      </w:r>
      <w:r w:rsidR="00706DD7" w:rsidRPr="001B2BD5">
        <w:rPr>
          <w:lang w:val="es-ES_tradnl"/>
        </w:rPr>
        <w:t xml:space="preserve">del nivel </w:t>
      </w:r>
      <w:r w:rsidR="0000501C" w:rsidRPr="001B2BD5">
        <w:rPr>
          <w:lang w:val="es-ES_tradnl"/>
        </w:rPr>
        <w:t>previsto</w:t>
      </w:r>
      <w:r w:rsidR="00706DD7" w:rsidRPr="001B2BD5">
        <w:rPr>
          <w:lang w:val="es-ES_tradnl"/>
        </w:rPr>
        <w:t xml:space="preserve"> para los </w:t>
      </w:r>
      <w:r w:rsidR="00826B93" w:rsidRPr="001B2BD5">
        <w:rPr>
          <w:lang w:val="es-ES_tradnl"/>
        </w:rPr>
        <w:t>fondos de reserva y de operaciones</w:t>
      </w:r>
      <w:r w:rsidR="00706DD7" w:rsidRPr="001B2BD5">
        <w:rPr>
          <w:lang w:val="es-ES_tradnl"/>
        </w:rPr>
        <w:t xml:space="preserve">.  </w:t>
      </w:r>
      <w:r w:rsidR="0000501C" w:rsidRPr="001B2BD5">
        <w:rPr>
          <w:lang w:val="es-ES_tradnl"/>
        </w:rPr>
        <w:t>Desde entonces, e</w:t>
      </w:r>
      <w:r w:rsidR="00706DD7" w:rsidRPr="001B2BD5">
        <w:rPr>
          <w:lang w:val="es-ES_tradnl"/>
        </w:rPr>
        <w:t xml:space="preserve">l nivel de los activos netos se ha mantenido por encima de los niveles </w:t>
      </w:r>
      <w:r w:rsidR="0000501C" w:rsidRPr="001B2BD5">
        <w:rPr>
          <w:lang w:val="es-ES_tradnl"/>
        </w:rPr>
        <w:t>previstos</w:t>
      </w:r>
      <w:r w:rsidR="00706DD7" w:rsidRPr="001B2BD5">
        <w:rPr>
          <w:lang w:val="es-ES_tradnl"/>
        </w:rPr>
        <w:t xml:space="preserve">.  En el Anexo del presente documento se reseña la evolución histórica de la situación financiera de la </w:t>
      </w:r>
      <w:r w:rsidR="00AA3FE4" w:rsidRPr="001B2BD5">
        <w:rPr>
          <w:lang w:val="es-ES_tradnl"/>
        </w:rPr>
        <w:t>OMPI</w:t>
      </w:r>
      <w:r w:rsidR="00706DD7" w:rsidRPr="001B2BD5">
        <w:rPr>
          <w:lang w:val="es-ES_tradnl"/>
        </w:rPr>
        <w:t xml:space="preserve"> y de los </w:t>
      </w:r>
      <w:r w:rsidR="00597865" w:rsidRPr="001B2BD5">
        <w:rPr>
          <w:lang w:val="es-ES_tradnl"/>
        </w:rPr>
        <w:t xml:space="preserve">activos netos </w:t>
      </w:r>
      <w:r w:rsidR="00883BE9" w:rsidRPr="001B2BD5">
        <w:rPr>
          <w:lang w:val="es-ES_tradnl"/>
        </w:rPr>
        <w:t>(</w:t>
      </w:r>
      <w:r w:rsidR="00826B93" w:rsidRPr="001B2BD5">
        <w:rPr>
          <w:lang w:val="es-ES_tradnl"/>
        </w:rPr>
        <w:t>fondos de reserva y de operaciones</w:t>
      </w:r>
      <w:r w:rsidR="00883BE9" w:rsidRPr="001B2BD5">
        <w:rPr>
          <w:lang w:val="es-ES_tradnl"/>
        </w:rPr>
        <w:t>).</w:t>
      </w:r>
    </w:p>
    <w:p w:rsidR="001A7B9C" w:rsidRPr="00AC5F0C" w:rsidRDefault="001A7B9C" w:rsidP="001A7B9C">
      <w:pPr>
        <w:rPr>
          <w:lang w:val="es-ES_tradnl"/>
        </w:rPr>
      </w:pPr>
    </w:p>
    <w:p w:rsidR="001A7B9C" w:rsidRPr="00AC5F0C" w:rsidRDefault="001A7B9C" w:rsidP="001A7B9C">
      <w:pPr>
        <w:pStyle w:val="Heading1"/>
        <w:spacing w:before="0" w:after="0"/>
        <w:rPr>
          <w:lang w:val="es-ES_tradnl"/>
        </w:rPr>
      </w:pPr>
      <w:r w:rsidRPr="00AC5F0C">
        <w:rPr>
          <w:lang w:val="es-ES_tradnl"/>
        </w:rPr>
        <w:t>transiCIÓN HACIA LAS IPSAS –ANÁLISIS DE LA INCIDENCIA EN LA LIQUIDEZ</w:t>
      </w:r>
    </w:p>
    <w:p w:rsidR="001A7B9C" w:rsidRPr="00AC5F0C" w:rsidRDefault="001A7B9C" w:rsidP="001A7B9C">
      <w:pPr>
        <w:rPr>
          <w:lang w:val="es-ES_tradnl"/>
        </w:rPr>
      </w:pPr>
    </w:p>
    <w:p w:rsidR="001A7B9C" w:rsidRPr="00AC5F0C" w:rsidRDefault="001A7B9C" w:rsidP="00334EC8">
      <w:pPr>
        <w:pStyle w:val="ONUMFS"/>
        <w:rPr>
          <w:lang w:val="es-ES_tradnl"/>
        </w:rPr>
      </w:pPr>
      <w:r w:rsidRPr="00AC5F0C">
        <w:rPr>
          <w:lang w:val="es-ES_tradnl"/>
        </w:rPr>
        <w:t>Entre los indicadores financieros estándar para evaluar la situación de liquidez de una Organización y su capacidad para cumplir obligaciones a corto plazo están los coeficientes que se describen brevemente a continuación:</w:t>
      </w:r>
    </w:p>
    <w:p w:rsidR="001A7B9C" w:rsidRPr="00AC5F0C" w:rsidRDefault="001A7B9C" w:rsidP="001A7B9C">
      <w:pPr>
        <w:pStyle w:val="ListParagraph"/>
        <w:numPr>
          <w:ilvl w:val="0"/>
          <w:numId w:val="11"/>
        </w:numPr>
        <w:tabs>
          <w:tab w:val="clear" w:pos="851"/>
        </w:tabs>
        <w:ind w:left="567" w:firstLine="0"/>
        <w:rPr>
          <w:lang w:val="es-ES_tradnl"/>
        </w:rPr>
      </w:pPr>
      <w:r w:rsidRPr="00AC5F0C">
        <w:rPr>
          <w:lang w:val="es-ES_tradnl"/>
        </w:rPr>
        <w:t xml:space="preserve">Coeficiente de </w:t>
      </w:r>
      <w:r>
        <w:rPr>
          <w:lang w:val="es-ES_tradnl"/>
        </w:rPr>
        <w:t>solvencia</w:t>
      </w:r>
      <w:r w:rsidRPr="00AC5F0C">
        <w:rPr>
          <w:lang w:val="es-ES_tradnl"/>
        </w:rPr>
        <w:t xml:space="preserve"> = activo</w:t>
      </w:r>
      <w:r>
        <w:rPr>
          <w:lang w:val="es-ES_tradnl"/>
        </w:rPr>
        <w:t>s</w:t>
      </w:r>
      <w:r w:rsidRPr="00AC5F0C">
        <w:rPr>
          <w:lang w:val="es-ES_tradnl"/>
        </w:rPr>
        <w:t xml:space="preserve"> </w:t>
      </w:r>
      <w:r w:rsidR="00773DA2">
        <w:rPr>
          <w:lang w:val="es-ES_tradnl"/>
        </w:rPr>
        <w:t>corrientes</w:t>
      </w:r>
      <w:r w:rsidRPr="00AC5F0C">
        <w:rPr>
          <w:lang w:val="es-ES_tradnl"/>
        </w:rPr>
        <w:t xml:space="preserve"> ÷ </w:t>
      </w:r>
      <w:r w:rsidR="00773DA2">
        <w:rPr>
          <w:lang w:val="es-ES_tradnl"/>
        </w:rPr>
        <w:t>pasivos corrientes</w:t>
      </w:r>
    </w:p>
    <w:p w:rsidR="001A7B9C" w:rsidRPr="00AC5F0C" w:rsidRDefault="001A7B9C" w:rsidP="001A7B9C">
      <w:pPr>
        <w:ind w:left="426"/>
        <w:rPr>
          <w:lang w:val="es-ES_tradnl"/>
        </w:rPr>
      </w:pPr>
      <w:r w:rsidRPr="00AC5F0C">
        <w:rPr>
          <w:lang w:val="es-ES_tradnl"/>
        </w:rPr>
        <w:t xml:space="preserve">Una manera sencilla de </w:t>
      </w:r>
      <w:r>
        <w:rPr>
          <w:lang w:val="es-ES_tradnl"/>
        </w:rPr>
        <w:t>determina</w:t>
      </w:r>
      <w:r w:rsidRPr="00AC5F0C">
        <w:rPr>
          <w:lang w:val="es-ES_tradnl"/>
        </w:rPr>
        <w:t xml:space="preserve">r la capacidad de una Organización para cumplir sus obligaciones a corto plazo es establecer un vínculo entre los activos </w:t>
      </w:r>
      <w:r w:rsidR="00773DA2">
        <w:rPr>
          <w:lang w:val="es-ES_tradnl"/>
        </w:rPr>
        <w:t>corriente</w:t>
      </w:r>
      <w:r w:rsidRPr="00AC5F0C">
        <w:rPr>
          <w:lang w:val="es-ES_tradnl"/>
        </w:rPr>
        <w:t xml:space="preserve">s y </w:t>
      </w:r>
      <w:r w:rsidR="00773DA2">
        <w:rPr>
          <w:lang w:val="es-ES_tradnl"/>
        </w:rPr>
        <w:t>los</w:t>
      </w:r>
      <w:r w:rsidRPr="00AC5F0C">
        <w:rPr>
          <w:lang w:val="es-ES_tradnl"/>
        </w:rPr>
        <w:t xml:space="preserve"> </w:t>
      </w:r>
      <w:r w:rsidR="00773DA2">
        <w:rPr>
          <w:lang w:val="es-ES_tradnl"/>
        </w:rPr>
        <w:t>pasivos corrientes</w:t>
      </w:r>
      <w:r w:rsidRPr="00AC5F0C">
        <w:rPr>
          <w:lang w:val="es-ES_tradnl"/>
        </w:rPr>
        <w:t xml:space="preserve"> o establecer lo que comúnmente se llama “coeficiente de liquidez.  Aplicando ese coeficiente se puede </w:t>
      </w:r>
      <w:r>
        <w:rPr>
          <w:lang w:val="es-ES_tradnl"/>
        </w:rPr>
        <w:t>determina</w:t>
      </w:r>
      <w:r w:rsidRPr="00AC5F0C">
        <w:rPr>
          <w:lang w:val="es-ES_tradnl"/>
        </w:rPr>
        <w:t xml:space="preserve">r la solvencia de una Organización a final del año y se obtiene una indicación de la capacidad de pagar deudas a corto plazo sin recurrir a préstamos especiales </w:t>
      </w:r>
    </w:p>
    <w:p w:rsidR="001A7B9C" w:rsidRPr="00AC5F0C" w:rsidRDefault="001A7B9C" w:rsidP="001A7B9C">
      <w:pPr>
        <w:pStyle w:val="ListParagraph"/>
        <w:numPr>
          <w:ilvl w:val="0"/>
          <w:numId w:val="11"/>
        </w:numPr>
        <w:tabs>
          <w:tab w:val="clear" w:pos="851"/>
        </w:tabs>
        <w:ind w:left="567" w:firstLine="0"/>
        <w:rPr>
          <w:lang w:val="es-ES_tradnl"/>
        </w:rPr>
      </w:pPr>
      <w:r>
        <w:rPr>
          <w:lang w:val="es-ES_tradnl"/>
        </w:rPr>
        <w:t>Coeficiente de liquidez</w:t>
      </w:r>
      <w:r w:rsidRPr="00AC5F0C">
        <w:rPr>
          <w:lang w:val="es-ES_tradnl"/>
        </w:rPr>
        <w:t xml:space="preserve"> = </w:t>
      </w:r>
      <w:r>
        <w:rPr>
          <w:lang w:val="es-ES_tradnl"/>
        </w:rPr>
        <w:t>activos disponibles</w:t>
      </w:r>
      <w:r w:rsidRPr="00AC5F0C">
        <w:rPr>
          <w:lang w:val="es-ES_tradnl"/>
        </w:rPr>
        <w:t xml:space="preserve"> ÷ </w:t>
      </w:r>
      <w:r w:rsidR="00773DA2">
        <w:rPr>
          <w:lang w:val="es-ES_tradnl"/>
        </w:rPr>
        <w:t>pasivos corrientes</w:t>
      </w:r>
    </w:p>
    <w:p w:rsidR="001A7B9C" w:rsidRPr="00AC5F0C" w:rsidRDefault="001A7B9C" w:rsidP="001A7B9C">
      <w:pPr>
        <w:ind w:left="426"/>
        <w:rPr>
          <w:lang w:val="es-ES_tradnl"/>
        </w:rPr>
      </w:pPr>
      <w:r>
        <w:rPr>
          <w:lang w:val="es-ES_tradnl"/>
        </w:rPr>
        <w:t>Un enfoque más riguroso que el del coeficiente de solvencia es excluir el inventario de fin de año para llegar a lo que se denominan activos líquidos, se trate de activos monetarios o cuasimonetarios</w:t>
      </w:r>
      <w:r w:rsidRPr="00AC5F0C">
        <w:rPr>
          <w:lang w:val="es-ES_tradnl"/>
        </w:rPr>
        <w:t xml:space="preserve">. </w:t>
      </w:r>
      <w:r>
        <w:rPr>
          <w:lang w:val="es-ES_tradnl"/>
        </w:rPr>
        <w:t xml:space="preserve"> Se excluye el inventario por cuanto puede ser difícil convertirlo rápidamente en efectivo.  Se considera que ello constituye un enfoque prudente para evaluar la capacidad de una organización para cumplir con su pasivo exigible a corto plazo</w:t>
      </w:r>
      <w:r w:rsidRPr="00AC5F0C">
        <w:rPr>
          <w:lang w:val="es-ES_tradnl"/>
        </w:rPr>
        <w:t>.</w:t>
      </w:r>
    </w:p>
    <w:p w:rsidR="001A7B9C" w:rsidRPr="00AC5F0C" w:rsidRDefault="001A7B9C" w:rsidP="001A7B9C">
      <w:pPr>
        <w:pStyle w:val="ListParagraph"/>
        <w:numPr>
          <w:ilvl w:val="0"/>
          <w:numId w:val="11"/>
        </w:numPr>
        <w:tabs>
          <w:tab w:val="clear" w:pos="851"/>
        </w:tabs>
        <w:ind w:left="567" w:firstLine="0"/>
        <w:rPr>
          <w:lang w:val="es-ES_tradnl"/>
        </w:rPr>
      </w:pPr>
      <w:r>
        <w:rPr>
          <w:lang w:val="es-ES_tradnl"/>
        </w:rPr>
        <w:t>Porcentaje de fondos de tesorería</w:t>
      </w:r>
      <w:r w:rsidRPr="00AC5F0C">
        <w:rPr>
          <w:lang w:val="es-ES_tradnl"/>
        </w:rPr>
        <w:t xml:space="preserve"> = </w:t>
      </w:r>
      <w:r>
        <w:rPr>
          <w:lang w:val="es-ES_tradnl"/>
        </w:rPr>
        <w:t>Efectivo</w:t>
      </w:r>
      <w:r w:rsidRPr="00AC5F0C">
        <w:rPr>
          <w:lang w:val="es-ES_tradnl"/>
        </w:rPr>
        <w:t xml:space="preserve"> ÷ </w:t>
      </w:r>
      <w:r>
        <w:rPr>
          <w:lang w:val="es-ES_tradnl"/>
        </w:rPr>
        <w:t xml:space="preserve">activos </w:t>
      </w:r>
      <w:r w:rsidR="00773DA2">
        <w:rPr>
          <w:lang w:val="es-ES_tradnl"/>
        </w:rPr>
        <w:t>corriente</w:t>
      </w:r>
      <w:r>
        <w:rPr>
          <w:lang w:val="es-ES_tradnl"/>
        </w:rPr>
        <w:t>s</w:t>
      </w:r>
    </w:p>
    <w:p w:rsidR="001A7B9C" w:rsidRPr="00AC5F0C" w:rsidRDefault="001A7B9C" w:rsidP="001A7B9C">
      <w:pPr>
        <w:ind w:left="426"/>
        <w:rPr>
          <w:lang w:val="es-ES_tradnl"/>
        </w:rPr>
      </w:pPr>
      <w:r>
        <w:rPr>
          <w:lang w:val="es-ES_tradnl"/>
        </w:rPr>
        <w:t xml:space="preserve">Se pueden utilizar varios coeficientes para determinar en general si una Organización goza de una situación de liquidez adecuada.  Conviene saber en líneas generales qué proporción de los activos </w:t>
      </w:r>
      <w:r w:rsidR="00773DA2">
        <w:rPr>
          <w:lang w:val="es-ES_tradnl"/>
        </w:rPr>
        <w:t>corriente</w:t>
      </w:r>
      <w:r>
        <w:rPr>
          <w:lang w:val="es-ES_tradnl"/>
        </w:rPr>
        <w:t xml:space="preserve">s se mantienen en efectivo y en inversiones a corto plazo.  Un coeficiente sencillo a ese respecto es el porcentaje de  liquidez en relación con el total de activos </w:t>
      </w:r>
      <w:r w:rsidR="00773DA2">
        <w:rPr>
          <w:lang w:val="es-ES_tradnl"/>
        </w:rPr>
        <w:t>corriente</w:t>
      </w:r>
      <w:r>
        <w:rPr>
          <w:lang w:val="es-ES_tradnl"/>
        </w:rPr>
        <w:t xml:space="preserve">s;  cuánta más liquidez haya en la Organización, mayor será la proporción de activos </w:t>
      </w:r>
      <w:r w:rsidR="00773DA2">
        <w:rPr>
          <w:lang w:val="es-ES_tradnl"/>
        </w:rPr>
        <w:t>corriente</w:t>
      </w:r>
      <w:r>
        <w:rPr>
          <w:lang w:val="es-ES_tradnl"/>
        </w:rPr>
        <w:t>s en elementos monetarios o cuasimonetarios</w:t>
      </w:r>
      <w:r w:rsidRPr="00AC5F0C">
        <w:rPr>
          <w:lang w:val="es-ES_tradnl"/>
        </w:rPr>
        <w:t>.</w:t>
      </w:r>
    </w:p>
    <w:p w:rsidR="001A7B9C" w:rsidRPr="00AC5F0C" w:rsidRDefault="001A7B9C" w:rsidP="001A7B9C">
      <w:pPr>
        <w:rPr>
          <w:lang w:val="es-ES_tradnl"/>
        </w:rPr>
      </w:pPr>
    </w:p>
    <w:p w:rsidR="001A7B9C" w:rsidRPr="00AC5F0C" w:rsidRDefault="001A7B9C" w:rsidP="00334EC8">
      <w:pPr>
        <w:pStyle w:val="ONUMFS"/>
        <w:rPr>
          <w:lang w:val="es-ES_tradnl"/>
        </w:rPr>
      </w:pPr>
      <w:r>
        <w:rPr>
          <w:lang w:val="es-ES_tradnl"/>
        </w:rPr>
        <w:t xml:space="preserve">Los cambios en la forma de reconocer el activo y el pasivo después de la transición a las IPSAS ha tenido otra repercusión importante, a saber, ofrecer </w:t>
      </w:r>
      <w:r w:rsidR="008E48CB">
        <w:rPr>
          <w:lang w:val="es-ES_tradnl"/>
        </w:rPr>
        <w:t>un</w:t>
      </w:r>
      <w:r>
        <w:rPr>
          <w:lang w:val="es-ES_tradnl"/>
        </w:rPr>
        <w:t xml:space="preserve"> panorama más prudente de la situación de liquidez de la Organización y de su capacidad de cumplir con su pasivo a corto plazo.  En el caso de la OMPI, aun cuando la transición a las IPSAS ha supuesto un aumento de los activos </w:t>
      </w:r>
      <w:r w:rsidR="00773DA2">
        <w:rPr>
          <w:lang w:val="es-ES_tradnl"/>
        </w:rPr>
        <w:t>corriente</w:t>
      </w:r>
      <w:r>
        <w:rPr>
          <w:lang w:val="es-ES_tradnl"/>
        </w:rPr>
        <w:t xml:space="preserve">s de 13,0 millones de francos suizos, </w:t>
      </w:r>
      <w:r w:rsidR="00773DA2">
        <w:rPr>
          <w:lang w:val="es-ES_tradnl"/>
        </w:rPr>
        <w:t>los pasivos corrientes</w:t>
      </w:r>
      <w:r w:rsidR="00B446D0">
        <w:rPr>
          <w:lang w:val="es-ES_tradnl"/>
        </w:rPr>
        <w:t xml:space="preserve"> aumentó en </w:t>
      </w:r>
      <w:r>
        <w:rPr>
          <w:lang w:val="es-ES_tradnl"/>
        </w:rPr>
        <w:t xml:space="preserve">151,3 millones de francos suizos.  Como ya se ha mencionado, el mayor ajuste ha sido convertir los ingresos diferidos del PCT en </w:t>
      </w:r>
      <w:r w:rsidR="00773DA2">
        <w:rPr>
          <w:lang w:val="es-ES_tradnl"/>
        </w:rPr>
        <w:t>pasivos corrientes</w:t>
      </w:r>
      <w:r>
        <w:rPr>
          <w:lang w:val="es-ES_tradnl"/>
        </w:rPr>
        <w:t>.  Los cambios en esos coeficientes para la transición a las IPSAS y su evolución desde entonces se indican en el cuadro que figura a continuación</w:t>
      </w:r>
      <w:r w:rsidRPr="00AC5F0C">
        <w:rPr>
          <w:lang w:val="es-ES_tradnl"/>
        </w:rPr>
        <w:t>:</w:t>
      </w:r>
    </w:p>
    <w:p w:rsidR="001A7B9C" w:rsidRPr="00AC5F0C" w:rsidRDefault="00CE2EEF" w:rsidP="001A7B9C">
      <w:pPr>
        <w:rPr>
          <w:lang w:val="es-ES_tradnl"/>
        </w:rPr>
      </w:pPr>
      <w:r w:rsidRPr="00CE2EEF">
        <w:rPr>
          <w:noProof/>
          <w:lang w:val="en-US" w:eastAsia="en-US"/>
        </w:rPr>
        <w:drawing>
          <wp:inline distT="0" distB="0" distL="0" distR="0" wp14:anchorId="7FF607CE" wp14:editId="1C965B6E">
            <wp:extent cx="5940425" cy="3683399"/>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3683399"/>
                    </a:xfrm>
                    <a:prstGeom prst="rect">
                      <a:avLst/>
                    </a:prstGeom>
                    <a:noFill/>
                    <a:ln>
                      <a:noFill/>
                    </a:ln>
                  </pic:spPr>
                </pic:pic>
              </a:graphicData>
            </a:graphic>
          </wp:inline>
        </w:drawing>
      </w:r>
    </w:p>
    <w:p w:rsidR="001A7B9C" w:rsidRDefault="001A7B9C" w:rsidP="001A7B9C">
      <w:pPr>
        <w:rPr>
          <w:sz w:val="18"/>
          <w:szCs w:val="18"/>
          <w:lang w:val="es-ES_tradnl"/>
        </w:rPr>
      </w:pPr>
    </w:p>
    <w:p w:rsidR="00CE2EEF" w:rsidRPr="00AC5F0C" w:rsidRDefault="00CE2EEF" w:rsidP="001A7B9C">
      <w:pPr>
        <w:rPr>
          <w:lang w:val="es-ES_tradnl"/>
        </w:rPr>
      </w:pPr>
    </w:p>
    <w:p w:rsidR="001A7B9C" w:rsidRPr="00AC5F0C" w:rsidRDefault="001A7B9C" w:rsidP="00334EC8">
      <w:pPr>
        <w:pStyle w:val="ONUMFS"/>
        <w:rPr>
          <w:lang w:val="es-ES_tradnl"/>
        </w:rPr>
      </w:pPr>
      <w:r>
        <w:rPr>
          <w:lang w:val="es-ES_tradnl"/>
        </w:rPr>
        <w:t xml:space="preserve">La transición a las IPSAS el 1 de enero de </w:t>
      </w:r>
      <w:r w:rsidRPr="00AC5F0C">
        <w:rPr>
          <w:lang w:val="es-ES_tradnl"/>
        </w:rPr>
        <w:t xml:space="preserve">2010 </w:t>
      </w:r>
      <w:r>
        <w:rPr>
          <w:lang w:val="es-ES_tradnl"/>
        </w:rPr>
        <w:t>ha acarreado una reducción considerable de los coeficientes de solvencia y de liquidez, principalmente debido a un reconocimiento más completo de</w:t>
      </w:r>
      <w:r w:rsidR="00773DA2">
        <w:rPr>
          <w:lang w:val="es-ES_tradnl"/>
        </w:rPr>
        <w:t xml:space="preserve"> </w:t>
      </w:r>
      <w:r>
        <w:rPr>
          <w:lang w:val="es-ES_tradnl"/>
        </w:rPr>
        <w:t>l</w:t>
      </w:r>
      <w:r w:rsidR="00773DA2">
        <w:rPr>
          <w:lang w:val="es-ES_tradnl"/>
        </w:rPr>
        <w:t>os</w:t>
      </w:r>
      <w:r>
        <w:rPr>
          <w:lang w:val="es-ES_tradnl"/>
        </w:rPr>
        <w:t xml:space="preserve"> </w:t>
      </w:r>
      <w:r w:rsidR="00773DA2">
        <w:rPr>
          <w:lang w:val="es-ES_tradnl"/>
        </w:rPr>
        <w:t>pasivos corrientes</w:t>
      </w:r>
      <w:r>
        <w:rPr>
          <w:lang w:val="es-ES_tradnl"/>
        </w:rPr>
        <w:t xml:space="preserve"> por el hecho de diferir los ingresos procedentes de tasas del PCT.</w:t>
      </w:r>
      <w:r w:rsidRPr="00AC5F0C">
        <w:rPr>
          <w:lang w:val="es-ES_tradnl"/>
        </w:rPr>
        <w:t xml:space="preserve">  Dur</w:t>
      </w:r>
      <w:r>
        <w:rPr>
          <w:lang w:val="es-ES_tradnl"/>
        </w:rPr>
        <w:t>ante el periodo</w:t>
      </w:r>
      <w:r w:rsidRPr="00AC5F0C">
        <w:rPr>
          <w:lang w:val="es-ES_tradnl"/>
        </w:rPr>
        <w:t xml:space="preserve"> 2010 </w:t>
      </w:r>
      <w:r>
        <w:rPr>
          <w:lang w:val="es-ES_tradnl"/>
        </w:rPr>
        <w:t xml:space="preserve">a </w:t>
      </w:r>
      <w:r w:rsidRPr="00AC5F0C">
        <w:rPr>
          <w:lang w:val="es-ES_tradnl"/>
        </w:rPr>
        <w:t>2013 no</w:t>
      </w:r>
      <w:r>
        <w:rPr>
          <w:lang w:val="es-ES_tradnl"/>
        </w:rPr>
        <w:t xml:space="preserve"> se registraron cambios significativos en la capacidad de la Organización para cumplir sus obligaciones a corto plazo.  El porcentaje de fondos de tesorería disminuyó </w:t>
      </w:r>
      <w:r w:rsidR="000C4080">
        <w:rPr>
          <w:lang w:val="es-ES_tradnl"/>
        </w:rPr>
        <w:t xml:space="preserve">el </w:t>
      </w:r>
      <w:r>
        <w:rPr>
          <w:lang w:val="es-ES_tradnl"/>
        </w:rPr>
        <w:t>11 por ciento, principalmente debido a un aumento de las cuentas por cobrar dado el cambio en las pautas de pago de las tasas del PCT.</w:t>
      </w:r>
    </w:p>
    <w:p w:rsidR="001A7B9C" w:rsidRPr="00AC5F0C" w:rsidRDefault="001A7B9C" w:rsidP="001A7B9C">
      <w:pPr>
        <w:rPr>
          <w:lang w:val="es-ES_tradnl"/>
        </w:rPr>
      </w:pPr>
    </w:p>
    <w:p w:rsidR="001A7B9C" w:rsidRPr="00AC5F0C" w:rsidRDefault="001A7B9C" w:rsidP="001A7B9C">
      <w:pPr>
        <w:pStyle w:val="Heading1"/>
        <w:spacing w:before="0" w:after="0"/>
        <w:rPr>
          <w:lang w:val="es-ES_tradnl"/>
        </w:rPr>
      </w:pPr>
      <w:r w:rsidRPr="00AC5F0C">
        <w:rPr>
          <w:lang w:val="es-ES_tradnl"/>
        </w:rPr>
        <w:t>us</w:t>
      </w:r>
      <w:r>
        <w:rPr>
          <w:lang w:val="es-ES_tradnl"/>
        </w:rPr>
        <w:t>O DE LAS RESERVAS DISPONIBLES PARA FINANCIAR PROYECTOS</w:t>
      </w:r>
    </w:p>
    <w:p w:rsidR="001A7B9C" w:rsidRPr="00AC5F0C" w:rsidRDefault="001A7B9C" w:rsidP="001A7B9C">
      <w:pPr>
        <w:rPr>
          <w:caps/>
          <w:lang w:val="es-ES_tradnl"/>
        </w:rPr>
      </w:pPr>
    </w:p>
    <w:p w:rsidR="001A7B9C" w:rsidRPr="00AC5F0C" w:rsidRDefault="001A7B9C" w:rsidP="00334EC8">
      <w:pPr>
        <w:pStyle w:val="ONUMFS"/>
        <w:rPr>
          <w:lang w:val="es-ES_tradnl"/>
        </w:rPr>
      </w:pPr>
      <w:r>
        <w:rPr>
          <w:lang w:val="es-ES_tradnl"/>
        </w:rPr>
        <w:t>Como se explica en el párrafo</w:t>
      </w:r>
      <w:r w:rsidRPr="00AC5F0C">
        <w:rPr>
          <w:lang w:val="es-ES_tradnl"/>
        </w:rPr>
        <w:t xml:space="preserve"> 12</w:t>
      </w:r>
      <w:r>
        <w:rPr>
          <w:lang w:val="es-ES_tradnl"/>
        </w:rPr>
        <w:t xml:space="preserve"> del presente documento</w:t>
      </w:r>
      <w:r w:rsidRPr="00AC5F0C">
        <w:rPr>
          <w:lang w:val="es-ES_tradnl"/>
        </w:rPr>
        <w:t xml:space="preserve">, </w:t>
      </w:r>
      <w:r>
        <w:rPr>
          <w:lang w:val="es-ES_tradnl"/>
        </w:rPr>
        <w:t>la OMPI tiene varios proyectos financiados con cargo a las reservas</w:t>
      </w:r>
      <w:r w:rsidRPr="00AC5F0C">
        <w:rPr>
          <w:lang w:val="es-ES_tradnl"/>
        </w:rPr>
        <w:t xml:space="preserve">. </w:t>
      </w:r>
      <w:r>
        <w:rPr>
          <w:lang w:val="es-ES_tradnl"/>
        </w:rPr>
        <w:t xml:space="preserve"> Cabe añadir que siguen siendo los Estados miembros los que toman decisiones en relación con esos proyectos</w:t>
      </w:r>
      <w:r w:rsidRPr="00AC5F0C">
        <w:rPr>
          <w:lang w:val="es-ES_tradnl"/>
        </w:rPr>
        <w:t xml:space="preserve">.  </w:t>
      </w:r>
      <w:r>
        <w:rPr>
          <w:lang w:val="es-ES_tradnl"/>
        </w:rPr>
        <w:t>En toda propuesta de proyecto y en toda decisión de aprobación de un proyecto hay que respetar plenamente las políticas de la OMPI en materia de fondos de reserva y de operaciones (FRO)</w:t>
      </w:r>
      <w:r w:rsidRPr="00AC5F0C">
        <w:rPr>
          <w:lang w:val="es-ES_tradnl"/>
        </w:rPr>
        <w:t>.</w:t>
      </w:r>
    </w:p>
    <w:p w:rsidR="001A7B9C" w:rsidRPr="00AC5F0C" w:rsidRDefault="001A7B9C" w:rsidP="00334EC8">
      <w:pPr>
        <w:pStyle w:val="ONUMFS"/>
        <w:rPr>
          <w:lang w:val="es-ES_tradnl"/>
        </w:rPr>
      </w:pPr>
      <w:r>
        <w:rPr>
          <w:lang w:val="es-ES_tradnl"/>
        </w:rPr>
        <w:t>El criterio más importante que se tiene en cuenta para proponer proyectos de esa índole es la disponibilidad de reservas por encima del nivel necesario previsto.  Los proyectos financiados o cuya financiación se ha aprobado con cargo a las reservas</w:t>
      </w:r>
      <w:r w:rsidR="00773DA2">
        <w:rPr>
          <w:lang w:val="es-ES_tradnl"/>
        </w:rPr>
        <w:t xml:space="preserve"> deben ser</w:t>
      </w:r>
      <w:r>
        <w:rPr>
          <w:lang w:val="es-ES_tradnl"/>
        </w:rPr>
        <w:t xml:space="preserve"> proyectos de inversión o proyectos que en</w:t>
      </w:r>
      <w:r w:rsidR="00773DA2">
        <w:rPr>
          <w:lang w:val="es-ES_tradnl"/>
        </w:rPr>
        <w:t>trañe</w:t>
      </w:r>
      <w:r>
        <w:rPr>
          <w:lang w:val="es-ES_tradnl"/>
        </w:rPr>
        <w:t xml:space="preserve">n un alto grado de capital.  A raíz de la realización de dichos proyectos, aun cuando habrá una reducción de los activos </w:t>
      </w:r>
      <w:r w:rsidR="00773DA2">
        <w:rPr>
          <w:lang w:val="es-ES_tradnl"/>
        </w:rPr>
        <w:t>corriente</w:t>
      </w:r>
      <w:r>
        <w:rPr>
          <w:lang w:val="es-ES_tradnl"/>
        </w:rPr>
        <w:t>s en la medida en que estén financiados con efectivo, dicha reducción se verá parcial o plenamente contrarrestada por un aumento de los activos fijos.  De ahí que sea mínima la incidencia en los activos netos.  No obstante, la financiación de proyectos a partir de las reservas incide en los coeficientes de solvencia, liquidez y fondos de tesorería descritos en el párrafo 18.</w:t>
      </w:r>
    </w:p>
    <w:p w:rsidR="001A7B9C" w:rsidRPr="00AC5F0C" w:rsidRDefault="001A7B9C" w:rsidP="00334EC8">
      <w:pPr>
        <w:pStyle w:val="ONUMFS"/>
        <w:rPr>
          <w:lang w:val="es-ES_tradnl"/>
        </w:rPr>
      </w:pPr>
      <w:r>
        <w:rPr>
          <w:lang w:val="es-ES_tradnl"/>
        </w:rPr>
        <w:t>En la actualidad, la Organización no está expuesta a riesgos de liquidez pues cuenta con importantes recursos de efectivo no restringido que se reaprovisionan como resultado de sus actividades</w:t>
      </w:r>
      <w:r w:rsidRPr="00AC5F0C">
        <w:rPr>
          <w:lang w:val="es-ES_tradnl"/>
        </w:rPr>
        <w:t xml:space="preserve">.  </w:t>
      </w:r>
      <w:r>
        <w:rPr>
          <w:lang w:val="es-ES_tradnl"/>
        </w:rPr>
        <w:t>Además, se ha elaborado una política de inversiones de la Organización para asegurar que sus inversiones se mantengan principalmente en depósitos de efectivo a corto plazo</w:t>
      </w:r>
      <w:r w:rsidRPr="00AC5F0C">
        <w:rPr>
          <w:lang w:val="es-ES_tradnl"/>
        </w:rPr>
        <w:t xml:space="preserve">.  </w:t>
      </w:r>
      <w:r>
        <w:rPr>
          <w:lang w:val="es-ES_tradnl"/>
        </w:rPr>
        <w:t>Sin embargo, y en aras de la consolidación de la gestión del riesgo financiero, convendría que la OMPI realizara un análisis, incluida una comparación comparativa de los coeficientes de liquidez de organizaciones similares con miras a determinar el nivel en el que deben fijarse sus coeficientes de solvencia, de liquidez y de fondos de tesorería.</w:t>
      </w:r>
    </w:p>
    <w:p w:rsidR="001A7B9C" w:rsidRPr="00AC5F0C" w:rsidRDefault="000C4080" w:rsidP="001A7B9C">
      <w:pPr>
        <w:keepNext/>
        <w:keepLines/>
        <w:rPr>
          <w:u w:val="single"/>
          <w:lang w:val="es-ES_tradnl"/>
        </w:rPr>
      </w:pPr>
      <w:r>
        <w:rPr>
          <w:u w:val="single"/>
          <w:lang w:val="es-ES_tradnl"/>
        </w:rPr>
        <w:t>Lagunas en materia de políticas</w:t>
      </w:r>
      <w:r w:rsidR="001A7B9C">
        <w:rPr>
          <w:u w:val="single"/>
          <w:lang w:val="es-ES_tradnl"/>
        </w:rPr>
        <w:t xml:space="preserve"> y </w:t>
      </w:r>
      <w:r>
        <w:rPr>
          <w:u w:val="single"/>
          <w:lang w:val="es-ES_tradnl"/>
        </w:rPr>
        <w:t>camino a seguir</w:t>
      </w:r>
    </w:p>
    <w:p w:rsidR="001A7B9C" w:rsidRPr="00AC5F0C" w:rsidRDefault="001A7B9C" w:rsidP="001A7B9C">
      <w:pPr>
        <w:keepNext/>
        <w:keepLines/>
        <w:rPr>
          <w:lang w:val="es-ES_tradnl"/>
        </w:rPr>
      </w:pPr>
    </w:p>
    <w:p w:rsidR="001A7B9C" w:rsidRPr="00AC5F0C" w:rsidRDefault="001A7B9C" w:rsidP="00334EC8">
      <w:pPr>
        <w:pStyle w:val="ONUMFS"/>
        <w:rPr>
          <w:lang w:val="es-ES_tradnl"/>
        </w:rPr>
      </w:pPr>
      <w:r>
        <w:rPr>
          <w:lang w:val="es-ES_tradnl"/>
        </w:rPr>
        <w:t>En las políticas de la OMPI en materia de fondos de reserva y de operaciones no se estipulan explícitamente requisitos de liquidez</w:t>
      </w:r>
      <w:r w:rsidRPr="00AC5F0C">
        <w:rPr>
          <w:lang w:val="es-ES_tradnl"/>
        </w:rPr>
        <w:t xml:space="preserve">. </w:t>
      </w:r>
      <w:r>
        <w:rPr>
          <w:lang w:val="es-ES_tradnl"/>
        </w:rPr>
        <w:t xml:space="preserve"> Eso podría considerarse una laguna o un vacío en la política vigente</w:t>
      </w:r>
      <w:r w:rsidRPr="00AC5F0C">
        <w:rPr>
          <w:lang w:val="es-ES_tradnl"/>
        </w:rPr>
        <w:t xml:space="preserve">.  </w:t>
      </w:r>
      <w:r>
        <w:rPr>
          <w:lang w:val="es-ES_tradnl"/>
        </w:rPr>
        <w:t xml:space="preserve">El Auditor Externo de la OMPI ha recomendado que antes de acordar que se incurra en gastos a partir de las reservas, la OMPI determine qué incidencia puede tener esa medida en la liquidez de la Organización.  Para aplicar esa recomendación será necesario actualizar la política acerca de la utilización de las reservas de modo que en ella se reflejen consideraciones en materia de liquidez.  Toda propuesta de proyecto para </w:t>
      </w:r>
      <w:r w:rsidR="000C4080">
        <w:rPr>
          <w:lang w:val="es-ES_tradnl"/>
        </w:rPr>
        <w:t xml:space="preserve">que </w:t>
      </w:r>
      <w:r>
        <w:rPr>
          <w:lang w:val="es-ES_tradnl"/>
        </w:rPr>
        <w:t>sea financiado con cargo a las reservas deberá ser analizado en cuanto a su incidencia en el nivel de liquidez además de en el nivel de reservas</w:t>
      </w:r>
      <w:r w:rsidRPr="00AC5F0C">
        <w:rPr>
          <w:lang w:val="es-ES_tradnl"/>
        </w:rPr>
        <w:t>.</w:t>
      </w:r>
    </w:p>
    <w:p w:rsidR="001A7B9C" w:rsidRPr="00AC5F0C" w:rsidRDefault="001A7B9C" w:rsidP="001A7B9C">
      <w:pPr>
        <w:pStyle w:val="ListParagraph"/>
        <w:numPr>
          <w:ilvl w:val="0"/>
          <w:numId w:val="0"/>
        </w:numPr>
        <w:tabs>
          <w:tab w:val="clear" w:pos="851"/>
          <w:tab w:val="clear" w:pos="1134"/>
        </w:tabs>
        <w:spacing w:before="0" w:after="0"/>
        <w:rPr>
          <w:caps/>
          <w:lang w:val="es-ES_tradnl"/>
        </w:rPr>
      </w:pPr>
    </w:p>
    <w:p w:rsidR="001A7B9C" w:rsidRPr="00AC5F0C" w:rsidRDefault="001A7B9C" w:rsidP="001A7B9C">
      <w:pPr>
        <w:pStyle w:val="Heading1"/>
        <w:spacing w:before="0" w:after="0"/>
        <w:rPr>
          <w:lang w:val="es-ES_tradnl"/>
        </w:rPr>
      </w:pPr>
      <w:r>
        <w:rPr>
          <w:lang w:val="es-ES_tradnl"/>
        </w:rPr>
        <w:t>NIVEL NECESARIO DE ACTIVOS NETOS</w:t>
      </w:r>
      <w:r w:rsidRPr="00AC5F0C">
        <w:rPr>
          <w:lang w:val="es-ES_tradnl"/>
        </w:rPr>
        <w:t xml:space="preserve"> (</w:t>
      </w:r>
      <w:r>
        <w:rPr>
          <w:lang w:val="es-ES_tradnl"/>
        </w:rPr>
        <w:t>fondos de reserva y de operaciones</w:t>
      </w:r>
      <w:r w:rsidRPr="00AC5F0C">
        <w:rPr>
          <w:lang w:val="es-ES_tradnl"/>
        </w:rPr>
        <w:t>)</w:t>
      </w:r>
    </w:p>
    <w:p w:rsidR="001A7B9C" w:rsidRPr="00AC5F0C" w:rsidRDefault="001A7B9C" w:rsidP="005A0C4E">
      <w:pPr>
        <w:pStyle w:val="ListParagraph"/>
        <w:numPr>
          <w:ilvl w:val="0"/>
          <w:numId w:val="0"/>
        </w:numPr>
        <w:tabs>
          <w:tab w:val="clear" w:pos="851"/>
          <w:tab w:val="clear" w:pos="1134"/>
        </w:tabs>
        <w:spacing w:before="0" w:after="0"/>
        <w:rPr>
          <w:caps/>
          <w:lang w:val="es-ES_tradnl"/>
        </w:rPr>
      </w:pPr>
    </w:p>
    <w:p w:rsidR="001A7B9C" w:rsidRPr="00AC5F0C" w:rsidRDefault="001A7B9C" w:rsidP="00334EC8">
      <w:pPr>
        <w:pStyle w:val="ONUMFS"/>
        <w:rPr>
          <w:lang w:val="es-ES_tradnl"/>
        </w:rPr>
      </w:pPr>
      <w:r>
        <w:rPr>
          <w:lang w:val="es-ES_tradnl"/>
        </w:rPr>
        <w:t>El nivel general de activos netos de la Organización sigue estando en sintonía con las políticas sobre los fondos de reserva y de operaciones (FRO).  El nivel necesario de FRO fue establecido en tanto que porcentaje del gasto bienal estimado (“factor PGBE”) para cada Unión financiada por contribuciones, la Unión del PCT, la Unión de Madrid y la Unión de La Haya.  A fin de reflejar los riesgos y preocupaciones en materia de liquidez propios de cada Unión, el factor PGBE adecuado se estableció a nivel de las Uniones.  Por lo tanto, el nivel de los FRO de cada Unión es el resultado de multiplicar el gasto bienal estimado por el factor PGBE de la Unión</w:t>
      </w:r>
      <w:r w:rsidRPr="00AC5F0C">
        <w:rPr>
          <w:lang w:val="es-ES_tradnl"/>
        </w:rPr>
        <w:t xml:space="preserve">.  </w:t>
      </w:r>
      <w:r>
        <w:rPr>
          <w:lang w:val="es-ES_tradnl"/>
        </w:rPr>
        <w:t>El factor PGBE que se aprobó para las Uniones financiadas por contribuciones es</w:t>
      </w:r>
      <w:r w:rsidR="000C4080">
        <w:rPr>
          <w:lang w:val="es-ES_tradnl"/>
        </w:rPr>
        <w:t xml:space="preserve"> d</w:t>
      </w:r>
      <w:r>
        <w:rPr>
          <w:lang w:val="es-ES_tradnl"/>
        </w:rPr>
        <w:t>el 50%, 15% para la Unión del PCT, 25% para la Unión de Madrid y 15% para la Unión de La Haya</w:t>
      </w:r>
      <w:r w:rsidRPr="00AC5F0C">
        <w:rPr>
          <w:lang w:val="es-ES_tradnl"/>
        </w:rPr>
        <w:t xml:space="preserve">.  </w:t>
      </w:r>
      <w:r>
        <w:rPr>
          <w:lang w:val="es-ES_tradnl"/>
        </w:rPr>
        <w:t>Dicho factor puede ajustarse mediante decisión al respecto de los Estados miembros</w:t>
      </w:r>
      <w:r w:rsidRPr="00AC5F0C">
        <w:rPr>
          <w:lang w:val="es-ES_tradnl"/>
        </w:rPr>
        <w:t>.</w:t>
      </w:r>
    </w:p>
    <w:p w:rsidR="001A7B9C" w:rsidRPr="00AC5F0C" w:rsidRDefault="001A7B9C" w:rsidP="00334EC8">
      <w:pPr>
        <w:pStyle w:val="ONUMFS"/>
        <w:rPr>
          <w:lang w:val="es-ES_tradnl"/>
        </w:rPr>
      </w:pPr>
      <w:r>
        <w:rPr>
          <w:lang w:val="es-ES_tradnl"/>
        </w:rPr>
        <w:t>El nivel resultante de FRO en conjunto, sobre la base de los niveles establecidos por Unión, es del 18,5 aproximadamente, sobre la base del presupuesto bienal 2014/2015.  Eso corresponde a cerca de 4 meses de gastos bienal previstos.  En</w:t>
      </w:r>
      <w:r w:rsidRPr="00AC5F0C">
        <w:rPr>
          <w:lang w:val="es-ES_tradnl"/>
        </w:rPr>
        <w:t xml:space="preserve"> 2006, </w:t>
      </w:r>
      <w:r>
        <w:rPr>
          <w:lang w:val="es-ES_tradnl"/>
        </w:rPr>
        <w:t>el Auditor Externo, de la Confederación Helvética, recomendó que la OMPI aumente su objetivo en materia de nivel de FRO a</w:t>
      </w:r>
      <w:r w:rsidR="000C4080">
        <w:rPr>
          <w:lang w:val="es-ES_tradnl"/>
        </w:rPr>
        <w:t>l</w:t>
      </w:r>
      <w:r>
        <w:rPr>
          <w:lang w:val="es-ES_tradnl"/>
        </w:rPr>
        <w:t xml:space="preserve"> 25%, lo que equivale a seis meses de gastos bienales previstos</w:t>
      </w:r>
      <w:r w:rsidRPr="00AC5F0C">
        <w:rPr>
          <w:lang w:val="es-ES_tradnl"/>
        </w:rPr>
        <w:t xml:space="preserve">.  </w:t>
      </w:r>
      <w:r>
        <w:rPr>
          <w:lang w:val="es-ES_tradnl"/>
        </w:rPr>
        <w:t>Además, los Estados miembros han planteado dudas en cuanto a si el nivel actual que se ha fijado como objetivo es adecuado.  Como se ilustra en el cuadro 3, el nivel real de FRO ha estado constantemente por encima del objetivo fijado.</w:t>
      </w:r>
    </w:p>
    <w:p w:rsidR="001A7B9C" w:rsidRPr="00AC5F0C" w:rsidRDefault="000C4080" w:rsidP="005A0C4E">
      <w:pPr>
        <w:keepNext/>
        <w:keepLines/>
        <w:spacing w:before="120"/>
        <w:rPr>
          <w:u w:val="single"/>
          <w:lang w:val="es-ES_tradnl"/>
        </w:rPr>
      </w:pPr>
      <w:r>
        <w:rPr>
          <w:u w:val="single"/>
          <w:lang w:val="es-ES_tradnl"/>
        </w:rPr>
        <w:t>Lagunas en materia de políticas</w:t>
      </w:r>
      <w:r w:rsidR="001A7B9C">
        <w:rPr>
          <w:u w:val="single"/>
          <w:lang w:val="es-ES_tradnl"/>
        </w:rPr>
        <w:t xml:space="preserve"> y </w:t>
      </w:r>
      <w:r>
        <w:rPr>
          <w:u w:val="single"/>
          <w:lang w:val="es-ES_tradnl"/>
        </w:rPr>
        <w:t>camino a seguir</w:t>
      </w:r>
    </w:p>
    <w:p w:rsidR="001A7B9C" w:rsidRPr="00AC5F0C" w:rsidRDefault="001A7B9C" w:rsidP="005A0C4E">
      <w:pPr>
        <w:pStyle w:val="ListParagraph"/>
        <w:keepNext/>
        <w:numPr>
          <w:ilvl w:val="0"/>
          <w:numId w:val="0"/>
        </w:numPr>
        <w:spacing w:before="0" w:after="0"/>
        <w:rPr>
          <w:u w:val="single"/>
          <w:lang w:val="es-ES_tradnl"/>
        </w:rPr>
      </w:pPr>
    </w:p>
    <w:p w:rsidR="001A7B9C" w:rsidRPr="00AC5F0C" w:rsidRDefault="001A7B9C" w:rsidP="005A0C4E">
      <w:pPr>
        <w:pStyle w:val="ONUMFS"/>
        <w:keepNext/>
        <w:rPr>
          <w:lang w:val="es-ES_tradnl"/>
        </w:rPr>
      </w:pPr>
      <w:r>
        <w:rPr>
          <w:lang w:val="es-ES_tradnl"/>
        </w:rPr>
        <w:t>Los niveles de reservas y de operaciones se fijaron en el año 2000 y más de catorce años después no han sido reexaminados</w:t>
      </w:r>
      <w:r w:rsidRPr="00AC5F0C">
        <w:rPr>
          <w:lang w:val="es-ES_tradnl"/>
        </w:rPr>
        <w:t xml:space="preserve">.  </w:t>
      </w:r>
      <w:r>
        <w:rPr>
          <w:lang w:val="es-ES_tradnl"/>
        </w:rPr>
        <w:t>La Organización ha sorteado con éxito la reciente crisis económica y financiera sin repercusiones adversas en su situación financiera.  No obstante, habida cuenta de la elevada dependencia respecto de una única Unión (la Unión del PCT) y con miras a reforzar la gestión  del riesgo financiero de la Organización, convendría que la OMPI examine la posibilidad de aumentar el objetivo de nivel de FRO gradualmente a lo largo de dos a tres bienios.</w:t>
      </w:r>
    </w:p>
    <w:p w:rsidR="001A7B9C" w:rsidRPr="00AC5F0C" w:rsidRDefault="001A7B9C" w:rsidP="00334EC8">
      <w:pPr>
        <w:pStyle w:val="ONUMFS"/>
        <w:rPr>
          <w:lang w:val="es-ES_tradnl"/>
        </w:rPr>
      </w:pPr>
      <w:r>
        <w:rPr>
          <w:lang w:val="es-ES_tradnl"/>
        </w:rPr>
        <w:t>Cabe señalar que el nivel global de FRO comprende los fondos de operaciones, conforme a la política establecida por los Estados miembros en el año 2000.  Como ya se ha explicado, los fondos de operaciones siguen siendo fondos recibidos en custodia por la OMPI de los Estados miembros</w:t>
      </w:r>
      <w:r w:rsidRPr="00AC5F0C">
        <w:rPr>
          <w:lang w:val="es-ES_tradnl"/>
        </w:rPr>
        <w:t xml:space="preserve">.  </w:t>
      </w:r>
      <w:r>
        <w:rPr>
          <w:lang w:val="es-ES_tradnl"/>
        </w:rPr>
        <w:t>El nivel de fondos de operaciones ha permanecido estático desde 1990.  El importe actual, de 8,3 millones de francos suizos, no ofrece protección material contra la escasez potencial de liquidez, que era el objetivo previsto cuando se establecieron los fondos de operaciones.  Al examinar el objetivo de nivel de FRO, puesto que se propondrían ajustes al nivel combinado de FRO, se consideraría la necesidad y la pertinencia de mantener un componente separado de fondos de operaciones.  A la hora de reflexionar sobre la cuestión habría que examinar las obligaciones que dimanan de los tratados respecto de los fondos de operaciones.</w:t>
      </w:r>
    </w:p>
    <w:p w:rsidR="001A7B9C" w:rsidRPr="00AC5F0C" w:rsidRDefault="001A7B9C" w:rsidP="001A7B9C">
      <w:pPr>
        <w:pStyle w:val="Heading1"/>
        <w:keepLines/>
        <w:spacing w:before="0" w:after="0"/>
        <w:rPr>
          <w:lang w:val="es-ES_tradnl"/>
        </w:rPr>
      </w:pPr>
    </w:p>
    <w:p w:rsidR="001A7B9C" w:rsidRPr="00AC5F0C" w:rsidRDefault="001A7B9C" w:rsidP="001A7B9C">
      <w:pPr>
        <w:pStyle w:val="Heading1"/>
        <w:keepLines/>
        <w:spacing w:before="0" w:after="0"/>
        <w:rPr>
          <w:lang w:val="es-ES_tradnl"/>
        </w:rPr>
      </w:pPr>
      <w:r>
        <w:rPr>
          <w:lang w:val="es-ES_tradnl"/>
        </w:rPr>
        <w:t>GESTIÓN Y PRESENTACIÓN DE INFORMES EN MATERIA DE FONDOS DE RESERVA Y DE OPERACIONES</w:t>
      </w:r>
      <w:r w:rsidRPr="00AC5F0C">
        <w:rPr>
          <w:lang w:val="es-ES_tradnl"/>
        </w:rPr>
        <w:t xml:space="preserve"> </w:t>
      </w:r>
    </w:p>
    <w:p w:rsidR="001A7B9C" w:rsidRPr="00AC5F0C" w:rsidRDefault="001A7B9C" w:rsidP="001A7B9C">
      <w:pPr>
        <w:keepNext/>
        <w:keepLines/>
        <w:rPr>
          <w:lang w:val="es-ES_tradnl"/>
        </w:rPr>
      </w:pPr>
    </w:p>
    <w:p w:rsidR="001A7B9C" w:rsidRPr="00AC5F0C" w:rsidRDefault="001A7B9C" w:rsidP="00334EC8">
      <w:pPr>
        <w:pStyle w:val="ONUMFS"/>
        <w:rPr>
          <w:lang w:val="es-ES_tradnl"/>
        </w:rPr>
      </w:pPr>
      <w:r>
        <w:rPr>
          <w:lang w:val="es-ES_tradnl"/>
        </w:rPr>
        <w:t>En el ámbito financiero, la presentación de informes en la OMPI se rige por las IPSAS y por el Reglamento Financiero y la Reglamentación Financiera.  En la actualidad, la presentación de informes acerca de los FRO forma parte integrante de los estados financieros y del informe de gestión financiera</w:t>
      </w:r>
      <w:r w:rsidRPr="00AC5F0C">
        <w:rPr>
          <w:lang w:val="es-ES_tradnl"/>
        </w:rPr>
        <w:t xml:space="preserve">.  </w:t>
      </w:r>
      <w:r>
        <w:rPr>
          <w:lang w:val="es-ES_tradnl"/>
        </w:rPr>
        <w:t>En la Nota 21 de los estados financieros de 2013 se ofrece información detallada y en el cuadro 1 del informe de gestión financiera 2012/2013 figura un desglose por Unión</w:t>
      </w:r>
      <w:r w:rsidRPr="00AC5F0C">
        <w:rPr>
          <w:lang w:val="es-ES_tradnl"/>
        </w:rPr>
        <w:t xml:space="preserve">.  </w:t>
      </w:r>
      <w:r>
        <w:rPr>
          <w:lang w:val="es-ES_tradnl"/>
        </w:rPr>
        <w:t>Hasta</w:t>
      </w:r>
      <w:r w:rsidRPr="00AC5F0C">
        <w:rPr>
          <w:lang w:val="es-ES_tradnl"/>
        </w:rPr>
        <w:t xml:space="preserve"> 2013</w:t>
      </w:r>
      <w:r>
        <w:rPr>
          <w:lang w:val="es-ES_tradnl"/>
        </w:rPr>
        <w:t xml:space="preserve"> se ha venido presentando a los Estados miembros un informe separado sobre la utilización de las reservas</w:t>
      </w:r>
      <w:r w:rsidRPr="00AC5F0C">
        <w:rPr>
          <w:lang w:val="es-ES_tradnl"/>
        </w:rPr>
        <w:t xml:space="preserve">.  </w:t>
      </w:r>
      <w:r>
        <w:rPr>
          <w:lang w:val="es-ES_tradnl"/>
        </w:rPr>
        <w:t>En la presente sesión del</w:t>
      </w:r>
      <w:r w:rsidRPr="00AC5F0C">
        <w:rPr>
          <w:lang w:val="es-ES_tradnl"/>
        </w:rPr>
        <w:t xml:space="preserve"> PBC</w:t>
      </w:r>
      <w:r>
        <w:rPr>
          <w:lang w:val="es-ES_tradnl"/>
        </w:rPr>
        <w:t xml:space="preserve"> se ha incluido dicho informe en el informe de gestión financiera</w:t>
      </w:r>
      <w:r w:rsidRPr="00AC5F0C">
        <w:rPr>
          <w:lang w:val="es-ES_tradnl"/>
        </w:rPr>
        <w:t xml:space="preserve"> (</w:t>
      </w:r>
      <w:r>
        <w:rPr>
          <w:lang w:val="es-ES_tradnl"/>
        </w:rPr>
        <w:t>cuadro</w:t>
      </w:r>
      <w:r w:rsidRPr="00AC5F0C">
        <w:rPr>
          <w:lang w:val="es-ES_tradnl"/>
        </w:rPr>
        <w:t xml:space="preserve"> 1.3</w:t>
      </w:r>
      <w:r>
        <w:rPr>
          <w:lang w:val="es-ES_tradnl"/>
        </w:rPr>
        <w:t>, página 9</w:t>
      </w:r>
      <w:r w:rsidRPr="00AC5F0C">
        <w:rPr>
          <w:lang w:val="es-ES_tradnl"/>
        </w:rPr>
        <w:t>).</w:t>
      </w:r>
    </w:p>
    <w:p w:rsidR="001A7B9C" w:rsidRPr="00AC5F0C" w:rsidRDefault="001A7B9C" w:rsidP="00334EC8">
      <w:pPr>
        <w:pStyle w:val="ONUMFS"/>
        <w:rPr>
          <w:lang w:val="es-ES_tradnl"/>
        </w:rPr>
      </w:pPr>
      <w:r>
        <w:rPr>
          <w:lang w:val="es-ES_tradnl"/>
        </w:rPr>
        <w:t>Para la presente sesión del PBC, la Secretaría ha preparado también una propuesta que tiene por finalidad mejorar la presentación de los informes financieros y de rendimiento.  Entre las medidas que entraña la propuesta, según lo encomendado por los Estados miembros, estaría un examen encaminado a la mejora de la presentación de informes sobre las reservas</w:t>
      </w:r>
      <w:r w:rsidRPr="00AC5F0C">
        <w:rPr>
          <w:lang w:val="es-ES_tradnl"/>
        </w:rPr>
        <w:t>.</w:t>
      </w:r>
    </w:p>
    <w:p w:rsidR="001A7B9C" w:rsidRPr="00AC5F0C" w:rsidRDefault="001A7B9C" w:rsidP="00334EC8">
      <w:pPr>
        <w:pStyle w:val="ONUMFS"/>
        <w:rPr>
          <w:lang w:val="es-ES_tradnl"/>
        </w:rPr>
      </w:pPr>
      <w:r>
        <w:rPr>
          <w:lang w:val="es-ES_tradnl"/>
        </w:rPr>
        <w:t>En su informe respecto de los estados financieros de 2013, el Auditor Externo ha recomendado que la OMPI considere el establecimiento de reservas específicas para la financiación de proyectos a fin de mantener una diferenciación clara entre el objetivo relativo al superávit acumulado y las reservas que se dedican a la financiación de proyectos especiales y  reflejar esas reservas por separado en los estados financieros a los fines de una mejor comprensión de las transacciones relacionadas con la utilización del superávit acumulado y las reservas</w:t>
      </w:r>
      <w:r w:rsidRPr="00AC5F0C">
        <w:rPr>
          <w:lang w:val="es-ES_tradnl"/>
        </w:rPr>
        <w:t>.</w:t>
      </w:r>
    </w:p>
    <w:p w:rsidR="001A7B9C" w:rsidRPr="00AC5F0C" w:rsidRDefault="001A7B9C" w:rsidP="001A7B9C">
      <w:pPr>
        <w:rPr>
          <w:u w:val="single"/>
          <w:lang w:val="es-ES_tradnl"/>
        </w:rPr>
      </w:pPr>
      <w:r>
        <w:rPr>
          <w:u w:val="single"/>
          <w:lang w:val="es-ES_tradnl"/>
        </w:rPr>
        <w:t xml:space="preserve">Consecuencias </w:t>
      </w:r>
      <w:r w:rsidR="000C4080">
        <w:rPr>
          <w:u w:val="single"/>
          <w:lang w:val="es-ES_tradnl"/>
        </w:rPr>
        <w:t xml:space="preserve">en materia </w:t>
      </w:r>
      <w:r>
        <w:rPr>
          <w:u w:val="single"/>
          <w:lang w:val="es-ES_tradnl"/>
        </w:rPr>
        <w:t>de política</w:t>
      </w:r>
      <w:r w:rsidR="000C4080">
        <w:rPr>
          <w:u w:val="single"/>
          <w:lang w:val="es-ES_tradnl"/>
        </w:rPr>
        <w:t>s</w:t>
      </w:r>
      <w:r>
        <w:rPr>
          <w:u w:val="single"/>
          <w:lang w:val="es-ES_tradnl"/>
        </w:rPr>
        <w:t xml:space="preserve"> y </w:t>
      </w:r>
      <w:r w:rsidR="000C4080">
        <w:rPr>
          <w:u w:val="single"/>
          <w:lang w:val="es-ES_tradnl"/>
        </w:rPr>
        <w:t>camino a seguir</w:t>
      </w:r>
    </w:p>
    <w:p w:rsidR="001A7B9C" w:rsidRPr="00AC5F0C" w:rsidRDefault="001A7B9C" w:rsidP="001A7B9C">
      <w:pPr>
        <w:rPr>
          <w:u w:val="single"/>
          <w:lang w:val="es-ES_tradnl"/>
        </w:rPr>
      </w:pPr>
    </w:p>
    <w:p w:rsidR="001A7B9C" w:rsidRPr="00AC5F0C" w:rsidRDefault="001A7B9C" w:rsidP="00334EC8">
      <w:pPr>
        <w:pStyle w:val="ONUMFS"/>
        <w:rPr>
          <w:lang w:val="es-ES_tradnl"/>
        </w:rPr>
      </w:pPr>
      <w:r>
        <w:rPr>
          <w:lang w:val="es-ES_tradnl"/>
        </w:rPr>
        <w:t>Como se explica en el párrafo</w:t>
      </w:r>
      <w:r w:rsidRPr="00AC5F0C">
        <w:rPr>
          <w:lang w:val="es-ES_tradnl"/>
        </w:rPr>
        <w:t xml:space="preserve"> 8</w:t>
      </w:r>
      <w:r>
        <w:rPr>
          <w:lang w:val="es-ES_tradnl"/>
        </w:rPr>
        <w:t xml:space="preserve"> del presente documento</w:t>
      </w:r>
      <w:r w:rsidRPr="00AC5F0C">
        <w:rPr>
          <w:lang w:val="es-ES_tradnl"/>
        </w:rPr>
        <w:t xml:space="preserve">, </w:t>
      </w:r>
      <w:r>
        <w:rPr>
          <w:lang w:val="es-ES_tradnl"/>
        </w:rPr>
        <w:t>los Estados miembros de la OMPI decidieron dejar de mantener una reserva especial para locales suplementarios e informatización.  La política vigente de la OMPI no contempla la creación o el mantenimiento de un fondo de reserva especial para financiar proyectos.  Habría que analizar en su totalidad la recomendación formulada por el Auditor Externo tras la auditorí</w:t>
      </w:r>
      <w:r w:rsidR="00723C80">
        <w:rPr>
          <w:lang w:val="es-ES_tradnl"/>
        </w:rPr>
        <w:t>a de los estados financieros de </w:t>
      </w:r>
      <w:r>
        <w:rPr>
          <w:lang w:val="es-ES_tradnl"/>
        </w:rPr>
        <w:t>2013 así como sus repercusiones en la liquidez y la gestión financiera a fin de elaborar directrices adecuadas a ese respecto que puedan reflejarse en las políticas pertinentes de la Organización, previa aprobación de los Estados miembros</w:t>
      </w:r>
      <w:r w:rsidRPr="00AC5F0C">
        <w:rPr>
          <w:lang w:val="es-ES_tradnl"/>
        </w:rPr>
        <w:t>.</w:t>
      </w:r>
    </w:p>
    <w:p w:rsidR="001A7B9C" w:rsidRPr="00AC5F0C" w:rsidRDefault="001A7B9C" w:rsidP="001A7B9C">
      <w:pPr>
        <w:rPr>
          <w:lang w:val="es-ES_tradnl"/>
        </w:rPr>
      </w:pPr>
    </w:p>
    <w:p w:rsidR="001A7B9C" w:rsidRPr="00AC5F0C" w:rsidRDefault="001A7B9C" w:rsidP="00334EC8">
      <w:pPr>
        <w:pStyle w:val="ONUMFS"/>
        <w:rPr>
          <w:lang w:val="es-ES_tradnl"/>
        </w:rPr>
      </w:pPr>
      <w:r>
        <w:rPr>
          <w:lang w:val="es-ES_tradnl"/>
        </w:rPr>
        <w:t>Se propone el siguiente párrafo de decisión.</w:t>
      </w:r>
    </w:p>
    <w:p w:rsidR="001A7B9C" w:rsidRPr="00AC5F0C" w:rsidRDefault="001A7B9C" w:rsidP="001A7B9C">
      <w:pPr>
        <w:pStyle w:val="ListParagraph"/>
        <w:numPr>
          <w:ilvl w:val="0"/>
          <w:numId w:val="0"/>
        </w:numPr>
        <w:tabs>
          <w:tab w:val="left" w:pos="6096"/>
        </w:tabs>
        <w:spacing w:after="220" w:line="276" w:lineRule="auto"/>
        <w:ind w:left="5533"/>
        <w:rPr>
          <w:i/>
          <w:lang w:val="es-ES_tradnl"/>
        </w:rPr>
      </w:pPr>
      <w:r w:rsidRPr="00AC5F0C">
        <w:rPr>
          <w:i/>
          <w:lang w:val="es-ES_tradnl"/>
        </w:rPr>
        <w:t>34.</w:t>
      </w:r>
      <w:r w:rsidRPr="00AC5F0C">
        <w:rPr>
          <w:i/>
          <w:lang w:val="es-ES_tradnl"/>
        </w:rPr>
        <w:tab/>
      </w:r>
      <w:r>
        <w:rPr>
          <w:i/>
          <w:lang w:val="es-ES_tradnl"/>
        </w:rPr>
        <w:t>El Comité del Programa y Presupuesto</w:t>
      </w:r>
      <w:r w:rsidRPr="00AC5F0C">
        <w:rPr>
          <w:i/>
          <w:lang w:val="es-ES_tradnl"/>
        </w:rPr>
        <w:t xml:space="preserve"> (PBC), </w:t>
      </w:r>
      <w:r>
        <w:rPr>
          <w:i/>
          <w:lang w:val="es-ES_tradnl"/>
        </w:rPr>
        <w:t>tras examinar la situación financiera</w:t>
      </w:r>
      <w:r w:rsidRPr="00AC5F0C">
        <w:rPr>
          <w:i/>
          <w:lang w:val="es-ES_tradnl"/>
        </w:rPr>
        <w:t xml:space="preserve"> (</w:t>
      </w:r>
      <w:r>
        <w:rPr>
          <w:i/>
          <w:lang w:val="es-ES_tradnl"/>
        </w:rPr>
        <w:t>activos netos</w:t>
      </w:r>
      <w:r w:rsidRPr="00AC5F0C">
        <w:rPr>
          <w:i/>
          <w:lang w:val="es-ES_tradnl"/>
        </w:rPr>
        <w:t xml:space="preserve">) </w:t>
      </w:r>
      <w:r>
        <w:rPr>
          <w:i/>
          <w:lang w:val="es-ES_tradnl"/>
        </w:rPr>
        <w:t>de la Organización y su evolución</w:t>
      </w:r>
      <w:r w:rsidRPr="00AC5F0C">
        <w:rPr>
          <w:i/>
          <w:lang w:val="es-ES_tradnl"/>
        </w:rPr>
        <w:t>:</w:t>
      </w:r>
    </w:p>
    <w:p w:rsidR="001A7B9C" w:rsidRPr="00AC5F0C" w:rsidRDefault="001A7B9C" w:rsidP="001A7B9C">
      <w:pPr>
        <w:pStyle w:val="Style2"/>
        <w:tabs>
          <w:tab w:val="left" w:pos="6521"/>
        </w:tabs>
        <w:spacing w:after="220"/>
        <w:ind w:left="5954" w:firstLine="0"/>
        <w:rPr>
          <w:i/>
          <w:lang w:val="es-ES_tradnl"/>
        </w:rPr>
      </w:pPr>
      <w:r w:rsidRPr="00AC5F0C">
        <w:rPr>
          <w:i/>
          <w:lang w:val="es-ES_tradnl"/>
        </w:rPr>
        <w:t>Reco</w:t>
      </w:r>
      <w:r>
        <w:rPr>
          <w:i/>
          <w:lang w:val="es-ES_tradnl"/>
        </w:rPr>
        <w:t>nocen la necesidad de llevar a cabo una revisión de las políticas sobre los fondos de reserva y de operaciones</w:t>
      </w:r>
      <w:r w:rsidRPr="00AC5F0C">
        <w:rPr>
          <w:i/>
          <w:lang w:val="es-ES_tradnl"/>
        </w:rPr>
        <w:t xml:space="preserve">; </w:t>
      </w:r>
      <w:r>
        <w:rPr>
          <w:i/>
          <w:lang w:val="es-ES_tradnl"/>
        </w:rPr>
        <w:t>y</w:t>
      </w:r>
    </w:p>
    <w:p w:rsidR="001A7B9C" w:rsidRPr="00AC5F0C" w:rsidRDefault="001A7B9C" w:rsidP="001A7B9C">
      <w:pPr>
        <w:pStyle w:val="Style2"/>
        <w:numPr>
          <w:ilvl w:val="0"/>
          <w:numId w:val="0"/>
        </w:numPr>
        <w:tabs>
          <w:tab w:val="left" w:pos="6521"/>
        </w:tabs>
        <w:spacing w:after="220"/>
        <w:ind w:left="5954"/>
        <w:rPr>
          <w:i/>
          <w:lang w:val="es-ES_tradnl"/>
        </w:rPr>
      </w:pPr>
      <w:r w:rsidRPr="00AC5F0C">
        <w:rPr>
          <w:i/>
          <w:lang w:val="es-ES_tradnl"/>
        </w:rPr>
        <w:t>ii)</w:t>
      </w:r>
      <w:r w:rsidRPr="00AC5F0C">
        <w:rPr>
          <w:i/>
          <w:lang w:val="es-ES_tradnl"/>
        </w:rPr>
        <w:tab/>
      </w:r>
      <w:r w:rsidR="00F33C6F">
        <w:rPr>
          <w:i/>
          <w:lang w:val="es-ES_tradnl"/>
        </w:rPr>
        <w:t>piden</w:t>
      </w:r>
      <w:r>
        <w:rPr>
          <w:i/>
          <w:lang w:val="es-ES_tradnl"/>
        </w:rPr>
        <w:t xml:space="preserve"> a la Secretaría que someta a examen del PBC una propuesta exhaustiva de política en la que se contemple</w:t>
      </w:r>
      <w:r w:rsidR="00F33C6F">
        <w:rPr>
          <w:i/>
          <w:lang w:val="es-ES_tradnl"/>
        </w:rPr>
        <w:t>n</w:t>
      </w:r>
      <w:r>
        <w:rPr>
          <w:i/>
          <w:lang w:val="es-ES_tradnl"/>
        </w:rPr>
        <w:t xml:space="preserve"> la fijación de un objetivo en materia de activos netos, consideraciones en materia de liquidez</w:t>
      </w:r>
      <w:r w:rsidR="00F33C6F">
        <w:rPr>
          <w:i/>
          <w:lang w:val="es-ES_tradnl"/>
        </w:rPr>
        <w:t>,</w:t>
      </w:r>
      <w:r>
        <w:rPr>
          <w:i/>
          <w:lang w:val="es-ES_tradnl"/>
        </w:rPr>
        <w:t xml:space="preserve"> y la gestión, el uso y la presentación de informes acerca del superávit disponible por encima del objetivo</w:t>
      </w:r>
      <w:r w:rsidR="00F33C6F">
        <w:rPr>
          <w:i/>
          <w:lang w:val="es-ES_tradnl"/>
        </w:rPr>
        <w:t xml:space="preserve"> previsto</w:t>
      </w:r>
      <w:r>
        <w:rPr>
          <w:i/>
          <w:lang w:val="es-ES_tradnl"/>
        </w:rPr>
        <w:t xml:space="preserve">, tomando </w:t>
      </w:r>
      <w:r w:rsidR="00773DA2">
        <w:rPr>
          <w:i/>
          <w:lang w:val="es-ES_tradnl"/>
        </w:rPr>
        <w:t xml:space="preserve">en consideración los comentarios y orientaciones de los Estados miembros y las </w:t>
      </w:r>
      <w:r>
        <w:rPr>
          <w:i/>
          <w:lang w:val="es-ES_tradnl"/>
        </w:rPr>
        <w:t>recomendaciones de los órganos de auditoría y supervisión a ese respecto</w:t>
      </w:r>
      <w:r w:rsidRPr="00AC5F0C">
        <w:rPr>
          <w:i/>
          <w:lang w:val="es-ES_tradnl"/>
        </w:rPr>
        <w:t>.</w:t>
      </w:r>
    </w:p>
    <w:p w:rsidR="001A7B9C" w:rsidRPr="00AC5F0C" w:rsidRDefault="001A7B9C" w:rsidP="001A7B9C">
      <w:pPr>
        <w:spacing w:line="276" w:lineRule="auto"/>
        <w:ind w:left="5533"/>
        <w:rPr>
          <w:lang w:val="es-ES_tradnl"/>
        </w:rPr>
      </w:pPr>
    </w:p>
    <w:p w:rsidR="001A7B9C" w:rsidRPr="00AC5F0C" w:rsidRDefault="001A7B9C" w:rsidP="001A7B9C">
      <w:pPr>
        <w:spacing w:line="276" w:lineRule="auto"/>
        <w:ind w:left="5533"/>
        <w:rPr>
          <w:lang w:val="es-ES_tradnl"/>
        </w:rPr>
      </w:pPr>
    </w:p>
    <w:p w:rsidR="001A7B9C" w:rsidRPr="00AC5F0C" w:rsidRDefault="001A7B9C" w:rsidP="001A7B9C">
      <w:pPr>
        <w:pStyle w:val="Endofdocument-Annex"/>
        <w:rPr>
          <w:lang w:val="es-ES_tradnl"/>
        </w:rPr>
      </w:pPr>
      <w:r w:rsidRPr="00AC5F0C">
        <w:rPr>
          <w:lang w:val="es-ES_tradnl"/>
        </w:rPr>
        <w:sym w:font="Symbol" w:char="F05B"/>
      </w:r>
      <w:r>
        <w:rPr>
          <w:lang w:val="es-ES_tradnl"/>
        </w:rPr>
        <w:t>Sigue el Anexo</w:t>
      </w:r>
      <w:r w:rsidRPr="00AC5F0C">
        <w:rPr>
          <w:lang w:val="es-ES_tradnl"/>
        </w:rPr>
        <w:t xml:space="preserve"> </w:t>
      </w:r>
      <w:r w:rsidRPr="00AC5F0C">
        <w:rPr>
          <w:lang w:val="es-ES_tradnl"/>
        </w:rPr>
        <w:sym w:font="Symbol" w:char="F05D"/>
      </w:r>
    </w:p>
    <w:p w:rsidR="001A7B9C" w:rsidRPr="00AC5F0C" w:rsidRDefault="001A7B9C" w:rsidP="001A7B9C">
      <w:pPr>
        <w:spacing w:line="276" w:lineRule="auto"/>
        <w:ind w:left="5533"/>
        <w:rPr>
          <w:lang w:val="es-ES_tradnl"/>
        </w:rPr>
        <w:sectPr w:rsidR="001A7B9C" w:rsidRPr="00AC5F0C" w:rsidSect="00BD5996">
          <w:headerReference w:type="default" r:id="rId14"/>
          <w:footnotePr>
            <w:numRestart w:val="eachSect"/>
          </w:footnotePr>
          <w:endnotePr>
            <w:numFmt w:val="decimal"/>
          </w:endnotePr>
          <w:pgSz w:w="11907" w:h="16840" w:code="9"/>
          <w:pgMar w:top="510" w:right="1134" w:bottom="1247" w:left="1418" w:header="510" w:footer="1021" w:gutter="0"/>
          <w:pgNumType w:start="1"/>
          <w:cols w:space="720"/>
          <w:titlePg/>
          <w:docGrid w:linePitch="299"/>
        </w:sectPr>
      </w:pPr>
    </w:p>
    <w:p w:rsidR="001A7B9C" w:rsidRPr="00AC5F0C" w:rsidRDefault="001A7B9C" w:rsidP="001A7B9C">
      <w:pPr>
        <w:jc w:val="center"/>
        <w:rPr>
          <w:b/>
          <w:lang w:val="es-ES_tradnl"/>
        </w:rPr>
      </w:pPr>
      <w:r w:rsidRPr="00AC5F0C">
        <w:rPr>
          <w:b/>
          <w:lang w:val="es-ES_tradnl"/>
        </w:rPr>
        <w:t>EVOLU</w:t>
      </w:r>
      <w:r>
        <w:rPr>
          <w:b/>
          <w:lang w:val="es-ES_tradnl"/>
        </w:rPr>
        <w:t>CI</w:t>
      </w:r>
      <w:r w:rsidR="00334EC8">
        <w:rPr>
          <w:b/>
          <w:lang w:val="es-ES_tradnl"/>
        </w:rPr>
        <w:t>Ó</w:t>
      </w:r>
      <w:r>
        <w:rPr>
          <w:b/>
          <w:lang w:val="es-ES_tradnl"/>
        </w:rPr>
        <w:t>N DE LA SITUACIÓN FINANCIERA DE LA OMPI</w:t>
      </w:r>
      <w:r w:rsidRPr="00AC5F0C">
        <w:rPr>
          <w:b/>
          <w:lang w:val="es-ES_tradnl"/>
        </w:rPr>
        <w:t xml:space="preserve"> 1998-2013</w:t>
      </w:r>
    </w:p>
    <w:p w:rsidR="001A7B9C" w:rsidRPr="00AC5F0C" w:rsidRDefault="001A7B9C" w:rsidP="001A7B9C">
      <w:pPr>
        <w:rPr>
          <w:lang w:val="es-ES_tradnl"/>
        </w:rPr>
      </w:pPr>
    </w:p>
    <w:p w:rsidR="001A7B9C" w:rsidRDefault="009C3325" w:rsidP="001A7B9C">
      <w:pPr>
        <w:jc w:val="center"/>
        <w:rPr>
          <w:lang w:val="es-ES_tradnl"/>
        </w:rPr>
      </w:pPr>
      <w:r w:rsidRPr="009C3325">
        <w:rPr>
          <w:noProof/>
          <w:lang w:val="en-US" w:eastAsia="en-US"/>
        </w:rPr>
        <w:drawing>
          <wp:inline distT="0" distB="0" distL="0" distR="0" wp14:anchorId="1CD79CDE" wp14:editId="16A9B3A3">
            <wp:extent cx="9432925" cy="511355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32925" cy="5113553"/>
                    </a:xfrm>
                    <a:prstGeom prst="rect">
                      <a:avLst/>
                    </a:prstGeom>
                    <a:noFill/>
                    <a:ln>
                      <a:noFill/>
                    </a:ln>
                  </pic:spPr>
                </pic:pic>
              </a:graphicData>
            </a:graphic>
          </wp:inline>
        </w:drawing>
      </w:r>
    </w:p>
    <w:p w:rsidR="001A7B9C" w:rsidRDefault="001A7B9C" w:rsidP="001A7B9C">
      <w:pPr>
        <w:jc w:val="center"/>
        <w:rPr>
          <w:lang w:val="es-ES_tradnl"/>
        </w:rPr>
      </w:pPr>
    </w:p>
    <w:p w:rsidR="001A7B9C" w:rsidRPr="00AC5F0C" w:rsidRDefault="001A7B9C" w:rsidP="001A7B9C">
      <w:pPr>
        <w:jc w:val="center"/>
        <w:rPr>
          <w:lang w:val="es-ES_tradnl"/>
        </w:rPr>
      </w:pPr>
    </w:p>
    <w:p w:rsidR="00C609B7" w:rsidRPr="001B2BD5" w:rsidRDefault="00C609B7" w:rsidP="0066138B">
      <w:pPr>
        <w:pStyle w:val="Endofdocument-Annex"/>
        <w:ind w:left="9639"/>
        <w:rPr>
          <w:lang w:val="es-ES_tradnl"/>
        </w:rPr>
      </w:pPr>
      <w:r w:rsidRPr="001B2BD5">
        <w:rPr>
          <w:lang w:val="es-ES_tradnl"/>
        </w:rPr>
        <w:t>[Fin del Anexo y del documento]</w:t>
      </w:r>
    </w:p>
    <w:sectPr w:rsidR="00C609B7" w:rsidRPr="001B2BD5" w:rsidSect="00883BE9">
      <w:headerReference w:type="first" r:id="rId16"/>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222" w:rsidRDefault="00EE0222">
      <w:r>
        <w:separator/>
      </w:r>
    </w:p>
  </w:endnote>
  <w:endnote w:type="continuationSeparator" w:id="0">
    <w:p w:rsidR="00EE0222" w:rsidRPr="009D30E6" w:rsidRDefault="00EE0222" w:rsidP="007E663E">
      <w:pPr>
        <w:rPr>
          <w:sz w:val="17"/>
          <w:szCs w:val="17"/>
        </w:rPr>
      </w:pPr>
      <w:r w:rsidRPr="009D30E6">
        <w:rPr>
          <w:sz w:val="17"/>
          <w:szCs w:val="17"/>
        </w:rPr>
        <w:separator/>
      </w:r>
    </w:p>
    <w:p w:rsidR="00EE0222" w:rsidRPr="007E663E" w:rsidRDefault="00EE0222" w:rsidP="007E663E">
      <w:pPr>
        <w:spacing w:after="60"/>
        <w:rPr>
          <w:sz w:val="17"/>
          <w:szCs w:val="17"/>
        </w:rPr>
      </w:pPr>
      <w:r>
        <w:rPr>
          <w:sz w:val="17"/>
        </w:rPr>
        <w:t>[Continuación de la nota de la página anterior]</w:t>
      </w:r>
    </w:p>
  </w:endnote>
  <w:endnote w:type="continuationNotice" w:id="1">
    <w:p w:rsidR="00EE0222" w:rsidRPr="007E663E" w:rsidRDefault="00EE022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222" w:rsidRDefault="00EE0222">
      <w:r>
        <w:separator/>
      </w:r>
    </w:p>
  </w:footnote>
  <w:footnote w:type="continuationSeparator" w:id="0">
    <w:p w:rsidR="00EE0222" w:rsidRPr="009D30E6" w:rsidRDefault="00EE0222" w:rsidP="007E663E">
      <w:pPr>
        <w:rPr>
          <w:sz w:val="17"/>
          <w:szCs w:val="17"/>
        </w:rPr>
      </w:pPr>
      <w:r w:rsidRPr="009D30E6">
        <w:rPr>
          <w:sz w:val="17"/>
          <w:szCs w:val="17"/>
        </w:rPr>
        <w:separator/>
      </w:r>
    </w:p>
    <w:p w:rsidR="00EE0222" w:rsidRPr="007E663E" w:rsidRDefault="00EE0222" w:rsidP="007E663E">
      <w:pPr>
        <w:spacing w:after="60"/>
        <w:rPr>
          <w:sz w:val="17"/>
          <w:szCs w:val="17"/>
        </w:rPr>
      </w:pPr>
      <w:r>
        <w:rPr>
          <w:sz w:val="17"/>
        </w:rPr>
        <w:t>[Continuación de la nota de la página anterior]</w:t>
      </w:r>
    </w:p>
  </w:footnote>
  <w:footnote w:type="continuationNotice" w:id="1">
    <w:p w:rsidR="00EE0222" w:rsidRPr="007E663E" w:rsidRDefault="00EE0222"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B9C" w:rsidRDefault="001A7B9C" w:rsidP="00187470">
    <w:pPr>
      <w:pStyle w:val="Header"/>
      <w:jc w:val="right"/>
    </w:pPr>
    <w:r>
      <w:t>WO/PBC/22/28</w:t>
    </w:r>
  </w:p>
  <w:p w:rsidR="001A7B9C" w:rsidRDefault="00FF682D" w:rsidP="00187470">
    <w:pPr>
      <w:pStyle w:val="Header"/>
      <w:jc w:val="right"/>
    </w:pPr>
    <w:r>
      <w:t>pá</w:t>
    </w:r>
    <w:r w:rsidR="001A7B9C">
      <w:t>g</w:t>
    </w:r>
    <w:r>
      <w:t>ina</w:t>
    </w:r>
    <w:r w:rsidR="001A7B9C">
      <w:t xml:space="preserve"> </w:t>
    </w:r>
    <w:sdt>
      <w:sdtPr>
        <w:id w:val="1549034838"/>
        <w:docPartObj>
          <w:docPartGallery w:val="Page Numbers (Top of Page)"/>
          <w:docPartUnique/>
        </w:docPartObj>
      </w:sdtPr>
      <w:sdtEndPr>
        <w:rPr>
          <w:noProof/>
        </w:rPr>
      </w:sdtEndPr>
      <w:sdtContent>
        <w:r w:rsidR="001A7B9C">
          <w:fldChar w:fldCharType="begin"/>
        </w:r>
        <w:r w:rsidR="001A7B9C">
          <w:instrText xml:space="preserve"> PAGE   \* MERGEFORMAT </w:instrText>
        </w:r>
        <w:r w:rsidR="001A7B9C">
          <w:fldChar w:fldCharType="separate"/>
        </w:r>
        <w:r w:rsidR="008416D6">
          <w:rPr>
            <w:noProof/>
          </w:rPr>
          <w:t>10</w:t>
        </w:r>
        <w:r w:rsidR="001A7B9C">
          <w:rPr>
            <w:noProof/>
          </w:rPr>
          <w:fldChar w:fldCharType="end"/>
        </w:r>
      </w:sdtContent>
    </w:sdt>
  </w:p>
  <w:p w:rsidR="001A7B9C" w:rsidRPr="00405DB2" w:rsidRDefault="001A7B9C" w:rsidP="00477D6B">
    <w:pPr>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222" w:rsidRDefault="00EE0222" w:rsidP="00883BE9">
    <w:pPr>
      <w:jc w:val="right"/>
    </w:pPr>
    <w:r>
      <w:t>WO/PBC/22/28</w:t>
    </w:r>
  </w:p>
  <w:p w:rsidR="00EE0222" w:rsidRDefault="00EE0222" w:rsidP="00883BE9">
    <w:pPr>
      <w:pStyle w:val="Header"/>
      <w:jc w:val="right"/>
    </w:pPr>
    <w:r>
      <w:t>ANEXO</w:t>
    </w:r>
  </w:p>
  <w:p w:rsidR="00EE0222" w:rsidRDefault="00EE0222" w:rsidP="00883BE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1511294"/>
    <w:multiLevelType w:val="hybridMultilevel"/>
    <w:tmpl w:val="0FB01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C8CE8F4"/>
    <w:lvl w:ilvl="0">
      <w:start w:val="1"/>
      <w:numFmt w:val="decimal"/>
      <w:lvlRestart w:val="0"/>
      <w:pStyle w:val="ONUMFS"/>
      <w:lvlText w:val="%1."/>
      <w:lvlJc w:val="left"/>
      <w:pPr>
        <w:tabs>
          <w:tab w:val="num" w:pos="567"/>
        </w:tabs>
        <w:ind w:left="0" w:firstLine="0"/>
      </w:pPr>
      <w:rPr>
        <w:rFonts w:hint="default"/>
        <w:lang w:val="es-ES_tradnl"/>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1834749"/>
    <w:multiLevelType w:val="hybridMultilevel"/>
    <w:tmpl w:val="EDD49822"/>
    <w:lvl w:ilvl="0" w:tplc="B2087C9A">
      <w:start w:val="1"/>
      <w:numFmt w:val="lowerLetter"/>
      <w:pStyle w:val="ListParagraph"/>
      <w:lvlText w:val="(%1)"/>
      <w:lvlJc w:val="left"/>
      <w:pPr>
        <w:ind w:left="1800" w:hanging="360"/>
      </w:pPr>
      <w:rPr>
        <w:rFonts w:hint="default"/>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6">
    <w:nsid w:val="2950297A"/>
    <w:multiLevelType w:val="hybridMultilevel"/>
    <w:tmpl w:val="5B22A85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1106E65"/>
    <w:multiLevelType w:val="hybridMultilevel"/>
    <w:tmpl w:val="C5060B70"/>
    <w:lvl w:ilvl="0" w:tplc="4CA270B0">
      <w:start w:val="1"/>
      <w:numFmt w:val="lowerRoman"/>
      <w:pStyle w:val="Style2"/>
      <w:lvlText w:val="%1)"/>
      <w:lvlJc w:val="left"/>
      <w:pPr>
        <w:ind w:left="6598" w:hanging="360"/>
      </w:pPr>
      <w:rPr>
        <w:rFonts w:ascii="Arial" w:eastAsiaTheme="minorHAnsi" w:hAnsi="Arial" w:cs="Arial" w:hint="default"/>
        <w:i/>
      </w:rPr>
    </w:lvl>
    <w:lvl w:ilvl="1" w:tplc="04090019" w:tentative="1">
      <w:start w:val="1"/>
      <w:numFmt w:val="lowerLetter"/>
      <w:lvlText w:val="%2."/>
      <w:lvlJc w:val="left"/>
      <w:pPr>
        <w:ind w:left="7318" w:hanging="360"/>
      </w:pPr>
    </w:lvl>
    <w:lvl w:ilvl="2" w:tplc="0409001B" w:tentative="1">
      <w:start w:val="1"/>
      <w:numFmt w:val="lowerRoman"/>
      <w:lvlText w:val="%3."/>
      <w:lvlJc w:val="right"/>
      <w:pPr>
        <w:ind w:left="8038" w:hanging="180"/>
      </w:pPr>
    </w:lvl>
    <w:lvl w:ilvl="3" w:tplc="0409000F" w:tentative="1">
      <w:start w:val="1"/>
      <w:numFmt w:val="decimal"/>
      <w:lvlText w:val="%4."/>
      <w:lvlJc w:val="left"/>
      <w:pPr>
        <w:ind w:left="8758" w:hanging="360"/>
      </w:pPr>
    </w:lvl>
    <w:lvl w:ilvl="4" w:tplc="04090019" w:tentative="1">
      <w:start w:val="1"/>
      <w:numFmt w:val="lowerLetter"/>
      <w:lvlText w:val="%5."/>
      <w:lvlJc w:val="left"/>
      <w:pPr>
        <w:ind w:left="9478" w:hanging="360"/>
      </w:pPr>
    </w:lvl>
    <w:lvl w:ilvl="5" w:tplc="0409001B" w:tentative="1">
      <w:start w:val="1"/>
      <w:numFmt w:val="lowerRoman"/>
      <w:lvlText w:val="%6."/>
      <w:lvlJc w:val="right"/>
      <w:pPr>
        <w:ind w:left="10198" w:hanging="180"/>
      </w:pPr>
    </w:lvl>
    <w:lvl w:ilvl="6" w:tplc="0409000F" w:tentative="1">
      <w:start w:val="1"/>
      <w:numFmt w:val="decimal"/>
      <w:lvlText w:val="%7."/>
      <w:lvlJc w:val="left"/>
      <w:pPr>
        <w:ind w:left="10918" w:hanging="360"/>
      </w:pPr>
    </w:lvl>
    <w:lvl w:ilvl="7" w:tplc="04090019" w:tentative="1">
      <w:start w:val="1"/>
      <w:numFmt w:val="lowerLetter"/>
      <w:lvlText w:val="%8."/>
      <w:lvlJc w:val="left"/>
      <w:pPr>
        <w:ind w:left="11638" w:hanging="360"/>
      </w:pPr>
    </w:lvl>
    <w:lvl w:ilvl="8" w:tplc="0409001B" w:tentative="1">
      <w:start w:val="1"/>
      <w:numFmt w:val="lowerRoman"/>
      <w:lvlText w:val="%9."/>
      <w:lvlJc w:val="right"/>
      <w:pPr>
        <w:ind w:left="12358" w:hanging="180"/>
      </w:pPr>
    </w:lvl>
  </w:abstractNum>
  <w:abstractNum w:abstractNumId="8">
    <w:nsid w:val="3D2C7B85"/>
    <w:multiLevelType w:val="hybridMultilevel"/>
    <w:tmpl w:val="B4080C58"/>
    <w:lvl w:ilvl="0" w:tplc="1E74ACB8">
      <w:start w:val="1"/>
      <w:numFmt w:val="lowerRoman"/>
      <w:lvlText w:val="%1)"/>
      <w:lvlJc w:val="left"/>
      <w:pPr>
        <w:ind w:left="720" w:hanging="720"/>
      </w:pPr>
      <w:rPr>
        <w:rFonts w:cs="Times New Roman"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767C1F"/>
    <w:multiLevelType w:val="hybridMultilevel"/>
    <w:tmpl w:val="793E9A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74E559A"/>
    <w:multiLevelType w:val="hybridMultilevel"/>
    <w:tmpl w:val="3E466784"/>
    <w:lvl w:ilvl="0" w:tplc="A8DCB1C4">
      <w:start w:val="1"/>
      <w:numFmt w:val="lowerRoman"/>
      <w:pStyle w:val="ListparagraphII"/>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3"/>
  </w:num>
  <w:num w:numId="2">
    <w:abstractNumId w:val="10"/>
  </w:num>
  <w:num w:numId="3">
    <w:abstractNumId w:val="0"/>
  </w:num>
  <w:num w:numId="4">
    <w:abstractNumId w:val="11"/>
  </w:num>
  <w:num w:numId="5">
    <w:abstractNumId w:val="1"/>
  </w:num>
  <w:num w:numId="6">
    <w:abstractNumId w:val="4"/>
  </w:num>
  <w:num w:numId="7">
    <w:abstractNumId w:val="5"/>
  </w:num>
  <w:num w:numId="8">
    <w:abstractNumId w:val="12"/>
  </w:num>
  <w:num w:numId="9">
    <w:abstractNumId w:val="7"/>
  </w:num>
  <w:num w:numId="10">
    <w:abstractNumId w:val="6"/>
  </w:num>
  <w:num w:numId="11">
    <w:abstractNumId w:val="8"/>
  </w:num>
  <w:num w:numId="12">
    <w:abstractNumId w:val="9"/>
  </w:num>
  <w:num w:numId="13">
    <w:abstractNumId w:val="2"/>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1"/>
  </w:num>
  <w:num w:numId="25">
    <w:abstractNumId w:val="4"/>
  </w:num>
  <w:num w:numId="26">
    <w:abstractNumId w:val="4"/>
  </w:num>
  <w:num w:numId="27">
    <w:abstractNumId w:val="4"/>
  </w:num>
  <w:num w:numId="28">
    <w:abstractNumId w:val="4"/>
  </w:num>
  <w:num w:numId="29">
    <w:abstractNumId w:val="4"/>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AE2"/>
    <w:rsid w:val="0000501C"/>
    <w:rsid w:val="00006F7C"/>
    <w:rsid w:val="00010686"/>
    <w:rsid w:val="00032630"/>
    <w:rsid w:val="00051DA5"/>
    <w:rsid w:val="00052915"/>
    <w:rsid w:val="00065126"/>
    <w:rsid w:val="00067661"/>
    <w:rsid w:val="00072B90"/>
    <w:rsid w:val="00077E75"/>
    <w:rsid w:val="000B6F60"/>
    <w:rsid w:val="000C4080"/>
    <w:rsid w:val="000E3BB3"/>
    <w:rsid w:val="000E646C"/>
    <w:rsid w:val="000E67DE"/>
    <w:rsid w:val="000F5E56"/>
    <w:rsid w:val="001362EE"/>
    <w:rsid w:val="00152CEA"/>
    <w:rsid w:val="001652C0"/>
    <w:rsid w:val="001719F2"/>
    <w:rsid w:val="001832A6"/>
    <w:rsid w:val="001857C9"/>
    <w:rsid w:val="001A7B9C"/>
    <w:rsid w:val="001B2BD5"/>
    <w:rsid w:val="001C501D"/>
    <w:rsid w:val="001E0D74"/>
    <w:rsid w:val="00214EEF"/>
    <w:rsid w:val="0025712C"/>
    <w:rsid w:val="002634C4"/>
    <w:rsid w:val="002747E4"/>
    <w:rsid w:val="00285D25"/>
    <w:rsid w:val="002E0F47"/>
    <w:rsid w:val="002F4E68"/>
    <w:rsid w:val="002F54CA"/>
    <w:rsid w:val="00305B36"/>
    <w:rsid w:val="003307E0"/>
    <w:rsid w:val="003313B3"/>
    <w:rsid w:val="00334EC8"/>
    <w:rsid w:val="00353DEE"/>
    <w:rsid w:val="00354647"/>
    <w:rsid w:val="00377273"/>
    <w:rsid w:val="00381E11"/>
    <w:rsid w:val="003845C1"/>
    <w:rsid w:val="00387287"/>
    <w:rsid w:val="003B5D3F"/>
    <w:rsid w:val="003E48F1"/>
    <w:rsid w:val="003F347A"/>
    <w:rsid w:val="00423E3E"/>
    <w:rsid w:val="00427AF4"/>
    <w:rsid w:val="0045231F"/>
    <w:rsid w:val="004647DA"/>
    <w:rsid w:val="00471445"/>
    <w:rsid w:val="00477808"/>
    <w:rsid w:val="00477D6B"/>
    <w:rsid w:val="004A6C37"/>
    <w:rsid w:val="004E297D"/>
    <w:rsid w:val="00504493"/>
    <w:rsid w:val="005332F0"/>
    <w:rsid w:val="0055013B"/>
    <w:rsid w:val="00553A98"/>
    <w:rsid w:val="00562DB0"/>
    <w:rsid w:val="00571B99"/>
    <w:rsid w:val="00582FFA"/>
    <w:rsid w:val="00597865"/>
    <w:rsid w:val="005A0C4E"/>
    <w:rsid w:val="005E0723"/>
    <w:rsid w:val="00605827"/>
    <w:rsid w:val="0066138B"/>
    <w:rsid w:val="006740C0"/>
    <w:rsid w:val="00675021"/>
    <w:rsid w:val="006862F5"/>
    <w:rsid w:val="006A06C6"/>
    <w:rsid w:val="00706DD7"/>
    <w:rsid w:val="007224C8"/>
    <w:rsid w:val="00723C80"/>
    <w:rsid w:val="00740B2A"/>
    <w:rsid w:val="00756E4B"/>
    <w:rsid w:val="00773DA2"/>
    <w:rsid w:val="00794BE2"/>
    <w:rsid w:val="007B71FE"/>
    <w:rsid w:val="007C5F11"/>
    <w:rsid w:val="007D781E"/>
    <w:rsid w:val="007E663E"/>
    <w:rsid w:val="007E6B47"/>
    <w:rsid w:val="007F5AE2"/>
    <w:rsid w:val="00815082"/>
    <w:rsid w:val="00826B93"/>
    <w:rsid w:val="008416D6"/>
    <w:rsid w:val="00855615"/>
    <w:rsid w:val="0088395E"/>
    <w:rsid w:val="00883BE9"/>
    <w:rsid w:val="008B2CC1"/>
    <w:rsid w:val="008E48CB"/>
    <w:rsid w:val="008E6BD6"/>
    <w:rsid w:val="00904766"/>
    <w:rsid w:val="0090731E"/>
    <w:rsid w:val="00921576"/>
    <w:rsid w:val="00960879"/>
    <w:rsid w:val="00966A22"/>
    <w:rsid w:val="00972F03"/>
    <w:rsid w:val="009837EC"/>
    <w:rsid w:val="00991030"/>
    <w:rsid w:val="009A0C8B"/>
    <w:rsid w:val="009B6241"/>
    <w:rsid w:val="009C3325"/>
    <w:rsid w:val="009F1021"/>
    <w:rsid w:val="00A16FC0"/>
    <w:rsid w:val="00A32C9E"/>
    <w:rsid w:val="00A346FA"/>
    <w:rsid w:val="00A610C1"/>
    <w:rsid w:val="00A673B5"/>
    <w:rsid w:val="00AA3FE4"/>
    <w:rsid w:val="00AB613D"/>
    <w:rsid w:val="00AE37EB"/>
    <w:rsid w:val="00AE7F20"/>
    <w:rsid w:val="00B21274"/>
    <w:rsid w:val="00B446D0"/>
    <w:rsid w:val="00B65A0A"/>
    <w:rsid w:val="00B67CDC"/>
    <w:rsid w:val="00B729BB"/>
    <w:rsid w:val="00B72D36"/>
    <w:rsid w:val="00B95DBA"/>
    <w:rsid w:val="00BC4164"/>
    <w:rsid w:val="00BD2DCC"/>
    <w:rsid w:val="00BD3619"/>
    <w:rsid w:val="00BF0E1E"/>
    <w:rsid w:val="00C0236D"/>
    <w:rsid w:val="00C03305"/>
    <w:rsid w:val="00C05D16"/>
    <w:rsid w:val="00C609B7"/>
    <w:rsid w:val="00C90559"/>
    <w:rsid w:val="00CA2251"/>
    <w:rsid w:val="00CE2EEF"/>
    <w:rsid w:val="00CE58D1"/>
    <w:rsid w:val="00CF6D93"/>
    <w:rsid w:val="00D56C7C"/>
    <w:rsid w:val="00D61FBF"/>
    <w:rsid w:val="00D71B4D"/>
    <w:rsid w:val="00D90289"/>
    <w:rsid w:val="00D93D55"/>
    <w:rsid w:val="00DA2A38"/>
    <w:rsid w:val="00DC4C60"/>
    <w:rsid w:val="00E0079A"/>
    <w:rsid w:val="00E24DBB"/>
    <w:rsid w:val="00E444DA"/>
    <w:rsid w:val="00E45C84"/>
    <w:rsid w:val="00E504E5"/>
    <w:rsid w:val="00EB7A3E"/>
    <w:rsid w:val="00EC401A"/>
    <w:rsid w:val="00ED0A3C"/>
    <w:rsid w:val="00ED180D"/>
    <w:rsid w:val="00ED5852"/>
    <w:rsid w:val="00EE0222"/>
    <w:rsid w:val="00EF530A"/>
    <w:rsid w:val="00EF6622"/>
    <w:rsid w:val="00F33C6F"/>
    <w:rsid w:val="00F55408"/>
    <w:rsid w:val="00F6083E"/>
    <w:rsid w:val="00F66152"/>
    <w:rsid w:val="00F80845"/>
    <w:rsid w:val="00F84474"/>
    <w:rsid w:val="00FA0F0D"/>
    <w:rsid w:val="00FB6DA1"/>
    <w:rsid w:val="00FD59D1"/>
    <w:rsid w:val="00FD6E99"/>
    <w:rsid w:val="00FE6B51"/>
    <w:rsid w:val="00FF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link w:val="ListParagraphChar"/>
    <w:uiPriority w:val="34"/>
    <w:qFormat/>
    <w:rsid w:val="00883BE9"/>
    <w:pPr>
      <w:numPr>
        <w:numId w:val="7"/>
      </w:numPr>
      <w:tabs>
        <w:tab w:val="left" w:pos="851"/>
        <w:tab w:val="left" w:pos="1134"/>
      </w:tabs>
      <w:spacing w:before="120" w:after="120"/>
    </w:pPr>
    <w:rPr>
      <w:lang w:val="en-US"/>
    </w:rPr>
  </w:style>
  <w:style w:type="paragraph" w:customStyle="1" w:styleId="ListparagraphII">
    <w:name w:val="List paragraph II"/>
    <w:basedOn w:val="ListParagraph"/>
    <w:qFormat/>
    <w:rsid w:val="00883BE9"/>
    <w:pPr>
      <w:numPr>
        <w:numId w:val="8"/>
      </w:numPr>
      <w:tabs>
        <w:tab w:val="num" w:pos="567"/>
      </w:tabs>
      <w:ind w:left="0" w:firstLine="0"/>
    </w:pPr>
  </w:style>
  <w:style w:type="character" w:customStyle="1" w:styleId="ListParagraphChar">
    <w:name w:val="List Paragraph Char"/>
    <w:basedOn w:val="DefaultParagraphFont"/>
    <w:link w:val="ListParagraph"/>
    <w:uiPriority w:val="34"/>
    <w:rsid w:val="00883BE9"/>
    <w:rPr>
      <w:rFonts w:ascii="Arial" w:eastAsia="SimSun" w:hAnsi="Arial" w:cs="Arial"/>
      <w:sz w:val="22"/>
      <w:lang w:eastAsia="zh-CN"/>
    </w:rPr>
  </w:style>
  <w:style w:type="paragraph" w:customStyle="1" w:styleId="Style2">
    <w:name w:val="Style2"/>
    <w:basedOn w:val="Normal"/>
    <w:rsid w:val="00883BE9"/>
    <w:pPr>
      <w:numPr>
        <w:numId w:val="9"/>
      </w:numPr>
    </w:pPr>
    <w:rPr>
      <w:lang w:val="en-US"/>
    </w:rPr>
  </w:style>
  <w:style w:type="paragraph" w:styleId="BalloonText">
    <w:name w:val="Balloon Text"/>
    <w:basedOn w:val="Normal"/>
    <w:link w:val="BalloonTextChar"/>
    <w:rsid w:val="00AA3FE4"/>
    <w:rPr>
      <w:rFonts w:ascii="Tahoma" w:hAnsi="Tahoma" w:cs="Tahoma"/>
      <w:sz w:val="16"/>
      <w:szCs w:val="16"/>
    </w:rPr>
  </w:style>
  <w:style w:type="character" w:customStyle="1" w:styleId="BalloonTextChar">
    <w:name w:val="Balloon Text Char"/>
    <w:basedOn w:val="DefaultParagraphFont"/>
    <w:link w:val="BalloonText"/>
    <w:rsid w:val="00AA3FE4"/>
    <w:rPr>
      <w:rFonts w:ascii="Tahoma" w:eastAsia="SimSun" w:hAnsi="Tahoma" w:cs="Tahoma"/>
      <w:sz w:val="16"/>
      <w:szCs w:val="16"/>
      <w:lang w:val="es-ES" w:eastAsia="zh-CN"/>
    </w:rPr>
  </w:style>
  <w:style w:type="character" w:customStyle="1" w:styleId="HeaderChar">
    <w:name w:val="Header Char"/>
    <w:basedOn w:val="DefaultParagraphFont"/>
    <w:link w:val="Header"/>
    <w:uiPriority w:val="99"/>
    <w:rsid w:val="001A7B9C"/>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link w:val="ListParagraphChar"/>
    <w:uiPriority w:val="34"/>
    <w:qFormat/>
    <w:rsid w:val="00883BE9"/>
    <w:pPr>
      <w:numPr>
        <w:numId w:val="7"/>
      </w:numPr>
      <w:tabs>
        <w:tab w:val="left" w:pos="851"/>
        <w:tab w:val="left" w:pos="1134"/>
      </w:tabs>
      <w:spacing w:before="120" w:after="120"/>
    </w:pPr>
    <w:rPr>
      <w:lang w:val="en-US"/>
    </w:rPr>
  </w:style>
  <w:style w:type="paragraph" w:customStyle="1" w:styleId="ListparagraphII">
    <w:name w:val="List paragraph II"/>
    <w:basedOn w:val="ListParagraph"/>
    <w:qFormat/>
    <w:rsid w:val="00883BE9"/>
    <w:pPr>
      <w:numPr>
        <w:numId w:val="8"/>
      </w:numPr>
      <w:tabs>
        <w:tab w:val="num" w:pos="567"/>
      </w:tabs>
      <w:ind w:left="0" w:firstLine="0"/>
    </w:pPr>
  </w:style>
  <w:style w:type="character" w:customStyle="1" w:styleId="ListParagraphChar">
    <w:name w:val="List Paragraph Char"/>
    <w:basedOn w:val="DefaultParagraphFont"/>
    <w:link w:val="ListParagraph"/>
    <w:uiPriority w:val="34"/>
    <w:rsid w:val="00883BE9"/>
    <w:rPr>
      <w:rFonts w:ascii="Arial" w:eastAsia="SimSun" w:hAnsi="Arial" w:cs="Arial"/>
      <w:sz w:val="22"/>
      <w:lang w:eastAsia="zh-CN"/>
    </w:rPr>
  </w:style>
  <w:style w:type="paragraph" w:customStyle="1" w:styleId="Style2">
    <w:name w:val="Style2"/>
    <w:basedOn w:val="Normal"/>
    <w:rsid w:val="00883BE9"/>
    <w:pPr>
      <w:numPr>
        <w:numId w:val="9"/>
      </w:numPr>
    </w:pPr>
    <w:rPr>
      <w:lang w:val="en-US"/>
    </w:rPr>
  </w:style>
  <w:style w:type="paragraph" w:styleId="BalloonText">
    <w:name w:val="Balloon Text"/>
    <w:basedOn w:val="Normal"/>
    <w:link w:val="BalloonTextChar"/>
    <w:rsid w:val="00AA3FE4"/>
    <w:rPr>
      <w:rFonts w:ascii="Tahoma" w:hAnsi="Tahoma" w:cs="Tahoma"/>
      <w:sz w:val="16"/>
      <w:szCs w:val="16"/>
    </w:rPr>
  </w:style>
  <w:style w:type="character" w:customStyle="1" w:styleId="BalloonTextChar">
    <w:name w:val="Balloon Text Char"/>
    <w:basedOn w:val="DefaultParagraphFont"/>
    <w:link w:val="BalloonText"/>
    <w:rsid w:val="00AA3FE4"/>
    <w:rPr>
      <w:rFonts w:ascii="Tahoma" w:eastAsia="SimSun" w:hAnsi="Tahoma" w:cs="Tahoma"/>
      <w:sz w:val="16"/>
      <w:szCs w:val="16"/>
      <w:lang w:val="es-ES" w:eastAsia="zh-CN"/>
    </w:rPr>
  </w:style>
  <w:style w:type="character" w:customStyle="1" w:styleId="HeaderChar">
    <w:name w:val="Header Char"/>
    <w:basedOn w:val="DefaultParagraphFont"/>
    <w:link w:val="Header"/>
    <w:uiPriority w:val="99"/>
    <w:rsid w:val="001A7B9C"/>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PBC 22 (S)</Template>
  <TotalTime>1</TotalTime>
  <Pages>11</Pages>
  <Words>4430</Words>
  <Characters>22749</Characters>
  <Application>Microsoft Office Word</Application>
  <DocSecurity>4</DocSecurity>
  <Lines>189</Lines>
  <Paragraphs>54</Paragraphs>
  <ScaleCrop>false</ScaleCrop>
  <HeadingPairs>
    <vt:vector size="2" baseType="variant">
      <vt:variant>
        <vt:lpstr>Title</vt:lpstr>
      </vt:variant>
      <vt:variant>
        <vt:i4>1</vt:i4>
      </vt:variant>
    </vt:vector>
  </HeadingPairs>
  <TitlesOfParts>
    <vt:vector size="1" baseType="lpstr">
      <vt:lpstr>Examen de la situación financiera de la OMPI y de su política de reservas</vt:lpstr>
    </vt:vector>
  </TitlesOfParts>
  <Company>WIPO</Company>
  <LinksUpToDate>false</LinksUpToDate>
  <CharactersWithSpaces>27125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Examen de la situación financiera de la OMPI y de su política de reservas</dc:title>
  <dc:subject>WO/PBC/22/28</dc:subject>
  <dc:creator>MENDOZA URANGA Maria</dc:creator>
  <dc:description>MM - 6/8/2014/KP</dc:description>
  <cp:lastModifiedBy>DOYON Geneviève</cp:lastModifiedBy>
  <cp:revision>2</cp:revision>
  <cp:lastPrinted>2014-08-11T12:08:00Z</cp:lastPrinted>
  <dcterms:created xsi:type="dcterms:W3CDTF">2014-08-11T14:24:00Z</dcterms:created>
  <dcterms:modified xsi:type="dcterms:W3CDTF">2014-08-11T14:24:00Z</dcterms:modified>
</cp:coreProperties>
</file>