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56DE1" w:rsidTr="0088395E">
        <w:tc>
          <w:tcPr>
            <w:tcW w:w="4513" w:type="dxa"/>
            <w:tcBorders>
              <w:bottom w:val="single" w:sz="4" w:space="0" w:color="auto"/>
            </w:tcBorders>
            <w:tcMar>
              <w:bottom w:w="170" w:type="dxa"/>
            </w:tcMar>
          </w:tcPr>
          <w:p w:rsidR="00E504E5" w:rsidRPr="00B56DE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B56DE1" w:rsidRDefault="00921576" w:rsidP="00AB613D">
            <w:r w:rsidRPr="00B56DE1">
              <w:rPr>
                <w:noProof/>
                <w:lang w:val="en-US" w:eastAsia="en-US"/>
              </w:rPr>
              <w:drawing>
                <wp:inline distT="0" distB="0" distL="0" distR="0" wp14:anchorId="0214A875" wp14:editId="6D8F499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56DE1" w:rsidRDefault="00E504E5" w:rsidP="00AB613D">
            <w:pPr>
              <w:jc w:val="right"/>
            </w:pPr>
            <w:r w:rsidRPr="00B56DE1">
              <w:rPr>
                <w:b/>
                <w:sz w:val="40"/>
                <w:szCs w:val="40"/>
              </w:rPr>
              <w:t>S</w:t>
            </w:r>
          </w:p>
        </w:tc>
      </w:tr>
      <w:tr w:rsidR="008B2CC1" w:rsidRPr="00B56DE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56DE1" w:rsidRDefault="00921576" w:rsidP="00AB613D">
            <w:pPr>
              <w:jc w:val="right"/>
              <w:rPr>
                <w:rFonts w:ascii="Arial Black" w:hAnsi="Arial Black"/>
                <w:caps/>
                <w:sz w:val="15"/>
              </w:rPr>
            </w:pPr>
            <w:r w:rsidRPr="00B56DE1">
              <w:rPr>
                <w:rFonts w:ascii="Arial Black" w:hAnsi="Arial Black"/>
                <w:caps/>
                <w:sz w:val="15"/>
              </w:rPr>
              <w:t>WO/PBC/22/</w:t>
            </w:r>
            <w:bookmarkStart w:id="1" w:name="Code"/>
            <w:bookmarkEnd w:id="1"/>
            <w:r w:rsidR="00B50ECB" w:rsidRPr="00B56DE1">
              <w:rPr>
                <w:rFonts w:ascii="Arial Black" w:hAnsi="Arial Black"/>
                <w:caps/>
                <w:sz w:val="15"/>
              </w:rPr>
              <w:t>19</w:t>
            </w:r>
          </w:p>
        </w:tc>
      </w:tr>
      <w:tr w:rsidR="008B2CC1" w:rsidRPr="00B56DE1" w:rsidTr="00AB613D">
        <w:trPr>
          <w:trHeight w:hRule="exact" w:val="170"/>
        </w:trPr>
        <w:tc>
          <w:tcPr>
            <w:tcW w:w="9356" w:type="dxa"/>
            <w:gridSpan w:val="3"/>
            <w:noWrap/>
            <w:tcMar>
              <w:left w:w="0" w:type="dxa"/>
              <w:right w:w="0" w:type="dxa"/>
            </w:tcMar>
            <w:vAlign w:val="bottom"/>
          </w:tcPr>
          <w:p w:rsidR="008B2CC1" w:rsidRPr="00B56DE1" w:rsidRDefault="008B2CC1" w:rsidP="00AB613D">
            <w:pPr>
              <w:jc w:val="right"/>
              <w:rPr>
                <w:rFonts w:ascii="Arial Black" w:hAnsi="Arial Black"/>
                <w:caps/>
                <w:sz w:val="15"/>
              </w:rPr>
            </w:pPr>
            <w:r w:rsidRPr="00B56DE1">
              <w:rPr>
                <w:rFonts w:ascii="Arial Black" w:hAnsi="Arial Black"/>
                <w:caps/>
                <w:sz w:val="15"/>
              </w:rPr>
              <w:t>ORIGINAL:</w:t>
            </w:r>
            <w:r w:rsidR="00F84474" w:rsidRPr="00B56DE1">
              <w:rPr>
                <w:rFonts w:ascii="Arial Black" w:hAnsi="Arial Black"/>
                <w:caps/>
                <w:sz w:val="15"/>
              </w:rPr>
              <w:t xml:space="preserve"> </w:t>
            </w:r>
            <w:r w:rsidRPr="00B56DE1">
              <w:rPr>
                <w:rFonts w:ascii="Arial Black" w:hAnsi="Arial Black"/>
                <w:caps/>
                <w:sz w:val="15"/>
              </w:rPr>
              <w:t xml:space="preserve"> </w:t>
            </w:r>
            <w:bookmarkStart w:id="2" w:name="Original"/>
            <w:bookmarkEnd w:id="2"/>
            <w:r w:rsidR="00B50ECB" w:rsidRPr="00B56DE1">
              <w:rPr>
                <w:rFonts w:ascii="Arial Black" w:hAnsi="Arial Black"/>
                <w:caps/>
                <w:sz w:val="15"/>
              </w:rPr>
              <w:t>INGLÉS</w:t>
            </w:r>
          </w:p>
        </w:tc>
      </w:tr>
      <w:tr w:rsidR="008B2CC1" w:rsidRPr="00B56DE1" w:rsidTr="00AB613D">
        <w:trPr>
          <w:trHeight w:hRule="exact" w:val="198"/>
        </w:trPr>
        <w:tc>
          <w:tcPr>
            <w:tcW w:w="9356" w:type="dxa"/>
            <w:gridSpan w:val="3"/>
            <w:tcMar>
              <w:left w:w="0" w:type="dxa"/>
              <w:right w:w="0" w:type="dxa"/>
            </w:tcMar>
            <w:vAlign w:val="bottom"/>
          </w:tcPr>
          <w:p w:rsidR="008B2CC1" w:rsidRPr="00B56DE1" w:rsidRDefault="00675021" w:rsidP="00AB613D">
            <w:pPr>
              <w:jc w:val="right"/>
              <w:rPr>
                <w:rFonts w:ascii="Arial Black" w:hAnsi="Arial Black"/>
                <w:caps/>
                <w:sz w:val="15"/>
              </w:rPr>
            </w:pPr>
            <w:r w:rsidRPr="00B56DE1">
              <w:rPr>
                <w:rFonts w:ascii="Arial Black" w:hAnsi="Arial Black"/>
                <w:caps/>
                <w:sz w:val="15"/>
              </w:rPr>
              <w:t>fecha</w:t>
            </w:r>
            <w:r w:rsidR="008B2CC1" w:rsidRPr="00B56DE1">
              <w:rPr>
                <w:rFonts w:ascii="Arial Black" w:hAnsi="Arial Black"/>
                <w:caps/>
                <w:sz w:val="15"/>
              </w:rPr>
              <w:t>:</w:t>
            </w:r>
            <w:r w:rsidR="00F84474" w:rsidRPr="00B56DE1">
              <w:rPr>
                <w:rFonts w:ascii="Arial Black" w:hAnsi="Arial Black"/>
                <w:caps/>
                <w:sz w:val="15"/>
              </w:rPr>
              <w:t xml:space="preserve"> </w:t>
            </w:r>
            <w:r w:rsidR="008B2CC1" w:rsidRPr="00B56DE1">
              <w:rPr>
                <w:rFonts w:ascii="Arial Black" w:hAnsi="Arial Black"/>
                <w:caps/>
                <w:sz w:val="15"/>
              </w:rPr>
              <w:t xml:space="preserve"> </w:t>
            </w:r>
            <w:bookmarkStart w:id="3" w:name="Date"/>
            <w:bookmarkEnd w:id="3"/>
            <w:r w:rsidR="001D2E8A" w:rsidRPr="00B56DE1">
              <w:rPr>
                <w:rFonts w:ascii="Arial Black" w:hAnsi="Arial Black"/>
                <w:caps/>
                <w:sz w:val="15"/>
              </w:rPr>
              <w:t>17</w:t>
            </w:r>
            <w:r w:rsidR="00B50ECB" w:rsidRPr="00B56DE1">
              <w:rPr>
                <w:rFonts w:ascii="Arial Black" w:hAnsi="Arial Black"/>
                <w:caps/>
                <w:sz w:val="15"/>
              </w:rPr>
              <w:t xml:space="preserve"> DE JULIO DE 2014</w:t>
            </w:r>
          </w:p>
        </w:tc>
      </w:tr>
    </w:tbl>
    <w:p w:rsidR="008B2CC1" w:rsidRPr="00B56DE1" w:rsidRDefault="008B2CC1" w:rsidP="008B2CC1"/>
    <w:p w:rsidR="008B2CC1" w:rsidRPr="00B56DE1" w:rsidRDefault="008B2CC1" w:rsidP="008B2CC1"/>
    <w:p w:rsidR="008B2CC1" w:rsidRPr="00B56DE1" w:rsidRDefault="008B2CC1" w:rsidP="008B2CC1"/>
    <w:p w:rsidR="008B2CC1" w:rsidRPr="00B56DE1" w:rsidRDefault="008B2CC1" w:rsidP="008B2CC1"/>
    <w:p w:rsidR="008B2CC1" w:rsidRPr="00B56DE1" w:rsidRDefault="008B2CC1" w:rsidP="008B2CC1"/>
    <w:p w:rsidR="00921576" w:rsidRPr="00B56DE1" w:rsidRDefault="00921576" w:rsidP="00921576">
      <w:pPr>
        <w:rPr>
          <w:b/>
          <w:sz w:val="28"/>
          <w:szCs w:val="28"/>
        </w:rPr>
      </w:pPr>
      <w:r w:rsidRPr="00B56DE1">
        <w:rPr>
          <w:b/>
          <w:sz w:val="28"/>
          <w:szCs w:val="28"/>
        </w:rPr>
        <w:t>Comité del Programa y Presupuesto</w:t>
      </w:r>
    </w:p>
    <w:p w:rsidR="003845C1" w:rsidRPr="00B56DE1" w:rsidRDefault="003845C1" w:rsidP="003845C1"/>
    <w:p w:rsidR="003845C1" w:rsidRPr="00B56DE1" w:rsidRDefault="003845C1" w:rsidP="003845C1"/>
    <w:p w:rsidR="00921576" w:rsidRPr="00B56DE1" w:rsidRDefault="00921576" w:rsidP="00921576">
      <w:pPr>
        <w:rPr>
          <w:b/>
          <w:sz w:val="24"/>
          <w:szCs w:val="24"/>
        </w:rPr>
      </w:pPr>
      <w:r w:rsidRPr="00B56DE1">
        <w:rPr>
          <w:b/>
          <w:sz w:val="24"/>
          <w:szCs w:val="24"/>
        </w:rPr>
        <w:t>Vigésima segunda sesión</w:t>
      </w:r>
    </w:p>
    <w:p w:rsidR="00921576" w:rsidRPr="00B56DE1" w:rsidRDefault="00921576" w:rsidP="00921576">
      <w:pPr>
        <w:rPr>
          <w:b/>
          <w:sz w:val="24"/>
          <w:szCs w:val="24"/>
        </w:rPr>
      </w:pPr>
      <w:r w:rsidRPr="00B56DE1">
        <w:rPr>
          <w:b/>
          <w:sz w:val="24"/>
          <w:szCs w:val="24"/>
        </w:rPr>
        <w:t>Ginebra, 1 a 5 de septiembre de 2014</w:t>
      </w:r>
    </w:p>
    <w:p w:rsidR="008B2CC1" w:rsidRPr="00B56DE1" w:rsidRDefault="008B2CC1" w:rsidP="008B2CC1"/>
    <w:p w:rsidR="008B2CC1" w:rsidRPr="00B56DE1" w:rsidRDefault="008B2CC1" w:rsidP="008B2CC1"/>
    <w:p w:rsidR="008B2CC1" w:rsidRPr="00B56DE1" w:rsidRDefault="008B2CC1" w:rsidP="008B2CC1"/>
    <w:p w:rsidR="000C631C" w:rsidRPr="00B56DE1" w:rsidRDefault="00640BE7" w:rsidP="000C631C">
      <w:pPr>
        <w:rPr>
          <w:caps/>
          <w:sz w:val="24"/>
        </w:rPr>
      </w:pPr>
      <w:bookmarkStart w:id="4" w:name="TitleOfDoc"/>
      <w:bookmarkEnd w:id="4"/>
      <w:r w:rsidRPr="00B56DE1">
        <w:rPr>
          <w:caps/>
          <w:sz w:val="24"/>
        </w:rPr>
        <w:t>propuesta de modificación de la política de inversiones</w:t>
      </w:r>
    </w:p>
    <w:p w:rsidR="000C631C" w:rsidRPr="00B56DE1" w:rsidRDefault="000C631C" w:rsidP="000C631C"/>
    <w:p w:rsidR="000C631C" w:rsidRPr="00B56DE1" w:rsidRDefault="00640BE7" w:rsidP="000C631C">
      <w:pPr>
        <w:rPr>
          <w:i/>
        </w:rPr>
      </w:pPr>
      <w:bookmarkStart w:id="5" w:name="Prepared"/>
      <w:bookmarkEnd w:id="5"/>
      <w:r w:rsidRPr="00B56DE1">
        <w:rPr>
          <w:i/>
        </w:rPr>
        <w:t>Documento preparado por la Secretaría</w:t>
      </w:r>
    </w:p>
    <w:p w:rsidR="000C631C" w:rsidRPr="00B56DE1" w:rsidRDefault="000C631C" w:rsidP="000C631C"/>
    <w:p w:rsidR="000C631C" w:rsidRPr="00B56DE1" w:rsidRDefault="000C631C" w:rsidP="000C631C"/>
    <w:p w:rsidR="00640BE7" w:rsidRPr="00B56DE1" w:rsidRDefault="00640BE7" w:rsidP="000C631C"/>
    <w:p w:rsidR="000C631C" w:rsidRPr="00B56DE1" w:rsidRDefault="00640BE7" w:rsidP="000C631C">
      <w:pPr>
        <w:rPr>
          <w:b/>
          <w:caps/>
        </w:rPr>
      </w:pPr>
      <w:r w:rsidRPr="00B56DE1">
        <w:rPr>
          <w:b/>
          <w:caps/>
        </w:rPr>
        <w:t>ANTECEDENTES</w:t>
      </w:r>
    </w:p>
    <w:p w:rsidR="000C631C" w:rsidRPr="00B56DE1" w:rsidRDefault="000C631C" w:rsidP="000C631C"/>
    <w:p w:rsidR="00140A2B" w:rsidRPr="00B56DE1" w:rsidRDefault="00F47CE7" w:rsidP="00140A2B">
      <w:pPr>
        <w:pStyle w:val="ListParagraph"/>
        <w:numPr>
          <w:ilvl w:val="0"/>
          <w:numId w:val="9"/>
        </w:numPr>
        <w:tabs>
          <w:tab w:val="clear" w:pos="851"/>
          <w:tab w:val="clear" w:pos="1134"/>
        </w:tabs>
        <w:spacing w:before="0" w:after="0"/>
        <w:ind w:left="0" w:firstLine="0"/>
        <w:rPr>
          <w:lang w:val="es-ES"/>
        </w:rPr>
      </w:pPr>
      <w:r w:rsidRPr="00B56DE1">
        <w:rPr>
          <w:lang w:val="es-ES"/>
        </w:rPr>
        <w:t>E</w:t>
      </w:r>
      <w:r w:rsidR="00640BE7" w:rsidRPr="00B56DE1">
        <w:rPr>
          <w:lang w:val="es-ES"/>
        </w:rPr>
        <w:t>n septiembre de 2010 se presentó por primera vez al Comité de</w:t>
      </w:r>
      <w:r w:rsidR="00754D2E" w:rsidRPr="00B56DE1">
        <w:rPr>
          <w:lang w:val="es-ES"/>
        </w:rPr>
        <w:t xml:space="preserve">l Programa y Presupuesto (PBC) </w:t>
      </w:r>
      <w:r w:rsidR="00640BE7" w:rsidRPr="00B56DE1">
        <w:rPr>
          <w:lang w:val="es-ES"/>
        </w:rPr>
        <w:t>una política de inve</w:t>
      </w:r>
      <w:r w:rsidRPr="00B56DE1">
        <w:rPr>
          <w:lang w:val="es-ES"/>
        </w:rPr>
        <w:t xml:space="preserve">rsiones (documento WO/PBC/15/8), de conformidad con lo dispuesto en el artículo 4.10 del Reglamento Financiero.  </w:t>
      </w:r>
      <w:r w:rsidR="001A3E1C" w:rsidRPr="00B56DE1">
        <w:rPr>
          <w:lang w:val="es-ES"/>
        </w:rPr>
        <w:t xml:space="preserve">El Comité examinó el documento y “pidió a la Secretaría que presente una nueva versión de la propuesta en la próxima sesión del PBC, teniendo en cuenta las observaciones y los comentarios formulados por los Estados miembros”.  </w:t>
      </w:r>
      <w:r w:rsidR="00754D2E" w:rsidRPr="00B56DE1">
        <w:rPr>
          <w:lang w:val="es-ES"/>
        </w:rPr>
        <w:t>En esas</w:t>
      </w:r>
      <w:r w:rsidR="00FD73B0" w:rsidRPr="00B56DE1">
        <w:rPr>
          <w:lang w:val="es-ES"/>
        </w:rPr>
        <w:t xml:space="preserve"> observaciones y comentarios se daba cuenta principalmente de la falta </w:t>
      </w:r>
      <w:r w:rsidR="001A4BE5" w:rsidRPr="00B56DE1">
        <w:rPr>
          <w:lang w:val="es-ES"/>
        </w:rPr>
        <w:t xml:space="preserve">de voluntad para recurrir a </w:t>
      </w:r>
      <w:r w:rsidR="004127DB">
        <w:rPr>
          <w:lang w:val="es-ES"/>
        </w:rPr>
        <w:t>gestores externos</w:t>
      </w:r>
      <w:r w:rsidR="00FD73B0" w:rsidRPr="00B56DE1">
        <w:rPr>
          <w:lang w:val="es-ES"/>
        </w:rPr>
        <w:t xml:space="preserve"> de inversiones </w:t>
      </w:r>
      <w:r w:rsidR="004127DB">
        <w:rPr>
          <w:lang w:val="es-ES"/>
        </w:rPr>
        <w:t>o</w:t>
      </w:r>
      <w:r w:rsidR="00272A98" w:rsidRPr="00B56DE1">
        <w:rPr>
          <w:lang w:val="es-ES"/>
        </w:rPr>
        <w:t xml:space="preserve"> invertir </w:t>
      </w:r>
      <w:r w:rsidR="004127DB">
        <w:rPr>
          <w:lang w:val="es-ES"/>
        </w:rPr>
        <w:t xml:space="preserve">el </w:t>
      </w:r>
      <w:r w:rsidR="00272A98" w:rsidRPr="00B56DE1">
        <w:rPr>
          <w:lang w:val="es-ES"/>
        </w:rPr>
        <w:t>efectivo</w:t>
      </w:r>
      <w:r w:rsidR="004127DB">
        <w:rPr>
          <w:lang w:val="es-ES"/>
        </w:rPr>
        <w:t xml:space="preserve"> no restringido</w:t>
      </w:r>
      <w:r w:rsidR="00272A98" w:rsidRPr="00B56DE1">
        <w:rPr>
          <w:lang w:val="es-ES"/>
        </w:rPr>
        <w:t xml:space="preserve"> que no </w:t>
      </w:r>
      <w:r w:rsidR="004127DB">
        <w:rPr>
          <w:lang w:val="es-ES"/>
        </w:rPr>
        <w:t>e</w:t>
      </w:r>
      <w:r w:rsidR="00272A98" w:rsidRPr="00B56DE1">
        <w:rPr>
          <w:lang w:val="es-ES"/>
        </w:rPr>
        <w:t>s necesarios para las operaciones en curso ni los proyectos financiados mediante reservas, con un horizonte de inversiones de hasta dos años</w:t>
      </w:r>
      <w:r w:rsidR="001A4BE5" w:rsidRPr="00B56DE1">
        <w:rPr>
          <w:lang w:val="es-ES"/>
        </w:rPr>
        <w:t>,</w:t>
      </w:r>
      <w:r w:rsidR="00683D6F" w:rsidRPr="00B56DE1">
        <w:rPr>
          <w:lang w:val="es-ES"/>
        </w:rPr>
        <w:t xml:space="preserve"> y </w:t>
      </w:r>
      <w:r w:rsidR="00754D2E" w:rsidRPr="00B56DE1">
        <w:rPr>
          <w:lang w:val="es-ES"/>
        </w:rPr>
        <w:t xml:space="preserve">también se </w:t>
      </w:r>
      <w:r w:rsidR="001A4BE5" w:rsidRPr="00B56DE1">
        <w:rPr>
          <w:lang w:val="es-ES"/>
        </w:rPr>
        <w:t>indicaba que se quería</w:t>
      </w:r>
      <w:r w:rsidR="00272A98" w:rsidRPr="00B56DE1">
        <w:rPr>
          <w:lang w:val="es-ES"/>
        </w:rPr>
        <w:t xml:space="preserve"> </w:t>
      </w:r>
      <w:r w:rsidR="001A4BE5" w:rsidRPr="00B56DE1">
        <w:rPr>
          <w:lang w:val="es-ES"/>
        </w:rPr>
        <w:t>tener en cuenta</w:t>
      </w:r>
      <w:r w:rsidR="00272A98" w:rsidRPr="00B56DE1">
        <w:rPr>
          <w:lang w:val="es-ES"/>
        </w:rPr>
        <w:t xml:space="preserve"> la necesidad de </w:t>
      </w:r>
      <w:r w:rsidR="00683D6F" w:rsidRPr="00B56DE1">
        <w:rPr>
          <w:lang w:val="es-ES"/>
        </w:rPr>
        <w:t xml:space="preserve">efectuar las inversiones </w:t>
      </w:r>
      <w:r w:rsidR="00754D2E" w:rsidRPr="00B56DE1">
        <w:rPr>
          <w:lang w:val="es-ES"/>
        </w:rPr>
        <w:t>de acuerdo</w:t>
      </w:r>
      <w:r w:rsidR="00272A98" w:rsidRPr="00B56DE1">
        <w:rPr>
          <w:lang w:val="es-ES"/>
        </w:rPr>
        <w:t xml:space="preserve"> con los principios del Pacto Mundial de las Naciones Unidas.</w:t>
      </w:r>
    </w:p>
    <w:p w:rsidR="00140A2B" w:rsidRPr="00B56DE1" w:rsidRDefault="00140A2B" w:rsidP="00140A2B">
      <w:pPr>
        <w:pStyle w:val="ListParagraph"/>
        <w:numPr>
          <w:ilvl w:val="0"/>
          <w:numId w:val="0"/>
        </w:numPr>
        <w:tabs>
          <w:tab w:val="clear" w:pos="851"/>
          <w:tab w:val="clear" w:pos="1134"/>
        </w:tabs>
        <w:spacing w:before="0" w:after="0"/>
        <w:rPr>
          <w:lang w:val="es-ES"/>
        </w:rPr>
      </w:pPr>
    </w:p>
    <w:p w:rsidR="000C631C" w:rsidRPr="00B56DE1" w:rsidRDefault="00272A98" w:rsidP="00140A2B">
      <w:pPr>
        <w:pStyle w:val="ListParagraph"/>
        <w:numPr>
          <w:ilvl w:val="0"/>
          <w:numId w:val="9"/>
        </w:numPr>
        <w:tabs>
          <w:tab w:val="clear" w:pos="851"/>
          <w:tab w:val="clear" w:pos="1134"/>
        </w:tabs>
        <w:spacing w:before="0" w:after="0"/>
        <w:ind w:left="0" w:firstLine="0"/>
        <w:rPr>
          <w:lang w:val="es-ES"/>
        </w:rPr>
      </w:pPr>
      <w:r w:rsidRPr="00B56DE1">
        <w:rPr>
          <w:lang w:val="es-ES"/>
        </w:rPr>
        <w:t xml:space="preserve">Posteriormente, se modificó dicha política y se presentó una versión revisada de la misma </w:t>
      </w:r>
      <w:r w:rsidR="00683D6F" w:rsidRPr="00B56DE1">
        <w:rPr>
          <w:lang w:val="es-ES"/>
        </w:rPr>
        <w:t>al PBC durante sus</w:t>
      </w:r>
      <w:r w:rsidRPr="00B56DE1">
        <w:rPr>
          <w:lang w:val="es-ES"/>
        </w:rPr>
        <w:t xml:space="preserve"> dos sesiones de 2011 (documento WO/PBC/17/6), que fue aprobada finalmente por las Asambleas en su 49ª serie de </w:t>
      </w:r>
      <w:r w:rsidR="00683D6F" w:rsidRPr="00B56DE1">
        <w:rPr>
          <w:lang w:val="es-ES"/>
        </w:rPr>
        <w:t>reuniones, celebrada</w:t>
      </w:r>
      <w:r w:rsidR="00255589" w:rsidRPr="00B56DE1">
        <w:rPr>
          <w:lang w:val="es-ES"/>
        </w:rPr>
        <w:t xml:space="preserve"> en el otoño de </w:t>
      </w:r>
      <w:r w:rsidRPr="00B56DE1">
        <w:rPr>
          <w:lang w:val="es-ES"/>
        </w:rPr>
        <w:t xml:space="preserve">2011.  </w:t>
      </w:r>
      <w:r w:rsidR="009D1F95" w:rsidRPr="00B56DE1">
        <w:rPr>
          <w:lang w:val="es-ES"/>
        </w:rPr>
        <w:t xml:space="preserve">En </w:t>
      </w:r>
      <w:r w:rsidR="00683D6F" w:rsidRPr="00B56DE1">
        <w:rPr>
          <w:lang w:val="es-ES"/>
        </w:rPr>
        <w:t>ese segundo</w:t>
      </w:r>
      <w:r w:rsidR="009D1F95" w:rsidRPr="00B56DE1">
        <w:rPr>
          <w:lang w:val="es-ES"/>
        </w:rPr>
        <w:t xml:space="preserve"> documento </w:t>
      </w:r>
      <w:r w:rsidR="00666631" w:rsidRPr="00B56DE1">
        <w:rPr>
          <w:lang w:val="es-ES"/>
        </w:rPr>
        <w:t>(Anexo I) se incorporaron a esa</w:t>
      </w:r>
      <w:r w:rsidR="009D1F95" w:rsidRPr="00B56DE1">
        <w:rPr>
          <w:lang w:val="es-ES"/>
        </w:rPr>
        <w:t xml:space="preserve"> política las siguientes </w:t>
      </w:r>
      <w:r w:rsidR="00683D6F" w:rsidRPr="00B56DE1">
        <w:rPr>
          <w:lang w:val="es-ES"/>
        </w:rPr>
        <w:t>modificacione</w:t>
      </w:r>
      <w:r w:rsidR="009D1F95" w:rsidRPr="00B56DE1">
        <w:rPr>
          <w:lang w:val="es-ES"/>
        </w:rPr>
        <w:t xml:space="preserve">s: </w:t>
      </w:r>
    </w:p>
    <w:p w:rsidR="005C5740" w:rsidRPr="00B56DE1" w:rsidRDefault="005C5740" w:rsidP="000C631C">
      <w:pPr>
        <w:pStyle w:val="ListParagraph"/>
        <w:numPr>
          <w:ilvl w:val="0"/>
          <w:numId w:val="19"/>
        </w:numPr>
        <w:tabs>
          <w:tab w:val="clear" w:pos="851"/>
          <w:tab w:val="clear" w:pos="1134"/>
        </w:tabs>
        <w:ind w:left="567" w:firstLine="0"/>
        <w:rPr>
          <w:lang w:val="es-ES"/>
        </w:rPr>
      </w:pPr>
      <w:r w:rsidRPr="00B56DE1">
        <w:rPr>
          <w:lang w:val="es-ES"/>
        </w:rPr>
        <w:t xml:space="preserve">La inclusión de una referencia específica al hecho de que el excedente de reservas de efectivo en francos suizos cuyo uso inmediato no </w:t>
      </w:r>
      <w:r w:rsidR="00683D6F" w:rsidRPr="00B56DE1">
        <w:rPr>
          <w:lang w:val="es-ES"/>
        </w:rPr>
        <w:t>sea</w:t>
      </w:r>
      <w:r w:rsidRPr="00B56DE1">
        <w:rPr>
          <w:lang w:val="es-ES"/>
        </w:rPr>
        <w:t xml:space="preserve"> necesario se </w:t>
      </w:r>
      <w:r w:rsidR="004127DB">
        <w:rPr>
          <w:lang w:val="es-ES"/>
        </w:rPr>
        <w:t>deposit</w:t>
      </w:r>
      <w:r w:rsidRPr="00B56DE1">
        <w:rPr>
          <w:lang w:val="es-ES"/>
        </w:rPr>
        <w:t>a</w:t>
      </w:r>
      <w:r w:rsidR="00366F45" w:rsidRPr="00B56DE1">
        <w:rPr>
          <w:lang w:val="es-ES"/>
        </w:rPr>
        <w:t>rá</w:t>
      </w:r>
      <w:r w:rsidRPr="00B56DE1">
        <w:rPr>
          <w:lang w:val="es-ES"/>
        </w:rPr>
        <w:t xml:space="preserve"> en el Banco Nacional Suizo (BNS), a menos que pudiesen obtenerse </w:t>
      </w:r>
      <w:r w:rsidR="00366F45" w:rsidRPr="00B56DE1">
        <w:rPr>
          <w:lang w:val="es-ES"/>
        </w:rPr>
        <w:t xml:space="preserve">mayores </w:t>
      </w:r>
      <w:r w:rsidRPr="00B56DE1">
        <w:rPr>
          <w:lang w:val="es-ES"/>
        </w:rPr>
        <w:t>tasas de r</w:t>
      </w:r>
      <w:r w:rsidR="002B71F6" w:rsidRPr="00B56DE1">
        <w:rPr>
          <w:lang w:val="es-ES"/>
        </w:rPr>
        <w:t>endimiento</w:t>
      </w:r>
      <w:r w:rsidRPr="00B56DE1">
        <w:rPr>
          <w:lang w:val="es-ES"/>
        </w:rPr>
        <w:t xml:space="preserve"> en otros bancos que posean la calificación crediticia </w:t>
      </w:r>
      <w:r w:rsidR="00366F45" w:rsidRPr="00B56DE1">
        <w:rPr>
          <w:lang w:val="es-ES"/>
        </w:rPr>
        <w:t>exigida</w:t>
      </w:r>
      <w:r w:rsidRPr="00B56DE1">
        <w:rPr>
          <w:lang w:val="es-ES"/>
        </w:rPr>
        <w:t xml:space="preserve"> (calificación equivalente al nivel AA- de Standard and Poor’s y al nivel Aa3 de Moody’s);</w:t>
      </w:r>
    </w:p>
    <w:p w:rsidR="005C5740" w:rsidRPr="00B56DE1" w:rsidRDefault="005C5740" w:rsidP="000C631C">
      <w:pPr>
        <w:pStyle w:val="ListParagraph"/>
        <w:numPr>
          <w:ilvl w:val="0"/>
          <w:numId w:val="19"/>
        </w:numPr>
        <w:tabs>
          <w:tab w:val="clear" w:pos="851"/>
          <w:tab w:val="clear" w:pos="1134"/>
        </w:tabs>
        <w:ind w:left="567" w:firstLine="0"/>
        <w:rPr>
          <w:lang w:val="es-ES"/>
        </w:rPr>
      </w:pPr>
      <w:r w:rsidRPr="00B56DE1">
        <w:rPr>
          <w:lang w:val="es-ES"/>
        </w:rPr>
        <w:t xml:space="preserve">la supresión de toda referencia a la </w:t>
      </w:r>
      <w:r w:rsidR="002B71F6" w:rsidRPr="00B56DE1">
        <w:rPr>
          <w:lang w:val="es-ES"/>
        </w:rPr>
        <w:t>posibilidad de recurrir a</w:t>
      </w:r>
      <w:r w:rsidRPr="00B56DE1">
        <w:rPr>
          <w:lang w:val="es-ES"/>
        </w:rPr>
        <w:t xml:space="preserve"> administradores de inversiones externos; y</w:t>
      </w:r>
    </w:p>
    <w:p w:rsidR="00066998" w:rsidRPr="00B56DE1" w:rsidRDefault="00066998" w:rsidP="00066998">
      <w:pPr>
        <w:pStyle w:val="ListParagraph"/>
        <w:numPr>
          <w:ilvl w:val="0"/>
          <w:numId w:val="19"/>
        </w:numPr>
        <w:tabs>
          <w:tab w:val="clear" w:pos="851"/>
          <w:tab w:val="clear" w:pos="1134"/>
        </w:tabs>
        <w:ind w:left="567" w:firstLine="0"/>
        <w:rPr>
          <w:lang w:val="es-ES"/>
        </w:rPr>
      </w:pPr>
      <w:r w:rsidRPr="00B56DE1">
        <w:rPr>
          <w:lang w:val="es-ES"/>
        </w:rPr>
        <w:lastRenderedPageBreak/>
        <w:t xml:space="preserve">la inclusión </w:t>
      </w:r>
      <w:r w:rsidR="00666631" w:rsidRPr="00B56DE1">
        <w:rPr>
          <w:lang w:val="es-ES"/>
        </w:rPr>
        <w:t>del requisito</w:t>
      </w:r>
      <w:r w:rsidRPr="00B56DE1">
        <w:rPr>
          <w:lang w:val="es-ES"/>
        </w:rPr>
        <w:t xml:space="preserve"> de que las </w:t>
      </w:r>
      <w:r w:rsidR="00666631" w:rsidRPr="00B56DE1">
        <w:rPr>
          <w:lang w:val="es-ES"/>
        </w:rPr>
        <w:t>contrapartes en inversión</w:t>
      </w:r>
      <w:r w:rsidRPr="00B56DE1">
        <w:rPr>
          <w:lang w:val="es-ES"/>
        </w:rPr>
        <w:t xml:space="preserve"> de la OMPI, salvo aquellas que pertenezcan a la categoría de </w:t>
      </w:r>
      <w:r w:rsidR="00140A2B" w:rsidRPr="00B56DE1">
        <w:rPr>
          <w:lang w:val="es-ES"/>
        </w:rPr>
        <w:t xml:space="preserve">entidades </w:t>
      </w:r>
      <w:r w:rsidR="0066659D" w:rsidRPr="00B56DE1">
        <w:rPr>
          <w:lang w:val="es-ES"/>
        </w:rPr>
        <w:t xml:space="preserve">de </w:t>
      </w:r>
      <w:r w:rsidRPr="00B56DE1">
        <w:rPr>
          <w:lang w:val="es-ES"/>
        </w:rPr>
        <w:t xml:space="preserve">riesgo </w:t>
      </w:r>
      <w:r w:rsidR="00140A2B" w:rsidRPr="00B56DE1">
        <w:rPr>
          <w:lang w:val="es-ES"/>
        </w:rPr>
        <w:t>soberano</w:t>
      </w:r>
      <w:r w:rsidRPr="00B56DE1">
        <w:rPr>
          <w:lang w:val="es-ES"/>
        </w:rPr>
        <w:t xml:space="preserve">, como el BNS, deben haber accedido a cumplir los diez principios del Pacto Mundial de las Naciones Unidas. </w:t>
      </w:r>
    </w:p>
    <w:p w:rsidR="00066998" w:rsidRPr="00B56DE1" w:rsidRDefault="002B71F6" w:rsidP="00066998">
      <w:pPr>
        <w:pStyle w:val="ListParagraph"/>
        <w:numPr>
          <w:ilvl w:val="0"/>
          <w:numId w:val="9"/>
        </w:numPr>
        <w:tabs>
          <w:tab w:val="clear" w:pos="851"/>
          <w:tab w:val="clear" w:pos="1134"/>
        </w:tabs>
        <w:ind w:left="0" w:firstLine="0"/>
        <w:rPr>
          <w:lang w:val="es-ES"/>
        </w:rPr>
      </w:pPr>
      <w:r w:rsidRPr="00B56DE1">
        <w:rPr>
          <w:lang w:val="es-ES"/>
        </w:rPr>
        <w:t>En es</w:t>
      </w:r>
      <w:r w:rsidR="00066998" w:rsidRPr="00B56DE1">
        <w:rPr>
          <w:lang w:val="es-ES"/>
        </w:rPr>
        <w:t xml:space="preserve">a revisión de </w:t>
      </w:r>
      <w:r w:rsidRPr="00B56DE1">
        <w:rPr>
          <w:lang w:val="es-ES"/>
        </w:rPr>
        <w:t xml:space="preserve">la </w:t>
      </w:r>
      <w:r w:rsidR="00066998" w:rsidRPr="00B56DE1">
        <w:rPr>
          <w:lang w:val="es-ES"/>
        </w:rPr>
        <w:t xml:space="preserve">política, cuyo contenido es más sencillo que el de la versión presentada en 2010, </w:t>
      </w:r>
      <w:r w:rsidRPr="00B56DE1">
        <w:rPr>
          <w:lang w:val="es-ES"/>
        </w:rPr>
        <w:t xml:space="preserve">se </w:t>
      </w:r>
      <w:r w:rsidR="00066998" w:rsidRPr="00B56DE1">
        <w:rPr>
          <w:lang w:val="es-ES"/>
        </w:rPr>
        <w:t>refleja de manera fidedigna la práctica actual.</w:t>
      </w:r>
    </w:p>
    <w:p w:rsidR="000C631C" w:rsidRPr="00B56DE1" w:rsidRDefault="00066998" w:rsidP="000C631C">
      <w:pPr>
        <w:pStyle w:val="ListParagraph"/>
        <w:numPr>
          <w:ilvl w:val="0"/>
          <w:numId w:val="9"/>
        </w:numPr>
        <w:tabs>
          <w:tab w:val="clear" w:pos="851"/>
          <w:tab w:val="clear" w:pos="1134"/>
        </w:tabs>
        <w:ind w:left="0" w:firstLine="0"/>
        <w:rPr>
          <w:lang w:val="es-ES"/>
        </w:rPr>
      </w:pPr>
      <w:r w:rsidRPr="00B56DE1">
        <w:rPr>
          <w:lang w:val="es-ES"/>
        </w:rPr>
        <w:t xml:space="preserve">Habida cuenta de las novedades </w:t>
      </w:r>
      <w:r w:rsidR="00176866" w:rsidRPr="00B56DE1">
        <w:rPr>
          <w:lang w:val="es-ES"/>
        </w:rPr>
        <w:t>referidas a continuación, la Secretaría ha recopilado</w:t>
      </w:r>
      <w:r w:rsidR="002B71F6" w:rsidRPr="00B56DE1">
        <w:rPr>
          <w:lang w:val="es-ES"/>
        </w:rPr>
        <w:t xml:space="preserve">, a partir de los comentarios de los Estados miembros, </w:t>
      </w:r>
      <w:r w:rsidR="00176866" w:rsidRPr="00B56DE1">
        <w:rPr>
          <w:lang w:val="es-ES"/>
        </w:rPr>
        <w:t>una serie de propuestas para su ulterior desarrollo.</w:t>
      </w:r>
    </w:p>
    <w:p w:rsidR="000C631C" w:rsidRPr="00B56DE1" w:rsidRDefault="000C631C" w:rsidP="000C631C"/>
    <w:p w:rsidR="000C631C" w:rsidRPr="00B56DE1" w:rsidRDefault="00176866" w:rsidP="000C631C">
      <w:pPr>
        <w:pStyle w:val="Heading1"/>
        <w:spacing w:before="0" w:after="0"/>
      </w:pPr>
      <w:r w:rsidRPr="00B56DE1">
        <w:t>ÚLTIMAS NOVEDADES</w:t>
      </w:r>
    </w:p>
    <w:p w:rsidR="000C631C" w:rsidRPr="00B56DE1" w:rsidRDefault="000C631C" w:rsidP="000C631C"/>
    <w:p w:rsidR="000C631C" w:rsidRPr="00B56DE1" w:rsidRDefault="00BE7C51" w:rsidP="000C631C">
      <w:pPr>
        <w:pStyle w:val="ListParagraph"/>
        <w:numPr>
          <w:ilvl w:val="0"/>
          <w:numId w:val="0"/>
        </w:numPr>
        <w:tabs>
          <w:tab w:val="clear" w:pos="851"/>
          <w:tab w:val="clear" w:pos="1134"/>
        </w:tabs>
        <w:spacing w:before="0" w:after="0"/>
        <w:rPr>
          <w:caps/>
          <w:u w:val="single"/>
          <w:lang w:val="es-ES"/>
        </w:rPr>
      </w:pPr>
      <w:r w:rsidRPr="00B56DE1">
        <w:rPr>
          <w:u w:val="single"/>
          <w:lang w:val="es-ES"/>
        </w:rPr>
        <w:t>Cuenta bancaria de la OMPI</w:t>
      </w:r>
    </w:p>
    <w:p w:rsidR="000C631C" w:rsidRPr="00B56DE1" w:rsidRDefault="000C631C" w:rsidP="000C631C"/>
    <w:p w:rsidR="00BE7C51" w:rsidRPr="00B56DE1" w:rsidRDefault="00BE7C51" w:rsidP="00BE7C51">
      <w:pPr>
        <w:pStyle w:val="ListParagraph"/>
        <w:numPr>
          <w:ilvl w:val="0"/>
          <w:numId w:val="9"/>
        </w:numPr>
        <w:tabs>
          <w:tab w:val="clear" w:pos="851"/>
          <w:tab w:val="clear" w:pos="1134"/>
        </w:tabs>
        <w:spacing w:before="0" w:after="0"/>
        <w:ind w:left="0" w:firstLine="0"/>
        <w:rPr>
          <w:lang w:val="es-ES"/>
        </w:rPr>
      </w:pPr>
      <w:r w:rsidRPr="00B56DE1">
        <w:rPr>
          <w:lang w:val="es-ES"/>
        </w:rPr>
        <w:t>En una carta de fecha 9 de abril de 2014, el BNS informó al Director General de la OMPI de que, debido a la introducción por parte de la Administración Federal de Finanzas de Suiza de nuevas normas sobre la apertura y el mantenimiento de cuentas d</w:t>
      </w:r>
      <w:r w:rsidR="00B4021B" w:rsidRPr="00B56DE1">
        <w:rPr>
          <w:lang w:val="es-ES"/>
        </w:rPr>
        <w:t>e depósito, la OMPI ya no podrá</w:t>
      </w:r>
      <w:r w:rsidRPr="00B56DE1">
        <w:rPr>
          <w:lang w:val="es-ES"/>
        </w:rPr>
        <w:t xml:space="preserve"> ser titular de cuentas de depósito en el BNS.  La Unión Internacional de Telecomunicaciones (UIT) y la Unión Postal Universal (UPU) también recibieron notificaciones similares.  A fin de facilitar la labor necesaria de encontrar otras instituciones en las que mantener </w:t>
      </w:r>
      <w:r w:rsidR="001A1D06" w:rsidRPr="00B56DE1">
        <w:rPr>
          <w:lang w:val="es-ES"/>
        </w:rPr>
        <w:t xml:space="preserve">las inversiones de la OMPI, el BNS accedió a conceder a la OMPI un plazo de transición que vencerá a finales de 2015.  Por ende, la OMPI deberá dar instrucciones al BNS respecto de la transferencia de sus depósitos y el posterior cierre de sus cuentas </w:t>
      </w:r>
      <w:r w:rsidR="00B4021B" w:rsidRPr="00B56DE1">
        <w:rPr>
          <w:lang w:val="es-ES"/>
        </w:rPr>
        <w:t xml:space="preserve">a más tardar </w:t>
      </w:r>
      <w:r w:rsidR="001A1D06" w:rsidRPr="00B56DE1">
        <w:rPr>
          <w:lang w:val="es-ES"/>
        </w:rPr>
        <w:t>el 1 de diciembre de 2015.</w:t>
      </w:r>
      <w:r w:rsidRPr="00B56DE1">
        <w:rPr>
          <w:lang w:val="es-ES"/>
        </w:rPr>
        <w:t xml:space="preserve"> </w:t>
      </w:r>
    </w:p>
    <w:p w:rsidR="000C631C" w:rsidRPr="00B56DE1" w:rsidRDefault="000C631C" w:rsidP="000C631C">
      <w:pPr>
        <w:pStyle w:val="ListParagraph"/>
        <w:numPr>
          <w:ilvl w:val="0"/>
          <w:numId w:val="0"/>
        </w:numPr>
        <w:tabs>
          <w:tab w:val="clear" w:pos="851"/>
          <w:tab w:val="clear" w:pos="1134"/>
        </w:tabs>
        <w:spacing w:before="0" w:after="0"/>
        <w:rPr>
          <w:lang w:val="es-ES"/>
        </w:rPr>
      </w:pPr>
    </w:p>
    <w:p w:rsidR="000C631C" w:rsidRPr="00B56DE1" w:rsidRDefault="00262E96" w:rsidP="000C631C">
      <w:pPr>
        <w:pStyle w:val="ListParagraph"/>
        <w:numPr>
          <w:ilvl w:val="0"/>
          <w:numId w:val="9"/>
        </w:numPr>
        <w:tabs>
          <w:tab w:val="clear" w:pos="851"/>
          <w:tab w:val="clear" w:pos="1134"/>
        </w:tabs>
        <w:spacing w:before="0" w:after="0"/>
        <w:ind w:left="0" w:firstLine="0"/>
        <w:rPr>
          <w:lang w:val="es-ES"/>
        </w:rPr>
      </w:pPr>
      <w:r w:rsidRPr="00B56DE1">
        <w:rPr>
          <w:lang w:val="es-ES"/>
        </w:rPr>
        <w:t xml:space="preserve">El Director General está manteniendo consultas </w:t>
      </w:r>
      <w:r w:rsidR="00B4021B" w:rsidRPr="00B56DE1">
        <w:rPr>
          <w:lang w:val="es-ES"/>
        </w:rPr>
        <w:t xml:space="preserve">con las autoridades suizas </w:t>
      </w:r>
      <w:r w:rsidRPr="00B56DE1">
        <w:rPr>
          <w:lang w:val="es-ES"/>
        </w:rPr>
        <w:t xml:space="preserve">sobre este asunto.  </w:t>
      </w:r>
      <w:r w:rsidR="005F74AD" w:rsidRPr="00B56DE1">
        <w:rPr>
          <w:lang w:val="es-ES"/>
        </w:rPr>
        <w:t xml:space="preserve">Esta novedad </w:t>
      </w:r>
      <w:r w:rsidRPr="00B56DE1">
        <w:rPr>
          <w:lang w:val="es-ES"/>
        </w:rPr>
        <w:t xml:space="preserve">tendrá importantes repercusiones para la Organización, tal como se explica a continuación. </w:t>
      </w:r>
    </w:p>
    <w:p w:rsidR="000C631C" w:rsidRPr="00B56DE1" w:rsidRDefault="000C631C" w:rsidP="000C631C"/>
    <w:p w:rsidR="000C631C" w:rsidRPr="00B56DE1" w:rsidRDefault="00262E96" w:rsidP="000C631C">
      <w:pPr>
        <w:pStyle w:val="ListParagraph"/>
        <w:numPr>
          <w:ilvl w:val="0"/>
          <w:numId w:val="0"/>
        </w:numPr>
        <w:tabs>
          <w:tab w:val="clear" w:pos="851"/>
          <w:tab w:val="clear" w:pos="1134"/>
        </w:tabs>
        <w:spacing w:before="0" w:after="0"/>
        <w:rPr>
          <w:b/>
          <w:caps/>
          <w:lang w:val="es-ES"/>
        </w:rPr>
      </w:pPr>
      <w:r w:rsidRPr="00B56DE1">
        <w:rPr>
          <w:b/>
          <w:caps/>
          <w:lang w:val="es-ES"/>
        </w:rPr>
        <w:t>POLÍTICA DE INVERSIONES DE LA OMPI</w:t>
      </w:r>
    </w:p>
    <w:p w:rsidR="000C631C" w:rsidRPr="00B56DE1" w:rsidRDefault="00262E96" w:rsidP="000C631C">
      <w:pPr>
        <w:spacing w:before="120" w:after="240"/>
        <w:rPr>
          <w:u w:val="single"/>
        </w:rPr>
      </w:pPr>
      <w:r w:rsidRPr="00B56DE1">
        <w:rPr>
          <w:u w:val="single"/>
        </w:rPr>
        <w:t>Calificaciones crediticias</w:t>
      </w:r>
    </w:p>
    <w:p w:rsidR="000C631C" w:rsidRPr="00B56DE1" w:rsidRDefault="00747694" w:rsidP="004D3AB3">
      <w:pPr>
        <w:pStyle w:val="ListParagraph"/>
        <w:numPr>
          <w:ilvl w:val="0"/>
          <w:numId w:val="9"/>
        </w:numPr>
        <w:tabs>
          <w:tab w:val="clear" w:pos="851"/>
          <w:tab w:val="clear" w:pos="1134"/>
        </w:tabs>
        <w:spacing w:after="240"/>
        <w:ind w:left="0" w:firstLine="0"/>
        <w:rPr>
          <w:lang w:val="es-ES"/>
        </w:rPr>
      </w:pPr>
      <w:r w:rsidRPr="00B56DE1">
        <w:rPr>
          <w:lang w:val="es-ES"/>
        </w:rPr>
        <w:t xml:space="preserve">Como se indica en el párrafo 2, </w:t>
      </w:r>
      <w:r w:rsidR="005F74AD" w:rsidRPr="00B56DE1">
        <w:rPr>
          <w:lang w:val="es-ES"/>
        </w:rPr>
        <w:t>en es</w:t>
      </w:r>
      <w:r w:rsidR="00B76231" w:rsidRPr="00B56DE1">
        <w:rPr>
          <w:lang w:val="es-ES"/>
        </w:rPr>
        <w:t>a política se estipula</w:t>
      </w:r>
      <w:r w:rsidRPr="00B56DE1">
        <w:rPr>
          <w:lang w:val="es-ES"/>
        </w:rPr>
        <w:t xml:space="preserve"> que todas las inversiones en francos suizos “se efectuarán en el BNS siempre y cuando </w:t>
      </w:r>
      <w:r w:rsidR="004127DB">
        <w:rPr>
          <w:lang w:val="es-ES"/>
        </w:rPr>
        <w:t>el tipo de interés</w:t>
      </w:r>
      <w:r w:rsidRPr="00B56DE1">
        <w:rPr>
          <w:lang w:val="es-ES"/>
        </w:rPr>
        <w:t xml:space="preserve"> ofrecid</w:t>
      </w:r>
      <w:r w:rsidR="004127DB">
        <w:rPr>
          <w:lang w:val="es-ES"/>
        </w:rPr>
        <w:t>o</w:t>
      </w:r>
      <w:r w:rsidRPr="00B56DE1">
        <w:rPr>
          <w:lang w:val="es-ES"/>
        </w:rPr>
        <w:t xml:space="preserve"> sea superior al que ofrezcan los bancos comerciales que posean la calificación crediticia exigida”.</w:t>
      </w:r>
      <w:r w:rsidR="00236CD1" w:rsidRPr="00B56DE1">
        <w:rPr>
          <w:lang w:val="es-ES"/>
        </w:rPr>
        <w:t xml:space="preserve">  Adem</w:t>
      </w:r>
      <w:r w:rsidR="005078F6" w:rsidRPr="00B56DE1">
        <w:rPr>
          <w:lang w:val="es-ES"/>
        </w:rPr>
        <w:t>ás, en dicha</w:t>
      </w:r>
      <w:r w:rsidR="00236CD1" w:rsidRPr="00B56DE1">
        <w:rPr>
          <w:lang w:val="es-ES"/>
        </w:rPr>
        <w:t xml:space="preserve"> política se </w:t>
      </w:r>
      <w:r w:rsidR="00B4021B" w:rsidRPr="00B56DE1">
        <w:rPr>
          <w:lang w:val="es-ES"/>
        </w:rPr>
        <w:t>dispone</w:t>
      </w:r>
      <w:r w:rsidR="005078F6" w:rsidRPr="00B56DE1">
        <w:rPr>
          <w:lang w:val="es-ES"/>
        </w:rPr>
        <w:t xml:space="preserve"> que las inversiones distintas a las efectuadas en el BNS “se limitarán a fondos de inversión en el mercado monetario y a depósitos a plazo </w:t>
      </w:r>
      <w:r w:rsidR="004127DB">
        <w:rPr>
          <w:lang w:val="es-ES"/>
        </w:rPr>
        <w:t xml:space="preserve">fijo </w:t>
      </w:r>
      <w:r w:rsidR="005078F6" w:rsidRPr="00B56DE1">
        <w:rPr>
          <w:lang w:val="es-ES"/>
        </w:rPr>
        <w:t>efectuados en bancos que posean un</w:t>
      </w:r>
      <w:r w:rsidR="004127DB">
        <w:rPr>
          <w:lang w:val="es-ES"/>
        </w:rPr>
        <w:t xml:space="preserve"> nivel de solvencia </w:t>
      </w:r>
      <w:r w:rsidR="005078F6" w:rsidRPr="00B56DE1">
        <w:rPr>
          <w:lang w:val="es-ES"/>
        </w:rPr>
        <w:t>crediticia  AA-/Aa3 o superior…”.</w:t>
      </w:r>
    </w:p>
    <w:p w:rsidR="004D3AB3" w:rsidRPr="00B56DE1" w:rsidRDefault="004D3AB3" w:rsidP="000C631C">
      <w:pPr>
        <w:pStyle w:val="ListParagraph"/>
        <w:numPr>
          <w:ilvl w:val="0"/>
          <w:numId w:val="9"/>
        </w:numPr>
        <w:tabs>
          <w:tab w:val="clear" w:pos="851"/>
          <w:tab w:val="clear" w:pos="1134"/>
        </w:tabs>
        <w:spacing w:after="0"/>
        <w:ind w:left="0" w:firstLine="0"/>
        <w:rPr>
          <w:lang w:val="es-ES"/>
        </w:rPr>
      </w:pPr>
      <w:r w:rsidRPr="00B56DE1">
        <w:rPr>
          <w:lang w:val="es-ES"/>
        </w:rPr>
        <w:t>En el Cuadro 1, que aparece a continuación, se recogen los tipos de interés ofrecidos por el BNS desde enero de 2009 y se comparan con los tipos de</w:t>
      </w:r>
      <w:r w:rsidR="004127DB">
        <w:rPr>
          <w:lang w:val="es-ES"/>
        </w:rPr>
        <w:t xml:space="preserve"> interés por</w:t>
      </w:r>
      <w:r w:rsidRPr="00B56DE1">
        <w:rPr>
          <w:lang w:val="es-ES"/>
        </w:rPr>
        <w:t xml:space="preserve"> depósito</w:t>
      </w:r>
      <w:r w:rsidR="004127DB">
        <w:rPr>
          <w:lang w:val="es-ES"/>
        </w:rPr>
        <w:t>s</w:t>
      </w:r>
      <w:r w:rsidRPr="00B56DE1">
        <w:rPr>
          <w:lang w:val="es-ES"/>
        </w:rPr>
        <w:t xml:space="preserve"> a seis meses ofrecidos por Crédit Suisse</w:t>
      </w:r>
      <w:r w:rsidR="00FC01D6" w:rsidRPr="00B56DE1">
        <w:rPr>
          <w:lang w:val="es-ES"/>
        </w:rPr>
        <w:t xml:space="preserve"> (CS)</w:t>
      </w:r>
      <w:r w:rsidRPr="00B56DE1">
        <w:rPr>
          <w:lang w:val="es-ES"/>
        </w:rPr>
        <w:t xml:space="preserve"> (que tiene una calificación cre</w:t>
      </w:r>
      <w:r w:rsidR="00FC01D6" w:rsidRPr="00B56DE1">
        <w:rPr>
          <w:lang w:val="es-ES"/>
        </w:rPr>
        <w:t>diticia a largo plazo de A/A1).  Los tipos que ofrece CS son comparables a los ofrecidos por otros bancos en el mismo periodo.</w:t>
      </w:r>
    </w:p>
    <w:p w:rsidR="00255589" w:rsidRPr="00B56DE1" w:rsidRDefault="00255589" w:rsidP="00255589">
      <w:pPr>
        <w:pStyle w:val="ListParagraph"/>
        <w:numPr>
          <w:ilvl w:val="0"/>
          <w:numId w:val="0"/>
        </w:numPr>
        <w:tabs>
          <w:tab w:val="clear" w:pos="851"/>
          <w:tab w:val="clear" w:pos="1134"/>
        </w:tabs>
        <w:spacing w:after="0"/>
        <w:rPr>
          <w:lang w:val="es-ES"/>
        </w:rPr>
      </w:pPr>
    </w:p>
    <w:p w:rsidR="000C631C" w:rsidRPr="00B56DE1" w:rsidRDefault="000C631C" w:rsidP="00255589">
      <w:pPr>
        <w:pStyle w:val="ListParagraph"/>
        <w:keepNext/>
        <w:keepLines/>
        <w:numPr>
          <w:ilvl w:val="0"/>
          <w:numId w:val="0"/>
        </w:numPr>
        <w:tabs>
          <w:tab w:val="clear" w:pos="851"/>
          <w:tab w:val="clear" w:pos="1134"/>
        </w:tabs>
        <w:spacing w:before="0" w:after="0"/>
        <w:rPr>
          <w:lang w:val="es-ES"/>
        </w:rPr>
      </w:pPr>
    </w:p>
    <w:p w:rsidR="000C631C" w:rsidRPr="00B56DE1" w:rsidRDefault="00FC01D6" w:rsidP="00255589">
      <w:pPr>
        <w:pStyle w:val="ListParagraph"/>
        <w:keepNext/>
        <w:keepLines/>
        <w:numPr>
          <w:ilvl w:val="0"/>
          <w:numId w:val="0"/>
        </w:numPr>
        <w:tabs>
          <w:tab w:val="clear" w:pos="851"/>
          <w:tab w:val="clear" w:pos="1134"/>
          <w:tab w:val="left" w:pos="3261"/>
        </w:tabs>
        <w:spacing w:before="0" w:after="0"/>
        <w:jc w:val="center"/>
        <w:rPr>
          <w:lang w:val="es-ES"/>
        </w:rPr>
      </w:pPr>
      <w:r w:rsidRPr="00B56DE1">
        <w:rPr>
          <w:lang w:val="es-ES"/>
        </w:rPr>
        <w:t>Cuadro</w:t>
      </w:r>
      <w:r w:rsidR="000C631C" w:rsidRPr="00B56DE1">
        <w:rPr>
          <w:lang w:val="es-ES"/>
        </w:rPr>
        <w:t xml:space="preserve"> 1</w:t>
      </w:r>
    </w:p>
    <w:p w:rsidR="00255589" w:rsidRPr="00B56DE1" w:rsidRDefault="00255589" w:rsidP="00255589">
      <w:pPr>
        <w:pStyle w:val="ListParagraph"/>
        <w:keepNext/>
        <w:keepLines/>
        <w:numPr>
          <w:ilvl w:val="0"/>
          <w:numId w:val="0"/>
        </w:numPr>
        <w:tabs>
          <w:tab w:val="clear" w:pos="851"/>
          <w:tab w:val="clear" w:pos="1134"/>
          <w:tab w:val="left" w:pos="3261"/>
        </w:tabs>
        <w:spacing w:before="0" w:after="0"/>
        <w:rPr>
          <w:lang w:val="es-ES"/>
        </w:rPr>
      </w:pPr>
    </w:p>
    <w:p w:rsidR="000C631C" w:rsidRPr="00B56DE1" w:rsidRDefault="00255589" w:rsidP="00255589">
      <w:pPr>
        <w:pStyle w:val="ListParagraph"/>
        <w:numPr>
          <w:ilvl w:val="0"/>
          <w:numId w:val="0"/>
        </w:numPr>
        <w:tabs>
          <w:tab w:val="clear" w:pos="851"/>
          <w:tab w:val="clear" w:pos="1134"/>
          <w:tab w:val="left" w:pos="2410"/>
        </w:tabs>
        <w:spacing w:before="0" w:after="0"/>
        <w:jc w:val="center"/>
        <w:rPr>
          <w:szCs w:val="22"/>
          <w:lang w:val="es-ES"/>
        </w:rPr>
      </w:pPr>
      <w:r w:rsidRPr="00B56DE1">
        <w:rPr>
          <w:noProof/>
          <w:lang w:eastAsia="en-US"/>
        </w:rPr>
        <w:drawing>
          <wp:inline distT="0" distB="0" distL="0" distR="0" wp14:anchorId="2D075C29" wp14:editId="0E6758C1">
            <wp:extent cx="4591050" cy="481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4819650"/>
                    </a:xfrm>
                    <a:prstGeom prst="rect">
                      <a:avLst/>
                    </a:prstGeom>
                    <a:noFill/>
                    <a:ln>
                      <a:noFill/>
                    </a:ln>
                  </pic:spPr>
                </pic:pic>
              </a:graphicData>
            </a:graphic>
          </wp:inline>
        </w:drawing>
      </w:r>
    </w:p>
    <w:p w:rsidR="00255589" w:rsidRPr="00B56DE1" w:rsidRDefault="00255589" w:rsidP="00255589">
      <w:pPr>
        <w:pStyle w:val="ListParagraph"/>
        <w:numPr>
          <w:ilvl w:val="0"/>
          <w:numId w:val="0"/>
        </w:numPr>
        <w:tabs>
          <w:tab w:val="clear" w:pos="851"/>
          <w:tab w:val="clear" w:pos="1134"/>
        </w:tabs>
        <w:spacing w:before="0" w:after="0"/>
        <w:rPr>
          <w:lang w:val="es-ES"/>
        </w:rPr>
      </w:pPr>
    </w:p>
    <w:p w:rsidR="00E00E20" w:rsidRPr="00B56DE1" w:rsidRDefault="00E00E20" w:rsidP="000C631C">
      <w:pPr>
        <w:pStyle w:val="ListParagraph"/>
        <w:numPr>
          <w:ilvl w:val="0"/>
          <w:numId w:val="9"/>
        </w:numPr>
        <w:tabs>
          <w:tab w:val="clear" w:pos="851"/>
          <w:tab w:val="clear" w:pos="1134"/>
        </w:tabs>
        <w:spacing w:before="0" w:after="0"/>
        <w:ind w:left="0" w:firstLine="0"/>
        <w:rPr>
          <w:lang w:val="es-ES"/>
        </w:rPr>
      </w:pPr>
      <w:r w:rsidRPr="00B56DE1">
        <w:rPr>
          <w:lang w:val="es-ES"/>
        </w:rPr>
        <w:t xml:space="preserve">Como se ilustra en el cuadro, los tipos ofrecidos por el BNS han sido </w:t>
      </w:r>
      <w:r w:rsidR="004127DB">
        <w:rPr>
          <w:lang w:val="es-ES"/>
        </w:rPr>
        <w:t xml:space="preserve">sistemáticamente </w:t>
      </w:r>
      <w:r w:rsidR="00AF6AE8" w:rsidRPr="00B56DE1">
        <w:rPr>
          <w:lang w:val="es-ES"/>
        </w:rPr>
        <w:t>superiores a</w:t>
      </w:r>
      <w:r w:rsidRPr="00B56DE1">
        <w:rPr>
          <w:lang w:val="es-ES"/>
        </w:rPr>
        <w:t xml:space="preserve"> los ofrecidos por otras entidades.  Además, los bancos comerciales no sólo no han podido igualar </w:t>
      </w:r>
      <w:r w:rsidR="00AF6AE8" w:rsidRPr="00B56DE1">
        <w:rPr>
          <w:lang w:val="es-ES"/>
        </w:rPr>
        <w:t xml:space="preserve">el rendimiento </w:t>
      </w:r>
      <w:r w:rsidRPr="00B56DE1">
        <w:rPr>
          <w:lang w:val="es-ES"/>
        </w:rPr>
        <w:t xml:space="preserve">ofrecido por el BNS, sino que además aquellos bancos con los que la OMPI </w:t>
      </w:r>
      <w:r w:rsidR="005F74AD" w:rsidRPr="00B56DE1">
        <w:rPr>
          <w:lang w:val="es-ES"/>
        </w:rPr>
        <w:t>colabora</w:t>
      </w:r>
      <w:r w:rsidRPr="00B56DE1">
        <w:rPr>
          <w:lang w:val="es-ES"/>
        </w:rPr>
        <w:t xml:space="preserve"> no poseen la calificación</w:t>
      </w:r>
      <w:r w:rsidR="00B6146B" w:rsidRPr="00B56DE1">
        <w:rPr>
          <w:lang w:val="es-ES"/>
        </w:rPr>
        <w:t xml:space="preserve"> crediticia que se exige en la p</w:t>
      </w:r>
      <w:r w:rsidRPr="00B56DE1">
        <w:rPr>
          <w:lang w:val="es-ES"/>
        </w:rPr>
        <w:t>olítica de inversiones de la OMPI (véase el Cuadro 2).</w:t>
      </w:r>
    </w:p>
    <w:p w:rsidR="00255589" w:rsidRPr="00B56DE1" w:rsidRDefault="00255589" w:rsidP="00255589">
      <w:pPr>
        <w:pStyle w:val="ListParagraph"/>
        <w:numPr>
          <w:ilvl w:val="0"/>
          <w:numId w:val="0"/>
        </w:numPr>
        <w:tabs>
          <w:tab w:val="clear" w:pos="851"/>
          <w:tab w:val="clear" w:pos="1134"/>
        </w:tabs>
        <w:spacing w:before="0" w:after="0"/>
        <w:rPr>
          <w:szCs w:val="22"/>
          <w:lang w:val="es-ES"/>
        </w:rPr>
      </w:pPr>
    </w:p>
    <w:p w:rsidR="000C631C" w:rsidRPr="00B56DE1" w:rsidRDefault="000C631C" w:rsidP="00255589">
      <w:pPr>
        <w:pStyle w:val="ListParagraph"/>
        <w:keepNext/>
        <w:keepLines/>
        <w:numPr>
          <w:ilvl w:val="0"/>
          <w:numId w:val="0"/>
        </w:numPr>
        <w:tabs>
          <w:tab w:val="clear" w:pos="851"/>
          <w:tab w:val="clear" w:pos="1134"/>
        </w:tabs>
        <w:spacing w:before="0" w:after="0"/>
        <w:rPr>
          <w:szCs w:val="22"/>
          <w:lang w:val="es-ES"/>
        </w:rPr>
      </w:pPr>
    </w:p>
    <w:p w:rsidR="000C631C" w:rsidRPr="00B56DE1" w:rsidRDefault="00E00E20" w:rsidP="00255589">
      <w:pPr>
        <w:pStyle w:val="ListParagraph"/>
        <w:keepNext/>
        <w:keepLines/>
        <w:numPr>
          <w:ilvl w:val="0"/>
          <w:numId w:val="0"/>
        </w:numPr>
        <w:tabs>
          <w:tab w:val="clear" w:pos="851"/>
          <w:tab w:val="clear" w:pos="1134"/>
          <w:tab w:val="left" w:pos="3969"/>
        </w:tabs>
        <w:spacing w:before="0" w:after="0"/>
        <w:jc w:val="center"/>
        <w:rPr>
          <w:szCs w:val="22"/>
          <w:lang w:val="es-ES"/>
        </w:rPr>
      </w:pPr>
      <w:r w:rsidRPr="00B56DE1">
        <w:rPr>
          <w:szCs w:val="22"/>
          <w:lang w:val="es-ES"/>
        </w:rPr>
        <w:t>Cuadro</w:t>
      </w:r>
      <w:r w:rsidR="000C631C" w:rsidRPr="00B56DE1">
        <w:rPr>
          <w:szCs w:val="22"/>
          <w:lang w:val="es-ES"/>
        </w:rPr>
        <w:t xml:space="preserve"> 2</w:t>
      </w:r>
    </w:p>
    <w:p w:rsidR="000C631C" w:rsidRPr="00B56DE1" w:rsidRDefault="000C631C" w:rsidP="00255589">
      <w:pPr>
        <w:pStyle w:val="ListParagraph"/>
        <w:keepNext/>
        <w:keepLines/>
        <w:numPr>
          <w:ilvl w:val="0"/>
          <w:numId w:val="0"/>
        </w:numPr>
        <w:tabs>
          <w:tab w:val="clear" w:pos="851"/>
          <w:tab w:val="clear" w:pos="1134"/>
          <w:tab w:val="left" w:pos="3261"/>
        </w:tabs>
        <w:spacing w:before="0" w:after="0"/>
        <w:rPr>
          <w:szCs w:val="22"/>
          <w:lang w:val="es-ES"/>
        </w:rPr>
      </w:pPr>
    </w:p>
    <w:p w:rsidR="000C631C" w:rsidRPr="00B56DE1" w:rsidRDefault="004127DB" w:rsidP="00255589">
      <w:pPr>
        <w:pStyle w:val="ListparagraphII"/>
        <w:keepNext/>
        <w:keepLines/>
        <w:numPr>
          <w:ilvl w:val="0"/>
          <w:numId w:val="0"/>
        </w:numPr>
        <w:tabs>
          <w:tab w:val="clear" w:pos="851"/>
          <w:tab w:val="clear" w:pos="1134"/>
        </w:tabs>
        <w:jc w:val="center"/>
        <w:rPr>
          <w:szCs w:val="22"/>
          <w:lang w:val="es-ES"/>
        </w:rPr>
      </w:pPr>
      <w:r w:rsidRPr="004127DB">
        <w:rPr>
          <w:noProof/>
          <w:lang w:eastAsia="en-US"/>
        </w:rPr>
        <w:drawing>
          <wp:inline distT="0" distB="0" distL="0" distR="0">
            <wp:extent cx="4391025" cy="414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4143375"/>
                    </a:xfrm>
                    <a:prstGeom prst="rect">
                      <a:avLst/>
                    </a:prstGeom>
                    <a:noFill/>
                    <a:ln>
                      <a:noFill/>
                    </a:ln>
                  </pic:spPr>
                </pic:pic>
              </a:graphicData>
            </a:graphic>
          </wp:inline>
        </w:drawing>
      </w:r>
    </w:p>
    <w:p w:rsidR="000C631C" w:rsidRPr="00B56DE1" w:rsidRDefault="000C631C" w:rsidP="00255589">
      <w:pPr>
        <w:pStyle w:val="ListparagraphII"/>
        <w:numPr>
          <w:ilvl w:val="0"/>
          <w:numId w:val="0"/>
        </w:numPr>
        <w:tabs>
          <w:tab w:val="clear" w:pos="851"/>
          <w:tab w:val="clear" w:pos="1134"/>
        </w:tabs>
        <w:rPr>
          <w:lang w:val="es-ES"/>
        </w:rPr>
      </w:pPr>
    </w:p>
    <w:p w:rsidR="000C631C" w:rsidRPr="00B56DE1" w:rsidRDefault="00392FA3" w:rsidP="005467C1">
      <w:pPr>
        <w:pStyle w:val="ListParagraph"/>
        <w:numPr>
          <w:ilvl w:val="0"/>
          <w:numId w:val="9"/>
        </w:numPr>
        <w:tabs>
          <w:tab w:val="clear" w:pos="851"/>
          <w:tab w:val="clear" w:pos="1134"/>
        </w:tabs>
        <w:spacing w:after="240"/>
        <w:ind w:left="0" w:firstLine="0"/>
        <w:rPr>
          <w:lang w:val="es-ES"/>
        </w:rPr>
      </w:pPr>
      <w:r w:rsidRPr="00B56DE1">
        <w:rPr>
          <w:lang w:val="es-ES"/>
        </w:rPr>
        <w:t xml:space="preserve">Una </w:t>
      </w:r>
      <w:r w:rsidR="00AF6AE8" w:rsidRPr="00B56DE1">
        <w:rPr>
          <w:lang w:val="es-ES"/>
        </w:rPr>
        <w:t xml:space="preserve">posible </w:t>
      </w:r>
      <w:r w:rsidRPr="00B56DE1">
        <w:rPr>
          <w:lang w:val="es-ES"/>
        </w:rPr>
        <w:t xml:space="preserve">solución </w:t>
      </w:r>
      <w:r w:rsidR="005F74AD" w:rsidRPr="00B56DE1">
        <w:rPr>
          <w:lang w:val="es-ES"/>
        </w:rPr>
        <w:t>sería</w:t>
      </w:r>
      <w:r w:rsidRPr="00B56DE1">
        <w:rPr>
          <w:lang w:val="es-ES"/>
        </w:rPr>
        <w:t xml:space="preserve"> </w:t>
      </w:r>
      <w:r w:rsidR="005F74AD" w:rsidRPr="00B56DE1">
        <w:rPr>
          <w:lang w:val="es-ES"/>
        </w:rPr>
        <w:t>colaborar con otros bancos que sí cumple</w:t>
      </w:r>
      <w:r w:rsidRPr="00B56DE1">
        <w:rPr>
          <w:lang w:val="es-ES"/>
        </w:rPr>
        <w:t xml:space="preserve">n los criterios </w:t>
      </w:r>
      <w:r w:rsidR="00AF6AE8" w:rsidRPr="00B56DE1">
        <w:rPr>
          <w:lang w:val="es-ES"/>
        </w:rPr>
        <w:t>de calificación crediticia exigidos.</w:t>
      </w:r>
      <w:r w:rsidRPr="00B56DE1">
        <w:rPr>
          <w:lang w:val="es-ES"/>
        </w:rPr>
        <w:t xml:space="preserve">  En este sentido</w:t>
      </w:r>
      <w:r w:rsidR="00AF6AE8" w:rsidRPr="00B56DE1">
        <w:rPr>
          <w:lang w:val="es-ES"/>
        </w:rPr>
        <w:t>,</w:t>
      </w:r>
      <w:r w:rsidRPr="00B56DE1">
        <w:rPr>
          <w:lang w:val="es-ES"/>
        </w:rPr>
        <w:t xml:space="preserve"> resulta útil e</w:t>
      </w:r>
      <w:r w:rsidR="00AF6AE8" w:rsidRPr="00B56DE1">
        <w:rPr>
          <w:lang w:val="es-ES"/>
        </w:rPr>
        <w:t>xaminar</w:t>
      </w:r>
      <w:r w:rsidRPr="00B56DE1">
        <w:rPr>
          <w:lang w:val="es-ES"/>
        </w:rPr>
        <w:t xml:space="preserve"> las experiencias de otros organismos y organizaciones.  Debido a que la mayoría de </w:t>
      </w:r>
      <w:r w:rsidR="00AF6AE8" w:rsidRPr="00B56DE1">
        <w:rPr>
          <w:lang w:val="es-ES"/>
        </w:rPr>
        <w:t xml:space="preserve">organismos de las Naciones Unidas (NN.UU.) efectúan </w:t>
      </w:r>
      <w:r w:rsidRPr="00B56DE1">
        <w:rPr>
          <w:lang w:val="es-ES"/>
        </w:rPr>
        <w:t xml:space="preserve">sus operaciones en dólares estadounidenses o </w:t>
      </w:r>
      <w:r w:rsidR="00AF6AE8" w:rsidRPr="00B56DE1">
        <w:rPr>
          <w:lang w:val="es-ES"/>
        </w:rPr>
        <w:t xml:space="preserve">en </w:t>
      </w:r>
      <w:r w:rsidRPr="00B56DE1">
        <w:rPr>
          <w:lang w:val="es-ES"/>
        </w:rPr>
        <w:t xml:space="preserve">euros, son pocos los organismos especializados que disponen de superávit en francos suizos para invertir.  Sin embargo, después de haber consultado con dos organismos que </w:t>
      </w:r>
      <w:r w:rsidR="00AF6AE8" w:rsidRPr="00B56DE1">
        <w:rPr>
          <w:lang w:val="es-ES"/>
        </w:rPr>
        <w:t>efectúan</w:t>
      </w:r>
      <w:r w:rsidRPr="00B56DE1">
        <w:rPr>
          <w:lang w:val="es-ES"/>
        </w:rPr>
        <w:t xml:space="preserve"> sus operaciones y sus inversiones en francos suizos, </w:t>
      </w:r>
      <w:r w:rsidR="00AF6AE8" w:rsidRPr="00B56DE1">
        <w:rPr>
          <w:lang w:val="es-ES"/>
        </w:rPr>
        <w:t xml:space="preserve">la Organización Meteorológica Mundial (OMM) y </w:t>
      </w:r>
      <w:r w:rsidRPr="00B56DE1">
        <w:rPr>
          <w:lang w:val="es-ES"/>
        </w:rPr>
        <w:t>la Organización I</w:t>
      </w:r>
      <w:r w:rsidR="00AF6AE8" w:rsidRPr="00B56DE1">
        <w:rPr>
          <w:lang w:val="es-ES"/>
        </w:rPr>
        <w:t>nternacional del Trabajo (OIT),</w:t>
      </w:r>
      <w:r w:rsidRPr="00B56DE1">
        <w:rPr>
          <w:lang w:val="es-ES"/>
        </w:rPr>
        <w:t xml:space="preserve"> se observa que muy pocas instituciones financieras están dispuestas hoy por hoy a aceptar y remunerar depósitos en francos suizos y las que sí lo están tienen su sede en</w:t>
      </w:r>
      <w:r w:rsidR="00AF6AE8" w:rsidRPr="00B56DE1">
        <w:rPr>
          <w:lang w:val="es-ES"/>
        </w:rPr>
        <w:t xml:space="preserve"> Suiza.  En el Anexo II aparece información detallada</w:t>
      </w:r>
      <w:r w:rsidRPr="00B56DE1">
        <w:rPr>
          <w:lang w:val="es-ES"/>
        </w:rPr>
        <w:t xml:space="preserve"> acerca de</w:t>
      </w:r>
      <w:r w:rsidR="00AF6AE8" w:rsidRPr="00B56DE1">
        <w:rPr>
          <w:lang w:val="es-ES"/>
        </w:rPr>
        <w:t xml:space="preserve">l rendimiento que han obtenido recientemente la OMM y la OIT y </w:t>
      </w:r>
      <w:r w:rsidRPr="00B56DE1">
        <w:rPr>
          <w:lang w:val="es-ES"/>
        </w:rPr>
        <w:t>otras dos organizaciones que realizan inversiones en francos suizos, la Organización Mundial del Comercio (OMC) y La Mutuelle (</w:t>
      </w:r>
      <w:r w:rsidR="00ED1567" w:rsidRPr="00B56DE1">
        <w:rPr>
          <w:lang w:val="es-ES"/>
        </w:rPr>
        <w:t>un fondo sin fines de lucro que fue establecido para promover la asistencia mutua entre los miembros del p</w:t>
      </w:r>
      <w:r w:rsidR="00AF6AE8" w:rsidRPr="00B56DE1">
        <w:rPr>
          <w:lang w:val="es-ES"/>
        </w:rPr>
        <w:t>ersonal de las NN.UU.</w:t>
      </w:r>
      <w:r w:rsidR="00ED1567" w:rsidRPr="00B56DE1">
        <w:rPr>
          <w:lang w:val="es-ES"/>
        </w:rPr>
        <w:t xml:space="preserve"> y sus organismos en Ginebra).  </w:t>
      </w:r>
      <w:r w:rsidR="00AF6AE8" w:rsidRPr="00B56DE1">
        <w:rPr>
          <w:lang w:val="es-ES"/>
        </w:rPr>
        <w:t>El rendimiento</w:t>
      </w:r>
      <w:r w:rsidR="00ED1567" w:rsidRPr="00B56DE1">
        <w:rPr>
          <w:lang w:val="es-ES"/>
        </w:rPr>
        <w:t xml:space="preserve"> procedente de los depósitos se ha obtenido en bancos comerciales como UBS, Crédit Suisse y BCGE y en Correos de Suiza.  Desde </w:t>
      </w:r>
      <w:r w:rsidR="00AF6AE8" w:rsidRPr="00B56DE1">
        <w:rPr>
          <w:lang w:val="es-ES"/>
        </w:rPr>
        <w:t xml:space="preserve">la OMM y la OIT </w:t>
      </w:r>
      <w:r w:rsidR="00ED1567" w:rsidRPr="00B56DE1">
        <w:rPr>
          <w:lang w:val="es-ES"/>
        </w:rPr>
        <w:t>se informa de que</w:t>
      </w:r>
      <w:r w:rsidR="00AF6AE8" w:rsidRPr="00B56DE1">
        <w:rPr>
          <w:lang w:val="es-ES"/>
        </w:rPr>
        <w:t xml:space="preserve"> se</w:t>
      </w:r>
      <w:r w:rsidR="00ED1567" w:rsidRPr="00B56DE1">
        <w:rPr>
          <w:lang w:val="es-ES"/>
        </w:rPr>
        <w:t xml:space="preserve"> han intentado realizar inversiones en bancos extranjeros</w:t>
      </w:r>
      <w:r w:rsidR="00AF6AE8" w:rsidRPr="00B56DE1">
        <w:rPr>
          <w:lang w:val="es-ES"/>
        </w:rPr>
        <w:t>,</w:t>
      </w:r>
      <w:r w:rsidRPr="00B56DE1">
        <w:rPr>
          <w:lang w:val="es-ES"/>
        </w:rPr>
        <w:t xml:space="preserve"> </w:t>
      </w:r>
      <w:r w:rsidR="00ED1567" w:rsidRPr="00B56DE1">
        <w:rPr>
          <w:lang w:val="es-ES"/>
        </w:rPr>
        <w:t xml:space="preserve">sin éxito.  Por ejemplo, la OMM, en su intento por diversificar los riesgos, ha </w:t>
      </w:r>
      <w:r w:rsidR="00AF6AE8" w:rsidRPr="00B56DE1">
        <w:rPr>
          <w:lang w:val="es-ES"/>
        </w:rPr>
        <w:t>logrado</w:t>
      </w:r>
      <w:r w:rsidR="00ED1567" w:rsidRPr="00B56DE1">
        <w:rPr>
          <w:lang w:val="es-ES"/>
        </w:rPr>
        <w:t xml:space="preserve"> colocar fondos en Standard Chartered</w:t>
      </w:r>
      <w:r w:rsidR="00AF6AE8" w:rsidRPr="00B56DE1">
        <w:rPr>
          <w:lang w:val="es-ES"/>
        </w:rPr>
        <w:t>,</w:t>
      </w:r>
      <w:r w:rsidR="00ED1567" w:rsidRPr="00B56DE1">
        <w:rPr>
          <w:lang w:val="es-ES"/>
        </w:rPr>
        <w:t xml:space="preserve"> del Reino Unido, pero </w:t>
      </w:r>
      <w:r w:rsidR="00AF6AE8" w:rsidRPr="00B56DE1">
        <w:rPr>
          <w:lang w:val="es-ES"/>
        </w:rPr>
        <w:t>no devenga</w:t>
      </w:r>
      <w:r w:rsidR="004127DB">
        <w:rPr>
          <w:lang w:val="es-ES"/>
        </w:rPr>
        <w:t>n</w:t>
      </w:r>
      <w:r w:rsidR="00AF6AE8" w:rsidRPr="00B56DE1">
        <w:rPr>
          <w:lang w:val="es-ES"/>
        </w:rPr>
        <w:t xml:space="preserve"> intereses.</w:t>
      </w:r>
    </w:p>
    <w:p w:rsidR="005467C1" w:rsidRPr="00B56DE1" w:rsidRDefault="005467C1" w:rsidP="000C631C">
      <w:pPr>
        <w:pStyle w:val="ListParagraph"/>
        <w:numPr>
          <w:ilvl w:val="0"/>
          <w:numId w:val="9"/>
        </w:numPr>
        <w:tabs>
          <w:tab w:val="clear" w:pos="851"/>
          <w:tab w:val="clear" w:pos="1134"/>
        </w:tabs>
        <w:spacing w:after="240"/>
        <w:ind w:left="0" w:firstLine="0"/>
        <w:rPr>
          <w:lang w:val="es-ES"/>
        </w:rPr>
      </w:pPr>
      <w:r w:rsidRPr="00B56DE1">
        <w:rPr>
          <w:lang w:val="es-ES"/>
        </w:rPr>
        <w:t xml:space="preserve">Si la OMPI desea devengar intereses de sus depósitos, aunque sea </w:t>
      </w:r>
      <w:r w:rsidR="00914C07" w:rsidRPr="00B56DE1">
        <w:rPr>
          <w:lang w:val="es-ES"/>
        </w:rPr>
        <w:t>a</w:t>
      </w:r>
      <w:r w:rsidRPr="00B56DE1">
        <w:rPr>
          <w:lang w:val="es-ES"/>
        </w:rPr>
        <w:t xml:space="preserve"> los bajos tipos disponibles en la actualidad, parece que no queda más opción que depositar </w:t>
      </w:r>
      <w:r w:rsidR="00914C07" w:rsidRPr="00B56DE1">
        <w:rPr>
          <w:lang w:val="es-ES"/>
        </w:rPr>
        <w:t>el dinero en</w:t>
      </w:r>
      <w:r w:rsidRPr="00B56DE1">
        <w:rPr>
          <w:lang w:val="es-ES"/>
        </w:rPr>
        <w:t xml:space="preserve"> bancos comerciales suizos y, para </w:t>
      </w:r>
      <w:r w:rsidR="00914C07" w:rsidRPr="00B56DE1">
        <w:rPr>
          <w:lang w:val="es-ES"/>
        </w:rPr>
        <w:t>eso,</w:t>
      </w:r>
      <w:r w:rsidRPr="00B56DE1">
        <w:rPr>
          <w:lang w:val="es-ES"/>
        </w:rPr>
        <w:t xml:space="preserve"> se impondrá rebajar las calificaciones crediticias </w:t>
      </w:r>
      <w:r w:rsidR="005F74AD" w:rsidRPr="00B56DE1">
        <w:rPr>
          <w:lang w:val="es-ES"/>
        </w:rPr>
        <w:t>que se estipulan en la política de inversiones</w:t>
      </w:r>
      <w:r w:rsidRPr="00B56DE1">
        <w:rPr>
          <w:lang w:val="es-ES"/>
        </w:rPr>
        <w:t xml:space="preserve">.  </w:t>
      </w:r>
      <w:r w:rsidR="00800EE1" w:rsidRPr="00B56DE1">
        <w:rPr>
          <w:lang w:val="es-ES"/>
        </w:rPr>
        <w:t xml:space="preserve">También </w:t>
      </w:r>
      <w:r w:rsidR="005F74AD" w:rsidRPr="00B56DE1">
        <w:rPr>
          <w:lang w:val="es-ES"/>
        </w:rPr>
        <w:t>se podría</w:t>
      </w:r>
      <w:r w:rsidR="00800EE1" w:rsidRPr="00B56DE1">
        <w:rPr>
          <w:lang w:val="es-ES"/>
        </w:rPr>
        <w:t xml:space="preserve"> depositar el dinero en Correos de Suiza (Swiss Post Finance AG), que cuenta con la calificación A+ (según Standard and Poor’s) y el respaldo de la Confederación Suiza.  Sin embargo, esta instit</w:t>
      </w:r>
      <w:r w:rsidR="00914C07" w:rsidRPr="00B56DE1">
        <w:rPr>
          <w:lang w:val="es-ES"/>
        </w:rPr>
        <w:t>ución fija un tope máximo en las</w:t>
      </w:r>
      <w:r w:rsidR="00800EE1" w:rsidRPr="00B56DE1">
        <w:rPr>
          <w:lang w:val="es-ES"/>
        </w:rPr>
        <w:t xml:space="preserve"> cuantías en depósito que acepta (en el Anexo I aparece</w:t>
      </w:r>
      <w:r w:rsidR="00914C07" w:rsidRPr="00B56DE1">
        <w:rPr>
          <w:lang w:val="es-ES"/>
        </w:rPr>
        <w:t xml:space="preserve"> información detallada</w:t>
      </w:r>
      <w:r w:rsidR="00800EE1" w:rsidRPr="00B56DE1">
        <w:rPr>
          <w:lang w:val="es-ES"/>
        </w:rPr>
        <w:t xml:space="preserve"> acerca de los límites impuestos a la OIT y</w:t>
      </w:r>
      <w:r w:rsidR="00AB3780" w:rsidRPr="00B56DE1">
        <w:rPr>
          <w:lang w:val="es-ES"/>
        </w:rPr>
        <w:t xml:space="preserve"> a</w:t>
      </w:r>
      <w:r w:rsidR="00800EE1" w:rsidRPr="00B56DE1">
        <w:rPr>
          <w:lang w:val="es-ES"/>
        </w:rPr>
        <w:t xml:space="preserve"> la OMM).  Asimismo, será </w:t>
      </w:r>
      <w:r w:rsidR="00914C07" w:rsidRPr="00B56DE1">
        <w:rPr>
          <w:lang w:val="es-ES"/>
        </w:rPr>
        <w:t>necesario</w:t>
      </w:r>
      <w:r w:rsidR="00800EE1" w:rsidRPr="00B56DE1">
        <w:rPr>
          <w:lang w:val="es-ES"/>
        </w:rPr>
        <w:t xml:space="preserve"> </w:t>
      </w:r>
      <w:r w:rsidR="00914C07" w:rsidRPr="00B56DE1">
        <w:rPr>
          <w:lang w:val="es-ES"/>
        </w:rPr>
        <w:t xml:space="preserve">rebajar las </w:t>
      </w:r>
      <w:r w:rsidR="00800EE1" w:rsidRPr="00B56DE1">
        <w:rPr>
          <w:lang w:val="es-ES"/>
        </w:rPr>
        <w:t xml:space="preserve">calificaciones </w:t>
      </w:r>
      <w:r w:rsidR="00914C07" w:rsidRPr="00B56DE1">
        <w:rPr>
          <w:lang w:val="es-ES"/>
        </w:rPr>
        <w:t>exigidas</w:t>
      </w:r>
      <w:r w:rsidR="00800EE1" w:rsidRPr="00B56DE1">
        <w:rPr>
          <w:lang w:val="es-ES"/>
        </w:rPr>
        <w:t xml:space="preserve"> si se </w:t>
      </w:r>
      <w:r w:rsidR="00914C07" w:rsidRPr="00B56DE1">
        <w:rPr>
          <w:lang w:val="es-ES"/>
        </w:rPr>
        <w:t>quiere</w:t>
      </w:r>
      <w:r w:rsidR="00800EE1" w:rsidRPr="00B56DE1">
        <w:rPr>
          <w:lang w:val="es-ES"/>
        </w:rPr>
        <w:t xml:space="preserve"> depositar </w:t>
      </w:r>
      <w:r w:rsidR="004127DB">
        <w:rPr>
          <w:lang w:val="es-ES"/>
        </w:rPr>
        <w:t>suma</w:t>
      </w:r>
      <w:r w:rsidR="00914C07" w:rsidRPr="00B56DE1">
        <w:rPr>
          <w:lang w:val="es-ES"/>
        </w:rPr>
        <w:t xml:space="preserve">s </w:t>
      </w:r>
      <w:r w:rsidR="004127DB">
        <w:rPr>
          <w:lang w:val="es-ES"/>
        </w:rPr>
        <w:t>procedentes de</w:t>
      </w:r>
      <w:r w:rsidR="00800EE1" w:rsidRPr="00B56DE1">
        <w:rPr>
          <w:lang w:val="es-ES"/>
        </w:rPr>
        <w:t xml:space="preserve"> los</w:t>
      </w:r>
      <w:r w:rsidR="00914C07" w:rsidRPr="00B56DE1">
        <w:rPr>
          <w:lang w:val="es-ES"/>
        </w:rPr>
        <w:t xml:space="preserve"> fondos fiduciarios </w:t>
      </w:r>
      <w:r w:rsidR="004127DB">
        <w:rPr>
          <w:lang w:val="es-ES"/>
        </w:rPr>
        <w:t>con rentabilidad</w:t>
      </w:r>
      <w:r w:rsidR="00800EE1" w:rsidRPr="00B56DE1">
        <w:rPr>
          <w:lang w:val="es-ES"/>
        </w:rPr>
        <w:t>.</w:t>
      </w:r>
    </w:p>
    <w:p w:rsidR="00F657F0" w:rsidRPr="00B56DE1" w:rsidRDefault="00F657F0" w:rsidP="00F657F0">
      <w:pPr>
        <w:pStyle w:val="ListParagraph"/>
        <w:numPr>
          <w:ilvl w:val="0"/>
          <w:numId w:val="9"/>
        </w:numPr>
        <w:tabs>
          <w:tab w:val="clear" w:pos="851"/>
          <w:tab w:val="clear" w:pos="1134"/>
        </w:tabs>
        <w:spacing w:after="240"/>
        <w:ind w:left="0" w:firstLine="0"/>
        <w:rPr>
          <w:lang w:val="es-ES"/>
        </w:rPr>
      </w:pPr>
      <w:r w:rsidRPr="00B56DE1">
        <w:rPr>
          <w:lang w:val="es-ES"/>
        </w:rPr>
        <w:t>Por ende, se propone rebajar las calificaciones crediticias a largo plazo aceptables e incluir sus equivalentes a corto plazo, en la forma en que se muestra a continuación:</w:t>
      </w:r>
    </w:p>
    <w:p w:rsidR="000C631C" w:rsidRPr="00B56DE1" w:rsidRDefault="00F657F0" w:rsidP="000C631C">
      <w:pPr>
        <w:ind w:firstLine="567"/>
        <w:jc w:val="center"/>
      </w:pPr>
      <w:r w:rsidRPr="00B56DE1">
        <w:t>Cuadro</w:t>
      </w:r>
      <w:r w:rsidR="000C631C" w:rsidRPr="00B56DE1">
        <w:t xml:space="preserve"> 3</w:t>
      </w:r>
    </w:p>
    <w:p w:rsidR="000C631C" w:rsidRPr="00B56DE1" w:rsidRDefault="000C631C" w:rsidP="000C631C">
      <w:pPr>
        <w:ind w:firstLine="567"/>
        <w:jc w:val="center"/>
        <w:rPr>
          <w:u w:val="single"/>
        </w:rPr>
      </w:pPr>
    </w:p>
    <w:p w:rsidR="000C631C" w:rsidRPr="00B56DE1" w:rsidRDefault="001607E5" w:rsidP="001607E5">
      <w:pPr>
        <w:jc w:val="center"/>
        <w:rPr>
          <w:i/>
        </w:rPr>
      </w:pPr>
      <w:r w:rsidRPr="00B56DE1">
        <w:rPr>
          <w:noProof/>
          <w:lang w:val="en-US" w:eastAsia="en-US"/>
        </w:rPr>
        <w:drawing>
          <wp:inline distT="0" distB="0" distL="0" distR="0" wp14:anchorId="1AFE009C" wp14:editId="1D6A2DA0">
            <wp:extent cx="3590925" cy="1162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1162050"/>
                    </a:xfrm>
                    <a:prstGeom prst="rect">
                      <a:avLst/>
                    </a:prstGeom>
                    <a:noFill/>
                    <a:ln>
                      <a:noFill/>
                    </a:ln>
                  </pic:spPr>
                </pic:pic>
              </a:graphicData>
            </a:graphic>
          </wp:inline>
        </w:drawing>
      </w:r>
    </w:p>
    <w:p w:rsidR="000C631C" w:rsidRPr="00B56DE1" w:rsidRDefault="000C631C" w:rsidP="000C631C"/>
    <w:p w:rsidR="009B6983" w:rsidRPr="00B56DE1" w:rsidRDefault="009B6983" w:rsidP="000C631C">
      <w:pPr>
        <w:pStyle w:val="ListParagraph"/>
        <w:numPr>
          <w:ilvl w:val="0"/>
          <w:numId w:val="9"/>
        </w:numPr>
        <w:tabs>
          <w:tab w:val="clear" w:pos="851"/>
          <w:tab w:val="clear" w:pos="1134"/>
        </w:tabs>
        <w:spacing w:after="240"/>
        <w:ind w:left="0" w:firstLine="0"/>
        <w:rPr>
          <w:lang w:val="es-ES"/>
        </w:rPr>
      </w:pPr>
      <w:r w:rsidRPr="00B56DE1">
        <w:rPr>
          <w:lang w:val="es-ES"/>
        </w:rPr>
        <w:t xml:space="preserve">Para que </w:t>
      </w:r>
      <w:r w:rsidR="00612E33" w:rsidRPr="00B56DE1">
        <w:rPr>
          <w:lang w:val="es-ES"/>
        </w:rPr>
        <w:t xml:space="preserve">ello </w:t>
      </w:r>
      <w:r w:rsidR="0066659D" w:rsidRPr="00B56DE1">
        <w:rPr>
          <w:lang w:val="es-ES"/>
        </w:rPr>
        <w:t>pueda aceptarse</w:t>
      </w:r>
      <w:r w:rsidR="00612E33" w:rsidRPr="00B56DE1">
        <w:rPr>
          <w:lang w:val="es-ES"/>
        </w:rPr>
        <w:t>, las entidades</w:t>
      </w:r>
      <w:r w:rsidRPr="00B56DE1">
        <w:rPr>
          <w:lang w:val="es-ES"/>
        </w:rPr>
        <w:t xml:space="preserve"> financieras </w:t>
      </w:r>
      <w:r w:rsidR="0066659D" w:rsidRPr="00B56DE1">
        <w:rPr>
          <w:lang w:val="es-ES"/>
        </w:rPr>
        <w:t>deberá</w:t>
      </w:r>
      <w:r w:rsidRPr="00B56DE1">
        <w:rPr>
          <w:lang w:val="es-ES"/>
        </w:rPr>
        <w:t xml:space="preserve">n </w:t>
      </w:r>
      <w:r w:rsidR="00612E33" w:rsidRPr="00B56DE1">
        <w:rPr>
          <w:lang w:val="es-ES"/>
        </w:rPr>
        <w:t>haber obtenido</w:t>
      </w:r>
      <w:r w:rsidRPr="00B56DE1">
        <w:rPr>
          <w:lang w:val="es-ES"/>
        </w:rPr>
        <w:t xml:space="preserve"> las dos calificaciones es</w:t>
      </w:r>
      <w:r w:rsidR="004C3FFF" w:rsidRPr="00B56DE1">
        <w:rPr>
          <w:lang w:val="es-ES"/>
        </w:rPr>
        <w:t>tipuladas (</w:t>
      </w:r>
      <w:r w:rsidR="00612E33" w:rsidRPr="00B56DE1">
        <w:rPr>
          <w:lang w:val="es-ES"/>
        </w:rPr>
        <w:t>ya sea a largo plazo o</w:t>
      </w:r>
      <w:r w:rsidR="004C3FFF" w:rsidRPr="00B56DE1">
        <w:rPr>
          <w:lang w:val="es-ES"/>
        </w:rPr>
        <w:t xml:space="preserve"> a corto plazo), lo que implicaría que sólo podrían realizarse inversiones a largo plazo en instituciones que tengan una calificación mínima de A y de A2.</w:t>
      </w:r>
    </w:p>
    <w:p w:rsidR="00AC29F4" w:rsidRPr="00B56DE1" w:rsidRDefault="00AC29F4" w:rsidP="00AC29F4">
      <w:pPr>
        <w:pStyle w:val="ListParagraph"/>
        <w:numPr>
          <w:ilvl w:val="0"/>
          <w:numId w:val="9"/>
        </w:numPr>
        <w:tabs>
          <w:tab w:val="clear" w:pos="851"/>
          <w:tab w:val="clear" w:pos="1134"/>
        </w:tabs>
        <w:spacing w:after="240"/>
        <w:ind w:left="0" w:firstLine="0"/>
        <w:rPr>
          <w:lang w:val="es-ES"/>
        </w:rPr>
      </w:pPr>
      <w:r w:rsidRPr="00B56DE1">
        <w:rPr>
          <w:lang w:val="es-ES"/>
        </w:rPr>
        <w:t xml:space="preserve">Se propone incluir las calificaciones a corto plazo por dos motivos:  1) esas calificaciones </w:t>
      </w:r>
      <w:r w:rsidR="004127DB">
        <w:rPr>
          <w:lang w:val="es-ES"/>
        </w:rPr>
        <w:t xml:space="preserve">son indicadoras de </w:t>
      </w:r>
      <w:r w:rsidRPr="00B56DE1">
        <w:rPr>
          <w:lang w:val="es-ES"/>
        </w:rPr>
        <w:t>la probabilidad de i</w:t>
      </w:r>
      <w:r w:rsidR="004127DB">
        <w:rPr>
          <w:lang w:val="es-ES"/>
        </w:rPr>
        <w:t>ncumplimiento</w:t>
      </w:r>
      <w:r w:rsidRPr="00B56DE1">
        <w:rPr>
          <w:lang w:val="es-ES"/>
        </w:rPr>
        <w:t xml:space="preserve"> en el plazo de un año y, habida cuenta de que actualmente todos los depósitos de la OMPI se </w:t>
      </w:r>
      <w:r w:rsidR="00612E33" w:rsidRPr="00B56DE1">
        <w:rPr>
          <w:lang w:val="es-ES"/>
        </w:rPr>
        <w:t>efectúan</w:t>
      </w:r>
      <w:r w:rsidRPr="00B56DE1">
        <w:rPr>
          <w:lang w:val="es-ES"/>
        </w:rPr>
        <w:t xml:space="preserve"> por períodos inferiores a 12 meses, resultaría adecuado emplear las calificaciones crediticias a corto plazo;  </w:t>
      </w:r>
      <w:r w:rsidR="00612E33" w:rsidRPr="00B56DE1">
        <w:rPr>
          <w:lang w:val="es-ES"/>
        </w:rPr>
        <w:t>y 2) en ocasiones, las entidade</w:t>
      </w:r>
      <w:r w:rsidR="00CC7E17" w:rsidRPr="00B56DE1">
        <w:rPr>
          <w:lang w:val="es-ES"/>
        </w:rPr>
        <w:t xml:space="preserve">s financieras obtienen calificaciones a corto plazo relativamente más </w:t>
      </w:r>
      <w:r w:rsidR="00B27E76">
        <w:rPr>
          <w:lang w:val="es-ES"/>
        </w:rPr>
        <w:t>fuertes</w:t>
      </w:r>
      <w:r w:rsidR="00CC7E17" w:rsidRPr="00B56DE1">
        <w:rPr>
          <w:lang w:val="es-ES"/>
        </w:rPr>
        <w:t xml:space="preserve"> que las </w:t>
      </w:r>
      <w:r w:rsidR="00612E33" w:rsidRPr="00B56DE1">
        <w:rPr>
          <w:lang w:val="es-ES"/>
        </w:rPr>
        <w:t>calificaciones a largo plazo</w:t>
      </w:r>
      <w:r w:rsidR="00CC7E17" w:rsidRPr="00B56DE1">
        <w:rPr>
          <w:lang w:val="es-ES"/>
        </w:rPr>
        <w:t xml:space="preserve">.  Es el caso de Société Générale, cuya calificación a corto plazo (P1) puede ser considerada equivalente a la calificación a largo plazo Aa3 </w:t>
      </w:r>
      <w:r w:rsidR="00612E33" w:rsidRPr="00B56DE1">
        <w:rPr>
          <w:lang w:val="es-ES"/>
        </w:rPr>
        <w:t xml:space="preserve">que se exige en la </w:t>
      </w:r>
      <w:r w:rsidR="0066659D" w:rsidRPr="00B56DE1">
        <w:rPr>
          <w:lang w:val="es-ES"/>
        </w:rPr>
        <w:t>política de inversiones.</w:t>
      </w:r>
    </w:p>
    <w:p w:rsidR="00E73FF6" w:rsidRPr="00B56DE1" w:rsidRDefault="00CC7E17" w:rsidP="00E73FF6">
      <w:pPr>
        <w:pStyle w:val="ListParagraph"/>
        <w:numPr>
          <w:ilvl w:val="0"/>
          <w:numId w:val="9"/>
        </w:numPr>
        <w:tabs>
          <w:tab w:val="clear" w:pos="851"/>
          <w:tab w:val="clear" w:pos="1134"/>
        </w:tabs>
        <w:spacing w:after="240"/>
        <w:ind w:left="0" w:firstLine="0"/>
        <w:rPr>
          <w:u w:val="single"/>
          <w:lang w:val="es-ES"/>
        </w:rPr>
      </w:pPr>
      <w:r w:rsidRPr="00B56DE1">
        <w:rPr>
          <w:lang w:val="es-ES"/>
        </w:rPr>
        <w:t>Tras haber examinado las políticas de inversiones de</w:t>
      </w:r>
      <w:r w:rsidR="00B044DE" w:rsidRPr="00B56DE1">
        <w:rPr>
          <w:lang w:val="es-ES"/>
        </w:rPr>
        <w:t xml:space="preserve"> otro</w:t>
      </w:r>
      <w:r w:rsidR="003F1551" w:rsidRPr="00B56DE1">
        <w:rPr>
          <w:lang w:val="es-ES"/>
        </w:rPr>
        <w:t>s</w:t>
      </w:r>
      <w:r w:rsidRPr="00B56DE1">
        <w:rPr>
          <w:lang w:val="es-ES"/>
        </w:rPr>
        <w:t xml:space="preserve"> organismos, se ha observado que en muchos de ellos se establece una distinción entre las inversiones a corto plazo y a largo plazo</w:t>
      </w:r>
      <w:r w:rsidR="003F1551" w:rsidRPr="00B56DE1">
        <w:rPr>
          <w:lang w:val="es-ES"/>
        </w:rPr>
        <w:t>, si bien no existe una definición clara del significado de “a corto plazo”;  en algunos organismos</w:t>
      </w:r>
      <w:r w:rsidR="00B044DE" w:rsidRPr="00B56DE1">
        <w:rPr>
          <w:lang w:val="es-ES"/>
        </w:rPr>
        <w:t>,</w:t>
      </w:r>
      <w:r w:rsidR="003F1551" w:rsidRPr="00B56DE1">
        <w:rPr>
          <w:lang w:val="es-ES"/>
        </w:rPr>
        <w:t xml:space="preserve"> </w:t>
      </w:r>
      <w:r w:rsidR="00E73FF6" w:rsidRPr="00B56DE1">
        <w:rPr>
          <w:lang w:val="es-ES"/>
        </w:rPr>
        <w:t xml:space="preserve">su duración </w:t>
      </w:r>
      <w:r w:rsidR="003F1551" w:rsidRPr="00B56DE1">
        <w:rPr>
          <w:lang w:val="es-ES"/>
        </w:rPr>
        <w:t xml:space="preserve">apenas </w:t>
      </w:r>
      <w:r w:rsidR="00E73FF6" w:rsidRPr="00B56DE1">
        <w:rPr>
          <w:lang w:val="es-ES"/>
        </w:rPr>
        <w:t xml:space="preserve">alcanza los </w:t>
      </w:r>
      <w:r w:rsidR="003F1551" w:rsidRPr="00B56DE1">
        <w:rPr>
          <w:lang w:val="es-ES"/>
        </w:rPr>
        <w:t xml:space="preserve">3 meses, </w:t>
      </w:r>
      <w:r w:rsidR="00B044DE" w:rsidRPr="00B56DE1">
        <w:rPr>
          <w:lang w:val="es-ES"/>
        </w:rPr>
        <w:t xml:space="preserve">mientras que </w:t>
      </w:r>
      <w:r w:rsidR="003F1551" w:rsidRPr="00B56DE1">
        <w:rPr>
          <w:lang w:val="es-ES"/>
        </w:rPr>
        <w:t xml:space="preserve">en otros </w:t>
      </w:r>
      <w:r w:rsidR="00E73FF6" w:rsidRPr="00B56DE1">
        <w:rPr>
          <w:lang w:val="es-ES"/>
        </w:rPr>
        <w:t xml:space="preserve">puede llegar </w:t>
      </w:r>
      <w:r w:rsidR="003F1551" w:rsidRPr="00B56DE1">
        <w:rPr>
          <w:lang w:val="es-ES"/>
        </w:rPr>
        <w:t>hasta un año.</w:t>
      </w:r>
      <w:r w:rsidR="00E73FF6" w:rsidRPr="00B56DE1">
        <w:rPr>
          <w:lang w:val="es-ES"/>
        </w:rPr>
        <w:t xml:space="preserve">  En la OMPI se propone considera</w:t>
      </w:r>
      <w:r w:rsidR="0066659D" w:rsidRPr="00B56DE1">
        <w:rPr>
          <w:lang w:val="es-ES"/>
        </w:rPr>
        <w:t>r inversiones a corto plazo aque</w:t>
      </w:r>
      <w:r w:rsidR="00E73FF6" w:rsidRPr="00B56DE1">
        <w:rPr>
          <w:lang w:val="es-ES"/>
        </w:rPr>
        <w:t>llas con una duración de hasta 6 meses.</w:t>
      </w:r>
    </w:p>
    <w:p w:rsidR="000C631C" w:rsidRPr="00B56DE1" w:rsidRDefault="000C631C" w:rsidP="00E73FF6">
      <w:pPr>
        <w:pStyle w:val="ListParagraph"/>
        <w:numPr>
          <w:ilvl w:val="0"/>
          <w:numId w:val="0"/>
        </w:numPr>
        <w:tabs>
          <w:tab w:val="clear" w:pos="851"/>
          <w:tab w:val="clear" w:pos="1134"/>
        </w:tabs>
        <w:spacing w:after="240"/>
        <w:rPr>
          <w:u w:val="single"/>
          <w:lang w:val="es-ES"/>
        </w:rPr>
      </w:pPr>
      <w:r w:rsidRPr="00B56DE1">
        <w:rPr>
          <w:u w:val="single"/>
          <w:lang w:val="es-ES"/>
        </w:rPr>
        <w:t>Diversi</w:t>
      </w:r>
      <w:r w:rsidR="009A4704" w:rsidRPr="00B56DE1">
        <w:rPr>
          <w:u w:val="single"/>
          <w:lang w:val="es-ES"/>
        </w:rPr>
        <w:t xml:space="preserve">ficación de las </w:t>
      </w:r>
      <w:r w:rsidR="009F012B" w:rsidRPr="00B56DE1">
        <w:rPr>
          <w:u w:val="single"/>
          <w:lang w:val="es-ES"/>
        </w:rPr>
        <w:t>entidades</w:t>
      </w:r>
      <w:r w:rsidR="009A4704" w:rsidRPr="00B56DE1">
        <w:rPr>
          <w:u w:val="single"/>
          <w:lang w:val="es-ES"/>
        </w:rPr>
        <w:t xml:space="preserve"> financieras</w:t>
      </w:r>
    </w:p>
    <w:p w:rsidR="00CF73E8" w:rsidRPr="00B56DE1" w:rsidRDefault="00B6146B" w:rsidP="000C631C">
      <w:pPr>
        <w:pStyle w:val="ListParagraph"/>
        <w:numPr>
          <w:ilvl w:val="0"/>
          <w:numId w:val="9"/>
        </w:numPr>
        <w:tabs>
          <w:tab w:val="clear" w:pos="851"/>
          <w:tab w:val="clear" w:pos="1134"/>
        </w:tabs>
        <w:spacing w:after="240"/>
        <w:ind w:left="0" w:firstLine="0"/>
        <w:rPr>
          <w:lang w:val="es-ES"/>
        </w:rPr>
      </w:pPr>
      <w:r w:rsidRPr="00B56DE1">
        <w:rPr>
          <w:lang w:val="es-ES"/>
        </w:rPr>
        <w:t>En la p</w:t>
      </w:r>
      <w:r w:rsidR="009A4704" w:rsidRPr="00B56DE1">
        <w:rPr>
          <w:lang w:val="es-ES"/>
        </w:rPr>
        <w:t xml:space="preserve">olítica de inversiones se pide una diversificación adecuada de las </w:t>
      </w:r>
      <w:r w:rsidR="009F012B" w:rsidRPr="00B56DE1">
        <w:rPr>
          <w:lang w:val="es-ES"/>
        </w:rPr>
        <w:t>entidades</w:t>
      </w:r>
      <w:r w:rsidR="009A4704" w:rsidRPr="00B56DE1">
        <w:rPr>
          <w:lang w:val="es-ES"/>
        </w:rPr>
        <w:t xml:space="preserve"> financieras, </w:t>
      </w:r>
      <w:r w:rsidR="00562BD1" w:rsidRPr="00B56DE1">
        <w:rPr>
          <w:lang w:val="es-ES"/>
        </w:rPr>
        <w:t xml:space="preserve">“asegurándose de que no se expone más del </w:t>
      </w:r>
      <w:r w:rsidR="0066659D" w:rsidRPr="00B56DE1">
        <w:rPr>
          <w:lang w:val="es-ES"/>
        </w:rPr>
        <w:t>10%</w:t>
      </w:r>
      <w:r w:rsidR="00562BD1" w:rsidRPr="00B56DE1">
        <w:rPr>
          <w:lang w:val="es-ES"/>
        </w:rPr>
        <w:t xml:space="preserve"> de las inversiones a una misma entidad a la vez, a excepción de las entidades de riesgo soberano y de aquellas con calificación crediticia de AAA/Aaa2 para las que </w:t>
      </w:r>
      <w:r w:rsidR="00CF73E8" w:rsidRPr="00B56DE1">
        <w:rPr>
          <w:lang w:val="es-ES"/>
        </w:rPr>
        <w:t xml:space="preserve">no hay límites ni restricciones”.  Como se explica en el párrafo 10 </w:t>
      </w:r>
      <w:r w:rsidR="00CF73E8" w:rsidRPr="00B56DE1">
        <w:rPr>
          <w:i/>
          <w:lang w:val="es-ES"/>
        </w:rPr>
        <w:t>supra</w:t>
      </w:r>
      <w:r w:rsidR="00CF73E8" w:rsidRPr="00B56DE1">
        <w:rPr>
          <w:lang w:val="es-ES"/>
        </w:rPr>
        <w:t xml:space="preserve">, </w:t>
      </w:r>
      <w:r w:rsidR="00AA4C03" w:rsidRPr="00B56DE1">
        <w:rPr>
          <w:lang w:val="es-ES"/>
        </w:rPr>
        <w:t xml:space="preserve">hoy por hoy </w:t>
      </w:r>
      <w:r w:rsidR="0066659D" w:rsidRPr="00B56DE1">
        <w:rPr>
          <w:lang w:val="es-ES"/>
        </w:rPr>
        <w:t>resulta</w:t>
      </w:r>
      <w:r w:rsidR="00CF73E8" w:rsidRPr="00B56DE1">
        <w:rPr>
          <w:lang w:val="es-ES"/>
        </w:rPr>
        <w:t xml:space="preserve"> imposible depositar francos suizos en bancos extranjeros y devengar intereses.  Además, la</w:t>
      </w:r>
      <w:r w:rsidR="00AA4C03" w:rsidRPr="00B56DE1">
        <w:rPr>
          <w:lang w:val="es-ES"/>
        </w:rPr>
        <w:t>s</w:t>
      </w:r>
      <w:r w:rsidR="00CF73E8" w:rsidRPr="00B56DE1">
        <w:rPr>
          <w:lang w:val="es-ES"/>
        </w:rPr>
        <w:t xml:space="preserve"> experiencia</w:t>
      </w:r>
      <w:r w:rsidR="00AA4C03" w:rsidRPr="00B56DE1">
        <w:rPr>
          <w:lang w:val="es-ES"/>
        </w:rPr>
        <w:t>s</w:t>
      </w:r>
      <w:r w:rsidR="00CF73E8" w:rsidRPr="00B56DE1">
        <w:rPr>
          <w:lang w:val="es-ES"/>
        </w:rPr>
        <w:t xml:space="preserve"> de la OIT y de la OMM </w:t>
      </w:r>
      <w:r w:rsidR="00AA4C03" w:rsidRPr="00B56DE1">
        <w:rPr>
          <w:lang w:val="es-ES"/>
        </w:rPr>
        <w:t>han demostrado cuán difícil resulta encontrar</w:t>
      </w:r>
      <w:r w:rsidR="00CF73E8" w:rsidRPr="00B56DE1">
        <w:rPr>
          <w:lang w:val="es-ES"/>
        </w:rPr>
        <w:t xml:space="preserve"> suficiente</w:t>
      </w:r>
      <w:r w:rsidR="00AA4C03" w:rsidRPr="00B56DE1">
        <w:rPr>
          <w:lang w:val="es-ES"/>
        </w:rPr>
        <w:t>s entidade</w:t>
      </w:r>
      <w:r w:rsidR="00CF73E8" w:rsidRPr="00B56DE1">
        <w:rPr>
          <w:lang w:val="es-ES"/>
        </w:rPr>
        <w:t>s en Suiza para diversificar adecuadamente los riesgo</w:t>
      </w:r>
      <w:r w:rsidR="00AA4C03" w:rsidRPr="00B56DE1">
        <w:rPr>
          <w:lang w:val="es-ES"/>
        </w:rPr>
        <w:t xml:space="preserve">s.  Al igual que en la </w:t>
      </w:r>
      <w:r w:rsidR="00CF73E8" w:rsidRPr="00B56DE1">
        <w:rPr>
          <w:lang w:val="es-ES"/>
        </w:rPr>
        <w:t xml:space="preserve">de la OMPI, en la política de inversiones de la OIT se </w:t>
      </w:r>
      <w:r w:rsidR="0066659D" w:rsidRPr="00B56DE1">
        <w:rPr>
          <w:lang w:val="es-ES"/>
        </w:rPr>
        <w:t>dispone</w:t>
      </w:r>
      <w:r w:rsidR="00CF73E8" w:rsidRPr="00B56DE1">
        <w:rPr>
          <w:lang w:val="es-ES"/>
        </w:rPr>
        <w:t xml:space="preserve"> que es necesario distribuir </w:t>
      </w:r>
      <w:r w:rsidR="00AA4C03" w:rsidRPr="00B56DE1">
        <w:rPr>
          <w:lang w:val="es-ES"/>
        </w:rPr>
        <w:t>el riesgo</w:t>
      </w:r>
      <w:r w:rsidR="00CF73E8" w:rsidRPr="00B56DE1">
        <w:rPr>
          <w:lang w:val="es-ES"/>
        </w:rPr>
        <w:t xml:space="preserve"> de </w:t>
      </w:r>
      <w:r w:rsidR="00AA4C03" w:rsidRPr="00B56DE1">
        <w:rPr>
          <w:lang w:val="es-ES"/>
        </w:rPr>
        <w:t xml:space="preserve">las </w:t>
      </w:r>
      <w:r w:rsidR="00CF73E8" w:rsidRPr="00B56DE1">
        <w:rPr>
          <w:lang w:val="es-ES"/>
        </w:rPr>
        <w:t xml:space="preserve">inversiones entre al menos diez </w:t>
      </w:r>
      <w:r w:rsidR="00AA4C03" w:rsidRPr="00B56DE1">
        <w:rPr>
          <w:lang w:val="es-ES"/>
        </w:rPr>
        <w:t>entidades</w:t>
      </w:r>
      <w:r w:rsidR="00CF73E8" w:rsidRPr="00B56DE1">
        <w:rPr>
          <w:lang w:val="es-ES"/>
        </w:rPr>
        <w:t xml:space="preserve">;  sin embargo, el Contralor </w:t>
      </w:r>
      <w:r w:rsidR="00AA4C03" w:rsidRPr="00B56DE1">
        <w:rPr>
          <w:lang w:val="es-ES"/>
        </w:rPr>
        <w:t>emitió una suspensión</w:t>
      </w:r>
      <w:r w:rsidR="00CF73E8" w:rsidRPr="00B56DE1">
        <w:rPr>
          <w:lang w:val="es-ES"/>
        </w:rPr>
        <w:t xml:space="preserve"> de esta prescripción </w:t>
      </w:r>
      <w:r w:rsidR="00AA4C03" w:rsidRPr="00B56DE1">
        <w:rPr>
          <w:lang w:val="es-ES"/>
        </w:rPr>
        <w:t>a fin de devengar intereses de</w:t>
      </w:r>
      <w:r w:rsidR="00CF73E8" w:rsidRPr="00B56DE1">
        <w:rPr>
          <w:lang w:val="es-ES"/>
        </w:rPr>
        <w:t xml:space="preserve"> todos </w:t>
      </w:r>
      <w:r w:rsidR="00AA4C03" w:rsidRPr="00B56DE1">
        <w:rPr>
          <w:lang w:val="es-ES"/>
        </w:rPr>
        <w:t>los depósitos de la OIT</w:t>
      </w:r>
      <w:r w:rsidR="00CF73E8" w:rsidRPr="00B56DE1">
        <w:rPr>
          <w:lang w:val="es-ES"/>
        </w:rPr>
        <w:t>, permitiendo así que la Sección de Tesorería de la OIT repartiese sus depósitos entre tres</w:t>
      </w:r>
      <w:r w:rsidR="00AA4C03" w:rsidRPr="00B56DE1">
        <w:rPr>
          <w:lang w:val="es-ES"/>
        </w:rPr>
        <w:t xml:space="preserve"> entidades</w:t>
      </w:r>
      <w:r w:rsidR="00CF73E8" w:rsidRPr="00B56DE1">
        <w:rPr>
          <w:lang w:val="es-ES"/>
        </w:rPr>
        <w:t xml:space="preserve"> únicamente.</w:t>
      </w:r>
    </w:p>
    <w:p w:rsidR="000C631C" w:rsidRPr="00B56DE1" w:rsidRDefault="00996B63" w:rsidP="000C631C">
      <w:pPr>
        <w:pStyle w:val="ListParagraph"/>
        <w:numPr>
          <w:ilvl w:val="0"/>
          <w:numId w:val="9"/>
        </w:numPr>
        <w:tabs>
          <w:tab w:val="clear" w:pos="851"/>
          <w:tab w:val="clear" w:pos="1134"/>
        </w:tabs>
        <w:spacing w:after="240"/>
        <w:ind w:left="0" w:firstLine="0"/>
        <w:rPr>
          <w:lang w:val="es-ES"/>
        </w:rPr>
      </w:pPr>
      <w:r w:rsidRPr="00B56DE1">
        <w:rPr>
          <w:lang w:val="es-ES"/>
        </w:rPr>
        <w:t>Para hacer frente a eso,</w:t>
      </w:r>
      <w:r w:rsidR="00AA5A26" w:rsidRPr="00B56DE1">
        <w:rPr>
          <w:lang w:val="es-ES"/>
        </w:rPr>
        <w:t xml:space="preserve"> en la OMPI podrían desplegarse esfuerzos para incrementar </w:t>
      </w:r>
      <w:r w:rsidR="00B27E76">
        <w:rPr>
          <w:lang w:val="es-ES"/>
        </w:rPr>
        <w:t>el número de entidades bancarias con las que se opera para</w:t>
      </w:r>
      <w:r w:rsidR="00AA5A26" w:rsidRPr="00B56DE1">
        <w:rPr>
          <w:lang w:val="es-ES"/>
        </w:rPr>
        <w:t xml:space="preserve"> incluir a bancos que en la actualidad no ofrecen ninguna remuneración por depósitos en francos suizos</w:t>
      </w:r>
      <w:r w:rsidR="00B27E76">
        <w:rPr>
          <w:lang w:val="es-ES"/>
        </w:rPr>
        <w:t>,</w:t>
      </w:r>
      <w:r w:rsidR="00AA5A26" w:rsidRPr="00B56DE1">
        <w:rPr>
          <w:lang w:val="es-ES"/>
        </w:rPr>
        <w:t xml:space="preserve"> acepta</w:t>
      </w:r>
      <w:r w:rsidR="00B27E76">
        <w:rPr>
          <w:lang w:val="es-ES"/>
        </w:rPr>
        <w:t>ndo</w:t>
      </w:r>
      <w:r w:rsidR="00AA5A26" w:rsidRPr="00B56DE1">
        <w:rPr>
          <w:lang w:val="es-ES"/>
        </w:rPr>
        <w:t xml:space="preserve"> que </w:t>
      </w:r>
      <w:r w:rsidR="00B27E76">
        <w:rPr>
          <w:lang w:val="es-ES"/>
        </w:rPr>
        <w:t xml:space="preserve">esos depósitos </w:t>
      </w:r>
      <w:r w:rsidR="00AA5A26" w:rsidRPr="00B56DE1">
        <w:rPr>
          <w:lang w:val="es-ES"/>
        </w:rPr>
        <w:t xml:space="preserve">no devengarán intereses y, tal y como </w:t>
      </w:r>
      <w:r w:rsidRPr="00B56DE1">
        <w:rPr>
          <w:lang w:val="es-ES"/>
        </w:rPr>
        <w:t xml:space="preserve">ya </w:t>
      </w:r>
      <w:r w:rsidR="00AA5A26" w:rsidRPr="00B56DE1">
        <w:rPr>
          <w:lang w:val="es-ES"/>
        </w:rPr>
        <w:t xml:space="preserve">se propuso, también se podría </w:t>
      </w:r>
      <w:r w:rsidR="0066659D" w:rsidRPr="00B56DE1">
        <w:rPr>
          <w:lang w:val="es-ES"/>
        </w:rPr>
        <w:t>empezar a colaborar</w:t>
      </w:r>
      <w:r w:rsidR="00AA5A26" w:rsidRPr="00B56DE1">
        <w:rPr>
          <w:lang w:val="es-ES"/>
        </w:rPr>
        <w:t xml:space="preserve"> con Correos de Suiza.  Además, se podría conceder al Contralor la potestad de anular </w:t>
      </w:r>
      <w:r w:rsidRPr="00B56DE1">
        <w:rPr>
          <w:lang w:val="es-ES"/>
        </w:rPr>
        <w:t xml:space="preserve">esa </w:t>
      </w:r>
      <w:r w:rsidR="00AA5A26" w:rsidRPr="00B56DE1">
        <w:rPr>
          <w:lang w:val="es-ES"/>
        </w:rPr>
        <w:t xml:space="preserve">sección de la política, con sujeción </w:t>
      </w:r>
      <w:r w:rsidRPr="00B56DE1">
        <w:rPr>
          <w:lang w:val="es-ES"/>
        </w:rPr>
        <w:t>a</w:t>
      </w:r>
      <w:r w:rsidR="00AA5A26" w:rsidRPr="00B56DE1">
        <w:rPr>
          <w:lang w:val="es-ES"/>
        </w:rPr>
        <w:t xml:space="preserve"> las condiciones prevalecientes en los mercados monetarios del franco suizo.</w:t>
      </w:r>
    </w:p>
    <w:p w:rsidR="000C631C" w:rsidRPr="00B56DE1" w:rsidRDefault="00E9322C" w:rsidP="000C631C">
      <w:pPr>
        <w:pStyle w:val="ListParagraph"/>
        <w:numPr>
          <w:ilvl w:val="0"/>
          <w:numId w:val="0"/>
        </w:numPr>
        <w:tabs>
          <w:tab w:val="clear" w:pos="851"/>
          <w:tab w:val="clear" w:pos="1134"/>
        </w:tabs>
        <w:spacing w:after="240"/>
        <w:rPr>
          <w:u w:val="single"/>
          <w:lang w:val="es-ES"/>
        </w:rPr>
      </w:pPr>
      <w:r w:rsidRPr="00B56DE1">
        <w:rPr>
          <w:u w:val="single"/>
          <w:lang w:val="es-ES"/>
        </w:rPr>
        <w:t>Marco de referencia de los beneficios</w:t>
      </w:r>
    </w:p>
    <w:p w:rsidR="00E9322C" w:rsidRPr="00B56DE1" w:rsidRDefault="00E9322C" w:rsidP="000C631C">
      <w:pPr>
        <w:pStyle w:val="ListParagraph"/>
        <w:numPr>
          <w:ilvl w:val="0"/>
          <w:numId w:val="9"/>
        </w:numPr>
        <w:tabs>
          <w:tab w:val="clear" w:pos="851"/>
          <w:tab w:val="clear" w:pos="1134"/>
        </w:tabs>
        <w:spacing w:after="240"/>
        <w:ind w:left="0" w:firstLine="0"/>
        <w:rPr>
          <w:lang w:val="es-ES"/>
        </w:rPr>
      </w:pPr>
      <w:r w:rsidRPr="00B56DE1">
        <w:rPr>
          <w:lang w:val="es-ES"/>
        </w:rPr>
        <w:t>En la política</w:t>
      </w:r>
      <w:r w:rsidR="0066659D" w:rsidRPr="00B56DE1">
        <w:rPr>
          <w:lang w:val="es-ES"/>
        </w:rPr>
        <w:t xml:space="preserve"> de inversiones</w:t>
      </w:r>
      <w:r w:rsidRPr="00B56DE1">
        <w:rPr>
          <w:lang w:val="es-ES"/>
        </w:rPr>
        <w:t xml:space="preserve"> se </w:t>
      </w:r>
      <w:r w:rsidR="005E092B" w:rsidRPr="00B56DE1">
        <w:rPr>
          <w:lang w:val="es-ES"/>
        </w:rPr>
        <w:t>presenta</w:t>
      </w:r>
      <w:r w:rsidRPr="00B56DE1">
        <w:rPr>
          <w:lang w:val="es-ES"/>
        </w:rPr>
        <w:t xml:space="preserve"> un marco de referencia equivalente a la tasa de</w:t>
      </w:r>
      <w:r w:rsidR="00996B63" w:rsidRPr="00B56DE1">
        <w:rPr>
          <w:lang w:val="es-ES"/>
        </w:rPr>
        <w:t xml:space="preserve"> ren</w:t>
      </w:r>
      <w:r w:rsidR="00CB49B9">
        <w:rPr>
          <w:lang w:val="es-ES"/>
        </w:rPr>
        <w:t>tabilidad</w:t>
      </w:r>
      <w:r w:rsidRPr="00B56DE1">
        <w:rPr>
          <w:lang w:val="es-ES"/>
        </w:rPr>
        <w:t xml:space="preserve"> obtenida a partir de los depósitos en el BNS.  Dicho marco de referencia ha dejado de se</w:t>
      </w:r>
      <w:r w:rsidR="005E092B" w:rsidRPr="00B56DE1">
        <w:rPr>
          <w:lang w:val="es-ES"/>
        </w:rPr>
        <w:t xml:space="preserve">r realista, pues el rendimiento en </w:t>
      </w:r>
      <w:r w:rsidRPr="00B56DE1">
        <w:rPr>
          <w:lang w:val="es-ES"/>
        </w:rPr>
        <w:t>el BNS ha venido siendo sistemáticamente superior a las tasas prevalecientes en el mercado y, además, e</w:t>
      </w:r>
      <w:r w:rsidR="00996B63" w:rsidRPr="00B56DE1">
        <w:rPr>
          <w:lang w:val="es-ES"/>
        </w:rPr>
        <w:t>sta información ya no se pondrá</w:t>
      </w:r>
      <w:r w:rsidRPr="00B56DE1">
        <w:rPr>
          <w:lang w:val="es-ES"/>
        </w:rPr>
        <w:t xml:space="preserve"> a disposición de la OMPI.  Por el momento</w:t>
      </w:r>
      <w:r w:rsidR="00996B63" w:rsidRPr="00B56DE1">
        <w:rPr>
          <w:lang w:val="es-ES"/>
        </w:rPr>
        <w:t>,</w:t>
      </w:r>
      <w:r w:rsidRPr="00B56DE1">
        <w:rPr>
          <w:lang w:val="es-ES"/>
        </w:rPr>
        <w:t xml:space="preserve"> las investigaciones llevadas a cabo en otros organismos no han permitido </w:t>
      </w:r>
      <w:r w:rsidR="00996B63" w:rsidRPr="00B56DE1">
        <w:rPr>
          <w:lang w:val="es-ES"/>
        </w:rPr>
        <w:t xml:space="preserve">revelar que se </w:t>
      </w:r>
      <w:r w:rsidR="006810EC" w:rsidRPr="00B56DE1">
        <w:rPr>
          <w:lang w:val="es-ES"/>
        </w:rPr>
        <w:t>emple</w:t>
      </w:r>
      <w:r w:rsidR="00CB49B9">
        <w:rPr>
          <w:lang w:val="es-ES"/>
        </w:rPr>
        <w:t>en</w:t>
      </w:r>
      <w:r w:rsidR="006810EC" w:rsidRPr="00B56DE1">
        <w:rPr>
          <w:lang w:val="es-ES"/>
        </w:rPr>
        <w:t xml:space="preserve"> marcos de referencia para los depósitos en francos suizos, pero existe una propuesta consistente en proseguir </w:t>
      </w:r>
      <w:r w:rsidR="00996B63" w:rsidRPr="00B56DE1">
        <w:rPr>
          <w:lang w:val="es-ES"/>
        </w:rPr>
        <w:t>estas investigaciones par</w:t>
      </w:r>
      <w:r w:rsidR="006810EC" w:rsidRPr="00B56DE1">
        <w:rPr>
          <w:lang w:val="es-ES"/>
        </w:rPr>
        <w:t>a proponer un marco de referencia apropiado.</w:t>
      </w:r>
    </w:p>
    <w:p w:rsidR="000C631C" w:rsidRPr="00B56DE1" w:rsidRDefault="006810EC" w:rsidP="000C631C">
      <w:pPr>
        <w:pStyle w:val="ListParagraph"/>
        <w:numPr>
          <w:ilvl w:val="0"/>
          <w:numId w:val="0"/>
        </w:numPr>
        <w:tabs>
          <w:tab w:val="clear" w:pos="851"/>
          <w:tab w:val="clear" w:pos="1134"/>
        </w:tabs>
        <w:spacing w:before="0" w:after="0"/>
        <w:rPr>
          <w:b/>
          <w:caps/>
          <w:lang w:val="es-ES"/>
        </w:rPr>
      </w:pPr>
      <w:r w:rsidRPr="00B56DE1">
        <w:rPr>
          <w:b/>
          <w:caps/>
          <w:lang w:val="es-ES"/>
        </w:rPr>
        <w:t>POL</w:t>
      </w:r>
      <w:r w:rsidR="005A4F75" w:rsidRPr="00B56DE1">
        <w:rPr>
          <w:b/>
          <w:caps/>
          <w:lang w:val="es-ES"/>
        </w:rPr>
        <w:t xml:space="preserve">ÍTICA </w:t>
      </w:r>
      <w:r w:rsidR="00A267E8" w:rsidRPr="00B56DE1">
        <w:rPr>
          <w:b/>
          <w:caps/>
          <w:lang w:val="es-ES"/>
        </w:rPr>
        <w:t>de</w:t>
      </w:r>
      <w:r w:rsidRPr="00B56DE1">
        <w:rPr>
          <w:b/>
          <w:caps/>
          <w:lang w:val="es-ES"/>
        </w:rPr>
        <w:t xml:space="preserve"> </w:t>
      </w:r>
      <w:r w:rsidR="00CB49B9">
        <w:rPr>
          <w:b/>
          <w:caps/>
          <w:lang w:val="es-ES"/>
        </w:rPr>
        <w:t xml:space="preserve">GESTIÓN DEL </w:t>
      </w:r>
      <w:r w:rsidRPr="00B56DE1">
        <w:rPr>
          <w:b/>
          <w:caps/>
          <w:lang w:val="es-ES"/>
        </w:rPr>
        <w:t>RIESGO</w:t>
      </w:r>
      <w:r w:rsidR="00014A95" w:rsidRPr="00B56DE1">
        <w:rPr>
          <w:b/>
          <w:caps/>
          <w:lang w:val="es-ES"/>
        </w:rPr>
        <w:t xml:space="preserve"> DE CONTRAPARTE</w:t>
      </w:r>
      <w:r w:rsidR="00CB49B9">
        <w:rPr>
          <w:b/>
          <w:caps/>
          <w:lang w:val="es-ES"/>
        </w:rPr>
        <w:t>S</w:t>
      </w:r>
      <w:r w:rsidR="00014A95" w:rsidRPr="00B56DE1">
        <w:rPr>
          <w:b/>
          <w:caps/>
          <w:lang w:val="es-ES"/>
        </w:rPr>
        <w:t xml:space="preserve"> en</w:t>
      </w:r>
      <w:r w:rsidRPr="00B56DE1">
        <w:rPr>
          <w:b/>
          <w:caps/>
          <w:lang w:val="es-ES"/>
        </w:rPr>
        <w:t xml:space="preserve"> </w:t>
      </w:r>
      <w:r w:rsidR="00CB49B9">
        <w:rPr>
          <w:b/>
          <w:caps/>
          <w:lang w:val="es-ES"/>
        </w:rPr>
        <w:t xml:space="preserve">OPERACIONES DE </w:t>
      </w:r>
      <w:r w:rsidRPr="00B56DE1">
        <w:rPr>
          <w:b/>
          <w:caps/>
          <w:lang w:val="es-ES"/>
        </w:rPr>
        <w:t>TESORERÍA</w:t>
      </w:r>
    </w:p>
    <w:p w:rsidR="000C631C" w:rsidRPr="00B56DE1" w:rsidRDefault="000C631C" w:rsidP="000C631C">
      <w:pPr>
        <w:rPr>
          <w:u w:val="single"/>
        </w:rPr>
      </w:pPr>
    </w:p>
    <w:p w:rsidR="00A75D24" w:rsidRPr="00B56DE1" w:rsidRDefault="00A75D24" w:rsidP="00A75D24">
      <w:pPr>
        <w:pStyle w:val="ListParagraph"/>
        <w:numPr>
          <w:ilvl w:val="0"/>
          <w:numId w:val="9"/>
        </w:numPr>
        <w:tabs>
          <w:tab w:val="clear" w:pos="851"/>
          <w:tab w:val="clear" w:pos="1134"/>
        </w:tabs>
        <w:spacing w:before="0" w:after="0"/>
        <w:ind w:left="0" w:firstLine="0"/>
        <w:rPr>
          <w:lang w:val="es-ES"/>
        </w:rPr>
      </w:pPr>
      <w:r w:rsidRPr="00B56DE1">
        <w:rPr>
          <w:lang w:val="es-ES"/>
        </w:rPr>
        <w:t xml:space="preserve">En 2013 la Organización encargó </w:t>
      </w:r>
      <w:r w:rsidR="00A267E8" w:rsidRPr="00B56DE1">
        <w:rPr>
          <w:lang w:val="es-ES"/>
        </w:rPr>
        <w:t>la preparación de</w:t>
      </w:r>
      <w:r w:rsidRPr="00B56DE1">
        <w:rPr>
          <w:lang w:val="es-ES"/>
        </w:rPr>
        <w:t xml:space="preserve"> un estudio sobre sus prácticas en materia de tesorería y gestión del efectivo</w:t>
      </w:r>
      <w:r w:rsidR="00A267E8" w:rsidRPr="00B56DE1">
        <w:rPr>
          <w:lang w:val="es-ES"/>
        </w:rPr>
        <w:t xml:space="preserve">, en el que se </w:t>
      </w:r>
      <w:r w:rsidR="00CB49B9" w:rsidRPr="00B56DE1">
        <w:rPr>
          <w:lang w:val="es-ES"/>
        </w:rPr>
        <w:t>inclu</w:t>
      </w:r>
      <w:r w:rsidR="00CB49B9">
        <w:rPr>
          <w:lang w:val="es-ES"/>
        </w:rPr>
        <w:t>yó</w:t>
      </w:r>
      <w:r w:rsidR="00CB49B9" w:rsidRPr="00B56DE1">
        <w:rPr>
          <w:lang w:val="es-ES"/>
        </w:rPr>
        <w:t xml:space="preserve"> </w:t>
      </w:r>
      <w:r w:rsidRPr="00B56DE1">
        <w:rPr>
          <w:lang w:val="es-ES"/>
        </w:rPr>
        <w:t>la elaboración de una política de tesorería</w:t>
      </w:r>
      <w:r w:rsidR="006F27B5" w:rsidRPr="00B56DE1">
        <w:rPr>
          <w:lang w:val="es-ES"/>
        </w:rPr>
        <w:t xml:space="preserve">.  Se convocó un proceso de solicitud de ofertas (13/063), en el que resultó elegida la oferta presentada por </w:t>
      </w:r>
      <w:r w:rsidR="00A267E8" w:rsidRPr="00B56DE1">
        <w:rPr>
          <w:lang w:val="es-ES"/>
        </w:rPr>
        <w:t>la empresa consultora</w:t>
      </w:r>
      <w:r w:rsidR="00701741" w:rsidRPr="00B56DE1">
        <w:rPr>
          <w:lang w:val="es-ES"/>
        </w:rPr>
        <w:t xml:space="preserve"> </w:t>
      </w:r>
      <w:r w:rsidR="006F27B5" w:rsidRPr="00B56DE1">
        <w:rPr>
          <w:lang w:val="es-ES"/>
        </w:rPr>
        <w:t xml:space="preserve">FTI Treasury, que realizó sus trabajos entre noviembre de 2013 y marzo de 2014.  </w:t>
      </w:r>
      <w:r w:rsidR="00701741" w:rsidRPr="00B56DE1">
        <w:rPr>
          <w:lang w:val="es-ES"/>
        </w:rPr>
        <w:t xml:space="preserve">En la política de tesorería que se </w:t>
      </w:r>
      <w:r w:rsidR="00A267E8" w:rsidRPr="00B56DE1">
        <w:rPr>
          <w:lang w:val="es-ES"/>
        </w:rPr>
        <w:t>preparó</w:t>
      </w:r>
      <w:r w:rsidR="005B05B1" w:rsidRPr="00B56DE1">
        <w:rPr>
          <w:lang w:val="es-ES"/>
        </w:rPr>
        <w:t xml:space="preserve"> figura</w:t>
      </w:r>
      <w:r w:rsidR="00701741" w:rsidRPr="00B56DE1">
        <w:rPr>
          <w:lang w:val="es-ES"/>
        </w:rPr>
        <w:t xml:space="preserve"> un conjunto de </w:t>
      </w:r>
      <w:r w:rsidR="005B05B1" w:rsidRPr="00B56DE1">
        <w:rPr>
          <w:lang w:val="es-ES"/>
        </w:rPr>
        <w:t xml:space="preserve">declaraciones de política, de las cuales muchas no </w:t>
      </w:r>
      <w:r w:rsidR="00CB49B9">
        <w:rPr>
          <w:lang w:val="es-ES"/>
        </w:rPr>
        <w:t>requieren</w:t>
      </w:r>
      <w:r w:rsidR="005B05B1" w:rsidRPr="00B56DE1">
        <w:rPr>
          <w:lang w:val="es-ES"/>
        </w:rPr>
        <w:t xml:space="preserve"> </w:t>
      </w:r>
      <w:r w:rsidR="00A267E8" w:rsidRPr="00B56DE1">
        <w:rPr>
          <w:lang w:val="es-ES"/>
        </w:rPr>
        <w:t xml:space="preserve">la </w:t>
      </w:r>
      <w:r w:rsidR="005B05B1" w:rsidRPr="00B56DE1">
        <w:rPr>
          <w:lang w:val="es-ES"/>
        </w:rPr>
        <w:t xml:space="preserve">aprobación de los Estados miembros, dado que se basan en políticas y prácticas que ya han </w:t>
      </w:r>
      <w:r w:rsidR="00A267E8" w:rsidRPr="00B56DE1">
        <w:rPr>
          <w:lang w:val="es-ES"/>
        </w:rPr>
        <w:t>quedado</w:t>
      </w:r>
      <w:r w:rsidR="005B05B1" w:rsidRPr="00B56DE1">
        <w:rPr>
          <w:lang w:val="es-ES"/>
        </w:rPr>
        <w:t xml:space="preserve"> aprobadas</w:t>
      </w:r>
      <w:r w:rsidR="00A267E8" w:rsidRPr="00B56DE1">
        <w:rPr>
          <w:lang w:val="es-ES"/>
        </w:rPr>
        <w:t xml:space="preserve"> anteriormente</w:t>
      </w:r>
      <w:r w:rsidR="005B05B1" w:rsidRPr="00B56DE1">
        <w:rPr>
          <w:lang w:val="es-ES"/>
        </w:rPr>
        <w:t xml:space="preserve"> en otros documentos como el Reglamento Financiero y la Reglamentación Financiera.  Aun así, una de las políticas que sí requiere aprobación</w:t>
      </w:r>
      <w:r w:rsidR="00014A95" w:rsidRPr="00B56DE1">
        <w:rPr>
          <w:lang w:val="es-ES"/>
        </w:rPr>
        <w:t xml:space="preserve"> es la política de</w:t>
      </w:r>
      <w:r w:rsidR="00CB49B9">
        <w:rPr>
          <w:lang w:val="es-ES"/>
        </w:rPr>
        <w:t xml:space="preserve"> gestión del</w:t>
      </w:r>
      <w:r w:rsidR="00014A95" w:rsidRPr="00B56DE1">
        <w:rPr>
          <w:lang w:val="es-ES"/>
        </w:rPr>
        <w:t xml:space="preserve"> riesgo de contrapartes</w:t>
      </w:r>
      <w:r w:rsidR="00CB49B9">
        <w:rPr>
          <w:lang w:val="es-ES"/>
        </w:rPr>
        <w:t xml:space="preserve"> en operaciones d</w:t>
      </w:r>
      <w:r w:rsidR="00014A95" w:rsidRPr="00B56DE1">
        <w:rPr>
          <w:lang w:val="es-ES"/>
        </w:rPr>
        <w:t>e</w:t>
      </w:r>
      <w:r w:rsidR="005B05B1" w:rsidRPr="00B56DE1">
        <w:rPr>
          <w:lang w:val="es-ES"/>
        </w:rPr>
        <w:t xml:space="preserve"> tesorer</w:t>
      </w:r>
      <w:r w:rsidR="00A267E8" w:rsidRPr="00B56DE1">
        <w:rPr>
          <w:lang w:val="es-ES"/>
        </w:rPr>
        <w:t>ía (Anexo II</w:t>
      </w:r>
      <w:r w:rsidR="00492643" w:rsidRPr="00B56DE1">
        <w:rPr>
          <w:lang w:val="es-ES"/>
        </w:rPr>
        <w:t>).</w:t>
      </w:r>
    </w:p>
    <w:p w:rsidR="000C631C" w:rsidRPr="00B56DE1" w:rsidRDefault="000C631C" w:rsidP="000C631C">
      <w:pPr>
        <w:pStyle w:val="ListParagraph"/>
        <w:numPr>
          <w:ilvl w:val="0"/>
          <w:numId w:val="0"/>
        </w:numPr>
        <w:tabs>
          <w:tab w:val="clear" w:pos="851"/>
          <w:tab w:val="clear" w:pos="1134"/>
        </w:tabs>
        <w:spacing w:before="0" w:after="0"/>
        <w:rPr>
          <w:lang w:val="es-ES"/>
        </w:rPr>
      </w:pPr>
    </w:p>
    <w:p w:rsidR="005A4F75" w:rsidRPr="00B56DE1" w:rsidRDefault="000C631C" w:rsidP="005A4F75">
      <w:pPr>
        <w:pStyle w:val="ListParagraph"/>
        <w:numPr>
          <w:ilvl w:val="0"/>
          <w:numId w:val="9"/>
        </w:numPr>
        <w:tabs>
          <w:tab w:val="clear" w:pos="851"/>
          <w:tab w:val="clear" w:pos="1134"/>
        </w:tabs>
        <w:spacing w:before="0" w:after="0"/>
        <w:ind w:left="0" w:firstLine="0"/>
        <w:rPr>
          <w:lang w:val="es-ES"/>
        </w:rPr>
      </w:pPr>
      <w:r w:rsidRPr="00B56DE1">
        <w:rPr>
          <w:lang w:val="es-ES"/>
        </w:rPr>
        <w:t xml:space="preserve"> </w:t>
      </w:r>
      <w:r w:rsidR="005A4F75" w:rsidRPr="00B56DE1">
        <w:rPr>
          <w:lang w:val="es-ES"/>
        </w:rPr>
        <w:t xml:space="preserve">Existe un </w:t>
      </w:r>
      <w:r w:rsidR="00582A85" w:rsidRPr="00B56DE1">
        <w:rPr>
          <w:lang w:val="es-ES"/>
        </w:rPr>
        <w:t>sólido vínculo entre es</w:t>
      </w:r>
      <w:r w:rsidR="005A4F75" w:rsidRPr="00B56DE1">
        <w:rPr>
          <w:lang w:val="es-ES"/>
        </w:rPr>
        <w:t>a pol</w:t>
      </w:r>
      <w:r w:rsidR="00B6146B" w:rsidRPr="00B56DE1">
        <w:rPr>
          <w:lang w:val="es-ES"/>
        </w:rPr>
        <w:t>ítica y la p</w:t>
      </w:r>
      <w:r w:rsidR="005A4F75" w:rsidRPr="00B56DE1">
        <w:rPr>
          <w:lang w:val="es-ES"/>
        </w:rPr>
        <w:t>olítica de inversio</w:t>
      </w:r>
      <w:r w:rsidR="00014A95" w:rsidRPr="00B56DE1">
        <w:rPr>
          <w:lang w:val="es-ES"/>
        </w:rPr>
        <w:t>nes, ya que en la política de</w:t>
      </w:r>
      <w:r w:rsidR="005A4F75" w:rsidRPr="00B56DE1">
        <w:rPr>
          <w:lang w:val="es-ES"/>
        </w:rPr>
        <w:t xml:space="preserve"> </w:t>
      </w:r>
      <w:r w:rsidR="00CB49B9">
        <w:rPr>
          <w:lang w:val="es-ES"/>
        </w:rPr>
        <w:t xml:space="preserve">gestión del </w:t>
      </w:r>
      <w:r w:rsidR="005A4F75" w:rsidRPr="00B56DE1">
        <w:rPr>
          <w:lang w:val="es-ES"/>
        </w:rPr>
        <w:t xml:space="preserve">riesgo de </w:t>
      </w:r>
      <w:r w:rsidR="00014A95" w:rsidRPr="00B56DE1">
        <w:rPr>
          <w:lang w:val="es-ES"/>
        </w:rPr>
        <w:t>contrapartes en</w:t>
      </w:r>
      <w:r w:rsidR="00CB49B9">
        <w:rPr>
          <w:lang w:val="es-ES"/>
        </w:rPr>
        <w:t xml:space="preserve"> operaciones de</w:t>
      </w:r>
      <w:r w:rsidR="00014A95" w:rsidRPr="00B56DE1">
        <w:rPr>
          <w:lang w:val="es-ES"/>
        </w:rPr>
        <w:t xml:space="preserve"> tesorería aparecen</w:t>
      </w:r>
      <w:r w:rsidR="00582A85" w:rsidRPr="00B56DE1">
        <w:rPr>
          <w:lang w:val="es-ES"/>
        </w:rPr>
        <w:t xml:space="preserve"> las</w:t>
      </w:r>
      <w:r w:rsidR="005A4F75" w:rsidRPr="00B56DE1">
        <w:rPr>
          <w:lang w:val="es-ES"/>
        </w:rPr>
        <w:t xml:space="preserve"> calificaciones crediticias</w:t>
      </w:r>
      <w:r w:rsidR="00582A85" w:rsidRPr="00B56DE1">
        <w:rPr>
          <w:lang w:val="es-ES"/>
        </w:rPr>
        <w:t xml:space="preserve"> consideradas aceptables para las contrapartes </w:t>
      </w:r>
      <w:r w:rsidR="00CB49B9">
        <w:rPr>
          <w:lang w:val="es-ES"/>
        </w:rPr>
        <w:t xml:space="preserve">en operaciones </w:t>
      </w:r>
      <w:r w:rsidR="00582A85" w:rsidRPr="00B56DE1">
        <w:rPr>
          <w:lang w:val="es-ES"/>
        </w:rPr>
        <w:t xml:space="preserve">de inversión </w:t>
      </w:r>
      <w:r w:rsidR="005A4F75" w:rsidRPr="00B56DE1">
        <w:rPr>
          <w:lang w:val="es-ES"/>
        </w:rPr>
        <w:t>y para las contrapartes que realizan operaciones bancarias</w:t>
      </w:r>
      <w:r w:rsidR="00F61E2A" w:rsidRPr="00B56DE1">
        <w:rPr>
          <w:lang w:val="es-ES"/>
        </w:rPr>
        <w:t xml:space="preserve"> (como el mantenimiento de cuentas corrientes y la gestión de las transacciones realizadas </w:t>
      </w:r>
      <w:r w:rsidR="00582A85" w:rsidRPr="00B56DE1">
        <w:rPr>
          <w:lang w:val="es-ES"/>
        </w:rPr>
        <w:t>a través de</w:t>
      </w:r>
      <w:r w:rsidR="00F61E2A" w:rsidRPr="00B56DE1">
        <w:rPr>
          <w:lang w:val="es-ES"/>
        </w:rPr>
        <w:t xml:space="preserve"> dichas cuentas).  Las calificaciones exigidas a las contrapartes</w:t>
      </w:r>
      <w:r w:rsidR="00CB49B9">
        <w:rPr>
          <w:lang w:val="es-ES"/>
        </w:rPr>
        <w:t xml:space="preserve"> en operaciones</w:t>
      </w:r>
      <w:r w:rsidR="00F61E2A" w:rsidRPr="00B56DE1">
        <w:rPr>
          <w:lang w:val="es-ES"/>
        </w:rPr>
        <w:t xml:space="preserve"> de </w:t>
      </w:r>
      <w:r w:rsidR="007A2A6E" w:rsidRPr="00B56DE1">
        <w:rPr>
          <w:lang w:val="es-ES"/>
        </w:rPr>
        <w:t>inversión</w:t>
      </w:r>
      <w:r w:rsidR="00F61E2A" w:rsidRPr="00B56DE1">
        <w:rPr>
          <w:lang w:val="es-ES"/>
        </w:rPr>
        <w:t xml:space="preserve"> son necesariamente más altas que las </w:t>
      </w:r>
      <w:r w:rsidR="007A2A6E" w:rsidRPr="00B56DE1">
        <w:rPr>
          <w:lang w:val="es-ES"/>
        </w:rPr>
        <w:t>que se exigen a</w:t>
      </w:r>
      <w:r w:rsidR="00242108" w:rsidRPr="00B56DE1">
        <w:rPr>
          <w:lang w:val="es-ES"/>
        </w:rPr>
        <w:t xml:space="preserve"> los bancos comerciales</w:t>
      </w:r>
      <w:r w:rsidR="00F61E2A" w:rsidRPr="00B56DE1">
        <w:rPr>
          <w:lang w:val="es-ES"/>
        </w:rPr>
        <w:t xml:space="preserve">, puesto que los </w:t>
      </w:r>
      <w:r w:rsidR="00014A95" w:rsidRPr="00B56DE1">
        <w:rPr>
          <w:lang w:val="es-ES"/>
        </w:rPr>
        <w:t>saldos de inversión</w:t>
      </w:r>
      <w:r w:rsidR="00F61E2A" w:rsidRPr="00B56DE1">
        <w:rPr>
          <w:lang w:val="es-ES"/>
        </w:rPr>
        <w:t xml:space="preserve"> suelen ser mayores y están sujeto</w:t>
      </w:r>
      <w:r w:rsidR="00883436" w:rsidRPr="00B56DE1">
        <w:rPr>
          <w:lang w:val="es-ES"/>
        </w:rPr>
        <w:t>s a períodos más largos en las entidades</w:t>
      </w:r>
      <w:r w:rsidR="00F61E2A" w:rsidRPr="00B56DE1">
        <w:rPr>
          <w:lang w:val="es-ES"/>
        </w:rPr>
        <w:t xml:space="preserve"> financieras que l</w:t>
      </w:r>
      <w:r w:rsidR="00242108" w:rsidRPr="00B56DE1">
        <w:rPr>
          <w:lang w:val="es-ES"/>
        </w:rPr>
        <w:t>os sal</w:t>
      </w:r>
      <w:r w:rsidR="00CB49B9">
        <w:rPr>
          <w:lang w:val="es-ES"/>
        </w:rPr>
        <w:t>dos del flujo de caja operativo</w:t>
      </w:r>
      <w:r w:rsidR="00F61E2A" w:rsidRPr="00B56DE1">
        <w:rPr>
          <w:lang w:val="es-ES"/>
        </w:rPr>
        <w:t>.</w:t>
      </w:r>
      <w:r w:rsidR="00CA7753" w:rsidRPr="00B56DE1">
        <w:rPr>
          <w:lang w:val="es-ES"/>
        </w:rPr>
        <w:t xml:space="preserve">  </w:t>
      </w:r>
      <w:r w:rsidR="00883436" w:rsidRPr="00B56DE1">
        <w:rPr>
          <w:lang w:val="es-ES"/>
        </w:rPr>
        <w:t>Posteriormente</w:t>
      </w:r>
      <w:r w:rsidR="00CA7753" w:rsidRPr="00B56DE1">
        <w:rPr>
          <w:lang w:val="es-ES"/>
        </w:rPr>
        <w:t xml:space="preserve"> habrá que ajustar las calificaciones obt</w:t>
      </w:r>
      <w:r w:rsidR="00883436" w:rsidRPr="00B56DE1">
        <w:rPr>
          <w:lang w:val="es-ES"/>
        </w:rPr>
        <w:t>enidas por</w:t>
      </w:r>
      <w:r w:rsidR="00CA7753" w:rsidRPr="00B56DE1">
        <w:rPr>
          <w:lang w:val="es-ES"/>
        </w:rPr>
        <w:t xml:space="preserve"> los dos tipos de contraparte</w:t>
      </w:r>
      <w:r w:rsidR="00883436" w:rsidRPr="00B56DE1">
        <w:rPr>
          <w:lang w:val="es-ES"/>
        </w:rPr>
        <w:t>,</w:t>
      </w:r>
      <w:r w:rsidR="00CA7753" w:rsidRPr="00B56DE1">
        <w:rPr>
          <w:lang w:val="es-ES"/>
        </w:rPr>
        <w:t xml:space="preserve"> con el objeto de reflejar la propuesta de cambio respecto de la calificación crediticia mínima nece</w:t>
      </w:r>
      <w:r w:rsidR="00014A95" w:rsidRPr="00B56DE1">
        <w:rPr>
          <w:lang w:val="es-ES"/>
        </w:rPr>
        <w:t>saria para las contrapartes en</w:t>
      </w:r>
      <w:r w:rsidR="00CB49B9">
        <w:rPr>
          <w:lang w:val="es-ES"/>
        </w:rPr>
        <w:t xml:space="preserve"> operaciones de</w:t>
      </w:r>
      <w:r w:rsidR="00CA7753" w:rsidRPr="00B56DE1">
        <w:rPr>
          <w:lang w:val="es-ES"/>
        </w:rPr>
        <w:t xml:space="preserve"> inversi</w:t>
      </w:r>
      <w:r w:rsidR="00CB49B9">
        <w:rPr>
          <w:lang w:val="es-ES"/>
        </w:rPr>
        <w:t>ón</w:t>
      </w:r>
      <w:r w:rsidR="00CA7753" w:rsidRPr="00B56DE1">
        <w:rPr>
          <w:lang w:val="es-ES"/>
        </w:rPr>
        <w:t>.</w:t>
      </w:r>
    </w:p>
    <w:p w:rsidR="000C631C" w:rsidRPr="00B56DE1" w:rsidRDefault="000C631C" w:rsidP="000C631C">
      <w:pPr>
        <w:pStyle w:val="ListParagraph"/>
        <w:numPr>
          <w:ilvl w:val="0"/>
          <w:numId w:val="0"/>
        </w:numPr>
        <w:tabs>
          <w:tab w:val="clear" w:pos="851"/>
          <w:tab w:val="clear" w:pos="1134"/>
        </w:tabs>
        <w:spacing w:before="0" w:after="0"/>
        <w:rPr>
          <w:lang w:val="es-ES"/>
        </w:rPr>
      </w:pPr>
    </w:p>
    <w:p w:rsidR="002F030E" w:rsidRPr="00B56DE1" w:rsidRDefault="002F030E" w:rsidP="002F030E">
      <w:pPr>
        <w:pStyle w:val="ListParagraph"/>
        <w:numPr>
          <w:ilvl w:val="0"/>
          <w:numId w:val="9"/>
        </w:numPr>
        <w:tabs>
          <w:tab w:val="clear" w:pos="851"/>
          <w:tab w:val="clear" w:pos="1134"/>
        </w:tabs>
        <w:spacing w:before="0" w:after="0"/>
        <w:ind w:left="0" w:firstLine="0"/>
        <w:rPr>
          <w:lang w:val="es-ES"/>
        </w:rPr>
      </w:pPr>
      <w:r w:rsidRPr="00B56DE1">
        <w:rPr>
          <w:lang w:val="es-ES"/>
        </w:rPr>
        <w:t xml:space="preserve">Por lo tanto, se propone </w:t>
      </w:r>
      <w:r w:rsidR="00C33151" w:rsidRPr="00B56DE1">
        <w:rPr>
          <w:lang w:val="es-ES"/>
        </w:rPr>
        <w:t>incluir</w:t>
      </w:r>
      <w:r w:rsidRPr="00B56DE1">
        <w:rPr>
          <w:lang w:val="es-ES"/>
        </w:rPr>
        <w:t xml:space="preserve"> las calificaciones crediticias propuestas para las contrapartes </w:t>
      </w:r>
      <w:r w:rsidR="00CB49B9">
        <w:rPr>
          <w:lang w:val="es-ES"/>
        </w:rPr>
        <w:t xml:space="preserve">en operaciones </w:t>
      </w:r>
      <w:r w:rsidRPr="00B56DE1">
        <w:rPr>
          <w:lang w:val="es-ES"/>
        </w:rPr>
        <w:t>de inversi</w:t>
      </w:r>
      <w:r w:rsidR="00CB49B9">
        <w:rPr>
          <w:lang w:val="es-ES"/>
        </w:rPr>
        <w:t>ón</w:t>
      </w:r>
      <w:r w:rsidRPr="00B56DE1">
        <w:rPr>
          <w:lang w:val="es-ES"/>
        </w:rPr>
        <w:t xml:space="preserve"> (Cuadro 2) </w:t>
      </w:r>
      <w:r w:rsidR="00C33151" w:rsidRPr="00B56DE1">
        <w:rPr>
          <w:lang w:val="es-ES"/>
        </w:rPr>
        <w:t>e instaurar</w:t>
      </w:r>
      <w:r w:rsidRPr="00B56DE1">
        <w:rPr>
          <w:lang w:val="es-ES"/>
        </w:rPr>
        <w:t xml:space="preserve"> la nota BBB-/BAA3 (a largo plazo) como calificación crediticia míni</w:t>
      </w:r>
      <w:r w:rsidR="00242108" w:rsidRPr="00B56DE1">
        <w:rPr>
          <w:lang w:val="es-ES"/>
        </w:rPr>
        <w:t>ma para los bancos comerciales</w:t>
      </w:r>
      <w:r w:rsidRPr="00B56DE1">
        <w:rPr>
          <w:lang w:val="es-ES"/>
        </w:rPr>
        <w:t xml:space="preserve">.  Además, </w:t>
      </w:r>
      <w:r w:rsidR="00C33151" w:rsidRPr="00B56DE1">
        <w:rPr>
          <w:lang w:val="es-ES"/>
        </w:rPr>
        <w:t>habrá que</w:t>
      </w:r>
      <w:r w:rsidRPr="00B56DE1">
        <w:rPr>
          <w:lang w:val="es-ES"/>
        </w:rPr>
        <w:t xml:space="preserve"> revisar el texto incluido en la política</w:t>
      </w:r>
      <w:r w:rsidR="00014A95" w:rsidRPr="00B56DE1">
        <w:rPr>
          <w:lang w:val="es-ES"/>
        </w:rPr>
        <w:t xml:space="preserve"> de riesgo de contrapartes en</w:t>
      </w:r>
      <w:r w:rsidR="00CB49B9">
        <w:rPr>
          <w:lang w:val="es-ES"/>
        </w:rPr>
        <w:t xml:space="preserve"> operaciones de</w:t>
      </w:r>
      <w:r w:rsidR="00014A95" w:rsidRPr="00B56DE1">
        <w:rPr>
          <w:lang w:val="es-ES"/>
        </w:rPr>
        <w:t xml:space="preserve"> tesorería</w:t>
      </w:r>
      <w:r w:rsidRPr="00B56DE1">
        <w:rPr>
          <w:lang w:val="es-ES"/>
        </w:rPr>
        <w:t xml:space="preserve"> que reza: “</w:t>
      </w:r>
      <w:r w:rsidR="002F1874" w:rsidRPr="00B56DE1">
        <w:rPr>
          <w:lang w:val="es-ES"/>
        </w:rPr>
        <w:t xml:space="preserve">Los parámetros de </w:t>
      </w:r>
      <w:r w:rsidR="00CB49B9">
        <w:rPr>
          <w:lang w:val="es-ES"/>
        </w:rPr>
        <w:t xml:space="preserve">riesgo de </w:t>
      </w:r>
      <w:r w:rsidR="002F1874" w:rsidRPr="00B56DE1">
        <w:rPr>
          <w:lang w:val="es-ES"/>
        </w:rPr>
        <w:t>crédito</w:t>
      </w:r>
      <w:r w:rsidR="00CB49B9">
        <w:rPr>
          <w:lang w:val="es-ES"/>
        </w:rPr>
        <w:t xml:space="preserve"> de las contrapartes en operaciones de</w:t>
      </w:r>
      <w:r w:rsidR="002F1874" w:rsidRPr="00B56DE1">
        <w:rPr>
          <w:lang w:val="es-ES"/>
        </w:rPr>
        <w:t xml:space="preserve"> inversi</w:t>
      </w:r>
      <w:r w:rsidR="00CB49B9">
        <w:rPr>
          <w:lang w:val="es-ES"/>
        </w:rPr>
        <w:t>ó</w:t>
      </w:r>
      <w:r w:rsidR="002F1874" w:rsidRPr="00B56DE1">
        <w:rPr>
          <w:lang w:val="es-ES"/>
        </w:rPr>
        <w:t xml:space="preserve">n </w:t>
      </w:r>
      <w:r w:rsidR="00CB49B9">
        <w:rPr>
          <w:lang w:val="es-ES"/>
        </w:rPr>
        <w:t>forman parte de</w:t>
      </w:r>
      <w:r w:rsidR="00B6146B" w:rsidRPr="00B56DE1">
        <w:rPr>
          <w:lang w:val="es-ES"/>
        </w:rPr>
        <w:t xml:space="preserve"> la p</w:t>
      </w:r>
      <w:r w:rsidR="002F1874" w:rsidRPr="00B56DE1">
        <w:rPr>
          <w:lang w:val="es-ES"/>
        </w:rPr>
        <w:t xml:space="preserve">olítica de inversiones, aprobada por las Asambleas de los Estados miembros el 5 de octubre de 2011”. </w:t>
      </w:r>
    </w:p>
    <w:p w:rsidR="000C631C" w:rsidRPr="00B56DE1" w:rsidRDefault="000C631C" w:rsidP="000C631C">
      <w:pPr>
        <w:pStyle w:val="ListparagraphII"/>
        <w:numPr>
          <w:ilvl w:val="0"/>
          <w:numId w:val="0"/>
        </w:numPr>
        <w:spacing w:before="0" w:after="0"/>
        <w:rPr>
          <w:lang w:val="es-ES"/>
        </w:rPr>
      </w:pPr>
    </w:p>
    <w:p w:rsidR="000C631C" w:rsidRPr="00B56DE1" w:rsidRDefault="00273542" w:rsidP="000C631C">
      <w:pPr>
        <w:pStyle w:val="ListParagraph"/>
        <w:numPr>
          <w:ilvl w:val="0"/>
          <w:numId w:val="0"/>
        </w:numPr>
        <w:tabs>
          <w:tab w:val="clear" w:pos="851"/>
          <w:tab w:val="clear" w:pos="1134"/>
        </w:tabs>
        <w:spacing w:before="0" w:after="0"/>
        <w:rPr>
          <w:b/>
          <w:caps/>
          <w:lang w:val="es-ES"/>
        </w:rPr>
      </w:pPr>
      <w:r w:rsidRPr="00B56DE1">
        <w:rPr>
          <w:b/>
          <w:caps/>
          <w:lang w:val="es-ES"/>
        </w:rPr>
        <w:t>tASAS DE REn</w:t>
      </w:r>
      <w:r w:rsidR="00CB49B9">
        <w:rPr>
          <w:b/>
          <w:caps/>
          <w:lang w:val="es-ES"/>
        </w:rPr>
        <w:t>TABILIDAD</w:t>
      </w:r>
    </w:p>
    <w:p w:rsidR="000C631C" w:rsidRPr="00B56DE1" w:rsidRDefault="000C631C" w:rsidP="000C631C"/>
    <w:p w:rsidR="000C631C" w:rsidRPr="00B56DE1" w:rsidRDefault="00273542" w:rsidP="00273542">
      <w:pPr>
        <w:pStyle w:val="ListParagraph"/>
        <w:numPr>
          <w:ilvl w:val="0"/>
          <w:numId w:val="9"/>
        </w:numPr>
        <w:tabs>
          <w:tab w:val="clear" w:pos="851"/>
          <w:tab w:val="clear" w:pos="1134"/>
        </w:tabs>
        <w:spacing w:before="0" w:after="0"/>
        <w:ind w:left="0" w:right="-143" w:firstLine="0"/>
        <w:rPr>
          <w:lang w:val="es-ES"/>
        </w:rPr>
      </w:pPr>
      <w:r w:rsidRPr="00B56DE1">
        <w:rPr>
          <w:rStyle w:val="ListParagraphChar"/>
          <w:lang w:val="es-ES"/>
        </w:rPr>
        <w:t>Según lo dispuesto en la política de inversiones de la OMPI, “los objetivos fundamentales de la gestión de inversiones de la Or</w:t>
      </w:r>
      <w:r w:rsidR="00CB49B9">
        <w:rPr>
          <w:rStyle w:val="ListParagraphChar"/>
          <w:lang w:val="es-ES"/>
        </w:rPr>
        <w:t>ganización serán, por orden de importa</w:t>
      </w:r>
      <w:r w:rsidR="00CB49B9" w:rsidRPr="00B56DE1">
        <w:rPr>
          <w:rStyle w:val="ListParagraphChar"/>
          <w:lang w:val="es-ES"/>
        </w:rPr>
        <w:t>ncia</w:t>
      </w:r>
      <w:r w:rsidRPr="00B56DE1">
        <w:rPr>
          <w:rStyle w:val="ListParagraphChar"/>
          <w:lang w:val="es-ES"/>
        </w:rPr>
        <w:t xml:space="preserve">, i) la conservación del capital;  ii) la liquidez y iii) dentro de los límites establecidos por </w:t>
      </w:r>
      <w:r w:rsidR="00D26E56">
        <w:rPr>
          <w:rStyle w:val="ListParagraphChar"/>
          <w:lang w:val="es-ES"/>
        </w:rPr>
        <w:t>i) y ii), la tasa de rentabilidad</w:t>
      </w:r>
      <w:r w:rsidRPr="00B56DE1">
        <w:rPr>
          <w:rStyle w:val="ListParagraphChar"/>
          <w:lang w:val="es-ES"/>
        </w:rPr>
        <w:t xml:space="preserve">”. </w:t>
      </w:r>
    </w:p>
    <w:p w:rsidR="000C631C" w:rsidRPr="00B56DE1" w:rsidRDefault="000C631C" w:rsidP="000C631C"/>
    <w:p w:rsidR="00882D6A" w:rsidRPr="00B56DE1" w:rsidRDefault="00882D6A" w:rsidP="000C631C">
      <w:pPr>
        <w:pStyle w:val="ListParagraph"/>
        <w:numPr>
          <w:ilvl w:val="0"/>
          <w:numId w:val="9"/>
        </w:numPr>
        <w:tabs>
          <w:tab w:val="clear" w:pos="851"/>
          <w:tab w:val="clear" w:pos="1134"/>
        </w:tabs>
        <w:spacing w:before="0" w:after="0"/>
        <w:ind w:left="0" w:firstLine="0"/>
        <w:rPr>
          <w:rStyle w:val="ListParagraphChar"/>
          <w:lang w:val="es-ES"/>
        </w:rPr>
      </w:pPr>
      <w:r w:rsidRPr="00B56DE1">
        <w:rPr>
          <w:rStyle w:val="ListParagraphChar"/>
          <w:lang w:val="es-ES"/>
        </w:rPr>
        <w:t xml:space="preserve">Como se indica en el Cuadro 1 </w:t>
      </w:r>
      <w:r w:rsidRPr="00B56DE1">
        <w:rPr>
          <w:rStyle w:val="ListParagraphChar"/>
          <w:i/>
          <w:lang w:val="es-ES"/>
        </w:rPr>
        <w:t>supra</w:t>
      </w:r>
      <w:r w:rsidRPr="00B56DE1">
        <w:rPr>
          <w:rStyle w:val="ListParagraphChar"/>
          <w:lang w:val="es-ES"/>
        </w:rPr>
        <w:t xml:space="preserve">, desde hace más de 6 años el BNS lleva ofreciendo sistemáticamente a la OMPI tipos de interés superiores a los de los bancos comerciales y, por ello, queda claro que los ingresos por inversiones mermarán cuando la Organización ya no pueda </w:t>
      </w:r>
      <w:r w:rsidR="00240E29" w:rsidRPr="00B56DE1">
        <w:rPr>
          <w:rStyle w:val="ListParagraphChar"/>
          <w:lang w:val="es-ES"/>
        </w:rPr>
        <w:t>depositar fondos</w:t>
      </w:r>
      <w:r w:rsidR="00014A95" w:rsidRPr="00B56DE1">
        <w:rPr>
          <w:rStyle w:val="ListParagraphChar"/>
          <w:lang w:val="es-ES"/>
        </w:rPr>
        <w:t xml:space="preserve"> en el BNS y en vez de eso</w:t>
      </w:r>
      <w:r w:rsidR="00240E29" w:rsidRPr="00B56DE1">
        <w:rPr>
          <w:rStyle w:val="ListParagraphChar"/>
          <w:lang w:val="es-ES"/>
        </w:rPr>
        <w:t xml:space="preserve"> tenga que efectuar depósitos en bancos comerciales.</w:t>
      </w:r>
      <w:r w:rsidR="00FE45A7" w:rsidRPr="00B56DE1">
        <w:rPr>
          <w:rStyle w:val="ListParagraphChar"/>
          <w:lang w:val="es-ES"/>
        </w:rPr>
        <w:t xml:space="preserve">  A modo de ejemplo, en 2013 la OMPI obtuvo de sus depósitos en el BNS 1,89 millones de francos suizos.  </w:t>
      </w:r>
      <w:r w:rsidR="001B0EAC" w:rsidRPr="00B56DE1">
        <w:rPr>
          <w:rStyle w:val="ListParagraphChar"/>
          <w:lang w:val="es-ES"/>
        </w:rPr>
        <w:t>Si durante el</w:t>
      </w:r>
      <w:r w:rsidR="008D7E1E" w:rsidRPr="00B56DE1">
        <w:rPr>
          <w:rStyle w:val="ListParagraphChar"/>
          <w:lang w:val="es-ES"/>
        </w:rPr>
        <w:t xml:space="preserve"> período en cuestión la OMPI hubiese invertido fondos en Crédit Suisse a los tipos que aparecen en el Cuadro 1, </w:t>
      </w:r>
      <w:r w:rsidR="006C409F" w:rsidRPr="00B56DE1">
        <w:rPr>
          <w:rStyle w:val="ListParagraphChar"/>
          <w:lang w:val="es-ES"/>
        </w:rPr>
        <w:t>la Organi</w:t>
      </w:r>
      <w:r w:rsidR="001B0EAC" w:rsidRPr="00B56DE1">
        <w:rPr>
          <w:rStyle w:val="ListParagraphChar"/>
          <w:lang w:val="es-ES"/>
        </w:rPr>
        <w:t>zación sólo habría obtenido 265.</w:t>
      </w:r>
      <w:r w:rsidR="006C409F" w:rsidRPr="00B56DE1">
        <w:rPr>
          <w:rStyle w:val="ListParagraphChar"/>
          <w:lang w:val="es-ES"/>
        </w:rPr>
        <w:t xml:space="preserve">060 francos suizos.  Asimismo, si la OMPI hubiese depositado sus inversiones del mismo modo que la OIT, </w:t>
      </w:r>
      <w:r w:rsidR="001B0EAC" w:rsidRPr="00B56DE1">
        <w:rPr>
          <w:rStyle w:val="ListParagraphChar"/>
          <w:lang w:val="es-ES"/>
        </w:rPr>
        <w:t>o sea un máximo</w:t>
      </w:r>
      <w:r w:rsidR="006C409F" w:rsidRPr="00B56DE1">
        <w:rPr>
          <w:rStyle w:val="ListParagraphChar"/>
          <w:lang w:val="es-ES"/>
        </w:rPr>
        <w:t xml:space="preserve"> de 38 millones de francos suizos en Correos de Suiza y el resto en </w:t>
      </w:r>
      <w:r w:rsidR="00014A95" w:rsidRPr="00B56DE1">
        <w:rPr>
          <w:rStyle w:val="ListParagraphChar"/>
          <w:lang w:val="es-ES"/>
        </w:rPr>
        <w:t xml:space="preserve">un </w:t>
      </w:r>
      <w:r w:rsidR="006C409F" w:rsidRPr="00B56DE1">
        <w:rPr>
          <w:rStyle w:val="ListParagraphChar"/>
          <w:lang w:val="es-ES"/>
        </w:rPr>
        <w:t>depósito de Crédit Suisse con un plazo de 13 meses, la</w:t>
      </w:r>
      <w:r w:rsidR="001B0EAC" w:rsidRPr="00B56DE1">
        <w:rPr>
          <w:rStyle w:val="ListParagraphChar"/>
          <w:lang w:val="es-ES"/>
        </w:rPr>
        <w:t xml:space="preserve"> Organización habría ganado 847.</w:t>
      </w:r>
      <w:r w:rsidR="006C409F" w:rsidRPr="00B56DE1">
        <w:rPr>
          <w:rStyle w:val="ListParagraphChar"/>
          <w:lang w:val="es-ES"/>
        </w:rPr>
        <w:t xml:space="preserve">748 francos suizos, lo cual supondría </w:t>
      </w:r>
      <w:r w:rsidR="0039614A">
        <w:rPr>
          <w:rStyle w:val="ListParagraphChar"/>
          <w:lang w:val="es-ES"/>
        </w:rPr>
        <w:t>también una</w:t>
      </w:r>
      <w:r w:rsidR="006C409F" w:rsidRPr="00B56DE1">
        <w:rPr>
          <w:rStyle w:val="ListParagraphChar"/>
          <w:lang w:val="es-ES"/>
        </w:rPr>
        <w:t xml:space="preserve"> reducción de los ingresos en concepto de intereses. </w:t>
      </w:r>
    </w:p>
    <w:p w:rsidR="005606D8" w:rsidRPr="00B56DE1" w:rsidRDefault="005606D8" w:rsidP="005606D8">
      <w:pPr>
        <w:ind w:left="1437" w:hanging="360"/>
        <w:rPr>
          <w:rStyle w:val="ListParagraphChar"/>
        </w:rPr>
      </w:pPr>
    </w:p>
    <w:p w:rsidR="006C409F" w:rsidRPr="00B56DE1" w:rsidRDefault="005606D8" w:rsidP="000C631C">
      <w:pPr>
        <w:pStyle w:val="ListParagraph"/>
        <w:numPr>
          <w:ilvl w:val="0"/>
          <w:numId w:val="9"/>
        </w:numPr>
        <w:tabs>
          <w:tab w:val="clear" w:pos="851"/>
          <w:tab w:val="clear" w:pos="1134"/>
        </w:tabs>
        <w:spacing w:before="0" w:after="0"/>
        <w:ind w:left="0" w:firstLine="0"/>
        <w:rPr>
          <w:rStyle w:val="ListParagraphChar"/>
          <w:lang w:val="es-ES"/>
        </w:rPr>
      </w:pPr>
      <w:r w:rsidRPr="00B56DE1">
        <w:rPr>
          <w:rStyle w:val="ListParagraphChar"/>
          <w:lang w:val="es-ES"/>
        </w:rPr>
        <w:t>Para</w:t>
      </w:r>
      <w:r w:rsidR="006C409F" w:rsidRPr="00B56DE1">
        <w:rPr>
          <w:rStyle w:val="ListParagraphChar"/>
          <w:lang w:val="es-ES"/>
        </w:rPr>
        <w:t xml:space="preserve"> mantener (o incrementar) </w:t>
      </w:r>
      <w:r w:rsidRPr="00B56DE1">
        <w:rPr>
          <w:rStyle w:val="ListParagraphChar"/>
          <w:lang w:val="es-ES"/>
        </w:rPr>
        <w:t>los</w:t>
      </w:r>
      <w:r w:rsidR="006C409F" w:rsidRPr="00B56DE1">
        <w:rPr>
          <w:rStyle w:val="ListParagraphChar"/>
          <w:lang w:val="es-ES"/>
        </w:rPr>
        <w:t xml:space="preserve"> ingresos obtenidos </w:t>
      </w:r>
      <w:r w:rsidR="00014A95" w:rsidRPr="00B56DE1">
        <w:rPr>
          <w:rStyle w:val="ListParagraphChar"/>
          <w:lang w:val="es-ES"/>
        </w:rPr>
        <w:t>de las</w:t>
      </w:r>
      <w:r w:rsidRPr="00B56DE1">
        <w:rPr>
          <w:rStyle w:val="ListParagraphChar"/>
          <w:lang w:val="es-ES"/>
        </w:rPr>
        <w:t xml:space="preserve"> inversiones, será</w:t>
      </w:r>
      <w:r w:rsidR="006C409F" w:rsidRPr="00B56DE1">
        <w:rPr>
          <w:rStyle w:val="ListParagraphChar"/>
          <w:lang w:val="es-ES"/>
        </w:rPr>
        <w:t xml:space="preserve"> necesario cambiar el enfoque de la Organización </w:t>
      </w:r>
      <w:r w:rsidR="00014A95" w:rsidRPr="00B56DE1">
        <w:rPr>
          <w:rStyle w:val="ListParagraphChar"/>
          <w:lang w:val="es-ES"/>
        </w:rPr>
        <w:t>en lo relativo a</w:t>
      </w:r>
      <w:r w:rsidR="006C409F" w:rsidRPr="00B56DE1">
        <w:rPr>
          <w:rStyle w:val="ListParagraphChar"/>
          <w:lang w:val="es-ES"/>
        </w:rPr>
        <w:t xml:space="preserve"> las inversiones.  Para ello cabría sopesar la posibilidad de:  1) invertir en productos actualmente no permitidos en virtud de la política</w:t>
      </w:r>
      <w:r w:rsidR="00014A95" w:rsidRPr="00B56DE1">
        <w:rPr>
          <w:rStyle w:val="ListParagraphChar"/>
          <w:lang w:val="es-ES"/>
        </w:rPr>
        <w:t xml:space="preserve"> de inversiones</w:t>
      </w:r>
      <w:r w:rsidR="006C409F" w:rsidRPr="00B56DE1">
        <w:rPr>
          <w:rStyle w:val="ListParagraphChar"/>
          <w:lang w:val="es-ES"/>
        </w:rPr>
        <w:t xml:space="preserve"> (y que podrían entrañar mayores riesgos) o 2) depositar el efectivo durante plazos más largos (reduciendo así la liquidez a corto plazo) o 3) </w:t>
      </w:r>
      <w:r w:rsidRPr="00B56DE1">
        <w:rPr>
          <w:rStyle w:val="ListParagraphChar"/>
          <w:lang w:val="es-ES"/>
        </w:rPr>
        <w:t xml:space="preserve">realizar </w:t>
      </w:r>
      <w:r w:rsidR="006C409F" w:rsidRPr="00B56DE1">
        <w:rPr>
          <w:rStyle w:val="ListParagraphChar"/>
          <w:lang w:val="es-ES"/>
        </w:rPr>
        <w:t>ambas</w:t>
      </w:r>
      <w:r w:rsidRPr="00B56DE1">
        <w:rPr>
          <w:rStyle w:val="ListParagraphChar"/>
          <w:lang w:val="es-ES"/>
        </w:rPr>
        <w:t xml:space="preserve"> cosas</w:t>
      </w:r>
      <w:r w:rsidR="006C409F" w:rsidRPr="00B56DE1">
        <w:rPr>
          <w:rStyle w:val="ListParagraphChar"/>
          <w:lang w:val="es-ES"/>
        </w:rPr>
        <w:t>.</w:t>
      </w:r>
    </w:p>
    <w:p w:rsidR="006C409F" w:rsidRPr="00B56DE1" w:rsidRDefault="006C409F" w:rsidP="007466C5">
      <w:pPr>
        <w:ind w:left="1437" w:hanging="360"/>
        <w:rPr>
          <w:rStyle w:val="ListParagraphChar"/>
        </w:rPr>
      </w:pPr>
    </w:p>
    <w:p w:rsidR="000C631C" w:rsidRPr="00B56DE1" w:rsidRDefault="007466C5" w:rsidP="000C631C">
      <w:pPr>
        <w:pStyle w:val="ListParagraph"/>
        <w:numPr>
          <w:ilvl w:val="0"/>
          <w:numId w:val="9"/>
        </w:numPr>
        <w:tabs>
          <w:tab w:val="clear" w:pos="851"/>
          <w:tab w:val="clear" w:pos="1134"/>
        </w:tabs>
        <w:spacing w:before="0" w:after="0"/>
        <w:ind w:left="0" w:firstLine="0"/>
        <w:rPr>
          <w:lang w:val="es-ES"/>
        </w:rPr>
      </w:pPr>
      <w:r w:rsidRPr="00B56DE1">
        <w:rPr>
          <w:rStyle w:val="ListParagraphChar"/>
          <w:lang w:val="es-ES"/>
        </w:rPr>
        <w:t xml:space="preserve">Para introducir </w:t>
      </w:r>
      <w:r w:rsidR="005606D8" w:rsidRPr="00B56DE1">
        <w:rPr>
          <w:rStyle w:val="ListParagraphChar"/>
          <w:lang w:val="es-ES"/>
        </w:rPr>
        <w:t xml:space="preserve">esos </w:t>
      </w:r>
      <w:r w:rsidRPr="00B56DE1">
        <w:rPr>
          <w:rStyle w:val="ListParagraphChar"/>
          <w:lang w:val="es-ES"/>
        </w:rPr>
        <w:t>cambios en la estrategia de la Organización</w:t>
      </w:r>
      <w:r w:rsidR="005606D8" w:rsidRPr="00B56DE1">
        <w:rPr>
          <w:rStyle w:val="ListParagraphChar"/>
          <w:lang w:val="es-ES"/>
        </w:rPr>
        <w:t>,</w:t>
      </w:r>
      <w:r w:rsidR="00014A95" w:rsidRPr="00B56DE1">
        <w:rPr>
          <w:rStyle w:val="ListParagraphChar"/>
          <w:lang w:val="es-ES"/>
        </w:rPr>
        <w:t xml:space="preserve"> se impondrá</w:t>
      </w:r>
      <w:r w:rsidRPr="00B56DE1">
        <w:rPr>
          <w:rStyle w:val="ListParagraphChar"/>
          <w:lang w:val="es-ES"/>
        </w:rPr>
        <w:t xml:space="preserve"> emplear capacidades</w:t>
      </w:r>
      <w:r w:rsidR="003927F2" w:rsidRPr="00B56DE1">
        <w:rPr>
          <w:rStyle w:val="ListParagraphChar"/>
          <w:lang w:val="es-ES"/>
        </w:rPr>
        <w:t xml:space="preserve"> internas</w:t>
      </w:r>
      <w:r w:rsidRPr="00B56DE1">
        <w:rPr>
          <w:rStyle w:val="ListParagraphChar"/>
          <w:lang w:val="es-ES"/>
        </w:rPr>
        <w:t xml:space="preserve"> </w:t>
      </w:r>
      <w:r w:rsidR="0039614A">
        <w:rPr>
          <w:rStyle w:val="ListParagraphChar"/>
          <w:lang w:val="es-ES"/>
        </w:rPr>
        <w:t>para la</w:t>
      </w:r>
      <w:r w:rsidRPr="00B56DE1">
        <w:rPr>
          <w:rStyle w:val="ListParagraphChar"/>
          <w:lang w:val="es-ES"/>
        </w:rPr>
        <w:t xml:space="preserve"> gestión de las inversiones</w:t>
      </w:r>
      <w:r w:rsidR="0039614A">
        <w:rPr>
          <w:rStyle w:val="ListParagraphChar"/>
          <w:lang w:val="es-ES"/>
        </w:rPr>
        <w:t>,</w:t>
      </w:r>
      <w:r w:rsidRPr="00B56DE1">
        <w:rPr>
          <w:rStyle w:val="ListParagraphChar"/>
          <w:lang w:val="es-ES"/>
        </w:rPr>
        <w:t xml:space="preserve"> o </w:t>
      </w:r>
      <w:r w:rsidR="0039614A">
        <w:rPr>
          <w:rStyle w:val="ListParagraphChar"/>
          <w:lang w:val="es-ES"/>
        </w:rPr>
        <w:t xml:space="preserve">bien </w:t>
      </w:r>
      <w:r w:rsidRPr="00B56DE1">
        <w:rPr>
          <w:rStyle w:val="ListParagraphChar"/>
          <w:lang w:val="es-ES"/>
        </w:rPr>
        <w:t>recurrir a gestores externos de fondos, además de dar un seguimiento atento a los flujos de efectivo para garantizar que la Organización no tenga que encarar una falta de efectivo.</w:t>
      </w:r>
    </w:p>
    <w:p w:rsidR="000C631C" w:rsidRPr="00B56DE1" w:rsidRDefault="000C631C" w:rsidP="000C631C">
      <w:pPr>
        <w:pStyle w:val="ListParagraph"/>
        <w:numPr>
          <w:ilvl w:val="0"/>
          <w:numId w:val="0"/>
        </w:numPr>
        <w:tabs>
          <w:tab w:val="clear" w:pos="851"/>
          <w:tab w:val="clear" w:pos="1134"/>
        </w:tabs>
        <w:spacing w:before="0" w:after="0"/>
        <w:rPr>
          <w:lang w:val="es-ES"/>
        </w:rPr>
      </w:pPr>
    </w:p>
    <w:p w:rsidR="00713D63" w:rsidRPr="00B56DE1" w:rsidRDefault="009236A4" w:rsidP="000C631C">
      <w:pPr>
        <w:pStyle w:val="ListParagraph"/>
        <w:numPr>
          <w:ilvl w:val="0"/>
          <w:numId w:val="9"/>
        </w:numPr>
        <w:tabs>
          <w:tab w:val="clear" w:pos="851"/>
          <w:tab w:val="clear" w:pos="1134"/>
        </w:tabs>
        <w:spacing w:before="0" w:after="0"/>
        <w:ind w:left="0" w:firstLine="0"/>
        <w:rPr>
          <w:lang w:val="es-ES"/>
        </w:rPr>
      </w:pPr>
      <w:r w:rsidRPr="00B56DE1">
        <w:rPr>
          <w:lang w:val="es-ES"/>
        </w:rPr>
        <w:t>Del</w:t>
      </w:r>
      <w:r w:rsidR="00713D63" w:rsidRPr="00B56DE1">
        <w:rPr>
          <w:lang w:val="es-ES"/>
        </w:rPr>
        <w:t xml:space="preserve"> examen de las políticas de inversión que llevan a cabo otros organismos de las NN.UU. (y no únicamente los que invierten en francos suizos) se desprende que los organismos invierten primordialmente en productos de renta fija como depósitos a plazo y bonos.</w:t>
      </w:r>
      <w:r w:rsidRPr="00B56DE1">
        <w:rPr>
          <w:lang w:val="es-ES"/>
        </w:rPr>
        <w:t xml:space="preserve">  Sin emb</w:t>
      </w:r>
      <w:r w:rsidR="003927F2" w:rsidRPr="00B56DE1">
        <w:rPr>
          <w:lang w:val="es-ES"/>
        </w:rPr>
        <w:t>argo, pese a la restricción de utilizar</w:t>
      </w:r>
      <w:r w:rsidRPr="00B56DE1">
        <w:rPr>
          <w:lang w:val="es-ES"/>
        </w:rPr>
        <w:t xml:space="preserve"> sólo productos de renta fija, en </w:t>
      </w:r>
      <w:r w:rsidR="000171D0" w:rsidRPr="00B56DE1">
        <w:rPr>
          <w:lang w:val="es-ES"/>
        </w:rPr>
        <w:t>muchos</w:t>
      </w:r>
      <w:r w:rsidRPr="00B56DE1">
        <w:rPr>
          <w:lang w:val="es-ES"/>
        </w:rPr>
        <w:t xml:space="preserve"> organismos se</w:t>
      </w:r>
      <w:r w:rsidR="000171D0" w:rsidRPr="00B56DE1">
        <w:rPr>
          <w:lang w:val="es-ES"/>
        </w:rPr>
        <w:t xml:space="preserve"> puede</w:t>
      </w:r>
      <w:r w:rsidRPr="00B56DE1">
        <w:rPr>
          <w:lang w:val="es-ES"/>
        </w:rPr>
        <w:t xml:space="preserve"> invertir en un abanico de productos más amplio que el de la OMPI.</w:t>
      </w:r>
    </w:p>
    <w:p w:rsidR="00713D63" w:rsidRPr="00B56DE1" w:rsidRDefault="00713D63" w:rsidP="000F04C2"/>
    <w:p w:rsidR="005E70F9" w:rsidRPr="00B56DE1" w:rsidRDefault="007B2B6E" w:rsidP="0039614A">
      <w:pPr>
        <w:pStyle w:val="ListParagraph"/>
        <w:numPr>
          <w:ilvl w:val="0"/>
          <w:numId w:val="9"/>
        </w:numPr>
        <w:tabs>
          <w:tab w:val="clear" w:pos="851"/>
          <w:tab w:val="clear" w:pos="1134"/>
        </w:tabs>
        <w:spacing w:before="0"/>
        <w:ind w:left="0" w:firstLine="0"/>
        <w:rPr>
          <w:lang w:val="es-ES"/>
        </w:rPr>
      </w:pPr>
      <w:r w:rsidRPr="00B56DE1">
        <w:rPr>
          <w:lang w:val="es-ES"/>
        </w:rPr>
        <w:t xml:space="preserve">Por ende, una de las propuestas que se plantea es ampliar la </w:t>
      </w:r>
      <w:r w:rsidR="000171D0" w:rsidRPr="00B56DE1">
        <w:rPr>
          <w:lang w:val="es-ES"/>
        </w:rPr>
        <w:t>gama de inversiones aceptables para</w:t>
      </w:r>
      <w:r w:rsidRPr="00B56DE1">
        <w:rPr>
          <w:lang w:val="es-ES"/>
        </w:rPr>
        <w:t xml:space="preserve"> incluir productos como bonos emitidos por entidades supranacionales, bonos de cupón cero</w:t>
      </w:r>
      <w:r w:rsidR="0051367D" w:rsidRPr="00B56DE1">
        <w:rPr>
          <w:lang w:val="es-ES"/>
        </w:rPr>
        <w:t xml:space="preserve"> y depósitos de capital garantizado.  </w:t>
      </w:r>
      <w:r w:rsidR="00014A95" w:rsidRPr="00B56DE1">
        <w:rPr>
          <w:lang w:val="es-ES"/>
        </w:rPr>
        <w:t xml:space="preserve">Habría que </w:t>
      </w:r>
      <w:r w:rsidR="0051367D" w:rsidRPr="00B56DE1">
        <w:rPr>
          <w:lang w:val="es-ES"/>
        </w:rPr>
        <w:t>seguir investigando qué produ</w:t>
      </w:r>
      <w:r w:rsidR="005E70F9" w:rsidRPr="00B56DE1">
        <w:rPr>
          <w:lang w:val="es-ES"/>
        </w:rPr>
        <w:t xml:space="preserve">ctos </w:t>
      </w:r>
      <w:r w:rsidR="00014A95" w:rsidRPr="00B56DE1">
        <w:rPr>
          <w:lang w:val="es-ES"/>
        </w:rPr>
        <w:t>resultan</w:t>
      </w:r>
      <w:r w:rsidR="005E70F9" w:rsidRPr="00B56DE1">
        <w:rPr>
          <w:lang w:val="es-ES"/>
        </w:rPr>
        <w:t xml:space="preserve"> adecuados.</w:t>
      </w:r>
    </w:p>
    <w:p w:rsidR="000C631C" w:rsidRPr="00B56DE1" w:rsidRDefault="0039614A" w:rsidP="000C631C">
      <w:pPr>
        <w:pStyle w:val="ListParagraph"/>
        <w:numPr>
          <w:ilvl w:val="0"/>
          <w:numId w:val="0"/>
        </w:numPr>
        <w:tabs>
          <w:tab w:val="clear" w:pos="851"/>
          <w:tab w:val="clear" w:pos="1134"/>
        </w:tabs>
        <w:spacing w:before="0" w:after="0"/>
        <w:rPr>
          <w:lang w:val="es-ES"/>
        </w:rPr>
      </w:pPr>
      <w:r>
        <w:rPr>
          <w:lang w:val="es-ES"/>
        </w:rPr>
        <w:t>O</w:t>
      </w:r>
      <w:r w:rsidR="005E70F9" w:rsidRPr="00B56DE1">
        <w:rPr>
          <w:lang w:val="es-ES"/>
        </w:rPr>
        <w:t xml:space="preserve">tra propuesta </w:t>
      </w:r>
      <w:r>
        <w:rPr>
          <w:lang w:val="es-ES"/>
        </w:rPr>
        <w:t>es la relativa a</w:t>
      </w:r>
      <w:r w:rsidR="005E70F9" w:rsidRPr="00B56DE1">
        <w:rPr>
          <w:lang w:val="es-ES"/>
        </w:rPr>
        <w:t xml:space="preserve"> los </w:t>
      </w:r>
      <w:r w:rsidR="00F952FE" w:rsidRPr="00B56DE1">
        <w:rPr>
          <w:lang w:val="es-ES"/>
        </w:rPr>
        <w:t>empréstitos</w:t>
      </w:r>
      <w:r w:rsidR="005E70F9" w:rsidRPr="00B56DE1">
        <w:rPr>
          <w:lang w:val="es-ES"/>
        </w:rPr>
        <w:t xml:space="preserve"> de la OMPI.  Habida cuenta de la disparidad entre el tipo de interés </w:t>
      </w:r>
      <w:r>
        <w:rPr>
          <w:lang w:val="es-ES"/>
        </w:rPr>
        <w:t xml:space="preserve">que </w:t>
      </w:r>
      <w:r w:rsidR="005E70F9" w:rsidRPr="00B56DE1">
        <w:rPr>
          <w:lang w:val="es-ES"/>
        </w:rPr>
        <w:t>paga</w:t>
      </w:r>
      <w:r>
        <w:rPr>
          <w:lang w:val="es-ES"/>
        </w:rPr>
        <w:t xml:space="preserve"> la OMPI </w:t>
      </w:r>
      <w:r w:rsidR="005E70F9" w:rsidRPr="00B56DE1">
        <w:rPr>
          <w:lang w:val="es-ES"/>
        </w:rPr>
        <w:t xml:space="preserve">en concepto de </w:t>
      </w:r>
      <w:r>
        <w:rPr>
          <w:lang w:val="es-ES"/>
        </w:rPr>
        <w:t>préstamo</w:t>
      </w:r>
      <w:r w:rsidR="005E70F9" w:rsidRPr="00B56DE1">
        <w:rPr>
          <w:lang w:val="es-ES"/>
        </w:rPr>
        <w:t xml:space="preserve"> (hoy por hoy la OMPI paga entre el 1,705% y el 3,0725% por </w:t>
      </w:r>
      <w:r>
        <w:rPr>
          <w:lang w:val="es-ES"/>
        </w:rPr>
        <w:t>los fondos que utiliza</w:t>
      </w:r>
      <w:r w:rsidR="005E70F9" w:rsidRPr="00B56DE1">
        <w:rPr>
          <w:lang w:val="es-ES"/>
        </w:rPr>
        <w:t xml:space="preserve"> del préstamo </w:t>
      </w:r>
      <w:r>
        <w:rPr>
          <w:lang w:val="es-ES"/>
        </w:rPr>
        <w:t>que le fue concedido para</w:t>
      </w:r>
      <w:r w:rsidR="005E70F9" w:rsidRPr="00B56DE1">
        <w:rPr>
          <w:lang w:val="es-ES"/>
        </w:rPr>
        <w:t xml:space="preserve"> financia</w:t>
      </w:r>
      <w:r>
        <w:rPr>
          <w:lang w:val="es-ES"/>
        </w:rPr>
        <w:t xml:space="preserve">r </w:t>
      </w:r>
      <w:r w:rsidR="005E70F9" w:rsidRPr="00B56DE1">
        <w:rPr>
          <w:lang w:val="es-ES"/>
        </w:rPr>
        <w:t>el Nuevo</w:t>
      </w:r>
      <w:r w:rsidR="00014A95" w:rsidRPr="00B56DE1">
        <w:rPr>
          <w:lang w:val="es-ES"/>
        </w:rPr>
        <w:t xml:space="preserve"> Edificio) y </w:t>
      </w:r>
      <w:r>
        <w:rPr>
          <w:lang w:val="es-ES"/>
        </w:rPr>
        <w:t>el tipo de interés que le generan sus</w:t>
      </w:r>
      <w:r w:rsidR="005E70F9" w:rsidRPr="00B56DE1">
        <w:rPr>
          <w:lang w:val="es-ES"/>
        </w:rPr>
        <w:t xml:space="preserve"> inversiones</w:t>
      </w:r>
      <w:r>
        <w:rPr>
          <w:lang w:val="es-ES"/>
        </w:rPr>
        <w:t>, además</w:t>
      </w:r>
      <w:r w:rsidR="005E70F9" w:rsidRPr="00B56DE1">
        <w:rPr>
          <w:lang w:val="es-ES"/>
        </w:rPr>
        <w:t xml:space="preserve"> del hecho de que dicha disparidad aumentará una vez que llegue a su fin el arreglo que tiene la OMPI con el BNS, u</w:t>
      </w:r>
      <w:r w:rsidR="009905D3" w:rsidRPr="00B56DE1">
        <w:rPr>
          <w:lang w:val="es-ES"/>
        </w:rPr>
        <w:t>na forma de mejorar la posición</w:t>
      </w:r>
      <w:r w:rsidR="005E70F9" w:rsidRPr="00B56DE1">
        <w:rPr>
          <w:lang w:val="es-ES"/>
        </w:rPr>
        <w:t xml:space="preserve"> </w:t>
      </w:r>
      <w:r w:rsidR="00A14D51">
        <w:rPr>
          <w:lang w:val="es-ES"/>
        </w:rPr>
        <w:t xml:space="preserve">neta </w:t>
      </w:r>
      <w:r w:rsidR="005E70F9" w:rsidRPr="00B56DE1">
        <w:rPr>
          <w:lang w:val="es-ES"/>
        </w:rPr>
        <w:t>de inter</w:t>
      </w:r>
      <w:r w:rsidR="00A14D51">
        <w:rPr>
          <w:lang w:val="es-ES"/>
        </w:rPr>
        <w:t>e</w:t>
      </w:r>
      <w:r w:rsidR="005E70F9" w:rsidRPr="00B56DE1">
        <w:rPr>
          <w:lang w:val="es-ES"/>
        </w:rPr>
        <w:t>s</w:t>
      </w:r>
      <w:r w:rsidR="00A14D51">
        <w:rPr>
          <w:lang w:val="es-ES"/>
        </w:rPr>
        <w:t>es</w:t>
      </w:r>
      <w:r w:rsidR="005E70F9" w:rsidRPr="00B56DE1">
        <w:rPr>
          <w:lang w:val="es-ES"/>
        </w:rPr>
        <w:t xml:space="preserve"> (</w:t>
      </w:r>
      <w:r w:rsidR="009905D3" w:rsidRPr="00B56DE1">
        <w:rPr>
          <w:lang w:val="es-ES"/>
        </w:rPr>
        <w:t xml:space="preserve">esto es, el interés pagado menos el interés recibido) </w:t>
      </w:r>
      <w:r w:rsidR="009A7DDD" w:rsidRPr="00B56DE1">
        <w:rPr>
          <w:lang w:val="es-ES"/>
        </w:rPr>
        <w:t xml:space="preserve">sería utilizar los fondos destinados a inversiones para reducir los </w:t>
      </w:r>
      <w:r w:rsidR="00A14D51">
        <w:rPr>
          <w:lang w:val="es-ES"/>
        </w:rPr>
        <w:t>p</w:t>
      </w:r>
      <w:r w:rsidR="00F952FE" w:rsidRPr="00B56DE1">
        <w:rPr>
          <w:lang w:val="es-ES"/>
        </w:rPr>
        <w:t>rést</w:t>
      </w:r>
      <w:r w:rsidR="00A14D51">
        <w:rPr>
          <w:lang w:val="es-ES"/>
        </w:rPr>
        <w:t>am</w:t>
      </w:r>
      <w:r w:rsidR="00F952FE" w:rsidRPr="00B56DE1">
        <w:rPr>
          <w:lang w:val="es-ES"/>
        </w:rPr>
        <w:t>os</w:t>
      </w:r>
      <w:r w:rsidR="009A7DDD" w:rsidRPr="00B56DE1">
        <w:rPr>
          <w:lang w:val="es-ES"/>
        </w:rPr>
        <w:t xml:space="preserve">.  Si </w:t>
      </w:r>
      <w:r w:rsidR="000171D0" w:rsidRPr="00B56DE1">
        <w:rPr>
          <w:lang w:val="es-ES"/>
        </w:rPr>
        <w:t>se aceptase la propuesta</w:t>
      </w:r>
      <w:r w:rsidR="009A7DDD" w:rsidRPr="00B56DE1">
        <w:rPr>
          <w:lang w:val="es-ES"/>
        </w:rPr>
        <w:t>,</w:t>
      </w:r>
      <w:r w:rsidR="000171D0" w:rsidRPr="00B56DE1">
        <w:rPr>
          <w:lang w:val="es-ES"/>
        </w:rPr>
        <w:t xml:space="preserve"> desde</w:t>
      </w:r>
      <w:r w:rsidR="009A7DDD" w:rsidRPr="00B56DE1">
        <w:rPr>
          <w:lang w:val="es-ES"/>
        </w:rPr>
        <w:t xml:space="preserve"> la OMPI se </w:t>
      </w:r>
      <w:r w:rsidR="000171D0" w:rsidRPr="00B56DE1">
        <w:rPr>
          <w:lang w:val="es-ES"/>
        </w:rPr>
        <w:t>intentaría</w:t>
      </w:r>
      <w:r w:rsidR="009A7DDD" w:rsidRPr="00B56DE1">
        <w:rPr>
          <w:lang w:val="es-ES"/>
        </w:rPr>
        <w:t xml:space="preserve"> efectuar el </w:t>
      </w:r>
      <w:r w:rsidR="00A65B83" w:rsidRPr="00B56DE1">
        <w:rPr>
          <w:lang w:val="es-ES"/>
        </w:rPr>
        <w:t>reembolso</w:t>
      </w:r>
      <w:r w:rsidR="009A7DDD" w:rsidRPr="00B56DE1">
        <w:rPr>
          <w:lang w:val="es-ES"/>
        </w:rPr>
        <w:t xml:space="preserve">  de</w:t>
      </w:r>
      <w:r w:rsidR="00A65B83" w:rsidRPr="00B56DE1">
        <w:rPr>
          <w:lang w:val="es-ES"/>
        </w:rPr>
        <w:t xml:space="preserve">l </w:t>
      </w:r>
      <w:r w:rsidR="00F952FE" w:rsidRPr="00B56DE1">
        <w:rPr>
          <w:lang w:val="es-ES"/>
        </w:rPr>
        <w:t>prést</w:t>
      </w:r>
      <w:r w:rsidR="00561865">
        <w:rPr>
          <w:lang w:val="es-ES"/>
        </w:rPr>
        <w:t>am</w:t>
      </w:r>
      <w:r w:rsidR="00F952FE" w:rsidRPr="00B56DE1">
        <w:rPr>
          <w:lang w:val="es-ES"/>
        </w:rPr>
        <w:t>o</w:t>
      </w:r>
      <w:r w:rsidR="00561865">
        <w:rPr>
          <w:lang w:val="es-ES"/>
        </w:rPr>
        <w:t xml:space="preserve"> </w:t>
      </w:r>
      <w:proofErr w:type="spellStart"/>
      <w:r w:rsidR="00561865" w:rsidRPr="00561865">
        <w:rPr>
          <w:i/>
          <w:lang w:val="es-ES"/>
        </w:rPr>
        <w:t>balloon</w:t>
      </w:r>
      <w:proofErr w:type="spellEnd"/>
      <w:r w:rsidR="00561865">
        <w:rPr>
          <w:lang w:val="es-ES"/>
        </w:rPr>
        <w:t xml:space="preserve"> en sus respectivos vencimientos, es decir</w:t>
      </w:r>
      <w:r w:rsidR="000171D0" w:rsidRPr="00B56DE1">
        <w:rPr>
          <w:lang w:val="es-ES"/>
        </w:rPr>
        <w:t>,</w:t>
      </w:r>
      <w:r w:rsidR="00A65B83" w:rsidRPr="00B56DE1">
        <w:rPr>
          <w:lang w:val="es-ES"/>
        </w:rPr>
        <w:t xml:space="preserve"> en noviembre de 2015 (24 millones de francos suizos) y </w:t>
      </w:r>
      <w:r w:rsidR="000171D0" w:rsidRPr="00B56DE1">
        <w:rPr>
          <w:lang w:val="es-ES"/>
        </w:rPr>
        <w:t xml:space="preserve">en </w:t>
      </w:r>
      <w:r w:rsidR="00A65B83" w:rsidRPr="00B56DE1">
        <w:rPr>
          <w:lang w:val="es-ES"/>
        </w:rPr>
        <w:t>enero de 2016 (16 millones de francos suizos)</w:t>
      </w:r>
      <w:r w:rsidR="000171D0" w:rsidRPr="00B56DE1">
        <w:rPr>
          <w:lang w:val="es-ES"/>
        </w:rPr>
        <w:t>,</w:t>
      </w:r>
      <w:r w:rsidR="00A65B83" w:rsidRPr="00B56DE1">
        <w:rPr>
          <w:lang w:val="es-ES"/>
        </w:rPr>
        <w:t xml:space="preserve"> en lugar de ampliar </w:t>
      </w:r>
      <w:r w:rsidR="000171D0" w:rsidRPr="00B56DE1">
        <w:rPr>
          <w:lang w:val="es-ES"/>
        </w:rPr>
        <w:t>ambos</w:t>
      </w:r>
      <w:r w:rsidR="00A65B83" w:rsidRPr="00B56DE1">
        <w:rPr>
          <w:lang w:val="es-ES"/>
        </w:rPr>
        <w:t xml:space="preserve"> tramos</w:t>
      </w:r>
      <w:r w:rsidR="00561865">
        <w:rPr>
          <w:lang w:val="es-ES"/>
        </w:rPr>
        <w:t>,</w:t>
      </w:r>
      <w:r w:rsidR="00A65B83" w:rsidRPr="00B56DE1">
        <w:rPr>
          <w:lang w:val="es-ES"/>
        </w:rPr>
        <w:t xml:space="preserve"> y también se intentaría </w:t>
      </w:r>
      <w:r w:rsidR="000171D0" w:rsidRPr="00B56DE1">
        <w:rPr>
          <w:lang w:val="es-ES"/>
        </w:rPr>
        <w:t>sufragar</w:t>
      </w:r>
      <w:r w:rsidR="00A65B83" w:rsidRPr="00B56DE1">
        <w:rPr>
          <w:lang w:val="es-ES"/>
        </w:rPr>
        <w:t xml:space="preserve"> la Sala de Conferencias por medio de los fondos disponibles para </w:t>
      </w:r>
      <w:r w:rsidR="000171D0" w:rsidRPr="00B56DE1">
        <w:rPr>
          <w:lang w:val="es-ES"/>
        </w:rPr>
        <w:t>inversión en vez de recurrir al</w:t>
      </w:r>
      <w:r w:rsidR="00A65B83" w:rsidRPr="00B56DE1">
        <w:rPr>
          <w:lang w:val="es-ES"/>
        </w:rPr>
        <w:t xml:space="preserve"> préstamo contraído para tal fin.  Obviamente sólo podrá llevarse a cabo esta estrategia, ya sea de forma parcial o integral, si ello no provoca problemas de liquidez a la OMPI.  Para garantizar eso, desd</w:t>
      </w:r>
      <w:r w:rsidR="000171D0" w:rsidRPr="00B56DE1">
        <w:rPr>
          <w:lang w:val="es-ES"/>
        </w:rPr>
        <w:t>e la División de Finanzas habrá</w:t>
      </w:r>
      <w:r w:rsidR="00A65B83" w:rsidRPr="00B56DE1">
        <w:rPr>
          <w:lang w:val="es-ES"/>
        </w:rPr>
        <w:t xml:space="preserve"> que seguir controlando los fluj</w:t>
      </w:r>
      <w:r w:rsidR="000171D0" w:rsidRPr="00B56DE1">
        <w:rPr>
          <w:lang w:val="es-ES"/>
        </w:rPr>
        <w:t>os de efectivo de que dispondrá</w:t>
      </w:r>
      <w:r w:rsidR="00A65B83" w:rsidRPr="00B56DE1">
        <w:rPr>
          <w:lang w:val="es-ES"/>
        </w:rPr>
        <w:t xml:space="preserve"> la Organización en el futuro y elaborar previsiones </w:t>
      </w:r>
      <w:r w:rsidR="00BC33AC" w:rsidRPr="00B56DE1">
        <w:rPr>
          <w:lang w:val="es-ES"/>
        </w:rPr>
        <w:t>sobre la situación financiera (estados de cuenta).  Con esa información, en la División de Finanzas se podrá dirimir si</w:t>
      </w:r>
      <w:r w:rsidR="00FF2F9C" w:rsidRPr="00B56DE1">
        <w:rPr>
          <w:lang w:val="es-ES"/>
        </w:rPr>
        <w:t xml:space="preserve">, de seguirse esta estrategia, podrían mantenerse </w:t>
      </w:r>
      <w:r w:rsidR="00561865">
        <w:rPr>
          <w:lang w:val="es-ES"/>
        </w:rPr>
        <w:t>unos coeficientes de caja adecuados</w:t>
      </w:r>
      <w:r w:rsidR="00670450" w:rsidRPr="00B56DE1">
        <w:rPr>
          <w:lang w:val="es-ES"/>
        </w:rPr>
        <w:t xml:space="preserve"> (</w:t>
      </w:r>
      <w:r w:rsidR="00561865">
        <w:rPr>
          <w:lang w:val="es-ES"/>
        </w:rPr>
        <w:t xml:space="preserve">el coeficiente de solvencia </w:t>
      </w:r>
      <w:r w:rsidR="00670450" w:rsidRPr="00B56DE1">
        <w:rPr>
          <w:lang w:val="es-ES"/>
        </w:rPr>
        <w:t xml:space="preserve">y </w:t>
      </w:r>
      <w:r w:rsidR="00561865">
        <w:rPr>
          <w:lang w:val="es-ES"/>
        </w:rPr>
        <w:t xml:space="preserve">el coeficiente </w:t>
      </w:r>
      <w:r w:rsidR="00670450" w:rsidRPr="00B56DE1">
        <w:rPr>
          <w:lang w:val="es-ES"/>
        </w:rPr>
        <w:t>de liquidez)</w:t>
      </w:r>
      <w:r w:rsidR="000C631C" w:rsidRPr="00B56DE1">
        <w:rPr>
          <w:rStyle w:val="FootnoteReference"/>
          <w:lang w:val="es-ES"/>
        </w:rPr>
        <w:footnoteReference w:id="2"/>
      </w:r>
      <w:r w:rsidR="00670450" w:rsidRPr="00B56DE1">
        <w:rPr>
          <w:lang w:val="es-ES"/>
        </w:rPr>
        <w:t xml:space="preserve">.  </w:t>
      </w:r>
      <w:r w:rsidR="000171D0" w:rsidRPr="00B56DE1">
        <w:rPr>
          <w:lang w:val="es-ES"/>
        </w:rPr>
        <w:t>A tenor de</w:t>
      </w:r>
      <w:r w:rsidR="00670450" w:rsidRPr="00B56DE1">
        <w:rPr>
          <w:lang w:val="es-ES"/>
        </w:rPr>
        <w:t xml:space="preserve"> las previsiones actuales (</w:t>
      </w:r>
      <w:r w:rsidR="00561865">
        <w:rPr>
          <w:lang w:val="es-ES"/>
        </w:rPr>
        <w:t>a</w:t>
      </w:r>
      <w:r w:rsidR="000171D0" w:rsidRPr="00B56DE1">
        <w:rPr>
          <w:lang w:val="es-ES"/>
        </w:rPr>
        <w:t>l 31 de diciembre de 2015), así sería</w:t>
      </w:r>
      <w:r w:rsidR="00670450" w:rsidRPr="00B56DE1">
        <w:rPr>
          <w:lang w:val="es-ES"/>
        </w:rPr>
        <w:t>.</w:t>
      </w:r>
      <w:r w:rsidR="000C631C" w:rsidRPr="00B56DE1">
        <w:rPr>
          <w:lang w:val="es-ES"/>
        </w:rPr>
        <w:t xml:space="preserve"> </w:t>
      </w:r>
    </w:p>
    <w:p w:rsidR="00670450" w:rsidRPr="00B56DE1" w:rsidRDefault="00670450" w:rsidP="000C631C">
      <w:pPr>
        <w:pStyle w:val="ListParagraph"/>
        <w:numPr>
          <w:ilvl w:val="0"/>
          <w:numId w:val="0"/>
        </w:numPr>
        <w:tabs>
          <w:tab w:val="clear" w:pos="851"/>
          <w:tab w:val="clear" w:pos="1134"/>
        </w:tabs>
        <w:spacing w:before="0" w:after="0"/>
        <w:rPr>
          <w:lang w:val="es-ES"/>
        </w:rPr>
      </w:pPr>
    </w:p>
    <w:p w:rsidR="000C631C" w:rsidRPr="00B56DE1" w:rsidRDefault="002874F2" w:rsidP="000C631C">
      <w:pPr>
        <w:pStyle w:val="ListParagraph"/>
        <w:numPr>
          <w:ilvl w:val="0"/>
          <w:numId w:val="0"/>
        </w:numPr>
        <w:tabs>
          <w:tab w:val="clear" w:pos="851"/>
          <w:tab w:val="clear" w:pos="1134"/>
        </w:tabs>
        <w:spacing w:before="0" w:after="0"/>
        <w:rPr>
          <w:b/>
          <w:caps/>
          <w:lang w:val="es-ES"/>
        </w:rPr>
      </w:pPr>
      <w:r w:rsidRPr="00B56DE1">
        <w:rPr>
          <w:b/>
          <w:caps/>
          <w:lang w:val="es-ES"/>
        </w:rPr>
        <w:t>POLÍTICA DE INVERSIONES PARA LA FINANCIACIÓN DEL SEGURO M</w:t>
      </w:r>
      <w:r w:rsidR="00561865">
        <w:rPr>
          <w:b/>
          <w:caps/>
          <w:lang w:val="es-ES"/>
        </w:rPr>
        <w:t>É</w:t>
      </w:r>
      <w:r w:rsidRPr="00B56DE1">
        <w:rPr>
          <w:b/>
          <w:caps/>
          <w:lang w:val="es-ES"/>
        </w:rPr>
        <w:t xml:space="preserve">DICO TRAS LA SEPARACIÓN DEL SERVICIO </w:t>
      </w:r>
    </w:p>
    <w:p w:rsidR="000C631C" w:rsidRPr="00B56DE1" w:rsidRDefault="000C631C" w:rsidP="000C631C"/>
    <w:p w:rsidR="000C631C" w:rsidRPr="00B56DE1" w:rsidRDefault="002874F2" w:rsidP="00824E6B">
      <w:pPr>
        <w:pStyle w:val="ListParagraph"/>
        <w:numPr>
          <w:ilvl w:val="0"/>
          <w:numId w:val="9"/>
        </w:numPr>
        <w:tabs>
          <w:tab w:val="clear" w:pos="851"/>
          <w:tab w:val="clear" w:pos="1134"/>
        </w:tabs>
        <w:spacing w:before="0"/>
        <w:ind w:left="0" w:firstLine="0"/>
        <w:rPr>
          <w:lang w:val="es-ES"/>
        </w:rPr>
      </w:pPr>
      <w:r w:rsidRPr="00B56DE1">
        <w:rPr>
          <w:lang w:val="es-ES"/>
        </w:rPr>
        <w:t xml:space="preserve">En el estudio sobre tesorería elaborado por FTI Treasury se reconoce que el fondo destinado al seguro médico tras la separación del servicio es un fondo a largo plazo que se ha reservado para </w:t>
      </w:r>
      <w:r w:rsidR="00615681" w:rsidRPr="00B56DE1">
        <w:rPr>
          <w:lang w:val="es-ES"/>
        </w:rPr>
        <w:t>una prestación</w:t>
      </w:r>
      <w:r w:rsidRPr="00B56DE1">
        <w:rPr>
          <w:lang w:val="es-ES"/>
        </w:rPr>
        <w:t xml:space="preserve"> a largo plaz</w:t>
      </w:r>
      <w:r w:rsidR="00615681" w:rsidRPr="00B56DE1">
        <w:rPr>
          <w:lang w:val="es-ES"/>
        </w:rPr>
        <w:t xml:space="preserve">o que se brinda a los empleados y que es constante </w:t>
      </w:r>
      <w:r w:rsidRPr="00B56DE1">
        <w:rPr>
          <w:lang w:val="es-ES"/>
        </w:rPr>
        <w:t xml:space="preserve"> y, como tal, tiene un perfil similar </w:t>
      </w:r>
      <w:r w:rsidR="006B2BBD" w:rsidRPr="00B56DE1">
        <w:rPr>
          <w:lang w:val="es-ES"/>
        </w:rPr>
        <w:t>al de un fondo de pensiones.  En 2013 los Estados miembros decidieron reservar fondos en una cuenta bancaria especial a fin de abarcar el 50% del pasivo total dedicado a las prestaciones a largo plazo de los empleados a fecha del 31 de diciembre de 2013 y comple</w:t>
      </w:r>
      <w:r w:rsidR="00B016AE" w:rsidRPr="00B56DE1">
        <w:rPr>
          <w:lang w:val="es-ES"/>
        </w:rPr>
        <w:t>men</w:t>
      </w:r>
      <w:r w:rsidR="006B2BBD" w:rsidRPr="00B56DE1">
        <w:rPr>
          <w:lang w:val="es-ES"/>
        </w:rPr>
        <w:t>tar esta cuantía cada año con el saldo disponible del cargo presupuestario del 6% de los costos de nómina, una vez deducido el pago de las prestaciones a largo plazo de los empleados (document</w:t>
      </w:r>
      <w:r w:rsidR="00F961C0" w:rsidRPr="00B56DE1">
        <w:rPr>
          <w:lang w:val="es-ES"/>
        </w:rPr>
        <w:t>o WO/PBC/20/6).  El saldo de este fondo a 30 de junio de 2014 alcanza los 84,4 millones de francos suizos y se encuentra depositado en el BNS.</w:t>
      </w:r>
      <w:r w:rsidR="006B2BBD" w:rsidRPr="00B56DE1">
        <w:rPr>
          <w:lang w:val="es-ES"/>
        </w:rPr>
        <w:t xml:space="preserve"> </w:t>
      </w:r>
    </w:p>
    <w:p w:rsidR="00F961C0" w:rsidRPr="00B56DE1" w:rsidRDefault="00F961C0" w:rsidP="00F961C0">
      <w:pPr>
        <w:pStyle w:val="ListParagraph"/>
        <w:numPr>
          <w:ilvl w:val="0"/>
          <w:numId w:val="9"/>
        </w:numPr>
        <w:tabs>
          <w:tab w:val="clear" w:pos="851"/>
          <w:tab w:val="clear" w:pos="1134"/>
        </w:tabs>
        <w:spacing w:before="0" w:after="0"/>
        <w:ind w:left="0" w:firstLine="0"/>
        <w:rPr>
          <w:lang w:val="es-ES"/>
        </w:rPr>
      </w:pPr>
      <w:r w:rsidRPr="00B56DE1">
        <w:rPr>
          <w:lang w:val="es-ES"/>
        </w:rPr>
        <w:t>Según los consultores, si todo sigue igual</w:t>
      </w:r>
      <w:r w:rsidR="00B016AE" w:rsidRPr="00B56DE1">
        <w:rPr>
          <w:lang w:val="es-ES"/>
        </w:rPr>
        <w:t>,</w:t>
      </w:r>
      <w:r w:rsidRPr="00B56DE1">
        <w:rPr>
          <w:lang w:val="es-ES"/>
        </w:rPr>
        <w:t xml:space="preserve"> los fondos reservados en un primer momento (80,5 millones de francos suizos) deberían devengar un 2,3% anual para </w:t>
      </w:r>
      <w:r w:rsidR="00333C26" w:rsidRPr="00B56DE1">
        <w:rPr>
          <w:lang w:val="es-ES"/>
        </w:rPr>
        <w:t>mantener</w:t>
      </w:r>
      <w:r w:rsidRPr="00B56DE1">
        <w:rPr>
          <w:lang w:val="es-ES"/>
        </w:rPr>
        <w:t xml:space="preserve"> su proporción relativa (esto es, 50% del pasivo).  Evidentemente, con un</w:t>
      </w:r>
      <w:r w:rsidR="00824E6B">
        <w:rPr>
          <w:lang w:val="es-ES"/>
        </w:rPr>
        <w:t>a</w:t>
      </w:r>
      <w:r w:rsidRPr="00B56DE1">
        <w:rPr>
          <w:lang w:val="es-ES"/>
        </w:rPr>
        <w:t xml:space="preserve"> mayor ren</w:t>
      </w:r>
      <w:r w:rsidR="00824E6B">
        <w:rPr>
          <w:lang w:val="es-ES"/>
        </w:rPr>
        <w:t>tabilidad</w:t>
      </w:r>
      <w:r w:rsidRPr="00B56DE1">
        <w:rPr>
          <w:lang w:val="es-ES"/>
        </w:rPr>
        <w:t xml:space="preserve"> se incrementaría esta proporción del 50% y con un</w:t>
      </w:r>
      <w:r w:rsidR="00824E6B">
        <w:rPr>
          <w:lang w:val="es-ES"/>
        </w:rPr>
        <w:t>a rentabilidad</w:t>
      </w:r>
      <w:r w:rsidRPr="00B56DE1">
        <w:rPr>
          <w:lang w:val="es-ES"/>
        </w:rPr>
        <w:t xml:space="preserve"> inferior se vería reducida.  En la actualidad es imposible obtener un</w:t>
      </w:r>
      <w:r w:rsidR="00824E6B">
        <w:rPr>
          <w:lang w:val="es-ES"/>
        </w:rPr>
        <w:t>a rentabilidad</w:t>
      </w:r>
      <w:r w:rsidRPr="00B56DE1">
        <w:rPr>
          <w:lang w:val="es-ES"/>
        </w:rPr>
        <w:t xml:space="preserve"> del 2,3% </w:t>
      </w:r>
      <w:r w:rsidR="00824E6B">
        <w:rPr>
          <w:lang w:val="es-ES"/>
        </w:rPr>
        <w:t>a partir de</w:t>
      </w:r>
      <w:r w:rsidRPr="00B56DE1">
        <w:rPr>
          <w:lang w:val="es-ES"/>
        </w:rPr>
        <w:t xml:space="preserve"> depósitos bancarios (ni en el BNS ni en ningún otro lugar) o invirtiendo en bonos de gran calidad.  Según </w:t>
      </w:r>
      <w:r w:rsidR="00B016AE" w:rsidRPr="00B56DE1">
        <w:rPr>
          <w:lang w:val="es-ES"/>
        </w:rPr>
        <w:t>las previsiones del BNS, se espera que en Suiza se mantengan los tipos de interés bajos en el</w:t>
      </w:r>
      <w:r w:rsidRPr="00B56DE1">
        <w:rPr>
          <w:lang w:val="es-ES"/>
        </w:rPr>
        <w:t xml:space="preserve"> futuro </w:t>
      </w:r>
      <w:r w:rsidR="00824E6B">
        <w:rPr>
          <w:lang w:val="es-ES"/>
        </w:rPr>
        <w:t>previsible</w:t>
      </w:r>
      <w:r w:rsidRPr="00B56DE1">
        <w:rPr>
          <w:lang w:val="es-ES"/>
        </w:rPr>
        <w:t>.  A título de ejemplo, los bonos emitidos por la Confederación Suiza en francos suizos en mayo de 2014 con vencimie</w:t>
      </w:r>
      <w:r w:rsidR="00333C26" w:rsidRPr="00B56DE1">
        <w:rPr>
          <w:lang w:val="es-ES"/>
        </w:rPr>
        <w:t>nto a 30 años sólo devengarán el</w:t>
      </w:r>
      <w:r w:rsidRPr="00B56DE1">
        <w:rPr>
          <w:lang w:val="es-ES"/>
        </w:rPr>
        <w:t xml:space="preserve"> 1,59%.</w:t>
      </w:r>
    </w:p>
    <w:p w:rsidR="000C631C" w:rsidRPr="00B56DE1" w:rsidRDefault="00F952FE" w:rsidP="000C631C">
      <w:pPr>
        <w:pStyle w:val="ListParagraph"/>
        <w:numPr>
          <w:ilvl w:val="0"/>
          <w:numId w:val="9"/>
        </w:numPr>
        <w:tabs>
          <w:tab w:val="clear" w:pos="851"/>
          <w:tab w:val="clear" w:pos="1134"/>
        </w:tabs>
        <w:ind w:left="0" w:firstLine="0"/>
        <w:rPr>
          <w:lang w:val="es-ES"/>
        </w:rPr>
      </w:pPr>
      <w:r w:rsidRPr="00B56DE1">
        <w:rPr>
          <w:lang w:val="es-ES"/>
        </w:rPr>
        <w:t>Cabría sopesar una serie de objetivos en relación con la financiación del seguro médico tras la separación del servicio:</w:t>
      </w:r>
    </w:p>
    <w:p w:rsidR="000B5243" w:rsidRPr="00B56DE1" w:rsidRDefault="000B5243" w:rsidP="000C631C">
      <w:pPr>
        <w:pStyle w:val="ListParagraph"/>
        <w:numPr>
          <w:ilvl w:val="0"/>
          <w:numId w:val="22"/>
        </w:numPr>
        <w:tabs>
          <w:tab w:val="clear" w:pos="851"/>
          <w:tab w:val="clear" w:pos="1134"/>
        </w:tabs>
        <w:ind w:left="567" w:firstLine="0"/>
        <w:rPr>
          <w:lang w:val="es-ES"/>
        </w:rPr>
      </w:pPr>
      <w:r w:rsidRPr="00B56DE1">
        <w:rPr>
          <w:lang w:val="es-ES"/>
        </w:rPr>
        <w:t xml:space="preserve">Velar por que el capital esté </w:t>
      </w:r>
      <w:r w:rsidR="00B016AE" w:rsidRPr="00B56DE1">
        <w:rPr>
          <w:lang w:val="es-ES"/>
        </w:rPr>
        <w:t>totalmente</w:t>
      </w:r>
      <w:r w:rsidRPr="00B56DE1">
        <w:rPr>
          <w:lang w:val="es-ES"/>
        </w:rPr>
        <w:t xml:space="preserve"> garantizado invirtiendo sólo en activos de bajo riesgo, tales como depósitos bancarios y bonos soberanos</w:t>
      </w:r>
      <w:r w:rsidR="00824E6B">
        <w:rPr>
          <w:lang w:val="es-ES"/>
        </w:rPr>
        <w:t>, aceptando</w:t>
      </w:r>
      <w:r w:rsidRPr="00B56DE1">
        <w:rPr>
          <w:lang w:val="es-ES"/>
        </w:rPr>
        <w:t xml:space="preserve"> que</w:t>
      </w:r>
      <w:r w:rsidR="00824E6B">
        <w:rPr>
          <w:lang w:val="es-ES"/>
        </w:rPr>
        <w:t xml:space="preserve"> la rentabilidad será baja</w:t>
      </w:r>
      <w:r w:rsidRPr="00B56DE1">
        <w:rPr>
          <w:lang w:val="es-ES"/>
        </w:rPr>
        <w:t xml:space="preserve"> y el riesgo de que, en consecuencia, el valor del capital se vea mermado con el tiempo.  Esta opción obligaría a la OMPI a incrementar su contribución anual hasta alcanzar una cuan</w:t>
      </w:r>
      <w:r w:rsidR="00615681" w:rsidRPr="00B56DE1">
        <w:rPr>
          <w:lang w:val="es-ES"/>
        </w:rPr>
        <w:t xml:space="preserve">tía superior al cargo </w:t>
      </w:r>
      <w:r w:rsidRPr="00B56DE1">
        <w:rPr>
          <w:lang w:val="es-ES"/>
        </w:rPr>
        <w:t>del 6%</w:t>
      </w:r>
      <w:r w:rsidR="00615681" w:rsidRPr="00B56DE1">
        <w:rPr>
          <w:lang w:val="es-ES"/>
        </w:rPr>
        <w:t xml:space="preserve"> después de los pagos</w:t>
      </w:r>
      <w:r w:rsidRPr="00B56DE1">
        <w:rPr>
          <w:lang w:val="es-ES"/>
        </w:rPr>
        <w:t xml:space="preserve"> para contrarrestar la posibilidad de que el capital no </w:t>
      </w:r>
      <w:r w:rsidR="00B016AE" w:rsidRPr="00B56DE1">
        <w:rPr>
          <w:lang w:val="es-ES"/>
        </w:rPr>
        <w:t>pueda seguir la curva ascendente</w:t>
      </w:r>
      <w:r w:rsidRPr="00B56DE1">
        <w:rPr>
          <w:lang w:val="es-ES"/>
        </w:rPr>
        <w:t xml:space="preserve"> del pasivo y, además, no pueda mantener su proporción del pasivo.</w:t>
      </w:r>
    </w:p>
    <w:p w:rsidR="000C631C" w:rsidRPr="00B56DE1" w:rsidRDefault="00AF5127" w:rsidP="00AF5127">
      <w:pPr>
        <w:pStyle w:val="ListParagraph"/>
        <w:numPr>
          <w:ilvl w:val="0"/>
          <w:numId w:val="22"/>
        </w:numPr>
        <w:tabs>
          <w:tab w:val="clear" w:pos="851"/>
          <w:tab w:val="clear" w:pos="1134"/>
        </w:tabs>
        <w:ind w:left="567" w:firstLine="0"/>
        <w:rPr>
          <w:lang w:val="es-ES"/>
        </w:rPr>
      </w:pPr>
      <w:r w:rsidRPr="00B56DE1">
        <w:rPr>
          <w:lang w:val="es-ES"/>
        </w:rPr>
        <w:t xml:space="preserve">Fijarse el objetivo de obtener un rendimiento del 2,3% a fin de mantener una contribución proporcionada </w:t>
      </w:r>
      <w:r w:rsidR="00EC0BAA" w:rsidRPr="00B56DE1">
        <w:rPr>
          <w:lang w:val="es-ES"/>
        </w:rPr>
        <w:t>en relación</w:t>
      </w:r>
      <w:r w:rsidRPr="00B56DE1">
        <w:rPr>
          <w:lang w:val="es-ES"/>
        </w:rPr>
        <w:t xml:space="preserve"> con el pasivo.  Según FTI Treasury, para lograr ese objetivo </w:t>
      </w:r>
      <w:r w:rsidR="00EC0BAA" w:rsidRPr="00B56DE1">
        <w:rPr>
          <w:lang w:val="es-ES"/>
        </w:rPr>
        <w:t>habría que</w:t>
      </w:r>
      <w:r w:rsidRPr="00B56DE1">
        <w:rPr>
          <w:lang w:val="es-ES"/>
        </w:rPr>
        <w:t xml:space="preserve"> invertir en estructuras como</w:t>
      </w:r>
      <w:r w:rsidR="00824E6B">
        <w:rPr>
          <w:lang w:val="es-ES"/>
        </w:rPr>
        <w:t xml:space="preserve"> los</w:t>
      </w:r>
      <w:r w:rsidRPr="00B56DE1">
        <w:rPr>
          <w:lang w:val="es-ES"/>
        </w:rPr>
        <w:t xml:space="preserve"> fondos de ren</w:t>
      </w:r>
      <w:r w:rsidR="00824E6B">
        <w:rPr>
          <w:lang w:val="es-ES"/>
        </w:rPr>
        <w:t>tabilidad</w:t>
      </w:r>
      <w:r w:rsidRPr="00B56DE1">
        <w:rPr>
          <w:lang w:val="es-ES"/>
        </w:rPr>
        <w:t xml:space="preserve"> absolut</w:t>
      </w:r>
      <w:r w:rsidR="00824E6B">
        <w:rPr>
          <w:lang w:val="es-ES"/>
        </w:rPr>
        <w:t>a</w:t>
      </w:r>
      <w:r w:rsidRPr="00B56DE1">
        <w:rPr>
          <w:lang w:val="es-ES"/>
        </w:rPr>
        <w:t>, con los que se optimiza la seguridad del capital</w:t>
      </w:r>
      <w:r w:rsidR="00EC0BAA" w:rsidRPr="00B56DE1">
        <w:rPr>
          <w:lang w:val="es-ES"/>
        </w:rPr>
        <w:t>,</w:t>
      </w:r>
      <w:r w:rsidRPr="00B56DE1">
        <w:rPr>
          <w:lang w:val="es-ES"/>
        </w:rPr>
        <w:t xml:space="preserve"> al tiempo que se persigue el objetivo de obtener un</w:t>
      </w:r>
      <w:r w:rsidR="00824E6B">
        <w:rPr>
          <w:lang w:val="es-ES"/>
        </w:rPr>
        <w:t>a rentabilidad</w:t>
      </w:r>
      <w:r w:rsidRPr="00B56DE1">
        <w:rPr>
          <w:lang w:val="es-ES"/>
        </w:rPr>
        <w:t xml:space="preserve"> específic</w:t>
      </w:r>
      <w:r w:rsidR="00824E6B">
        <w:rPr>
          <w:lang w:val="es-ES"/>
        </w:rPr>
        <w:t>a</w:t>
      </w:r>
      <w:r w:rsidRPr="00B56DE1">
        <w:rPr>
          <w:lang w:val="es-ES"/>
        </w:rPr>
        <w:t>.  Est</w:t>
      </w:r>
      <w:r w:rsidR="00824E6B">
        <w:rPr>
          <w:lang w:val="es-ES"/>
        </w:rPr>
        <w:t>a</w:t>
      </w:r>
      <w:r w:rsidRPr="00B56DE1">
        <w:rPr>
          <w:lang w:val="es-ES"/>
        </w:rPr>
        <w:t xml:space="preserve"> ren</w:t>
      </w:r>
      <w:r w:rsidR="00824E6B">
        <w:rPr>
          <w:lang w:val="es-ES"/>
        </w:rPr>
        <w:t>tabilidad</w:t>
      </w:r>
      <w:r w:rsidRPr="00B56DE1">
        <w:rPr>
          <w:lang w:val="es-ES"/>
        </w:rPr>
        <w:t xml:space="preserve"> se vería complementad</w:t>
      </w:r>
      <w:r w:rsidR="00824E6B">
        <w:rPr>
          <w:lang w:val="es-ES"/>
        </w:rPr>
        <w:t>a</w:t>
      </w:r>
      <w:r w:rsidRPr="00B56DE1">
        <w:rPr>
          <w:lang w:val="es-ES"/>
        </w:rPr>
        <w:t xml:space="preserve"> por la contribución anual</w:t>
      </w:r>
      <w:r w:rsidR="00824E6B">
        <w:rPr>
          <w:lang w:val="es-ES"/>
        </w:rPr>
        <w:t>,</w:t>
      </w:r>
      <w:r w:rsidRPr="00B56DE1">
        <w:rPr>
          <w:lang w:val="es-ES"/>
        </w:rPr>
        <w:t xml:space="preserve"> y la proporción del pasivo que representase el fondo podría incrementarse con el tiempo.</w:t>
      </w:r>
      <w:r w:rsidR="000C631C" w:rsidRPr="00B56DE1">
        <w:rPr>
          <w:lang w:val="es-ES"/>
        </w:rPr>
        <w:t xml:space="preserve"> </w:t>
      </w:r>
    </w:p>
    <w:p w:rsidR="000C631C" w:rsidRPr="00B56DE1" w:rsidRDefault="00AF5127" w:rsidP="000C631C">
      <w:pPr>
        <w:pStyle w:val="ListParagraph"/>
        <w:numPr>
          <w:ilvl w:val="0"/>
          <w:numId w:val="22"/>
        </w:numPr>
        <w:tabs>
          <w:tab w:val="clear" w:pos="851"/>
          <w:tab w:val="clear" w:pos="1134"/>
        </w:tabs>
        <w:ind w:left="567" w:firstLine="0"/>
        <w:rPr>
          <w:lang w:val="es-ES"/>
        </w:rPr>
      </w:pPr>
      <w:r w:rsidRPr="00B56DE1">
        <w:rPr>
          <w:lang w:val="es-ES"/>
        </w:rPr>
        <w:t>Buscar un</w:t>
      </w:r>
      <w:r w:rsidR="00FE34A7">
        <w:rPr>
          <w:lang w:val="es-ES"/>
        </w:rPr>
        <w:t>a mayor rentabilidad</w:t>
      </w:r>
      <w:r w:rsidRPr="00B56DE1">
        <w:rPr>
          <w:lang w:val="es-ES"/>
        </w:rPr>
        <w:t xml:space="preserve"> pero reconocer que, para ello, será necesario asumir mayores niveles de riesgo.  </w:t>
      </w:r>
      <w:r w:rsidR="00EC250C" w:rsidRPr="00B56DE1">
        <w:rPr>
          <w:lang w:val="es-ES"/>
        </w:rPr>
        <w:t>Este enfoque se prestaría a invertir en activos de mayor riesgo, tales como acciones, propiedad inmobiliaria</w:t>
      </w:r>
      <w:r w:rsidR="00EC0BAA" w:rsidRPr="00B56DE1">
        <w:rPr>
          <w:lang w:val="es-ES"/>
        </w:rPr>
        <w:t xml:space="preserve">, </w:t>
      </w:r>
      <w:r w:rsidR="00EC250C" w:rsidRPr="00B56DE1">
        <w:rPr>
          <w:lang w:val="es-ES"/>
        </w:rPr>
        <w:t xml:space="preserve">y alternativas como productos básicos, por lo general en forma de fondos y no de activos fijos.  </w:t>
      </w:r>
      <w:r w:rsidR="00FE34A7">
        <w:rPr>
          <w:lang w:val="es-ES"/>
        </w:rPr>
        <w:t>D</w:t>
      </w:r>
      <w:r w:rsidR="00EC250C" w:rsidRPr="00B56DE1">
        <w:rPr>
          <w:lang w:val="es-ES"/>
        </w:rPr>
        <w:t>e logra</w:t>
      </w:r>
      <w:r w:rsidR="00FE34A7">
        <w:rPr>
          <w:lang w:val="es-ES"/>
        </w:rPr>
        <w:t>rse</w:t>
      </w:r>
      <w:r w:rsidR="00EC250C" w:rsidRPr="00B56DE1">
        <w:rPr>
          <w:lang w:val="es-ES"/>
        </w:rPr>
        <w:t xml:space="preserve"> un</w:t>
      </w:r>
      <w:r w:rsidR="00FE34A7">
        <w:rPr>
          <w:lang w:val="es-ES"/>
        </w:rPr>
        <w:t>a</w:t>
      </w:r>
      <w:r w:rsidR="00EC250C" w:rsidRPr="00B56DE1">
        <w:rPr>
          <w:lang w:val="es-ES"/>
        </w:rPr>
        <w:t xml:space="preserve"> mayor ren</w:t>
      </w:r>
      <w:r w:rsidR="00FE34A7">
        <w:rPr>
          <w:lang w:val="es-ES"/>
        </w:rPr>
        <w:t>tabilidad</w:t>
      </w:r>
      <w:r w:rsidR="00EC250C" w:rsidRPr="00B56DE1">
        <w:rPr>
          <w:lang w:val="es-ES"/>
        </w:rPr>
        <w:t xml:space="preserve"> de las inversiones</w:t>
      </w:r>
      <w:r w:rsidR="00FE34A7">
        <w:rPr>
          <w:lang w:val="es-ES"/>
        </w:rPr>
        <w:t xml:space="preserve"> destinadas a financiar el pasivo del</w:t>
      </w:r>
      <w:r w:rsidR="00EC250C" w:rsidRPr="00B56DE1">
        <w:rPr>
          <w:lang w:val="es-ES"/>
        </w:rPr>
        <w:t xml:space="preserve"> seguro médico tras la separación del servicio, la Organización </w:t>
      </w:r>
      <w:r w:rsidR="00333C26" w:rsidRPr="00B56DE1">
        <w:rPr>
          <w:lang w:val="es-ES"/>
        </w:rPr>
        <w:t>podría reducir o evitar</w:t>
      </w:r>
      <w:r w:rsidR="00EC250C" w:rsidRPr="00B56DE1">
        <w:rPr>
          <w:lang w:val="es-ES"/>
        </w:rPr>
        <w:t xml:space="preserve"> la necesidad de complementar el fondo con la parte sin utilizar del cargo del 6% de los costos de nómina.</w:t>
      </w:r>
    </w:p>
    <w:p w:rsidR="000C631C" w:rsidRPr="00B56DE1" w:rsidRDefault="000C631C" w:rsidP="000C631C"/>
    <w:p w:rsidR="000C631C" w:rsidRPr="00B56DE1" w:rsidRDefault="00161CA8" w:rsidP="00161CA8">
      <w:pPr>
        <w:pStyle w:val="ListParagraph"/>
        <w:numPr>
          <w:ilvl w:val="0"/>
          <w:numId w:val="9"/>
        </w:numPr>
        <w:tabs>
          <w:tab w:val="clear" w:pos="851"/>
          <w:tab w:val="clear" w:pos="1134"/>
        </w:tabs>
        <w:spacing w:before="0" w:after="0"/>
        <w:ind w:left="0" w:firstLine="0"/>
        <w:rPr>
          <w:lang w:val="es-ES"/>
        </w:rPr>
      </w:pPr>
      <w:r w:rsidRPr="00B56DE1">
        <w:rPr>
          <w:lang w:val="es-ES"/>
        </w:rPr>
        <w:t xml:space="preserve">Varios organismos de las NN.UU. han empezado a financiar su pasivo del seguro médico tras la separación del servicio;  en la tabla que figura a continuación aparece información sobre cómo se han invertido esos fondos: </w:t>
      </w:r>
    </w:p>
    <w:p w:rsidR="000F04C2" w:rsidRPr="00B56DE1" w:rsidRDefault="000F04C2" w:rsidP="000F04C2">
      <w:pPr>
        <w:pStyle w:val="ListParagraph"/>
        <w:numPr>
          <w:ilvl w:val="0"/>
          <w:numId w:val="0"/>
        </w:numPr>
        <w:tabs>
          <w:tab w:val="clear" w:pos="851"/>
          <w:tab w:val="clear" w:pos="1134"/>
        </w:tabs>
        <w:spacing w:before="0" w:after="0"/>
        <w:rPr>
          <w:lang w:val="es-ES"/>
        </w:rPr>
      </w:pPr>
    </w:p>
    <w:p w:rsidR="000C631C" w:rsidRPr="00B56DE1" w:rsidRDefault="003F04D0" w:rsidP="000C631C">
      <w:pPr>
        <w:jc w:val="center"/>
      </w:pPr>
      <w:r w:rsidRPr="00B56DE1">
        <w:t xml:space="preserve">Cuadro </w:t>
      </w:r>
      <w:r w:rsidR="000C631C" w:rsidRPr="00B56DE1">
        <w:t>4</w:t>
      </w:r>
    </w:p>
    <w:p w:rsidR="000C631C" w:rsidRPr="00B56DE1" w:rsidRDefault="000C631C" w:rsidP="000C631C">
      <w:pPr>
        <w:rPr>
          <w:i/>
        </w:rPr>
      </w:pPr>
    </w:p>
    <w:p w:rsidR="000C631C" w:rsidRPr="00B56DE1" w:rsidRDefault="0046661C" w:rsidP="000F04C2">
      <w:pPr>
        <w:jc w:val="center"/>
      </w:pPr>
      <w:r w:rsidRPr="0046661C">
        <w:rPr>
          <w:noProof/>
          <w:lang w:val="en-US" w:eastAsia="en-US"/>
        </w:rPr>
        <w:drawing>
          <wp:inline distT="0" distB="0" distL="0" distR="0">
            <wp:extent cx="6012000" cy="414036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2000" cy="4140364"/>
                    </a:xfrm>
                    <a:prstGeom prst="rect">
                      <a:avLst/>
                    </a:prstGeom>
                    <a:noFill/>
                    <a:ln>
                      <a:noFill/>
                    </a:ln>
                  </pic:spPr>
                </pic:pic>
              </a:graphicData>
            </a:graphic>
          </wp:inline>
        </w:drawing>
      </w:r>
    </w:p>
    <w:p w:rsidR="000C631C" w:rsidRPr="00B56DE1" w:rsidRDefault="000C631C" w:rsidP="000C631C">
      <w:pPr>
        <w:rPr>
          <w:i/>
        </w:rPr>
      </w:pPr>
    </w:p>
    <w:p w:rsidR="00935951" w:rsidRPr="00B56DE1" w:rsidRDefault="00EC0BAA" w:rsidP="000F04C2">
      <w:pPr>
        <w:pStyle w:val="ListParagraph"/>
        <w:numPr>
          <w:ilvl w:val="0"/>
          <w:numId w:val="9"/>
        </w:numPr>
        <w:tabs>
          <w:tab w:val="clear" w:pos="851"/>
          <w:tab w:val="clear" w:pos="1134"/>
        </w:tabs>
        <w:ind w:left="0" w:firstLine="0"/>
        <w:rPr>
          <w:lang w:val="es-ES"/>
        </w:rPr>
      </w:pPr>
      <w:r w:rsidRPr="00B56DE1">
        <w:rPr>
          <w:lang w:val="es-ES"/>
        </w:rPr>
        <w:t>Un elemento</w:t>
      </w:r>
      <w:r w:rsidR="00935951" w:rsidRPr="00B56DE1">
        <w:rPr>
          <w:lang w:val="es-ES"/>
        </w:rPr>
        <w:t xml:space="preserve"> importante a la hora de determinar la estrategia </w:t>
      </w:r>
      <w:r w:rsidR="0046661C">
        <w:rPr>
          <w:lang w:val="es-ES"/>
        </w:rPr>
        <w:t>de</w:t>
      </w:r>
      <w:r w:rsidR="00935951" w:rsidRPr="00B56DE1">
        <w:rPr>
          <w:lang w:val="es-ES"/>
        </w:rPr>
        <w:t xml:space="preserve"> financiación del seguro médico tras la separación del servicio es llevar a cabo un análisis de gestión de activos y pasivos </w:t>
      </w:r>
      <w:r w:rsidRPr="00B56DE1">
        <w:rPr>
          <w:lang w:val="es-ES"/>
        </w:rPr>
        <w:t>con el propósito</w:t>
      </w:r>
      <w:r w:rsidR="00935951" w:rsidRPr="00B56DE1">
        <w:rPr>
          <w:lang w:val="es-ES"/>
        </w:rPr>
        <w:t xml:space="preserve"> de </w:t>
      </w:r>
      <w:r w:rsidR="00C51BD9" w:rsidRPr="00B56DE1">
        <w:rPr>
          <w:lang w:val="es-ES"/>
        </w:rPr>
        <w:t xml:space="preserve">hacer corresponder los vencimientos que deben atenderse respecto del pasivo global con los activos que se empleen para invertir los fondos.  </w:t>
      </w:r>
      <w:r w:rsidR="009701D6" w:rsidRPr="00B56DE1">
        <w:rPr>
          <w:lang w:val="es-ES"/>
        </w:rPr>
        <w:t xml:space="preserve">Seguidamente, el analista de la gestión de activos y pasivos </w:t>
      </w:r>
      <w:r w:rsidR="0046661C">
        <w:rPr>
          <w:lang w:val="es-ES"/>
        </w:rPr>
        <w:t xml:space="preserve">deberá </w:t>
      </w:r>
      <w:r w:rsidR="009701D6" w:rsidRPr="00B56DE1">
        <w:rPr>
          <w:lang w:val="es-ES"/>
        </w:rPr>
        <w:t xml:space="preserve">recomendar las clases de activos de inversión que conviene utilizar.  Dicho análisis cuesta </w:t>
      </w:r>
      <w:r w:rsidR="0046661C">
        <w:rPr>
          <w:lang w:val="es-ES"/>
        </w:rPr>
        <w:t>entre</w:t>
      </w:r>
      <w:r w:rsidR="009701D6" w:rsidRPr="00B56DE1">
        <w:rPr>
          <w:lang w:val="es-ES"/>
        </w:rPr>
        <w:t xml:space="preserve"> </w:t>
      </w:r>
      <w:r w:rsidRPr="00B56DE1">
        <w:rPr>
          <w:lang w:val="es-ES"/>
        </w:rPr>
        <w:t xml:space="preserve">20.000 </w:t>
      </w:r>
      <w:r w:rsidR="0046661C">
        <w:rPr>
          <w:lang w:val="es-ES"/>
        </w:rPr>
        <w:t>y</w:t>
      </w:r>
      <w:r w:rsidRPr="00B56DE1">
        <w:rPr>
          <w:lang w:val="es-ES"/>
        </w:rPr>
        <w:t xml:space="preserve"> 40.000</w:t>
      </w:r>
      <w:r w:rsidR="009701D6" w:rsidRPr="00B56DE1">
        <w:rPr>
          <w:lang w:val="es-ES"/>
        </w:rPr>
        <w:t xml:space="preserve"> francos suizos.</w:t>
      </w:r>
    </w:p>
    <w:p w:rsidR="000C631C" w:rsidRPr="00B56DE1" w:rsidRDefault="000C631C" w:rsidP="000C631C">
      <w:pPr>
        <w:rPr>
          <w:i/>
        </w:rPr>
      </w:pPr>
    </w:p>
    <w:p w:rsidR="000C631C" w:rsidRPr="00B56DE1" w:rsidRDefault="0058026A" w:rsidP="00853437">
      <w:pPr>
        <w:pStyle w:val="ListParagraph"/>
        <w:numPr>
          <w:ilvl w:val="0"/>
          <w:numId w:val="9"/>
        </w:numPr>
        <w:tabs>
          <w:tab w:val="clear" w:pos="851"/>
          <w:tab w:val="clear" w:pos="1134"/>
        </w:tabs>
        <w:spacing w:before="0" w:after="0"/>
        <w:ind w:left="0" w:firstLine="0"/>
        <w:rPr>
          <w:lang w:val="es-ES"/>
        </w:rPr>
      </w:pPr>
      <w:r w:rsidRPr="00B56DE1">
        <w:rPr>
          <w:lang w:val="es-ES"/>
        </w:rPr>
        <w:t xml:space="preserve">Por lo tanto, se propone llevar a cabo un estudio de gestión de activos y pasivos y, a continuación, preparar una política de inversión específica para el seguro médico tras la separación del servicio, que se basaría en la práctica de otros organismos de las NN.UU. que ya hayan instaurado una estrategia de inversión para </w:t>
      </w:r>
      <w:r w:rsidR="0046661C">
        <w:rPr>
          <w:lang w:val="es-ES"/>
        </w:rPr>
        <w:t>ese fin</w:t>
      </w:r>
      <w:r w:rsidRPr="00B56DE1">
        <w:rPr>
          <w:lang w:val="es-ES"/>
        </w:rPr>
        <w:t xml:space="preserve"> o que estén en proceso de hacerlo.  </w:t>
      </w:r>
      <w:r w:rsidR="00853437" w:rsidRPr="00B56DE1">
        <w:rPr>
          <w:lang w:val="es-ES"/>
        </w:rPr>
        <w:t xml:space="preserve">En </w:t>
      </w:r>
      <w:r w:rsidR="00333C26" w:rsidRPr="00B56DE1">
        <w:rPr>
          <w:lang w:val="es-ES"/>
        </w:rPr>
        <w:t>virtud de es</w:t>
      </w:r>
      <w:r w:rsidR="00855BDA" w:rsidRPr="00B56DE1">
        <w:rPr>
          <w:lang w:val="es-ES"/>
        </w:rPr>
        <w:t>a política estaría permitido recurrir a</w:t>
      </w:r>
      <w:r w:rsidR="00853437" w:rsidRPr="00B56DE1">
        <w:rPr>
          <w:lang w:val="es-ES"/>
        </w:rPr>
        <w:t xml:space="preserve"> productos de inversión adecuados para fondos a largo plazo, como las acciones.  Uno de los productos a considerar sería un régimen crediticio para compra de vivi</w:t>
      </w:r>
      <w:r w:rsidR="00113C6E" w:rsidRPr="00B56DE1">
        <w:rPr>
          <w:lang w:val="es-ES"/>
        </w:rPr>
        <w:t>endas por parte</w:t>
      </w:r>
      <w:r w:rsidR="00853437" w:rsidRPr="00B56DE1">
        <w:rPr>
          <w:lang w:val="es-ES"/>
        </w:rPr>
        <w:t xml:space="preserve"> </w:t>
      </w:r>
      <w:r w:rsidR="00113C6E" w:rsidRPr="00B56DE1">
        <w:rPr>
          <w:lang w:val="es-ES"/>
        </w:rPr>
        <w:t>d</w:t>
      </w:r>
      <w:r w:rsidR="00853437" w:rsidRPr="00B56DE1">
        <w:rPr>
          <w:lang w:val="es-ES"/>
        </w:rPr>
        <w:t xml:space="preserve">el personal de la Organización, </w:t>
      </w:r>
      <w:r w:rsidR="00113C6E" w:rsidRPr="00B56DE1">
        <w:rPr>
          <w:lang w:val="es-ES"/>
        </w:rPr>
        <w:t>que permitiría que los miembros del personal adquirieran</w:t>
      </w:r>
      <w:r w:rsidR="00853437" w:rsidRPr="00B56DE1">
        <w:rPr>
          <w:lang w:val="es-ES"/>
        </w:rPr>
        <w:t xml:space="preserve"> viviendas con condiciones ligeramente más ventajosas que las que ofrecen los bancos comerciales.  Ello redundaría en beneficio de los fondos del seguro médico tras la separación del servicio</w:t>
      </w:r>
      <w:r w:rsidR="00113C6E" w:rsidRPr="00B56DE1">
        <w:rPr>
          <w:lang w:val="es-ES"/>
        </w:rPr>
        <w:t xml:space="preserve"> gracias a que se</w:t>
      </w:r>
      <w:r w:rsidR="00853437" w:rsidRPr="00B56DE1">
        <w:rPr>
          <w:lang w:val="es-ES"/>
        </w:rPr>
        <w:t xml:space="preserve"> percibirían intereses por los montos prestados al personal a tipos que serían considerablemente superiores a los que se pagan por los depósitos bancarios.  La Oficina Europea de Patentes </w:t>
      </w:r>
      <w:r w:rsidR="00113C6E" w:rsidRPr="00B56DE1">
        <w:rPr>
          <w:lang w:val="es-ES"/>
        </w:rPr>
        <w:t>dispone de</w:t>
      </w:r>
      <w:r w:rsidR="00853437" w:rsidRPr="00B56DE1">
        <w:rPr>
          <w:lang w:val="es-ES"/>
        </w:rPr>
        <w:t xml:space="preserve"> un régimen crediticio de este tipo y cabría la posibilidad de estudiarlo para dirimir si </w:t>
      </w:r>
      <w:r w:rsidR="00113C6E" w:rsidRPr="00B56DE1">
        <w:rPr>
          <w:lang w:val="es-ES"/>
        </w:rPr>
        <w:t xml:space="preserve">en </w:t>
      </w:r>
      <w:r w:rsidR="00853437" w:rsidRPr="00B56DE1">
        <w:rPr>
          <w:lang w:val="es-ES"/>
        </w:rPr>
        <w:t xml:space="preserve">la OMPI </w:t>
      </w:r>
      <w:r w:rsidR="00113C6E" w:rsidRPr="00B56DE1">
        <w:rPr>
          <w:lang w:val="es-ES"/>
        </w:rPr>
        <w:t>se debe ofrecer</w:t>
      </w:r>
      <w:r w:rsidR="00853437" w:rsidRPr="00B56DE1">
        <w:rPr>
          <w:lang w:val="es-ES"/>
        </w:rPr>
        <w:t xml:space="preserve"> un régimen semejante. </w:t>
      </w:r>
    </w:p>
    <w:p w:rsidR="00853437" w:rsidRPr="00B56DE1" w:rsidRDefault="00853437" w:rsidP="00853437">
      <w:pPr>
        <w:pStyle w:val="ListParagraph"/>
        <w:numPr>
          <w:ilvl w:val="0"/>
          <w:numId w:val="0"/>
        </w:numPr>
        <w:tabs>
          <w:tab w:val="clear" w:pos="851"/>
          <w:tab w:val="clear" w:pos="1134"/>
        </w:tabs>
        <w:spacing w:before="0" w:after="0"/>
        <w:rPr>
          <w:lang w:val="es-ES"/>
        </w:rPr>
      </w:pPr>
    </w:p>
    <w:p w:rsidR="000C631C" w:rsidRPr="00B56DE1" w:rsidRDefault="00853437" w:rsidP="000C631C">
      <w:pPr>
        <w:pStyle w:val="ListParagraph"/>
        <w:numPr>
          <w:ilvl w:val="0"/>
          <w:numId w:val="9"/>
        </w:numPr>
        <w:tabs>
          <w:tab w:val="clear" w:pos="851"/>
          <w:tab w:val="clear" w:pos="1134"/>
        </w:tabs>
        <w:spacing w:before="0" w:after="0"/>
        <w:ind w:left="0" w:firstLine="0"/>
        <w:rPr>
          <w:lang w:val="es-ES"/>
        </w:rPr>
      </w:pPr>
      <w:r w:rsidRPr="00B56DE1">
        <w:rPr>
          <w:lang w:val="es-ES"/>
        </w:rPr>
        <w:t>Se propone el siguiente párrafo de decisión</w:t>
      </w:r>
      <w:r w:rsidR="000C631C" w:rsidRPr="00B56DE1">
        <w:rPr>
          <w:lang w:val="es-ES"/>
        </w:rPr>
        <w:t>.</w:t>
      </w:r>
    </w:p>
    <w:p w:rsidR="000C631C" w:rsidRPr="00B56DE1" w:rsidRDefault="000C631C" w:rsidP="000C631C"/>
    <w:p w:rsidR="000C631C" w:rsidRPr="00B56DE1" w:rsidRDefault="00853437" w:rsidP="000C631C">
      <w:pPr>
        <w:numPr>
          <w:ilvl w:val="0"/>
          <w:numId w:val="9"/>
        </w:numPr>
        <w:tabs>
          <w:tab w:val="left" w:pos="6096"/>
        </w:tabs>
        <w:spacing w:after="220" w:line="276" w:lineRule="auto"/>
        <w:ind w:left="5534" w:firstLine="0"/>
        <w:rPr>
          <w:i/>
        </w:rPr>
      </w:pPr>
      <w:r w:rsidRPr="00B56DE1">
        <w:rPr>
          <w:i/>
        </w:rPr>
        <w:t>El Comité del Programa y Presupuesto</w:t>
      </w:r>
      <w:r w:rsidR="000C631C" w:rsidRPr="00B56DE1">
        <w:rPr>
          <w:i/>
        </w:rPr>
        <w:t>:</w:t>
      </w:r>
    </w:p>
    <w:p w:rsidR="000C631C" w:rsidRPr="00B56DE1" w:rsidRDefault="00853437" w:rsidP="000C631C">
      <w:pPr>
        <w:pStyle w:val="Style2"/>
        <w:tabs>
          <w:tab w:val="left" w:pos="6521"/>
        </w:tabs>
        <w:spacing w:after="220"/>
        <w:ind w:left="5954" w:firstLine="0"/>
        <w:rPr>
          <w:lang w:val="es-ES"/>
        </w:rPr>
      </w:pPr>
      <w:r w:rsidRPr="00B56DE1">
        <w:rPr>
          <w:i/>
          <w:lang w:val="es-ES"/>
        </w:rPr>
        <w:t xml:space="preserve">reconoció la necesidad de modificar la política de inversiones; y </w:t>
      </w:r>
    </w:p>
    <w:p w:rsidR="000C631C" w:rsidRPr="00B56DE1" w:rsidRDefault="00853437" w:rsidP="000C631C">
      <w:pPr>
        <w:pStyle w:val="Style2"/>
        <w:tabs>
          <w:tab w:val="left" w:pos="6521"/>
        </w:tabs>
        <w:spacing w:after="220"/>
        <w:ind w:left="5954" w:firstLine="0"/>
        <w:rPr>
          <w:i/>
          <w:lang w:val="es-ES"/>
        </w:rPr>
      </w:pPr>
      <w:r w:rsidRPr="00B56DE1">
        <w:rPr>
          <w:i/>
          <w:lang w:val="es-ES"/>
        </w:rPr>
        <w:t>pidió a la Secretaría</w:t>
      </w:r>
      <w:r w:rsidR="000C631C" w:rsidRPr="00B56DE1">
        <w:rPr>
          <w:i/>
          <w:lang w:val="es-ES"/>
        </w:rPr>
        <w:t>:</w:t>
      </w:r>
    </w:p>
    <w:p w:rsidR="000C631C" w:rsidRPr="00B56DE1" w:rsidRDefault="00922070" w:rsidP="000C631C">
      <w:pPr>
        <w:pStyle w:val="Style2"/>
        <w:numPr>
          <w:ilvl w:val="0"/>
          <w:numId w:val="18"/>
        </w:numPr>
        <w:spacing w:after="220"/>
        <w:ind w:left="6237" w:firstLine="16"/>
        <w:rPr>
          <w:i/>
          <w:lang w:val="es-ES"/>
        </w:rPr>
      </w:pPr>
      <w:r w:rsidRPr="00B56DE1">
        <w:rPr>
          <w:i/>
          <w:lang w:val="es-ES"/>
        </w:rPr>
        <w:t>que</w:t>
      </w:r>
      <w:r w:rsidR="00C84B3C">
        <w:rPr>
          <w:i/>
          <w:lang w:val="es-ES"/>
        </w:rPr>
        <w:t xml:space="preserve"> para su</w:t>
      </w:r>
      <w:r w:rsidRPr="00B56DE1">
        <w:rPr>
          <w:i/>
          <w:lang w:val="es-ES"/>
        </w:rPr>
        <w:t xml:space="preserve"> próxima sesión presente</w:t>
      </w:r>
      <w:r w:rsidR="00853437" w:rsidRPr="00B56DE1">
        <w:rPr>
          <w:i/>
          <w:lang w:val="es-ES"/>
        </w:rPr>
        <w:t xml:space="preserve"> una propuesta detallada </w:t>
      </w:r>
      <w:r w:rsidR="00113C6E" w:rsidRPr="00B56DE1">
        <w:rPr>
          <w:i/>
          <w:lang w:val="es-ES"/>
        </w:rPr>
        <w:t>que co</w:t>
      </w:r>
      <w:r w:rsidR="00853437" w:rsidRPr="00B56DE1">
        <w:rPr>
          <w:i/>
          <w:lang w:val="es-ES"/>
        </w:rPr>
        <w:t>n</w:t>
      </w:r>
      <w:r w:rsidR="00113C6E" w:rsidRPr="00B56DE1">
        <w:rPr>
          <w:i/>
          <w:lang w:val="es-ES"/>
        </w:rPr>
        <w:t>tenga</w:t>
      </w:r>
      <w:r w:rsidR="00853437" w:rsidRPr="00B56DE1">
        <w:rPr>
          <w:i/>
          <w:lang w:val="es-ES"/>
        </w:rPr>
        <w:t xml:space="preserve"> una versión revisada de la política</w:t>
      </w:r>
      <w:r w:rsidRPr="00B56DE1">
        <w:rPr>
          <w:i/>
          <w:lang w:val="es-ES"/>
        </w:rPr>
        <w:t>, una vez que dicha propuesta haya sido examinada y autorizada por el Comité Asesor en materia de Inversiones;</w:t>
      </w:r>
    </w:p>
    <w:p w:rsidR="000C631C" w:rsidRPr="00B56DE1" w:rsidRDefault="00922070" w:rsidP="000C631C">
      <w:pPr>
        <w:pStyle w:val="Style2"/>
        <w:numPr>
          <w:ilvl w:val="0"/>
          <w:numId w:val="18"/>
        </w:numPr>
        <w:spacing w:after="220"/>
        <w:ind w:left="6237" w:firstLine="16"/>
        <w:rPr>
          <w:i/>
          <w:lang w:val="es-ES"/>
        </w:rPr>
      </w:pPr>
      <w:r w:rsidRPr="00B56DE1">
        <w:rPr>
          <w:i/>
          <w:lang w:val="es-ES"/>
        </w:rPr>
        <w:t>que lleve a cabo un estudio de gestión del activo y el pasivo y presente una política de inversiones específica para la financiación del seguro médico tras la separación del servicio, una vez que haya sido examinado y a</w:t>
      </w:r>
      <w:r w:rsidR="00C84B3C">
        <w:rPr>
          <w:i/>
          <w:lang w:val="es-ES"/>
        </w:rPr>
        <w:t>probad</w:t>
      </w:r>
      <w:r w:rsidRPr="00B56DE1">
        <w:rPr>
          <w:i/>
          <w:lang w:val="es-ES"/>
        </w:rPr>
        <w:t>o por el Comité Asesor en materia de Inversiones;  y</w:t>
      </w:r>
    </w:p>
    <w:p w:rsidR="000C631C" w:rsidRPr="00B56DE1" w:rsidRDefault="00922070" w:rsidP="00922070">
      <w:pPr>
        <w:pStyle w:val="Style2"/>
        <w:numPr>
          <w:ilvl w:val="0"/>
          <w:numId w:val="18"/>
        </w:numPr>
        <w:spacing w:after="220"/>
        <w:ind w:left="6237" w:firstLine="16"/>
        <w:rPr>
          <w:i/>
          <w:lang w:val="es-ES"/>
        </w:rPr>
      </w:pPr>
      <w:r w:rsidRPr="00B56DE1">
        <w:rPr>
          <w:i/>
          <w:lang w:val="es-ES"/>
        </w:rPr>
        <w:t xml:space="preserve">que, en la medida en que haya </w:t>
      </w:r>
      <w:r w:rsidR="00C84B3C">
        <w:rPr>
          <w:i/>
          <w:lang w:val="es-ES"/>
        </w:rPr>
        <w:t xml:space="preserve">un nivel suficiente de </w:t>
      </w:r>
      <w:r w:rsidRPr="00B56DE1">
        <w:rPr>
          <w:i/>
          <w:lang w:val="es-ES"/>
        </w:rPr>
        <w:t xml:space="preserve">liquidez disponible, sufrague los gastos de la Sala de Conferencia con fondos </w:t>
      </w:r>
      <w:r w:rsidR="00C84B3C">
        <w:rPr>
          <w:i/>
          <w:lang w:val="es-ES"/>
        </w:rPr>
        <w:t>destinados a la</w:t>
      </w:r>
      <w:r w:rsidR="00615681" w:rsidRPr="00B56DE1">
        <w:rPr>
          <w:i/>
          <w:lang w:val="es-ES"/>
        </w:rPr>
        <w:t xml:space="preserve"> inversi</w:t>
      </w:r>
      <w:r w:rsidR="00C84B3C">
        <w:rPr>
          <w:i/>
          <w:lang w:val="es-ES"/>
        </w:rPr>
        <w:t>ó</w:t>
      </w:r>
      <w:r w:rsidR="00615681" w:rsidRPr="00B56DE1">
        <w:rPr>
          <w:i/>
          <w:lang w:val="es-ES"/>
        </w:rPr>
        <w:t>n y no utilizando</w:t>
      </w:r>
      <w:r w:rsidRPr="00B56DE1">
        <w:rPr>
          <w:i/>
          <w:lang w:val="es-ES"/>
        </w:rPr>
        <w:t xml:space="preserve"> el p</w:t>
      </w:r>
      <w:r w:rsidR="00615681" w:rsidRPr="00B56DE1">
        <w:rPr>
          <w:i/>
          <w:lang w:val="es-ES"/>
        </w:rPr>
        <w:t>réstamo que se contrajo para es</w:t>
      </w:r>
      <w:r w:rsidRPr="00B56DE1">
        <w:rPr>
          <w:i/>
          <w:lang w:val="es-ES"/>
        </w:rPr>
        <w:t>e fin y/o que efectúe uno o los dos reembolsos del préstamo para el</w:t>
      </w:r>
      <w:r w:rsidR="00615681" w:rsidRPr="00B56DE1">
        <w:rPr>
          <w:i/>
          <w:lang w:val="es-ES"/>
        </w:rPr>
        <w:t xml:space="preserve"> proyecto de construcción del Nuevo E</w:t>
      </w:r>
      <w:r w:rsidRPr="00B56DE1">
        <w:rPr>
          <w:i/>
          <w:lang w:val="es-ES"/>
        </w:rPr>
        <w:t xml:space="preserve">dificio, </w:t>
      </w:r>
      <w:r w:rsidR="00113C6E" w:rsidRPr="00B56DE1">
        <w:rPr>
          <w:i/>
          <w:lang w:val="es-ES"/>
        </w:rPr>
        <w:t>pagaderos en</w:t>
      </w:r>
      <w:r w:rsidRPr="00B56DE1">
        <w:rPr>
          <w:i/>
          <w:lang w:val="es-ES"/>
        </w:rPr>
        <w:t xml:space="preserve"> noviembre de 2015 y en</w:t>
      </w:r>
      <w:r w:rsidR="000F04C2" w:rsidRPr="00B56DE1">
        <w:rPr>
          <w:i/>
          <w:lang w:val="es-ES"/>
        </w:rPr>
        <w:t>ero de </w:t>
      </w:r>
      <w:r w:rsidRPr="00B56DE1">
        <w:rPr>
          <w:i/>
          <w:lang w:val="es-ES"/>
        </w:rPr>
        <w:t xml:space="preserve">2016. </w:t>
      </w:r>
    </w:p>
    <w:p w:rsidR="00C84B3C" w:rsidRDefault="00C84B3C" w:rsidP="000C631C">
      <w:pPr>
        <w:spacing w:line="276" w:lineRule="auto"/>
        <w:ind w:left="5533"/>
      </w:pPr>
    </w:p>
    <w:p w:rsidR="00C84B3C" w:rsidRDefault="00C84B3C" w:rsidP="000C631C">
      <w:pPr>
        <w:spacing w:line="276" w:lineRule="auto"/>
        <w:ind w:left="5533"/>
      </w:pPr>
    </w:p>
    <w:p w:rsidR="000C631C" w:rsidRPr="00B56DE1" w:rsidRDefault="000C631C" w:rsidP="000C631C">
      <w:pPr>
        <w:spacing w:line="276" w:lineRule="auto"/>
        <w:ind w:left="5533"/>
      </w:pPr>
      <w:r w:rsidRPr="00B56DE1">
        <w:sym w:font="Symbol" w:char="F05B"/>
      </w:r>
      <w:r w:rsidR="0086159A" w:rsidRPr="00B56DE1">
        <w:t>Siguen los Anexos</w:t>
      </w:r>
      <w:r w:rsidRPr="00B56DE1">
        <w:sym w:font="Symbol" w:char="F05D"/>
      </w:r>
    </w:p>
    <w:p w:rsidR="000C631C" w:rsidRPr="00B56DE1" w:rsidRDefault="000C631C" w:rsidP="000F04C2"/>
    <w:p w:rsidR="000C631C" w:rsidRPr="00B56DE1" w:rsidRDefault="000C631C" w:rsidP="000C631C">
      <w:pPr>
        <w:spacing w:line="276" w:lineRule="auto"/>
        <w:ind w:left="5533"/>
        <w:sectPr w:rsidR="000C631C" w:rsidRPr="00B56DE1" w:rsidSect="005606D8">
          <w:headerReference w:type="default" r:id="rId14"/>
          <w:endnotePr>
            <w:numFmt w:val="decimal"/>
          </w:endnotePr>
          <w:pgSz w:w="11907" w:h="16840" w:code="9"/>
          <w:pgMar w:top="567" w:right="1134" w:bottom="1134" w:left="1418" w:header="510" w:footer="1021" w:gutter="0"/>
          <w:cols w:space="720"/>
          <w:titlePg/>
          <w:docGrid w:linePitch="299"/>
        </w:sectPr>
      </w:pPr>
    </w:p>
    <w:p w:rsidR="000F04C2" w:rsidRPr="00B56DE1" w:rsidRDefault="000F04C2" w:rsidP="0086159A">
      <w:pPr>
        <w:rPr>
          <w:iCs/>
          <w:szCs w:val="22"/>
        </w:rPr>
      </w:pPr>
    </w:p>
    <w:p w:rsidR="0086159A" w:rsidRPr="00B56DE1" w:rsidRDefault="0086159A" w:rsidP="0086159A">
      <w:pPr>
        <w:rPr>
          <w:b/>
          <w:iCs/>
          <w:szCs w:val="22"/>
        </w:rPr>
      </w:pPr>
      <w:r w:rsidRPr="00B56DE1">
        <w:rPr>
          <w:b/>
          <w:iCs/>
          <w:szCs w:val="22"/>
        </w:rPr>
        <w:t>POLÍTICA DE INVERSIONES</w:t>
      </w:r>
    </w:p>
    <w:p w:rsidR="0086159A" w:rsidRPr="00B56DE1" w:rsidRDefault="00132536" w:rsidP="0086159A">
      <w:pPr>
        <w:rPr>
          <w:i/>
          <w:iCs/>
          <w:color w:val="000000"/>
          <w:szCs w:val="22"/>
        </w:rPr>
      </w:pPr>
      <w:r w:rsidRPr="00B56DE1">
        <w:rPr>
          <w:i/>
          <w:iCs/>
          <w:color w:val="000000"/>
          <w:szCs w:val="22"/>
        </w:rPr>
        <w:t>Aprobada por las Asambleas de los Estados miembros en su cuadragésima novena serie de reunion</w:t>
      </w:r>
      <w:r w:rsidR="00672CB1" w:rsidRPr="00B56DE1">
        <w:rPr>
          <w:i/>
          <w:iCs/>
          <w:color w:val="000000"/>
          <w:szCs w:val="22"/>
        </w:rPr>
        <w:t>e</w:t>
      </w:r>
      <w:r w:rsidRPr="00B56DE1">
        <w:rPr>
          <w:i/>
          <w:iCs/>
          <w:color w:val="000000"/>
          <w:szCs w:val="22"/>
        </w:rPr>
        <w:t xml:space="preserve">s, celebrada del </w:t>
      </w:r>
      <w:r w:rsidR="00672CB1" w:rsidRPr="00B56DE1">
        <w:rPr>
          <w:i/>
          <w:iCs/>
          <w:color w:val="000000"/>
          <w:szCs w:val="22"/>
        </w:rPr>
        <w:t>26 de septiembre al 5 de octubre de 2011.</w:t>
      </w:r>
      <w:r w:rsidRPr="00B56DE1">
        <w:rPr>
          <w:i/>
          <w:iCs/>
          <w:color w:val="000000"/>
          <w:szCs w:val="22"/>
        </w:rPr>
        <w:t xml:space="preserve"> </w:t>
      </w:r>
    </w:p>
    <w:p w:rsidR="00672CB1" w:rsidRPr="00B56DE1" w:rsidRDefault="00672CB1" w:rsidP="0086159A">
      <w:pPr>
        <w:rPr>
          <w:i/>
          <w:iCs/>
          <w:color w:val="000000"/>
          <w:szCs w:val="22"/>
        </w:rPr>
      </w:pPr>
    </w:p>
    <w:p w:rsidR="0086159A" w:rsidRPr="00B56DE1" w:rsidRDefault="0086159A" w:rsidP="0086159A">
      <w:pPr>
        <w:rPr>
          <w:iCs/>
          <w:szCs w:val="22"/>
          <w:u w:val="single"/>
        </w:rPr>
      </w:pPr>
      <w:r w:rsidRPr="00B56DE1">
        <w:rPr>
          <w:iCs/>
          <w:szCs w:val="22"/>
          <w:u w:val="single"/>
        </w:rPr>
        <w:t>Atribuciones</w:t>
      </w:r>
    </w:p>
    <w:p w:rsidR="0086159A" w:rsidRPr="00B56DE1" w:rsidRDefault="0086159A" w:rsidP="0086159A">
      <w:pPr>
        <w:rPr>
          <w:szCs w:val="22"/>
        </w:rPr>
      </w:pPr>
      <w:r w:rsidRPr="00B56DE1">
        <w:rPr>
          <w:iCs/>
          <w:szCs w:val="22"/>
        </w:rPr>
        <w:t>1.</w:t>
      </w:r>
      <w:r w:rsidRPr="00B56DE1">
        <w:rPr>
          <w:iCs/>
          <w:szCs w:val="22"/>
        </w:rPr>
        <w:tab/>
        <w:t>La presente política de inversiones se desarrolla de acuerdo con al artí</w:t>
      </w:r>
      <w:r w:rsidR="00333C26" w:rsidRPr="00B56DE1">
        <w:rPr>
          <w:iCs/>
          <w:szCs w:val="22"/>
        </w:rPr>
        <w:t>culo 4.10 de la Reglamentación F</w:t>
      </w:r>
      <w:r w:rsidRPr="00B56DE1">
        <w:rPr>
          <w:iCs/>
          <w:szCs w:val="22"/>
        </w:rPr>
        <w:t xml:space="preserve">inanciera, que otorga al Director General atribuciones para realizar inversiones a corto plazo </w:t>
      </w:r>
      <w:r w:rsidRPr="00B56DE1">
        <w:rPr>
          <w:szCs w:val="22"/>
        </w:rPr>
        <w:t xml:space="preserve">con las sumas que no se precisen para atender las necesidades inmediatas, de acuerdo con la política de la Organización en materia de inversiones aprobada por los Estados miembros y con el artículo 4.11, que le otorga asimismo atribuciones para invertir a largo plazo las sumas existentes en el haber de la Organización, de acuerdo con la política de la Organización en materia de inversiones aprobada por los Estados miembros.  En la política de inversiones se tiene en cuenta también la </w:t>
      </w:r>
      <w:r w:rsidR="00C84B3C">
        <w:rPr>
          <w:szCs w:val="22"/>
        </w:rPr>
        <w:t>regla 104.10.</w:t>
      </w:r>
      <w:r w:rsidR="00333C26" w:rsidRPr="00B56DE1">
        <w:rPr>
          <w:szCs w:val="22"/>
        </w:rPr>
        <w:t>a) del Reglamento F</w:t>
      </w:r>
      <w:r w:rsidRPr="00B56DE1">
        <w:rPr>
          <w:szCs w:val="22"/>
        </w:rPr>
        <w:t>inanciero, que faculta al Contralor para realizar inversiones y administrarlas con prudencia, de acuerdo con la política de la Organización en materia de inversiones aprobada por los Estados miembros.</w:t>
      </w:r>
    </w:p>
    <w:p w:rsidR="0086159A" w:rsidRPr="00B56DE1" w:rsidRDefault="0086159A" w:rsidP="0086159A">
      <w:pPr>
        <w:rPr>
          <w:szCs w:val="22"/>
        </w:rPr>
      </w:pPr>
    </w:p>
    <w:p w:rsidR="0086159A" w:rsidRPr="00B56DE1" w:rsidRDefault="0086159A" w:rsidP="0086159A">
      <w:pPr>
        <w:rPr>
          <w:iCs/>
          <w:szCs w:val="22"/>
          <w:u w:val="single"/>
        </w:rPr>
      </w:pPr>
      <w:r w:rsidRPr="00B56DE1">
        <w:rPr>
          <w:iCs/>
          <w:szCs w:val="22"/>
          <w:u w:val="single"/>
        </w:rPr>
        <w:t>Objetivos</w:t>
      </w:r>
    </w:p>
    <w:p w:rsidR="0086159A" w:rsidRPr="00B56DE1" w:rsidRDefault="0086159A" w:rsidP="0086159A">
      <w:pPr>
        <w:rPr>
          <w:szCs w:val="22"/>
        </w:rPr>
      </w:pPr>
      <w:r w:rsidRPr="00B56DE1">
        <w:rPr>
          <w:iCs/>
          <w:szCs w:val="22"/>
        </w:rPr>
        <w:t>2.</w:t>
      </w:r>
      <w:r w:rsidRPr="00B56DE1">
        <w:rPr>
          <w:iCs/>
          <w:szCs w:val="22"/>
        </w:rPr>
        <w:tab/>
        <w:t>Los objetivos de la política de inversiones los establece la regla 104.10 b), en la que se indica que el Contralor velará “</w:t>
      </w:r>
      <w:r w:rsidRPr="00B56DE1">
        <w:rPr>
          <w:szCs w:val="22"/>
        </w:rPr>
        <w:t>por que los fondos se inviertan y se mantengan en las unidades monetarias que permitan reducir al mínimo el riesgo del principal, asegurando, al mismo tiempo, la liquidez necesaria para atender las necesidades de efectivo de la Organización”.  Los objetivos fundamentales de la gestión de inversiones de la Organización serán, por orden de preferencia, i) la conservación del capital;  ii) la liquidez y iii) dentro de los límites establecidos por i) y ii), la tasa de rendimiento.</w:t>
      </w:r>
    </w:p>
    <w:p w:rsidR="0086159A" w:rsidRPr="00B56DE1" w:rsidRDefault="0086159A" w:rsidP="0086159A">
      <w:pPr>
        <w:rPr>
          <w:szCs w:val="22"/>
        </w:rPr>
      </w:pPr>
    </w:p>
    <w:p w:rsidR="0086159A" w:rsidRPr="00B56DE1" w:rsidRDefault="0086159A" w:rsidP="0086159A">
      <w:pPr>
        <w:rPr>
          <w:iCs/>
          <w:szCs w:val="22"/>
          <w:u w:val="single"/>
        </w:rPr>
      </w:pPr>
      <w:r w:rsidRPr="00B56DE1">
        <w:rPr>
          <w:iCs/>
          <w:szCs w:val="22"/>
          <w:u w:val="single"/>
        </w:rPr>
        <w:t>Diversificación de las entidades financieras</w:t>
      </w:r>
    </w:p>
    <w:p w:rsidR="0086159A" w:rsidRPr="00B56DE1" w:rsidRDefault="0086159A" w:rsidP="0086159A">
      <w:pPr>
        <w:rPr>
          <w:szCs w:val="22"/>
        </w:rPr>
      </w:pPr>
      <w:r w:rsidRPr="00B56DE1">
        <w:rPr>
          <w:iCs/>
          <w:szCs w:val="22"/>
        </w:rPr>
        <w:t>3.</w:t>
      </w:r>
      <w:r w:rsidRPr="00B56DE1">
        <w:rPr>
          <w:iCs/>
          <w:szCs w:val="22"/>
        </w:rPr>
        <w:tab/>
        <w:t>En la regla 104.12 a) se establece que “</w:t>
      </w:r>
      <w:r w:rsidRPr="00B56DE1">
        <w:rPr>
          <w:szCs w:val="22"/>
        </w:rPr>
        <w:t xml:space="preserve">todas las inversiones se efectuarán por medio de las entidades financieras acreditadas que designe el Contralor”.  Las inversiones de la Organización habrán de distribuirse entre varias entidades, asegurándose de que no se expone más </w:t>
      </w:r>
      <w:r w:rsidR="00333C26" w:rsidRPr="00B56DE1">
        <w:rPr>
          <w:szCs w:val="22"/>
        </w:rPr>
        <w:t>del 10%</w:t>
      </w:r>
      <w:r w:rsidRPr="00B56DE1">
        <w:rPr>
          <w:szCs w:val="22"/>
        </w:rPr>
        <w:t xml:space="preserve"> de las inversiones a una misma entidad a la vez, a excepción de las entidades de riesgo soberano y de aquellas con calificación crediticia de AAA/Aaa</w:t>
      </w:r>
      <w:r w:rsidRPr="00B56DE1">
        <w:rPr>
          <w:rStyle w:val="FootnoteReference"/>
          <w:szCs w:val="22"/>
        </w:rPr>
        <w:footnoteReference w:id="3"/>
      </w:r>
      <w:r w:rsidRPr="00B56DE1">
        <w:rPr>
          <w:szCs w:val="22"/>
        </w:rPr>
        <w:t xml:space="preserve"> para las que no hay límites ni restricciones.</w:t>
      </w:r>
    </w:p>
    <w:p w:rsidR="0086159A" w:rsidRPr="00B56DE1" w:rsidRDefault="0086159A" w:rsidP="0086159A">
      <w:pPr>
        <w:rPr>
          <w:szCs w:val="22"/>
        </w:rPr>
      </w:pPr>
    </w:p>
    <w:p w:rsidR="0086159A" w:rsidRPr="00B56DE1" w:rsidRDefault="0086159A" w:rsidP="0086159A">
      <w:pPr>
        <w:rPr>
          <w:iCs/>
          <w:szCs w:val="22"/>
          <w:u w:val="single"/>
        </w:rPr>
      </w:pPr>
      <w:r w:rsidRPr="00B56DE1">
        <w:rPr>
          <w:iCs/>
          <w:szCs w:val="22"/>
          <w:u w:val="single"/>
        </w:rPr>
        <w:t>Unidad monetaria de las inversiones</w:t>
      </w:r>
    </w:p>
    <w:p w:rsidR="0086159A" w:rsidRPr="00B56DE1" w:rsidRDefault="0086159A" w:rsidP="0086159A">
      <w:pPr>
        <w:rPr>
          <w:iCs/>
          <w:szCs w:val="22"/>
        </w:rPr>
      </w:pPr>
      <w:r w:rsidRPr="00B56DE1">
        <w:rPr>
          <w:iCs/>
          <w:szCs w:val="22"/>
        </w:rPr>
        <w:t>4.</w:t>
      </w:r>
      <w:r w:rsidRPr="00B56DE1">
        <w:rPr>
          <w:iCs/>
          <w:szCs w:val="22"/>
        </w:rPr>
        <w:tab/>
        <w:t>La exposición y el riesgo cambiarios se deben gestionar de manera que se reduzca el riesgo al mínimo y se mantenga el valor de los activos tal como se denomina en francos suizos, que es la unidad monetaria que se utiliza al aprobar el presupuesto de la Organización y al informar de las cuentas.  En la medida de lo posible, las inversiones a corto, medio y largo plazo deberán gestionarse haciendo coincidir la unidad monetaria empleada, así como las previsiones de ingresos de efectivo y de desembolsos por uni</w:t>
      </w:r>
      <w:r w:rsidR="000F04C2" w:rsidRPr="00B56DE1">
        <w:rPr>
          <w:iCs/>
          <w:szCs w:val="22"/>
        </w:rPr>
        <w:t>dad monetaria y por ejercicio.</w:t>
      </w:r>
    </w:p>
    <w:p w:rsidR="000F04C2" w:rsidRPr="00B56DE1" w:rsidRDefault="000F04C2" w:rsidP="0086159A">
      <w:pPr>
        <w:keepNext/>
        <w:keepLines/>
        <w:rPr>
          <w:iCs/>
          <w:szCs w:val="22"/>
          <w:u w:val="single"/>
        </w:rPr>
      </w:pPr>
    </w:p>
    <w:p w:rsidR="0086159A" w:rsidRPr="00B56DE1" w:rsidRDefault="0086159A" w:rsidP="0086159A">
      <w:pPr>
        <w:keepNext/>
        <w:keepLines/>
        <w:rPr>
          <w:iCs/>
          <w:szCs w:val="22"/>
          <w:u w:val="single"/>
        </w:rPr>
      </w:pPr>
      <w:r w:rsidRPr="00B56DE1">
        <w:rPr>
          <w:iCs/>
          <w:szCs w:val="22"/>
          <w:u w:val="single"/>
        </w:rPr>
        <w:t>Punto de referencia</w:t>
      </w:r>
    </w:p>
    <w:p w:rsidR="0086159A" w:rsidRPr="00B56DE1" w:rsidRDefault="0086159A" w:rsidP="0086159A">
      <w:pPr>
        <w:keepNext/>
        <w:keepLines/>
        <w:rPr>
          <w:iCs/>
          <w:szCs w:val="22"/>
        </w:rPr>
      </w:pPr>
      <w:r w:rsidRPr="00B56DE1">
        <w:rPr>
          <w:iCs/>
          <w:szCs w:val="22"/>
        </w:rPr>
        <w:t>5.</w:t>
      </w:r>
      <w:r w:rsidRPr="00B56DE1">
        <w:rPr>
          <w:iCs/>
          <w:szCs w:val="22"/>
        </w:rPr>
        <w:tab/>
        <w:t>Todas las categorías de recursos de efectivo de la Organización se gestionarán de forma interna tomando como referencia para ello la tasa de rentabilidad obtenida por la Organización a través de los depósitos efectuados en el Banco Nacional Suizo (BNS) para los francos suizos, la tasa del Euribor a 3 meses para los euros y la tasa del T-bill a 3 meses para los dólares de los Estados Unidos.</w:t>
      </w:r>
    </w:p>
    <w:p w:rsidR="0086159A" w:rsidRPr="00B56DE1" w:rsidRDefault="0086159A" w:rsidP="0086159A">
      <w:pPr>
        <w:keepNext/>
        <w:keepLines/>
        <w:rPr>
          <w:iCs/>
          <w:szCs w:val="22"/>
        </w:rPr>
      </w:pPr>
    </w:p>
    <w:p w:rsidR="0086159A" w:rsidRPr="00B56DE1" w:rsidRDefault="0086159A" w:rsidP="0086159A">
      <w:pPr>
        <w:keepNext/>
        <w:keepLines/>
        <w:rPr>
          <w:iCs/>
          <w:szCs w:val="22"/>
          <w:u w:val="single"/>
        </w:rPr>
      </w:pPr>
      <w:r w:rsidRPr="00B56DE1">
        <w:rPr>
          <w:iCs/>
          <w:szCs w:val="22"/>
          <w:u w:val="single"/>
        </w:rPr>
        <w:t>Categorías de inversiones</w:t>
      </w:r>
    </w:p>
    <w:p w:rsidR="0086159A" w:rsidRPr="00B56DE1" w:rsidRDefault="0086159A" w:rsidP="0086159A">
      <w:pPr>
        <w:keepNext/>
        <w:keepLines/>
        <w:rPr>
          <w:szCs w:val="22"/>
        </w:rPr>
      </w:pPr>
      <w:r w:rsidRPr="00B56DE1">
        <w:rPr>
          <w:szCs w:val="22"/>
        </w:rPr>
        <w:t>6.</w:t>
      </w:r>
      <w:r w:rsidRPr="00B56DE1">
        <w:rPr>
          <w:szCs w:val="22"/>
        </w:rPr>
        <w:tab/>
        <w:t>Las inversiones se efectuarán de la manera siguiente:</w:t>
      </w:r>
    </w:p>
    <w:p w:rsidR="0086159A" w:rsidRPr="00B56DE1" w:rsidRDefault="0086159A" w:rsidP="0086159A">
      <w:pPr>
        <w:ind w:left="567"/>
        <w:rPr>
          <w:iCs/>
          <w:szCs w:val="22"/>
        </w:rPr>
      </w:pPr>
      <w:r w:rsidRPr="00B56DE1">
        <w:rPr>
          <w:iCs/>
          <w:szCs w:val="22"/>
        </w:rPr>
        <w:t>a)</w:t>
      </w:r>
      <w:r w:rsidRPr="00B56DE1">
        <w:rPr>
          <w:iCs/>
          <w:szCs w:val="22"/>
        </w:rPr>
        <w:tab/>
        <w:t>Todas las inversiones de la OMPI en francos suizos se efect</w:t>
      </w:r>
      <w:r w:rsidR="00333C26" w:rsidRPr="00B56DE1">
        <w:rPr>
          <w:iCs/>
          <w:szCs w:val="22"/>
        </w:rPr>
        <w:t>uarán en el BNS</w:t>
      </w:r>
      <w:r w:rsidRPr="00B56DE1">
        <w:rPr>
          <w:iCs/>
          <w:szCs w:val="22"/>
        </w:rPr>
        <w:t xml:space="preserve"> siempre y cuando la tasa ofrecida sea superior a la que ofrezcan los bancos comerciales que posean la calificación crediticia exigida.</w:t>
      </w:r>
    </w:p>
    <w:p w:rsidR="0086159A" w:rsidRPr="00B56DE1" w:rsidRDefault="0086159A" w:rsidP="0086159A">
      <w:pPr>
        <w:ind w:left="567"/>
        <w:rPr>
          <w:iCs/>
          <w:szCs w:val="22"/>
        </w:rPr>
      </w:pPr>
      <w:r w:rsidRPr="00B56DE1">
        <w:rPr>
          <w:iCs/>
          <w:szCs w:val="22"/>
        </w:rPr>
        <w:t>b)</w:t>
      </w:r>
      <w:r w:rsidRPr="00B56DE1">
        <w:rPr>
          <w:iCs/>
          <w:szCs w:val="22"/>
        </w:rPr>
        <w:tab/>
        <w:t>Las inversiones distintas de las efect</w:t>
      </w:r>
      <w:r w:rsidR="00333C26" w:rsidRPr="00B56DE1">
        <w:rPr>
          <w:iCs/>
          <w:szCs w:val="22"/>
        </w:rPr>
        <w:t>uadas en el BNS</w:t>
      </w:r>
      <w:r w:rsidRPr="00B56DE1">
        <w:rPr>
          <w:iCs/>
          <w:szCs w:val="22"/>
        </w:rPr>
        <w:t xml:space="preserve"> se limitarán a fondos de inversión en el mercado monetario y a depósitos a plazo efectuados en bancos que posean una calificación crediticia del nivel AA-/Aa3 o superior y a bonos de empresas o gubernamentales de alta categoría que tengan una calificación del nivel AA-/Aa3 o superior.</w:t>
      </w:r>
    </w:p>
    <w:p w:rsidR="0086159A" w:rsidRPr="00B56DE1" w:rsidRDefault="0086159A" w:rsidP="0086159A">
      <w:pPr>
        <w:ind w:left="567"/>
        <w:rPr>
          <w:iCs/>
          <w:szCs w:val="22"/>
        </w:rPr>
      </w:pPr>
      <w:r w:rsidRPr="00B56DE1">
        <w:rPr>
          <w:iCs/>
          <w:szCs w:val="22"/>
        </w:rPr>
        <w:t>c)</w:t>
      </w:r>
      <w:r w:rsidRPr="00B56DE1">
        <w:rPr>
          <w:iCs/>
          <w:szCs w:val="22"/>
        </w:rPr>
        <w:tab/>
        <w:t>Las sumas de los fondos fiduciarios se colocarán en fondos de inversión del mercado monetario y en depósitos a plazo en bancos que satisfagan la calificación crediticia exigida.</w:t>
      </w:r>
    </w:p>
    <w:p w:rsidR="0086159A" w:rsidRPr="00B56DE1" w:rsidRDefault="0086159A" w:rsidP="0086159A">
      <w:pPr>
        <w:rPr>
          <w:iCs/>
          <w:szCs w:val="22"/>
        </w:rPr>
      </w:pPr>
    </w:p>
    <w:p w:rsidR="0086159A" w:rsidRPr="00B56DE1" w:rsidRDefault="0086159A" w:rsidP="0086159A">
      <w:pPr>
        <w:rPr>
          <w:iCs/>
          <w:szCs w:val="22"/>
        </w:rPr>
      </w:pPr>
      <w:r w:rsidRPr="00B56DE1">
        <w:rPr>
          <w:iCs/>
          <w:szCs w:val="22"/>
        </w:rPr>
        <w:t>7.</w:t>
      </w:r>
      <w:r w:rsidRPr="00B56DE1">
        <w:rPr>
          <w:iCs/>
          <w:szCs w:val="22"/>
        </w:rPr>
        <w:tab/>
        <w:t>No se autorizarán las inversiones en derivados financieros con fines especulativos.  No obstante, en caso de que las inversiones se efectúen en unidades monetarias distintas del franco suizo, el Director Financiero o el Contralor podrá autorizar, previa consulta con la comisión asesora sobre inversiones establecida de forma interna por el Director General, el empleo de instrumentos de cobertura para reducir al mínimo el riesgo que generan las fluctuaciones de la unidad monetaria de la inversión frente al franco suizo, a fin de evitar que el rendimiento total de las inversiones sea negativo.</w:t>
      </w:r>
    </w:p>
    <w:p w:rsidR="0086159A" w:rsidRPr="00B56DE1" w:rsidRDefault="0086159A" w:rsidP="0086159A">
      <w:pPr>
        <w:rPr>
          <w:iCs/>
          <w:szCs w:val="22"/>
        </w:rPr>
      </w:pPr>
    </w:p>
    <w:p w:rsidR="0086159A" w:rsidRPr="00B56DE1" w:rsidRDefault="0086159A" w:rsidP="0086159A">
      <w:pPr>
        <w:rPr>
          <w:iCs/>
          <w:szCs w:val="22"/>
        </w:rPr>
      </w:pPr>
      <w:r w:rsidRPr="00B56DE1">
        <w:rPr>
          <w:iCs/>
          <w:szCs w:val="22"/>
        </w:rPr>
        <w:t>8.</w:t>
      </w:r>
      <w:r w:rsidRPr="00B56DE1">
        <w:rPr>
          <w:iCs/>
          <w:szCs w:val="22"/>
        </w:rPr>
        <w:tab/>
        <w:t>Las inversiones se deberán gestionar desde la propia Organización, a través de sus Servicios Financieros, previa aprobación del Director Financiero o el Contralor.  Las previsiones de flujos de efectivo para cada categoría deberán actualizarse de forma periódica a fin de asegurarse de que en todas ellas se dispone de fondos suficientes para atender las necesidades de liquidez.</w:t>
      </w:r>
    </w:p>
    <w:p w:rsidR="0086159A" w:rsidRPr="00B56DE1" w:rsidRDefault="0086159A" w:rsidP="0086159A">
      <w:pPr>
        <w:rPr>
          <w:iCs/>
          <w:szCs w:val="22"/>
        </w:rPr>
      </w:pPr>
    </w:p>
    <w:p w:rsidR="0086159A" w:rsidRPr="00B56DE1" w:rsidRDefault="0086159A" w:rsidP="0086159A">
      <w:pPr>
        <w:rPr>
          <w:iCs/>
          <w:szCs w:val="22"/>
        </w:rPr>
      </w:pPr>
      <w:r w:rsidRPr="00B56DE1">
        <w:rPr>
          <w:iCs/>
          <w:szCs w:val="22"/>
        </w:rPr>
        <w:t>9.</w:t>
      </w:r>
      <w:r w:rsidRPr="00B56DE1">
        <w:rPr>
          <w:iCs/>
          <w:szCs w:val="22"/>
        </w:rPr>
        <w:tab/>
        <w:t xml:space="preserve">La comisión asesora sobre inversiones y el Contralor revisarán al menos una vez al año las inversiones de los fondos de la Organización a fin de asegurarse de que en ellas se plasman las variaciones del modelo operativo y del estado financiero de la Organización. </w:t>
      </w:r>
    </w:p>
    <w:p w:rsidR="0086159A" w:rsidRPr="00B56DE1" w:rsidRDefault="0086159A" w:rsidP="0086159A">
      <w:pPr>
        <w:keepNext/>
        <w:keepLines/>
        <w:rPr>
          <w:iCs/>
          <w:szCs w:val="22"/>
        </w:rPr>
      </w:pPr>
    </w:p>
    <w:p w:rsidR="0086159A" w:rsidRPr="00B56DE1" w:rsidRDefault="0086159A" w:rsidP="0086159A">
      <w:pPr>
        <w:rPr>
          <w:iCs/>
          <w:szCs w:val="22"/>
          <w:u w:val="single"/>
        </w:rPr>
      </w:pPr>
      <w:r w:rsidRPr="00B56DE1">
        <w:rPr>
          <w:iCs/>
          <w:szCs w:val="22"/>
          <w:u w:val="single"/>
        </w:rPr>
        <w:t>Consideraciones éticas</w:t>
      </w:r>
    </w:p>
    <w:p w:rsidR="0086159A" w:rsidRPr="00B56DE1" w:rsidRDefault="0086159A" w:rsidP="0086159A">
      <w:pPr>
        <w:rPr>
          <w:iCs/>
          <w:szCs w:val="22"/>
        </w:rPr>
      </w:pPr>
      <w:r w:rsidRPr="00B56DE1">
        <w:rPr>
          <w:iCs/>
          <w:szCs w:val="22"/>
        </w:rPr>
        <w:t>10.</w:t>
      </w:r>
      <w:r w:rsidRPr="00B56DE1">
        <w:rPr>
          <w:iCs/>
          <w:szCs w:val="22"/>
        </w:rPr>
        <w:tab/>
        <w:t xml:space="preserve">En las inversiones en bonos de empresas, depósitos a plazo y fondos de inversión del mercado monetario se tendrá en cuenta si la entidad que gestiona la inversión ha suscrito los diez principios del Pacto Mundial de las Naciones Unidas en los ámbitos de </w:t>
      </w:r>
      <w:r w:rsidRPr="00B56DE1">
        <w:rPr>
          <w:szCs w:val="22"/>
        </w:rPr>
        <w:t>los derechos humanos, estándares laborales, medio ambiente y anticorrupción (www.unglobalcompact.org.)</w:t>
      </w:r>
    </w:p>
    <w:p w:rsidR="000C631C" w:rsidRPr="00B56DE1" w:rsidRDefault="000C631C" w:rsidP="000F04C2">
      <w:pPr>
        <w:rPr>
          <w:lang w:eastAsia="en-US"/>
        </w:rPr>
      </w:pPr>
    </w:p>
    <w:p w:rsidR="000C631C" w:rsidRPr="00B56DE1" w:rsidRDefault="000C631C" w:rsidP="000F04C2">
      <w:pPr>
        <w:rPr>
          <w:lang w:eastAsia="en-US"/>
        </w:rPr>
      </w:pPr>
    </w:p>
    <w:p w:rsidR="000C631C" w:rsidRPr="00B56DE1" w:rsidRDefault="000C631C" w:rsidP="000F04C2">
      <w:pPr>
        <w:rPr>
          <w:lang w:eastAsia="en-US"/>
        </w:rPr>
      </w:pPr>
    </w:p>
    <w:p w:rsidR="000C631C" w:rsidRPr="00B56DE1" w:rsidRDefault="000C631C" w:rsidP="000C631C">
      <w:pPr>
        <w:spacing w:line="276" w:lineRule="auto"/>
        <w:rPr>
          <w:rFonts w:eastAsia="Times New Roman"/>
          <w:color w:val="000000"/>
          <w:szCs w:val="22"/>
          <w:lang w:eastAsia="en-US"/>
        </w:rPr>
        <w:sectPr w:rsidR="000C631C" w:rsidRPr="00B56DE1" w:rsidSect="005606D8">
          <w:headerReference w:type="default" r:id="rId15"/>
          <w:headerReference w:type="first" r:id="rId16"/>
          <w:footerReference w:type="first" r:id="rId17"/>
          <w:footnotePr>
            <w:numRestart w:val="eachSect"/>
          </w:footnotePr>
          <w:endnotePr>
            <w:numFmt w:val="decimal"/>
          </w:endnotePr>
          <w:pgSz w:w="11907" w:h="16840" w:code="9"/>
          <w:pgMar w:top="1440" w:right="1191" w:bottom="1418" w:left="1440" w:header="510" w:footer="1021" w:gutter="0"/>
          <w:pgNumType w:start="1"/>
          <w:cols w:space="720"/>
          <w:titlePg/>
          <w:docGrid w:linePitch="299"/>
        </w:sectPr>
      </w:pP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657"/>
        <w:gridCol w:w="1766"/>
        <w:gridCol w:w="1643"/>
        <w:gridCol w:w="1622"/>
        <w:gridCol w:w="1643"/>
        <w:gridCol w:w="1622"/>
        <w:gridCol w:w="2080"/>
      </w:tblGrid>
      <w:tr w:rsidR="0086159A" w:rsidRPr="00B56DE1" w:rsidTr="005606D8">
        <w:trPr>
          <w:tblCellSpacing w:w="15" w:type="dxa"/>
          <w:jc w:val="center"/>
        </w:trPr>
        <w:tc>
          <w:tcPr>
            <w:tcW w:w="0" w:type="auto"/>
            <w:gridSpan w:val="2"/>
            <w:shd w:val="clear" w:color="auto" w:fill="FF7C80"/>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MOODY’S</w:t>
            </w:r>
          </w:p>
        </w:tc>
        <w:tc>
          <w:tcPr>
            <w:tcW w:w="0" w:type="auto"/>
            <w:gridSpan w:val="2"/>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STANDARD &amp; POOR’S</w:t>
            </w:r>
          </w:p>
        </w:tc>
        <w:tc>
          <w:tcPr>
            <w:tcW w:w="0" w:type="auto"/>
            <w:gridSpan w:val="2"/>
            <w:shd w:val="clear" w:color="auto" w:fill="0099FF"/>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FITCH</w:t>
            </w:r>
          </w:p>
        </w:tc>
        <w:tc>
          <w:tcPr>
            <w:tcW w:w="0" w:type="auto"/>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 </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Largo plazo</w:t>
            </w:r>
          </w:p>
        </w:tc>
        <w:tc>
          <w:tcPr>
            <w:tcW w:w="0" w:type="auto"/>
            <w:shd w:val="clear" w:color="auto" w:fill="FFC0CB"/>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Corto plazo</w:t>
            </w:r>
          </w:p>
        </w:tc>
        <w:tc>
          <w:tcPr>
            <w:tcW w:w="0" w:type="auto"/>
            <w:shd w:val="clear" w:color="auto" w:fill="FFFF00"/>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Largo plazo</w:t>
            </w:r>
          </w:p>
        </w:tc>
        <w:tc>
          <w:tcPr>
            <w:tcW w:w="0" w:type="auto"/>
            <w:shd w:val="clear" w:color="auto" w:fill="F0E68C"/>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Corto plazo</w:t>
            </w:r>
          </w:p>
        </w:tc>
        <w:tc>
          <w:tcPr>
            <w:tcW w:w="0" w:type="auto"/>
            <w:shd w:val="clear" w:color="auto" w:fill="1E90FF"/>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Largo plazo</w:t>
            </w:r>
          </w:p>
        </w:tc>
        <w:tc>
          <w:tcPr>
            <w:tcW w:w="0" w:type="auto"/>
            <w:shd w:val="clear" w:color="auto" w:fill="AFEEEE"/>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r w:rsidRPr="00B56DE1">
              <w:rPr>
                <w:rFonts w:eastAsia="Times New Roman" w:cs="Times New Roman"/>
                <w:b/>
                <w:bCs/>
                <w:sz w:val="19"/>
                <w:szCs w:val="19"/>
                <w:lang w:eastAsia="en-US"/>
              </w:rPr>
              <w:t>Corto plazo</w:t>
            </w:r>
          </w:p>
        </w:tc>
        <w:tc>
          <w:tcPr>
            <w:tcW w:w="0" w:type="auto"/>
            <w:tcMar>
              <w:top w:w="15" w:type="dxa"/>
              <w:left w:w="15" w:type="dxa"/>
              <w:bottom w:w="15" w:type="dxa"/>
              <w:right w:w="15" w:type="dxa"/>
            </w:tcMar>
            <w:vAlign w:val="center"/>
          </w:tcPr>
          <w:p w:rsidR="0086159A" w:rsidRPr="00B56DE1" w:rsidRDefault="0086159A" w:rsidP="0086159A">
            <w:pPr>
              <w:widowControl w:val="0"/>
              <w:adjustRightInd w:val="0"/>
              <w:spacing w:line="240" w:lineRule="atLeast"/>
              <w:ind w:left="1021"/>
              <w:jc w:val="center"/>
              <w:textAlignment w:val="baseline"/>
              <w:rPr>
                <w:rFonts w:eastAsia="Times New Roman" w:cs="Times New Roman"/>
                <w:b/>
                <w:bCs/>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4"/>
              <w:jc w:val="right"/>
              <w:rPr>
                <w:rFonts w:eastAsia="Times New Roman" w:cs="Times New Roman"/>
                <w:sz w:val="19"/>
                <w:szCs w:val="19"/>
                <w:lang w:eastAsia="en-US"/>
              </w:rPr>
            </w:pPr>
            <w:proofErr w:type="spellStart"/>
            <w:r w:rsidRPr="00B56DE1">
              <w:rPr>
                <w:rFonts w:eastAsia="Times New Roman" w:cs="Times New Roman"/>
                <w:sz w:val="19"/>
                <w:szCs w:val="19"/>
                <w:lang w:eastAsia="en-US"/>
              </w:rPr>
              <w:t>Aaa</w:t>
            </w:r>
            <w:proofErr w:type="spellEnd"/>
            <w:r w:rsidR="00307244">
              <w:rPr>
                <w:rFonts w:eastAsia="Times New Roman" w:cs="Times New Roman"/>
                <w:sz w:val="19"/>
                <w:szCs w:val="19"/>
                <w:lang w:eastAsia="en-US"/>
              </w:rPr>
              <w:t xml:space="preserve"> </w:t>
            </w:r>
          </w:p>
        </w:tc>
        <w:tc>
          <w:tcPr>
            <w:tcW w:w="0" w:type="auto"/>
            <w:vMerge w:val="restart"/>
            <w:shd w:val="clear" w:color="auto" w:fill="FFC0CB"/>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P-1</w:t>
            </w: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AAA</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A-1+</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AAA</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F1+</w:t>
            </w:r>
          </w:p>
        </w:tc>
        <w:tc>
          <w:tcPr>
            <w:tcW w:w="0" w:type="auto"/>
            <w:shd w:val="clear" w:color="auto" w:fill="D2B48C"/>
            <w:tcMar>
              <w:top w:w="15" w:type="dxa"/>
              <w:left w:w="15" w:type="dxa"/>
              <w:bottom w:w="15" w:type="dxa"/>
              <w:right w:w="15" w:type="dxa"/>
            </w:tcMar>
            <w:vAlign w:val="center"/>
          </w:tcPr>
          <w:p w:rsidR="0086159A" w:rsidRPr="00B56DE1" w:rsidRDefault="00307244" w:rsidP="00307244">
            <w:pPr>
              <w:spacing w:line="240" w:lineRule="atLeast"/>
              <w:ind w:left="513" w:hanging="31"/>
              <w:jc w:val="center"/>
              <w:rPr>
                <w:rFonts w:eastAsia="Times New Roman" w:cs="Times New Roman"/>
                <w:sz w:val="19"/>
                <w:szCs w:val="19"/>
                <w:lang w:eastAsia="en-US"/>
              </w:rPr>
            </w:pPr>
            <w:r>
              <w:rPr>
                <w:rFonts w:eastAsia="Times New Roman" w:cs="Times New Roman"/>
                <w:sz w:val="19"/>
                <w:szCs w:val="19"/>
                <w:lang w:eastAsia="en-US"/>
              </w:rPr>
              <w:t>De alta solvencia</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Aa1</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Calidad crediticia superior</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Aa2</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Aa3</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A1</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A-1</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F1</w:t>
            </w: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Calidad crediticia media - superior</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A2</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A3</w:t>
            </w:r>
          </w:p>
        </w:tc>
        <w:tc>
          <w:tcPr>
            <w:tcW w:w="0" w:type="auto"/>
            <w:vMerge w:val="restart"/>
            <w:shd w:val="clear" w:color="auto" w:fill="FFC0CB"/>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P-2</w:t>
            </w: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A-2</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F2</w:t>
            </w: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Baa1</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Calidad crediticia media - inferior</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Baa2</w:t>
            </w:r>
          </w:p>
        </w:tc>
        <w:tc>
          <w:tcPr>
            <w:tcW w:w="0" w:type="auto"/>
            <w:vMerge w:val="restart"/>
            <w:shd w:val="clear" w:color="auto" w:fill="FFC0CB"/>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P-3</w:t>
            </w: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A-3</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F3</w:t>
            </w: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Baa3</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Ba1</w:t>
            </w:r>
          </w:p>
        </w:tc>
        <w:tc>
          <w:tcPr>
            <w:tcW w:w="0" w:type="auto"/>
            <w:vMerge w:val="restart"/>
            <w:shd w:val="clear" w:color="auto" w:fill="FFC0CB"/>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Calidad inferior</w:t>
            </w: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Grado especulativo sin fines de inversión</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Ba2</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Ba3</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B1</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Altamente especulativo</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B2</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B3</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B-</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Caa1</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CCC+</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w:t>
            </w:r>
          </w:p>
        </w:tc>
        <w:tc>
          <w:tcPr>
            <w:tcW w:w="0" w:type="auto"/>
            <w:vMerge w:val="restart"/>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CCC</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w:t>
            </w:r>
          </w:p>
        </w:tc>
        <w:tc>
          <w:tcPr>
            <w:tcW w:w="0" w:type="auto"/>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Riesgos sustanciales</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Caa2</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CCC</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Enormemente especulativo</w:t>
            </w:r>
          </w:p>
        </w:tc>
      </w:tr>
      <w:tr w:rsidR="0086159A" w:rsidRPr="00B56DE1" w:rsidTr="005606D8">
        <w:trPr>
          <w:tblCellSpacing w:w="15" w:type="dxa"/>
          <w:jc w:val="center"/>
        </w:trPr>
        <w:tc>
          <w:tcPr>
            <w:tcW w:w="0" w:type="auto"/>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Caa3</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CCC-</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Incumplimiento de pago, pocas perspectivas de recuperación</w:t>
            </w:r>
          </w:p>
        </w:tc>
      </w:tr>
      <w:tr w:rsidR="0086159A" w:rsidRPr="00B56DE1" w:rsidTr="005606D8">
        <w:trPr>
          <w:tblCellSpacing w:w="15" w:type="dxa"/>
          <w:jc w:val="center"/>
        </w:trPr>
        <w:tc>
          <w:tcPr>
            <w:tcW w:w="0" w:type="auto"/>
            <w:vMerge w:val="restart"/>
            <w:shd w:val="clear" w:color="auto" w:fill="F080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Ca</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CC</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513" w:hanging="31"/>
              <w:rPr>
                <w:rFonts w:eastAsia="Times New Roman" w:cs="Times New Roman"/>
                <w:sz w:val="19"/>
                <w:szCs w:val="19"/>
                <w:lang w:eastAsia="en-US"/>
              </w:rPr>
            </w:pPr>
          </w:p>
        </w:tc>
      </w:tr>
      <w:tr w:rsidR="0086159A" w:rsidRPr="00B56DE1" w:rsidTr="005606D8">
        <w:trPr>
          <w:tblCellSpacing w:w="15" w:type="dxa"/>
          <w:jc w:val="center"/>
        </w:trPr>
        <w:tc>
          <w:tcPr>
            <w:tcW w:w="0" w:type="auto"/>
            <w:shd w:val="clear" w:color="auto" w:fill="F08080"/>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C</w:t>
            </w: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restart"/>
            <w:shd w:val="clear" w:color="auto" w:fill="FFFF0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D</w:t>
            </w:r>
          </w:p>
        </w:tc>
        <w:tc>
          <w:tcPr>
            <w:tcW w:w="0" w:type="auto"/>
            <w:vMerge w:val="restart"/>
            <w:shd w:val="clear" w:color="auto" w:fill="F0E68C"/>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w:t>
            </w:r>
          </w:p>
        </w:tc>
        <w:tc>
          <w:tcPr>
            <w:tcW w:w="0" w:type="auto"/>
            <w:shd w:val="clear" w:color="auto" w:fill="1E90FF"/>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DDD</w:t>
            </w:r>
          </w:p>
        </w:tc>
        <w:tc>
          <w:tcPr>
            <w:tcW w:w="0" w:type="auto"/>
            <w:vMerge w:val="restart"/>
            <w:shd w:val="clear" w:color="auto" w:fill="AFEEEE"/>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r w:rsidRPr="00B56DE1">
              <w:rPr>
                <w:rFonts w:eastAsia="Times New Roman" w:cs="Times New Roman"/>
                <w:sz w:val="19"/>
                <w:szCs w:val="19"/>
                <w:lang w:eastAsia="en-US"/>
              </w:rPr>
              <w:t>/</w:t>
            </w:r>
          </w:p>
        </w:tc>
        <w:tc>
          <w:tcPr>
            <w:tcW w:w="0" w:type="auto"/>
            <w:vMerge w:val="restart"/>
            <w:shd w:val="clear" w:color="auto" w:fill="D2B48C"/>
            <w:tcMar>
              <w:top w:w="15" w:type="dxa"/>
              <w:left w:w="15" w:type="dxa"/>
              <w:bottom w:w="15" w:type="dxa"/>
              <w:right w:w="15" w:type="dxa"/>
            </w:tcMar>
            <w:vAlign w:val="center"/>
          </w:tcPr>
          <w:p w:rsidR="0086159A" w:rsidRPr="00B56DE1" w:rsidRDefault="0086159A" w:rsidP="0086159A">
            <w:pPr>
              <w:spacing w:line="240" w:lineRule="atLeast"/>
              <w:ind w:left="513" w:hanging="31"/>
              <w:jc w:val="center"/>
              <w:rPr>
                <w:rFonts w:eastAsia="Times New Roman" w:cs="Times New Roman"/>
                <w:sz w:val="19"/>
                <w:szCs w:val="19"/>
                <w:lang w:eastAsia="en-US"/>
              </w:rPr>
            </w:pPr>
            <w:r w:rsidRPr="00B56DE1">
              <w:rPr>
                <w:rFonts w:eastAsia="Times New Roman" w:cs="Times New Roman"/>
                <w:sz w:val="19"/>
                <w:szCs w:val="19"/>
                <w:lang w:eastAsia="en-US"/>
              </w:rPr>
              <w:t>Incumplimiento de pago</w:t>
            </w:r>
          </w:p>
        </w:tc>
      </w:tr>
      <w:tr w:rsidR="0086159A" w:rsidRPr="00B56DE1" w:rsidTr="005606D8">
        <w:trPr>
          <w:tblCellSpacing w:w="15" w:type="dxa"/>
          <w:jc w:val="center"/>
        </w:trPr>
        <w:tc>
          <w:tcPr>
            <w:tcW w:w="0" w:type="auto"/>
            <w:shd w:val="clear" w:color="auto" w:fill="FF7C80"/>
            <w:tcMar>
              <w:top w:w="15" w:type="dxa"/>
              <w:left w:w="15" w:type="dxa"/>
              <w:bottom w:w="15" w:type="dxa"/>
              <w:right w:w="15" w:type="dxa"/>
            </w:tcMar>
            <w:vAlign w:val="center"/>
          </w:tcPr>
          <w:p w:rsidR="0086159A" w:rsidRPr="00B56DE1" w:rsidRDefault="0086159A" w:rsidP="0086159A">
            <w:pPr>
              <w:spacing w:line="240" w:lineRule="atLeast"/>
              <w:ind w:left="1021"/>
              <w:jc w:val="center"/>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shd w:val="clear" w:color="auto" w:fill="3399FF"/>
            <w:tcMar>
              <w:top w:w="15" w:type="dxa"/>
              <w:left w:w="15" w:type="dxa"/>
              <w:bottom w:w="15" w:type="dxa"/>
              <w:right w:w="15" w:type="dxa"/>
            </w:tcMar>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c>
          <w:tcPr>
            <w:tcW w:w="0" w:type="auto"/>
            <w:vMerge/>
            <w:vAlign w:val="center"/>
          </w:tcPr>
          <w:p w:rsidR="0086159A" w:rsidRPr="00B56DE1" w:rsidRDefault="0086159A" w:rsidP="0086159A">
            <w:pPr>
              <w:spacing w:line="240" w:lineRule="atLeast"/>
              <w:ind w:left="1021"/>
              <w:rPr>
                <w:rFonts w:eastAsia="Times New Roman" w:cs="Times New Roman"/>
                <w:sz w:val="19"/>
                <w:szCs w:val="19"/>
                <w:lang w:eastAsia="en-US"/>
              </w:rPr>
            </w:pPr>
          </w:p>
        </w:tc>
      </w:tr>
    </w:tbl>
    <w:p w:rsidR="0086159A" w:rsidRPr="00B56DE1" w:rsidRDefault="0086159A" w:rsidP="0086159A">
      <w:pPr>
        <w:spacing w:line="240" w:lineRule="atLeast"/>
        <w:ind w:left="1021"/>
        <w:rPr>
          <w:rFonts w:eastAsia="Times New Roman" w:cs="Times New Roman"/>
          <w:szCs w:val="22"/>
          <w:lang w:eastAsia="en-US"/>
        </w:rPr>
      </w:pPr>
    </w:p>
    <w:p w:rsidR="000C631C" w:rsidRPr="00B56DE1" w:rsidRDefault="0086159A" w:rsidP="0086159A">
      <w:pPr>
        <w:spacing w:after="120" w:line="260" w:lineRule="atLeast"/>
        <w:ind w:left="5534"/>
        <w:contextualSpacing/>
        <w:jc w:val="center"/>
        <w:rPr>
          <w:rFonts w:eastAsia="Times New Roman"/>
          <w:color w:val="000000"/>
          <w:szCs w:val="22"/>
          <w:lang w:eastAsia="en-US"/>
        </w:rPr>
        <w:sectPr w:rsidR="000C631C" w:rsidRPr="00B56DE1" w:rsidSect="005606D8">
          <w:headerReference w:type="first" r:id="rId18"/>
          <w:endnotePr>
            <w:numFmt w:val="decimal"/>
          </w:endnotePr>
          <w:pgSz w:w="16840" w:h="11907" w:orient="landscape" w:code="9"/>
          <w:pgMar w:top="1440" w:right="1440" w:bottom="1440" w:left="1440" w:header="510" w:footer="1021" w:gutter="0"/>
          <w:cols w:space="720"/>
          <w:titlePg/>
          <w:docGrid w:linePitch="299"/>
        </w:sectPr>
      </w:pPr>
      <w:r w:rsidRPr="00B56DE1">
        <w:rPr>
          <w:rFonts w:eastAsia="Times New Roman" w:cs="Times New Roman"/>
          <w:szCs w:val="22"/>
          <w:lang w:eastAsia="en-US"/>
        </w:rPr>
        <w:t>[Sigue el Anexo II</w:t>
      </w:r>
      <w:r w:rsidR="000C631C" w:rsidRPr="00B56DE1">
        <w:rPr>
          <w:rFonts w:eastAsia="Times New Roman"/>
          <w:color w:val="000000"/>
          <w:szCs w:val="22"/>
          <w:lang w:eastAsia="en-US"/>
        </w:rPr>
        <w:sym w:font="Symbol" w:char="F05D"/>
      </w:r>
    </w:p>
    <w:p w:rsidR="000C631C" w:rsidRPr="00B56DE1" w:rsidRDefault="000C631C" w:rsidP="000C631C">
      <w:pPr>
        <w:spacing w:line="276" w:lineRule="auto"/>
        <w:rPr>
          <w:rFonts w:eastAsia="Times New Roman"/>
          <w:color w:val="000000"/>
          <w:szCs w:val="22"/>
          <w:lang w:eastAsia="en-US"/>
        </w:rPr>
      </w:pPr>
    </w:p>
    <w:p w:rsidR="000C631C" w:rsidRPr="00B56DE1" w:rsidRDefault="00102F7A" w:rsidP="000C631C">
      <w:pPr>
        <w:spacing w:line="276" w:lineRule="auto"/>
        <w:rPr>
          <w:b/>
        </w:rPr>
      </w:pPr>
      <w:r w:rsidRPr="00B56DE1">
        <w:rPr>
          <w:b/>
        </w:rPr>
        <w:t xml:space="preserve">PRODUCTOS DE INVERSIÓN PERMITIDOS Y </w:t>
      </w:r>
      <w:r w:rsidR="00307244">
        <w:rPr>
          <w:b/>
        </w:rPr>
        <w:t>RENTABILIDAD OBTENIDA RECIENTEMENTE POR</w:t>
      </w:r>
      <w:r w:rsidRPr="00B56DE1">
        <w:rPr>
          <w:b/>
        </w:rPr>
        <w:t xml:space="preserve"> LAS ORGANIZACIONES QUE </w:t>
      </w:r>
      <w:r w:rsidR="00242108" w:rsidRPr="00B56DE1">
        <w:rPr>
          <w:b/>
        </w:rPr>
        <w:t>EFECTÚAN</w:t>
      </w:r>
      <w:r w:rsidRPr="00B56DE1">
        <w:rPr>
          <w:b/>
        </w:rPr>
        <w:t xml:space="preserve"> SUS INVERSIONES EN FRANCOS SUIZOS</w:t>
      </w:r>
    </w:p>
    <w:p w:rsidR="000C631C" w:rsidRPr="00B56DE1" w:rsidRDefault="000C631C" w:rsidP="000C631C">
      <w:pPr>
        <w:spacing w:line="276" w:lineRule="auto"/>
      </w:pPr>
    </w:p>
    <w:p w:rsidR="000C631C" w:rsidRPr="00B56DE1" w:rsidRDefault="00D1332D" w:rsidP="000C631C">
      <w:pPr>
        <w:spacing w:line="276" w:lineRule="auto"/>
      </w:pPr>
      <w:r w:rsidRPr="00B56DE1">
        <w:rPr>
          <w:noProof/>
          <w:lang w:val="en-US" w:eastAsia="en-US"/>
        </w:rPr>
        <w:drawing>
          <wp:inline distT="0" distB="0" distL="0" distR="0" wp14:anchorId="0DA9D549" wp14:editId="4768152E">
            <wp:extent cx="6686549" cy="727710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85289" cy="7275729"/>
                    </a:xfrm>
                    <a:prstGeom prst="rect">
                      <a:avLst/>
                    </a:prstGeom>
                    <a:noFill/>
                    <a:ln>
                      <a:noFill/>
                    </a:ln>
                  </pic:spPr>
                </pic:pic>
              </a:graphicData>
            </a:graphic>
          </wp:inline>
        </w:drawing>
      </w:r>
    </w:p>
    <w:p w:rsidR="00346521" w:rsidRDefault="00346521" w:rsidP="000C631C">
      <w:pPr>
        <w:spacing w:line="276" w:lineRule="auto"/>
      </w:pPr>
    </w:p>
    <w:p w:rsidR="00B56DE1" w:rsidRPr="00B56DE1" w:rsidRDefault="00B56DE1" w:rsidP="000C631C">
      <w:pPr>
        <w:spacing w:line="276" w:lineRule="auto"/>
      </w:pPr>
    </w:p>
    <w:p w:rsidR="000C631C" w:rsidRPr="00B56DE1" w:rsidRDefault="00B56DE1" w:rsidP="00B56DE1">
      <w:pPr>
        <w:pStyle w:val="Endofdocument-Annex"/>
        <w:ind w:left="6946"/>
        <w:rPr>
          <w:lang w:val="es-ES"/>
        </w:rPr>
      </w:pPr>
      <w:r w:rsidRPr="004127DB">
        <w:rPr>
          <w:lang w:val="es-ES_tradnl"/>
        </w:rPr>
        <w:t>[Sigue el Anexo III]</w:t>
      </w:r>
    </w:p>
    <w:p w:rsidR="000C631C" w:rsidRPr="00B56DE1" w:rsidRDefault="000C631C" w:rsidP="000C631C">
      <w:pPr>
        <w:spacing w:line="276" w:lineRule="auto"/>
      </w:pPr>
    </w:p>
    <w:p w:rsidR="000C631C" w:rsidRPr="00B56DE1" w:rsidRDefault="000C631C" w:rsidP="000C631C">
      <w:pPr>
        <w:spacing w:line="276" w:lineRule="auto"/>
        <w:sectPr w:rsidR="000C631C" w:rsidRPr="00B56DE1" w:rsidSect="005606D8">
          <w:headerReference w:type="first" r:id="rId20"/>
          <w:footerReference w:type="first" r:id="rId21"/>
          <w:endnotePr>
            <w:numFmt w:val="decimal"/>
          </w:endnotePr>
          <w:pgSz w:w="11907" w:h="16840" w:code="9"/>
          <w:pgMar w:top="907" w:right="567" w:bottom="1021" w:left="737" w:header="510" w:footer="1021" w:gutter="0"/>
          <w:cols w:space="720"/>
          <w:titlePg/>
          <w:docGrid w:linePitch="299"/>
        </w:sectPr>
      </w:pPr>
    </w:p>
    <w:p w:rsidR="000C631C" w:rsidRPr="00B56DE1" w:rsidRDefault="00EF09D4" w:rsidP="000C631C">
      <w:pPr>
        <w:jc w:val="both"/>
        <w:rPr>
          <w:b/>
          <w:bCs/>
          <w:szCs w:val="22"/>
          <w:highlight w:val="lightGray"/>
        </w:rPr>
      </w:pPr>
      <w:r w:rsidRPr="00B56DE1">
        <w:rPr>
          <w:b/>
        </w:rPr>
        <w:t xml:space="preserve">RIESGO DE CONTRAPARTE EN </w:t>
      </w:r>
      <w:r w:rsidR="005D60D0">
        <w:rPr>
          <w:b/>
        </w:rPr>
        <w:t xml:space="preserve">OPERACIONES DE </w:t>
      </w:r>
      <w:r w:rsidRPr="00B56DE1">
        <w:rPr>
          <w:b/>
        </w:rPr>
        <w:t>TESORERÍA</w:t>
      </w:r>
      <w:r w:rsidR="007636C1" w:rsidRPr="00B56DE1">
        <w:rPr>
          <w:b/>
        </w:rPr>
        <w:t xml:space="preserve"> (</w:t>
      </w:r>
      <w:r w:rsidR="007636C1" w:rsidRPr="00B56DE1">
        <w:rPr>
          <w:b/>
          <w:i/>
        </w:rPr>
        <w:t>TREASURY COUNTERPARTY RISK</w:t>
      </w:r>
      <w:r w:rsidR="007636C1" w:rsidRPr="00B56DE1">
        <w:rPr>
          <w:b/>
        </w:rPr>
        <w:t>)</w:t>
      </w:r>
    </w:p>
    <w:p w:rsidR="000C631C" w:rsidRPr="00B56DE1" w:rsidRDefault="000C631C" w:rsidP="000C631C">
      <w:pPr>
        <w:rPr>
          <w:szCs w:val="22"/>
        </w:rPr>
      </w:pPr>
    </w:p>
    <w:p w:rsidR="00445DEA" w:rsidRPr="00B56DE1" w:rsidRDefault="00445DEA" w:rsidP="000C631C">
      <w:pPr>
        <w:rPr>
          <w:szCs w:val="22"/>
        </w:rPr>
      </w:pPr>
      <w:r w:rsidRPr="00B56DE1">
        <w:rPr>
          <w:szCs w:val="22"/>
        </w:rPr>
        <w:t xml:space="preserve">El riesgo crediticio de contraparte en </w:t>
      </w:r>
      <w:r w:rsidR="005D60D0">
        <w:rPr>
          <w:szCs w:val="22"/>
        </w:rPr>
        <w:t xml:space="preserve">operaciones de </w:t>
      </w:r>
      <w:r w:rsidRPr="00B56DE1">
        <w:rPr>
          <w:szCs w:val="22"/>
        </w:rPr>
        <w:t xml:space="preserve">tesorería respecto </w:t>
      </w:r>
      <w:r w:rsidR="005D60D0">
        <w:rPr>
          <w:szCs w:val="22"/>
        </w:rPr>
        <w:t>se plantea cuando se poseen</w:t>
      </w:r>
      <w:r w:rsidRPr="00B56DE1">
        <w:rPr>
          <w:szCs w:val="22"/>
        </w:rPr>
        <w:t xml:space="preserve"> inversiones en efectivo o efectivo en un banco o </w:t>
      </w:r>
      <w:r w:rsidR="005D60D0">
        <w:rPr>
          <w:szCs w:val="22"/>
        </w:rPr>
        <w:t>se efectúan</w:t>
      </w:r>
      <w:r w:rsidRPr="00B56DE1">
        <w:rPr>
          <w:szCs w:val="22"/>
        </w:rPr>
        <w:t xml:space="preserve"> transacciones en </w:t>
      </w:r>
      <w:r w:rsidR="00115939" w:rsidRPr="00B56DE1">
        <w:rPr>
          <w:szCs w:val="22"/>
        </w:rPr>
        <w:t>moneda</w:t>
      </w:r>
      <w:r w:rsidRPr="00B56DE1">
        <w:rPr>
          <w:szCs w:val="22"/>
        </w:rPr>
        <w:t xml:space="preserve"> extranjera.  </w:t>
      </w:r>
      <w:r w:rsidR="00FA6AED" w:rsidRPr="00B56DE1">
        <w:rPr>
          <w:szCs w:val="22"/>
        </w:rPr>
        <w:t>El i</w:t>
      </w:r>
      <w:r w:rsidR="005D60D0">
        <w:rPr>
          <w:szCs w:val="22"/>
        </w:rPr>
        <w:t>ncumplimiento por una</w:t>
      </w:r>
      <w:r w:rsidR="00FA6AED" w:rsidRPr="00B56DE1">
        <w:rPr>
          <w:szCs w:val="22"/>
        </w:rPr>
        <w:t xml:space="preserve"> cont</w:t>
      </w:r>
      <w:r w:rsidR="00AC1C00" w:rsidRPr="00B56DE1">
        <w:rPr>
          <w:szCs w:val="22"/>
        </w:rPr>
        <w:t>raparte en</w:t>
      </w:r>
      <w:r w:rsidR="005D60D0">
        <w:rPr>
          <w:szCs w:val="22"/>
        </w:rPr>
        <w:t xml:space="preserve"> una operación de</w:t>
      </w:r>
      <w:r w:rsidR="00AC1C00" w:rsidRPr="00B56DE1">
        <w:rPr>
          <w:szCs w:val="22"/>
        </w:rPr>
        <w:t xml:space="preserve"> tesorería representa</w:t>
      </w:r>
      <w:r w:rsidR="00FA6AED" w:rsidRPr="00B56DE1">
        <w:rPr>
          <w:szCs w:val="22"/>
        </w:rPr>
        <w:t xml:space="preserve"> un riesgo significativo para la OMPI.  La política de la OMPI consiste en gestionar dicho riesgo por medio de la diversificación de</w:t>
      </w:r>
      <w:r w:rsidR="005D60D0">
        <w:rPr>
          <w:szCs w:val="22"/>
        </w:rPr>
        <w:t>l</w:t>
      </w:r>
      <w:r w:rsidR="00FA6AED" w:rsidRPr="00B56DE1">
        <w:rPr>
          <w:szCs w:val="22"/>
        </w:rPr>
        <w:t xml:space="preserve"> riesgo, la evaluación de</w:t>
      </w:r>
      <w:r w:rsidR="005D60D0">
        <w:rPr>
          <w:szCs w:val="22"/>
        </w:rPr>
        <w:t xml:space="preserve"> </w:t>
      </w:r>
      <w:r w:rsidR="00AC1C00" w:rsidRPr="00B56DE1">
        <w:rPr>
          <w:szCs w:val="22"/>
        </w:rPr>
        <w:t>l</w:t>
      </w:r>
      <w:r w:rsidR="005D60D0">
        <w:rPr>
          <w:szCs w:val="22"/>
        </w:rPr>
        <w:t>a situación</w:t>
      </w:r>
      <w:r w:rsidR="00FA6AED" w:rsidRPr="00B56DE1">
        <w:rPr>
          <w:szCs w:val="22"/>
        </w:rPr>
        <w:t xml:space="preserve"> cr</w:t>
      </w:r>
      <w:r w:rsidR="005D60D0">
        <w:rPr>
          <w:szCs w:val="22"/>
        </w:rPr>
        <w:t>e</w:t>
      </w:r>
      <w:r w:rsidR="00FA6AED" w:rsidRPr="00B56DE1">
        <w:rPr>
          <w:szCs w:val="22"/>
        </w:rPr>
        <w:t>dit</w:t>
      </w:r>
      <w:r w:rsidR="005D60D0">
        <w:rPr>
          <w:szCs w:val="22"/>
        </w:rPr>
        <w:t>icia de la</w:t>
      </w:r>
      <w:r w:rsidR="00FA6AED" w:rsidRPr="00B56DE1">
        <w:rPr>
          <w:szCs w:val="22"/>
        </w:rPr>
        <w:t xml:space="preserve"> contraparte y la utilización de</w:t>
      </w:r>
      <w:r w:rsidR="00A46604">
        <w:rPr>
          <w:szCs w:val="22"/>
        </w:rPr>
        <w:t xml:space="preserve"> los</w:t>
      </w:r>
      <w:r w:rsidR="00FA6AED" w:rsidRPr="00B56DE1">
        <w:rPr>
          <w:szCs w:val="22"/>
        </w:rPr>
        <w:t xml:space="preserve"> límites de crédito de </w:t>
      </w:r>
      <w:r w:rsidR="00A46604">
        <w:rPr>
          <w:szCs w:val="22"/>
        </w:rPr>
        <w:t xml:space="preserve">las </w:t>
      </w:r>
      <w:r w:rsidR="00FA6AED" w:rsidRPr="00B56DE1">
        <w:rPr>
          <w:szCs w:val="22"/>
        </w:rPr>
        <w:t>contraparte</w:t>
      </w:r>
      <w:r w:rsidR="00A46604">
        <w:rPr>
          <w:szCs w:val="22"/>
        </w:rPr>
        <w:t>s</w:t>
      </w:r>
      <w:r w:rsidR="00FA6AED" w:rsidRPr="00B56DE1">
        <w:rPr>
          <w:szCs w:val="22"/>
        </w:rPr>
        <w:t>.</w:t>
      </w:r>
    </w:p>
    <w:p w:rsidR="000C631C" w:rsidRPr="00B56DE1" w:rsidRDefault="000C631C" w:rsidP="000C631C">
      <w:pPr>
        <w:rPr>
          <w:szCs w:val="22"/>
        </w:rPr>
      </w:pPr>
    </w:p>
    <w:p w:rsidR="000C631C" w:rsidRPr="00B56DE1" w:rsidRDefault="00FA6AED" w:rsidP="002507C9">
      <w:pPr>
        <w:spacing w:after="120"/>
        <w:rPr>
          <w:szCs w:val="22"/>
        </w:rPr>
      </w:pPr>
      <w:r w:rsidRPr="00B56DE1">
        <w:rPr>
          <w:szCs w:val="22"/>
        </w:rPr>
        <w:t>En la gestión del riesgo de contraparte en</w:t>
      </w:r>
      <w:r w:rsidR="00174114">
        <w:rPr>
          <w:szCs w:val="22"/>
        </w:rPr>
        <w:t xml:space="preserve"> operaciones de</w:t>
      </w:r>
      <w:r w:rsidRPr="00B56DE1">
        <w:rPr>
          <w:szCs w:val="22"/>
        </w:rPr>
        <w:t xml:space="preserve"> tesorería se establece una distinción entre:</w:t>
      </w:r>
    </w:p>
    <w:p w:rsidR="000C631C" w:rsidRPr="00B56DE1" w:rsidRDefault="000C631C" w:rsidP="000C631C">
      <w:pPr>
        <w:rPr>
          <w:szCs w:val="22"/>
        </w:rPr>
      </w:pPr>
    </w:p>
    <w:p w:rsidR="000C631C" w:rsidRPr="00B56DE1" w:rsidRDefault="00AC1C00" w:rsidP="002507C9">
      <w:pPr>
        <w:pStyle w:val="ListParagraph"/>
        <w:numPr>
          <w:ilvl w:val="0"/>
          <w:numId w:val="14"/>
        </w:numPr>
        <w:tabs>
          <w:tab w:val="clear" w:pos="851"/>
          <w:tab w:val="clear" w:pos="1134"/>
        </w:tabs>
        <w:spacing w:before="0" w:after="240"/>
        <w:ind w:left="714" w:hanging="357"/>
        <w:contextualSpacing/>
        <w:rPr>
          <w:szCs w:val="22"/>
          <w:lang w:val="es-ES"/>
        </w:rPr>
      </w:pPr>
      <w:r w:rsidRPr="00B56DE1">
        <w:rPr>
          <w:szCs w:val="22"/>
          <w:lang w:val="es-ES"/>
        </w:rPr>
        <w:t xml:space="preserve">Contrapartes </w:t>
      </w:r>
      <w:r w:rsidR="00174114">
        <w:rPr>
          <w:szCs w:val="22"/>
          <w:lang w:val="es-ES"/>
        </w:rPr>
        <w:t>d</w:t>
      </w:r>
      <w:r w:rsidR="00A46604">
        <w:rPr>
          <w:szCs w:val="22"/>
          <w:lang w:val="es-ES"/>
        </w:rPr>
        <w:t>e</w:t>
      </w:r>
      <w:r w:rsidR="00FA6AED" w:rsidRPr="00B56DE1">
        <w:rPr>
          <w:szCs w:val="22"/>
          <w:lang w:val="es-ES"/>
        </w:rPr>
        <w:t xml:space="preserve"> inversi</w:t>
      </w:r>
      <w:r w:rsidR="00174114">
        <w:rPr>
          <w:szCs w:val="22"/>
          <w:lang w:val="es-ES"/>
        </w:rPr>
        <w:t>ón</w:t>
      </w:r>
      <w:proofErr w:type="gramStart"/>
      <w:r w:rsidR="00FA6AED" w:rsidRPr="00B56DE1">
        <w:rPr>
          <w:szCs w:val="22"/>
          <w:lang w:val="es-ES"/>
        </w:rPr>
        <w:t xml:space="preserve">:  </w:t>
      </w:r>
      <w:r w:rsidRPr="00B56DE1">
        <w:rPr>
          <w:szCs w:val="22"/>
          <w:lang w:val="es-ES"/>
        </w:rPr>
        <w:t>el</w:t>
      </w:r>
      <w:proofErr w:type="gramEnd"/>
      <w:r w:rsidRPr="00B56DE1">
        <w:rPr>
          <w:szCs w:val="22"/>
          <w:lang w:val="es-ES"/>
        </w:rPr>
        <w:t xml:space="preserve"> </w:t>
      </w:r>
      <w:r w:rsidR="00FA6AED" w:rsidRPr="00B56DE1">
        <w:rPr>
          <w:szCs w:val="22"/>
          <w:lang w:val="es-ES"/>
        </w:rPr>
        <w:t>efectivo</w:t>
      </w:r>
      <w:r w:rsidR="00174114">
        <w:rPr>
          <w:szCs w:val="22"/>
          <w:lang w:val="es-ES"/>
        </w:rPr>
        <w:t xml:space="preserve"> excedentario esencial</w:t>
      </w:r>
      <w:r w:rsidR="00FA6AED" w:rsidRPr="00B56DE1">
        <w:rPr>
          <w:szCs w:val="22"/>
          <w:lang w:val="es-ES"/>
        </w:rPr>
        <w:t xml:space="preserve"> y </w:t>
      </w:r>
      <w:r w:rsidRPr="00B56DE1">
        <w:rPr>
          <w:szCs w:val="22"/>
          <w:lang w:val="es-ES"/>
        </w:rPr>
        <w:t xml:space="preserve">las </w:t>
      </w:r>
      <w:r w:rsidR="00FA6AED" w:rsidRPr="00B56DE1">
        <w:rPr>
          <w:szCs w:val="22"/>
          <w:lang w:val="es-ES"/>
        </w:rPr>
        <w:t>reservas</w:t>
      </w:r>
      <w:r w:rsidR="00174114">
        <w:rPr>
          <w:szCs w:val="22"/>
          <w:lang w:val="es-ES"/>
        </w:rPr>
        <w:t>,</w:t>
      </w:r>
      <w:r w:rsidR="00FA6AED" w:rsidRPr="00B56DE1">
        <w:rPr>
          <w:szCs w:val="22"/>
          <w:lang w:val="es-ES"/>
        </w:rPr>
        <w:t xml:space="preserve"> sujetos</w:t>
      </w:r>
      <w:r w:rsidR="00115939" w:rsidRPr="00B56DE1">
        <w:rPr>
          <w:szCs w:val="22"/>
          <w:lang w:val="es-ES"/>
        </w:rPr>
        <w:t xml:space="preserve"> a parámetros aprobados en</w:t>
      </w:r>
      <w:r w:rsidR="00FA6AED" w:rsidRPr="00B56DE1">
        <w:rPr>
          <w:szCs w:val="22"/>
          <w:lang w:val="es-ES"/>
        </w:rPr>
        <w:t xml:space="preserve"> la política de inversión de</w:t>
      </w:r>
      <w:r w:rsidR="00115939" w:rsidRPr="00B56DE1">
        <w:rPr>
          <w:szCs w:val="22"/>
          <w:lang w:val="es-ES"/>
        </w:rPr>
        <w:t>l</w:t>
      </w:r>
      <w:r w:rsidR="00FA6AED" w:rsidRPr="00B56DE1">
        <w:rPr>
          <w:szCs w:val="22"/>
          <w:lang w:val="es-ES"/>
        </w:rPr>
        <w:t xml:space="preserve"> </w:t>
      </w:r>
      <w:r w:rsidR="00174114">
        <w:rPr>
          <w:szCs w:val="22"/>
          <w:lang w:val="es-ES"/>
        </w:rPr>
        <w:t>flujo de caja</w:t>
      </w:r>
      <w:r w:rsidR="00FA6AED" w:rsidRPr="00B56DE1">
        <w:rPr>
          <w:szCs w:val="22"/>
          <w:lang w:val="es-ES"/>
        </w:rPr>
        <w:t>.</w:t>
      </w:r>
    </w:p>
    <w:p w:rsidR="002507C9" w:rsidRPr="00B56DE1" w:rsidRDefault="002507C9" w:rsidP="002507C9">
      <w:pPr>
        <w:pStyle w:val="ListParagraph"/>
        <w:numPr>
          <w:ilvl w:val="0"/>
          <w:numId w:val="0"/>
        </w:numPr>
        <w:tabs>
          <w:tab w:val="clear" w:pos="851"/>
          <w:tab w:val="clear" w:pos="1134"/>
        </w:tabs>
        <w:spacing w:before="0" w:after="240"/>
        <w:contextualSpacing/>
        <w:rPr>
          <w:szCs w:val="22"/>
          <w:lang w:val="es-ES"/>
        </w:rPr>
      </w:pPr>
    </w:p>
    <w:p w:rsidR="000C631C" w:rsidRPr="00B56DE1" w:rsidRDefault="00FA6AED" w:rsidP="002507C9">
      <w:pPr>
        <w:pStyle w:val="ListParagraph"/>
        <w:numPr>
          <w:ilvl w:val="0"/>
          <w:numId w:val="14"/>
        </w:numPr>
        <w:tabs>
          <w:tab w:val="clear" w:pos="851"/>
          <w:tab w:val="clear" w:pos="1134"/>
        </w:tabs>
        <w:spacing w:before="0"/>
        <w:ind w:left="714" w:hanging="357"/>
        <w:contextualSpacing/>
        <w:rPr>
          <w:szCs w:val="22"/>
          <w:lang w:val="es-ES"/>
        </w:rPr>
      </w:pPr>
      <w:r w:rsidRPr="00B56DE1">
        <w:rPr>
          <w:szCs w:val="22"/>
          <w:lang w:val="es-ES"/>
        </w:rPr>
        <w:t>Contrapartes bancarias</w:t>
      </w:r>
      <w:r w:rsidR="000C631C" w:rsidRPr="00B56DE1">
        <w:rPr>
          <w:szCs w:val="22"/>
          <w:lang w:val="es-ES"/>
        </w:rPr>
        <w:t>:</w:t>
      </w:r>
    </w:p>
    <w:p w:rsidR="000C631C" w:rsidRPr="00B56DE1" w:rsidRDefault="00FA6AED" w:rsidP="002507C9">
      <w:pPr>
        <w:pStyle w:val="ListParagraph"/>
        <w:numPr>
          <w:ilvl w:val="1"/>
          <w:numId w:val="14"/>
        </w:numPr>
        <w:tabs>
          <w:tab w:val="clear" w:pos="851"/>
          <w:tab w:val="clear" w:pos="1134"/>
        </w:tabs>
        <w:spacing w:after="0"/>
        <w:ind w:left="1434" w:hanging="357"/>
        <w:contextualSpacing/>
        <w:rPr>
          <w:szCs w:val="22"/>
          <w:lang w:val="es-ES"/>
        </w:rPr>
      </w:pPr>
      <w:r w:rsidRPr="00B56DE1">
        <w:rPr>
          <w:szCs w:val="22"/>
          <w:lang w:val="es-ES"/>
        </w:rPr>
        <w:t>Efectivo en el banco</w:t>
      </w:r>
      <w:proofErr w:type="gramStart"/>
      <w:r w:rsidRPr="00B56DE1">
        <w:rPr>
          <w:szCs w:val="22"/>
          <w:lang w:val="es-ES"/>
        </w:rPr>
        <w:t xml:space="preserve">:  </w:t>
      </w:r>
      <w:r w:rsidR="00AC1C00" w:rsidRPr="00B56DE1">
        <w:rPr>
          <w:szCs w:val="22"/>
          <w:lang w:val="es-ES"/>
        </w:rPr>
        <w:t>el</w:t>
      </w:r>
      <w:proofErr w:type="gramEnd"/>
      <w:r w:rsidR="00AC1C00" w:rsidRPr="00B56DE1">
        <w:rPr>
          <w:szCs w:val="22"/>
          <w:lang w:val="es-ES"/>
        </w:rPr>
        <w:t xml:space="preserve"> </w:t>
      </w:r>
      <w:r w:rsidRPr="00B56DE1">
        <w:rPr>
          <w:szCs w:val="22"/>
          <w:lang w:val="es-ES"/>
        </w:rPr>
        <w:t>efectivo que se utiliza con fines de liquidez para cumplir obligaciones de pago</w:t>
      </w:r>
      <w:r w:rsidR="00A46604">
        <w:rPr>
          <w:szCs w:val="22"/>
          <w:lang w:val="es-ES"/>
        </w:rPr>
        <w:t xml:space="preserve"> a vencimiento</w:t>
      </w:r>
      <w:r w:rsidRPr="00B56DE1">
        <w:rPr>
          <w:szCs w:val="22"/>
          <w:lang w:val="es-ES"/>
        </w:rPr>
        <w:t>.</w:t>
      </w:r>
    </w:p>
    <w:p w:rsidR="000C631C" w:rsidRPr="00B56DE1" w:rsidRDefault="000C631C" w:rsidP="002507C9">
      <w:pPr>
        <w:contextualSpacing/>
        <w:rPr>
          <w:szCs w:val="22"/>
        </w:rPr>
      </w:pPr>
    </w:p>
    <w:p w:rsidR="000C631C" w:rsidRPr="00B56DE1" w:rsidRDefault="007636C1" w:rsidP="000C631C">
      <w:pPr>
        <w:pStyle w:val="ListParagraph"/>
        <w:numPr>
          <w:ilvl w:val="1"/>
          <w:numId w:val="14"/>
        </w:numPr>
        <w:tabs>
          <w:tab w:val="clear" w:pos="851"/>
          <w:tab w:val="clear" w:pos="1134"/>
        </w:tabs>
        <w:spacing w:before="0" w:after="0"/>
        <w:contextualSpacing/>
        <w:rPr>
          <w:szCs w:val="22"/>
          <w:lang w:val="es-ES"/>
        </w:rPr>
      </w:pPr>
      <w:r w:rsidRPr="00B56DE1">
        <w:rPr>
          <w:szCs w:val="22"/>
          <w:lang w:val="es-ES"/>
        </w:rPr>
        <w:t>Transacciones en moneda</w:t>
      </w:r>
      <w:r w:rsidR="00FA6AED" w:rsidRPr="00B56DE1">
        <w:rPr>
          <w:szCs w:val="22"/>
          <w:lang w:val="es-ES"/>
        </w:rPr>
        <w:t xml:space="preserve"> extranjera:  el valor</w:t>
      </w:r>
      <w:r w:rsidR="00F952FE" w:rsidRPr="00B56DE1">
        <w:rPr>
          <w:szCs w:val="22"/>
          <w:lang w:val="es-ES"/>
        </w:rPr>
        <w:t xml:space="preserve"> justo e intrínsecamente</w:t>
      </w:r>
      <w:r w:rsidR="00393917" w:rsidRPr="00B56DE1">
        <w:rPr>
          <w:szCs w:val="22"/>
          <w:lang w:val="es-ES"/>
        </w:rPr>
        <w:t xml:space="preserve"> positivo</w:t>
      </w:r>
      <w:r w:rsidR="00FA6AED" w:rsidRPr="00B56DE1">
        <w:rPr>
          <w:szCs w:val="22"/>
          <w:lang w:val="es-ES"/>
        </w:rPr>
        <w:t xml:space="preserve"> a cambio corriente</w:t>
      </w:r>
      <w:r w:rsidR="009805E4" w:rsidRPr="00B56DE1">
        <w:rPr>
          <w:szCs w:val="22"/>
          <w:lang w:val="es-ES"/>
        </w:rPr>
        <w:t xml:space="preserve"> de los instrumentos de cobertura aprobados.</w:t>
      </w:r>
      <w:r w:rsidR="00FA6AED" w:rsidRPr="00B56DE1">
        <w:rPr>
          <w:szCs w:val="22"/>
          <w:lang w:val="es-ES"/>
        </w:rPr>
        <w:t xml:space="preserve"> </w:t>
      </w:r>
    </w:p>
    <w:p w:rsidR="000C631C" w:rsidRPr="00B56DE1" w:rsidRDefault="000C631C" w:rsidP="000C631C">
      <w:pPr>
        <w:rPr>
          <w:szCs w:val="22"/>
        </w:rPr>
      </w:pPr>
    </w:p>
    <w:p w:rsidR="000C631C" w:rsidRPr="00B56DE1" w:rsidRDefault="00174114" w:rsidP="002F53B1">
      <w:pPr>
        <w:pStyle w:val="BodyText"/>
        <w:rPr>
          <w:b/>
          <w:i/>
          <w:szCs w:val="22"/>
        </w:rPr>
      </w:pPr>
      <w:r w:rsidRPr="00174114">
        <w:rPr>
          <w:b/>
          <w:i/>
          <w:szCs w:val="22"/>
        </w:rPr>
        <w:t>Los parámetros de riesgo de crédito de las contrapartes en operaciones de inversión forman parte de la política de inversiones</w:t>
      </w:r>
      <w:r w:rsidR="002F53B1" w:rsidRPr="00B56DE1">
        <w:rPr>
          <w:b/>
          <w:i/>
          <w:szCs w:val="22"/>
        </w:rPr>
        <w:t>, aprobada por las Asambleas de los Esta</w:t>
      </w:r>
      <w:r w:rsidR="002507C9" w:rsidRPr="00B56DE1">
        <w:rPr>
          <w:b/>
          <w:i/>
          <w:szCs w:val="22"/>
        </w:rPr>
        <w:t>dos miembros el 5 de octubre de </w:t>
      </w:r>
      <w:r w:rsidR="002F53B1" w:rsidRPr="00B56DE1">
        <w:rPr>
          <w:b/>
          <w:i/>
          <w:szCs w:val="22"/>
        </w:rPr>
        <w:t>2011.</w:t>
      </w:r>
    </w:p>
    <w:p w:rsidR="000C631C" w:rsidRPr="00B56DE1" w:rsidRDefault="002F53B1" w:rsidP="002F53B1">
      <w:pPr>
        <w:widowControl w:val="0"/>
        <w:rPr>
          <w:b/>
          <w:i/>
          <w:szCs w:val="22"/>
        </w:rPr>
      </w:pPr>
      <w:r w:rsidRPr="00B56DE1">
        <w:rPr>
          <w:b/>
          <w:i/>
          <w:szCs w:val="22"/>
        </w:rPr>
        <w:t>En virtud de la regla</w:t>
      </w:r>
      <w:r w:rsidR="000C631C" w:rsidRPr="00B56DE1">
        <w:rPr>
          <w:b/>
          <w:i/>
          <w:szCs w:val="22"/>
        </w:rPr>
        <w:t xml:space="preserve"> 104.2 </w:t>
      </w:r>
      <w:r w:rsidRPr="00B56DE1">
        <w:rPr>
          <w:b/>
          <w:i/>
          <w:szCs w:val="22"/>
        </w:rPr>
        <w:t xml:space="preserve">del Reglamento Financiero y la Reglamentación Financiera se concede al Contralor la potestad de designar los bancos en que se depositarán los fondos de la Organización.  </w:t>
      </w:r>
      <w:r w:rsidR="00174114">
        <w:rPr>
          <w:b/>
          <w:i/>
          <w:szCs w:val="22"/>
        </w:rPr>
        <w:t>Esa es</w:t>
      </w:r>
      <w:r w:rsidRPr="00B56DE1">
        <w:rPr>
          <w:b/>
          <w:i/>
          <w:szCs w:val="22"/>
        </w:rPr>
        <w:t xml:space="preserve"> la fuente de autoridad para los parámetros de riesgo de contraparte respecto del efectivo en bancos y de las transacciones en </w:t>
      </w:r>
      <w:r w:rsidR="00AC1C00" w:rsidRPr="00B56DE1">
        <w:rPr>
          <w:b/>
          <w:i/>
          <w:szCs w:val="22"/>
        </w:rPr>
        <w:t>moneda</w:t>
      </w:r>
      <w:r w:rsidRPr="00B56DE1">
        <w:rPr>
          <w:b/>
          <w:i/>
          <w:szCs w:val="22"/>
        </w:rPr>
        <w:t xml:space="preserve"> extranjera.</w:t>
      </w:r>
    </w:p>
    <w:p w:rsidR="000C631C" w:rsidRPr="00B56DE1" w:rsidRDefault="000C631C" w:rsidP="000C631C">
      <w:pPr>
        <w:tabs>
          <w:tab w:val="left" w:pos="-1440"/>
          <w:tab w:val="left" w:pos="-720"/>
        </w:tabs>
        <w:suppressAutoHyphens/>
        <w:spacing w:line="240" w:lineRule="atLeast"/>
        <w:jc w:val="both"/>
        <w:rPr>
          <w:bCs/>
          <w:szCs w:val="22"/>
        </w:rPr>
      </w:pPr>
    </w:p>
    <w:p w:rsidR="000C631C" w:rsidRPr="00B56DE1" w:rsidRDefault="002F53B1" w:rsidP="000C631C">
      <w:pPr>
        <w:tabs>
          <w:tab w:val="left" w:pos="-1440"/>
          <w:tab w:val="left" w:pos="-720"/>
          <w:tab w:val="left" w:pos="0"/>
        </w:tabs>
        <w:suppressAutoHyphens/>
        <w:spacing w:line="240" w:lineRule="atLeast"/>
        <w:ind w:left="720" w:hanging="720"/>
        <w:jc w:val="both"/>
        <w:rPr>
          <w:i/>
          <w:szCs w:val="22"/>
          <w:u w:val="single"/>
        </w:rPr>
      </w:pPr>
      <w:r w:rsidRPr="00B56DE1">
        <w:rPr>
          <w:bCs/>
          <w:i/>
          <w:szCs w:val="22"/>
          <w:u w:val="single"/>
        </w:rPr>
        <w:t>Declaraciones y disposiciones de política</w:t>
      </w:r>
      <w:r w:rsidR="00C73636" w:rsidRPr="00B56DE1">
        <w:rPr>
          <w:bCs/>
          <w:i/>
          <w:szCs w:val="22"/>
          <w:u w:val="single"/>
        </w:rPr>
        <w:t>s</w:t>
      </w:r>
    </w:p>
    <w:p w:rsidR="000C631C" w:rsidRPr="00B56DE1" w:rsidRDefault="000C631C" w:rsidP="000C631C">
      <w:pPr>
        <w:tabs>
          <w:tab w:val="left" w:pos="-1440"/>
          <w:tab w:val="left" w:pos="-720"/>
        </w:tabs>
        <w:suppressAutoHyphens/>
        <w:spacing w:line="240" w:lineRule="atLeast"/>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484"/>
        <w:gridCol w:w="11"/>
        <w:gridCol w:w="6544"/>
      </w:tblGrid>
      <w:tr w:rsidR="000C631C" w:rsidRPr="00B56DE1" w:rsidTr="005606D8">
        <w:trPr>
          <w:tblHeader/>
        </w:trPr>
        <w:tc>
          <w:tcPr>
            <w:tcW w:w="2484" w:type="dxa"/>
            <w:shd w:val="clear" w:color="auto" w:fill="000000"/>
          </w:tcPr>
          <w:p w:rsidR="000C631C" w:rsidRPr="00B56DE1" w:rsidRDefault="00D81333" w:rsidP="005606D8">
            <w:pPr>
              <w:tabs>
                <w:tab w:val="left" w:pos="-1440"/>
                <w:tab w:val="left" w:pos="-720"/>
              </w:tabs>
              <w:suppressAutoHyphens/>
              <w:spacing w:line="240" w:lineRule="atLeast"/>
              <w:jc w:val="both"/>
              <w:rPr>
                <w:b/>
                <w:color w:val="FFFFFF"/>
                <w:szCs w:val="22"/>
              </w:rPr>
            </w:pPr>
            <w:r w:rsidRPr="00B56DE1">
              <w:rPr>
                <w:b/>
                <w:color w:val="FFFFFF"/>
                <w:szCs w:val="22"/>
              </w:rPr>
              <w:t>Tema de políticas</w:t>
            </w:r>
          </w:p>
        </w:tc>
        <w:tc>
          <w:tcPr>
            <w:tcW w:w="6555" w:type="dxa"/>
            <w:gridSpan w:val="2"/>
            <w:shd w:val="clear" w:color="auto" w:fill="000000"/>
          </w:tcPr>
          <w:p w:rsidR="000C631C" w:rsidRPr="00B56DE1" w:rsidRDefault="002F53B1" w:rsidP="005606D8">
            <w:pPr>
              <w:tabs>
                <w:tab w:val="left" w:pos="-1440"/>
                <w:tab w:val="left" w:pos="-720"/>
              </w:tabs>
              <w:suppressAutoHyphens/>
              <w:spacing w:line="240" w:lineRule="atLeast"/>
              <w:jc w:val="both"/>
              <w:rPr>
                <w:b/>
                <w:color w:val="FFFFFF"/>
                <w:szCs w:val="22"/>
              </w:rPr>
            </w:pPr>
            <w:r w:rsidRPr="00B56DE1">
              <w:rPr>
                <w:b/>
                <w:color w:val="FFFFFF"/>
                <w:szCs w:val="22"/>
              </w:rPr>
              <w:t>Declaración y disposición de política</w:t>
            </w:r>
          </w:p>
        </w:tc>
      </w:tr>
      <w:tr w:rsidR="000C631C" w:rsidRPr="00B56DE1" w:rsidTr="005606D8">
        <w:tc>
          <w:tcPr>
            <w:tcW w:w="2495" w:type="dxa"/>
            <w:gridSpan w:val="2"/>
            <w:shd w:val="clear" w:color="auto" w:fill="auto"/>
          </w:tcPr>
          <w:p w:rsidR="000C631C" w:rsidRPr="00B56DE1" w:rsidRDefault="002F53B1" w:rsidP="00D81333">
            <w:pPr>
              <w:tabs>
                <w:tab w:val="left" w:pos="-1440"/>
                <w:tab w:val="left" w:pos="-720"/>
              </w:tabs>
              <w:suppressAutoHyphens/>
              <w:spacing w:line="240" w:lineRule="atLeast"/>
              <w:rPr>
                <w:szCs w:val="22"/>
              </w:rPr>
            </w:pPr>
            <w:r w:rsidRPr="00B56DE1">
              <w:rPr>
                <w:szCs w:val="22"/>
              </w:rPr>
              <w:t xml:space="preserve">Calificaciones </w:t>
            </w:r>
            <w:r w:rsidR="00D81333" w:rsidRPr="00B56DE1">
              <w:rPr>
                <w:szCs w:val="22"/>
              </w:rPr>
              <w:t xml:space="preserve">crediticias </w:t>
            </w:r>
            <w:r w:rsidRPr="00B56DE1">
              <w:rPr>
                <w:szCs w:val="22"/>
              </w:rPr>
              <w:t>de</w:t>
            </w:r>
            <w:r w:rsidR="00D81333" w:rsidRPr="00B56DE1">
              <w:rPr>
                <w:szCs w:val="22"/>
              </w:rPr>
              <w:t xml:space="preserve"> las</w:t>
            </w:r>
            <w:r w:rsidRPr="00B56DE1">
              <w:rPr>
                <w:szCs w:val="22"/>
              </w:rPr>
              <w:t xml:space="preserve"> contraparte</w:t>
            </w:r>
            <w:r w:rsidR="00D81333" w:rsidRPr="00B56DE1">
              <w:rPr>
                <w:szCs w:val="22"/>
              </w:rPr>
              <w:t>s</w:t>
            </w:r>
          </w:p>
        </w:tc>
        <w:tc>
          <w:tcPr>
            <w:tcW w:w="6544" w:type="dxa"/>
            <w:shd w:val="clear" w:color="auto" w:fill="auto"/>
          </w:tcPr>
          <w:p w:rsidR="000C631C" w:rsidRPr="00B56DE1" w:rsidRDefault="00F03085" w:rsidP="000C631C">
            <w:pPr>
              <w:numPr>
                <w:ilvl w:val="0"/>
                <w:numId w:val="10"/>
              </w:numPr>
              <w:tabs>
                <w:tab w:val="left" w:pos="-1440"/>
                <w:tab w:val="left" w:pos="-720"/>
              </w:tabs>
              <w:suppressAutoHyphens/>
              <w:spacing w:after="120" w:line="240" w:lineRule="atLeast"/>
              <w:ind w:left="714" w:hanging="357"/>
              <w:rPr>
                <w:b/>
                <w:szCs w:val="22"/>
              </w:rPr>
            </w:pPr>
            <w:r w:rsidRPr="00B56DE1">
              <w:rPr>
                <w:szCs w:val="22"/>
              </w:rPr>
              <w:t>La OMPI solo efectuará transacciones con las contrapartes aprobad</w:t>
            </w:r>
            <w:r w:rsidR="00115939" w:rsidRPr="00B56DE1">
              <w:rPr>
                <w:szCs w:val="22"/>
              </w:rPr>
              <w:t>as y con aquellas que posean los</w:t>
            </w:r>
            <w:r w:rsidRPr="00B56DE1">
              <w:rPr>
                <w:szCs w:val="22"/>
              </w:rPr>
              <w:t xml:space="preserve"> siguientes </w:t>
            </w:r>
            <w:r w:rsidR="00174114">
              <w:rPr>
                <w:szCs w:val="22"/>
              </w:rPr>
              <w:t>niveles</w:t>
            </w:r>
            <w:r w:rsidR="00115939" w:rsidRPr="00B56DE1">
              <w:rPr>
                <w:szCs w:val="22"/>
              </w:rPr>
              <w:t xml:space="preserve"> de calificación para las</w:t>
            </w:r>
            <w:r w:rsidRPr="00B56DE1">
              <w:rPr>
                <w:szCs w:val="22"/>
              </w:rPr>
              <w:t xml:space="preserve"> inversi</w:t>
            </w:r>
            <w:r w:rsidR="00115939" w:rsidRPr="00B56DE1">
              <w:rPr>
                <w:szCs w:val="22"/>
              </w:rPr>
              <w:t>ones</w:t>
            </w:r>
            <w:r w:rsidRPr="00B56DE1">
              <w:rPr>
                <w:szCs w:val="22"/>
              </w:rPr>
              <w:t xml:space="preserve"> a largo plazo</w:t>
            </w:r>
            <w:r w:rsidR="000C631C" w:rsidRPr="00B56DE1">
              <w:rPr>
                <w:szCs w:val="22"/>
              </w:rPr>
              <w:t>:</w:t>
            </w:r>
          </w:p>
          <w:p w:rsidR="000C631C" w:rsidRPr="00B56DE1" w:rsidRDefault="00F03085" w:rsidP="000C631C">
            <w:pPr>
              <w:numPr>
                <w:ilvl w:val="1"/>
                <w:numId w:val="10"/>
              </w:numPr>
              <w:tabs>
                <w:tab w:val="left" w:pos="-1440"/>
                <w:tab w:val="left" w:pos="-720"/>
              </w:tabs>
              <w:suppressAutoHyphens/>
              <w:spacing w:after="120" w:line="240" w:lineRule="atLeast"/>
              <w:ind w:hanging="357"/>
              <w:jc w:val="both"/>
              <w:rPr>
                <w:b/>
                <w:szCs w:val="22"/>
              </w:rPr>
            </w:pPr>
            <w:r w:rsidRPr="00B56DE1">
              <w:rPr>
                <w:szCs w:val="22"/>
              </w:rPr>
              <w:t>Contrapartes de inversión</w:t>
            </w:r>
            <w:r w:rsidR="000C631C" w:rsidRPr="00B56DE1">
              <w:rPr>
                <w:szCs w:val="22"/>
              </w:rPr>
              <w:t>:</w:t>
            </w:r>
          </w:p>
          <w:p w:rsidR="000C631C" w:rsidRPr="00B56DE1" w:rsidRDefault="00F03085" w:rsidP="000C631C">
            <w:pPr>
              <w:numPr>
                <w:ilvl w:val="2"/>
                <w:numId w:val="10"/>
              </w:numPr>
              <w:tabs>
                <w:tab w:val="left" w:pos="-1440"/>
                <w:tab w:val="left" w:pos="-720"/>
              </w:tabs>
              <w:suppressAutoHyphens/>
              <w:spacing w:after="120" w:line="240" w:lineRule="atLeast"/>
              <w:ind w:hanging="357"/>
              <w:jc w:val="both"/>
              <w:rPr>
                <w:b/>
                <w:szCs w:val="22"/>
              </w:rPr>
            </w:pPr>
            <w:r w:rsidRPr="00B56DE1">
              <w:rPr>
                <w:szCs w:val="22"/>
              </w:rPr>
              <w:t>Calificación crediticia mínima de AA-/Aa3.</w:t>
            </w:r>
          </w:p>
          <w:p w:rsidR="000C631C" w:rsidRPr="00B56DE1" w:rsidRDefault="00F03085" w:rsidP="000C631C">
            <w:pPr>
              <w:numPr>
                <w:ilvl w:val="1"/>
                <w:numId w:val="10"/>
              </w:numPr>
              <w:tabs>
                <w:tab w:val="left" w:pos="-1440"/>
                <w:tab w:val="left" w:pos="-720"/>
              </w:tabs>
              <w:suppressAutoHyphens/>
              <w:spacing w:after="120" w:line="240" w:lineRule="atLeast"/>
              <w:ind w:hanging="357"/>
              <w:jc w:val="both"/>
              <w:rPr>
                <w:b/>
                <w:szCs w:val="22"/>
              </w:rPr>
            </w:pPr>
            <w:r w:rsidRPr="00B56DE1">
              <w:rPr>
                <w:szCs w:val="22"/>
              </w:rPr>
              <w:t>Contrapartes bancarias</w:t>
            </w:r>
            <w:r w:rsidR="000C631C" w:rsidRPr="00B56DE1">
              <w:rPr>
                <w:szCs w:val="22"/>
              </w:rPr>
              <w:t xml:space="preserve">: </w:t>
            </w:r>
          </w:p>
          <w:p w:rsidR="000C631C" w:rsidRPr="00B56DE1" w:rsidRDefault="00F03085" w:rsidP="000C631C">
            <w:pPr>
              <w:numPr>
                <w:ilvl w:val="2"/>
                <w:numId w:val="10"/>
              </w:numPr>
              <w:spacing w:after="120"/>
              <w:ind w:hanging="357"/>
              <w:jc w:val="both"/>
              <w:rPr>
                <w:szCs w:val="22"/>
              </w:rPr>
            </w:pPr>
            <w:r w:rsidRPr="00B56DE1">
              <w:rPr>
                <w:szCs w:val="22"/>
              </w:rPr>
              <w:t>Se aplica la calificación crediticia mínima de A-/A3; o</w:t>
            </w:r>
          </w:p>
          <w:p w:rsidR="000C631C" w:rsidRPr="00B56DE1" w:rsidRDefault="007636C1" w:rsidP="000C631C">
            <w:pPr>
              <w:numPr>
                <w:ilvl w:val="2"/>
                <w:numId w:val="10"/>
              </w:numPr>
              <w:jc w:val="both"/>
              <w:rPr>
                <w:szCs w:val="22"/>
              </w:rPr>
            </w:pPr>
            <w:r w:rsidRPr="00B56DE1">
              <w:rPr>
                <w:szCs w:val="22"/>
              </w:rPr>
              <w:t>mediante excepción</w:t>
            </w:r>
            <w:r w:rsidR="00F03085" w:rsidRPr="00B56DE1">
              <w:rPr>
                <w:szCs w:val="22"/>
              </w:rPr>
              <w:t xml:space="preserve">, cuando lo haya aprobado específicamente </w:t>
            </w:r>
            <w:r w:rsidR="006165A8">
              <w:rPr>
                <w:szCs w:val="22"/>
              </w:rPr>
              <w:t>el Comité Asesor en materia de Inversiones</w:t>
            </w:r>
            <w:r w:rsidR="000C631C" w:rsidRPr="00B56DE1">
              <w:rPr>
                <w:szCs w:val="22"/>
              </w:rPr>
              <w:t>.</w:t>
            </w:r>
          </w:p>
          <w:p w:rsidR="000C631C" w:rsidRPr="00B56DE1" w:rsidRDefault="000C631C" w:rsidP="005606D8">
            <w:pPr>
              <w:tabs>
                <w:tab w:val="left" w:pos="-1440"/>
                <w:tab w:val="left" w:pos="-720"/>
              </w:tabs>
              <w:suppressAutoHyphens/>
              <w:spacing w:line="240" w:lineRule="atLeast"/>
              <w:ind w:left="252"/>
              <w:jc w:val="both"/>
              <w:rPr>
                <w:b/>
                <w:szCs w:val="22"/>
              </w:rPr>
            </w:pPr>
          </w:p>
          <w:p w:rsidR="000C631C" w:rsidRPr="00B56DE1" w:rsidRDefault="006005E9" w:rsidP="002507C9">
            <w:pPr>
              <w:numPr>
                <w:ilvl w:val="0"/>
                <w:numId w:val="10"/>
              </w:numPr>
              <w:tabs>
                <w:tab w:val="left" w:pos="-1440"/>
                <w:tab w:val="left" w:pos="-720"/>
              </w:tabs>
              <w:suppressAutoHyphens/>
              <w:spacing w:line="240" w:lineRule="atLeast"/>
              <w:jc w:val="both"/>
              <w:rPr>
                <w:b/>
                <w:szCs w:val="22"/>
              </w:rPr>
            </w:pPr>
            <w:r w:rsidRPr="00B56DE1">
              <w:rPr>
                <w:szCs w:val="22"/>
              </w:rPr>
              <w:t xml:space="preserve">En el </w:t>
            </w:r>
            <w:r w:rsidR="00115939" w:rsidRPr="00B56DE1">
              <w:rPr>
                <w:b/>
                <w:szCs w:val="22"/>
              </w:rPr>
              <w:t>a</w:t>
            </w:r>
            <w:r w:rsidRPr="00B56DE1">
              <w:rPr>
                <w:b/>
                <w:szCs w:val="22"/>
              </w:rPr>
              <w:t>péndice 5</w:t>
            </w:r>
            <w:r w:rsidRPr="00B56DE1">
              <w:rPr>
                <w:szCs w:val="22"/>
              </w:rPr>
              <w:t xml:space="preserve"> se recoge la relación de contrapartes aprobadas.</w:t>
            </w:r>
          </w:p>
          <w:p w:rsidR="00B56DE1" w:rsidRPr="00B56DE1" w:rsidRDefault="00B56DE1" w:rsidP="00B56DE1">
            <w:pPr>
              <w:tabs>
                <w:tab w:val="left" w:pos="-1440"/>
                <w:tab w:val="left" w:pos="-720"/>
              </w:tabs>
              <w:suppressAutoHyphens/>
              <w:spacing w:line="240" w:lineRule="atLeast"/>
              <w:ind w:left="720"/>
              <w:jc w:val="both"/>
              <w:rPr>
                <w:b/>
                <w:szCs w:val="22"/>
              </w:rPr>
            </w:pPr>
          </w:p>
        </w:tc>
      </w:tr>
      <w:tr w:rsidR="000C631C" w:rsidRPr="00B56DE1" w:rsidTr="005606D8">
        <w:tc>
          <w:tcPr>
            <w:tcW w:w="2495" w:type="dxa"/>
            <w:gridSpan w:val="2"/>
            <w:shd w:val="clear" w:color="auto" w:fill="auto"/>
          </w:tcPr>
          <w:p w:rsidR="000C631C" w:rsidRPr="00B56DE1" w:rsidRDefault="006005E9" w:rsidP="006005E9">
            <w:pPr>
              <w:tabs>
                <w:tab w:val="left" w:pos="-1440"/>
                <w:tab w:val="left" w:pos="-720"/>
              </w:tabs>
              <w:suppressAutoHyphens/>
              <w:spacing w:line="240" w:lineRule="atLeast"/>
              <w:jc w:val="both"/>
              <w:rPr>
                <w:szCs w:val="22"/>
              </w:rPr>
            </w:pPr>
            <w:r w:rsidRPr="00B56DE1">
              <w:rPr>
                <w:szCs w:val="22"/>
              </w:rPr>
              <w:t>Aprobación de</w:t>
            </w:r>
            <w:r w:rsidR="00D81333" w:rsidRPr="00B56DE1">
              <w:rPr>
                <w:szCs w:val="22"/>
              </w:rPr>
              <w:t xml:space="preserve"> las</w:t>
            </w:r>
            <w:r w:rsidRPr="00B56DE1">
              <w:rPr>
                <w:szCs w:val="22"/>
              </w:rPr>
              <w:t xml:space="preserve"> contrapartes</w:t>
            </w:r>
          </w:p>
        </w:tc>
        <w:tc>
          <w:tcPr>
            <w:tcW w:w="6544" w:type="dxa"/>
            <w:shd w:val="clear" w:color="auto" w:fill="auto"/>
          </w:tcPr>
          <w:p w:rsidR="000C631C" w:rsidRPr="00B56DE1" w:rsidRDefault="009E5EBF" w:rsidP="005606D8">
            <w:pPr>
              <w:pStyle w:val="ListParagraph"/>
              <w:numPr>
                <w:ilvl w:val="0"/>
                <w:numId w:val="11"/>
              </w:numPr>
              <w:tabs>
                <w:tab w:val="clear" w:pos="851"/>
                <w:tab w:val="clear" w:pos="1134"/>
              </w:tabs>
              <w:spacing w:before="0" w:after="0"/>
              <w:contextualSpacing/>
              <w:rPr>
                <w:szCs w:val="22"/>
                <w:lang w:val="es-ES"/>
              </w:rPr>
            </w:pPr>
            <w:r w:rsidRPr="00B56DE1">
              <w:rPr>
                <w:szCs w:val="22"/>
                <w:lang w:val="es-ES"/>
              </w:rPr>
              <w:t>Sólo se efectuarán transacciones de tesorería con contrapartes aprobad</w:t>
            </w:r>
            <w:r w:rsidR="00025A89" w:rsidRPr="00B56DE1">
              <w:rPr>
                <w:szCs w:val="22"/>
                <w:lang w:val="es-ES"/>
              </w:rPr>
              <w:t xml:space="preserve">as que cumplan los criterios crediticios </w:t>
            </w:r>
            <w:r w:rsidRPr="00B56DE1">
              <w:rPr>
                <w:szCs w:val="22"/>
                <w:lang w:val="es-ES"/>
              </w:rPr>
              <w:t>mínimos</w:t>
            </w:r>
            <w:r w:rsidR="00D81333" w:rsidRPr="00B56DE1">
              <w:rPr>
                <w:szCs w:val="22"/>
                <w:lang w:val="es-ES"/>
              </w:rPr>
              <w:t xml:space="preserve"> que se exigen</w:t>
            </w:r>
            <w:r w:rsidRPr="00B56DE1">
              <w:rPr>
                <w:szCs w:val="22"/>
                <w:lang w:val="es-ES"/>
              </w:rPr>
              <w:t xml:space="preserve">, tal y como se definen en la presente política. </w:t>
            </w:r>
          </w:p>
          <w:p w:rsidR="000C631C" w:rsidRPr="00B56DE1" w:rsidRDefault="000C631C" w:rsidP="005606D8">
            <w:pPr>
              <w:tabs>
                <w:tab w:val="left" w:pos="-1440"/>
                <w:tab w:val="left" w:pos="-720"/>
              </w:tabs>
              <w:suppressAutoHyphens/>
              <w:spacing w:line="240" w:lineRule="atLeast"/>
              <w:ind w:left="252"/>
              <w:rPr>
                <w:szCs w:val="22"/>
              </w:rPr>
            </w:pPr>
          </w:p>
          <w:p w:rsidR="000C631C" w:rsidRPr="00B56DE1" w:rsidRDefault="009E5EBF" w:rsidP="00025A89">
            <w:pPr>
              <w:pStyle w:val="ListParagraph"/>
              <w:numPr>
                <w:ilvl w:val="0"/>
                <w:numId w:val="11"/>
              </w:numPr>
              <w:tabs>
                <w:tab w:val="clear" w:pos="851"/>
                <w:tab w:val="clear" w:pos="1134"/>
              </w:tabs>
              <w:spacing w:before="0" w:after="0"/>
              <w:contextualSpacing/>
              <w:rPr>
                <w:szCs w:val="22"/>
                <w:lang w:val="es-ES"/>
              </w:rPr>
            </w:pPr>
            <w:r w:rsidRPr="00B56DE1">
              <w:rPr>
                <w:szCs w:val="22"/>
                <w:lang w:val="es-ES"/>
              </w:rPr>
              <w:t xml:space="preserve">Todas las contrapartes bancarias, de </w:t>
            </w:r>
            <w:r w:rsidR="00025A89" w:rsidRPr="00B56DE1">
              <w:rPr>
                <w:szCs w:val="22"/>
                <w:lang w:val="es-ES"/>
              </w:rPr>
              <w:t>moneda extranjera</w:t>
            </w:r>
            <w:r w:rsidRPr="00B56DE1">
              <w:rPr>
                <w:szCs w:val="22"/>
                <w:lang w:val="es-ES"/>
              </w:rPr>
              <w:t xml:space="preserve"> y de inversión deben haber sido aprobadas previamente por el Comité Asesor en materia de </w:t>
            </w:r>
            <w:r w:rsidR="006165A8" w:rsidRPr="00B56DE1">
              <w:rPr>
                <w:szCs w:val="22"/>
                <w:lang w:val="es-ES"/>
              </w:rPr>
              <w:t>Inversiones</w:t>
            </w:r>
            <w:r w:rsidRPr="00B56DE1">
              <w:rPr>
                <w:szCs w:val="22"/>
                <w:lang w:val="es-ES"/>
              </w:rPr>
              <w:t>.</w:t>
            </w:r>
            <w:r w:rsidR="000C631C" w:rsidRPr="00B56DE1">
              <w:rPr>
                <w:szCs w:val="22"/>
                <w:lang w:val="es-ES"/>
              </w:rPr>
              <w:t xml:space="preserve"> </w:t>
            </w:r>
          </w:p>
        </w:tc>
      </w:tr>
      <w:tr w:rsidR="000C631C" w:rsidRPr="00B56DE1" w:rsidTr="005606D8">
        <w:tc>
          <w:tcPr>
            <w:tcW w:w="2495" w:type="dxa"/>
            <w:gridSpan w:val="2"/>
            <w:shd w:val="clear" w:color="auto" w:fill="auto"/>
          </w:tcPr>
          <w:p w:rsidR="000C631C" w:rsidRPr="00B56DE1" w:rsidRDefault="004F2E6E" w:rsidP="006E24A9">
            <w:pPr>
              <w:keepNext/>
              <w:keepLines/>
              <w:tabs>
                <w:tab w:val="left" w:pos="-1440"/>
                <w:tab w:val="left" w:pos="-720"/>
              </w:tabs>
              <w:suppressAutoHyphens/>
              <w:spacing w:line="240" w:lineRule="atLeast"/>
              <w:rPr>
                <w:szCs w:val="22"/>
              </w:rPr>
            </w:pPr>
            <w:r w:rsidRPr="00B56DE1">
              <w:rPr>
                <w:szCs w:val="22"/>
              </w:rPr>
              <w:t>Niveles de permuta de incumplimiento crediticio (</w:t>
            </w:r>
            <w:r w:rsidRPr="00B56DE1">
              <w:rPr>
                <w:i/>
                <w:szCs w:val="22"/>
              </w:rPr>
              <w:t>credit default swap</w:t>
            </w:r>
            <w:r w:rsidRPr="00B56DE1">
              <w:rPr>
                <w:szCs w:val="22"/>
              </w:rPr>
              <w:t>) (CDS)</w:t>
            </w:r>
          </w:p>
        </w:tc>
        <w:tc>
          <w:tcPr>
            <w:tcW w:w="6544" w:type="dxa"/>
            <w:shd w:val="clear" w:color="auto" w:fill="auto"/>
          </w:tcPr>
          <w:p w:rsidR="000C631C" w:rsidRPr="00B56DE1" w:rsidRDefault="001D3F85" w:rsidP="005606D8">
            <w:pPr>
              <w:keepNext/>
              <w:keepLines/>
              <w:tabs>
                <w:tab w:val="left" w:pos="-1440"/>
                <w:tab w:val="left" w:pos="-720"/>
              </w:tabs>
              <w:suppressAutoHyphens/>
              <w:spacing w:line="240" w:lineRule="atLeast"/>
              <w:ind w:left="252"/>
              <w:rPr>
                <w:szCs w:val="22"/>
              </w:rPr>
            </w:pPr>
            <w:r w:rsidRPr="00B56DE1">
              <w:rPr>
                <w:szCs w:val="22"/>
              </w:rPr>
              <w:t xml:space="preserve">Cuando se </w:t>
            </w:r>
            <w:r w:rsidR="006E24A9" w:rsidRPr="00B56DE1">
              <w:rPr>
                <w:szCs w:val="22"/>
              </w:rPr>
              <w:t xml:space="preserve">cite (en Bloomberg o Reuters) </w:t>
            </w:r>
            <w:r w:rsidR="004F2E6E" w:rsidRPr="00B56DE1">
              <w:rPr>
                <w:szCs w:val="22"/>
              </w:rPr>
              <w:t>una tasa de nivel de CDS</w:t>
            </w:r>
            <w:r w:rsidRPr="00B56DE1">
              <w:rPr>
                <w:szCs w:val="22"/>
              </w:rPr>
              <w:t xml:space="preserve"> disponible para las contrapartes, la OMPI le dará seguimiento en tanto que indicativo del riesgo de contraparte.</w:t>
            </w:r>
            <w:r w:rsidR="000C631C" w:rsidRPr="00B56DE1">
              <w:rPr>
                <w:szCs w:val="22"/>
              </w:rPr>
              <w:t xml:space="preserve"> </w:t>
            </w:r>
          </w:p>
          <w:p w:rsidR="000C631C" w:rsidRPr="00B56DE1" w:rsidRDefault="000C631C" w:rsidP="005606D8">
            <w:pPr>
              <w:keepNext/>
              <w:keepLines/>
              <w:tabs>
                <w:tab w:val="left" w:pos="-1440"/>
                <w:tab w:val="left" w:pos="-720"/>
              </w:tabs>
              <w:suppressAutoHyphens/>
              <w:spacing w:line="240" w:lineRule="atLeast"/>
              <w:ind w:left="252"/>
              <w:rPr>
                <w:szCs w:val="22"/>
              </w:rPr>
            </w:pPr>
          </w:p>
          <w:p w:rsidR="000C631C" w:rsidRPr="00B56DE1" w:rsidRDefault="001D3F85" w:rsidP="005606D8">
            <w:pPr>
              <w:pStyle w:val="ListParagraph"/>
              <w:keepNext/>
              <w:keepLines/>
              <w:numPr>
                <w:ilvl w:val="0"/>
                <w:numId w:val="11"/>
              </w:numPr>
              <w:tabs>
                <w:tab w:val="clear" w:pos="851"/>
                <w:tab w:val="clear" w:pos="1134"/>
              </w:tabs>
              <w:spacing w:before="0" w:after="0"/>
              <w:contextualSpacing/>
              <w:rPr>
                <w:szCs w:val="22"/>
                <w:lang w:val="es-ES"/>
              </w:rPr>
            </w:pPr>
            <w:r w:rsidRPr="00B56DE1">
              <w:rPr>
                <w:szCs w:val="22"/>
                <w:lang w:val="es-ES"/>
              </w:rPr>
              <w:t xml:space="preserve">En concreto, la OMPI vigilará estrechamente a todas las </w:t>
            </w:r>
            <w:r w:rsidR="004F2E6E" w:rsidRPr="00B56DE1">
              <w:rPr>
                <w:szCs w:val="22"/>
                <w:lang w:val="es-ES"/>
              </w:rPr>
              <w:t>contrapartes con un nivel de CDS de 300 puntos básicos</w:t>
            </w:r>
            <w:r w:rsidRPr="00B56DE1">
              <w:rPr>
                <w:szCs w:val="22"/>
                <w:lang w:val="es-ES"/>
              </w:rPr>
              <w:t xml:space="preserve"> y podrá reducir o suprimir cualquier exposición a dichas contrapartes. </w:t>
            </w:r>
          </w:p>
          <w:p w:rsidR="000C631C" w:rsidRPr="00B56DE1" w:rsidRDefault="000C631C" w:rsidP="005606D8">
            <w:pPr>
              <w:keepNext/>
              <w:keepLines/>
              <w:tabs>
                <w:tab w:val="left" w:pos="-1440"/>
                <w:tab w:val="left" w:pos="-720"/>
              </w:tabs>
              <w:suppressAutoHyphens/>
              <w:spacing w:line="240" w:lineRule="atLeast"/>
              <w:rPr>
                <w:szCs w:val="22"/>
              </w:rPr>
            </w:pPr>
          </w:p>
        </w:tc>
      </w:tr>
      <w:tr w:rsidR="000C631C" w:rsidRPr="00B56DE1" w:rsidTr="005606D8">
        <w:tc>
          <w:tcPr>
            <w:tcW w:w="2484" w:type="dxa"/>
            <w:shd w:val="clear" w:color="auto" w:fill="auto"/>
          </w:tcPr>
          <w:p w:rsidR="000C631C" w:rsidRPr="00B56DE1" w:rsidRDefault="00075C5D" w:rsidP="00075C5D">
            <w:pPr>
              <w:tabs>
                <w:tab w:val="left" w:pos="-1440"/>
                <w:tab w:val="left" w:pos="-720"/>
              </w:tabs>
              <w:suppressAutoHyphens/>
              <w:spacing w:line="240" w:lineRule="atLeast"/>
              <w:rPr>
                <w:szCs w:val="22"/>
              </w:rPr>
            </w:pPr>
            <w:r w:rsidRPr="00B56DE1">
              <w:rPr>
                <w:szCs w:val="22"/>
              </w:rPr>
              <w:t>Marco y límites del crédito de contraparte</w:t>
            </w:r>
          </w:p>
        </w:tc>
        <w:tc>
          <w:tcPr>
            <w:tcW w:w="6555" w:type="dxa"/>
            <w:gridSpan w:val="2"/>
            <w:shd w:val="clear" w:color="auto" w:fill="auto"/>
          </w:tcPr>
          <w:p w:rsidR="000C631C" w:rsidRPr="00B56DE1" w:rsidRDefault="00734020" w:rsidP="005606D8">
            <w:pPr>
              <w:pStyle w:val="ListParagraph"/>
              <w:numPr>
                <w:ilvl w:val="0"/>
                <w:numId w:val="11"/>
              </w:numPr>
              <w:tabs>
                <w:tab w:val="clear" w:pos="851"/>
                <w:tab w:val="clear" w:pos="1134"/>
              </w:tabs>
              <w:spacing w:before="0" w:after="0"/>
              <w:contextualSpacing/>
              <w:rPr>
                <w:szCs w:val="22"/>
                <w:lang w:val="es-ES"/>
              </w:rPr>
            </w:pPr>
            <w:r w:rsidRPr="00B56DE1">
              <w:rPr>
                <w:szCs w:val="22"/>
                <w:lang w:val="es-ES"/>
              </w:rPr>
              <w:t>Se aplicarán límites de crédito a las distintas contrapartes. Para estipular los límites del nivel de exposición se tendrá en cuenta</w:t>
            </w:r>
            <w:r w:rsidR="000C631C" w:rsidRPr="00B56DE1">
              <w:rPr>
                <w:szCs w:val="22"/>
                <w:lang w:val="es-ES"/>
              </w:rPr>
              <w:t>:</w:t>
            </w:r>
          </w:p>
          <w:p w:rsidR="000C631C" w:rsidRPr="00B56DE1" w:rsidRDefault="000C631C" w:rsidP="005606D8">
            <w:pPr>
              <w:rPr>
                <w:szCs w:val="22"/>
              </w:rPr>
            </w:pPr>
          </w:p>
          <w:p w:rsidR="000C631C" w:rsidRPr="00B56DE1" w:rsidRDefault="00ED26FB" w:rsidP="005606D8">
            <w:pPr>
              <w:pStyle w:val="ListParagraph"/>
              <w:numPr>
                <w:ilvl w:val="1"/>
                <w:numId w:val="11"/>
              </w:numPr>
              <w:tabs>
                <w:tab w:val="clear" w:pos="851"/>
                <w:tab w:val="clear" w:pos="1134"/>
              </w:tabs>
              <w:spacing w:before="0"/>
              <w:ind w:left="1434" w:hanging="357"/>
              <w:contextualSpacing/>
              <w:rPr>
                <w:szCs w:val="22"/>
                <w:lang w:val="es-ES"/>
              </w:rPr>
            </w:pPr>
            <w:r w:rsidRPr="00B56DE1">
              <w:rPr>
                <w:szCs w:val="22"/>
                <w:lang w:val="es-ES"/>
              </w:rPr>
              <w:t>El valor nominal del efectivo e inversiones que se tienen en una contraparte.</w:t>
            </w:r>
          </w:p>
          <w:p w:rsidR="000C631C" w:rsidRPr="00B56DE1" w:rsidRDefault="000C631C" w:rsidP="005606D8">
            <w:pPr>
              <w:pStyle w:val="ListParagraph"/>
              <w:numPr>
                <w:ilvl w:val="0"/>
                <w:numId w:val="0"/>
              </w:numPr>
              <w:tabs>
                <w:tab w:val="clear" w:pos="851"/>
                <w:tab w:val="clear" w:pos="1134"/>
              </w:tabs>
              <w:spacing w:before="0"/>
              <w:ind w:left="1434"/>
              <w:contextualSpacing/>
              <w:rPr>
                <w:szCs w:val="22"/>
                <w:lang w:val="es-ES"/>
              </w:rPr>
            </w:pPr>
          </w:p>
          <w:p w:rsidR="000C631C" w:rsidRPr="00B56DE1" w:rsidRDefault="00D81333" w:rsidP="005606D8">
            <w:pPr>
              <w:pStyle w:val="ListParagraph"/>
              <w:numPr>
                <w:ilvl w:val="1"/>
                <w:numId w:val="11"/>
              </w:numPr>
              <w:tabs>
                <w:tab w:val="clear" w:pos="851"/>
                <w:tab w:val="clear" w:pos="1134"/>
              </w:tabs>
              <w:spacing w:before="0" w:after="0"/>
              <w:contextualSpacing/>
              <w:rPr>
                <w:szCs w:val="22"/>
                <w:lang w:val="es-ES"/>
              </w:rPr>
            </w:pPr>
            <w:r w:rsidRPr="00B56DE1">
              <w:rPr>
                <w:szCs w:val="22"/>
                <w:lang w:val="es-ES"/>
              </w:rPr>
              <w:t>La exposición</w:t>
            </w:r>
            <w:r w:rsidR="00E260A1" w:rsidRPr="00B56DE1">
              <w:rPr>
                <w:szCs w:val="22"/>
                <w:lang w:val="es-ES"/>
              </w:rPr>
              <w:t xml:space="preserve"> en</w:t>
            </w:r>
            <w:r w:rsidR="00ED26FB" w:rsidRPr="00B56DE1">
              <w:rPr>
                <w:szCs w:val="22"/>
                <w:lang w:val="es-ES"/>
              </w:rPr>
              <w:t xml:space="preserve"> valor de mercado sobre las transacciones en</w:t>
            </w:r>
            <w:r w:rsidR="00025A89" w:rsidRPr="00B56DE1">
              <w:rPr>
                <w:szCs w:val="22"/>
                <w:lang w:val="es-ES"/>
              </w:rPr>
              <w:t xml:space="preserve"> moneda</w:t>
            </w:r>
            <w:r w:rsidR="00ED26FB" w:rsidRPr="00B56DE1">
              <w:rPr>
                <w:szCs w:val="22"/>
                <w:lang w:val="es-ES"/>
              </w:rPr>
              <w:t xml:space="preserve"> extranjera con una contraparte.</w:t>
            </w:r>
          </w:p>
          <w:p w:rsidR="000C631C" w:rsidRPr="00B56DE1" w:rsidRDefault="000C631C" w:rsidP="005606D8">
            <w:pPr>
              <w:rPr>
                <w:szCs w:val="22"/>
              </w:rPr>
            </w:pPr>
          </w:p>
          <w:p w:rsidR="000C631C" w:rsidRPr="00B56DE1" w:rsidRDefault="002B38F3" w:rsidP="005606D8">
            <w:pPr>
              <w:pStyle w:val="ListParagraph"/>
              <w:numPr>
                <w:ilvl w:val="0"/>
                <w:numId w:val="11"/>
              </w:numPr>
              <w:tabs>
                <w:tab w:val="clear" w:pos="851"/>
                <w:tab w:val="clear" w:pos="1134"/>
                <w:tab w:val="left" w:pos="-1440"/>
                <w:tab w:val="left" w:pos="-720"/>
              </w:tabs>
              <w:suppressAutoHyphens/>
              <w:spacing w:before="0" w:after="240" w:line="240" w:lineRule="atLeast"/>
              <w:ind w:left="714" w:hanging="357"/>
              <w:contextualSpacing/>
              <w:rPr>
                <w:szCs w:val="22"/>
                <w:lang w:val="es-ES"/>
              </w:rPr>
            </w:pPr>
            <w:r w:rsidRPr="00B56DE1">
              <w:rPr>
                <w:szCs w:val="22"/>
                <w:lang w:val="es-ES"/>
              </w:rPr>
              <w:t>Los límites de</w:t>
            </w:r>
            <w:r w:rsidR="00D81333" w:rsidRPr="00B56DE1">
              <w:rPr>
                <w:szCs w:val="22"/>
                <w:lang w:val="es-ES"/>
              </w:rPr>
              <w:t xml:space="preserve"> exposición</w:t>
            </w:r>
            <w:r w:rsidRPr="00B56DE1">
              <w:rPr>
                <w:szCs w:val="22"/>
                <w:lang w:val="es-ES"/>
              </w:rPr>
              <w:t xml:space="preserve"> individuales y por categoría que pueden aplicarse a las contrapartes aprobadas son los siguientes</w:t>
            </w:r>
            <w:r w:rsidR="000C631C" w:rsidRPr="00B56DE1">
              <w:rPr>
                <w:szCs w:val="22"/>
                <w:lang w:val="es-ES"/>
              </w:rPr>
              <w:t>:</w:t>
            </w:r>
          </w:p>
          <w:p w:rsidR="000C631C" w:rsidRPr="00B56DE1" w:rsidRDefault="002B38F3" w:rsidP="005606D8">
            <w:pPr>
              <w:numPr>
                <w:ilvl w:val="1"/>
                <w:numId w:val="11"/>
              </w:numPr>
              <w:rPr>
                <w:szCs w:val="22"/>
              </w:rPr>
            </w:pPr>
            <w:r w:rsidRPr="00B56DE1">
              <w:rPr>
                <w:szCs w:val="22"/>
              </w:rPr>
              <w:t>Se aplica a las contrapartes bancarias con una calificación crediticia inferior a AA/Aa un límite máximo A UN DÍA de 20 millones de francos suizos.</w:t>
            </w:r>
          </w:p>
          <w:p w:rsidR="000C631C" w:rsidRPr="00B56DE1" w:rsidRDefault="000C631C" w:rsidP="005606D8">
            <w:pPr>
              <w:ind w:left="1440"/>
              <w:rPr>
                <w:szCs w:val="22"/>
              </w:rPr>
            </w:pPr>
          </w:p>
          <w:p w:rsidR="000C631C" w:rsidRPr="00B56DE1" w:rsidRDefault="00B9098C" w:rsidP="005606D8">
            <w:pPr>
              <w:numPr>
                <w:ilvl w:val="1"/>
                <w:numId w:val="11"/>
              </w:numPr>
              <w:rPr>
                <w:szCs w:val="22"/>
              </w:rPr>
            </w:pPr>
            <w:r w:rsidRPr="00B56DE1">
              <w:rPr>
                <w:szCs w:val="22"/>
              </w:rPr>
              <w:t>Los derivados a cambio corriente</w:t>
            </w:r>
            <w:r w:rsidR="002B38F3" w:rsidRPr="00B56DE1">
              <w:rPr>
                <w:szCs w:val="22"/>
              </w:rPr>
              <w:t xml:space="preserve"> Y las inversiones, en una cuantía que no supere el 10%, podrán depositarse en una única contraparte a menos que </w:t>
            </w:r>
            <w:r w:rsidR="00D81333" w:rsidRPr="00B56DE1">
              <w:rPr>
                <w:szCs w:val="22"/>
              </w:rPr>
              <w:t xml:space="preserve">ésta </w:t>
            </w:r>
            <w:r w:rsidR="002B38F3" w:rsidRPr="00B56DE1">
              <w:rPr>
                <w:szCs w:val="22"/>
              </w:rPr>
              <w:t>tenga una calificación crediticia de AAA.</w:t>
            </w:r>
          </w:p>
          <w:p w:rsidR="000C631C" w:rsidRPr="00B56DE1" w:rsidRDefault="000C631C" w:rsidP="005606D8">
            <w:pPr>
              <w:pStyle w:val="ListParagraph"/>
              <w:numPr>
                <w:ilvl w:val="0"/>
                <w:numId w:val="0"/>
              </w:numPr>
              <w:ind w:left="446"/>
              <w:rPr>
                <w:szCs w:val="22"/>
                <w:highlight w:val="yellow"/>
                <w:lang w:val="es-ES"/>
              </w:rPr>
            </w:pPr>
          </w:p>
        </w:tc>
      </w:tr>
      <w:tr w:rsidR="000C631C" w:rsidRPr="00B56DE1" w:rsidTr="005606D8">
        <w:tc>
          <w:tcPr>
            <w:tcW w:w="2484" w:type="dxa"/>
            <w:shd w:val="clear" w:color="auto" w:fill="auto"/>
          </w:tcPr>
          <w:p w:rsidR="000C631C" w:rsidRPr="00B56DE1" w:rsidRDefault="002B38F3" w:rsidP="002B38F3">
            <w:pPr>
              <w:tabs>
                <w:tab w:val="left" w:pos="-1440"/>
                <w:tab w:val="left" w:pos="-720"/>
              </w:tabs>
              <w:suppressAutoHyphens/>
              <w:spacing w:line="240" w:lineRule="atLeast"/>
              <w:jc w:val="both"/>
              <w:rPr>
                <w:szCs w:val="22"/>
              </w:rPr>
            </w:pPr>
            <w:r w:rsidRPr="00B56DE1">
              <w:rPr>
                <w:szCs w:val="22"/>
              </w:rPr>
              <w:t>Aprobación de límites</w:t>
            </w:r>
          </w:p>
        </w:tc>
        <w:tc>
          <w:tcPr>
            <w:tcW w:w="6555" w:type="dxa"/>
            <w:gridSpan w:val="2"/>
            <w:shd w:val="clear" w:color="auto" w:fill="auto"/>
          </w:tcPr>
          <w:p w:rsidR="000C631C" w:rsidRPr="00B56DE1" w:rsidRDefault="002B38F3" w:rsidP="005606D8">
            <w:pPr>
              <w:pStyle w:val="ListParagraph"/>
              <w:numPr>
                <w:ilvl w:val="0"/>
                <w:numId w:val="12"/>
              </w:numPr>
              <w:tabs>
                <w:tab w:val="clear" w:pos="851"/>
                <w:tab w:val="clear" w:pos="1134"/>
              </w:tabs>
              <w:spacing w:before="0" w:after="0"/>
              <w:ind w:left="777" w:hanging="426"/>
              <w:contextualSpacing/>
              <w:rPr>
                <w:szCs w:val="22"/>
                <w:lang w:val="es-ES"/>
              </w:rPr>
            </w:pPr>
            <w:r w:rsidRPr="00B56DE1">
              <w:rPr>
                <w:szCs w:val="22"/>
                <w:lang w:val="es-ES"/>
              </w:rPr>
              <w:t xml:space="preserve">La contraparte aprobada y los límites de exposición podrán ser revisados por el Director General y el Contralor mancomunadamente. </w:t>
            </w:r>
          </w:p>
        </w:tc>
      </w:tr>
      <w:tr w:rsidR="000C631C" w:rsidRPr="00B56DE1" w:rsidTr="005606D8">
        <w:tc>
          <w:tcPr>
            <w:tcW w:w="2484" w:type="dxa"/>
            <w:shd w:val="clear" w:color="auto" w:fill="auto"/>
          </w:tcPr>
          <w:p w:rsidR="000C631C" w:rsidRPr="00B56DE1" w:rsidRDefault="002B38F3" w:rsidP="005606D8">
            <w:pPr>
              <w:tabs>
                <w:tab w:val="left" w:pos="-1440"/>
                <w:tab w:val="left" w:pos="-720"/>
              </w:tabs>
              <w:suppressAutoHyphens/>
              <w:spacing w:line="240" w:lineRule="atLeast"/>
              <w:jc w:val="both"/>
              <w:rPr>
                <w:szCs w:val="22"/>
              </w:rPr>
            </w:pPr>
            <w:r w:rsidRPr="00B56DE1">
              <w:rPr>
                <w:szCs w:val="22"/>
              </w:rPr>
              <w:t>Seguimiento de la exposición</w:t>
            </w:r>
          </w:p>
        </w:tc>
        <w:tc>
          <w:tcPr>
            <w:tcW w:w="6555" w:type="dxa"/>
            <w:gridSpan w:val="2"/>
            <w:shd w:val="clear" w:color="auto" w:fill="auto"/>
          </w:tcPr>
          <w:p w:rsidR="000C631C" w:rsidRPr="00B56DE1" w:rsidRDefault="002B38F3" w:rsidP="005606D8">
            <w:pPr>
              <w:pStyle w:val="ListParagraph"/>
              <w:numPr>
                <w:ilvl w:val="0"/>
                <w:numId w:val="13"/>
              </w:numPr>
              <w:tabs>
                <w:tab w:val="clear" w:pos="851"/>
                <w:tab w:val="clear" w:pos="1134"/>
              </w:tabs>
              <w:spacing w:before="0" w:after="0"/>
              <w:ind w:left="777" w:hanging="426"/>
              <w:contextualSpacing/>
              <w:rPr>
                <w:szCs w:val="22"/>
                <w:lang w:val="es-ES"/>
              </w:rPr>
            </w:pPr>
            <w:r w:rsidRPr="00B56DE1">
              <w:rPr>
                <w:szCs w:val="22"/>
                <w:lang w:val="es-ES"/>
              </w:rPr>
              <w:t>La OMPI debe evaluar, medir e informar periódic</w:t>
            </w:r>
            <w:r w:rsidR="00D81333" w:rsidRPr="00B56DE1">
              <w:rPr>
                <w:szCs w:val="22"/>
                <w:lang w:val="es-ES"/>
              </w:rPr>
              <w:t>amente acerca de la exposición de las</w:t>
            </w:r>
            <w:r w:rsidRPr="00B56DE1">
              <w:rPr>
                <w:szCs w:val="22"/>
                <w:lang w:val="es-ES"/>
              </w:rPr>
              <w:t xml:space="preserve"> contrapartes de tesorería.</w:t>
            </w:r>
          </w:p>
          <w:p w:rsidR="000C631C" w:rsidRPr="00B56DE1" w:rsidRDefault="000C631C" w:rsidP="005606D8">
            <w:pPr>
              <w:rPr>
                <w:szCs w:val="22"/>
              </w:rPr>
            </w:pPr>
          </w:p>
        </w:tc>
      </w:tr>
    </w:tbl>
    <w:p w:rsidR="000C631C" w:rsidRPr="00B56DE1" w:rsidRDefault="000C631C" w:rsidP="000C631C">
      <w:pPr>
        <w:tabs>
          <w:tab w:val="left" w:pos="-1440"/>
          <w:tab w:val="left" w:pos="-720"/>
        </w:tabs>
        <w:suppressAutoHyphens/>
        <w:spacing w:line="240" w:lineRule="atLeast"/>
        <w:jc w:val="both"/>
        <w:rPr>
          <w:bCs/>
          <w:szCs w:val="22"/>
        </w:rPr>
      </w:pPr>
    </w:p>
    <w:p w:rsidR="000C631C" w:rsidRPr="00B56DE1" w:rsidRDefault="000C631C" w:rsidP="000C631C">
      <w:pPr>
        <w:tabs>
          <w:tab w:val="left" w:pos="-1440"/>
          <w:tab w:val="left" w:pos="-720"/>
        </w:tabs>
        <w:suppressAutoHyphens/>
        <w:spacing w:line="240" w:lineRule="atLeast"/>
        <w:jc w:val="both"/>
        <w:rPr>
          <w:bCs/>
          <w:szCs w:val="22"/>
        </w:rPr>
      </w:pPr>
    </w:p>
    <w:p w:rsidR="00152CEA" w:rsidRPr="00B56DE1" w:rsidRDefault="000C631C" w:rsidP="00B56DE1">
      <w:pPr>
        <w:jc w:val="right"/>
        <w:rPr>
          <w:bCs/>
          <w:szCs w:val="22"/>
        </w:rPr>
      </w:pPr>
      <w:r w:rsidRPr="00B56DE1">
        <w:rPr>
          <w:bCs/>
          <w:szCs w:val="22"/>
        </w:rPr>
        <w:sym w:font="Symbol" w:char="F05B"/>
      </w:r>
      <w:r w:rsidR="009311AF" w:rsidRPr="00B56DE1">
        <w:rPr>
          <w:bCs/>
          <w:szCs w:val="22"/>
        </w:rPr>
        <w:t>Fin del Anexo III y del documento</w:t>
      </w:r>
      <w:r w:rsidRPr="00B56DE1">
        <w:rPr>
          <w:bCs/>
          <w:szCs w:val="22"/>
        </w:rPr>
        <w:sym w:font="Symbol" w:char="F05D"/>
      </w:r>
    </w:p>
    <w:sectPr w:rsidR="00152CEA" w:rsidRPr="00B56DE1" w:rsidSect="00B56DE1">
      <w:headerReference w:type="default" r:id="rId22"/>
      <w:headerReference w:type="first" r:id="rId2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0E" w:rsidRDefault="009A340E">
      <w:r>
        <w:separator/>
      </w:r>
    </w:p>
  </w:endnote>
  <w:endnote w:type="continuationSeparator" w:id="0">
    <w:p w:rsidR="009A340E" w:rsidRPr="009D30E6" w:rsidRDefault="009A340E" w:rsidP="007E663E">
      <w:pPr>
        <w:rPr>
          <w:sz w:val="17"/>
          <w:szCs w:val="17"/>
        </w:rPr>
      </w:pPr>
      <w:r w:rsidRPr="009D30E6">
        <w:rPr>
          <w:sz w:val="17"/>
          <w:szCs w:val="17"/>
        </w:rPr>
        <w:separator/>
      </w:r>
    </w:p>
    <w:p w:rsidR="009A340E" w:rsidRPr="007E663E" w:rsidRDefault="009A340E" w:rsidP="007E663E">
      <w:pPr>
        <w:spacing w:after="60"/>
        <w:rPr>
          <w:sz w:val="17"/>
          <w:szCs w:val="17"/>
        </w:rPr>
      </w:pPr>
      <w:r>
        <w:rPr>
          <w:sz w:val="17"/>
        </w:rPr>
        <w:t>[Continuación de la nota de la página anterior]</w:t>
      </w:r>
    </w:p>
  </w:endnote>
  <w:endnote w:type="continuationNotice" w:id="1">
    <w:p w:rsidR="009A340E" w:rsidRPr="007E663E" w:rsidRDefault="009A340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Pr="00EF3EBB" w:rsidRDefault="00824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Default="00824E6B" w:rsidP="005606D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0E" w:rsidRDefault="009A340E">
      <w:r>
        <w:separator/>
      </w:r>
    </w:p>
  </w:footnote>
  <w:footnote w:type="continuationSeparator" w:id="0">
    <w:p w:rsidR="009A340E" w:rsidRPr="009D30E6" w:rsidRDefault="009A340E" w:rsidP="007E663E">
      <w:pPr>
        <w:rPr>
          <w:sz w:val="17"/>
          <w:szCs w:val="17"/>
        </w:rPr>
      </w:pPr>
      <w:r w:rsidRPr="009D30E6">
        <w:rPr>
          <w:sz w:val="17"/>
          <w:szCs w:val="17"/>
        </w:rPr>
        <w:separator/>
      </w:r>
    </w:p>
    <w:p w:rsidR="009A340E" w:rsidRPr="007E663E" w:rsidRDefault="009A340E" w:rsidP="007E663E">
      <w:pPr>
        <w:spacing w:after="60"/>
        <w:rPr>
          <w:sz w:val="17"/>
          <w:szCs w:val="17"/>
        </w:rPr>
      </w:pPr>
      <w:r>
        <w:rPr>
          <w:sz w:val="17"/>
        </w:rPr>
        <w:t>[Continuación de la nota de la página anterior]</w:t>
      </w:r>
    </w:p>
  </w:footnote>
  <w:footnote w:type="continuationNotice" w:id="1">
    <w:p w:rsidR="009A340E" w:rsidRPr="007E663E" w:rsidRDefault="009A340E" w:rsidP="007E663E">
      <w:pPr>
        <w:spacing w:before="60"/>
        <w:jc w:val="right"/>
        <w:rPr>
          <w:sz w:val="17"/>
          <w:szCs w:val="17"/>
        </w:rPr>
      </w:pPr>
      <w:r w:rsidRPr="007E663E">
        <w:rPr>
          <w:sz w:val="17"/>
          <w:szCs w:val="17"/>
        </w:rPr>
        <w:t>[Sigue la nota en la página siguiente]</w:t>
      </w:r>
    </w:p>
  </w:footnote>
  <w:footnote w:id="2">
    <w:p w:rsidR="00824E6B" w:rsidRPr="00670450" w:rsidRDefault="00824E6B" w:rsidP="000C631C">
      <w:pPr>
        <w:pStyle w:val="FootnoteText"/>
      </w:pPr>
      <w:r>
        <w:rPr>
          <w:rStyle w:val="FootnoteReference"/>
        </w:rPr>
        <w:footnoteRef/>
      </w:r>
      <w:r>
        <w:t xml:space="preserve">  El coeficiente de solvencia resulta de dividir el activo c</w:t>
      </w:r>
      <w:r w:rsidRPr="00670450">
        <w:t xml:space="preserve">orriente entre </w:t>
      </w:r>
      <w:r>
        <w:t xml:space="preserve">el pasivo corriente, y el coeficiente de liquidez resulta de dividir el activo líquido entre el pasivo corriente. </w:t>
      </w:r>
    </w:p>
  </w:footnote>
  <w:footnote w:id="3">
    <w:p w:rsidR="00824E6B" w:rsidRPr="00BC4B1C" w:rsidRDefault="00824E6B" w:rsidP="0086159A">
      <w:pPr>
        <w:pStyle w:val="FootnoteText"/>
        <w:ind w:hanging="7"/>
        <w:rPr>
          <w:szCs w:val="18"/>
          <w:lang w:val="es-ES_tradnl"/>
        </w:rPr>
      </w:pPr>
      <w:r w:rsidRPr="00662721">
        <w:rPr>
          <w:rStyle w:val="FootnoteReference"/>
          <w:szCs w:val="18"/>
        </w:rPr>
        <w:footnoteRef/>
      </w:r>
      <w:r w:rsidRPr="00662721">
        <w:rPr>
          <w:szCs w:val="18"/>
        </w:rPr>
        <w:t xml:space="preserve"> </w:t>
      </w:r>
      <w:r w:rsidRPr="00662721">
        <w:rPr>
          <w:szCs w:val="18"/>
        </w:rPr>
        <w:tab/>
      </w:r>
      <w:r w:rsidRPr="00662721">
        <w:rPr>
          <w:szCs w:val="18"/>
          <w:lang w:val="es-ES_tradnl"/>
        </w:rPr>
        <w:t>En el Anexo figuran los detalles correspondientes a las calificaciones crediticias.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Default="00824E6B" w:rsidP="005606D8">
    <w:pPr>
      <w:pStyle w:val="Header"/>
      <w:jc w:val="right"/>
    </w:pPr>
    <w:r>
      <w:t>WO/PBC/22/19</w:t>
    </w:r>
  </w:p>
  <w:p w:rsidR="00824E6B" w:rsidRDefault="00824E6B">
    <w:pPr>
      <w:pStyle w:val="Header"/>
      <w:jc w:val="right"/>
    </w:pPr>
    <w:r>
      <w:t xml:space="preserve">página </w:t>
    </w:r>
    <w:sdt>
      <w:sdtPr>
        <w:id w:val="-14982570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6D6C">
          <w:rPr>
            <w:noProof/>
          </w:rPr>
          <w:t>10</w:t>
        </w:r>
        <w:r>
          <w:rPr>
            <w:noProof/>
          </w:rPr>
          <w:fldChar w:fldCharType="end"/>
        </w:r>
      </w:sdtContent>
    </w:sdt>
  </w:p>
  <w:p w:rsidR="00824E6B" w:rsidRDefault="00824E6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Pr="000C631C" w:rsidRDefault="00824E6B" w:rsidP="005606D8">
    <w:pPr>
      <w:pStyle w:val="Header"/>
      <w:jc w:val="right"/>
      <w:rPr>
        <w:lang w:val="en-US"/>
      </w:rPr>
    </w:pPr>
    <w:r w:rsidRPr="000C631C">
      <w:rPr>
        <w:lang w:val="en-US"/>
      </w:rPr>
      <w:t>WO/PBC/22/19</w:t>
    </w:r>
  </w:p>
  <w:p w:rsidR="00824E6B" w:rsidRPr="000C631C" w:rsidRDefault="00824E6B">
    <w:pPr>
      <w:pStyle w:val="Header"/>
      <w:jc w:val="right"/>
      <w:rPr>
        <w:lang w:val="en-US"/>
      </w:rPr>
    </w:pPr>
    <w:r w:rsidRPr="000C631C">
      <w:rPr>
        <w:lang w:val="en-US"/>
      </w:rPr>
      <w:t>Anex</w:t>
    </w:r>
    <w:r>
      <w:rPr>
        <w:lang w:val="en-US"/>
      </w:rPr>
      <w:t>o</w:t>
    </w:r>
    <w:r w:rsidRPr="000C631C">
      <w:rPr>
        <w:lang w:val="en-US"/>
      </w:rPr>
      <w:t xml:space="preserve"> I, p</w:t>
    </w:r>
    <w:r>
      <w:rPr>
        <w:lang w:val="en-US"/>
      </w:rPr>
      <w:t>ágin</w:t>
    </w:r>
    <w:r w:rsidRPr="000C631C">
      <w:rPr>
        <w:lang w:val="en-US"/>
      </w:rPr>
      <w:t xml:space="preserve">a </w:t>
    </w:r>
    <w:sdt>
      <w:sdtPr>
        <w:id w:val="-1655520801"/>
        <w:docPartObj>
          <w:docPartGallery w:val="Page Numbers (Top of Page)"/>
          <w:docPartUnique/>
        </w:docPartObj>
      </w:sdtPr>
      <w:sdtEndPr>
        <w:rPr>
          <w:noProof/>
        </w:rPr>
      </w:sdtEndPr>
      <w:sdtContent>
        <w:r>
          <w:fldChar w:fldCharType="begin"/>
        </w:r>
        <w:r w:rsidRPr="000C631C">
          <w:rPr>
            <w:lang w:val="en-US"/>
          </w:rPr>
          <w:instrText xml:space="preserve"> PAGE   \* MERGEFORMAT </w:instrText>
        </w:r>
        <w:r>
          <w:fldChar w:fldCharType="separate"/>
        </w:r>
        <w:r w:rsidR="009A6D6C">
          <w:rPr>
            <w:noProof/>
            <w:lang w:val="en-US"/>
          </w:rPr>
          <w:t>2</w:t>
        </w:r>
        <w:r>
          <w:rPr>
            <w:noProof/>
          </w:rPr>
          <w:fldChar w:fldCharType="end"/>
        </w:r>
      </w:sdtContent>
    </w:sdt>
  </w:p>
  <w:p w:rsidR="00824E6B" w:rsidRPr="000C631C" w:rsidRDefault="00824E6B"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Default="00824E6B" w:rsidP="005606D8">
    <w:pPr>
      <w:pStyle w:val="Header"/>
      <w:jc w:val="right"/>
    </w:pPr>
    <w:r>
      <w:t>WO/PBC/22/19</w:t>
    </w:r>
  </w:p>
  <w:p w:rsidR="00824E6B" w:rsidRDefault="00824E6B">
    <w:pPr>
      <w:pStyle w:val="Header"/>
      <w:jc w:val="right"/>
    </w:pPr>
    <w:r>
      <w:t>ANEXO I</w:t>
    </w:r>
  </w:p>
  <w:p w:rsidR="00824E6B" w:rsidRDefault="00824E6B" w:rsidP="005606D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Pr="000C631C" w:rsidRDefault="00824E6B" w:rsidP="005606D8">
    <w:pPr>
      <w:pStyle w:val="Header"/>
      <w:jc w:val="right"/>
      <w:rPr>
        <w:lang w:val="en-US"/>
      </w:rPr>
    </w:pPr>
    <w:r w:rsidRPr="000C631C">
      <w:rPr>
        <w:lang w:val="en-US"/>
      </w:rPr>
      <w:t>WO/PBC/22/19</w:t>
    </w:r>
  </w:p>
  <w:p w:rsidR="00824E6B" w:rsidRPr="000C631C" w:rsidRDefault="00824E6B">
    <w:pPr>
      <w:pStyle w:val="Header"/>
      <w:jc w:val="right"/>
      <w:rPr>
        <w:lang w:val="en-US"/>
      </w:rPr>
    </w:pPr>
    <w:r w:rsidRPr="000C631C">
      <w:rPr>
        <w:lang w:val="en-US"/>
      </w:rPr>
      <w:t>Anex</w:t>
    </w:r>
    <w:r>
      <w:rPr>
        <w:lang w:val="en-US"/>
      </w:rPr>
      <w:t>o</w:t>
    </w:r>
    <w:r w:rsidRPr="000C631C">
      <w:rPr>
        <w:lang w:val="en-US"/>
      </w:rPr>
      <w:t xml:space="preserve"> I, p</w:t>
    </w:r>
    <w:r>
      <w:rPr>
        <w:lang w:val="en-US"/>
      </w:rPr>
      <w:t>ágina</w:t>
    </w:r>
    <w:r w:rsidRPr="000C631C">
      <w:rPr>
        <w:lang w:val="en-US"/>
      </w:rPr>
      <w:t xml:space="preserve"> </w:t>
    </w:r>
    <w:sdt>
      <w:sdtPr>
        <w:id w:val="-385183584"/>
        <w:docPartObj>
          <w:docPartGallery w:val="Page Numbers (Top of Page)"/>
          <w:docPartUnique/>
        </w:docPartObj>
      </w:sdtPr>
      <w:sdtEndPr>
        <w:rPr>
          <w:noProof/>
        </w:rPr>
      </w:sdtEndPr>
      <w:sdtContent>
        <w:r>
          <w:fldChar w:fldCharType="begin"/>
        </w:r>
        <w:r w:rsidRPr="000C631C">
          <w:rPr>
            <w:lang w:val="en-US"/>
          </w:rPr>
          <w:instrText xml:space="preserve"> PAGE   \* MERGEFORMAT </w:instrText>
        </w:r>
        <w:r>
          <w:fldChar w:fldCharType="separate"/>
        </w:r>
        <w:r w:rsidR="009A6D6C">
          <w:rPr>
            <w:noProof/>
            <w:lang w:val="en-US"/>
          </w:rPr>
          <w:t>3</w:t>
        </w:r>
        <w:r>
          <w:rPr>
            <w:noProof/>
          </w:rPr>
          <w:fldChar w:fldCharType="end"/>
        </w:r>
      </w:sdtContent>
    </w:sdt>
  </w:p>
  <w:p w:rsidR="00824E6B" w:rsidRPr="000C631C" w:rsidRDefault="00824E6B" w:rsidP="005606D8">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Default="00824E6B" w:rsidP="005606D8">
    <w:pPr>
      <w:pStyle w:val="Header"/>
      <w:jc w:val="right"/>
    </w:pPr>
    <w:r>
      <w:t>WO/PBC/22/19</w:t>
    </w:r>
  </w:p>
  <w:p w:rsidR="00824E6B" w:rsidRDefault="00824E6B" w:rsidP="005606D8">
    <w:pPr>
      <w:pStyle w:val="Header"/>
      <w:jc w:val="right"/>
    </w:pPr>
    <w:r>
      <w:t>ANEXO II</w:t>
    </w:r>
  </w:p>
  <w:p w:rsidR="00824E6B" w:rsidRDefault="00824E6B" w:rsidP="005606D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Pr="004127DB" w:rsidRDefault="00824E6B" w:rsidP="00477D6B">
    <w:pPr>
      <w:jc w:val="right"/>
      <w:rPr>
        <w:lang w:val="es-ES_tradnl"/>
      </w:rPr>
    </w:pPr>
    <w:bookmarkStart w:id="6" w:name="Code2"/>
    <w:bookmarkEnd w:id="6"/>
    <w:r w:rsidRPr="004127DB">
      <w:rPr>
        <w:lang w:val="es-ES_tradnl"/>
      </w:rPr>
      <w:t>WO/PBC/22/19</w:t>
    </w:r>
  </w:p>
  <w:p w:rsidR="00824E6B" w:rsidRPr="004127DB" w:rsidRDefault="00824E6B" w:rsidP="00B56DE1">
    <w:pPr>
      <w:pStyle w:val="Header"/>
      <w:jc w:val="right"/>
      <w:rPr>
        <w:lang w:val="es-ES_tradnl"/>
      </w:rPr>
    </w:pPr>
    <w:r w:rsidRPr="004127DB">
      <w:rPr>
        <w:lang w:val="es-ES_tradnl"/>
      </w:rPr>
      <w:t>A</w:t>
    </w:r>
    <w:r w:rsidR="009A6D6C">
      <w:rPr>
        <w:lang w:val="es-ES_tradnl"/>
      </w:rPr>
      <w:t>nexo</w:t>
    </w:r>
    <w:r w:rsidRPr="004127DB">
      <w:rPr>
        <w:lang w:val="es-ES_tradnl"/>
      </w:rPr>
      <w:t xml:space="preserve"> III, página </w:t>
    </w:r>
    <w:sdt>
      <w:sdtPr>
        <w:id w:val="-1614360051"/>
        <w:docPartObj>
          <w:docPartGallery w:val="Page Numbers (Top of Page)"/>
          <w:docPartUnique/>
        </w:docPartObj>
      </w:sdtPr>
      <w:sdtEndPr>
        <w:rPr>
          <w:noProof/>
        </w:rPr>
      </w:sdtEndPr>
      <w:sdtContent>
        <w:r>
          <w:fldChar w:fldCharType="begin"/>
        </w:r>
        <w:r w:rsidRPr="004127DB">
          <w:rPr>
            <w:lang w:val="es-ES_tradnl"/>
          </w:rPr>
          <w:instrText xml:space="preserve"> PAGE   \* MERGEFORMAT </w:instrText>
        </w:r>
        <w:r>
          <w:fldChar w:fldCharType="separate"/>
        </w:r>
        <w:r w:rsidR="009A6D6C">
          <w:rPr>
            <w:noProof/>
            <w:lang w:val="es-ES_tradnl"/>
          </w:rPr>
          <w:t>2</w:t>
        </w:r>
        <w:r>
          <w:rPr>
            <w:noProof/>
          </w:rPr>
          <w:fldChar w:fldCharType="end"/>
        </w:r>
      </w:sdtContent>
    </w:sdt>
  </w:p>
  <w:p w:rsidR="00824E6B" w:rsidRPr="004127DB" w:rsidRDefault="00824E6B" w:rsidP="00477D6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6B" w:rsidRDefault="00824E6B" w:rsidP="005606D8">
    <w:pPr>
      <w:pStyle w:val="Header"/>
      <w:jc w:val="right"/>
    </w:pPr>
    <w:r>
      <w:t>WO/PBC/22/19</w:t>
    </w:r>
  </w:p>
  <w:p w:rsidR="00824E6B" w:rsidRDefault="00824E6B" w:rsidP="005606D8">
    <w:pPr>
      <w:pStyle w:val="Header"/>
      <w:jc w:val="right"/>
    </w:pPr>
    <w:r>
      <w:t>ANEXO III</w:t>
    </w:r>
  </w:p>
  <w:p w:rsidR="00824E6B" w:rsidRDefault="00824E6B" w:rsidP="005606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B77F04"/>
    <w:multiLevelType w:val="hybridMultilevel"/>
    <w:tmpl w:val="4D0402C6"/>
    <w:lvl w:ilvl="0" w:tplc="6B7014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17BC1"/>
    <w:multiLevelType w:val="hybridMultilevel"/>
    <w:tmpl w:val="FB42D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41281"/>
    <w:multiLevelType w:val="hybridMultilevel"/>
    <w:tmpl w:val="09AE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1DDD9"/>
    <w:multiLevelType w:val="hybridMultilevel"/>
    <w:tmpl w:val="FD44B79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1834749"/>
    <w:multiLevelType w:val="hybridMultilevel"/>
    <w:tmpl w:val="EDD49822"/>
    <w:lvl w:ilvl="0" w:tplc="B2087C9A">
      <w:start w:val="1"/>
      <w:numFmt w:val="lowerLetter"/>
      <w:pStyle w:val="ListParagraph"/>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106E65"/>
    <w:multiLevelType w:val="hybridMultilevel"/>
    <w:tmpl w:val="F8F8FC1A"/>
    <w:lvl w:ilvl="0" w:tplc="1E74ACB8">
      <w:start w:val="1"/>
      <w:numFmt w:val="lowerRoman"/>
      <w:pStyle w:val="Style2"/>
      <w:lvlText w:val="%1)"/>
      <w:lvlJc w:val="left"/>
      <w:pPr>
        <w:ind w:left="6598" w:hanging="360"/>
      </w:pPr>
      <w:rPr>
        <w:rFonts w:cs="Times New Roman"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0">
    <w:nsid w:val="3F3635DC"/>
    <w:multiLevelType w:val="hybridMultilevel"/>
    <w:tmpl w:val="AB9643D6"/>
    <w:lvl w:ilvl="0" w:tplc="04090017">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D06F5B"/>
    <w:multiLevelType w:val="hybridMultilevel"/>
    <w:tmpl w:val="0E8C5048"/>
    <w:lvl w:ilvl="0" w:tplc="04090017">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A2083E"/>
    <w:multiLevelType w:val="hybridMultilevel"/>
    <w:tmpl w:val="D01432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40F053C"/>
    <w:multiLevelType w:val="hybridMultilevel"/>
    <w:tmpl w:val="08307304"/>
    <w:lvl w:ilvl="0" w:tplc="04090017">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5573A0"/>
    <w:multiLevelType w:val="hybridMultilevel"/>
    <w:tmpl w:val="EDD49822"/>
    <w:lvl w:ilvl="0" w:tplc="B2087C9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C06CC8"/>
    <w:multiLevelType w:val="hybridMultilevel"/>
    <w:tmpl w:val="1548CD8A"/>
    <w:lvl w:ilvl="0" w:tplc="C9A8AEBA">
      <w:start w:val="1"/>
      <w:numFmt w:val="lowerLetter"/>
      <w:lvlText w:val="%1)"/>
      <w:lvlJc w:val="left"/>
      <w:pPr>
        <w:ind w:left="14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E1E10D1"/>
    <w:multiLevelType w:val="hybridMultilevel"/>
    <w:tmpl w:val="A1C23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13"/>
  </w:num>
  <w:num w:numId="5">
    <w:abstractNumId w:val="1"/>
  </w:num>
  <w:num w:numId="6">
    <w:abstractNumId w:val="7"/>
  </w:num>
  <w:num w:numId="7">
    <w:abstractNumId w:val="8"/>
  </w:num>
  <w:num w:numId="8">
    <w:abstractNumId w:val="19"/>
  </w:num>
  <w:num w:numId="9">
    <w:abstractNumId w:val="18"/>
  </w:num>
  <w:num w:numId="10">
    <w:abstractNumId w:val="2"/>
  </w:num>
  <w:num w:numId="11">
    <w:abstractNumId w:val="3"/>
  </w:num>
  <w:num w:numId="12">
    <w:abstractNumId w:val="4"/>
  </w:num>
  <w:num w:numId="13">
    <w:abstractNumId w:val="20"/>
  </w:num>
  <w:num w:numId="14">
    <w:abstractNumId w:val="14"/>
  </w:num>
  <w:num w:numId="15">
    <w:abstractNumId w:val="16"/>
  </w:num>
  <w:num w:numId="16">
    <w:abstractNumId w:val="9"/>
  </w:num>
  <w:num w:numId="17">
    <w:abstractNumId w:val="5"/>
  </w:num>
  <w:num w:numId="18">
    <w:abstractNumId w:val="10"/>
  </w:num>
  <w:num w:numId="19">
    <w:abstractNumId w:val="12"/>
  </w:num>
  <w:num w:numId="20">
    <w:abstractNumId w:val="15"/>
  </w:num>
  <w:num w:numId="21">
    <w:abstractNumId w:val="8"/>
  </w:num>
  <w:num w:numId="22">
    <w:abstractNumId w:val="17"/>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CB"/>
    <w:rsid w:val="00010686"/>
    <w:rsid w:val="00014A95"/>
    <w:rsid w:val="000171D0"/>
    <w:rsid w:val="00025A89"/>
    <w:rsid w:val="00052915"/>
    <w:rsid w:val="00066998"/>
    <w:rsid w:val="00075C5D"/>
    <w:rsid w:val="000B5243"/>
    <w:rsid w:val="000C4938"/>
    <w:rsid w:val="000C631C"/>
    <w:rsid w:val="000E3BB3"/>
    <w:rsid w:val="000F04C2"/>
    <w:rsid w:val="000F5E56"/>
    <w:rsid w:val="00102F7A"/>
    <w:rsid w:val="00113C6E"/>
    <w:rsid w:val="00115939"/>
    <w:rsid w:val="00132536"/>
    <w:rsid w:val="001362EE"/>
    <w:rsid w:val="00140A2B"/>
    <w:rsid w:val="00152CEA"/>
    <w:rsid w:val="001607E5"/>
    <w:rsid w:val="00161CA8"/>
    <w:rsid w:val="00174114"/>
    <w:rsid w:val="00176866"/>
    <w:rsid w:val="001832A6"/>
    <w:rsid w:val="001A1D06"/>
    <w:rsid w:val="001A3E1C"/>
    <w:rsid w:val="001A4BE5"/>
    <w:rsid w:val="001B0EAC"/>
    <w:rsid w:val="001D2E8A"/>
    <w:rsid w:val="001D3F85"/>
    <w:rsid w:val="001F1CF3"/>
    <w:rsid w:val="00236CD1"/>
    <w:rsid w:val="00240E29"/>
    <w:rsid w:val="00242108"/>
    <w:rsid w:val="002507C9"/>
    <w:rsid w:val="00255589"/>
    <w:rsid w:val="00262E96"/>
    <w:rsid w:val="002634C4"/>
    <w:rsid w:val="00272A98"/>
    <w:rsid w:val="00273542"/>
    <w:rsid w:val="002874F2"/>
    <w:rsid w:val="002B38F3"/>
    <w:rsid w:val="002B71F6"/>
    <w:rsid w:val="002D6EF3"/>
    <w:rsid w:val="002E0F47"/>
    <w:rsid w:val="002F030E"/>
    <w:rsid w:val="002F1874"/>
    <w:rsid w:val="002F4E68"/>
    <w:rsid w:val="002F53B1"/>
    <w:rsid w:val="00303935"/>
    <w:rsid w:val="00305B36"/>
    <w:rsid w:val="00307244"/>
    <w:rsid w:val="00333C26"/>
    <w:rsid w:val="00346521"/>
    <w:rsid w:val="00354647"/>
    <w:rsid w:val="00366F45"/>
    <w:rsid w:val="00376681"/>
    <w:rsid w:val="00377273"/>
    <w:rsid w:val="003845C1"/>
    <w:rsid w:val="00387287"/>
    <w:rsid w:val="003927F2"/>
    <w:rsid w:val="00392FA3"/>
    <w:rsid w:val="00393917"/>
    <w:rsid w:val="0039614A"/>
    <w:rsid w:val="003B54DA"/>
    <w:rsid w:val="003E48F1"/>
    <w:rsid w:val="003F04D0"/>
    <w:rsid w:val="003F1551"/>
    <w:rsid w:val="003F347A"/>
    <w:rsid w:val="004127DB"/>
    <w:rsid w:val="00423E3E"/>
    <w:rsid w:val="00427AF4"/>
    <w:rsid w:val="00445DEA"/>
    <w:rsid w:val="0045231F"/>
    <w:rsid w:val="004647DA"/>
    <w:rsid w:val="0046661C"/>
    <w:rsid w:val="00477808"/>
    <w:rsid w:val="00477D6B"/>
    <w:rsid w:val="00482D15"/>
    <w:rsid w:val="00492643"/>
    <w:rsid w:val="004A6C37"/>
    <w:rsid w:val="004B0E39"/>
    <w:rsid w:val="004B4F5A"/>
    <w:rsid w:val="004C3FFF"/>
    <w:rsid w:val="004D3AB3"/>
    <w:rsid w:val="004E297D"/>
    <w:rsid w:val="004F2E6E"/>
    <w:rsid w:val="005078F6"/>
    <w:rsid w:val="00512C6B"/>
    <w:rsid w:val="0051367D"/>
    <w:rsid w:val="005332F0"/>
    <w:rsid w:val="005467C1"/>
    <w:rsid w:val="0055013B"/>
    <w:rsid w:val="00555B6B"/>
    <w:rsid w:val="005606D8"/>
    <w:rsid w:val="00561865"/>
    <w:rsid w:val="00562BD1"/>
    <w:rsid w:val="00571B99"/>
    <w:rsid w:val="0058026A"/>
    <w:rsid w:val="00582A85"/>
    <w:rsid w:val="005A4F75"/>
    <w:rsid w:val="005B05B1"/>
    <w:rsid w:val="005C5740"/>
    <w:rsid w:val="005D60D0"/>
    <w:rsid w:val="005E092B"/>
    <w:rsid w:val="005E70F9"/>
    <w:rsid w:val="005F74AD"/>
    <w:rsid w:val="006005E9"/>
    <w:rsid w:val="006037F3"/>
    <w:rsid w:val="00605827"/>
    <w:rsid w:val="00612E33"/>
    <w:rsid w:val="00615681"/>
    <w:rsid w:val="006165A8"/>
    <w:rsid w:val="00640BE7"/>
    <w:rsid w:val="00641228"/>
    <w:rsid w:val="00662721"/>
    <w:rsid w:val="0066659D"/>
    <w:rsid w:val="00666631"/>
    <w:rsid w:val="00670450"/>
    <w:rsid w:val="00672CB1"/>
    <w:rsid w:val="00675021"/>
    <w:rsid w:val="006810EC"/>
    <w:rsid w:val="00683D6F"/>
    <w:rsid w:val="006A06C6"/>
    <w:rsid w:val="006B2BBD"/>
    <w:rsid w:val="006C409F"/>
    <w:rsid w:val="006E24A9"/>
    <w:rsid w:val="006F27B5"/>
    <w:rsid w:val="00701741"/>
    <w:rsid w:val="00713D63"/>
    <w:rsid w:val="0072089E"/>
    <w:rsid w:val="007224C8"/>
    <w:rsid w:val="007268A7"/>
    <w:rsid w:val="00734020"/>
    <w:rsid w:val="007466C5"/>
    <w:rsid w:val="00747694"/>
    <w:rsid w:val="00754D2E"/>
    <w:rsid w:val="007636C1"/>
    <w:rsid w:val="00794BE2"/>
    <w:rsid w:val="007A2A6E"/>
    <w:rsid w:val="007B2B6E"/>
    <w:rsid w:val="007B71FE"/>
    <w:rsid w:val="007D781E"/>
    <w:rsid w:val="007E663E"/>
    <w:rsid w:val="007F62F9"/>
    <w:rsid w:val="00800254"/>
    <w:rsid w:val="00800EE1"/>
    <w:rsid w:val="00815082"/>
    <w:rsid w:val="00824E6B"/>
    <w:rsid w:val="00853437"/>
    <w:rsid w:val="00855BDA"/>
    <w:rsid w:val="0086159A"/>
    <w:rsid w:val="00882D6A"/>
    <w:rsid w:val="00883436"/>
    <w:rsid w:val="0088395E"/>
    <w:rsid w:val="008A765A"/>
    <w:rsid w:val="008B2CC1"/>
    <w:rsid w:val="008D5F36"/>
    <w:rsid w:val="008D7E1E"/>
    <w:rsid w:val="008E6BD6"/>
    <w:rsid w:val="0090731E"/>
    <w:rsid w:val="00914C07"/>
    <w:rsid w:val="00921576"/>
    <w:rsid w:val="00922070"/>
    <w:rsid w:val="009236A4"/>
    <w:rsid w:val="009311AF"/>
    <w:rsid w:val="00935951"/>
    <w:rsid w:val="00955F0F"/>
    <w:rsid w:val="00966A22"/>
    <w:rsid w:val="009701D6"/>
    <w:rsid w:val="00972F03"/>
    <w:rsid w:val="009805E4"/>
    <w:rsid w:val="0099004D"/>
    <w:rsid w:val="009905D3"/>
    <w:rsid w:val="00996B63"/>
    <w:rsid w:val="009A0C8B"/>
    <w:rsid w:val="009A340E"/>
    <w:rsid w:val="009A4704"/>
    <w:rsid w:val="009A6D6C"/>
    <w:rsid w:val="009A7DDD"/>
    <w:rsid w:val="009B6241"/>
    <w:rsid w:val="009B6983"/>
    <w:rsid w:val="009C4121"/>
    <w:rsid w:val="009D1F95"/>
    <w:rsid w:val="009E5EBF"/>
    <w:rsid w:val="009F012B"/>
    <w:rsid w:val="00A14D51"/>
    <w:rsid w:val="00A16FC0"/>
    <w:rsid w:val="00A267E8"/>
    <w:rsid w:val="00A32C9E"/>
    <w:rsid w:val="00A46604"/>
    <w:rsid w:val="00A605AE"/>
    <w:rsid w:val="00A65B83"/>
    <w:rsid w:val="00A75D24"/>
    <w:rsid w:val="00AA4C03"/>
    <w:rsid w:val="00AA5A26"/>
    <w:rsid w:val="00AB3780"/>
    <w:rsid w:val="00AB613D"/>
    <w:rsid w:val="00AC1C00"/>
    <w:rsid w:val="00AC29F4"/>
    <w:rsid w:val="00AE7F20"/>
    <w:rsid w:val="00AF5127"/>
    <w:rsid w:val="00AF6AE8"/>
    <w:rsid w:val="00AF79A2"/>
    <w:rsid w:val="00B016AE"/>
    <w:rsid w:val="00B044DE"/>
    <w:rsid w:val="00B27E76"/>
    <w:rsid w:val="00B4021B"/>
    <w:rsid w:val="00B43280"/>
    <w:rsid w:val="00B50ECB"/>
    <w:rsid w:val="00B56DE1"/>
    <w:rsid w:val="00B6146B"/>
    <w:rsid w:val="00B63D71"/>
    <w:rsid w:val="00B65A0A"/>
    <w:rsid w:val="00B67CDC"/>
    <w:rsid w:val="00B72D36"/>
    <w:rsid w:val="00B76231"/>
    <w:rsid w:val="00B9098C"/>
    <w:rsid w:val="00BC33AC"/>
    <w:rsid w:val="00BC4164"/>
    <w:rsid w:val="00BD2DCC"/>
    <w:rsid w:val="00BE7C51"/>
    <w:rsid w:val="00C0334C"/>
    <w:rsid w:val="00C33151"/>
    <w:rsid w:val="00C51BD9"/>
    <w:rsid w:val="00C73636"/>
    <w:rsid w:val="00C84B3C"/>
    <w:rsid w:val="00C90559"/>
    <w:rsid w:val="00CA2251"/>
    <w:rsid w:val="00CA7753"/>
    <w:rsid w:val="00CB49B9"/>
    <w:rsid w:val="00CC7E17"/>
    <w:rsid w:val="00CF4BC5"/>
    <w:rsid w:val="00CF73E8"/>
    <w:rsid w:val="00D11225"/>
    <w:rsid w:val="00D1332D"/>
    <w:rsid w:val="00D26E56"/>
    <w:rsid w:val="00D50300"/>
    <w:rsid w:val="00D56C7C"/>
    <w:rsid w:val="00D71B4D"/>
    <w:rsid w:val="00D748C3"/>
    <w:rsid w:val="00D81333"/>
    <w:rsid w:val="00D90289"/>
    <w:rsid w:val="00D93D55"/>
    <w:rsid w:val="00DB53D7"/>
    <w:rsid w:val="00DC4C60"/>
    <w:rsid w:val="00E0079A"/>
    <w:rsid w:val="00E00E20"/>
    <w:rsid w:val="00E260A1"/>
    <w:rsid w:val="00E444DA"/>
    <w:rsid w:val="00E45C84"/>
    <w:rsid w:val="00E46C27"/>
    <w:rsid w:val="00E504E5"/>
    <w:rsid w:val="00E73FF6"/>
    <w:rsid w:val="00E9322C"/>
    <w:rsid w:val="00EB7A3E"/>
    <w:rsid w:val="00EC0BAA"/>
    <w:rsid w:val="00EC250C"/>
    <w:rsid w:val="00EC401A"/>
    <w:rsid w:val="00ED1567"/>
    <w:rsid w:val="00ED26FB"/>
    <w:rsid w:val="00EF09D4"/>
    <w:rsid w:val="00EF530A"/>
    <w:rsid w:val="00EF6622"/>
    <w:rsid w:val="00F03085"/>
    <w:rsid w:val="00F10788"/>
    <w:rsid w:val="00F46208"/>
    <w:rsid w:val="00F47CE7"/>
    <w:rsid w:val="00F55408"/>
    <w:rsid w:val="00F61E2A"/>
    <w:rsid w:val="00F657F0"/>
    <w:rsid w:val="00F66152"/>
    <w:rsid w:val="00F670DB"/>
    <w:rsid w:val="00F80845"/>
    <w:rsid w:val="00F84474"/>
    <w:rsid w:val="00F952FE"/>
    <w:rsid w:val="00F961C0"/>
    <w:rsid w:val="00FA0F0D"/>
    <w:rsid w:val="00FA6AED"/>
    <w:rsid w:val="00FC01D6"/>
    <w:rsid w:val="00FD59D1"/>
    <w:rsid w:val="00FD73B0"/>
    <w:rsid w:val="00FE34A7"/>
    <w:rsid w:val="00FE45A7"/>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0C631C"/>
    <w:pPr>
      <w:numPr>
        <w:numId w:val="7"/>
      </w:numPr>
      <w:tabs>
        <w:tab w:val="left" w:pos="851"/>
        <w:tab w:val="left" w:pos="1134"/>
      </w:tabs>
      <w:spacing w:before="120" w:after="120"/>
    </w:pPr>
    <w:rPr>
      <w:lang w:val="en-US"/>
    </w:rPr>
  </w:style>
  <w:style w:type="paragraph" w:customStyle="1" w:styleId="ListparagraphII">
    <w:name w:val="List paragraph II"/>
    <w:basedOn w:val="ListParagraph"/>
    <w:qFormat/>
    <w:rsid w:val="000C631C"/>
    <w:pPr>
      <w:numPr>
        <w:numId w:val="8"/>
      </w:numPr>
      <w:tabs>
        <w:tab w:val="num" w:pos="567"/>
      </w:tabs>
      <w:ind w:left="0" w:firstLine="0"/>
    </w:pPr>
  </w:style>
  <w:style w:type="character" w:customStyle="1" w:styleId="ListParagraphChar">
    <w:name w:val="List Paragraph Char"/>
    <w:basedOn w:val="DefaultParagraphFont"/>
    <w:link w:val="ListParagraph"/>
    <w:uiPriority w:val="34"/>
    <w:rsid w:val="000C631C"/>
    <w:rPr>
      <w:rFonts w:ascii="Arial" w:eastAsia="SimSun" w:hAnsi="Arial" w:cs="Arial"/>
      <w:sz w:val="22"/>
      <w:lang w:eastAsia="zh-CN"/>
    </w:rPr>
  </w:style>
  <w:style w:type="character" w:customStyle="1" w:styleId="BodyTextChar">
    <w:name w:val="Body Text Char"/>
    <w:link w:val="BodyText"/>
    <w:rsid w:val="000C631C"/>
    <w:rPr>
      <w:rFonts w:ascii="Arial" w:eastAsia="SimSun" w:hAnsi="Arial" w:cs="Arial"/>
      <w:sz w:val="22"/>
      <w:lang w:val="es-ES" w:eastAsia="zh-CN"/>
    </w:rPr>
  </w:style>
  <w:style w:type="character" w:styleId="FootnoteReference">
    <w:name w:val="footnote reference"/>
    <w:basedOn w:val="DefaultParagraphFont"/>
    <w:rsid w:val="000C631C"/>
    <w:rPr>
      <w:vertAlign w:val="superscript"/>
    </w:rPr>
  </w:style>
  <w:style w:type="character" w:customStyle="1" w:styleId="HeaderChar">
    <w:name w:val="Header Char"/>
    <w:basedOn w:val="DefaultParagraphFont"/>
    <w:link w:val="Header"/>
    <w:uiPriority w:val="99"/>
    <w:rsid w:val="000C631C"/>
    <w:rPr>
      <w:rFonts w:ascii="Arial" w:eastAsia="SimSun" w:hAnsi="Arial" w:cs="Arial"/>
      <w:sz w:val="22"/>
      <w:lang w:val="es-ES" w:eastAsia="zh-CN"/>
    </w:rPr>
  </w:style>
  <w:style w:type="paragraph" w:customStyle="1" w:styleId="Style2">
    <w:name w:val="Style2"/>
    <w:basedOn w:val="Normal"/>
    <w:rsid w:val="000C631C"/>
    <w:pPr>
      <w:numPr>
        <w:numId w:val="16"/>
      </w:numPr>
    </w:pPr>
    <w:rPr>
      <w:lang w:val="en-US"/>
    </w:rPr>
  </w:style>
  <w:style w:type="paragraph" w:customStyle="1" w:styleId="Default">
    <w:name w:val="Default"/>
    <w:rsid w:val="000C631C"/>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86159A"/>
  </w:style>
  <w:style w:type="paragraph" w:styleId="BalloonText">
    <w:name w:val="Balloon Text"/>
    <w:basedOn w:val="Normal"/>
    <w:link w:val="BalloonTextChar"/>
    <w:rsid w:val="009A6D6C"/>
    <w:rPr>
      <w:rFonts w:ascii="Tahoma" w:hAnsi="Tahoma" w:cs="Tahoma"/>
      <w:sz w:val="16"/>
      <w:szCs w:val="16"/>
    </w:rPr>
  </w:style>
  <w:style w:type="character" w:customStyle="1" w:styleId="BalloonTextChar">
    <w:name w:val="Balloon Text Char"/>
    <w:basedOn w:val="DefaultParagraphFont"/>
    <w:link w:val="BalloonText"/>
    <w:rsid w:val="009A6D6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0C631C"/>
    <w:pPr>
      <w:numPr>
        <w:numId w:val="7"/>
      </w:numPr>
      <w:tabs>
        <w:tab w:val="left" w:pos="851"/>
        <w:tab w:val="left" w:pos="1134"/>
      </w:tabs>
      <w:spacing w:before="120" w:after="120"/>
    </w:pPr>
    <w:rPr>
      <w:lang w:val="en-US"/>
    </w:rPr>
  </w:style>
  <w:style w:type="paragraph" w:customStyle="1" w:styleId="ListparagraphII">
    <w:name w:val="List paragraph II"/>
    <w:basedOn w:val="ListParagraph"/>
    <w:qFormat/>
    <w:rsid w:val="000C631C"/>
    <w:pPr>
      <w:numPr>
        <w:numId w:val="8"/>
      </w:numPr>
      <w:tabs>
        <w:tab w:val="num" w:pos="567"/>
      </w:tabs>
      <w:ind w:left="0" w:firstLine="0"/>
    </w:pPr>
  </w:style>
  <w:style w:type="character" w:customStyle="1" w:styleId="ListParagraphChar">
    <w:name w:val="List Paragraph Char"/>
    <w:basedOn w:val="DefaultParagraphFont"/>
    <w:link w:val="ListParagraph"/>
    <w:uiPriority w:val="34"/>
    <w:rsid w:val="000C631C"/>
    <w:rPr>
      <w:rFonts w:ascii="Arial" w:eastAsia="SimSun" w:hAnsi="Arial" w:cs="Arial"/>
      <w:sz w:val="22"/>
      <w:lang w:eastAsia="zh-CN"/>
    </w:rPr>
  </w:style>
  <w:style w:type="character" w:customStyle="1" w:styleId="BodyTextChar">
    <w:name w:val="Body Text Char"/>
    <w:link w:val="BodyText"/>
    <w:rsid w:val="000C631C"/>
    <w:rPr>
      <w:rFonts w:ascii="Arial" w:eastAsia="SimSun" w:hAnsi="Arial" w:cs="Arial"/>
      <w:sz w:val="22"/>
      <w:lang w:val="es-ES" w:eastAsia="zh-CN"/>
    </w:rPr>
  </w:style>
  <w:style w:type="character" w:styleId="FootnoteReference">
    <w:name w:val="footnote reference"/>
    <w:basedOn w:val="DefaultParagraphFont"/>
    <w:rsid w:val="000C631C"/>
    <w:rPr>
      <w:vertAlign w:val="superscript"/>
    </w:rPr>
  </w:style>
  <w:style w:type="character" w:customStyle="1" w:styleId="HeaderChar">
    <w:name w:val="Header Char"/>
    <w:basedOn w:val="DefaultParagraphFont"/>
    <w:link w:val="Header"/>
    <w:uiPriority w:val="99"/>
    <w:rsid w:val="000C631C"/>
    <w:rPr>
      <w:rFonts w:ascii="Arial" w:eastAsia="SimSun" w:hAnsi="Arial" w:cs="Arial"/>
      <w:sz w:val="22"/>
      <w:lang w:val="es-ES" w:eastAsia="zh-CN"/>
    </w:rPr>
  </w:style>
  <w:style w:type="paragraph" w:customStyle="1" w:styleId="Style2">
    <w:name w:val="Style2"/>
    <w:basedOn w:val="Normal"/>
    <w:rsid w:val="000C631C"/>
    <w:pPr>
      <w:numPr>
        <w:numId w:val="16"/>
      </w:numPr>
    </w:pPr>
    <w:rPr>
      <w:lang w:val="en-US"/>
    </w:rPr>
  </w:style>
  <w:style w:type="paragraph" w:customStyle="1" w:styleId="Default">
    <w:name w:val="Default"/>
    <w:rsid w:val="000C631C"/>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86159A"/>
  </w:style>
  <w:style w:type="paragraph" w:styleId="BalloonText">
    <w:name w:val="Balloon Text"/>
    <w:basedOn w:val="Normal"/>
    <w:link w:val="BalloonTextChar"/>
    <w:rsid w:val="009A6D6C"/>
    <w:rPr>
      <w:rFonts w:ascii="Tahoma" w:hAnsi="Tahoma" w:cs="Tahoma"/>
      <w:sz w:val="16"/>
      <w:szCs w:val="16"/>
    </w:rPr>
  </w:style>
  <w:style w:type="character" w:customStyle="1" w:styleId="BalloonTextChar">
    <w:name w:val="Balloon Text Char"/>
    <w:basedOn w:val="DefaultParagraphFont"/>
    <w:link w:val="BalloonText"/>
    <w:rsid w:val="009A6D6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1572">
      <w:bodyDiv w:val="1"/>
      <w:marLeft w:val="0"/>
      <w:marRight w:val="0"/>
      <w:marTop w:val="0"/>
      <w:marBottom w:val="0"/>
      <w:divBdr>
        <w:top w:val="none" w:sz="0" w:space="0" w:color="auto"/>
        <w:left w:val="none" w:sz="0" w:space="0" w:color="auto"/>
        <w:bottom w:val="none" w:sz="0" w:space="0" w:color="auto"/>
        <w:right w:val="none" w:sz="0" w:space="0" w:color="auto"/>
      </w:divBdr>
    </w:div>
    <w:div w:id="614479147">
      <w:bodyDiv w:val="1"/>
      <w:marLeft w:val="0"/>
      <w:marRight w:val="0"/>
      <w:marTop w:val="0"/>
      <w:marBottom w:val="0"/>
      <w:divBdr>
        <w:top w:val="none" w:sz="0" w:space="0" w:color="auto"/>
        <w:left w:val="none" w:sz="0" w:space="0" w:color="auto"/>
        <w:bottom w:val="none" w:sz="0" w:space="0" w:color="auto"/>
        <w:right w:val="none" w:sz="0" w:space="0" w:color="auto"/>
      </w:divBdr>
    </w:div>
    <w:div w:id="13209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00C38-668F-421B-9659-6548B2B2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(S)</Template>
  <TotalTime>1</TotalTime>
  <Pages>16</Pages>
  <Words>5974</Words>
  <Characters>30803</Characters>
  <Application>Microsoft Office Word</Application>
  <DocSecurity>4</DocSecurity>
  <Lines>256</Lines>
  <Paragraphs>73</Paragraphs>
  <ScaleCrop>false</ScaleCrop>
  <HeadingPairs>
    <vt:vector size="2" baseType="variant">
      <vt:variant>
        <vt:lpstr>Title</vt:lpstr>
      </vt:variant>
      <vt:variant>
        <vt:i4>1</vt:i4>
      </vt:variant>
    </vt:vector>
  </HeadingPairs>
  <TitlesOfParts>
    <vt:vector size="1" baseType="lpstr">
      <vt:lpstr>Propuesta de modificación de la política de inversiones</vt:lpstr>
    </vt:vector>
  </TitlesOfParts>
  <Company>WIPO</Company>
  <LinksUpToDate>false</LinksUpToDate>
  <CharactersWithSpaces>36704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modificación de la política de inversiones</dc:title>
  <dc:subject>WO/PBC/22/19</dc:subject>
  <dc:creator>DOYON Geneviève</dc:creator>
  <dc:description>DMT - 30.7.2014</dc:description>
  <cp:lastModifiedBy>DOYON Geneviève</cp:lastModifiedBy>
  <cp:revision>2</cp:revision>
  <cp:lastPrinted>2014-08-06T12:21:00Z</cp:lastPrinted>
  <dcterms:created xsi:type="dcterms:W3CDTF">2014-08-07T14:06:00Z</dcterms:created>
  <dcterms:modified xsi:type="dcterms:W3CDTF">2014-08-07T14:06:00Z</dcterms:modified>
</cp:coreProperties>
</file>