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D766D8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766D8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766D8" w:rsidRDefault="00921576" w:rsidP="00AB613D">
            <w:pPr>
              <w:rPr>
                <w:lang w:val="es-ES_tradnl"/>
              </w:rPr>
            </w:pPr>
            <w:r w:rsidRPr="00D766D8">
              <w:rPr>
                <w:noProof/>
                <w:lang w:val="en-US" w:eastAsia="en-US"/>
              </w:rPr>
              <w:drawing>
                <wp:inline distT="0" distB="0" distL="0" distR="0" wp14:anchorId="79EC7A98" wp14:editId="0028084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766D8" w:rsidRDefault="00E504E5" w:rsidP="00AB613D">
            <w:pPr>
              <w:jc w:val="right"/>
              <w:rPr>
                <w:lang w:val="es-ES_tradnl"/>
              </w:rPr>
            </w:pPr>
            <w:r w:rsidRPr="00D766D8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D766D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766D8" w:rsidRDefault="00921576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766D8">
              <w:rPr>
                <w:rFonts w:ascii="Arial Black" w:hAnsi="Arial Black"/>
                <w:caps/>
                <w:sz w:val="15"/>
                <w:lang w:val="es-ES_tradnl"/>
              </w:rPr>
              <w:t>WO/PBC/22/</w:t>
            </w:r>
            <w:bookmarkStart w:id="0" w:name="Code"/>
            <w:bookmarkEnd w:id="0"/>
            <w:r w:rsidR="0033634E" w:rsidRPr="00D766D8">
              <w:rPr>
                <w:rFonts w:ascii="Arial Black" w:hAnsi="Arial Black"/>
                <w:caps/>
                <w:sz w:val="15"/>
                <w:lang w:val="es-ES_tradnl"/>
              </w:rPr>
              <w:t>18</w:t>
            </w:r>
          </w:p>
        </w:tc>
      </w:tr>
      <w:tr w:rsidR="008B2CC1" w:rsidRPr="00D766D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66D8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766D8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D766D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D766D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33634E" w:rsidRPr="00D766D8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D766D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66D8" w:rsidRDefault="00675021" w:rsidP="0033634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766D8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D766D8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D766D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D766D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33634E" w:rsidRPr="00D766D8">
              <w:rPr>
                <w:rFonts w:ascii="Arial Black" w:hAnsi="Arial Black"/>
                <w:caps/>
                <w:sz w:val="15"/>
                <w:lang w:val="es-ES_tradnl"/>
              </w:rPr>
              <w:t>26 DE JUNIO DE 2014</w:t>
            </w:r>
          </w:p>
        </w:tc>
      </w:tr>
    </w:tbl>
    <w:p w:rsidR="008B2CC1" w:rsidRPr="00D766D8" w:rsidRDefault="008B2CC1" w:rsidP="008B2CC1">
      <w:pPr>
        <w:rPr>
          <w:lang w:val="es-ES_tradnl"/>
        </w:rPr>
      </w:pPr>
    </w:p>
    <w:p w:rsidR="008B2CC1" w:rsidRPr="00D766D8" w:rsidRDefault="008B2CC1" w:rsidP="008B2CC1">
      <w:pPr>
        <w:rPr>
          <w:lang w:val="es-ES_tradnl"/>
        </w:rPr>
      </w:pPr>
    </w:p>
    <w:p w:rsidR="008B2CC1" w:rsidRPr="00D766D8" w:rsidRDefault="008B2CC1" w:rsidP="008B2CC1">
      <w:pPr>
        <w:rPr>
          <w:lang w:val="es-ES_tradnl"/>
        </w:rPr>
      </w:pPr>
    </w:p>
    <w:p w:rsidR="008B2CC1" w:rsidRPr="00D766D8" w:rsidRDefault="008B2CC1" w:rsidP="008B2CC1">
      <w:pPr>
        <w:rPr>
          <w:lang w:val="es-ES_tradnl"/>
        </w:rPr>
      </w:pPr>
    </w:p>
    <w:p w:rsidR="008B2CC1" w:rsidRPr="00D766D8" w:rsidRDefault="008B2CC1" w:rsidP="008B2CC1">
      <w:pPr>
        <w:rPr>
          <w:lang w:val="es-ES_tradnl"/>
        </w:rPr>
      </w:pPr>
    </w:p>
    <w:p w:rsidR="00921576" w:rsidRPr="00D766D8" w:rsidRDefault="00921576" w:rsidP="00921576">
      <w:pPr>
        <w:rPr>
          <w:b/>
          <w:sz w:val="28"/>
          <w:szCs w:val="28"/>
          <w:lang w:val="es-ES_tradnl"/>
        </w:rPr>
      </w:pPr>
      <w:r w:rsidRPr="00D766D8">
        <w:rPr>
          <w:b/>
          <w:sz w:val="28"/>
          <w:szCs w:val="28"/>
          <w:lang w:val="es-ES_tradnl"/>
        </w:rPr>
        <w:t>Comité del Programa y Presupuesto</w:t>
      </w:r>
    </w:p>
    <w:p w:rsidR="003845C1" w:rsidRPr="00D766D8" w:rsidRDefault="003845C1" w:rsidP="003845C1">
      <w:pPr>
        <w:rPr>
          <w:lang w:val="es-ES_tradnl"/>
        </w:rPr>
      </w:pPr>
    </w:p>
    <w:p w:rsidR="003845C1" w:rsidRPr="00D766D8" w:rsidRDefault="003845C1" w:rsidP="003845C1">
      <w:pPr>
        <w:rPr>
          <w:lang w:val="es-ES_tradnl"/>
        </w:rPr>
      </w:pPr>
    </w:p>
    <w:p w:rsidR="00921576" w:rsidRPr="00D766D8" w:rsidRDefault="00921576" w:rsidP="00921576">
      <w:pPr>
        <w:rPr>
          <w:b/>
          <w:sz w:val="24"/>
          <w:szCs w:val="24"/>
          <w:lang w:val="es-ES_tradnl"/>
        </w:rPr>
      </w:pPr>
      <w:r w:rsidRPr="00D766D8">
        <w:rPr>
          <w:b/>
          <w:sz w:val="24"/>
          <w:szCs w:val="24"/>
          <w:lang w:val="es-ES_tradnl"/>
        </w:rPr>
        <w:t>Vigésima segunda sesión</w:t>
      </w:r>
    </w:p>
    <w:p w:rsidR="00921576" w:rsidRPr="00D766D8" w:rsidRDefault="00921576" w:rsidP="00921576">
      <w:pPr>
        <w:rPr>
          <w:b/>
          <w:sz w:val="24"/>
          <w:szCs w:val="24"/>
          <w:lang w:val="es-ES_tradnl"/>
        </w:rPr>
      </w:pPr>
      <w:r w:rsidRPr="00D766D8">
        <w:rPr>
          <w:b/>
          <w:sz w:val="24"/>
          <w:szCs w:val="24"/>
          <w:lang w:val="es-ES_tradnl"/>
        </w:rPr>
        <w:t>Ginebra, 1 a 5 de septiembre de 2014</w:t>
      </w:r>
    </w:p>
    <w:p w:rsidR="008B2CC1" w:rsidRPr="00D766D8" w:rsidRDefault="008B2CC1" w:rsidP="008B2CC1">
      <w:pPr>
        <w:rPr>
          <w:lang w:val="es-ES_tradnl"/>
        </w:rPr>
      </w:pPr>
    </w:p>
    <w:p w:rsidR="008B2CC1" w:rsidRPr="00D766D8" w:rsidRDefault="008B2CC1" w:rsidP="008B2CC1">
      <w:pPr>
        <w:rPr>
          <w:lang w:val="es-ES_tradnl"/>
        </w:rPr>
      </w:pPr>
    </w:p>
    <w:p w:rsidR="008B2CC1" w:rsidRPr="00D766D8" w:rsidRDefault="008B2CC1" w:rsidP="008B2CC1">
      <w:pPr>
        <w:rPr>
          <w:lang w:val="es-ES_tradnl"/>
        </w:rPr>
      </w:pPr>
    </w:p>
    <w:p w:rsidR="00CF3385" w:rsidRPr="00D766D8" w:rsidRDefault="00CF3385" w:rsidP="00CF3385">
      <w:pPr>
        <w:rPr>
          <w:caps/>
          <w:sz w:val="24"/>
          <w:lang w:val="es-ES_tradnl"/>
        </w:rPr>
      </w:pPr>
      <w:bookmarkStart w:id="3" w:name="TitleOfDoc"/>
      <w:bookmarkEnd w:id="3"/>
      <w:r w:rsidRPr="00D766D8">
        <w:rPr>
          <w:caps/>
          <w:sz w:val="24"/>
          <w:lang w:val="es-ES_tradnl"/>
        </w:rPr>
        <w:t>informe sobre la marcha del proyecto de inversión de capital en tecnologías de la información y las comunicaciones (TIC)</w:t>
      </w:r>
    </w:p>
    <w:p w:rsidR="00CF3385" w:rsidRPr="00D766D8" w:rsidRDefault="00CF3385" w:rsidP="00CF3385">
      <w:pPr>
        <w:rPr>
          <w:lang w:val="es-ES_tradnl"/>
        </w:rPr>
      </w:pPr>
    </w:p>
    <w:p w:rsidR="00CF3385" w:rsidRPr="00D766D8" w:rsidRDefault="00CF3385" w:rsidP="00CF3385">
      <w:pPr>
        <w:rPr>
          <w:i/>
          <w:lang w:val="es-ES_tradnl"/>
        </w:rPr>
      </w:pPr>
      <w:bookmarkStart w:id="4" w:name="Prepared"/>
      <w:bookmarkEnd w:id="4"/>
      <w:r w:rsidRPr="00D766D8">
        <w:rPr>
          <w:i/>
          <w:lang w:val="es-ES_tradnl"/>
        </w:rPr>
        <w:t>preparado por la Secretaría</w:t>
      </w:r>
    </w:p>
    <w:p w:rsidR="00CF3385" w:rsidRPr="00D766D8" w:rsidRDefault="00CF3385" w:rsidP="00CF3385">
      <w:pPr>
        <w:rPr>
          <w:i/>
          <w:lang w:val="es-ES_tradnl"/>
        </w:rPr>
      </w:pPr>
    </w:p>
    <w:p w:rsidR="00CF3385" w:rsidRPr="00D766D8" w:rsidRDefault="00CF3385" w:rsidP="00CF3385">
      <w:pPr>
        <w:rPr>
          <w:i/>
          <w:lang w:val="es-ES_tradnl"/>
        </w:rPr>
      </w:pPr>
    </w:p>
    <w:p w:rsidR="00CF3385" w:rsidRPr="00D766D8" w:rsidRDefault="00CF3385" w:rsidP="00CF3385">
      <w:pPr>
        <w:rPr>
          <w:i/>
          <w:lang w:val="es-ES_tradnl"/>
        </w:rPr>
      </w:pPr>
    </w:p>
    <w:p w:rsidR="00CF3385" w:rsidRPr="00D766D8" w:rsidRDefault="00CF3385" w:rsidP="00CF3385">
      <w:pPr>
        <w:pStyle w:val="Heading1"/>
        <w:numPr>
          <w:ilvl w:val="0"/>
          <w:numId w:val="7"/>
        </w:numPr>
        <w:suppressAutoHyphens/>
        <w:spacing w:after="240"/>
        <w:ind w:left="431" w:hanging="431"/>
        <w:rPr>
          <w:szCs w:val="22"/>
          <w:lang w:val="es-ES_tradnl"/>
        </w:rPr>
      </w:pPr>
      <w:r w:rsidRPr="00D766D8">
        <w:rPr>
          <w:szCs w:val="22"/>
          <w:lang w:val="es-ES_tradnl"/>
        </w:rPr>
        <w:t>antecedentes</w:t>
      </w:r>
    </w:p>
    <w:p w:rsidR="00CF3385" w:rsidRPr="00D766D8" w:rsidRDefault="00CF3385" w:rsidP="00CF3385">
      <w:pPr>
        <w:pStyle w:val="ONUME"/>
        <w:rPr>
          <w:lang w:val="es-ES_tradnl"/>
        </w:rPr>
      </w:pPr>
      <w:r w:rsidRPr="00D766D8">
        <w:rPr>
          <w:lang w:val="es-ES_tradnl"/>
        </w:rPr>
        <w:t>En su cuadragésima novena serie de reuniones (26 de septiembre a 5 de octubre de 2011), las Asambleas de los Estados miembros de la OMPI aprobaron la propuesta de inversión de capital para financiar determinadas actividades de tecnologías de la información y las comunicaciones (TIC) (documento WO/PBC/18/13).</w:t>
      </w:r>
    </w:p>
    <w:p w:rsidR="00CF3385" w:rsidRPr="00D766D8" w:rsidRDefault="00CF3385" w:rsidP="00CF3385">
      <w:pPr>
        <w:pStyle w:val="ONUME"/>
        <w:rPr>
          <w:szCs w:val="22"/>
          <w:lang w:val="es-ES_tradnl"/>
        </w:rPr>
      </w:pPr>
      <w:r w:rsidRPr="00D766D8">
        <w:rPr>
          <w:szCs w:val="22"/>
          <w:lang w:val="es-ES_tradnl"/>
        </w:rPr>
        <w:t>Las actividades comprenden lo siguiente:</w:t>
      </w:r>
    </w:p>
    <w:p w:rsidR="00CF3385" w:rsidRPr="00D766D8" w:rsidRDefault="00CF3385" w:rsidP="00CF3385">
      <w:pPr>
        <w:numPr>
          <w:ilvl w:val="0"/>
          <w:numId w:val="8"/>
        </w:numPr>
        <w:spacing w:after="120"/>
        <w:ind w:left="1134" w:hanging="567"/>
        <w:rPr>
          <w:szCs w:val="22"/>
          <w:lang w:val="es-ES_tradnl" w:eastAsia="ar-SA"/>
        </w:rPr>
      </w:pPr>
      <w:r w:rsidRPr="00D766D8">
        <w:rPr>
          <w:szCs w:val="22"/>
          <w:lang w:val="es-ES_tradnl" w:eastAsia="ar-SA"/>
        </w:rPr>
        <w:t>Instalaciones de TIC para la nueva sala de conferencias, las salas de reuniones anexas y las demás salas de reuniones de los locales de la OMPI;</w:t>
      </w:r>
    </w:p>
    <w:p w:rsidR="00CF3385" w:rsidRPr="00D766D8" w:rsidRDefault="00CF3385" w:rsidP="00CF3385">
      <w:pPr>
        <w:numPr>
          <w:ilvl w:val="0"/>
          <w:numId w:val="8"/>
        </w:numPr>
        <w:spacing w:after="120"/>
        <w:ind w:left="1134" w:hanging="567"/>
        <w:rPr>
          <w:szCs w:val="22"/>
          <w:lang w:val="es-ES_tradnl" w:eastAsia="ar-SA"/>
        </w:rPr>
      </w:pPr>
      <w:r w:rsidRPr="00D766D8">
        <w:rPr>
          <w:szCs w:val="22"/>
          <w:lang w:val="es-ES_tradnl" w:eastAsia="ar-SA"/>
        </w:rPr>
        <w:t>Sustitución de la centralita telefónica obsoleta Nortel Meridian;  y</w:t>
      </w:r>
    </w:p>
    <w:p w:rsidR="00CF3385" w:rsidRPr="00D766D8" w:rsidRDefault="00CF3385" w:rsidP="00CF3385">
      <w:pPr>
        <w:numPr>
          <w:ilvl w:val="0"/>
          <w:numId w:val="8"/>
        </w:numPr>
        <w:spacing w:after="220"/>
        <w:ind w:left="1134" w:hanging="567"/>
        <w:rPr>
          <w:szCs w:val="22"/>
          <w:lang w:val="es-ES_tradnl" w:eastAsia="ar-SA"/>
        </w:rPr>
      </w:pPr>
      <w:r w:rsidRPr="00D766D8">
        <w:rPr>
          <w:szCs w:val="22"/>
          <w:lang w:val="es-ES_tradnl" w:eastAsia="ar-SA"/>
        </w:rPr>
        <w:t>Sustitución de las computadoras de escritorio.</w:t>
      </w:r>
    </w:p>
    <w:p w:rsidR="00CF3385" w:rsidRPr="00D766D8" w:rsidRDefault="00CF3385" w:rsidP="00CF3385">
      <w:pPr>
        <w:pStyle w:val="ONUME"/>
        <w:rPr>
          <w:szCs w:val="22"/>
          <w:lang w:val="es-ES_tradnl" w:eastAsia="ar-SA"/>
        </w:rPr>
      </w:pPr>
      <w:r w:rsidRPr="00D766D8">
        <w:rPr>
          <w:szCs w:val="22"/>
          <w:lang w:val="es-ES_tradnl" w:eastAsia="ar-SA"/>
        </w:rPr>
        <w:t xml:space="preserve">En su vigésima primera sesión (9 a 13 de septiembre de 2013) el Comité del Programa y Presupuesto (PBC) recibió información actualizada sobre los avances de este </w:t>
      </w:r>
      <w:r w:rsidRPr="00D766D8">
        <w:rPr>
          <w:snapToGrid w:val="0"/>
          <w:szCs w:val="22"/>
          <w:lang w:val="es-ES_tradnl" w:eastAsia="ar-SA"/>
        </w:rPr>
        <w:t xml:space="preserve">proyecto </w:t>
      </w:r>
      <w:r w:rsidRPr="00D766D8">
        <w:rPr>
          <w:szCs w:val="22"/>
          <w:lang w:val="es-ES_tradnl" w:eastAsia="ar-SA"/>
        </w:rPr>
        <w:t>(documento WO/PBC/21/14).  Se señaló que se había terminado de realizar la sustitución de la centralita telefónica obsoleta Nortel Meridian y que se habían alcanzado todos los objetivos principales a ese respecto.</w:t>
      </w:r>
    </w:p>
    <w:p w:rsidR="00CF3385" w:rsidRPr="00D766D8" w:rsidRDefault="00CF3385" w:rsidP="00CF3385">
      <w:pPr>
        <w:pStyle w:val="ONUME"/>
        <w:rPr>
          <w:szCs w:val="22"/>
          <w:lang w:val="es-ES_tradnl"/>
        </w:rPr>
      </w:pPr>
      <w:r w:rsidRPr="00D766D8">
        <w:rPr>
          <w:szCs w:val="22"/>
          <w:lang w:val="es-ES_tradnl"/>
        </w:rPr>
        <w:t>La implantación de las instalaciones de T</w:t>
      </w:r>
      <w:r w:rsidRPr="00D766D8">
        <w:rPr>
          <w:szCs w:val="22"/>
          <w:lang w:val="es-ES_tradnl" w:eastAsia="ar-SA"/>
        </w:rPr>
        <w:t>IC para la nueva sala de conferencias, las salas de reuniones anexas y las demás salas de reuniones de los locales de la OMPI se halla en curso de ejecución</w:t>
      </w:r>
      <w:r w:rsidR="00F662B5">
        <w:rPr>
          <w:szCs w:val="22"/>
          <w:lang w:val="es-ES_tradnl" w:eastAsia="ar-SA"/>
        </w:rPr>
        <w:t>.  Está previsto que las obras de carácter esencial</w:t>
      </w:r>
      <w:r w:rsidRPr="00D766D8">
        <w:rPr>
          <w:szCs w:val="22"/>
          <w:lang w:val="es-ES_tradnl" w:eastAsia="ar-SA"/>
        </w:rPr>
        <w:t xml:space="preserve"> </w:t>
      </w:r>
      <w:r w:rsidR="00F662B5">
        <w:rPr>
          <w:szCs w:val="22"/>
          <w:lang w:val="es-ES_tradnl" w:eastAsia="ar-SA"/>
        </w:rPr>
        <w:t>estén finalizadas</w:t>
      </w:r>
      <w:r w:rsidRPr="00D766D8">
        <w:rPr>
          <w:szCs w:val="22"/>
          <w:lang w:val="es-ES_tradnl" w:eastAsia="ar-SA"/>
        </w:rPr>
        <w:t xml:space="preserve"> para la apertura de la nueva sala de conferencias.</w:t>
      </w:r>
      <w:r w:rsidR="00F662B5">
        <w:rPr>
          <w:szCs w:val="22"/>
          <w:lang w:val="es-ES_tradnl" w:eastAsia="ar-SA"/>
        </w:rPr>
        <w:t xml:space="preserve">  La infraestructura adicional, en apoyo de la política </w:t>
      </w:r>
      <w:r w:rsidR="00F662B5">
        <w:rPr>
          <w:szCs w:val="22"/>
          <w:lang w:val="es-ES_tradnl" w:eastAsia="ar-SA"/>
        </w:rPr>
        <w:lastRenderedPageBreak/>
        <w:t>lingüística, por ejemplo, puede ser evaluada y planificada de mejor modo una vez que la nueva sala esté funcionando.</w:t>
      </w:r>
    </w:p>
    <w:p w:rsidR="00CF3385" w:rsidRPr="00D766D8" w:rsidRDefault="00CF3385" w:rsidP="00CF3385">
      <w:pPr>
        <w:pStyle w:val="ONUME"/>
        <w:rPr>
          <w:szCs w:val="22"/>
          <w:lang w:val="es-ES_tradnl"/>
        </w:rPr>
      </w:pPr>
      <w:r w:rsidRPr="00D766D8">
        <w:rPr>
          <w:szCs w:val="22"/>
          <w:lang w:val="es-ES_tradnl" w:eastAsia="ar-SA"/>
        </w:rPr>
        <w:t xml:space="preserve">Como se previó en la vigésima primera sesión del PBC, la sustitución de las computadoras de escritorio obsoletas se llevó a cabo a fines de </w:t>
      </w:r>
      <w:r w:rsidRPr="00D766D8">
        <w:rPr>
          <w:snapToGrid w:val="0"/>
          <w:szCs w:val="22"/>
          <w:lang w:val="es-ES_tradnl" w:eastAsia="ar-SA"/>
        </w:rPr>
        <w:t>2013</w:t>
      </w:r>
      <w:r w:rsidR="00540CF4" w:rsidRPr="00D766D8">
        <w:rPr>
          <w:szCs w:val="22"/>
          <w:lang w:val="es-ES_tradnl" w:eastAsia="ar-SA"/>
        </w:rPr>
        <w:t>.  No h</w:t>
      </w:r>
      <w:r w:rsidRPr="00D766D8">
        <w:rPr>
          <w:szCs w:val="22"/>
          <w:lang w:val="es-ES_tradnl" w:eastAsia="ar-SA"/>
        </w:rPr>
        <w:t xml:space="preserve">ubo cambios en el alcance del </w:t>
      </w:r>
      <w:r w:rsidRPr="00D766D8">
        <w:rPr>
          <w:snapToGrid w:val="0"/>
          <w:szCs w:val="22"/>
          <w:lang w:val="es-ES_tradnl" w:eastAsia="ar-SA"/>
        </w:rPr>
        <w:t xml:space="preserve">proyecto y se cumplieron todos los objetivos principales tal y como se había previsto inicialmente.  El nuevo entorno de computadoras de escritorio, dotadas de </w:t>
      </w:r>
      <w:r w:rsidRPr="00D766D8">
        <w:rPr>
          <w:i/>
          <w:snapToGrid w:val="0"/>
          <w:szCs w:val="22"/>
          <w:lang w:val="es-ES_tradnl" w:eastAsia="ar-SA"/>
        </w:rPr>
        <w:t>software</w:t>
      </w:r>
      <w:r w:rsidRPr="00D766D8">
        <w:rPr>
          <w:snapToGrid w:val="0"/>
          <w:szCs w:val="22"/>
          <w:lang w:val="es-ES_tradnl" w:eastAsia="ar-SA"/>
        </w:rPr>
        <w:t xml:space="preserve"> actualizado, ha </w:t>
      </w:r>
      <w:r w:rsidR="0070647E" w:rsidRPr="00D766D8">
        <w:rPr>
          <w:snapToGrid w:val="0"/>
          <w:szCs w:val="22"/>
          <w:lang w:val="es-ES_tradnl" w:eastAsia="ar-SA"/>
        </w:rPr>
        <w:t xml:space="preserve">estado en funcionamiento </w:t>
      </w:r>
      <w:r w:rsidRPr="00D766D8">
        <w:rPr>
          <w:snapToGrid w:val="0"/>
          <w:szCs w:val="22"/>
          <w:lang w:val="es-ES_tradnl" w:eastAsia="ar-SA"/>
        </w:rPr>
        <w:t>desde entonces y goza de aceptación.</w:t>
      </w:r>
    </w:p>
    <w:p w:rsidR="0033634E" w:rsidRPr="00D766D8" w:rsidRDefault="00CF3385" w:rsidP="0033634E">
      <w:pPr>
        <w:keepNext/>
        <w:numPr>
          <w:ilvl w:val="0"/>
          <w:numId w:val="9"/>
        </w:numPr>
        <w:spacing w:before="240" w:after="240"/>
        <w:ind w:left="431" w:hanging="431"/>
        <w:rPr>
          <w:rFonts w:ascii="Calibri" w:hAnsi="Calibri" w:cs="Times New Roman"/>
          <w:b/>
          <w:bCs/>
          <w:caps/>
          <w:szCs w:val="22"/>
          <w:lang w:val="es-ES_tradnl"/>
        </w:rPr>
      </w:pPr>
      <w:r w:rsidRPr="00D766D8">
        <w:rPr>
          <w:b/>
          <w:bCs/>
          <w:caps/>
          <w:szCs w:val="22"/>
          <w:lang w:val="es-ES_tradnl"/>
        </w:rPr>
        <w:t>resumen</w:t>
      </w:r>
    </w:p>
    <w:p w:rsidR="0033634E" w:rsidRPr="00D766D8" w:rsidRDefault="00CF3385" w:rsidP="00CF3385">
      <w:pPr>
        <w:pStyle w:val="ONUME"/>
        <w:rPr>
          <w:lang w:val="es-ES_tradnl"/>
        </w:rPr>
      </w:pPr>
      <w:r w:rsidRPr="00D766D8">
        <w:rPr>
          <w:lang w:val="es-ES_tradnl"/>
        </w:rPr>
        <w:t xml:space="preserve">Las </w:t>
      </w:r>
      <w:r w:rsidR="0033634E" w:rsidRPr="00D766D8">
        <w:rPr>
          <w:lang w:val="es-ES_tradnl"/>
        </w:rPr>
        <w:t>activi</w:t>
      </w:r>
      <w:r w:rsidRPr="00D766D8">
        <w:rPr>
          <w:lang w:val="es-ES_tradnl"/>
        </w:rPr>
        <w:t>dad</w:t>
      </w:r>
      <w:r w:rsidR="0033634E" w:rsidRPr="00D766D8">
        <w:rPr>
          <w:lang w:val="es-ES_tradnl"/>
        </w:rPr>
        <w:t xml:space="preserve">es </w:t>
      </w:r>
      <w:r w:rsidRPr="00D766D8">
        <w:rPr>
          <w:lang w:val="es-ES_tradnl"/>
        </w:rPr>
        <w:t xml:space="preserve">previstas se </w:t>
      </w:r>
      <w:r w:rsidR="0033634E" w:rsidRPr="00D766D8">
        <w:rPr>
          <w:lang w:val="es-ES_tradnl"/>
        </w:rPr>
        <w:t>ha</w:t>
      </w:r>
      <w:r w:rsidRPr="00D766D8">
        <w:rPr>
          <w:lang w:val="es-ES_tradnl"/>
        </w:rPr>
        <w:t xml:space="preserve">n </w:t>
      </w:r>
      <w:r w:rsidR="00A67948" w:rsidRPr="00D766D8">
        <w:rPr>
          <w:lang w:val="es-ES_tradnl"/>
        </w:rPr>
        <w:t>llevado a término</w:t>
      </w:r>
      <w:r w:rsidRPr="00D766D8">
        <w:rPr>
          <w:lang w:val="es-ES_tradnl"/>
        </w:rPr>
        <w:t xml:space="preserve"> o progresan adecuadamente</w:t>
      </w:r>
      <w:r w:rsidR="0033634E" w:rsidRPr="00D766D8">
        <w:rPr>
          <w:lang w:val="es-ES_tradnl"/>
        </w:rPr>
        <w:t>.</w:t>
      </w:r>
      <w:r w:rsidRPr="00D766D8">
        <w:rPr>
          <w:lang w:val="es-ES_tradnl"/>
        </w:rPr>
        <w:t xml:space="preserve">  </w:t>
      </w:r>
      <w:r w:rsidR="0033634E" w:rsidRPr="00D766D8">
        <w:rPr>
          <w:lang w:val="es-ES_tradnl"/>
        </w:rPr>
        <w:t>A</w:t>
      </w:r>
      <w:r w:rsidRPr="00D766D8">
        <w:rPr>
          <w:lang w:val="es-ES_tradnl"/>
        </w:rPr>
        <w:t xml:space="preserve">unque todavía </w:t>
      </w:r>
      <w:r w:rsidR="00F662B5">
        <w:rPr>
          <w:lang w:val="es-ES_tradnl"/>
        </w:rPr>
        <w:t>no se han realizado algu</w:t>
      </w:r>
      <w:r w:rsidRPr="00D766D8">
        <w:rPr>
          <w:lang w:val="es-ES_tradnl"/>
        </w:rPr>
        <w:t xml:space="preserve">nos </w:t>
      </w:r>
      <w:r w:rsidR="00F662B5">
        <w:rPr>
          <w:lang w:val="es-ES_tradnl"/>
        </w:rPr>
        <w:t xml:space="preserve">de los </w:t>
      </w:r>
      <w:r w:rsidRPr="00D766D8">
        <w:rPr>
          <w:lang w:val="es-ES_tradnl"/>
        </w:rPr>
        <w:t>gastos</w:t>
      </w:r>
      <w:r w:rsidR="00F662B5">
        <w:rPr>
          <w:lang w:val="es-ES_tradnl"/>
        </w:rPr>
        <w:t xml:space="preserve"> previstos</w:t>
      </w:r>
      <w:r w:rsidRPr="00D766D8">
        <w:rPr>
          <w:lang w:val="es-ES_tradnl"/>
        </w:rPr>
        <w:t xml:space="preserve">, se </w:t>
      </w:r>
      <w:r w:rsidR="00F662B5">
        <w:rPr>
          <w:lang w:val="es-ES_tradnl"/>
        </w:rPr>
        <w:t>contempla</w:t>
      </w:r>
      <w:r w:rsidRPr="00D766D8">
        <w:rPr>
          <w:lang w:val="es-ES_tradnl"/>
        </w:rPr>
        <w:t xml:space="preserve"> en esta etapa que todo el proyec</w:t>
      </w:r>
      <w:r w:rsidR="0033634E" w:rsidRPr="00D766D8">
        <w:rPr>
          <w:lang w:val="es-ES_tradnl"/>
        </w:rPr>
        <w:t xml:space="preserve">to </w:t>
      </w:r>
      <w:r w:rsidRPr="00D766D8">
        <w:rPr>
          <w:lang w:val="es-ES_tradnl"/>
        </w:rPr>
        <w:t>s</w:t>
      </w:r>
      <w:r w:rsidR="0033634E" w:rsidRPr="00D766D8">
        <w:rPr>
          <w:lang w:val="es-ES_tradnl"/>
        </w:rPr>
        <w:t xml:space="preserve">e </w:t>
      </w:r>
      <w:r w:rsidRPr="00D766D8">
        <w:rPr>
          <w:lang w:val="es-ES_tradnl"/>
        </w:rPr>
        <w:t xml:space="preserve">completará </w:t>
      </w:r>
      <w:r w:rsidR="00F662B5">
        <w:rPr>
          <w:lang w:val="es-ES_tradnl"/>
        </w:rPr>
        <w:t>en el marco</w:t>
      </w:r>
      <w:r w:rsidRPr="00D766D8">
        <w:rPr>
          <w:lang w:val="es-ES_tradnl"/>
        </w:rPr>
        <w:t xml:space="preserve"> del presupuesto aprobado.  E</w:t>
      </w:r>
      <w:r w:rsidR="00F662B5">
        <w:rPr>
          <w:lang w:val="es-ES_tradnl"/>
        </w:rPr>
        <w:t xml:space="preserve">l cuadro siguiente detalla </w:t>
      </w:r>
      <w:r w:rsidRPr="00D766D8">
        <w:rPr>
          <w:lang w:val="es-ES_tradnl"/>
        </w:rPr>
        <w:t xml:space="preserve">la utilización </w:t>
      </w:r>
      <w:r w:rsidR="00F662B5">
        <w:rPr>
          <w:lang w:val="es-ES_tradnl"/>
        </w:rPr>
        <w:t>que se le está dando al presupuesto</w:t>
      </w:r>
      <w:r w:rsidR="0033634E" w:rsidRPr="00D766D8">
        <w:rPr>
          <w:lang w:val="es-ES_tradnl"/>
        </w:rPr>
        <w:t>.</w:t>
      </w: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594"/>
        <w:gridCol w:w="6233"/>
        <w:gridCol w:w="1484"/>
        <w:gridCol w:w="1414"/>
      </w:tblGrid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Ref.</w:t>
            </w:r>
          </w:p>
        </w:tc>
        <w:tc>
          <w:tcPr>
            <w:tcW w:w="6233" w:type="dxa"/>
          </w:tcPr>
          <w:p w:rsidR="0033634E" w:rsidRPr="00F662B5" w:rsidRDefault="0033634E" w:rsidP="00CF3385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Descrip</w:t>
            </w:r>
            <w:r w:rsidR="00CF3385" w:rsidRPr="00F662B5">
              <w:rPr>
                <w:b/>
                <w:sz w:val="20"/>
                <w:lang w:val="es-ES_tradnl"/>
              </w:rPr>
              <w:t>c</w:t>
            </w:r>
            <w:r w:rsidRPr="00F662B5">
              <w:rPr>
                <w:b/>
                <w:sz w:val="20"/>
                <w:lang w:val="es-ES_tradnl"/>
              </w:rPr>
              <w:t>i</w:t>
            </w:r>
            <w:r w:rsidR="00CF3385" w:rsidRPr="00F662B5">
              <w:rPr>
                <w:b/>
                <w:sz w:val="20"/>
                <w:lang w:val="es-ES_tradnl"/>
              </w:rPr>
              <w:t>ó</w:t>
            </w:r>
            <w:r w:rsidRPr="00F662B5">
              <w:rPr>
                <w:b/>
                <w:sz w:val="20"/>
                <w:lang w:val="es-ES_tradnl"/>
              </w:rPr>
              <w:t>n</w:t>
            </w:r>
          </w:p>
        </w:tc>
        <w:tc>
          <w:tcPr>
            <w:tcW w:w="1484" w:type="dxa"/>
          </w:tcPr>
          <w:p w:rsidR="0033634E" w:rsidRPr="00F662B5" w:rsidRDefault="00CF3385" w:rsidP="00F662B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Presupuesto previsto</w:t>
            </w:r>
            <w:r w:rsidRPr="00F662B5">
              <w:rPr>
                <w:b/>
                <w:sz w:val="20"/>
                <w:lang w:val="es-ES_tradnl"/>
              </w:rPr>
              <w:br/>
            </w:r>
            <w:r w:rsidR="0033634E" w:rsidRPr="00F662B5">
              <w:rPr>
                <w:sz w:val="20"/>
                <w:lang w:val="es-ES_tradnl"/>
              </w:rPr>
              <w:t>(</w:t>
            </w:r>
            <w:r w:rsidRPr="00F662B5">
              <w:rPr>
                <w:sz w:val="20"/>
                <w:lang w:val="es-ES_tradnl"/>
              </w:rPr>
              <w:t>e</w:t>
            </w:r>
            <w:r w:rsidR="0033634E" w:rsidRPr="00F662B5">
              <w:rPr>
                <w:sz w:val="20"/>
                <w:lang w:val="es-ES_tradnl"/>
              </w:rPr>
              <w:t xml:space="preserve">n </w:t>
            </w:r>
            <w:r w:rsidR="00F662B5">
              <w:rPr>
                <w:sz w:val="20"/>
                <w:lang w:val="es-ES_tradnl"/>
              </w:rPr>
              <w:t>CHF</w:t>
            </w:r>
            <w:r w:rsidR="0033634E" w:rsidRPr="00F662B5">
              <w:rPr>
                <w:sz w:val="20"/>
                <w:lang w:val="es-ES_tradnl"/>
              </w:rPr>
              <w:t>)</w:t>
            </w:r>
          </w:p>
        </w:tc>
        <w:tc>
          <w:tcPr>
            <w:tcW w:w="1414" w:type="dxa"/>
          </w:tcPr>
          <w:p w:rsidR="0033634E" w:rsidRPr="00F662B5" w:rsidRDefault="00CF3385" w:rsidP="00F662B5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Gastos reales</w:t>
            </w:r>
            <w:r w:rsidR="0033634E" w:rsidRPr="00F662B5">
              <w:rPr>
                <w:rStyle w:val="FootnoteReference"/>
                <w:b/>
                <w:sz w:val="20"/>
                <w:lang w:val="es-ES_tradnl"/>
              </w:rPr>
              <w:footnoteReference w:id="2"/>
            </w:r>
            <w:r w:rsidRPr="00F662B5">
              <w:rPr>
                <w:b/>
                <w:sz w:val="20"/>
                <w:lang w:val="es-ES_tradnl"/>
              </w:rPr>
              <w:br/>
            </w:r>
            <w:r w:rsidR="0033634E" w:rsidRPr="00F662B5">
              <w:rPr>
                <w:sz w:val="20"/>
                <w:lang w:val="es-ES_tradnl"/>
              </w:rPr>
              <w:t>(</w:t>
            </w:r>
            <w:r w:rsidRPr="00F662B5">
              <w:rPr>
                <w:sz w:val="20"/>
                <w:lang w:val="es-ES_tradnl"/>
              </w:rPr>
              <w:t>e</w:t>
            </w:r>
            <w:r w:rsidR="0033634E" w:rsidRPr="00F662B5">
              <w:rPr>
                <w:sz w:val="20"/>
                <w:lang w:val="es-ES_tradnl"/>
              </w:rPr>
              <w:t xml:space="preserve">n </w:t>
            </w:r>
            <w:r w:rsidR="00F662B5">
              <w:rPr>
                <w:sz w:val="20"/>
                <w:lang w:val="es-ES_tradnl"/>
              </w:rPr>
              <w:t>CHF</w:t>
            </w:r>
            <w:r w:rsidR="0033634E" w:rsidRPr="00F662B5">
              <w:rPr>
                <w:sz w:val="20"/>
                <w:lang w:val="es-ES_tradnl"/>
              </w:rPr>
              <w:t>)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1.</w:t>
            </w:r>
          </w:p>
        </w:tc>
        <w:tc>
          <w:tcPr>
            <w:tcW w:w="6233" w:type="dxa"/>
          </w:tcPr>
          <w:p w:rsidR="0033634E" w:rsidRPr="00F662B5" w:rsidRDefault="00CF3385" w:rsidP="00CF3385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Instalaciones de T</w:t>
            </w:r>
            <w:r w:rsidR="0033634E" w:rsidRPr="00F662B5">
              <w:rPr>
                <w:b/>
                <w:sz w:val="20"/>
                <w:lang w:val="es-ES_tradnl"/>
              </w:rPr>
              <w:t>IC</w:t>
            </w:r>
            <w:r w:rsidRPr="00F662B5">
              <w:rPr>
                <w:b/>
                <w:sz w:val="20"/>
                <w:lang w:val="es-ES_tradnl"/>
              </w:rPr>
              <w:t xml:space="preserve"> para la nueva sala de conferencias, las salas de reuniones anexas y las demás salas de reuniones de los locales de la OMPI</w:t>
            </w:r>
          </w:p>
        </w:tc>
        <w:tc>
          <w:tcPr>
            <w:tcW w:w="148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</w:p>
        </w:tc>
        <w:tc>
          <w:tcPr>
            <w:tcW w:w="141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F3385" w:rsidP="00CC20FF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 xml:space="preserve">Conmutadores de red para conectar más de </w:t>
            </w:r>
            <w:r w:rsidR="0033634E" w:rsidRPr="00F662B5">
              <w:rPr>
                <w:sz w:val="20"/>
                <w:lang w:val="es-ES_tradnl"/>
              </w:rPr>
              <w:t xml:space="preserve">900 </w:t>
            </w:r>
            <w:r w:rsidRPr="00F662B5">
              <w:rPr>
                <w:sz w:val="20"/>
                <w:lang w:val="es-ES_tradnl"/>
              </w:rPr>
              <w:t>a</w:t>
            </w:r>
            <w:r w:rsidR="0033634E" w:rsidRPr="00F662B5">
              <w:rPr>
                <w:sz w:val="20"/>
                <w:lang w:val="es-ES_tradnl"/>
              </w:rPr>
              <w:t>s</w:t>
            </w:r>
            <w:r w:rsidR="00CC20FF" w:rsidRPr="00F662B5">
              <w:rPr>
                <w:sz w:val="20"/>
                <w:lang w:val="es-ES_tradnl"/>
              </w:rPr>
              <w:t>i</w:t>
            </w:r>
            <w:r w:rsidR="0033634E" w:rsidRPr="00F662B5">
              <w:rPr>
                <w:sz w:val="20"/>
                <w:lang w:val="es-ES_tradnl"/>
              </w:rPr>
              <w:t>e</w:t>
            </w:r>
            <w:r w:rsidR="00CC20FF" w:rsidRPr="00F662B5">
              <w:rPr>
                <w:sz w:val="20"/>
                <w:lang w:val="es-ES_tradnl"/>
              </w:rPr>
              <w:t>n</w:t>
            </w:r>
            <w:r w:rsidR="0033634E" w:rsidRPr="00F662B5">
              <w:rPr>
                <w:sz w:val="20"/>
                <w:lang w:val="es-ES_tradnl"/>
              </w:rPr>
              <w:t>t</w:t>
            </w:r>
            <w:r w:rsidR="00CC20FF" w:rsidRPr="00F662B5">
              <w:rPr>
                <w:sz w:val="20"/>
                <w:lang w:val="es-ES_tradnl"/>
              </w:rPr>
              <w:t>o</w:t>
            </w:r>
            <w:r w:rsidR="0033634E" w:rsidRPr="00F662B5">
              <w:rPr>
                <w:sz w:val="20"/>
                <w:lang w:val="es-ES_tradnl"/>
              </w:rPr>
              <w:t xml:space="preserve">s, </w:t>
            </w:r>
            <w:r w:rsidR="00CC20FF" w:rsidRPr="00F662B5">
              <w:rPr>
                <w:sz w:val="20"/>
                <w:lang w:val="es-ES_tradnl"/>
              </w:rPr>
              <w:t xml:space="preserve">puntos de acceso </w:t>
            </w:r>
            <w:r w:rsidR="0033634E" w:rsidRPr="00F662B5">
              <w:rPr>
                <w:sz w:val="20"/>
                <w:lang w:val="es-ES_tradnl"/>
              </w:rPr>
              <w:t xml:space="preserve">WiFi, </w:t>
            </w:r>
            <w:r w:rsidR="00CC20FF" w:rsidRPr="00F662B5">
              <w:rPr>
                <w:sz w:val="20"/>
                <w:lang w:val="es-ES_tradnl"/>
              </w:rPr>
              <w:t xml:space="preserve">cobertura de tercera generación de telefonía móvil </w:t>
            </w:r>
            <w:r w:rsidR="00A67948" w:rsidRPr="00F662B5">
              <w:rPr>
                <w:sz w:val="20"/>
                <w:lang w:val="es-ES_tradnl"/>
              </w:rPr>
              <w:t>(</w:t>
            </w:r>
            <w:r w:rsidR="0033634E" w:rsidRPr="00F662B5">
              <w:rPr>
                <w:sz w:val="20"/>
                <w:lang w:val="es-ES_tradnl"/>
              </w:rPr>
              <w:t>UMTS</w:t>
            </w:r>
            <w:r w:rsidR="00A67948" w:rsidRPr="00F662B5">
              <w:rPr>
                <w:sz w:val="20"/>
                <w:lang w:val="es-ES_tradnl"/>
              </w:rPr>
              <w:t>)</w:t>
            </w:r>
            <w:r w:rsidR="0033634E" w:rsidRPr="00F662B5">
              <w:rPr>
                <w:sz w:val="20"/>
                <w:lang w:val="es-ES_tradnl"/>
              </w:rPr>
              <w:t>, etc.</w:t>
            </w:r>
          </w:p>
        </w:tc>
        <w:tc>
          <w:tcPr>
            <w:tcW w:w="148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450.</w:t>
            </w:r>
            <w:r w:rsidR="0033634E"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F662B5" w:rsidP="00F662B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2</w:t>
            </w:r>
            <w:r w:rsidR="0033634E" w:rsidRPr="00F662B5">
              <w:rPr>
                <w:sz w:val="20"/>
                <w:lang w:val="es-ES_tradnl"/>
              </w:rPr>
              <w:t>3</w:t>
            </w:r>
            <w:r w:rsidRPr="00F662B5">
              <w:rPr>
                <w:sz w:val="20"/>
                <w:lang w:val="es-ES_tradnl"/>
              </w:rPr>
              <w:t>5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="0033634E" w:rsidRPr="00F662B5">
              <w:rPr>
                <w:sz w:val="20"/>
                <w:lang w:val="es-ES_tradnl"/>
              </w:rPr>
              <w:t>537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CC20FF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 xml:space="preserve">Teléfonos </w:t>
            </w:r>
            <w:r w:rsidR="0033634E" w:rsidRPr="00F662B5">
              <w:rPr>
                <w:sz w:val="20"/>
                <w:lang w:val="es-ES_tradnl"/>
              </w:rPr>
              <w:t xml:space="preserve">IP </w:t>
            </w:r>
            <w:r w:rsidRPr="00F662B5">
              <w:rPr>
                <w:sz w:val="20"/>
                <w:lang w:val="es-ES_tradnl"/>
              </w:rPr>
              <w:t xml:space="preserve">e </w:t>
            </w:r>
            <w:r w:rsidR="0033634E" w:rsidRPr="00F662B5">
              <w:rPr>
                <w:sz w:val="20"/>
                <w:lang w:val="es-ES_tradnl"/>
              </w:rPr>
              <w:t>infra</w:t>
            </w:r>
            <w:r w:rsidRPr="00F662B5">
              <w:rPr>
                <w:sz w:val="20"/>
                <w:lang w:val="es-ES_tradnl"/>
              </w:rPr>
              <w:t>e</w:t>
            </w:r>
            <w:r w:rsidR="0033634E" w:rsidRPr="00F662B5">
              <w:rPr>
                <w:sz w:val="20"/>
                <w:lang w:val="es-ES_tradnl"/>
              </w:rPr>
              <w:t>structur</w:t>
            </w:r>
            <w:r w:rsidRPr="00F662B5">
              <w:rPr>
                <w:sz w:val="20"/>
                <w:lang w:val="es-ES_tradnl"/>
              </w:rPr>
              <w:t>a informática conexa</w:t>
            </w:r>
          </w:p>
        </w:tc>
        <w:tc>
          <w:tcPr>
            <w:tcW w:w="148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30.</w:t>
            </w:r>
            <w:r w:rsidR="0033634E"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33.</w:t>
            </w:r>
            <w:r w:rsidR="0033634E" w:rsidRPr="00F662B5">
              <w:rPr>
                <w:sz w:val="20"/>
                <w:lang w:val="es-ES_tradnl"/>
              </w:rPr>
              <w:t>450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1F7AA3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Equipos de videoconferencia para la realización de ponencias a distancia, grabación digital, difusión por Internet, vídeo a la carta, subtitulado</w:t>
            </w:r>
            <w:r w:rsidR="0033634E" w:rsidRPr="00F662B5">
              <w:rPr>
                <w:sz w:val="20"/>
                <w:lang w:val="es-ES_tradnl"/>
              </w:rPr>
              <w:t>, etc.</w:t>
            </w:r>
          </w:p>
        </w:tc>
        <w:tc>
          <w:tcPr>
            <w:tcW w:w="148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600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F662B5" w:rsidP="00F662B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179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="0033634E" w:rsidRPr="00F662B5">
              <w:rPr>
                <w:sz w:val="20"/>
                <w:lang w:val="es-ES_tradnl"/>
              </w:rPr>
              <w:t>813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1F7AA3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Subt</w:t>
            </w:r>
            <w:r w:rsidR="0033634E" w:rsidRPr="00F662B5">
              <w:rPr>
                <w:b/>
                <w:sz w:val="20"/>
                <w:lang w:val="es-ES_tradnl"/>
              </w:rPr>
              <w:t>otal</w:t>
            </w:r>
          </w:p>
        </w:tc>
        <w:tc>
          <w:tcPr>
            <w:tcW w:w="1484" w:type="dxa"/>
          </w:tcPr>
          <w:p w:rsidR="0033634E" w:rsidRPr="00F662B5" w:rsidRDefault="00D766D8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1.</w:t>
            </w:r>
            <w:r w:rsidR="0033634E" w:rsidRPr="00F662B5">
              <w:rPr>
                <w:b/>
                <w:sz w:val="20"/>
                <w:lang w:val="es-ES_tradnl"/>
              </w:rPr>
              <w:t>080</w:t>
            </w:r>
            <w:r w:rsidRPr="00F662B5">
              <w:rPr>
                <w:b/>
                <w:sz w:val="20"/>
                <w:lang w:val="es-ES_tradnl"/>
              </w:rPr>
              <w:t>.</w:t>
            </w:r>
            <w:r w:rsidR="0033634E" w:rsidRPr="00F662B5">
              <w:rPr>
                <w:b/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448.</w:t>
            </w:r>
            <w:r w:rsidR="0033634E" w:rsidRPr="00F662B5">
              <w:rPr>
                <w:b/>
                <w:sz w:val="20"/>
                <w:lang w:val="es-ES_tradnl"/>
              </w:rPr>
              <w:t>800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2.</w:t>
            </w:r>
          </w:p>
        </w:tc>
        <w:tc>
          <w:tcPr>
            <w:tcW w:w="6233" w:type="dxa"/>
          </w:tcPr>
          <w:p w:rsidR="0033634E" w:rsidRPr="00F662B5" w:rsidRDefault="00CC20FF" w:rsidP="00CC20FF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Sustitución de la centralita telefónica o</w:t>
            </w:r>
            <w:r w:rsidR="0033634E" w:rsidRPr="00F662B5">
              <w:rPr>
                <w:b/>
                <w:sz w:val="20"/>
                <w:lang w:val="es-ES_tradnl"/>
              </w:rPr>
              <w:t>bsolet</w:t>
            </w:r>
            <w:r w:rsidRPr="00F662B5">
              <w:rPr>
                <w:b/>
                <w:sz w:val="20"/>
                <w:lang w:val="es-ES_tradnl"/>
              </w:rPr>
              <w:t>a Nortel Meridian</w:t>
            </w:r>
          </w:p>
        </w:tc>
        <w:tc>
          <w:tcPr>
            <w:tcW w:w="148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141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A67948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 xml:space="preserve">Instalación del equipo y los programas informáticos de telefonía </w:t>
            </w:r>
            <w:r w:rsidR="0033634E" w:rsidRPr="00F662B5">
              <w:rPr>
                <w:sz w:val="20"/>
                <w:lang w:val="es-ES_tradnl"/>
              </w:rPr>
              <w:t xml:space="preserve">IP </w:t>
            </w:r>
            <w:r w:rsidRPr="00F662B5">
              <w:rPr>
                <w:sz w:val="20"/>
                <w:lang w:val="es-ES_tradnl"/>
              </w:rPr>
              <w:t>en los edificios de la OMPI</w:t>
            </w:r>
          </w:p>
        </w:tc>
        <w:tc>
          <w:tcPr>
            <w:tcW w:w="148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850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818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309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1F7AA3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Servicios de instalación y puesta en marcha</w:t>
            </w:r>
          </w:p>
        </w:tc>
        <w:tc>
          <w:tcPr>
            <w:tcW w:w="148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250.</w:t>
            </w:r>
            <w:r w:rsidR="0033634E"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49.</w:t>
            </w:r>
            <w:r w:rsidR="0033634E" w:rsidRPr="00F662B5">
              <w:rPr>
                <w:sz w:val="20"/>
                <w:lang w:val="es-ES_tradnl"/>
              </w:rPr>
              <w:t>162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1F7AA3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Subt</w:t>
            </w:r>
            <w:r w:rsidR="0033634E" w:rsidRPr="00F662B5">
              <w:rPr>
                <w:b/>
                <w:sz w:val="20"/>
                <w:lang w:val="es-ES_tradnl"/>
              </w:rPr>
              <w:t>otal</w:t>
            </w:r>
          </w:p>
        </w:tc>
        <w:tc>
          <w:tcPr>
            <w:tcW w:w="1484" w:type="dxa"/>
          </w:tcPr>
          <w:p w:rsidR="0033634E" w:rsidRPr="00F662B5" w:rsidRDefault="00D766D8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1.</w:t>
            </w:r>
            <w:r w:rsidR="0033634E" w:rsidRPr="00F662B5">
              <w:rPr>
                <w:b/>
                <w:sz w:val="20"/>
                <w:lang w:val="es-ES_tradnl"/>
              </w:rPr>
              <w:t>100</w:t>
            </w:r>
            <w:r w:rsidRPr="00F662B5">
              <w:rPr>
                <w:b/>
                <w:sz w:val="20"/>
                <w:lang w:val="es-ES_tradnl"/>
              </w:rPr>
              <w:t>.</w:t>
            </w:r>
            <w:r w:rsidR="0033634E" w:rsidRPr="00F662B5">
              <w:rPr>
                <w:b/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867</w:t>
            </w:r>
            <w:r w:rsidR="00D766D8" w:rsidRPr="00F662B5">
              <w:rPr>
                <w:b/>
                <w:sz w:val="20"/>
                <w:lang w:val="es-ES_tradnl"/>
              </w:rPr>
              <w:t>.</w:t>
            </w:r>
            <w:r w:rsidRPr="00F662B5">
              <w:rPr>
                <w:b/>
                <w:sz w:val="20"/>
                <w:lang w:val="es-ES_tradnl"/>
              </w:rPr>
              <w:t>471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3.</w:t>
            </w:r>
          </w:p>
        </w:tc>
        <w:tc>
          <w:tcPr>
            <w:tcW w:w="6233" w:type="dxa"/>
          </w:tcPr>
          <w:p w:rsidR="0033634E" w:rsidRPr="00F662B5" w:rsidRDefault="00CC20FF" w:rsidP="001F7AA3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 xml:space="preserve">Sustitución de la </w:t>
            </w:r>
            <w:r w:rsidR="0033634E" w:rsidRPr="00F662B5">
              <w:rPr>
                <w:b/>
                <w:sz w:val="20"/>
                <w:lang w:val="es-ES_tradnl"/>
              </w:rPr>
              <w:t>plat</w:t>
            </w:r>
            <w:r w:rsidRPr="00F662B5">
              <w:rPr>
                <w:b/>
                <w:sz w:val="20"/>
                <w:lang w:val="es-ES_tradnl"/>
              </w:rPr>
              <w:t>a</w:t>
            </w:r>
            <w:r w:rsidR="0033634E" w:rsidRPr="00F662B5">
              <w:rPr>
                <w:b/>
                <w:sz w:val="20"/>
                <w:lang w:val="es-ES_tradnl"/>
              </w:rPr>
              <w:t>form</w:t>
            </w:r>
            <w:r w:rsidR="003571C0" w:rsidRPr="00F662B5">
              <w:rPr>
                <w:b/>
                <w:sz w:val="20"/>
                <w:lang w:val="es-ES_tradnl"/>
              </w:rPr>
              <w:t xml:space="preserve">a de </w:t>
            </w:r>
            <w:r w:rsidRPr="00F662B5">
              <w:rPr>
                <w:b/>
                <w:sz w:val="20"/>
                <w:lang w:val="es-ES_tradnl"/>
              </w:rPr>
              <w:t>estaciones de trabajo</w:t>
            </w:r>
          </w:p>
        </w:tc>
        <w:tc>
          <w:tcPr>
            <w:tcW w:w="148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141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CC20FF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Sustitución de equipo informático</w:t>
            </w:r>
          </w:p>
        </w:tc>
        <w:tc>
          <w:tcPr>
            <w:tcW w:w="1484" w:type="dxa"/>
          </w:tcPr>
          <w:p w:rsidR="0033634E" w:rsidRPr="00F662B5" w:rsidRDefault="00D766D8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2.</w:t>
            </w:r>
            <w:r w:rsidR="0033634E" w:rsidRPr="00F662B5">
              <w:rPr>
                <w:sz w:val="20"/>
                <w:lang w:val="es-ES_tradnl"/>
              </w:rPr>
              <w:t>100</w:t>
            </w:r>
            <w:r w:rsidRPr="00F662B5">
              <w:rPr>
                <w:sz w:val="20"/>
                <w:lang w:val="es-ES_tradnl"/>
              </w:rPr>
              <w:t>.</w:t>
            </w:r>
            <w:r w:rsidR="0033634E"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1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657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194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CC20FF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 xml:space="preserve">Actualización del </w:t>
            </w:r>
            <w:r w:rsidRPr="00F662B5">
              <w:rPr>
                <w:i/>
                <w:sz w:val="20"/>
                <w:lang w:val="es-ES_tradnl"/>
              </w:rPr>
              <w:t>s</w:t>
            </w:r>
            <w:r w:rsidR="0033634E" w:rsidRPr="00F662B5">
              <w:rPr>
                <w:i/>
                <w:sz w:val="20"/>
                <w:lang w:val="es-ES_tradnl"/>
              </w:rPr>
              <w:t>oftware</w:t>
            </w:r>
            <w:r w:rsidR="0033634E" w:rsidRPr="00F662B5">
              <w:rPr>
                <w:sz w:val="20"/>
                <w:lang w:val="es-ES_tradnl"/>
              </w:rPr>
              <w:t xml:space="preserve"> </w:t>
            </w:r>
          </w:p>
        </w:tc>
        <w:tc>
          <w:tcPr>
            <w:tcW w:w="148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450.</w:t>
            </w:r>
            <w:r w:rsidR="0033634E"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345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022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CC20FF">
            <w:pPr>
              <w:pStyle w:val="ONUME"/>
              <w:numPr>
                <w:ilvl w:val="0"/>
                <w:numId w:val="0"/>
              </w:numPr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S</w:t>
            </w:r>
            <w:r w:rsidR="0033634E" w:rsidRPr="00F662B5">
              <w:rPr>
                <w:sz w:val="20"/>
                <w:lang w:val="es-ES_tradnl"/>
              </w:rPr>
              <w:t>ervic</w:t>
            </w:r>
            <w:r w:rsidRPr="00F662B5">
              <w:rPr>
                <w:sz w:val="20"/>
                <w:lang w:val="es-ES_tradnl"/>
              </w:rPr>
              <w:t>ios de in</w:t>
            </w:r>
            <w:r w:rsidR="0033634E" w:rsidRPr="00F662B5">
              <w:rPr>
                <w:sz w:val="20"/>
                <w:lang w:val="es-ES_tradnl"/>
              </w:rPr>
              <w:t>s</w:t>
            </w:r>
            <w:r w:rsidRPr="00F662B5">
              <w:rPr>
                <w:sz w:val="20"/>
                <w:lang w:val="es-ES_tradnl"/>
              </w:rPr>
              <w:t>talación y puesta en marcha</w:t>
            </w:r>
          </w:p>
        </w:tc>
        <w:tc>
          <w:tcPr>
            <w:tcW w:w="148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450.</w:t>
            </w:r>
            <w:r w:rsidR="0033634E" w:rsidRPr="00F662B5">
              <w:rPr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33634E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  <w:r w:rsidRPr="00F662B5">
              <w:rPr>
                <w:sz w:val="20"/>
                <w:lang w:val="es-ES_tradnl"/>
              </w:rPr>
              <w:t>152</w:t>
            </w:r>
            <w:r w:rsidR="00D766D8" w:rsidRPr="00F662B5">
              <w:rPr>
                <w:sz w:val="20"/>
                <w:lang w:val="es-ES_tradnl"/>
              </w:rPr>
              <w:t>.</w:t>
            </w:r>
            <w:r w:rsidRPr="00F662B5">
              <w:rPr>
                <w:sz w:val="20"/>
                <w:lang w:val="es-ES_tradnl"/>
              </w:rPr>
              <w:t>000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CC20FF" w:rsidP="001F7AA3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Subt</w:t>
            </w:r>
            <w:r w:rsidR="0033634E" w:rsidRPr="00F662B5">
              <w:rPr>
                <w:b/>
                <w:sz w:val="20"/>
                <w:lang w:val="es-ES_tradnl"/>
              </w:rPr>
              <w:t>otal</w:t>
            </w:r>
          </w:p>
        </w:tc>
        <w:tc>
          <w:tcPr>
            <w:tcW w:w="1484" w:type="dxa"/>
          </w:tcPr>
          <w:p w:rsidR="0033634E" w:rsidRPr="00F662B5" w:rsidRDefault="00D766D8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3.</w:t>
            </w:r>
            <w:r w:rsidR="0033634E" w:rsidRPr="00F662B5">
              <w:rPr>
                <w:b/>
                <w:sz w:val="20"/>
                <w:lang w:val="es-ES_tradnl"/>
              </w:rPr>
              <w:t>000</w:t>
            </w:r>
            <w:r w:rsidRPr="00F662B5">
              <w:rPr>
                <w:b/>
                <w:sz w:val="20"/>
                <w:lang w:val="es-ES_tradnl"/>
              </w:rPr>
              <w:t>.</w:t>
            </w:r>
            <w:r w:rsidR="0033634E" w:rsidRPr="00F662B5">
              <w:rPr>
                <w:b/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D766D8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2.154.</w:t>
            </w:r>
            <w:r w:rsidR="0033634E" w:rsidRPr="00F662B5">
              <w:rPr>
                <w:b/>
                <w:sz w:val="20"/>
                <w:lang w:val="es-ES_tradnl"/>
              </w:rPr>
              <w:t>216</w:t>
            </w:r>
          </w:p>
        </w:tc>
      </w:tr>
      <w:tr w:rsidR="00CF3385" w:rsidRPr="00D766D8" w:rsidTr="00A46078">
        <w:tc>
          <w:tcPr>
            <w:tcW w:w="594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6233" w:type="dxa"/>
          </w:tcPr>
          <w:p w:rsidR="0033634E" w:rsidRPr="00F662B5" w:rsidRDefault="0033634E" w:rsidP="001F7AA3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Total</w:t>
            </w:r>
          </w:p>
        </w:tc>
        <w:tc>
          <w:tcPr>
            <w:tcW w:w="1484" w:type="dxa"/>
          </w:tcPr>
          <w:p w:rsidR="0033634E" w:rsidRPr="00F662B5" w:rsidRDefault="00D766D8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5.</w:t>
            </w:r>
            <w:r w:rsidR="0033634E" w:rsidRPr="00F662B5">
              <w:rPr>
                <w:b/>
                <w:sz w:val="20"/>
                <w:lang w:val="es-ES_tradnl"/>
              </w:rPr>
              <w:t>180</w:t>
            </w:r>
            <w:r w:rsidRPr="00F662B5">
              <w:rPr>
                <w:b/>
                <w:sz w:val="20"/>
                <w:lang w:val="es-ES_tradnl"/>
              </w:rPr>
              <w:t>.</w:t>
            </w:r>
            <w:r w:rsidR="0033634E" w:rsidRPr="00F662B5">
              <w:rPr>
                <w:b/>
                <w:sz w:val="20"/>
                <w:lang w:val="es-ES_tradnl"/>
              </w:rPr>
              <w:t>000</w:t>
            </w:r>
          </w:p>
        </w:tc>
        <w:tc>
          <w:tcPr>
            <w:tcW w:w="1414" w:type="dxa"/>
          </w:tcPr>
          <w:p w:rsidR="0033634E" w:rsidRPr="00F662B5" w:rsidRDefault="00D766D8" w:rsidP="00D766D8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es-ES_tradnl"/>
              </w:rPr>
            </w:pPr>
            <w:r w:rsidRPr="00F662B5">
              <w:rPr>
                <w:b/>
                <w:sz w:val="20"/>
                <w:lang w:val="es-ES_tradnl"/>
              </w:rPr>
              <w:t>3.</w:t>
            </w:r>
            <w:r w:rsidR="0033634E" w:rsidRPr="00F662B5">
              <w:rPr>
                <w:b/>
                <w:sz w:val="20"/>
                <w:lang w:val="es-ES_tradnl"/>
              </w:rPr>
              <w:t>470</w:t>
            </w:r>
            <w:r w:rsidRPr="00F662B5">
              <w:rPr>
                <w:b/>
                <w:sz w:val="20"/>
                <w:lang w:val="es-ES_tradnl"/>
              </w:rPr>
              <w:t>.</w:t>
            </w:r>
            <w:r w:rsidR="0033634E" w:rsidRPr="00F662B5">
              <w:rPr>
                <w:b/>
                <w:sz w:val="20"/>
                <w:lang w:val="es-ES_tradnl"/>
              </w:rPr>
              <w:t>487</w:t>
            </w:r>
          </w:p>
        </w:tc>
      </w:tr>
    </w:tbl>
    <w:p w:rsidR="00CC20FF" w:rsidRPr="00D766D8" w:rsidRDefault="00CC20FF" w:rsidP="00CC20FF">
      <w:pPr>
        <w:pStyle w:val="ONUME"/>
        <w:numPr>
          <w:ilvl w:val="0"/>
          <w:numId w:val="0"/>
        </w:numPr>
        <w:rPr>
          <w:lang w:val="es-ES_tradnl"/>
        </w:rPr>
      </w:pPr>
    </w:p>
    <w:p w:rsidR="0033634E" w:rsidRPr="00D766D8" w:rsidRDefault="00CC20FF" w:rsidP="00CC20FF">
      <w:pPr>
        <w:pStyle w:val="ONUME"/>
        <w:rPr>
          <w:lang w:val="es-ES_tradnl"/>
        </w:rPr>
      </w:pPr>
      <w:r w:rsidRPr="00D766D8">
        <w:rPr>
          <w:lang w:val="es-ES_tradnl"/>
        </w:rPr>
        <w:t>Se propone el siguiente párrafo de decisión</w:t>
      </w:r>
      <w:r w:rsidR="0033634E" w:rsidRPr="00D766D8">
        <w:rPr>
          <w:lang w:val="es-ES_tradnl"/>
        </w:rPr>
        <w:t>.</w:t>
      </w:r>
    </w:p>
    <w:p w:rsidR="0033634E" w:rsidRPr="00D766D8" w:rsidRDefault="00CC20FF" w:rsidP="00CC20FF">
      <w:pPr>
        <w:pStyle w:val="ONUME"/>
        <w:tabs>
          <w:tab w:val="clear" w:pos="567"/>
        </w:tabs>
        <w:ind w:left="5529"/>
        <w:rPr>
          <w:i/>
          <w:lang w:val="es-ES_tradnl"/>
        </w:rPr>
      </w:pPr>
      <w:r w:rsidRPr="00D766D8">
        <w:rPr>
          <w:i/>
          <w:lang w:val="es-ES_tradnl"/>
        </w:rPr>
        <w:t>El Comité del Programa y Presupuesto tomó nota del informe sobre la mar</w:t>
      </w:r>
      <w:bookmarkStart w:id="5" w:name="_GoBack"/>
      <w:bookmarkEnd w:id="5"/>
      <w:r w:rsidRPr="00D766D8">
        <w:rPr>
          <w:i/>
          <w:lang w:val="es-ES_tradnl"/>
        </w:rPr>
        <w:t xml:space="preserve">cha del </w:t>
      </w:r>
      <w:r w:rsidRPr="00D766D8">
        <w:rPr>
          <w:i/>
          <w:snapToGrid w:val="0"/>
          <w:lang w:val="es-ES_tradnl"/>
        </w:rPr>
        <w:t>proyecto de inversión de capital en tecnologías de la información y las comunicaciones</w:t>
      </w:r>
      <w:r w:rsidRPr="00D766D8">
        <w:rPr>
          <w:i/>
          <w:lang w:val="es-ES_tradnl"/>
        </w:rPr>
        <w:t xml:space="preserve"> </w:t>
      </w:r>
      <w:r w:rsidR="0033634E" w:rsidRPr="00D766D8">
        <w:rPr>
          <w:i/>
          <w:lang w:val="es-ES_tradnl"/>
        </w:rPr>
        <w:t>(</w:t>
      </w:r>
      <w:r w:rsidRPr="00D766D8">
        <w:rPr>
          <w:i/>
          <w:lang w:val="es-ES_tradnl"/>
        </w:rPr>
        <w:t>T</w:t>
      </w:r>
      <w:r w:rsidR="0033634E" w:rsidRPr="00D766D8">
        <w:rPr>
          <w:i/>
          <w:lang w:val="es-ES_tradnl"/>
        </w:rPr>
        <w:t>IC) (document</w:t>
      </w:r>
      <w:r w:rsidRPr="00D766D8">
        <w:rPr>
          <w:i/>
          <w:lang w:val="es-ES_tradnl"/>
        </w:rPr>
        <w:t>o</w:t>
      </w:r>
      <w:r w:rsidR="0033634E" w:rsidRPr="00D766D8">
        <w:rPr>
          <w:i/>
          <w:lang w:val="es-ES_tradnl"/>
        </w:rPr>
        <w:t> WO/PBC/22/18).</w:t>
      </w:r>
    </w:p>
    <w:p w:rsidR="0033634E" w:rsidRPr="00D766D8" w:rsidRDefault="0033634E" w:rsidP="00FD1D42">
      <w:pPr>
        <w:pStyle w:val="ONUMFS"/>
        <w:numPr>
          <w:ilvl w:val="0"/>
          <w:numId w:val="0"/>
        </w:numPr>
        <w:rPr>
          <w:lang w:val="es-ES_tradnl"/>
        </w:rPr>
      </w:pPr>
    </w:p>
    <w:p w:rsidR="00152CEA" w:rsidRPr="00D766D8" w:rsidRDefault="0033634E" w:rsidP="00FD1D42">
      <w:pPr>
        <w:pStyle w:val="Endofdocument-Annex"/>
        <w:rPr>
          <w:lang w:val="es-ES_tradnl"/>
        </w:rPr>
      </w:pPr>
      <w:r w:rsidRPr="00D766D8">
        <w:rPr>
          <w:lang w:val="es-ES_tradnl"/>
        </w:rPr>
        <w:t>[</w:t>
      </w:r>
      <w:r w:rsidR="00FD1D42" w:rsidRPr="00D766D8">
        <w:rPr>
          <w:lang w:val="es-ES_tradnl"/>
        </w:rPr>
        <w:t>Fin del documento</w:t>
      </w:r>
      <w:r w:rsidRPr="00D766D8">
        <w:rPr>
          <w:lang w:val="es-ES_tradnl"/>
        </w:rPr>
        <w:t>]</w:t>
      </w:r>
    </w:p>
    <w:sectPr w:rsidR="00152CEA" w:rsidRPr="00D766D8" w:rsidSect="0033634E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4E" w:rsidRDefault="0033634E">
      <w:r>
        <w:separator/>
      </w:r>
    </w:p>
  </w:endnote>
  <w:endnote w:type="continuationSeparator" w:id="0">
    <w:p w:rsidR="0033634E" w:rsidRPr="009D30E6" w:rsidRDefault="0033634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3634E" w:rsidRPr="007E663E" w:rsidRDefault="0033634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3634E" w:rsidRPr="007E663E" w:rsidRDefault="0033634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4E" w:rsidRDefault="0033634E">
      <w:r>
        <w:separator/>
      </w:r>
    </w:p>
  </w:footnote>
  <w:footnote w:type="continuationSeparator" w:id="0">
    <w:p w:rsidR="0033634E" w:rsidRPr="009D30E6" w:rsidRDefault="0033634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3634E" w:rsidRPr="007E663E" w:rsidRDefault="0033634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3634E" w:rsidRPr="007E663E" w:rsidRDefault="0033634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3634E" w:rsidRPr="00CF3385" w:rsidRDefault="0033634E" w:rsidP="0033634E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CF3385">
        <w:rPr>
          <w:lang w:val="es-ES_tradnl"/>
        </w:rPr>
        <w:t xml:space="preserve">  A</w:t>
      </w:r>
      <w:r w:rsidR="00CF3385" w:rsidRPr="00CF3385">
        <w:rPr>
          <w:lang w:val="es-ES_tradnl"/>
        </w:rPr>
        <w:t xml:space="preserve">l final de junio de </w:t>
      </w:r>
      <w:r w:rsidRPr="00CF3385">
        <w:rPr>
          <w:lang w:val="es-ES_tradnl"/>
        </w:rPr>
        <w:t>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3634E" w:rsidP="00477D6B">
    <w:pPr>
      <w:jc w:val="right"/>
    </w:pPr>
    <w:bookmarkStart w:id="6" w:name="Code2"/>
    <w:bookmarkEnd w:id="6"/>
    <w:r>
      <w:t>WO/PBC/22/18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46078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4E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F4E68"/>
    <w:rsid w:val="00305B36"/>
    <w:rsid w:val="0033634E"/>
    <w:rsid w:val="00354647"/>
    <w:rsid w:val="003571C0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40CF4"/>
    <w:rsid w:val="0055013B"/>
    <w:rsid w:val="00571B99"/>
    <w:rsid w:val="00605827"/>
    <w:rsid w:val="00675021"/>
    <w:rsid w:val="006A06C6"/>
    <w:rsid w:val="0070647E"/>
    <w:rsid w:val="007224C8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21576"/>
    <w:rsid w:val="00966A22"/>
    <w:rsid w:val="00972F03"/>
    <w:rsid w:val="009A0C8B"/>
    <w:rsid w:val="009B6241"/>
    <w:rsid w:val="00A16FC0"/>
    <w:rsid w:val="00A32C9E"/>
    <w:rsid w:val="00A46078"/>
    <w:rsid w:val="00A67948"/>
    <w:rsid w:val="00A87DC0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CC20FF"/>
    <w:rsid w:val="00CF3385"/>
    <w:rsid w:val="00D56C7C"/>
    <w:rsid w:val="00D71B4D"/>
    <w:rsid w:val="00D766D8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662B5"/>
    <w:rsid w:val="00F80845"/>
    <w:rsid w:val="00F84474"/>
    <w:rsid w:val="00FA0F0D"/>
    <w:rsid w:val="00FD1D42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table" w:styleId="TableGrid">
    <w:name w:val="Table Grid"/>
    <w:basedOn w:val="TableNormal"/>
    <w:rsid w:val="0033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33634E"/>
    <w:rPr>
      <w:vertAlign w:val="superscript"/>
    </w:rPr>
  </w:style>
  <w:style w:type="paragraph" w:customStyle="1" w:styleId="Char">
    <w:name w:val="Char 字元 字元"/>
    <w:basedOn w:val="Normal"/>
    <w:rsid w:val="00CF338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table" w:styleId="TableGrid">
    <w:name w:val="Table Grid"/>
    <w:basedOn w:val="TableNormal"/>
    <w:rsid w:val="0033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33634E"/>
    <w:rPr>
      <w:vertAlign w:val="superscript"/>
    </w:rPr>
  </w:style>
  <w:style w:type="paragraph" w:customStyle="1" w:styleId="Char">
    <w:name w:val="Char 字元 字元"/>
    <w:basedOn w:val="Normal"/>
    <w:rsid w:val="00CF338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3AFC-1886-4728-8DB1-B3E3FE8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(S).dotm</Template>
  <TotalTime>42</TotalTime>
  <Pages>3</Pages>
  <Words>626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WO/PBC/22/18</vt:lpstr>
    </vt:vector>
  </TitlesOfParts>
  <Company>WIPO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WO/PBC/22/18</dc:title>
  <dc:creator>BOU LLORET Amparo</dc:creator>
  <dc:description>JC 16/7/2014</dc:description>
  <cp:lastModifiedBy>HALLER Mario</cp:lastModifiedBy>
  <cp:revision>9</cp:revision>
  <dcterms:created xsi:type="dcterms:W3CDTF">2014-07-16T06:54:00Z</dcterms:created>
  <dcterms:modified xsi:type="dcterms:W3CDTF">2014-07-18T10:10:00Z</dcterms:modified>
</cp:coreProperties>
</file>