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E04E7E" w:rsidTr="0088395E">
        <w:tc>
          <w:tcPr>
            <w:tcW w:w="4513" w:type="dxa"/>
            <w:tcBorders>
              <w:bottom w:val="single" w:sz="4" w:space="0" w:color="auto"/>
            </w:tcBorders>
            <w:tcMar>
              <w:bottom w:w="170" w:type="dxa"/>
            </w:tcMar>
          </w:tcPr>
          <w:p w:rsidR="00E504E5" w:rsidRPr="00E04E7E" w:rsidRDefault="00E504E5" w:rsidP="00AB613D"/>
        </w:tc>
        <w:tc>
          <w:tcPr>
            <w:tcW w:w="4337" w:type="dxa"/>
            <w:tcBorders>
              <w:bottom w:val="single" w:sz="4" w:space="0" w:color="auto"/>
            </w:tcBorders>
            <w:tcMar>
              <w:left w:w="0" w:type="dxa"/>
              <w:right w:w="0" w:type="dxa"/>
            </w:tcMar>
          </w:tcPr>
          <w:p w:rsidR="00E504E5" w:rsidRPr="00E04E7E" w:rsidRDefault="00583EA1" w:rsidP="00AB613D">
            <w:r w:rsidRPr="00E04E7E">
              <w:rPr>
                <w:noProof/>
                <w:lang w:eastAsia="en-US"/>
              </w:rPr>
              <w:drawing>
                <wp:inline distT="0" distB="0" distL="0" distR="0" wp14:anchorId="022CBB31" wp14:editId="0915E54D">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E04E7E" w:rsidRDefault="00E504E5" w:rsidP="00AB613D">
            <w:pPr>
              <w:jc w:val="right"/>
            </w:pPr>
            <w:r w:rsidRPr="00E04E7E">
              <w:rPr>
                <w:b/>
                <w:sz w:val="40"/>
                <w:szCs w:val="40"/>
              </w:rPr>
              <w:t>S</w:t>
            </w:r>
          </w:p>
        </w:tc>
      </w:tr>
      <w:tr w:rsidR="008B2CC1" w:rsidRPr="00E04E7E"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E04E7E" w:rsidRDefault="00921576" w:rsidP="00AB613D">
            <w:pPr>
              <w:jc w:val="right"/>
              <w:rPr>
                <w:rFonts w:ascii="Arial Black" w:hAnsi="Arial Black"/>
                <w:caps/>
                <w:sz w:val="15"/>
              </w:rPr>
            </w:pPr>
            <w:r w:rsidRPr="00E04E7E">
              <w:rPr>
                <w:rFonts w:ascii="Arial Black" w:hAnsi="Arial Black"/>
                <w:caps/>
                <w:sz w:val="15"/>
              </w:rPr>
              <w:t>WO/PBC/22/</w:t>
            </w:r>
            <w:bookmarkStart w:id="0" w:name="Code"/>
            <w:bookmarkEnd w:id="0"/>
            <w:r w:rsidR="00C13B4A" w:rsidRPr="00E04E7E">
              <w:rPr>
                <w:rFonts w:ascii="Arial Black" w:hAnsi="Arial Black"/>
                <w:caps/>
                <w:sz w:val="15"/>
              </w:rPr>
              <w:t>16</w:t>
            </w:r>
          </w:p>
        </w:tc>
      </w:tr>
      <w:tr w:rsidR="008B2CC1" w:rsidRPr="00E04E7E" w:rsidTr="00AB613D">
        <w:trPr>
          <w:trHeight w:hRule="exact" w:val="170"/>
        </w:trPr>
        <w:tc>
          <w:tcPr>
            <w:tcW w:w="9356" w:type="dxa"/>
            <w:gridSpan w:val="3"/>
            <w:noWrap/>
            <w:tcMar>
              <w:left w:w="0" w:type="dxa"/>
              <w:right w:w="0" w:type="dxa"/>
            </w:tcMar>
            <w:vAlign w:val="bottom"/>
          </w:tcPr>
          <w:p w:rsidR="008B2CC1" w:rsidRPr="00E04E7E" w:rsidRDefault="008B2CC1" w:rsidP="00AB613D">
            <w:pPr>
              <w:jc w:val="right"/>
              <w:rPr>
                <w:rFonts w:ascii="Arial Black" w:hAnsi="Arial Black"/>
                <w:caps/>
                <w:sz w:val="15"/>
              </w:rPr>
            </w:pPr>
            <w:r w:rsidRPr="00E04E7E">
              <w:rPr>
                <w:rFonts w:ascii="Arial Black" w:hAnsi="Arial Black"/>
                <w:caps/>
                <w:sz w:val="15"/>
              </w:rPr>
              <w:t>ORIGINAL:</w:t>
            </w:r>
            <w:r w:rsidR="00F84474" w:rsidRPr="00E04E7E">
              <w:rPr>
                <w:rFonts w:ascii="Arial Black" w:hAnsi="Arial Black"/>
                <w:caps/>
                <w:sz w:val="15"/>
              </w:rPr>
              <w:t xml:space="preserve"> </w:t>
            </w:r>
            <w:r w:rsidRPr="00E04E7E">
              <w:rPr>
                <w:rFonts w:ascii="Arial Black" w:hAnsi="Arial Black"/>
                <w:caps/>
                <w:sz w:val="15"/>
              </w:rPr>
              <w:t xml:space="preserve"> </w:t>
            </w:r>
            <w:bookmarkStart w:id="1" w:name="Original"/>
            <w:bookmarkEnd w:id="1"/>
            <w:r w:rsidR="00C13B4A" w:rsidRPr="00E04E7E">
              <w:rPr>
                <w:rFonts w:ascii="Arial Black" w:hAnsi="Arial Black"/>
                <w:caps/>
                <w:sz w:val="15"/>
              </w:rPr>
              <w:t>INGLÉS</w:t>
            </w:r>
          </w:p>
        </w:tc>
      </w:tr>
      <w:tr w:rsidR="008B2CC1" w:rsidRPr="00E04E7E" w:rsidTr="00AB613D">
        <w:trPr>
          <w:trHeight w:hRule="exact" w:val="198"/>
        </w:trPr>
        <w:tc>
          <w:tcPr>
            <w:tcW w:w="9356" w:type="dxa"/>
            <w:gridSpan w:val="3"/>
            <w:tcMar>
              <w:left w:w="0" w:type="dxa"/>
              <w:right w:w="0" w:type="dxa"/>
            </w:tcMar>
            <w:vAlign w:val="bottom"/>
          </w:tcPr>
          <w:p w:rsidR="008B2CC1" w:rsidRPr="00E04E7E" w:rsidRDefault="00675021" w:rsidP="00AB613D">
            <w:pPr>
              <w:jc w:val="right"/>
              <w:rPr>
                <w:rFonts w:ascii="Arial Black" w:hAnsi="Arial Black"/>
                <w:caps/>
                <w:sz w:val="15"/>
              </w:rPr>
            </w:pPr>
            <w:r w:rsidRPr="00E04E7E">
              <w:rPr>
                <w:rFonts w:ascii="Arial Black" w:hAnsi="Arial Black"/>
                <w:caps/>
                <w:sz w:val="15"/>
              </w:rPr>
              <w:t>fecha</w:t>
            </w:r>
            <w:r w:rsidR="008B2CC1" w:rsidRPr="00E04E7E">
              <w:rPr>
                <w:rFonts w:ascii="Arial Black" w:hAnsi="Arial Black"/>
                <w:caps/>
                <w:sz w:val="15"/>
              </w:rPr>
              <w:t>:</w:t>
            </w:r>
            <w:r w:rsidR="00F84474" w:rsidRPr="00E04E7E">
              <w:rPr>
                <w:rFonts w:ascii="Arial Black" w:hAnsi="Arial Black"/>
                <w:caps/>
                <w:sz w:val="15"/>
              </w:rPr>
              <w:t xml:space="preserve"> </w:t>
            </w:r>
            <w:r w:rsidR="008B2CC1" w:rsidRPr="00E04E7E">
              <w:rPr>
                <w:rFonts w:ascii="Arial Black" w:hAnsi="Arial Black"/>
                <w:caps/>
                <w:sz w:val="15"/>
              </w:rPr>
              <w:t xml:space="preserve"> </w:t>
            </w:r>
            <w:bookmarkStart w:id="2" w:name="Date"/>
            <w:bookmarkEnd w:id="2"/>
            <w:r w:rsidR="00C13B4A" w:rsidRPr="00E04E7E">
              <w:rPr>
                <w:rFonts w:ascii="Arial Black" w:hAnsi="Arial Black"/>
                <w:caps/>
                <w:sz w:val="15"/>
              </w:rPr>
              <w:t>10 DE JULIO DE 2014</w:t>
            </w:r>
          </w:p>
        </w:tc>
      </w:tr>
    </w:tbl>
    <w:p w:rsidR="008B2CC1" w:rsidRPr="00E04E7E" w:rsidRDefault="008B2CC1" w:rsidP="008B2CC1"/>
    <w:p w:rsidR="008B2CC1" w:rsidRPr="00E04E7E" w:rsidRDefault="008B2CC1" w:rsidP="008B2CC1"/>
    <w:p w:rsidR="008B2CC1" w:rsidRPr="00E04E7E" w:rsidRDefault="008B2CC1" w:rsidP="008B2CC1"/>
    <w:p w:rsidR="008B2CC1" w:rsidRPr="00E04E7E" w:rsidRDefault="008B2CC1" w:rsidP="008B2CC1"/>
    <w:p w:rsidR="008B2CC1" w:rsidRPr="00E04E7E" w:rsidRDefault="008B2CC1" w:rsidP="008B2CC1"/>
    <w:p w:rsidR="00921576" w:rsidRPr="00E04E7E" w:rsidRDefault="00921576" w:rsidP="00921576">
      <w:pPr>
        <w:rPr>
          <w:b/>
          <w:sz w:val="28"/>
          <w:szCs w:val="28"/>
        </w:rPr>
      </w:pPr>
      <w:r w:rsidRPr="00E04E7E">
        <w:rPr>
          <w:b/>
          <w:sz w:val="28"/>
          <w:szCs w:val="28"/>
        </w:rPr>
        <w:t>Comité del Programa y Presupuesto</w:t>
      </w:r>
    </w:p>
    <w:p w:rsidR="003845C1" w:rsidRPr="00E04E7E" w:rsidRDefault="003845C1" w:rsidP="003845C1"/>
    <w:p w:rsidR="003845C1" w:rsidRPr="00E04E7E" w:rsidRDefault="003845C1" w:rsidP="003845C1"/>
    <w:p w:rsidR="00921576" w:rsidRPr="00E04E7E" w:rsidRDefault="00921576" w:rsidP="00921576">
      <w:pPr>
        <w:rPr>
          <w:b/>
          <w:sz w:val="24"/>
          <w:szCs w:val="24"/>
        </w:rPr>
      </w:pPr>
      <w:r w:rsidRPr="00E04E7E">
        <w:rPr>
          <w:b/>
          <w:sz w:val="24"/>
          <w:szCs w:val="24"/>
        </w:rPr>
        <w:t>Vigésima segunda sesión</w:t>
      </w:r>
    </w:p>
    <w:p w:rsidR="00921576" w:rsidRPr="00E04E7E" w:rsidRDefault="00921576" w:rsidP="00921576">
      <w:pPr>
        <w:rPr>
          <w:b/>
          <w:sz w:val="24"/>
          <w:szCs w:val="24"/>
        </w:rPr>
      </w:pPr>
      <w:r w:rsidRPr="00E04E7E">
        <w:rPr>
          <w:b/>
          <w:sz w:val="24"/>
          <w:szCs w:val="24"/>
        </w:rPr>
        <w:t>Ginebra, 1 a 5 de septiembre de 2014</w:t>
      </w:r>
    </w:p>
    <w:p w:rsidR="008B2CC1" w:rsidRPr="00E04E7E" w:rsidRDefault="008B2CC1" w:rsidP="008B2CC1"/>
    <w:p w:rsidR="008B2CC1" w:rsidRPr="00E04E7E" w:rsidRDefault="008B2CC1" w:rsidP="008B2CC1"/>
    <w:p w:rsidR="008B2CC1" w:rsidRPr="00E04E7E" w:rsidRDefault="008B2CC1" w:rsidP="008B2CC1"/>
    <w:p w:rsidR="00583EA1" w:rsidRPr="00E04E7E" w:rsidRDefault="00583EA1" w:rsidP="00583EA1">
      <w:pPr>
        <w:rPr>
          <w:caps/>
          <w:sz w:val="24"/>
        </w:rPr>
      </w:pPr>
      <w:bookmarkStart w:id="3" w:name="TitleOfDoc"/>
      <w:bookmarkEnd w:id="3"/>
      <w:r w:rsidRPr="00E04E7E">
        <w:rPr>
          <w:caps/>
          <w:sz w:val="24"/>
        </w:rPr>
        <w:t>INFORME SOBRE LA MARCHA DE LA APLICACIÓN DE LA POLÍTICA LINGÜÍSTICA DE LA OMPI</w:t>
      </w:r>
    </w:p>
    <w:p w:rsidR="00583EA1" w:rsidRPr="00E04E7E" w:rsidRDefault="00583EA1" w:rsidP="00583EA1"/>
    <w:p w:rsidR="00583EA1" w:rsidRPr="00E04E7E" w:rsidRDefault="00583EA1" w:rsidP="00583EA1">
      <w:pPr>
        <w:rPr>
          <w:i/>
        </w:rPr>
      </w:pPr>
      <w:bookmarkStart w:id="4" w:name="Prepared"/>
      <w:bookmarkEnd w:id="4"/>
      <w:r w:rsidRPr="00E04E7E">
        <w:rPr>
          <w:i/>
        </w:rPr>
        <w:t>preparado por la Secretaría</w:t>
      </w:r>
    </w:p>
    <w:p w:rsidR="00C13B4A" w:rsidRPr="00E04E7E" w:rsidRDefault="00C13B4A" w:rsidP="00C13B4A"/>
    <w:p w:rsidR="00C13B4A" w:rsidRPr="00E04E7E" w:rsidRDefault="00C13B4A" w:rsidP="00C13B4A"/>
    <w:p w:rsidR="00C13B4A" w:rsidRPr="00E04E7E" w:rsidRDefault="00C13B4A" w:rsidP="00C13B4A"/>
    <w:p w:rsidR="00C13B4A" w:rsidRPr="00E04E7E" w:rsidRDefault="00C13B4A" w:rsidP="00C13B4A"/>
    <w:p w:rsidR="00C13B4A" w:rsidRPr="00E04E7E" w:rsidRDefault="009F5E0D" w:rsidP="00C13B4A">
      <w:pPr>
        <w:spacing w:after="240"/>
        <w:rPr>
          <w:b/>
        </w:rPr>
      </w:pPr>
      <w:r w:rsidRPr="00E04E7E">
        <w:rPr>
          <w:b/>
        </w:rPr>
        <w:t>INTRODUCCIÓ</w:t>
      </w:r>
      <w:r w:rsidR="00C13B4A" w:rsidRPr="00E04E7E">
        <w:rPr>
          <w:b/>
        </w:rPr>
        <w:t>N</w:t>
      </w:r>
    </w:p>
    <w:p w:rsidR="009F5E0D" w:rsidRPr="00E04E7E" w:rsidRDefault="009F5E0D" w:rsidP="009F5E0D">
      <w:pPr>
        <w:pStyle w:val="ONUMFS"/>
        <w:rPr>
          <w:u w:color="000000"/>
        </w:rPr>
      </w:pPr>
      <w:r w:rsidRPr="00E04E7E">
        <w:rPr>
          <w:u w:color="000000"/>
        </w:rPr>
        <w:t xml:space="preserve">En la cuadragésima novena serie de reuniones de las Asambleas en 2011, los Estados miembros de la OMPI decidieron que la cobertura </w:t>
      </w:r>
      <w:r w:rsidR="002D6900" w:rsidRPr="00E04E7E">
        <w:rPr>
          <w:u w:color="000000"/>
        </w:rPr>
        <w:t xml:space="preserve">lingüística </w:t>
      </w:r>
      <w:r w:rsidR="00B7622A" w:rsidRPr="00E04E7E">
        <w:rPr>
          <w:u w:color="000000"/>
        </w:rPr>
        <w:t>de</w:t>
      </w:r>
      <w:r w:rsidRPr="00E04E7E">
        <w:rPr>
          <w:u w:color="000000"/>
        </w:rPr>
        <w:t xml:space="preserve"> los documentos de reuniones de los órganos</w:t>
      </w:r>
      <w:r w:rsidR="00646445" w:rsidRPr="00E04E7E">
        <w:rPr>
          <w:u w:color="000000"/>
        </w:rPr>
        <w:t xml:space="preserve"> principales</w:t>
      </w:r>
      <w:r w:rsidRPr="00E04E7E">
        <w:rPr>
          <w:u w:color="000000"/>
        </w:rPr>
        <w:t xml:space="preserve">, comités y grupos de trabajo de la OMPI, así como </w:t>
      </w:r>
      <w:r w:rsidR="00B7622A" w:rsidRPr="00E04E7E">
        <w:rPr>
          <w:u w:color="000000"/>
        </w:rPr>
        <w:t xml:space="preserve">de </w:t>
      </w:r>
      <w:r w:rsidRPr="00E04E7E">
        <w:rPr>
          <w:u w:color="000000"/>
        </w:rPr>
        <w:t xml:space="preserve">las publicaciones principales y las nuevas publicaciones, se ampliara </w:t>
      </w:r>
      <w:r w:rsidR="00B7622A" w:rsidRPr="00E04E7E">
        <w:rPr>
          <w:u w:color="000000"/>
        </w:rPr>
        <w:t xml:space="preserve">de manera gradual </w:t>
      </w:r>
      <w:r w:rsidRPr="00E04E7E">
        <w:rPr>
          <w:u w:color="000000"/>
        </w:rPr>
        <w:t>a los seis idiomas oficiales de las Naciones Unidas (árabe, chino, español, francés, inglés y ruso)</w:t>
      </w:r>
      <w:r w:rsidR="00B7622A" w:rsidRPr="00E04E7E">
        <w:rPr>
          <w:u w:color="000000"/>
        </w:rPr>
        <w:t>, labor</w:t>
      </w:r>
      <w:r w:rsidRPr="00E04E7E">
        <w:rPr>
          <w:u w:color="000000"/>
        </w:rPr>
        <w:t xml:space="preserve"> que comenzó en 2011.  Asimismo, se decidió que </w:t>
      </w:r>
      <w:r w:rsidR="00646445" w:rsidRPr="00E04E7E">
        <w:rPr>
          <w:u w:color="000000"/>
        </w:rPr>
        <w:t xml:space="preserve">se evaluara </w:t>
      </w:r>
      <w:r w:rsidRPr="00E04E7E">
        <w:rPr>
          <w:u w:color="000000"/>
        </w:rPr>
        <w:t>el costo de</w:t>
      </w:r>
      <w:r w:rsidR="00646445" w:rsidRPr="00E04E7E">
        <w:rPr>
          <w:u w:color="000000"/>
        </w:rPr>
        <w:t xml:space="preserve"> la</w:t>
      </w:r>
      <w:r w:rsidRPr="00E04E7E">
        <w:rPr>
          <w:u w:color="000000"/>
        </w:rPr>
        <w:t xml:space="preserve"> </w:t>
      </w:r>
      <w:r w:rsidR="002D6900" w:rsidRPr="00E04E7E">
        <w:rPr>
          <w:u w:color="000000"/>
        </w:rPr>
        <w:t>cobertura lingüística</w:t>
      </w:r>
      <w:r w:rsidR="00646445" w:rsidRPr="00E04E7E">
        <w:rPr>
          <w:u w:color="000000"/>
        </w:rPr>
        <w:t xml:space="preserve"> </w:t>
      </w:r>
      <w:r w:rsidRPr="00E04E7E">
        <w:rPr>
          <w:u w:color="000000"/>
        </w:rPr>
        <w:t xml:space="preserve">de </w:t>
      </w:r>
      <w:r w:rsidR="00646445" w:rsidRPr="00E04E7E">
        <w:rPr>
          <w:u w:color="000000"/>
        </w:rPr>
        <w:t xml:space="preserve">los documentos </w:t>
      </w:r>
      <w:r w:rsidRPr="00E04E7E">
        <w:rPr>
          <w:u w:color="000000"/>
        </w:rPr>
        <w:t xml:space="preserve">de los grupos de trabajo teniendo en cuenta la experiencia adquirida en </w:t>
      </w:r>
      <w:r w:rsidR="00C13B4A" w:rsidRPr="00E04E7E">
        <w:rPr>
          <w:u w:color="000000"/>
        </w:rPr>
        <w:t>2012/13</w:t>
      </w:r>
      <w:r w:rsidRPr="00E04E7E">
        <w:rPr>
          <w:u w:color="000000"/>
        </w:rPr>
        <w:t xml:space="preserve"> y en el contexto del presupuesto por programas de </w:t>
      </w:r>
      <w:r w:rsidR="00C13B4A" w:rsidRPr="00E04E7E">
        <w:rPr>
          <w:u w:color="000000"/>
        </w:rPr>
        <w:t>2014/15</w:t>
      </w:r>
      <w:r w:rsidR="00BE4403" w:rsidRPr="00E04E7E">
        <w:rPr>
          <w:u w:color="000000"/>
        </w:rPr>
        <w:t>,</w:t>
      </w:r>
      <w:r w:rsidR="00B7622A" w:rsidRPr="00E04E7E">
        <w:rPr>
          <w:u w:color="000000"/>
        </w:rPr>
        <w:t xml:space="preserve"> </w:t>
      </w:r>
      <w:r w:rsidRPr="00E04E7E">
        <w:rPr>
          <w:u w:color="000000"/>
        </w:rPr>
        <w:t xml:space="preserve">y que las necesidades de traducción </w:t>
      </w:r>
      <w:r w:rsidR="00B7622A" w:rsidRPr="00E04E7E">
        <w:rPr>
          <w:u w:color="000000"/>
        </w:rPr>
        <w:t>d</w:t>
      </w:r>
      <w:r w:rsidRPr="00E04E7E">
        <w:rPr>
          <w:u w:color="000000"/>
        </w:rPr>
        <w:t>el sitio Web de la OMPI se examinaran más detalladamente de manera paralela a la reestructuración de dicho sitio.</w:t>
      </w:r>
    </w:p>
    <w:p w:rsidR="00C13B4A" w:rsidRPr="00E04E7E" w:rsidRDefault="00B41F9D" w:rsidP="00B41F9D">
      <w:pPr>
        <w:pStyle w:val="ONUMFS"/>
        <w:rPr>
          <w:u w:color="000000"/>
        </w:rPr>
      </w:pPr>
      <w:r w:rsidRPr="00E04E7E">
        <w:rPr>
          <w:u w:color="000000"/>
        </w:rPr>
        <w:t xml:space="preserve">La cuestión de la ampliación de la </w:t>
      </w:r>
      <w:r w:rsidR="002D6900" w:rsidRPr="00E04E7E">
        <w:rPr>
          <w:u w:color="000000"/>
        </w:rPr>
        <w:t>cobertura lingüística</w:t>
      </w:r>
      <w:r w:rsidRPr="00E04E7E">
        <w:rPr>
          <w:u w:color="000000"/>
        </w:rPr>
        <w:t xml:space="preserve"> </w:t>
      </w:r>
      <w:r w:rsidR="00646445" w:rsidRPr="00E04E7E">
        <w:rPr>
          <w:u w:color="000000"/>
        </w:rPr>
        <w:t xml:space="preserve">en su integridad </w:t>
      </w:r>
      <w:r w:rsidRPr="00E04E7E">
        <w:rPr>
          <w:u w:color="000000"/>
        </w:rPr>
        <w:t>a los documentos de los grupos de trabajo se examinó en el informe sobre la</w:t>
      </w:r>
      <w:r w:rsidR="00646445" w:rsidRPr="00E04E7E">
        <w:rPr>
          <w:u w:color="000000"/>
        </w:rPr>
        <w:t xml:space="preserve"> marcha de la aplicación de la P</w:t>
      </w:r>
      <w:r w:rsidRPr="00E04E7E">
        <w:rPr>
          <w:u w:color="000000"/>
        </w:rPr>
        <w:t xml:space="preserve">olítica </w:t>
      </w:r>
      <w:r w:rsidR="00646445" w:rsidRPr="00E04E7E">
        <w:rPr>
          <w:u w:color="000000"/>
        </w:rPr>
        <w:t>L</w:t>
      </w:r>
      <w:r w:rsidRPr="00E04E7E">
        <w:rPr>
          <w:u w:color="000000"/>
        </w:rPr>
        <w:t>ingüística de la OMPI</w:t>
      </w:r>
      <w:r w:rsidR="00C13B4A" w:rsidRPr="00E04E7E">
        <w:rPr>
          <w:rStyle w:val="FootnoteReference"/>
          <w:u w:color="000000"/>
        </w:rPr>
        <w:footnoteReference w:id="2"/>
      </w:r>
      <w:r w:rsidR="00C13B4A" w:rsidRPr="00E04E7E">
        <w:rPr>
          <w:u w:color="000000"/>
        </w:rPr>
        <w:t xml:space="preserve"> </w:t>
      </w:r>
      <w:r w:rsidRPr="00E04E7E">
        <w:rPr>
          <w:u w:color="000000"/>
        </w:rPr>
        <w:t>en la quincuagésima primera serie de reuniones de las Asambleas en 2013, en la que los Estados miembros aprobaron la recomendación del Comité del Programa y Presupuesto, como sigue</w:t>
      </w:r>
      <w:r w:rsidR="00C13B4A" w:rsidRPr="00E04E7E">
        <w:rPr>
          <w:u w:color="000000"/>
        </w:rPr>
        <w:t>:</w:t>
      </w:r>
      <w:r w:rsidR="00C13B4A" w:rsidRPr="00E04E7E">
        <w:rPr>
          <w:rStyle w:val="FootnoteReference"/>
          <w:u w:color="000000"/>
        </w:rPr>
        <w:footnoteReference w:id="3"/>
      </w:r>
    </w:p>
    <w:p w:rsidR="00D37AB0" w:rsidRPr="00E04E7E" w:rsidRDefault="00C13B4A" w:rsidP="00D37AB0">
      <w:pPr>
        <w:pStyle w:val="ONUMFS"/>
        <w:numPr>
          <w:ilvl w:val="0"/>
          <w:numId w:val="0"/>
        </w:numPr>
        <w:ind w:left="1134"/>
        <w:rPr>
          <w:i/>
          <w:iCs/>
          <w:szCs w:val="22"/>
          <w:lang w:eastAsia="en-US"/>
        </w:rPr>
      </w:pPr>
      <w:r w:rsidRPr="00E04E7E">
        <w:rPr>
          <w:i/>
          <w:iCs/>
        </w:rPr>
        <w:t>“</w:t>
      </w:r>
      <w:r w:rsidR="00D37AB0" w:rsidRPr="00E04E7E">
        <w:rPr>
          <w:i/>
          <w:iCs/>
          <w:szCs w:val="22"/>
          <w:lang w:eastAsia="en-US"/>
        </w:rPr>
        <w:t>A la luz de la información contenida en el presente documento y de la importancia que reviste velar por la disponibilidad de documentación en seis idiomas para los grupos de trabajo, se someten a examen de los Estados miembros las propuestas siguientes:</w:t>
      </w:r>
    </w:p>
    <w:p w:rsidR="00C13B4A" w:rsidRPr="00E04E7E" w:rsidRDefault="00D37AB0" w:rsidP="00E04E7E">
      <w:pPr>
        <w:widowControl w:val="0"/>
        <w:numPr>
          <w:ilvl w:val="0"/>
          <w:numId w:val="7"/>
        </w:numPr>
        <w:tabs>
          <w:tab w:val="clear" w:pos="619"/>
          <w:tab w:val="num" w:pos="1494"/>
        </w:tabs>
        <w:suppressAutoHyphens/>
        <w:spacing w:after="120"/>
        <w:ind w:left="1134" w:firstLine="0"/>
        <w:rPr>
          <w:i/>
          <w:iCs/>
          <w:szCs w:val="22"/>
        </w:rPr>
      </w:pPr>
      <w:r w:rsidRPr="00E04E7E">
        <w:rPr>
          <w:i/>
          <w:iCs/>
          <w:szCs w:val="22"/>
          <w:lang w:eastAsia="en-US"/>
        </w:rPr>
        <w:t>la Secretaría continuará aplicando las medidas de racionalización y control para seguir reduciendo el número y la extensión media de los documentos de trabajo;</w:t>
      </w:r>
    </w:p>
    <w:p w:rsidR="00C13B4A" w:rsidRPr="00E04E7E" w:rsidRDefault="00D37AB0" w:rsidP="00E04E7E">
      <w:pPr>
        <w:widowControl w:val="0"/>
        <w:numPr>
          <w:ilvl w:val="0"/>
          <w:numId w:val="7"/>
        </w:numPr>
        <w:tabs>
          <w:tab w:val="clear" w:pos="619"/>
          <w:tab w:val="num" w:pos="1494"/>
        </w:tabs>
        <w:suppressAutoHyphens/>
        <w:spacing w:after="120"/>
        <w:ind w:left="1134" w:firstLine="0"/>
        <w:rPr>
          <w:i/>
          <w:iCs/>
          <w:szCs w:val="22"/>
        </w:rPr>
      </w:pPr>
      <w:r w:rsidRPr="00E04E7E">
        <w:rPr>
          <w:i/>
          <w:iCs/>
          <w:szCs w:val="22"/>
          <w:lang w:eastAsia="en-US"/>
        </w:rPr>
        <w:t xml:space="preserve">al mismo tiempo, la cobertura en seis idiomas de la documentación para los grupos de trabajo comenzará de forma gradual </w:t>
      </w:r>
      <w:r w:rsidR="00E04E7E" w:rsidRPr="00E04E7E">
        <w:rPr>
          <w:i/>
          <w:iCs/>
          <w:szCs w:val="22"/>
          <w:lang w:eastAsia="en-US"/>
        </w:rPr>
        <w:t>y costoeficaz durante el bienio </w:t>
      </w:r>
      <w:r w:rsidRPr="00E04E7E">
        <w:rPr>
          <w:i/>
          <w:iCs/>
          <w:szCs w:val="22"/>
          <w:lang w:eastAsia="en-US"/>
        </w:rPr>
        <w:t>2014/2015, y el costo adicional de esa cobertura quedará reflejado en el presupuesto por programas;</w:t>
      </w:r>
    </w:p>
    <w:p w:rsidR="00D37AB0" w:rsidRPr="00E04E7E" w:rsidRDefault="00D37AB0" w:rsidP="00E04E7E">
      <w:pPr>
        <w:widowControl w:val="0"/>
        <w:numPr>
          <w:ilvl w:val="0"/>
          <w:numId w:val="7"/>
        </w:numPr>
        <w:tabs>
          <w:tab w:val="clear" w:pos="619"/>
          <w:tab w:val="num" w:pos="1494"/>
        </w:tabs>
        <w:suppressAutoHyphens/>
        <w:spacing w:after="120"/>
        <w:ind w:left="1134" w:firstLine="0"/>
        <w:rPr>
          <w:i/>
          <w:iCs/>
          <w:szCs w:val="22"/>
        </w:rPr>
      </w:pPr>
      <w:r w:rsidRPr="00E04E7E">
        <w:rPr>
          <w:i/>
          <w:iCs/>
          <w:szCs w:val="22"/>
          <w:lang w:eastAsia="en-US"/>
        </w:rPr>
        <w:t xml:space="preserve">en la próxima sesión del PBC, la Secretaría presentará un informe sobre los progresos realizados </w:t>
      </w:r>
      <w:r w:rsidR="00611835" w:rsidRPr="00E04E7E">
        <w:rPr>
          <w:i/>
          <w:iCs/>
          <w:szCs w:val="22"/>
          <w:lang w:eastAsia="en-US"/>
        </w:rPr>
        <w:t>[a ese respecto]</w:t>
      </w:r>
      <w:r w:rsidRPr="00E04E7E">
        <w:rPr>
          <w:i/>
          <w:iCs/>
          <w:szCs w:val="22"/>
          <w:lang w:eastAsia="en-US"/>
        </w:rPr>
        <w:t>.”</w:t>
      </w:r>
    </w:p>
    <w:p w:rsidR="00C13B4A" w:rsidRPr="00E04E7E" w:rsidRDefault="00611835" w:rsidP="00611835">
      <w:pPr>
        <w:pStyle w:val="ONUMFS"/>
        <w:rPr>
          <w:u w:color="000000"/>
        </w:rPr>
      </w:pPr>
      <w:r w:rsidRPr="00E04E7E">
        <w:rPr>
          <w:u w:color="000000"/>
        </w:rPr>
        <w:t>El presente documento constituye un informe sobre la</w:t>
      </w:r>
      <w:r w:rsidR="00646445" w:rsidRPr="00E04E7E">
        <w:rPr>
          <w:u w:color="000000"/>
        </w:rPr>
        <w:t xml:space="preserve"> marcha de la aplicación de la P</w:t>
      </w:r>
      <w:r w:rsidRPr="00E04E7E">
        <w:rPr>
          <w:u w:color="000000"/>
        </w:rPr>
        <w:t xml:space="preserve">olítica </w:t>
      </w:r>
      <w:r w:rsidR="00646445" w:rsidRPr="00E04E7E">
        <w:rPr>
          <w:u w:color="000000"/>
        </w:rPr>
        <w:t>L</w:t>
      </w:r>
      <w:r w:rsidRPr="00E04E7E">
        <w:rPr>
          <w:u w:color="000000"/>
        </w:rPr>
        <w:t>ingüística de la OMPI, incluidos los avances realizados respecto de la decisión mencionada anteriormente.</w:t>
      </w:r>
    </w:p>
    <w:p w:rsidR="00C13B4A" w:rsidRPr="00E04E7E" w:rsidRDefault="00C13B4A" w:rsidP="00C13B4A">
      <w:pPr>
        <w:pStyle w:val="ONUME"/>
        <w:numPr>
          <w:ilvl w:val="0"/>
          <w:numId w:val="0"/>
        </w:numPr>
        <w:rPr>
          <w:u w:color="000000"/>
        </w:rPr>
      </w:pPr>
    </w:p>
    <w:p w:rsidR="00C13B4A" w:rsidRPr="00E04E7E" w:rsidRDefault="00611835" w:rsidP="00C13B4A">
      <w:pPr>
        <w:spacing w:after="240"/>
        <w:rPr>
          <w:rFonts w:eastAsia="Arial Unicode MS" w:hAnsi="Arial Unicode MS"/>
          <w:b/>
          <w:u w:color="000000"/>
        </w:rPr>
      </w:pPr>
      <w:r w:rsidRPr="00E04E7E">
        <w:rPr>
          <w:b/>
        </w:rPr>
        <w:t xml:space="preserve">APLICACIÓN DESDE </w:t>
      </w:r>
      <w:r w:rsidR="00C13B4A" w:rsidRPr="00E04E7E">
        <w:rPr>
          <w:rFonts w:eastAsia="Arial Unicode MS" w:hAnsi="Arial Unicode MS"/>
          <w:b/>
          <w:u w:color="000000"/>
        </w:rPr>
        <w:t>2011</w:t>
      </w:r>
    </w:p>
    <w:p w:rsidR="00C13B4A" w:rsidRPr="00E04E7E" w:rsidRDefault="00611835" w:rsidP="00C13B4A">
      <w:pPr>
        <w:pStyle w:val="Heading3"/>
        <w:rPr>
          <w:u w:color="000000"/>
        </w:rPr>
      </w:pPr>
      <w:r w:rsidRPr="00E04E7E">
        <w:rPr>
          <w:u w:color="000000"/>
        </w:rPr>
        <w:t xml:space="preserve">Situación de la aplicación </w:t>
      </w:r>
    </w:p>
    <w:p w:rsidR="00C13B4A" w:rsidRPr="00E04E7E" w:rsidRDefault="00C13B4A" w:rsidP="00C13B4A"/>
    <w:p w:rsidR="00C13B4A" w:rsidRPr="00E04E7E" w:rsidRDefault="00E31FA5" w:rsidP="00C23A01">
      <w:pPr>
        <w:pStyle w:val="ONUMFS"/>
        <w:rPr>
          <w:u w:color="000000"/>
        </w:rPr>
      </w:pPr>
      <w:r w:rsidRPr="00E04E7E">
        <w:rPr>
          <w:u w:color="000000"/>
        </w:rPr>
        <w:t xml:space="preserve">La Secretaría </w:t>
      </w:r>
      <w:r w:rsidR="00C23A01" w:rsidRPr="00E04E7E">
        <w:rPr>
          <w:u w:color="000000"/>
        </w:rPr>
        <w:t xml:space="preserve">procedió a la aplicación de la Política, ampliando </w:t>
      </w:r>
      <w:r w:rsidR="009F3802" w:rsidRPr="00E04E7E">
        <w:rPr>
          <w:u w:color="000000"/>
        </w:rPr>
        <w:t xml:space="preserve">gradualmente </w:t>
      </w:r>
      <w:r w:rsidR="00C23A01" w:rsidRPr="00E04E7E">
        <w:rPr>
          <w:u w:color="000000"/>
        </w:rPr>
        <w:t>la cobertura a seis id</w:t>
      </w:r>
      <w:r w:rsidR="0023144A" w:rsidRPr="00E04E7E">
        <w:rPr>
          <w:u w:color="000000"/>
        </w:rPr>
        <w:t>i</w:t>
      </w:r>
      <w:r w:rsidR="00C23A01" w:rsidRPr="00E04E7E">
        <w:rPr>
          <w:u w:color="000000"/>
        </w:rPr>
        <w:t xml:space="preserve">omas, </w:t>
      </w:r>
      <w:r w:rsidR="00C456A2" w:rsidRPr="00E04E7E">
        <w:rPr>
          <w:u w:color="000000"/>
        </w:rPr>
        <w:t>de la manera siguiente</w:t>
      </w:r>
      <w:r w:rsidR="00C13B4A" w:rsidRPr="00E04E7E">
        <w:rPr>
          <w:u w:color="000000"/>
        </w:rPr>
        <w:t>:</w:t>
      </w:r>
    </w:p>
    <w:p w:rsidR="00C13B4A" w:rsidRPr="00E04E7E" w:rsidRDefault="00C23A01" w:rsidP="00C13B4A">
      <w:pPr>
        <w:pStyle w:val="ONUME"/>
        <w:numPr>
          <w:ilvl w:val="1"/>
          <w:numId w:val="5"/>
        </w:numPr>
        <w:tabs>
          <w:tab w:val="clear" w:pos="1134"/>
          <w:tab w:val="num" w:pos="1024"/>
        </w:tabs>
        <w:ind w:left="457"/>
        <w:rPr>
          <w:u w:color="000000"/>
        </w:rPr>
      </w:pPr>
      <w:r w:rsidRPr="00E04E7E">
        <w:rPr>
          <w:u w:color="000000"/>
        </w:rPr>
        <w:t>Documentos de reuniones para todos los Comité</w:t>
      </w:r>
      <w:r w:rsidR="00E04E7E" w:rsidRPr="00E04E7E">
        <w:rPr>
          <w:u w:color="000000"/>
        </w:rPr>
        <w:t>s Permanentes antes de final de </w:t>
      </w:r>
      <w:r w:rsidR="00C13B4A" w:rsidRPr="00E04E7E">
        <w:rPr>
          <w:u w:color="000000"/>
        </w:rPr>
        <w:t>2012.</w:t>
      </w:r>
    </w:p>
    <w:p w:rsidR="00C13B4A" w:rsidRPr="00E04E7E" w:rsidRDefault="00C23A01" w:rsidP="00C13B4A">
      <w:pPr>
        <w:pStyle w:val="ONUME"/>
        <w:numPr>
          <w:ilvl w:val="1"/>
          <w:numId w:val="5"/>
        </w:numPr>
        <w:tabs>
          <w:tab w:val="clear" w:pos="1134"/>
          <w:tab w:val="num" w:pos="1024"/>
        </w:tabs>
        <w:ind w:left="457"/>
        <w:rPr>
          <w:u w:color="000000"/>
        </w:rPr>
      </w:pPr>
      <w:r w:rsidRPr="00E04E7E">
        <w:rPr>
          <w:u w:color="000000"/>
        </w:rPr>
        <w:t xml:space="preserve">Documentos de reuniones para todos </w:t>
      </w:r>
      <w:r w:rsidR="00D00117" w:rsidRPr="00E04E7E">
        <w:rPr>
          <w:u w:color="000000"/>
        </w:rPr>
        <w:t xml:space="preserve">los </w:t>
      </w:r>
      <w:r w:rsidRPr="00E04E7E">
        <w:rPr>
          <w:u w:color="000000"/>
        </w:rPr>
        <w:t xml:space="preserve">órganos </w:t>
      </w:r>
      <w:r w:rsidR="00D00117" w:rsidRPr="00E04E7E">
        <w:rPr>
          <w:u w:color="000000"/>
        </w:rPr>
        <w:t xml:space="preserve">principales </w:t>
      </w:r>
      <w:r w:rsidRPr="00E04E7E">
        <w:rPr>
          <w:u w:color="000000"/>
        </w:rPr>
        <w:t xml:space="preserve">antes de final de </w:t>
      </w:r>
      <w:r w:rsidR="00C13B4A" w:rsidRPr="00E04E7E">
        <w:rPr>
          <w:u w:color="000000"/>
        </w:rPr>
        <w:t xml:space="preserve">2013. </w:t>
      </w:r>
    </w:p>
    <w:p w:rsidR="00C13B4A" w:rsidRPr="00E04E7E" w:rsidRDefault="00C23A01" w:rsidP="0023144A">
      <w:pPr>
        <w:pStyle w:val="ONUME"/>
        <w:numPr>
          <w:ilvl w:val="1"/>
          <w:numId w:val="5"/>
        </w:numPr>
        <w:tabs>
          <w:tab w:val="clear" w:pos="1134"/>
          <w:tab w:val="num" w:pos="1024"/>
        </w:tabs>
        <w:ind w:left="457"/>
        <w:rPr>
          <w:u w:color="000000"/>
        </w:rPr>
      </w:pPr>
      <w:r w:rsidRPr="00E04E7E">
        <w:t xml:space="preserve">Documentos de reuniones para el Grupo de Trabajo del </w:t>
      </w:r>
      <w:r w:rsidR="00C13B4A" w:rsidRPr="00E04E7E">
        <w:t xml:space="preserve">PCT </w:t>
      </w:r>
      <w:r w:rsidRPr="00E04E7E">
        <w:t>y el Grupo de Trabajo sobre el Desarrollo Jurídico del Sistema de La Haya para el Registro Internacional de Dibujos y Modelos Industriales e</w:t>
      </w:r>
      <w:r w:rsidR="00C13B4A" w:rsidRPr="00E04E7E">
        <w:t xml:space="preserve">n 2014.  </w:t>
      </w:r>
      <w:r w:rsidR="00A002C8" w:rsidRPr="00E04E7E">
        <w:t xml:space="preserve">La cobertura se ampliará igualmente al </w:t>
      </w:r>
      <w:r w:rsidRPr="00E04E7E">
        <w:t>Grupo de Trabajo sobre el Desarrollo Jurídico del Sistema de Madrid para el R</w:t>
      </w:r>
      <w:r w:rsidR="00543DCB" w:rsidRPr="00E04E7E">
        <w:t>egistro Internacional de Marcas,</w:t>
      </w:r>
      <w:r w:rsidRPr="00E04E7E">
        <w:t xml:space="preserve"> </w:t>
      </w:r>
      <w:r w:rsidR="00CF377F" w:rsidRPr="00E04E7E">
        <w:t>el</w:t>
      </w:r>
      <w:r w:rsidRPr="00E04E7E">
        <w:t xml:space="preserve"> Grupo de Trabajo sobre la Revisión de la CIP y el Grupo de Trabajo sobre el Servicio de Acceso Digital a los Documentos de Prioridad, antes de final de </w:t>
      </w:r>
      <w:r w:rsidR="00C13B4A" w:rsidRPr="00E04E7E">
        <w:t xml:space="preserve">2015.  </w:t>
      </w:r>
      <w:r w:rsidRPr="00E04E7E">
        <w:t xml:space="preserve">La cobertura de los </w:t>
      </w:r>
      <w:r w:rsidR="0023144A" w:rsidRPr="00E04E7E">
        <w:t>grupos de trabajo restantes se ampliará en el siguiente bienio.</w:t>
      </w:r>
      <w:r w:rsidR="00C13B4A" w:rsidRPr="00E04E7E">
        <w:t xml:space="preserve"> </w:t>
      </w:r>
    </w:p>
    <w:p w:rsidR="00C13B4A" w:rsidRPr="00E04E7E" w:rsidRDefault="00087A3F" w:rsidP="00E04E7E">
      <w:pPr>
        <w:pStyle w:val="Heading3"/>
        <w:rPr>
          <w:u w:color="000000"/>
        </w:rPr>
      </w:pPr>
      <w:r w:rsidRPr="00E04E7E">
        <w:rPr>
          <w:u w:color="000000"/>
        </w:rPr>
        <w:t>Medid</w:t>
      </w:r>
      <w:r w:rsidR="00E04E7E" w:rsidRPr="00E04E7E">
        <w:rPr>
          <w:u w:color="000000"/>
        </w:rPr>
        <w:t>as de racionalización y control</w:t>
      </w:r>
    </w:p>
    <w:p w:rsidR="00E04E7E" w:rsidRPr="00E04E7E" w:rsidRDefault="00E04E7E" w:rsidP="00E04E7E"/>
    <w:p w:rsidR="00C13B4A" w:rsidRPr="00E04E7E" w:rsidRDefault="005D6A7E" w:rsidP="005D6A7E">
      <w:pPr>
        <w:pStyle w:val="ONUMFS"/>
      </w:pPr>
      <w:r w:rsidRPr="00E04E7E">
        <w:t xml:space="preserve">A fin de contener el aumento del volumen de trabajo, como consecuencia de la ampliación de la </w:t>
      </w:r>
      <w:r w:rsidR="002D6900" w:rsidRPr="00E04E7E">
        <w:t>cobertura lingüística</w:t>
      </w:r>
      <w:r w:rsidRPr="00E04E7E">
        <w:t xml:space="preserve">, la Secretaría instituyó medidas de racionalización y control del tamaño de los textos </w:t>
      </w:r>
      <w:r w:rsidR="00B9537E" w:rsidRPr="00E04E7E">
        <w:t>originales</w:t>
      </w:r>
      <w:r w:rsidRPr="00E04E7E">
        <w:t xml:space="preserve"> en los documentos de reuniones, </w:t>
      </w:r>
      <w:r w:rsidR="00430C99" w:rsidRPr="00E04E7E">
        <w:t>a saber</w:t>
      </w:r>
      <w:r w:rsidRPr="00E04E7E">
        <w:t xml:space="preserve">, que los documentos de trabajo no deberán superar las 3.300 palabras (10 páginas estándar de las Naciones Unidas)  y en el caso de documentos de apoyo voluminosos, como los estudios y encuestas, se deberán preparar resúmenes de no más de 3.300 palabras, y únicamente se habrán de traducir esos resúmenes a los demás idiomas oficiales de las Naciones Unidas salvo que </w:t>
      </w:r>
      <w:r w:rsidR="00430C99" w:rsidRPr="00E04E7E">
        <w:t xml:space="preserve">un Estado miembro haya solicitado expresamente </w:t>
      </w:r>
      <w:r w:rsidRPr="00E04E7E">
        <w:t>la traducción del documento en su integridad a otro idioma oficial</w:t>
      </w:r>
      <w:r w:rsidR="00C13B4A" w:rsidRPr="00E04E7E">
        <w:rPr>
          <w:u w:color="000000"/>
        </w:rPr>
        <w:t>.</w:t>
      </w:r>
    </w:p>
    <w:p w:rsidR="00C13B4A" w:rsidRPr="00E04E7E" w:rsidRDefault="00A022CE" w:rsidP="00C836AC">
      <w:pPr>
        <w:pStyle w:val="ONUMFS"/>
      </w:pPr>
      <w:r w:rsidRPr="00E04E7E">
        <w:rPr>
          <w:u w:color="000000"/>
        </w:rPr>
        <w:t>Como se señala en el informe sobre la marcha de la aplicación de la Política Lingüística de la OMPI</w:t>
      </w:r>
      <w:r w:rsidR="00C13B4A" w:rsidRPr="00E04E7E">
        <w:rPr>
          <w:rStyle w:val="FootnoteReference"/>
          <w:u w:color="000000"/>
        </w:rPr>
        <w:footnoteReference w:id="4"/>
      </w:r>
      <w:r w:rsidR="00C13B4A" w:rsidRPr="00E04E7E">
        <w:rPr>
          <w:u w:color="000000"/>
        </w:rPr>
        <w:t xml:space="preserve">, </w:t>
      </w:r>
      <w:r w:rsidRPr="00E04E7E">
        <w:rPr>
          <w:u w:color="000000"/>
        </w:rPr>
        <w:t xml:space="preserve">la adopción de la Política generó en 2012 un aumento del 53% en el número de </w:t>
      </w:r>
      <w:r w:rsidR="00430C99" w:rsidRPr="00E04E7E">
        <w:rPr>
          <w:u w:color="000000"/>
        </w:rPr>
        <w:t>pedidos de traducción</w:t>
      </w:r>
      <w:r w:rsidRPr="00E04E7E">
        <w:rPr>
          <w:u w:color="000000"/>
        </w:rPr>
        <w:t xml:space="preserve"> en comparación con 2011</w:t>
      </w:r>
      <w:r w:rsidR="00C836AC" w:rsidRPr="00E04E7E">
        <w:rPr>
          <w:u w:color="000000"/>
        </w:rPr>
        <w:t>, lo que hizo necesario aumentar los recursos destinados a actividades de subcontratación</w:t>
      </w:r>
      <w:r w:rsidR="00430C99" w:rsidRPr="00E04E7E">
        <w:rPr>
          <w:u w:color="000000"/>
        </w:rPr>
        <w:t xml:space="preserve"> externa</w:t>
      </w:r>
      <w:r w:rsidR="00C836AC" w:rsidRPr="00E04E7E">
        <w:rPr>
          <w:u w:color="000000"/>
        </w:rPr>
        <w:t>.</w:t>
      </w:r>
    </w:p>
    <w:p w:rsidR="00C13B4A" w:rsidRPr="00E04E7E" w:rsidRDefault="00C836AC" w:rsidP="00C836AC">
      <w:pPr>
        <w:pStyle w:val="ONUMFS"/>
      </w:pPr>
      <w:r w:rsidRPr="00E04E7E">
        <w:t xml:space="preserve">La aplicación más rigurosa de medidas de racionalización y control contribuyó a frenar el rápido aumento del volumen de trabajo en 2013.  Si en 2012 se tradujo un total de 18,24 millones de palabras (55.282 páginas estándar de NN.UU.), </w:t>
      </w:r>
      <w:r w:rsidR="00430C99" w:rsidRPr="00E04E7E">
        <w:t xml:space="preserve">en 2013 </w:t>
      </w:r>
      <w:r w:rsidR="00E04E7E" w:rsidRPr="00E04E7E">
        <w:t>esa cifra descendió a </w:t>
      </w:r>
      <w:r w:rsidRPr="00E04E7E">
        <w:t xml:space="preserve">14,93 millones de palabras (45.242 páginas estándar de NN.UU.).  Debido a ese descenso del número de palabras traducidas, se redujeron los gastos </w:t>
      </w:r>
      <w:r w:rsidR="00430C99" w:rsidRPr="00E04E7E">
        <w:t>d</w:t>
      </w:r>
      <w:r w:rsidRPr="00E04E7E">
        <w:t>e subcontratación externa, como se indica en el cuadro 2</w:t>
      </w:r>
      <w:r w:rsidR="00C13B4A" w:rsidRPr="00E04E7E">
        <w:t>.</w:t>
      </w:r>
    </w:p>
    <w:p w:rsidR="00C13B4A" w:rsidRPr="00E04E7E" w:rsidRDefault="00C836AC" w:rsidP="000D5191">
      <w:pPr>
        <w:pStyle w:val="ONUMFS"/>
      </w:pPr>
      <w:r w:rsidRPr="00E04E7E">
        <w:t xml:space="preserve">Se propone continuar con dichas medidas a fin de </w:t>
      </w:r>
      <w:r w:rsidR="000D5191" w:rsidRPr="00E04E7E">
        <w:t>proporcionar “documentos de trabajo más concisos”, según el deseo de los Estados miembros</w:t>
      </w:r>
      <w:r w:rsidR="00C13B4A" w:rsidRPr="00E04E7E">
        <w:rPr>
          <w:rStyle w:val="FootnoteReference"/>
        </w:rPr>
        <w:footnoteReference w:id="5"/>
      </w:r>
      <w:r w:rsidR="00C13B4A" w:rsidRPr="00E04E7E">
        <w:t xml:space="preserve">, </w:t>
      </w:r>
      <w:r w:rsidR="000D5191" w:rsidRPr="00E04E7E">
        <w:t>y reducir</w:t>
      </w:r>
      <w:r w:rsidR="00C13B4A" w:rsidRPr="00E04E7E">
        <w:t xml:space="preserve"> </w:t>
      </w:r>
      <w:r w:rsidR="000D5191" w:rsidRPr="00E04E7E">
        <w:t>asimismo los costos de traducción</w:t>
      </w:r>
      <w:r w:rsidR="00C13B4A" w:rsidRPr="00E04E7E">
        <w:t>.</w:t>
      </w:r>
    </w:p>
    <w:p w:rsidR="00C13B4A" w:rsidRPr="00E04E7E" w:rsidRDefault="000D5191" w:rsidP="00E04E7E">
      <w:pPr>
        <w:pStyle w:val="Heading3"/>
      </w:pPr>
      <w:r w:rsidRPr="00E04E7E">
        <w:t>Subcontratación externa</w:t>
      </w:r>
      <w:r w:rsidR="00C13B4A" w:rsidRPr="00E04E7E">
        <w:t xml:space="preserve"> </w:t>
      </w:r>
    </w:p>
    <w:p w:rsidR="00E04E7E" w:rsidRPr="00E04E7E" w:rsidRDefault="00E04E7E" w:rsidP="00E04E7E"/>
    <w:p w:rsidR="000A4801" w:rsidRPr="00E04E7E" w:rsidRDefault="000A4801" w:rsidP="000A4801">
      <w:pPr>
        <w:pStyle w:val="ONUMFS"/>
        <w:rPr>
          <w:szCs w:val="22"/>
        </w:rPr>
      </w:pPr>
      <w:r w:rsidRPr="00E04E7E">
        <w:t>E</w:t>
      </w:r>
      <w:r w:rsidR="00C13B4A" w:rsidRPr="00E04E7E">
        <w:t xml:space="preserve">n </w:t>
      </w:r>
      <w:r w:rsidRPr="00E04E7E">
        <w:t>respuestas a las peticiones de los Estados miembros</w:t>
      </w:r>
      <w:r w:rsidR="00C13B4A" w:rsidRPr="00E04E7E">
        <w:t xml:space="preserve">, </w:t>
      </w:r>
      <w:r w:rsidRPr="00E04E7E">
        <w:t xml:space="preserve">ha aumentado drásticamente el porcentaje de subcontratación externa respecto del total de traducciones. En relación con las referencias de base del 30% en 2010 y del 45% en 2011, el nivel de subcontratación externa aumentó al 56% en el bienio </w:t>
      </w:r>
      <w:r w:rsidR="00C13B4A" w:rsidRPr="00E04E7E">
        <w:t xml:space="preserve">2012/13.  </w:t>
      </w:r>
      <w:r w:rsidRPr="00E04E7E">
        <w:t>Además de la labor de subcontratación externa encomendada de manera individual a traduc</w:t>
      </w:r>
      <w:r w:rsidR="00613A4A" w:rsidRPr="00E04E7E">
        <w:t>tores externos, también se está</w:t>
      </w:r>
      <w:r w:rsidRPr="00E04E7E">
        <w:t xml:space="preserve"> subcontratando en el exterior </w:t>
      </w:r>
      <w:r w:rsidR="00613A4A" w:rsidRPr="00E04E7E">
        <w:t xml:space="preserve">la traducción de </w:t>
      </w:r>
      <w:r w:rsidRPr="00E04E7E">
        <w:t xml:space="preserve">documentos </w:t>
      </w:r>
      <w:r w:rsidR="00613A4A" w:rsidRPr="00E04E7E">
        <w:t xml:space="preserve">al </w:t>
      </w:r>
      <w:r w:rsidRPr="00E04E7E">
        <w:t xml:space="preserve">español y </w:t>
      </w:r>
      <w:r w:rsidR="00613A4A" w:rsidRPr="00E04E7E">
        <w:t xml:space="preserve">al </w:t>
      </w:r>
      <w:r w:rsidRPr="00E04E7E">
        <w:t xml:space="preserve">francés a empresas de traducción seleccionadas por medio de </w:t>
      </w:r>
      <w:r w:rsidR="00674656" w:rsidRPr="00E04E7E">
        <w:t>llamados</w:t>
      </w:r>
      <w:r w:rsidRPr="00E04E7E">
        <w:t xml:space="preserve"> de licitación </w:t>
      </w:r>
      <w:r w:rsidR="00674656" w:rsidRPr="00E04E7E">
        <w:t xml:space="preserve">internacionales </w:t>
      </w:r>
      <w:r w:rsidRPr="00E04E7E">
        <w:t>efectuad</w:t>
      </w:r>
      <w:r w:rsidR="00674656" w:rsidRPr="00E04E7E">
        <w:t>o</w:t>
      </w:r>
      <w:r w:rsidRPr="00E04E7E">
        <w:t xml:space="preserve">s en </w:t>
      </w:r>
      <w:r w:rsidR="00C13B4A" w:rsidRPr="00E04E7E">
        <w:rPr>
          <w:szCs w:val="22"/>
        </w:rPr>
        <w:t xml:space="preserve">2011 </w:t>
      </w:r>
      <w:r w:rsidRPr="00E04E7E">
        <w:rPr>
          <w:szCs w:val="22"/>
        </w:rPr>
        <w:t xml:space="preserve">y </w:t>
      </w:r>
      <w:r w:rsidR="00C13B4A" w:rsidRPr="00E04E7E">
        <w:rPr>
          <w:szCs w:val="22"/>
        </w:rPr>
        <w:t>2012, respectiv</w:t>
      </w:r>
      <w:r w:rsidRPr="00E04E7E">
        <w:rPr>
          <w:szCs w:val="22"/>
        </w:rPr>
        <w:t>amente</w:t>
      </w:r>
      <w:r w:rsidR="00C13B4A" w:rsidRPr="00E04E7E">
        <w:rPr>
          <w:szCs w:val="22"/>
        </w:rPr>
        <w:t xml:space="preserve">.  </w:t>
      </w:r>
      <w:r w:rsidRPr="00E04E7E">
        <w:rPr>
          <w:szCs w:val="22"/>
        </w:rPr>
        <w:t>Gracias a la experiencia adquirida con respecto a esos dos idiomas, se han iniciado simultáneamente otros tres procesos de licitación para el árabe, el chino y el ruso.  Antes de final de 2014 se habrá contratado a más empresas de traducción para que se ocupen de la labor de subcontratación externa al servicio de la Secretaría.</w:t>
      </w:r>
    </w:p>
    <w:p w:rsidR="00DF2323" w:rsidRPr="00E04E7E" w:rsidRDefault="000A4801" w:rsidP="00DF2323">
      <w:pPr>
        <w:pStyle w:val="ONUMFS"/>
      </w:pPr>
      <w:r w:rsidRPr="00E04E7E">
        <w:t xml:space="preserve">Sin embargo, al mismo tiempo, </w:t>
      </w:r>
      <w:r w:rsidR="00DF2323" w:rsidRPr="00E04E7E">
        <w:t xml:space="preserve">se ha de prestar atención a la calidad de la traducción.  Durante los debates de la Política Lingüística, especialmente en relación con la subcontratación externa, los Estados miembros se mostraron preocupados por la calidad de </w:t>
      </w:r>
      <w:r w:rsidR="00F1084C" w:rsidRPr="00E04E7E">
        <w:t>las traducciones subcontratadas</w:t>
      </w:r>
      <w:r w:rsidR="00DF2323" w:rsidRPr="00E04E7E">
        <w:t xml:space="preserve"> y subrayaron la necesidad de implantar medidas de control de calidad.  La Secretaría, consciente de esa necesidad, ha aplicado el concepto de “calidad en el origen”, velando por fomentar la calidad en el proceso desde las etapas iniciales, comenzando por la contratación de traductores competentes.  Se ha aplicado un procedimiento nuevo y agilizado para la acreditación de proveedores de </w:t>
      </w:r>
      <w:r w:rsidR="00495194" w:rsidRPr="00E04E7E">
        <w:t xml:space="preserve">servicios de traducción externos, que comprende varias etapas como la evaluación de </w:t>
      </w:r>
      <w:r w:rsidR="00996F4E" w:rsidRPr="00E04E7E">
        <w:t xml:space="preserve">las calificaciones, exámenes </w:t>
      </w:r>
      <w:r w:rsidR="00ED2F87" w:rsidRPr="00E04E7E">
        <w:t>in situ</w:t>
      </w:r>
      <w:r w:rsidR="00996F4E" w:rsidRPr="00E04E7E">
        <w:t xml:space="preserve"> o en Internet, y entrevistas.</w:t>
      </w:r>
    </w:p>
    <w:p w:rsidR="0079001B" w:rsidRPr="00E04E7E" w:rsidRDefault="000C31B8" w:rsidP="00C13B4A">
      <w:pPr>
        <w:pStyle w:val="ONUMFS"/>
        <w:rPr>
          <w:szCs w:val="22"/>
        </w:rPr>
      </w:pPr>
      <w:r w:rsidRPr="00E04E7E">
        <w:rPr>
          <w:szCs w:val="22"/>
        </w:rPr>
        <w:t xml:space="preserve">Además, </w:t>
      </w:r>
      <w:r w:rsidR="005C12B7" w:rsidRPr="00E04E7E">
        <w:rPr>
          <w:szCs w:val="22"/>
        </w:rPr>
        <w:t>el</w:t>
      </w:r>
      <w:r w:rsidRPr="00E04E7E">
        <w:rPr>
          <w:szCs w:val="22"/>
        </w:rPr>
        <w:t xml:space="preserve"> equipo</w:t>
      </w:r>
      <w:r w:rsidR="0079001B" w:rsidRPr="00E04E7E">
        <w:rPr>
          <w:szCs w:val="22"/>
        </w:rPr>
        <w:t xml:space="preserve"> </w:t>
      </w:r>
      <w:r w:rsidR="008630BA" w:rsidRPr="00E04E7E">
        <w:rPr>
          <w:szCs w:val="22"/>
        </w:rPr>
        <w:t>básico interno</w:t>
      </w:r>
      <w:r w:rsidR="0079001B" w:rsidRPr="00E04E7E">
        <w:rPr>
          <w:szCs w:val="22"/>
        </w:rPr>
        <w:t xml:space="preserve"> verifica</w:t>
      </w:r>
      <w:r w:rsidRPr="00E04E7E">
        <w:rPr>
          <w:szCs w:val="22"/>
        </w:rPr>
        <w:t xml:space="preserve"> las traducciones subcontratadas </w:t>
      </w:r>
      <w:r w:rsidR="0079001B" w:rsidRPr="00E04E7E">
        <w:rPr>
          <w:szCs w:val="22"/>
        </w:rPr>
        <w:t>de conformidad con una serie de características de calidad definidas previamente, como la exactitud, la exhaustividad, la integridad, la corrección terminológica, la legibilidad, el estilo y la utilidad.  También se ha establecido un proceso de control de calidad que se aplica de manera homogénea, con distintas medidas, que van del format</w:t>
      </w:r>
      <w:r w:rsidR="00A66DE6" w:rsidRPr="00E04E7E">
        <w:rPr>
          <w:szCs w:val="22"/>
        </w:rPr>
        <w:t>e</w:t>
      </w:r>
      <w:r w:rsidR="0079001B" w:rsidRPr="00E04E7E">
        <w:rPr>
          <w:szCs w:val="22"/>
        </w:rPr>
        <w:t xml:space="preserve">o, edición o </w:t>
      </w:r>
      <w:r w:rsidR="00FF5A7C" w:rsidRPr="00E04E7E">
        <w:rPr>
          <w:szCs w:val="22"/>
        </w:rPr>
        <w:t>revisión en el idioma de destino</w:t>
      </w:r>
      <w:r w:rsidR="0079001B" w:rsidRPr="00E04E7E">
        <w:rPr>
          <w:szCs w:val="22"/>
        </w:rPr>
        <w:t xml:space="preserve"> a la revisión </w:t>
      </w:r>
      <w:r w:rsidR="00FF5A7C" w:rsidRPr="00E04E7E">
        <w:rPr>
          <w:szCs w:val="22"/>
        </w:rPr>
        <w:t xml:space="preserve">comparada, </w:t>
      </w:r>
      <w:r w:rsidR="0079001B" w:rsidRPr="00E04E7E">
        <w:rPr>
          <w:szCs w:val="22"/>
        </w:rPr>
        <w:t>parcial y completa</w:t>
      </w:r>
      <w:r w:rsidR="00FF5A7C" w:rsidRPr="00E04E7E">
        <w:rPr>
          <w:szCs w:val="22"/>
        </w:rPr>
        <w:t>, del texto en su idioma original y en el idioma de destino</w:t>
      </w:r>
      <w:r w:rsidR="0079001B" w:rsidRPr="00E04E7E">
        <w:rPr>
          <w:szCs w:val="22"/>
        </w:rPr>
        <w:t>.  La calidad de la traducción está vinculada igualme</w:t>
      </w:r>
      <w:r w:rsidR="00D040CB" w:rsidRPr="00E04E7E">
        <w:rPr>
          <w:szCs w:val="22"/>
        </w:rPr>
        <w:t>nte al pago de la remuneración.</w:t>
      </w:r>
    </w:p>
    <w:p w:rsidR="00C13B4A" w:rsidRPr="00E04E7E" w:rsidRDefault="0079001B" w:rsidP="00C13B4A">
      <w:pPr>
        <w:pStyle w:val="Heading3"/>
      </w:pPr>
      <w:r w:rsidRPr="00E04E7E">
        <w:t>Costos de traducción, medidas para fomentar la eficiencia y ahorros</w:t>
      </w:r>
    </w:p>
    <w:p w:rsidR="00C13B4A" w:rsidRPr="00E04E7E" w:rsidRDefault="00C13B4A" w:rsidP="00C13B4A"/>
    <w:p w:rsidR="00C13B4A" w:rsidRPr="00E04E7E" w:rsidRDefault="003C3221" w:rsidP="003C3221">
      <w:pPr>
        <w:pStyle w:val="ONUMFS"/>
      </w:pPr>
      <w:r w:rsidRPr="00E04E7E">
        <w:t xml:space="preserve">A pesar de las medidas de racionalización y control, la ampliación de la </w:t>
      </w:r>
      <w:r w:rsidR="002D6900" w:rsidRPr="00E04E7E">
        <w:t>cobertura lingüística</w:t>
      </w:r>
      <w:r w:rsidRPr="00E04E7E">
        <w:t xml:space="preserve"> de dos (francés/inglés) o tres (español/francés/inglés) a los seis idiomas oficiales de NN.UU. (igualmente el árabe/chino/ruso) ha dado lugar a un aumento del 35% del volumen de trabajo de traducción en </w:t>
      </w:r>
      <w:r w:rsidR="00C13B4A" w:rsidRPr="00E04E7E">
        <w:t xml:space="preserve">2012/13 </w:t>
      </w:r>
      <w:r w:rsidRPr="00E04E7E">
        <w:t xml:space="preserve">en comparación con el del bienio </w:t>
      </w:r>
      <w:r w:rsidR="00C13B4A" w:rsidRPr="00E04E7E">
        <w:t xml:space="preserve">2010/11.  </w:t>
      </w:r>
      <w:r w:rsidRPr="00E04E7E">
        <w:t>Cabe observar que el aumento de ese volumen de trabajo antes de la aplicación de la Política Lingüística era marginal, como se indica en el cuadro siguiente.</w:t>
      </w:r>
    </w:p>
    <w:p w:rsidR="00C13B4A" w:rsidRPr="00E04E7E" w:rsidRDefault="003C3221" w:rsidP="00C13B4A">
      <w:pPr>
        <w:pStyle w:val="ONUME"/>
        <w:numPr>
          <w:ilvl w:val="0"/>
          <w:numId w:val="0"/>
        </w:numPr>
        <w:jc w:val="center"/>
      </w:pPr>
      <w:r w:rsidRPr="00E04E7E">
        <w:t xml:space="preserve">Cuadro </w:t>
      </w:r>
      <w:r w:rsidR="00C13B4A" w:rsidRPr="00E04E7E">
        <w:t>1</w:t>
      </w:r>
    </w:p>
    <w:p w:rsidR="00C13B4A" w:rsidRPr="00E04E7E" w:rsidRDefault="003C3221" w:rsidP="00C13B4A">
      <w:pPr>
        <w:pStyle w:val="ONUME"/>
        <w:numPr>
          <w:ilvl w:val="0"/>
          <w:numId w:val="0"/>
        </w:numPr>
        <w:jc w:val="center"/>
      </w:pPr>
      <w:r w:rsidRPr="00E04E7E">
        <w:t>Volumen de traducción y costo por página</w:t>
      </w:r>
      <w:r w:rsidR="00C13B4A" w:rsidRPr="00E04E7E">
        <w:t xml:space="preserve"> </w:t>
      </w:r>
    </w:p>
    <w:tbl>
      <w:tblPr>
        <w:tblW w:w="8906" w:type="dxa"/>
        <w:tblInd w:w="392" w:type="dxa"/>
        <w:tblLook w:val="04A0" w:firstRow="1" w:lastRow="0" w:firstColumn="1" w:lastColumn="0" w:noHBand="0" w:noVBand="1"/>
      </w:tblPr>
      <w:tblGrid>
        <w:gridCol w:w="1711"/>
        <w:gridCol w:w="1560"/>
        <w:gridCol w:w="1701"/>
        <w:gridCol w:w="1027"/>
        <w:gridCol w:w="1701"/>
        <w:gridCol w:w="1206"/>
      </w:tblGrid>
      <w:tr w:rsidR="00C13B4A" w:rsidRPr="00E04E7E" w:rsidTr="00430C99">
        <w:trPr>
          <w:trHeight w:val="301"/>
        </w:trPr>
        <w:tc>
          <w:tcPr>
            <w:tcW w:w="171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C13B4A" w:rsidRPr="00E04E7E" w:rsidRDefault="003C3221" w:rsidP="003C3221">
            <w:pPr>
              <w:rPr>
                <w:rFonts w:eastAsia="Times New Roman"/>
                <w:b/>
                <w:bCs/>
                <w:sz w:val="18"/>
                <w:szCs w:val="18"/>
                <w:lang w:eastAsia="en-US"/>
              </w:rPr>
            </w:pPr>
            <w:r w:rsidRPr="00E04E7E">
              <w:rPr>
                <w:rFonts w:eastAsia="Times New Roman"/>
                <w:b/>
                <w:bCs/>
                <w:sz w:val="18"/>
                <w:szCs w:val="18"/>
                <w:lang w:eastAsia="en-US"/>
              </w:rPr>
              <w:t>Bien</w:t>
            </w:r>
            <w:r w:rsidR="00C13B4A" w:rsidRPr="00E04E7E">
              <w:rPr>
                <w:rFonts w:eastAsia="Times New Roman"/>
                <w:b/>
                <w:bCs/>
                <w:sz w:val="18"/>
                <w:szCs w:val="18"/>
                <w:lang w:eastAsia="en-US"/>
              </w:rPr>
              <w:t>i</w:t>
            </w:r>
            <w:r w:rsidRPr="00E04E7E">
              <w:rPr>
                <w:rFonts w:eastAsia="Times New Roman"/>
                <w:b/>
                <w:bCs/>
                <w:sz w:val="18"/>
                <w:szCs w:val="18"/>
                <w:lang w:eastAsia="en-US"/>
              </w:rPr>
              <w:t>o</w:t>
            </w:r>
          </w:p>
        </w:tc>
        <w:tc>
          <w:tcPr>
            <w:tcW w:w="3261" w:type="dxa"/>
            <w:gridSpan w:val="2"/>
            <w:tcBorders>
              <w:top w:val="single" w:sz="4" w:space="0" w:color="auto"/>
              <w:left w:val="nil"/>
              <w:bottom w:val="single" w:sz="4" w:space="0" w:color="auto"/>
              <w:right w:val="single" w:sz="4" w:space="0" w:color="auto"/>
            </w:tcBorders>
            <w:shd w:val="clear" w:color="000000" w:fill="C0C0C0"/>
            <w:vAlign w:val="center"/>
            <w:hideMark/>
          </w:tcPr>
          <w:p w:rsidR="00C13B4A" w:rsidRPr="00E04E7E" w:rsidRDefault="00C13B4A" w:rsidP="00430C99">
            <w:pPr>
              <w:jc w:val="center"/>
              <w:rPr>
                <w:rFonts w:eastAsia="Times New Roman"/>
                <w:b/>
                <w:bCs/>
                <w:sz w:val="18"/>
                <w:szCs w:val="18"/>
                <w:lang w:eastAsia="en-US"/>
              </w:rPr>
            </w:pPr>
            <w:r w:rsidRPr="00E04E7E">
              <w:rPr>
                <w:rFonts w:eastAsia="Times New Roman"/>
                <w:b/>
                <w:bCs/>
                <w:sz w:val="18"/>
                <w:szCs w:val="18"/>
                <w:lang w:eastAsia="en-US"/>
              </w:rPr>
              <w:t>TOTAL</w:t>
            </w:r>
          </w:p>
        </w:tc>
        <w:tc>
          <w:tcPr>
            <w:tcW w:w="1017" w:type="dxa"/>
            <w:vMerge w:val="restart"/>
            <w:tcBorders>
              <w:top w:val="single" w:sz="4" w:space="0" w:color="auto"/>
              <w:left w:val="single" w:sz="4" w:space="0" w:color="auto"/>
              <w:right w:val="single" w:sz="4" w:space="0" w:color="auto"/>
            </w:tcBorders>
            <w:shd w:val="clear" w:color="000000" w:fill="C0C0C0"/>
            <w:vAlign w:val="center"/>
          </w:tcPr>
          <w:p w:rsidR="00C13B4A" w:rsidRPr="00E04E7E" w:rsidRDefault="009F74A6" w:rsidP="00430C99">
            <w:pPr>
              <w:jc w:val="center"/>
              <w:rPr>
                <w:rFonts w:eastAsia="Times New Roman"/>
                <w:b/>
                <w:bCs/>
                <w:sz w:val="18"/>
                <w:szCs w:val="18"/>
                <w:lang w:eastAsia="en-US"/>
              </w:rPr>
            </w:pPr>
            <w:r w:rsidRPr="00E04E7E">
              <w:rPr>
                <w:rFonts w:eastAsia="Times New Roman"/>
                <w:b/>
                <w:bCs/>
                <w:sz w:val="18"/>
                <w:szCs w:val="18"/>
                <w:lang w:eastAsia="en-US"/>
              </w:rPr>
              <w:t>Variació</w:t>
            </w:r>
            <w:r w:rsidR="00C13B4A" w:rsidRPr="00E04E7E">
              <w:rPr>
                <w:rFonts w:eastAsia="Times New Roman"/>
                <w:b/>
                <w:bCs/>
                <w:sz w:val="18"/>
                <w:szCs w:val="18"/>
                <w:lang w:eastAsia="en-US"/>
              </w:rPr>
              <w:t>n</w:t>
            </w:r>
          </w:p>
          <w:p w:rsidR="00C13B4A" w:rsidRPr="00E04E7E" w:rsidRDefault="009F74A6" w:rsidP="009F74A6">
            <w:pPr>
              <w:jc w:val="center"/>
              <w:rPr>
                <w:rFonts w:eastAsia="Times New Roman"/>
                <w:b/>
                <w:bCs/>
                <w:sz w:val="18"/>
                <w:szCs w:val="18"/>
                <w:lang w:eastAsia="en-US"/>
              </w:rPr>
            </w:pPr>
            <w:r w:rsidRPr="00E04E7E">
              <w:rPr>
                <w:rFonts w:eastAsia="Times New Roman"/>
                <w:b/>
                <w:bCs/>
                <w:sz w:val="18"/>
                <w:szCs w:val="18"/>
                <w:lang w:eastAsia="en-US"/>
              </w:rPr>
              <w:t xml:space="preserve">respecto del bienio anterior </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C13B4A" w:rsidRPr="00E04E7E" w:rsidRDefault="009F74A6" w:rsidP="009F74A6">
            <w:pPr>
              <w:jc w:val="center"/>
              <w:rPr>
                <w:rFonts w:eastAsia="Times New Roman"/>
                <w:b/>
                <w:bCs/>
                <w:sz w:val="18"/>
                <w:szCs w:val="18"/>
                <w:lang w:eastAsia="en-US"/>
              </w:rPr>
            </w:pPr>
            <w:r w:rsidRPr="00E04E7E">
              <w:rPr>
                <w:rFonts w:eastAsia="Times New Roman"/>
                <w:b/>
                <w:bCs/>
                <w:sz w:val="18"/>
                <w:szCs w:val="18"/>
                <w:lang w:eastAsia="en-US"/>
              </w:rPr>
              <w:t>Porcentaje subcontratado</w:t>
            </w:r>
            <w:r w:rsidR="00C13B4A" w:rsidRPr="00E04E7E">
              <w:rPr>
                <w:rFonts w:eastAsia="Times New Roman"/>
                <w:b/>
                <w:bCs/>
                <w:sz w:val="18"/>
                <w:szCs w:val="18"/>
                <w:lang w:eastAsia="en-US"/>
              </w:rPr>
              <w:br/>
            </w:r>
          </w:p>
        </w:tc>
        <w:tc>
          <w:tcPr>
            <w:tcW w:w="1216" w:type="dxa"/>
            <w:vMerge w:val="restart"/>
            <w:tcBorders>
              <w:top w:val="single" w:sz="4" w:space="0" w:color="auto"/>
              <w:left w:val="single" w:sz="4" w:space="0" w:color="auto"/>
              <w:right w:val="single" w:sz="4" w:space="0" w:color="auto"/>
            </w:tcBorders>
            <w:shd w:val="clear" w:color="000000" w:fill="C0C0C0"/>
          </w:tcPr>
          <w:p w:rsidR="00C13B4A" w:rsidRPr="00E04E7E" w:rsidRDefault="00C13B4A" w:rsidP="00430C99">
            <w:pPr>
              <w:jc w:val="center"/>
              <w:rPr>
                <w:rFonts w:eastAsia="Times New Roman"/>
                <w:b/>
                <w:bCs/>
                <w:sz w:val="18"/>
                <w:szCs w:val="18"/>
                <w:lang w:eastAsia="en-US"/>
              </w:rPr>
            </w:pPr>
          </w:p>
          <w:p w:rsidR="00C13B4A" w:rsidRPr="00E04E7E" w:rsidRDefault="00C13B4A" w:rsidP="009F74A6">
            <w:pPr>
              <w:jc w:val="center"/>
              <w:rPr>
                <w:rFonts w:eastAsia="Times New Roman"/>
                <w:b/>
                <w:bCs/>
                <w:sz w:val="18"/>
                <w:szCs w:val="18"/>
                <w:lang w:eastAsia="en-US"/>
              </w:rPr>
            </w:pPr>
            <w:r w:rsidRPr="00E04E7E">
              <w:rPr>
                <w:rFonts w:eastAsia="Times New Roman"/>
                <w:b/>
                <w:bCs/>
                <w:sz w:val="18"/>
                <w:szCs w:val="18"/>
                <w:lang w:eastAsia="en-US"/>
              </w:rPr>
              <w:t>Cost</w:t>
            </w:r>
            <w:r w:rsidR="009F74A6" w:rsidRPr="00E04E7E">
              <w:rPr>
                <w:rFonts w:eastAsia="Times New Roman"/>
                <w:b/>
                <w:bCs/>
                <w:sz w:val="18"/>
                <w:szCs w:val="18"/>
                <w:lang w:eastAsia="en-US"/>
              </w:rPr>
              <w:t>o por página</w:t>
            </w:r>
            <w:r w:rsidRPr="00E04E7E">
              <w:rPr>
                <w:rFonts w:eastAsia="Times New Roman"/>
                <w:b/>
                <w:bCs/>
                <w:sz w:val="18"/>
                <w:szCs w:val="18"/>
                <w:lang w:eastAsia="en-US"/>
              </w:rPr>
              <w:br/>
              <w:t>(franc</w:t>
            </w:r>
            <w:r w:rsidR="009F74A6" w:rsidRPr="00E04E7E">
              <w:rPr>
                <w:rFonts w:eastAsia="Times New Roman"/>
                <w:b/>
                <w:bCs/>
                <w:sz w:val="18"/>
                <w:szCs w:val="18"/>
                <w:lang w:eastAsia="en-US"/>
              </w:rPr>
              <w:t>o</w:t>
            </w:r>
            <w:r w:rsidRPr="00E04E7E">
              <w:rPr>
                <w:rFonts w:eastAsia="Times New Roman"/>
                <w:b/>
                <w:bCs/>
                <w:sz w:val="18"/>
                <w:szCs w:val="18"/>
                <w:lang w:eastAsia="en-US"/>
              </w:rPr>
              <w:t>s</w:t>
            </w:r>
            <w:r w:rsidR="009F74A6" w:rsidRPr="00E04E7E">
              <w:rPr>
                <w:rFonts w:eastAsia="Times New Roman"/>
                <w:b/>
                <w:bCs/>
                <w:sz w:val="18"/>
                <w:szCs w:val="18"/>
                <w:lang w:eastAsia="en-US"/>
              </w:rPr>
              <w:t xml:space="preserve"> suizos</w:t>
            </w:r>
            <w:r w:rsidRPr="00E04E7E">
              <w:rPr>
                <w:rFonts w:eastAsia="Times New Roman"/>
                <w:b/>
                <w:bCs/>
                <w:sz w:val="18"/>
                <w:szCs w:val="18"/>
                <w:lang w:eastAsia="en-US"/>
              </w:rPr>
              <w:t>)</w:t>
            </w:r>
          </w:p>
        </w:tc>
      </w:tr>
      <w:tr w:rsidR="00C13B4A" w:rsidRPr="00E04E7E" w:rsidTr="00430C99">
        <w:trPr>
          <w:trHeight w:val="251"/>
        </w:trPr>
        <w:tc>
          <w:tcPr>
            <w:tcW w:w="1711" w:type="dxa"/>
            <w:vMerge/>
            <w:tcBorders>
              <w:top w:val="double" w:sz="6" w:space="0" w:color="auto"/>
              <w:left w:val="single" w:sz="4" w:space="0" w:color="auto"/>
              <w:bottom w:val="single" w:sz="4" w:space="0" w:color="auto"/>
              <w:right w:val="single" w:sz="4" w:space="0" w:color="auto"/>
            </w:tcBorders>
            <w:vAlign w:val="center"/>
            <w:hideMark/>
          </w:tcPr>
          <w:p w:rsidR="00C13B4A" w:rsidRPr="00E04E7E" w:rsidRDefault="00C13B4A" w:rsidP="00430C99">
            <w:pPr>
              <w:rPr>
                <w:rFonts w:eastAsia="Times New Roman"/>
                <w:b/>
                <w:bCs/>
                <w:sz w:val="18"/>
                <w:szCs w:val="18"/>
                <w:lang w:eastAsia="en-US"/>
              </w:rPr>
            </w:pPr>
          </w:p>
        </w:tc>
        <w:tc>
          <w:tcPr>
            <w:tcW w:w="1560" w:type="dxa"/>
            <w:tcBorders>
              <w:top w:val="nil"/>
              <w:left w:val="nil"/>
              <w:bottom w:val="single" w:sz="4" w:space="0" w:color="auto"/>
              <w:right w:val="single" w:sz="4" w:space="0" w:color="auto"/>
            </w:tcBorders>
            <w:shd w:val="clear" w:color="000000" w:fill="C0C0C0"/>
            <w:noWrap/>
            <w:vAlign w:val="center"/>
            <w:hideMark/>
          </w:tcPr>
          <w:p w:rsidR="00C13B4A" w:rsidRPr="00E04E7E" w:rsidRDefault="003C3221" w:rsidP="00430C99">
            <w:pPr>
              <w:jc w:val="center"/>
              <w:rPr>
                <w:rFonts w:eastAsia="Times New Roman"/>
                <w:b/>
                <w:bCs/>
                <w:sz w:val="18"/>
                <w:szCs w:val="18"/>
                <w:lang w:eastAsia="en-US"/>
              </w:rPr>
            </w:pPr>
            <w:r w:rsidRPr="00E04E7E">
              <w:rPr>
                <w:rFonts w:eastAsia="Times New Roman"/>
                <w:b/>
                <w:bCs/>
                <w:sz w:val="18"/>
                <w:szCs w:val="18"/>
                <w:lang w:eastAsia="en-US"/>
              </w:rPr>
              <w:t>Palabras</w:t>
            </w:r>
          </w:p>
        </w:tc>
        <w:tc>
          <w:tcPr>
            <w:tcW w:w="1701" w:type="dxa"/>
            <w:tcBorders>
              <w:top w:val="nil"/>
              <w:left w:val="nil"/>
              <w:bottom w:val="single" w:sz="4" w:space="0" w:color="auto"/>
              <w:right w:val="single" w:sz="4" w:space="0" w:color="auto"/>
            </w:tcBorders>
            <w:shd w:val="clear" w:color="000000" w:fill="C0C0C0"/>
            <w:vAlign w:val="center"/>
            <w:hideMark/>
          </w:tcPr>
          <w:p w:rsidR="00C13B4A" w:rsidRPr="00E04E7E" w:rsidRDefault="009F74A6" w:rsidP="009F74A6">
            <w:pPr>
              <w:jc w:val="center"/>
              <w:rPr>
                <w:rFonts w:eastAsia="Times New Roman"/>
                <w:b/>
                <w:bCs/>
                <w:sz w:val="18"/>
                <w:szCs w:val="18"/>
                <w:lang w:eastAsia="en-US"/>
              </w:rPr>
            </w:pPr>
            <w:r w:rsidRPr="00E04E7E">
              <w:rPr>
                <w:rFonts w:eastAsia="Times New Roman"/>
                <w:b/>
                <w:bCs/>
                <w:sz w:val="18"/>
                <w:szCs w:val="18"/>
                <w:lang w:eastAsia="en-US"/>
              </w:rPr>
              <w:t>Páginas</w:t>
            </w:r>
            <w:r w:rsidRPr="00E04E7E">
              <w:rPr>
                <w:rFonts w:eastAsia="Times New Roman"/>
                <w:b/>
                <w:bCs/>
                <w:sz w:val="18"/>
                <w:szCs w:val="18"/>
                <w:lang w:eastAsia="en-US"/>
              </w:rPr>
              <w:br/>
              <w:t>(estándar NN.UU.</w:t>
            </w:r>
            <w:r w:rsidR="00C13B4A" w:rsidRPr="00E04E7E">
              <w:rPr>
                <w:rFonts w:eastAsia="Times New Roman"/>
                <w:b/>
                <w:bCs/>
                <w:sz w:val="18"/>
                <w:szCs w:val="18"/>
                <w:lang w:eastAsia="en-US"/>
              </w:rPr>
              <w:t>)</w:t>
            </w:r>
          </w:p>
        </w:tc>
        <w:tc>
          <w:tcPr>
            <w:tcW w:w="1017" w:type="dxa"/>
            <w:vMerge/>
            <w:tcBorders>
              <w:left w:val="single" w:sz="4" w:space="0" w:color="auto"/>
              <w:bottom w:val="single" w:sz="4" w:space="0" w:color="000000"/>
              <w:right w:val="single" w:sz="4" w:space="0" w:color="auto"/>
            </w:tcBorders>
          </w:tcPr>
          <w:p w:rsidR="00C13B4A" w:rsidRPr="00E04E7E" w:rsidRDefault="00C13B4A" w:rsidP="00430C99">
            <w:pPr>
              <w:rPr>
                <w:rFonts w:eastAsia="Times New Roman"/>
                <w:b/>
                <w:bCs/>
                <w:sz w:val="18"/>
                <w:szCs w:val="18"/>
                <w:lang w:eastAsia="en-US"/>
              </w:rPr>
            </w:pPr>
          </w:p>
        </w:tc>
        <w:tc>
          <w:tcPr>
            <w:tcW w:w="1701" w:type="dxa"/>
            <w:vMerge/>
            <w:tcBorders>
              <w:top w:val="double" w:sz="6" w:space="0" w:color="auto"/>
              <w:left w:val="single" w:sz="4" w:space="0" w:color="auto"/>
              <w:bottom w:val="single" w:sz="4" w:space="0" w:color="000000"/>
              <w:right w:val="single" w:sz="4" w:space="0" w:color="auto"/>
            </w:tcBorders>
            <w:vAlign w:val="center"/>
            <w:hideMark/>
          </w:tcPr>
          <w:p w:rsidR="00C13B4A" w:rsidRPr="00E04E7E" w:rsidRDefault="00C13B4A" w:rsidP="00430C99">
            <w:pPr>
              <w:rPr>
                <w:rFonts w:eastAsia="Times New Roman"/>
                <w:b/>
                <w:bCs/>
                <w:sz w:val="18"/>
                <w:szCs w:val="18"/>
                <w:lang w:eastAsia="en-US"/>
              </w:rPr>
            </w:pPr>
          </w:p>
        </w:tc>
        <w:tc>
          <w:tcPr>
            <w:tcW w:w="1216" w:type="dxa"/>
            <w:vMerge/>
            <w:tcBorders>
              <w:left w:val="single" w:sz="4" w:space="0" w:color="auto"/>
              <w:bottom w:val="single" w:sz="4" w:space="0" w:color="000000"/>
              <w:right w:val="single" w:sz="4" w:space="0" w:color="auto"/>
            </w:tcBorders>
          </w:tcPr>
          <w:p w:rsidR="00C13B4A" w:rsidRPr="00E04E7E" w:rsidRDefault="00C13B4A" w:rsidP="00430C99">
            <w:pPr>
              <w:rPr>
                <w:rFonts w:eastAsia="Times New Roman"/>
                <w:b/>
                <w:bCs/>
                <w:sz w:val="18"/>
                <w:szCs w:val="18"/>
                <w:lang w:eastAsia="en-US"/>
              </w:rPr>
            </w:pPr>
          </w:p>
        </w:tc>
      </w:tr>
      <w:tr w:rsidR="00C13B4A" w:rsidRPr="00E04E7E" w:rsidTr="00430C99">
        <w:trPr>
          <w:trHeight w:val="257"/>
        </w:trPr>
        <w:tc>
          <w:tcPr>
            <w:tcW w:w="1711" w:type="dxa"/>
            <w:tcBorders>
              <w:top w:val="nil"/>
              <w:left w:val="single" w:sz="4" w:space="0" w:color="auto"/>
              <w:bottom w:val="single" w:sz="4" w:space="0" w:color="auto"/>
              <w:right w:val="single" w:sz="4" w:space="0" w:color="auto"/>
            </w:tcBorders>
            <w:shd w:val="clear" w:color="auto" w:fill="auto"/>
            <w:noWrap/>
            <w:vAlign w:val="center"/>
          </w:tcPr>
          <w:p w:rsidR="00C13B4A" w:rsidRPr="00E04E7E" w:rsidRDefault="00C13B4A" w:rsidP="00430C99">
            <w:pPr>
              <w:rPr>
                <w:rFonts w:eastAsia="Times New Roman"/>
                <w:sz w:val="18"/>
                <w:szCs w:val="18"/>
                <w:lang w:eastAsia="en-US"/>
              </w:rPr>
            </w:pPr>
            <w:r w:rsidRPr="00E04E7E">
              <w:rPr>
                <w:rFonts w:eastAsia="Times New Roman"/>
                <w:sz w:val="18"/>
                <w:szCs w:val="18"/>
                <w:lang w:eastAsia="en-US"/>
              </w:rPr>
              <w:t>2008/2009</w:t>
            </w:r>
          </w:p>
        </w:tc>
        <w:tc>
          <w:tcPr>
            <w:tcW w:w="1560" w:type="dxa"/>
            <w:tcBorders>
              <w:top w:val="nil"/>
              <w:left w:val="nil"/>
              <w:bottom w:val="single" w:sz="4" w:space="0" w:color="auto"/>
              <w:right w:val="single" w:sz="4" w:space="0" w:color="auto"/>
            </w:tcBorders>
            <w:shd w:val="clear" w:color="auto" w:fill="auto"/>
            <w:noWrap/>
            <w:vAlign w:val="center"/>
          </w:tcPr>
          <w:p w:rsidR="00C13B4A" w:rsidRPr="00E04E7E" w:rsidRDefault="00C13B4A" w:rsidP="00430C99">
            <w:pPr>
              <w:jc w:val="right"/>
              <w:rPr>
                <w:rFonts w:eastAsia="Times New Roman"/>
                <w:sz w:val="18"/>
                <w:szCs w:val="18"/>
                <w:lang w:eastAsia="en-US"/>
              </w:rPr>
            </w:pPr>
            <w:r w:rsidRPr="00E04E7E">
              <w:rPr>
                <w:rFonts w:eastAsia="Times New Roman"/>
                <w:sz w:val="18"/>
                <w:szCs w:val="18"/>
                <w:lang w:eastAsia="en-US"/>
              </w:rPr>
              <w:t>23</w:t>
            </w:r>
            <w:r w:rsidR="005C52FB" w:rsidRPr="00E04E7E">
              <w:rPr>
                <w:rFonts w:eastAsia="Times New Roman"/>
                <w:sz w:val="18"/>
                <w:szCs w:val="18"/>
                <w:lang w:eastAsia="en-US"/>
              </w:rPr>
              <w:t>.</w:t>
            </w:r>
            <w:r w:rsidRPr="00E04E7E">
              <w:rPr>
                <w:rFonts w:eastAsia="Times New Roman"/>
                <w:sz w:val="18"/>
                <w:szCs w:val="18"/>
                <w:lang w:eastAsia="en-US"/>
              </w:rPr>
              <w:t>704</w:t>
            </w:r>
            <w:r w:rsidR="005C52FB" w:rsidRPr="00E04E7E">
              <w:rPr>
                <w:rFonts w:eastAsia="Times New Roman"/>
                <w:sz w:val="18"/>
                <w:szCs w:val="18"/>
                <w:lang w:eastAsia="en-US"/>
              </w:rPr>
              <w:t>.</w:t>
            </w:r>
            <w:r w:rsidRPr="00E04E7E">
              <w:rPr>
                <w:rFonts w:eastAsia="Times New Roman"/>
                <w:sz w:val="18"/>
                <w:szCs w:val="18"/>
                <w:lang w:eastAsia="en-US"/>
              </w:rPr>
              <w:t>560</w:t>
            </w:r>
          </w:p>
        </w:tc>
        <w:tc>
          <w:tcPr>
            <w:tcW w:w="1701" w:type="dxa"/>
            <w:tcBorders>
              <w:top w:val="nil"/>
              <w:left w:val="nil"/>
              <w:bottom w:val="single" w:sz="4" w:space="0" w:color="auto"/>
              <w:right w:val="single" w:sz="4" w:space="0" w:color="auto"/>
            </w:tcBorders>
            <w:shd w:val="clear" w:color="auto" w:fill="auto"/>
            <w:noWrap/>
            <w:vAlign w:val="center"/>
          </w:tcPr>
          <w:p w:rsidR="00C13B4A" w:rsidRPr="00E04E7E" w:rsidRDefault="00C13B4A" w:rsidP="00430C99">
            <w:pPr>
              <w:jc w:val="right"/>
              <w:rPr>
                <w:rFonts w:eastAsia="Times New Roman"/>
                <w:sz w:val="18"/>
                <w:szCs w:val="18"/>
                <w:lang w:eastAsia="en-US"/>
              </w:rPr>
            </w:pPr>
            <w:r w:rsidRPr="00E04E7E">
              <w:rPr>
                <w:rFonts w:eastAsia="Times New Roman"/>
                <w:sz w:val="18"/>
                <w:szCs w:val="18"/>
                <w:lang w:eastAsia="en-US"/>
              </w:rPr>
              <w:t>71</w:t>
            </w:r>
            <w:r w:rsidR="005C52FB" w:rsidRPr="00E04E7E">
              <w:rPr>
                <w:rFonts w:eastAsia="Times New Roman"/>
                <w:sz w:val="18"/>
                <w:szCs w:val="18"/>
                <w:lang w:eastAsia="en-US"/>
              </w:rPr>
              <w:t>.</w:t>
            </w:r>
            <w:r w:rsidRPr="00E04E7E">
              <w:rPr>
                <w:rFonts w:eastAsia="Times New Roman"/>
                <w:sz w:val="18"/>
                <w:szCs w:val="18"/>
                <w:lang w:eastAsia="en-US"/>
              </w:rPr>
              <w:t>832</w:t>
            </w:r>
          </w:p>
        </w:tc>
        <w:tc>
          <w:tcPr>
            <w:tcW w:w="1017" w:type="dxa"/>
            <w:tcBorders>
              <w:top w:val="single" w:sz="4" w:space="0" w:color="000000"/>
              <w:left w:val="nil"/>
              <w:bottom w:val="single" w:sz="4" w:space="0" w:color="auto"/>
              <w:right w:val="single" w:sz="4" w:space="0" w:color="auto"/>
            </w:tcBorders>
            <w:shd w:val="clear" w:color="auto" w:fill="auto"/>
            <w:vAlign w:val="center"/>
          </w:tcPr>
          <w:p w:rsidR="00C13B4A" w:rsidRPr="00E04E7E" w:rsidRDefault="00C13B4A" w:rsidP="00430C99">
            <w:pPr>
              <w:jc w:val="right"/>
              <w:rPr>
                <w:rFonts w:eastAsia="Times New Roman"/>
                <w:sz w:val="18"/>
                <w:szCs w:val="18"/>
                <w:lang w:eastAsia="en-US"/>
              </w:rPr>
            </w:pPr>
            <w:r w:rsidRPr="00E04E7E">
              <w:rPr>
                <w:rFonts w:eastAsia="Times New Roman"/>
                <w:sz w:val="18"/>
                <w:szCs w:val="18"/>
                <w:lang w:eastAsia="en-US"/>
              </w:rPr>
              <w:t>--</w:t>
            </w:r>
          </w:p>
        </w:tc>
        <w:tc>
          <w:tcPr>
            <w:tcW w:w="1701" w:type="dxa"/>
            <w:tcBorders>
              <w:top w:val="nil"/>
              <w:left w:val="single" w:sz="4" w:space="0" w:color="auto"/>
              <w:bottom w:val="single" w:sz="4" w:space="0" w:color="auto"/>
              <w:right w:val="single" w:sz="4" w:space="0" w:color="auto"/>
            </w:tcBorders>
            <w:noWrap/>
            <w:vAlign w:val="center"/>
          </w:tcPr>
          <w:p w:rsidR="00C13B4A" w:rsidRPr="00E04E7E" w:rsidRDefault="00C13B4A" w:rsidP="00430C99">
            <w:pPr>
              <w:jc w:val="right"/>
              <w:rPr>
                <w:rFonts w:eastAsia="Times New Roman"/>
                <w:sz w:val="18"/>
                <w:szCs w:val="18"/>
                <w:lang w:eastAsia="en-US"/>
              </w:rPr>
            </w:pPr>
            <w:r w:rsidRPr="00E04E7E">
              <w:rPr>
                <w:rFonts w:eastAsia="Times New Roman"/>
                <w:sz w:val="18"/>
                <w:szCs w:val="18"/>
                <w:lang w:eastAsia="en-US"/>
              </w:rPr>
              <w:t>28</w:t>
            </w:r>
          </w:p>
        </w:tc>
        <w:tc>
          <w:tcPr>
            <w:tcW w:w="1216" w:type="dxa"/>
            <w:tcBorders>
              <w:top w:val="nil"/>
              <w:left w:val="nil"/>
              <w:bottom w:val="single" w:sz="4" w:space="0" w:color="auto"/>
              <w:right w:val="single" w:sz="4" w:space="0" w:color="auto"/>
            </w:tcBorders>
            <w:vAlign w:val="center"/>
          </w:tcPr>
          <w:p w:rsidR="00C13B4A" w:rsidRPr="00E04E7E" w:rsidRDefault="00C13B4A" w:rsidP="00430C99">
            <w:pPr>
              <w:jc w:val="right"/>
              <w:rPr>
                <w:rFonts w:eastAsia="Times New Roman"/>
                <w:sz w:val="18"/>
                <w:szCs w:val="18"/>
                <w:lang w:eastAsia="en-US"/>
              </w:rPr>
            </w:pPr>
            <w:r w:rsidRPr="00E04E7E">
              <w:rPr>
                <w:rFonts w:eastAsia="Times New Roman"/>
                <w:sz w:val="18"/>
                <w:szCs w:val="18"/>
                <w:lang w:eastAsia="en-US"/>
              </w:rPr>
              <w:t>227</w:t>
            </w:r>
          </w:p>
        </w:tc>
      </w:tr>
      <w:tr w:rsidR="00C13B4A" w:rsidRPr="00E04E7E" w:rsidTr="00430C99">
        <w:trPr>
          <w:trHeight w:val="257"/>
        </w:trPr>
        <w:tc>
          <w:tcPr>
            <w:tcW w:w="1711" w:type="dxa"/>
            <w:tcBorders>
              <w:top w:val="nil"/>
              <w:left w:val="single" w:sz="4" w:space="0" w:color="auto"/>
              <w:bottom w:val="single" w:sz="4" w:space="0" w:color="auto"/>
              <w:right w:val="single" w:sz="4" w:space="0" w:color="auto"/>
            </w:tcBorders>
            <w:shd w:val="clear" w:color="auto" w:fill="auto"/>
            <w:noWrap/>
            <w:vAlign w:val="center"/>
            <w:hideMark/>
          </w:tcPr>
          <w:p w:rsidR="00C13B4A" w:rsidRPr="00E04E7E" w:rsidRDefault="00C13B4A" w:rsidP="00430C99">
            <w:pPr>
              <w:rPr>
                <w:rFonts w:eastAsia="Times New Roman"/>
                <w:sz w:val="18"/>
                <w:szCs w:val="18"/>
                <w:lang w:eastAsia="en-US"/>
              </w:rPr>
            </w:pPr>
            <w:r w:rsidRPr="00E04E7E">
              <w:rPr>
                <w:rFonts w:eastAsia="Times New Roman"/>
                <w:sz w:val="18"/>
                <w:szCs w:val="18"/>
                <w:lang w:eastAsia="en-US"/>
              </w:rPr>
              <w:t>2010/2011</w:t>
            </w:r>
          </w:p>
        </w:tc>
        <w:tc>
          <w:tcPr>
            <w:tcW w:w="1560" w:type="dxa"/>
            <w:tcBorders>
              <w:top w:val="nil"/>
              <w:left w:val="nil"/>
              <w:bottom w:val="single" w:sz="4" w:space="0" w:color="auto"/>
              <w:right w:val="single" w:sz="4" w:space="0" w:color="auto"/>
            </w:tcBorders>
            <w:shd w:val="clear" w:color="auto" w:fill="auto"/>
            <w:noWrap/>
            <w:vAlign w:val="center"/>
            <w:hideMark/>
          </w:tcPr>
          <w:p w:rsidR="00C13B4A" w:rsidRPr="00E04E7E" w:rsidRDefault="00C13B4A" w:rsidP="00430C99">
            <w:pPr>
              <w:jc w:val="right"/>
              <w:rPr>
                <w:rFonts w:eastAsia="Times New Roman"/>
                <w:sz w:val="18"/>
                <w:szCs w:val="18"/>
                <w:lang w:eastAsia="en-US"/>
              </w:rPr>
            </w:pPr>
            <w:r w:rsidRPr="00E04E7E">
              <w:rPr>
                <w:rFonts w:eastAsia="Times New Roman"/>
                <w:sz w:val="18"/>
                <w:szCs w:val="18"/>
                <w:lang w:eastAsia="en-US"/>
              </w:rPr>
              <w:t>24</w:t>
            </w:r>
            <w:r w:rsidR="005C52FB" w:rsidRPr="00E04E7E">
              <w:rPr>
                <w:rFonts w:eastAsia="Times New Roman"/>
                <w:sz w:val="18"/>
                <w:szCs w:val="18"/>
                <w:lang w:eastAsia="en-US"/>
              </w:rPr>
              <w:t>.</w:t>
            </w:r>
            <w:r w:rsidRPr="00E04E7E">
              <w:rPr>
                <w:rFonts w:eastAsia="Times New Roman"/>
                <w:sz w:val="18"/>
                <w:szCs w:val="18"/>
                <w:lang w:eastAsia="en-US"/>
              </w:rPr>
              <w:t>529</w:t>
            </w:r>
            <w:r w:rsidR="005C52FB" w:rsidRPr="00E04E7E">
              <w:rPr>
                <w:rFonts w:eastAsia="Times New Roman"/>
                <w:sz w:val="18"/>
                <w:szCs w:val="18"/>
                <w:lang w:eastAsia="en-US"/>
              </w:rPr>
              <w:t>.</w:t>
            </w:r>
            <w:r w:rsidRPr="00E04E7E">
              <w:rPr>
                <w:rFonts w:eastAsia="Times New Roman"/>
                <w:sz w:val="18"/>
                <w:szCs w:val="18"/>
                <w:lang w:eastAsia="en-US"/>
              </w:rPr>
              <w:t>287</w:t>
            </w:r>
            <w:r w:rsidRPr="00E04E7E">
              <w:rPr>
                <w:rStyle w:val="FootnoteReference"/>
                <w:rFonts w:eastAsia="Times New Roman"/>
                <w:sz w:val="18"/>
                <w:szCs w:val="18"/>
                <w:lang w:eastAsia="en-US"/>
              </w:rPr>
              <w:footnoteReference w:id="6"/>
            </w:r>
          </w:p>
        </w:tc>
        <w:tc>
          <w:tcPr>
            <w:tcW w:w="1701" w:type="dxa"/>
            <w:tcBorders>
              <w:top w:val="nil"/>
              <w:left w:val="nil"/>
              <w:bottom w:val="single" w:sz="4" w:space="0" w:color="auto"/>
              <w:right w:val="single" w:sz="4" w:space="0" w:color="auto"/>
            </w:tcBorders>
            <w:shd w:val="clear" w:color="auto" w:fill="auto"/>
            <w:noWrap/>
            <w:vAlign w:val="center"/>
            <w:hideMark/>
          </w:tcPr>
          <w:p w:rsidR="00C13B4A" w:rsidRPr="00E04E7E" w:rsidRDefault="00C13B4A" w:rsidP="00430C99">
            <w:pPr>
              <w:jc w:val="right"/>
              <w:rPr>
                <w:rFonts w:eastAsia="Times New Roman"/>
                <w:sz w:val="18"/>
                <w:szCs w:val="18"/>
                <w:lang w:eastAsia="en-US"/>
              </w:rPr>
            </w:pPr>
            <w:r w:rsidRPr="00E04E7E">
              <w:rPr>
                <w:rFonts w:eastAsia="Times New Roman"/>
                <w:sz w:val="18"/>
                <w:szCs w:val="18"/>
                <w:lang w:eastAsia="en-US"/>
              </w:rPr>
              <w:t>74</w:t>
            </w:r>
            <w:r w:rsidR="005C52FB" w:rsidRPr="00E04E7E">
              <w:rPr>
                <w:rFonts w:eastAsia="Times New Roman"/>
                <w:sz w:val="18"/>
                <w:szCs w:val="18"/>
                <w:lang w:eastAsia="en-US"/>
              </w:rPr>
              <w:t>.</w:t>
            </w:r>
            <w:r w:rsidRPr="00E04E7E">
              <w:rPr>
                <w:rFonts w:eastAsia="Times New Roman"/>
                <w:sz w:val="18"/>
                <w:szCs w:val="18"/>
                <w:lang w:eastAsia="en-US"/>
              </w:rPr>
              <w:t>331</w:t>
            </w:r>
          </w:p>
        </w:tc>
        <w:tc>
          <w:tcPr>
            <w:tcW w:w="1017" w:type="dxa"/>
            <w:tcBorders>
              <w:top w:val="single" w:sz="4" w:space="0" w:color="000000"/>
              <w:left w:val="nil"/>
              <w:bottom w:val="single" w:sz="4" w:space="0" w:color="auto"/>
              <w:right w:val="single" w:sz="4" w:space="0" w:color="auto"/>
            </w:tcBorders>
            <w:shd w:val="clear" w:color="auto" w:fill="auto"/>
            <w:vAlign w:val="center"/>
          </w:tcPr>
          <w:p w:rsidR="00C13B4A" w:rsidRPr="00E04E7E" w:rsidDel="00040AAB" w:rsidRDefault="00C13B4A" w:rsidP="005C52FB">
            <w:pPr>
              <w:jc w:val="right"/>
              <w:rPr>
                <w:rFonts w:eastAsia="Times New Roman"/>
                <w:sz w:val="18"/>
                <w:szCs w:val="18"/>
                <w:lang w:eastAsia="en-US"/>
              </w:rPr>
            </w:pPr>
            <w:r w:rsidRPr="00E04E7E">
              <w:rPr>
                <w:rFonts w:eastAsia="Times New Roman"/>
                <w:sz w:val="18"/>
                <w:szCs w:val="18"/>
                <w:lang w:eastAsia="en-US"/>
              </w:rPr>
              <w:t>+3</w:t>
            </w:r>
            <w:r w:rsidR="005C52FB" w:rsidRPr="00E04E7E">
              <w:rPr>
                <w:rFonts w:eastAsia="Times New Roman"/>
                <w:sz w:val="18"/>
                <w:szCs w:val="18"/>
                <w:lang w:eastAsia="en-US"/>
              </w:rPr>
              <w:t>,</w:t>
            </w:r>
            <w:r w:rsidRPr="00E04E7E">
              <w:rPr>
                <w:rFonts w:eastAsia="Times New Roman"/>
                <w:sz w:val="18"/>
                <w:szCs w:val="18"/>
                <w:lang w:eastAsia="en-US"/>
              </w:rPr>
              <w:t>5%</w:t>
            </w:r>
          </w:p>
        </w:tc>
        <w:tc>
          <w:tcPr>
            <w:tcW w:w="1701" w:type="dxa"/>
            <w:tcBorders>
              <w:top w:val="nil"/>
              <w:left w:val="single" w:sz="4" w:space="0" w:color="auto"/>
              <w:bottom w:val="single" w:sz="4" w:space="0" w:color="auto"/>
              <w:right w:val="single" w:sz="4" w:space="0" w:color="auto"/>
            </w:tcBorders>
            <w:noWrap/>
            <w:vAlign w:val="center"/>
            <w:hideMark/>
          </w:tcPr>
          <w:p w:rsidR="00C13B4A" w:rsidRPr="00E04E7E" w:rsidRDefault="00C13B4A" w:rsidP="00430C99">
            <w:pPr>
              <w:jc w:val="right"/>
              <w:rPr>
                <w:rFonts w:eastAsia="Times New Roman"/>
                <w:sz w:val="18"/>
                <w:szCs w:val="18"/>
                <w:lang w:eastAsia="en-US"/>
              </w:rPr>
            </w:pPr>
            <w:r w:rsidRPr="00E04E7E">
              <w:rPr>
                <w:rFonts w:eastAsia="Times New Roman"/>
                <w:sz w:val="18"/>
                <w:szCs w:val="18"/>
                <w:lang w:eastAsia="en-US"/>
              </w:rPr>
              <w:t>38</w:t>
            </w:r>
          </w:p>
        </w:tc>
        <w:tc>
          <w:tcPr>
            <w:tcW w:w="1216" w:type="dxa"/>
            <w:tcBorders>
              <w:top w:val="nil"/>
              <w:left w:val="nil"/>
              <w:bottom w:val="single" w:sz="4" w:space="0" w:color="auto"/>
              <w:right w:val="single" w:sz="4" w:space="0" w:color="auto"/>
            </w:tcBorders>
            <w:vAlign w:val="center"/>
          </w:tcPr>
          <w:p w:rsidR="00C13B4A" w:rsidRPr="00E04E7E" w:rsidDel="00040AAB" w:rsidRDefault="00C13B4A" w:rsidP="00430C99">
            <w:pPr>
              <w:jc w:val="right"/>
              <w:rPr>
                <w:rFonts w:eastAsia="Times New Roman"/>
                <w:sz w:val="18"/>
                <w:szCs w:val="18"/>
                <w:lang w:eastAsia="en-US"/>
              </w:rPr>
            </w:pPr>
            <w:r w:rsidRPr="00E04E7E">
              <w:rPr>
                <w:rFonts w:eastAsia="Times New Roman"/>
                <w:sz w:val="18"/>
                <w:szCs w:val="18"/>
                <w:lang w:eastAsia="en-US"/>
              </w:rPr>
              <w:t>213</w:t>
            </w:r>
          </w:p>
        </w:tc>
      </w:tr>
      <w:tr w:rsidR="00C13B4A" w:rsidRPr="00E04E7E" w:rsidTr="00430C99">
        <w:trPr>
          <w:trHeight w:val="257"/>
        </w:trPr>
        <w:tc>
          <w:tcPr>
            <w:tcW w:w="1711" w:type="dxa"/>
            <w:tcBorders>
              <w:top w:val="nil"/>
              <w:left w:val="single" w:sz="4" w:space="0" w:color="auto"/>
              <w:bottom w:val="single" w:sz="4" w:space="0" w:color="auto"/>
              <w:right w:val="single" w:sz="4" w:space="0" w:color="auto"/>
            </w:tcBorders>
            <w:shd w:val="clear" w:color="auto" w:fill="auto"/>
            <w:noWrap/>
            <w:vAlign w:val="center"/>
            <w:hideMark/>
          </w:tcPr>
          <w:p w:rsidR="00C13B4A" w:rsidRPr="00E04E7E" w:rsidRDefault="00C13B4A" w:rsidP="00430C99">
            <w:pPr>
              <w:rPr>
                <w:rFonts w:eastAsia="Times New Roman"/>
                <w:sz w:val="18"/>
                <w:szCs w:val="18"/>
                <w:lang w:eastAsia="en-US"/>
              </w:rPr>
            </w:pPr>
            <w:r w:rsidRPr="00E04E7E">
              <w:rPr>
                <w:rFonts w:eastAsia="Times New Roman"/>
                <w:sz w:val="18"/>
                <w:szCs w:val="18"/>
                <w:lang w:eastAsia="en-US"/>
              </w:rPr>
              <w:t>2012/2013</w:t>
            </w:r>
          </w:p>
        </w:tc>
        <w:tc>
          <w:tcPr>
            <w:tcW w:w="1560" w:type="dxa"/>
            <w:tcBorders>
              <w:top w:val="nil"/>
              <w:left w:val="nil"/>
              <w:bottom w:val="single" w:sz="4" w:space="0" w:color="auto"/>
              <w:right w:val="single" w:sz="4" w:space="0" w:color="auto"/>
            </w:tcBorders>
            <w:shd w:val="clear" w:color="auto" w:fill="auto"/>
            <w:noWrap/>
            <w:vAlign w:val="center"/>
            <w:hideMark/>
          </w:tcPr>
          <w:p w:rsidR="00C13B4A" w:rsidRPr="00E04E7E" w:rsidRDefault="00C13B4A" w:rsidP="00430C99">
            <w:pPr>
              <w:jc w:val="right"/>
              <w:rPr>
                <w:rFonts w:eastAsia="Times New Roman"/>
                <w:sz w:val="18"/>
                <w:szCs w:val="18"/>
                <w:lang w:eastAsia="en-US"/>
              </w:rPr>
            </w:pPr>
            <w:r w:rsidRPr="00E04E7E">
              <w:rPr>
                <w:rFonts w:eastAsia="Times New Roman"/>
                <w:sz w:val="18"/>
                <w:szCs w:val="18"/>
                <w:lang w:eastAsia="en-US"/>
              </w:rPr>
              <w:t>33</w:t>
            </w:r>
            <w:r w:rsidR="005C52FB" w:rsidRPr="00E04E7E">
              <w:rPr>
                <w:rFonts w:eastAsia="Times New Roman"/>
                <w:sz w:val="18"/>
                <w:szCs w:val="18"/>
                <w:lang w:eastAsia="en-US"/>
              </w:rPr>
              <w:t>.</w:t>
            </w:r>
            <w:r w:rsidRPr="00E04E7E">
              <w:rPr>
                <w:rFonts w:eastAsia="Times New Roman"/>
                <w:sz w:val="18"/>
                <w:szCs w:val="18"/>
                <w:lang w:eastAsia="en-US"/>
              </w:rPr>
              <w:t>173</w:t>
            </w:r>
            <w:r w:rsidR="005C52FB" w:rsidRPr="00E04E7E">
              <w:rPr>
                <w:rFonts w:eastAsia="Times New Roman"/>
                <w:sz w:val="18"/>
                <w:szCs w:val="18"/>
                <w:lang w:eastAsia="en-US"/>
              </w:rPr>
              <w:t>.</w:t>
            </w:r>
            <w:r w:rsidRPr="00E04E7E">
              <w:rPr>
                <w:rFonts w:eastAsia="Times New Roman"/>
                <w:sz w:val="18"/>
                <w:szCs w:val="18"/>
                <w:lang w:eastAsia="en-US"/>
              </w:rPr>
              <w:t>126</w:t>
            </w:r>
          </w:p>
        </w:tc>
        <w:tc>
          <w:tcPr>
            <w:tcW w:w="1701" w:type="dxa"/>
            <w:tcBorders>
              <w:top w:val="nil"/>
              <w:left w:val="nil"/>
              <w:bottom w:val="single" w:sz="4" w:space="0" w:color="auto"/>
              <w:right w:val="single" w:sz="4" w:space="0" w:color="auto"/>
            </w:tcBorders>
            <w:shd w:val="clear" w:color="auto" w:fill="auto"/>
            <w:noWrap/>
            <w:vAlign w:val="center"/>
            <w:hideMark/>
          </w:tcPr>
          <w:p w:rsidR="00C13B4A" w:rsidRPr="00E04E7E" w:rsidRDefault="00C13B4A" w:rsidP="00430C99">
            <w:pPr>
              <w:jc w:val="right"/>
              <w:rPr>
                <w:rFonts w:eastAsia="Times New Roman"/>
                <w:sz w:val="18"/>
                <w:szCs w:val="18"/>
                <w:lang w:eastAsia="en-US"/>
              </w:rPr>
            </w:pPr>
            <w:r w:rsidRPr="00E04E7E">
              <w:rPr>
                <w:rFonts w:eastAsia="Times New Roman"/>
                <w:sz w:val="18"/>
                <w:szCs w:val="18"/>
                <w:lang w:eastAsia="en-US"/>
              </w:rPr>
              <w:t>100</w:t>
            </w:r>
            <w:r w:rsidR="005C52FB" w:rsidRPr="00E04E7E">
              <w:rPr>
                <w:rFonts w:eastAsia="Times New Roman"/>
                <w:sz w:val="18"/>
                <w:szCs w:val="18"/>
                <w:lang w:eastAsia="en-US"/>
              </w:rPr>
              <w:t>.</w:t>
            </w:r>
            <w:r w:rsidRPr="00E04E7E">
              <w:rPr>
                <w:rFonts w:eastAsia="Times New Roman"/>
                <w:sz w:val="18"/>
                <w:szCs w:val="18"/>
                <w:lang w:eastAsia="en-US"/>
              </w:rPr>
              <w:t>524</w:t>
            </w:r>
          </w:p>
        </w:tc>
        <w:tc>
          <w:tcPr>
            <w:tcW w:w="1017" w:type="dxa"/>
            <w:tcBorders>
              <w:top w:val="single" w:sz="4" w:space="0" w:color="auto"/>
              <w:left w:val="nil"/>
              <w:bottom w:val="single" w:sz="4" w:space="0" w:color="auto"/>
              <w:right w:val="single" w:sz="4" w:space="0" w:color="auto"/>
            </w:tcBorders>
            <w:shd w:val="clear" w:color="auto" w:fill="auto"/>
            <w:vAlign w:val="center"/>
          </w:tcPr>
          <w:p w:rsidR="00C13B4A" w:rsidRPr="00E04E7E" w:rsidRDefault="00C13B4A" w:rsidP="005C52FB">
            <w:pPr>
              <w:jc w:val="right"/>
              <w:rPr>
                <w:rFonts w:eastAsia="Times New Roman"/>
                <w:sz w:val="18"/>
                <w:szCs w:val="18"/>
                <w:lang w:eastAsia="en-US"/>
              </w:rPr>
            </w:pPr>
            <w:r w:rsidRPr="00E04E7E">
              <w:rPr>
                <w:rFonts w:eastAsia="Times New Roman"/>
                <w:sz w:val="18"/>
                <w:szCs w:val="18"/>
                <w:lang w:eastAsia="en-US"/>
              </w:rPr>
              <w:t>+35</w:t>
            </w:r>
            <w:r w:rsidR="005C52FB" w:rsidRPr="00E04E7E">
              <w:rPr>
                <w:rFonts w:eastAsia="Times New Roman"/>
                <w:sz w:val="18"/>
                <w:szCs w:val="18"/>
                <w:lang w:eastAsia="en-US"/>
              </w:rPr>
              <w:t>,</w:t>
            </w:r>
            <w:r w:rsidRPr="00E04E7E">
              <w:rPr>
                <w:rFonts w:eastAsia="Times New Roman"/>
                <w:sz w:val="18"/>
                <w:szCs w:val="18"/>
                <w:lang w:eastAsia="en-US"/>
              </w:rPr>
              <w:t>2%</w:t>
            </w:r>
          </w:p>
        </w:tc>
        <w:tc>
          <w:tcPr>
            <w:tcW w:w="1701" w:type="dxa"/>
            <w:tcBorders>
              <w:top w:val="nil"/>
              <w:left w:val="single" w:sz="4" w:space="0" w:color="auto"/>
              <w:bottom w:val="single" w:sz="4" w:space="0" w:color="auto"/>
              <w:right w:val="single" w:sz="4" w:space="0" w:color="auto"/>
            </w:tcBorders>
            <w:noWrap/>
            <w:vAlign w:val="center"/>
            <w:hideMark/>
          </w:tcPr>
          <w:p w:rsidR="00C13B4A" w:rsidRPr="00E04E7E" w:rsidRDefault="00C13B4A" w:rsidP="00430C99">
            <w:pPr>
              <w:jc w:val="right"/>
              <w:rPr>
                <w:rFonts w:eastAsia="Times New Roman"/>
                <w:sz w:val="18"/>
                <w:szCs w:val="18"/>
                <w:lang w:eastAsia="en-US"/>
              </w:rPr>
            </w:pPr>
            <w:r w:rsidRPr="00E04E7E">
              <w:rPr>
                <w:rFonts w:eastAsia="Times New Roman"/>
                <w:sz w:val="18"/>
                <w:szCs w:val="18"/>
                <w:lang w:eastAsia="en-US"/>
              </w:rPr>
              <w:t>56</w:t>
            </w:r>
          </w:p>
        </w:tc>
        <w:tc>
          <w:tcPr>
            <w:tcW w:w="1216" w:type="dxa"/>
            <w:tcBorders>
              <w:top w:val="nil"/>
              <w:left w:val="nil"/>
              <w:bottom w:val="single" w:sz="4" w:space="0" w:color="auto"/>
              <w:right w:val="single" w:sz="4" w:space="0" w:color="auto"/>
            </w:tcBorders>
            <w:vAlign w:val="center"/>
          </w:tcPr>
          <w:p w:rsidR="00C13B4A" w:rsidRPr="00E04E7E" w:rsidRDefault="00C13B4A" w:rsidP="00430C99">
            <w:pPr>
              <w:jc w:val="right"/>
              <w:rPr>
                <w:rFonts w:eastAsia="Times New Roman"/>
                <w:sz w:val="18"/>
                <w:szCs w:val="18"/>
                <w:lang w:eastAsia="en-US"/>
              </w:rPr>
            </w:pPr>
            <w:r w:rsidRPr="00E04E7E">
              <w:rPr>
                <w:rFonts w:eastAsia="Times New Roman"/>
                <w:sz w:val="18"/>
                <w:szCs w:val="18"/>
                <w:lang w:eastAsia="en-US"/>
              </w:rPr>
              <w:t>191</w:t>
            </w:r>
          </w:p>
        </w:tc>
      </w:tr>
    </w:tbl>
    <w:p w:rsidR="00C13B4A" w:rsidRPr="00E04E7E" w:rsidRDefault="00C13B4A" w:rsidP="00C13B4A">
      <w:pPr>
        <w:pStyle w:val="ONUME"/>
        <w:numPr>
          <w:ilvl w:val="0"/>
          <w:numId w:val="0"/>
        </w:numPr>
        <w:rPr>
          <w:sz w:val="18"/>
        </w:rPr>
      </w:pPr>
    </w:p>
    <w:p w:rsidR="007E5F10" w:rsidRPr="00E04E7E" w:rsidRDefault="007E5F10" w:rsidP="00C13B4A">
      <w:pPr>
        <w:pStyle w:val="ONUMFS"/>
      </w:pPr>
      <w:r w:rsidRPr="00E04E7E">
        <w:rPr>
          <w:rFonts w:eastAsiaTheme="minorEastAsia"/>
        </w:rPr>
        <w:t>Sin embargo</w:t>
      </w:r>
      <w:r w:rsidR="00C13B4A" w:rsidRPr="00E04E7E">
        <w:t xml:space="preserve">, </w:t>
      </w:r>
      <w:r w:rsidRPr="00E04E7E">
        <w:t>aunque el volumen de trabajo de t</w:t>
      </w:r>
      <w:r w:rsidR="00E04E7E" w:rsidRPr="00E04E7E">
        <w:t>raducción aumentó en un 35 % en </w:t>
      </w:r>
      <w:r w:rsidR="00C13B4A" w:rsidRPr="00E04E7E">
        <w:t xml:space="preserve">2012/13, </w:t>
      </w:r>
      <w:r w:rsidRPr="00E04E7E">
        <w:t xml:space="preserve">los recursos totales del Servicio Lingüístico únicamente aumentaron en un 15% en el mismo período.  Este aumento se reflejó principalmente en los costos no relativos al personal, es decir, la subcontratación externa de traducciones y la mejora de las herramientas de T.I. para facilitar los procesos de traducción y control de calidad. </w:t>
      </w:r>
    </w:p>
    <w:p w:rsidR="00C13B4A" w:rsidRPr="00E04E7E" w:rsidRDefault="007E5F10" w:rsidP="007E5F10">
      <w:pPr>
        <w:pStyle w:val="ONUMFS"/>
      </w:pPr>
      <w:r w:rsidRPr="00E04E7E">
        <w:t>E</w:t>
      </w:r>
      <w:r w:rsidR="00430C99" w:rsidRPr="00E04E7E">
        <w:t>n</w:t>
      </w:r>
      <w:r w:rsidRPr="00E04E7E">
        <w:t xml:space="preserve"> </w:t>
      </w:r>
      <w:r w:rsidR="00430C99" w:rsidRPr="00E04E7E">
        <w:t xml:space="preserve">el cuadro 2 figura el </w:t>
      </w:r>
      <w:r w:rsidRPr="00E04E7E">
        <w:t xml:space="preserve">costo total anual de los servicios de traducción (desde la aplicación de la Política Lingüística en </w:t>
      </w:r>
      <w:r w:rsidR="00C13B4A" w:rsidRPr="00E04E7E">
        <w:t xml:space="preserve">2010/11).  </w:t>
      </w:r>
      <w:r w:rsidRPr="00E04E7E">
        <w:t>Según parece, mientras el costo del personal interno se ha mantenido por lo general al mismo nivel, los costos de subcontratación externa han fluctuado con arreglo al volumen de trabajo.</w:t>
      </w:r>
    </w:p>
    <w:p w:rsidR="00C13B4A" w:rsidRPr="00E04E7E" w:rsidRDefault="007E5F10" w:rsidP="00C13B4A">
      <w:pPr>
        <w:pStyle w:val="ONUME"/>
        <w:numPr>
          <w:ilvl w:val="0"/>
          <w:numId w:val="0"/>
        </w:numPr>
        <w:jc w:val="center"/>
      </w:pPr>
      <w:r w:rsidRPr="00E04E7E">
        <w:t xml:space="preserve">Cuadro </w:t>
      </w:r>
      <w:r w:rsidR="00C13B4A" w:rsidRPr="00E04E7E">
        <w:t>2</w:t>
      </w:r>
    </w:p>
    <w:p w:rsidR="00C13B4A" w:rsidRPr="00E04E7E" w:rsidRDefault="007E5F10" w:rsidP="00C13B4A">
      <w:pPr>
        <w:pStyle w:val="ONUME"/>
        <w:numPr>
          <w:ilvl w:val="0"/>
          <w:numId w:val="0"/>
        </w:numPr>
        <w:spacing w:after="0"/>
        <w:jc w:val="center"/>
      </w:pPr>
      <w:r w:rsidRPr="00E04E7E">
        <w:t>Costos totales de traducción</w:t>
      </w:r>
      <w:r w:rsidR="00C13B4A" w:rsidRPr="00E04E7E">
        <w:t xml:space="preserve"> </w:t>
      </w:r>
    </w:p>
    <w:p w:rsidR="00C13B4A" w:rsidRPr="00E04E7E" w:rsidRDefault="00C13B4A" w:rsidP="007E5F10">
      <w:pPr>
        <w:pStyle w:val="ONUME"/>
        <w:numPr>
          <w:ilvl w:val="0"/>
          <w:numId w:val="0"/>
        </w:numPr>
        <w:spacing w:after="0"/>
        <w:ind w:left="567"/>
        <w:jc w:val="center"/>
      </w:pPr>
      <w:r w:rsidRPr="00E04E7E">
        <w:t>(</w:t>
      </w:r>
      <w:r w:rsidR="007E5F10" w:rsidRPr="00E04E7E">
        <w:t xml:space="preserve">en miles de </w:t>
      </w:r>
      <w:r w:rsidRPr="00E04E7E">
        <w:t>franc</w:t>
      </w:r>
      <w:r w:rsidR="007E5F10" w:rsidRPr="00E04E7E">
        <w:t>o</w:t>
      </w:r>
      <w:r w:rsidRPr="00E04E7E">
        <w:t>s</w:t>
      </w:r>
      <w:r w:rsidR="007E5F10" w:rsidRPr="00E04E7E">
        <w:t xml:space="preserve"> suizos</w:t>
      </w:r>
      <w:r w:rsidRPr="00E04E7E">
        <w:t>)</w:t>
      </w:r>
    </w:p>
    <w:p w:rsidR="00C13B4A" w:rsidRPr="00E04E7E" w:rsidRDefault="00C13B4A" w:rsidP="00C13B4A">
      <w:pPr>
        <w:pStyle w:val="ONUME"/>
        <w:numPr>
          <w:ilvl w:val="0"/>
          <w:numId w:val="0"/>
        </w:numPr>
        <w:spacing w:after="0"/>
        <w:jc w:val="center"/>
      </w:pPr>
    </w:p>
    <w:tbl>
      <w:tblPr>
        <w:tblW w:w="7920" w:type="dxa"/>
        <w:tblInd w:w="817" w:type="dxa"/>
        <w:tblLook w:val="04A0" w:firstRow="1" w:lastRow="0" w:firstColumn="1" w:lastColumn="0" w:noHBand="0" w:noVBand="1"/>
      </w:tblPr>
      <w:tblGrid>
        <w:gridCol w:w="2560"/>
        <w:gridCol w:w="1340"/>
        <w:gridCol w:w="1340"/>
        <w:gridCol w:w="1340"/>
        <w:gridCol w:w="1340"/>
      </w:tblGrid>
      <w:tr w:rsidR="00C13B4A" w:rsidRPr="00E04E7E" w:rsidTr="00430C99">
        <w:trPr>
          <w:trHeight w:val="375"/>
        </w:trPr>
        <w:tc>
          <w:tcPr>
            <w:tcW w:w="25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C13B4A" w:rsidRPr="00E04E7E" w:rsidRDefault="00C13B4A" w:rsidP="00430C99">
            <w:pPr>
              <w:rPr>
                <w:rFonts w:eastAsia="Times New Roman"/>
                <w:b/>
                <w:bCs/>
                <w:sz w:val="18"/>
                <w:szCs w:val="18"/>
                <w:lang w:eastAsia="en-US"/>
              </w:rPr>
            </w:pPr>
            <w:r w:rsidRPr="00E04E7E">
              <w:rPr>
                <w:rFonts w:eastAsia="Times New Roman"/>
                <w:b/>
                <w:bCs/>
                <w:sz w:val="18"/>
                <w:szCs w:val="18"/>
                <w:lang w:eastAsia="en-US"/>
              </w:rPr>
              <w:t>Cost</w:t>
            </w:r>
            <w:r w:rsidR="007E5F10" w:rsidRPr="00E04E7E">
              <w:rPr>
                <w:rFonts w:eastAsia="Times New Roman"/>
                <w:b/>
                <w:bCs/>
                <w:sz w:val="18"/>
                <w:szCs w:val="18"/>
                <w:lang w:eastAsia="en-US"/>
              </w:rPr>
              <w:t>o</w:t>
            </w:r>
            <w:r w:rsidRPr="00E04E7E">
              <w:rPr>
                <w:rFonts w:eastAsia="Times New Roman"/>
                <w:b/>
                <w:bCs/>
                <w:sz w:val="18"/>
                <w:szCs w:val="18"/>
                <w:lang w:eastAsia="en-US"/>
              </w:rPr>
              <w:t>s</w:t>
            </w:r>
          </w:p>
        </w:tc>
        <w:tc>
          <w:tcPr>
            <w:tcW w:w="1340" w:type="dxa"/>
            <w:tcBorders>
              <w:top w:val="single" w:sz="4" w:space="0" w:color="auto"/>
              <w:left w:val="nil"/>
              <w:bottom w:val="single" w:sz="4" w:space="0" w:color="auto"/>
              <w:right w:val="single" w:sz="4" w:space="0" w:color="auto"/>
            </w:tcBorders>
            <w:shd w:val="clear" w:color="000000" w:fill="BFBFBF"/>
            <w:noWrap/>
            <w:vAlign w:val="center"/>
            <w:hideMark/>
          </w:tcPr>
          <w:p w:rsidR="00C13B4A" w:rsidRPr="00E04E7E" w:rsidRDefault="00C13B4A" w:rsidP="00430C99">
            <w:pPr>
              <w:jc w:val="center"/>
              <w:rPr>
                <w:rFonts w:eastAsia="Times New Roman"/>
                <w:b/>
                <w:bCs/>
                <w:sz w:val="18"/>
                <w:szCs w:val="18"/>
                <w:lang w:eastAsia="en-US"/>
              </w:rPr>
            </w:pPr>
            <w:r w:rsidRPr="00E04E7E">
              <w:rPr>
                <w:rFonts w:eastAsia="Times New Roman"/>
                <w:b/>
                <w:bCs/>
                <w:sz w:val="18"/>
                <w:szCs w:val="18"/>
                <w:lang w:eastAsia="en-US"/>
              </w:rPr>
              <w:t>2010</w:t>
            </w:r>
          </w:p>
        </w:tc>
        <w:tc>
          <w:tcPr>
            <w:tcW w:w="1340" w:type="dxa"/>
            <w:tcBorders>
              <w:top w:val="single" w:sz="4" w:space="0" w:color="auto"/>
              <w:left w:val="nil"/>
              <w:bottom w:val="single" w:sz="4" w:space="0" w:color="auto"/>
              <w:right w:val="single" w:sz="4" w:space="0" w:color="auto"/>
            </w:tcBorders>
            <w:shd w:val="clear" w:color="000000" w:fill="BFBFBF"/>
            <w:noWrap/>
            <w:vAlign w:val="center"/>
            <w:hideMark/>
          </w:tcPr>
          <w:p w:rsidR="00C13B4A" w:rsidRPr="00E04E7E" w:rsidRDefault="00C13B4A" w:rsidP="00430C99">
            <w:pPr>
              <w:jc w:val="center"/>
              <w:rPr>
                <w:rFonts w:eastAsia="Times New Roman"/>
                <w:b/>
                <w:bCs/>
                <w:sz w:val="18"/>
                <w:szCs w:val="18"/>
                <w:lang w:eastAsia="en-US"/>
              </w:rPr>
            </w:pPr>
            <w:r w:rsidRPr="00E04E7E">
              <w:rPr>
                <w:rFonts w:eastAsia="Times New Roman"/>
                <w:b/>
                <w:bCs/>
                <w:sz w:val="18"/>
                <w:szCs w:val="18"/>
                <w:lang w:eastAsia="en-US"/>
              </w:rPr>
              <w:t>2011</w:t>
            </w:r>
          </w:p>
        </w:tc>
        <w:tc>
          <w:tcPr>
            <w:tcW w:w="1340" w:type="dxa"/>
            <w:tcBorders>
              <w:top w:val="single" w:sz="4" w:space="0" w:color="auto"/>
              <w:left w:val="nil"/>
              <w:bottom w:val="single" w:sz="4" w:space="0" w:color="auto"/>
              <w:right w:val="single" w:sz="4" w:space="0" w:color="auto"/>
            </w:tcBorders>
            <w:shd w:val="clear" w:color="000000" w:fill="BFBFBF"/>
            <w:noWrap/>
            <w:vAlign w:val="center"/>
            <w:hideMark/>
          </w:tcPr>
          <w:p w:rsidR="00C13B4A" w:rsidRPr="00E04E7E" w:rsidRDefault="00C13B4A" w:rsidP="00430C99">
            <w:pPr>
              <w:jc w:val="center"/>
              <w:rPr>
                <w:rFonts w:eastAsia="Times New Roman"/>
                <w:b/>
                <w:bCs/>
                <w:sz w:val="18"/>
                <w:szCs w:val="18"/>
                <w:lang w:eastAsia="en-US"/>
              </w:rPr>
            </w:pPr>
            <w:r w:rsidRPr="00E04E7E">
              <w:rPr>
                <w:rFonts w:eastAsia="Times New Roman"/>
                <w:b/>
                <w:bCs/>
                <w:sz w:val="18"/>
                <w:szCs w:val="18"/>
                <w:lang w:eastAsia="en-US"/>
              </w:rPr>
              <w:t>2012</w:t>
            </w:r>
          </w:p>
        </w:tc>
        <w:tc>
          <w:tcPr>
            <w:tcW w:w="1340" w:type="dxa"/>
            <w:tcBorders>
              <w:top w:val="single" w:sz="4" w:space="0" w:color="auto"/>
              <w:left w:val="nil"/>
              <w:bottom w:val="single" w:sz="4" w:space="0" w:color="auto"/>
              <w:right w:val="single" w:sz="4" w:space="0" w:color="auto"/>
            </w:tcBorders>
            <w:shd w:val="clear" w:color="000000" w:fill="BFBFBF"/>
            <w:noWrap/>
            <w:vAlign w:val="center"/>
            <w:hideMark/>
          </w:tcPr>
          <w:p w:rsidR="00C13B4A" w:rsidRPr="00E04E7E" w:rsidRDefault="00C13B4A" w:rsidP="00430C99">
            <w:pPr>
              <w:jc w:val="center"/>
              <w:rPr>
                <w:rFonts w:eastAsia="Times New Roman"/>
                <w:b/>
                <w:bCs/>
                <w:sz w:val="18"/>
                <w:szCs w:val="18"/>
                <w:lang w:eastAsia="en-US"/>
              </w:rPr>
            </w:pPr>
            <w:r w:rsidRPr="00E04E7E">
              <w:rPr>
                <w:rFonts w:eastAsia="Times New Roman"/>
                <w:b/>
                <w:bCs/>
                <w:sz w:val="18"/>
                <w:szCs w:val="18"/>
                <w:lang w:eastAsia="en-US"/>
              </w:rPr>
              <w:t>2013</w:t>
            </w:r>
          </w:p>
        </w:tc>
      </w:tr>
      <w:tr w:rsidR="00C13B4A" w:rsidRPr="00E04E7E" w:rsidTr="00430C9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C13B4A" w:rsidRPr="00E04E7E" w:rsidRDefault="007E5F10" w:rsidP="007E5F10">
            <w:pPr>
              <w:rPr>
                <w:rFonts w:eastAsia="Times New Roman"/>
                <w:sz w:val="18"/>
                <w:szCs w:val="18"/>
                <w:lang w:eastAsia="en-US"/>
              </w:rPr>
            </w:pPr>
            <w:r w:rsidRPr="00E04E7E">
              <w:rPr>
                <w:rFonts w:eastAsia="Times New Roman"/>
                <w:sz w:val="18"/>
                <w:szCs w:val="18"/>
                <w:lang w:eastAsia="en-US"/>
              </w:rPr>
              <w:t xml:space="preserve">Recursos de personal </w:t>
            </w:r>
          </w:p>
        </w:tc>
        <w:tc>
          <w:tcPr>
            <w:tcW w:w="1340" w:type="dxa"/>
            <w:tcBorders>
              <w:top w:val="nil"/>
              <w:left w:val="nil"/>
              <w:bottom w:val="single" w:sz="4" w:space="0" w:color="auto"/>
              <w:right w:val="single" w:sz="4" w:space="0" w:color="auto"/>
            </w:tcBorders>
            <w:shd w:val="clear" w:color="auto" w:fill="auto"/>
            <w:noWrap/>
            <w:vAlign w:val="bottom"/>
            <w:hideMark/>
          </w:tcPr>
          <w:p w:rsidR="00C13B4A" w:rsidRPr="00E04E7E" w:rsidRDefault="00C13B4A" w:rsidP="00430C99">
            <w:pPr>
              <w:jc w:val="right"/>
              <w:rPr>
                <w:rFonts w:eastAsia="Times New Roman"/>
                <w:sz w:val="18"/>
                <w:szCs w:val="18"/>
                <w:lang w:eastAsia="en-US"/>
              </w:rPr>
            </w:pPr>
            <w:r w:rsidRPr="00E04E7E">
              <w:rPr>
                <w:rFonts w:eastAsia="Times New Roman"/>
                <w:sz w:val="18"/>
                <w:szCs w:val="18"/>
                <w:lang w:eastAsia="en-US"/>
              </w:rPr>
              <w:t>7</w:t>
            </w:r>
            <w:r w:rsidR="005C52FB" w:rsidRPr="00E04E7E">
              <w:rPr>
                <w:rFonts w:eastAsia="Times New Roman"/>
                <w:sz w:val="18"/>
                <w:szCs w:val="18"/>
                <w:lang w:eastAsia="en-US"/>
              </w:rPr>
              <w:t>.</w:t>
            </w:r>
            <w:r w:rsidRPr="00E04E7E">
              <w:rPr>
                <w:rFonts w:eastAsia="Times New Roman"/>
                <w:sz w:val="18"/>
                <w:szCs w:val="18"/>
                <w:lang w:eastAsia="en-US"/>
              </w:rPr>
              <w:t>627</w:t>
            </w:r>
          </w:p>
        </w:tc>
        <w:tc>
          <w:tcPr>
            <w:tcW w:w="1340" w:type="dxa"/>
            <w:tcBorders>
              <w:top w:val="nil"/>
              <w:left w:val="nil"/>
              <w:bottom w:val="single" w:sz="4" w:space="0" w:color="auto"/>
              <w:right w:val="single" w:sz="4" w:space="0" w:color="auto"/>
            </w:tcBorders>
            <w:shd w:val="clear" w:color="auto" w:fill="auto"/>
            <w:noWrap/>
            <w:vAlign w:val="bottom"/>
            <w:hideMark/>
          </w:tcPr>
          <w:p w:rsidR="00C13B4A" w:rsidRPr="00E04E7E" w:rsidRDefault="00C13B4A" w:rsidP="00430C99">
            <w:pPr>
              <w:jc w:val="right"/>
              <w:rPr>
                <w:rFonts w:eastAsia="Times New Roman"/>
                <w:sz w:val="18"/>
                <w:szCs w:val="18"/>
                <w:lang w:eastAsia="en-US"/>
              </w:rPr>
            </w:pPr>
            <w:r w:rsidRPr="00E04E7E">
              <w:rPr>
                <w:rFonts w:eastAsia="Times New Roman"/>
                <w:sz w:val="18"/>
                <w:szCs w:val="18"/>
                <w:lang w:eastAsia="en-US"/>
              </w:rPr>
              <w:t>7</w:t>
            </w:r>
            <w:r w:rsidR="005C52FB" w:rsidRPr="00E04E7E">
              <w:rPr>
                <w:rFonts w:eastAsia="Times New Roman"/>
                <w:sz w:val="18"/>
                <w:szCs w:val="18"/>
                <w:lang w:eastAsia="en-US"/>
              </w:rPr>
              <w:t>.</w:t>
            </w:r>
            <w:r w:rsidRPr="00E04E7E">
              <w:rPr>
                <w:rFonts w:eastAsia="Times New Roman"/>
                <w:sz w:val="18"/>
                <w:szCs w:val="18"/>
                <w:lang w:eastAsia="en-US"/>
              </w:rPr>
              <w:t>430</w:t>
            </w:r>
          </w:p>
        </w:tc>
        <w:tc>
          <w:tcPr>
            <w:tcW w:w="1340" w:type="dxa"/>
            <w:tcBorders>
              <w:top w:val="nil"/>
              <w:left w:val="nil"/>
              <w:bottom w:val="single" w:sz="4" w:space="0" w:color="auto"/>
              <w:right w:val="single" w:sz="4" w:space="0" w:color="auto"/>
            </w:tcBorders>
            <w:shd w:val="clear" w:color="auto" w:fill="auto"/>
            <w:noWrap/>
            <w:vAlign w:val="bottom"/>
            <w:hideMark/>
          </w:tcPr>
          <w:p w:rsidR="00C13B4A" w:rsidRPr="00E04E7E" w:rsidRDefault="00C13B4A" w:rsidP="00430C99">
            <w:pPr>
              <w:jc w:val="right"/>
              <w:rPr>
                <w:rFonts w:eastAsia="Times New Roman"/>
                <w:sz w:val="18"/>
                <w:szCs w:val="18"/>
                <w:lang w:eastAsia="en-US"/>
              </w:rPr>
            </w:pPr>
            <w:r w:rsidRPr="00E04E7E">
              <w:rPr>
                <w:rFonts w:eastAsia="Times New Roman"/>
                <w:sz w:val="18"/>
                <w:szCs w:val="18"/>
                <w:lang w:eastAsia="en-US"/>
              </w:rPr>
              <w:t>7</w:t>
            </w:r>
            <w:r w:rsidR="005C52FB" w:rsidRPr="00E04E7E">
              <w:rPr>
                <w:rFonts w:eastAsia="Times New Roman"/>
                <w:sz w:val="18"/>
                <w:szCs w:val="18"/>
                <w:lang w:eastAsia="en-US"/>
              </w:rPr>
              <w:t>.</w:t>
            </w:r>
            <w:r w:rsidRPr="00E04E7E">
              <w:rPr>
                <w:rFonts w:eastAsia="Times New Roman"/>
                <w:sz w:val="18"/>
                <w:szCs w:val="18"/>
                <w:lang w:eastAsia="en-US"/>
              </w:rPr>
              <w:t>116</w:t>
            </w:r>
          </w:p>
        </w:tc>
        <w:tc>
          <w:tcPr>
            <w:tcW w:w="1340" w:type="dxa"/>
            <w:tcBorders>
              <w:top w:val="nil"/>
              <w:left w:val="nil"/>
              <w:bottom w:val="single" w:sz="4" w:space="0" w:color="auto"/>
              <w:right w:val="single" w:sz="4" w:space="0" w:color="auto"/>
            </w:tcBorders>
            <w:shd w:val="clear" w:color="auto" w:fill="auto"/>
            <w:noWrap/>
            <w:vAlign w:val="bottom"/>
            <w:hideMark/>
          </w:tcPr>
          <w:p w:rsidR="00C13B4A" w:rsidRPr="00E04E7E" w:rsidRDefault="00C13B4A" w:rsidP="00430C99">
            <w:pPr>
              <w:jc w:val="right"/>
              <w:rPr>
                <w:rFonts w:eastAsia="Times New Roman"/>
                <w:sz w:val="18"/>
                <w:szCs w:val="18"/>
                <w:lang w:eastAsia="en-US"/>
              </w:rPr>
            </w:pPr>
            <w:r w:rsidRPr="00E04E7E">
              <w:rPr>
                <w:rFonts w:eastAsia="Times New Roman"/>
                <w:sz w:val="18"/>
                <w:szCs w:val="18"/>
                <w:lang w:eastAsia="en-US"/>
              </w:rPr>
              <w:t>7</w:t>
            </w:r>
            <w:r w:rsidR="005C52FB" w:rsidRPr="00E04E7E">
              <w:rPr>
                <w:rFonts w:eastAsia="Times New Roman"/>
                <w:sz w:val="18"/>
                <w:szCs w:val="18"/>
                <w:lang w:eastAsia="en-US"/>
              </w:rPr>
              <w:t>.</w:t>
            </w:r>
            <w:r w:rsidRPr="00E04E7E">
              <w:rPr>
                <w:rFonts w:eastAsia="Times New Roman"/>
                <w:sz w:val="18"/>
                <w:szCs w:val="18"/>
                <w:lang w:eastAsia="en-US"/>
              </w:rPr>
              <w:t>348</w:t>
            </w:r>
          </w:p>
        </w:tc>
      </w:tr>
      <w:tr w:rsidR="00C13B4A" w:rsidRPr="00E04E7E" w:rsidTr="00430C99">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C13B4A" w:rsidRPr="00E04E7E" w:rsidRDefault="007E5F10" w:rsidP="00430C99">
            <w:pPr>
              <w:rPr>
                <w:rFonts w:eastAsia="Times New Roman"/>
                <w:sz w:val="18"/>
                <w:szCs w:val="18"/>
                <w:lang w:eastAsia="en-US"/>
              </w:rPr>
            </w:pPr>
            <w:r w:rsidRPr="00E04E7E">
              <w:rPr>
                <w:rFonts w:eastAsia="Times New Roman"/>
                <w:sz w:val="18"/>
                <w:szCs w:val="18"/>
                <w:lang w:eastAsia="en-US"/>
              </w:rPr>
              <w:t>Subcontratación externa</w:t>
            </w:r>
          </w:p>
        </w:tc>
        <w:tc>
          <w:tcPr>
            <w:tcW w:w="1340" w:type="dxa"/>
            <w:tcBorders>
              <w:top w:val="nil"/>
              <w:left w:val="nil"/>
              <w:bottom w:val="single" w:sz="4" w:space="0" w:color="auto"/>
              <w:right w:val="single" w:sz="4" w:space="0" w:color="auto"/>
            </w:tcBorders>
            <w:shd w:val="clear" w:color="auto" w:fill="auto"/>
            <w:noWrap/>
            <w:vAlign w:val="bottom"/>
            <w:hideMark/>
          </w:tcPr>
          <w:p w:rsidR="00C13B4A" w:rsidRPr="00E04E7E" w:rsidRDefault="00C13B4A" w:rsidP="00430C99">
            <w:pPr>
              <w:jc w:val="right"/>
              <w:rPr>
                <w:rFonts w:eastAsia="Times New Roman"/>
                <w:sz w:val="18"/>
                <w:szCs w:val="18"/>
                <w:lang w:eastAsia="en-US"/>
              </w:rPr>
            </w:pPr>
            <w:r w:rsidRPr="00E04E7E">
              <w:rPr>
                <w:rFonts w:eastAsia="Times New Roman"/>
                <w:sz w:val="18"/>
                <w:szCs w:val="18"/>
                <w:lang w:eastAsia="en-US"/>
              </w:rPr>
              <w:t>1</w:t>
            </w:r>
            <w:r w:rsidR="005C52FB" w:rsidRPr="00E04E7E">
              <w:rPr>
                <w:rFonts w:eastAsia="Times New Roman"/>
                <w:sz w:val="18"/>
                <w:szCs w:val="18"/>
                <w:lang w:eastAsia="en-US"/>
              </w:rPr>
              <w:t>.</w:t>
            </w:r>
            <w:r w:rsidRPr="00E04E7E">
              <w:rPr>
                <w:rFonts w:eastAsia="Times New Roman"/>
                <w:sz w:val="18"/>
                <w:szCs w:val="18"/>
                <w:lang w:eastAsia="en-US"/>
              </w:rPr>
              <w:t>027</w:t>
            </w:r>
          </w:p>
        </w:tc>
        <w:tc>
          <w:tcPr>
            <w:tcW w:w="1340" w:type="dxa"/>
            <w:tcBorders>
              <w:top w:val="nil"/>
              <w:left w:val="nil"/>
              <w:bottom w:val="single" w:sz="4" w:space="0" w:color="auto"/>
              <w:right w:val="single" w:sz="4" w:space="0" w:color="auto"/>
            </w:tcBorders>
            <w:shd w:val="clear" w:color="auto" w:fill="auto"/>
            <w:noWrap/>
            <w:vAlign w:val="bottom"/>
            <w:hideMark/>
          </w:tcPr>
          <w:p w:rsidR="00C13B4A" w:rsidRPr="00E04E7E" w:rsidRDefault="00C13B4A" w:rsidP="00430C99">
            <w:pPr>
              <w:jc w:val="right"/>
              <w:rPr>
                <w:rFonts w:eastAsia="Times New Roman"/>
                <w:sz w:val="18"/>
                <w:szCs w:val="18"/>
                <w:lang w:eastAsia="en-US"/>
              </w:rPr>
            </w:pPr>
            <w:r w:rsidRPr="00E04E7E">
              <w:rPr>
                <w:rFonts w:eastAsia="Times New Roman"/>
                <w:sz w:val="18"/>
                <w:szCs w:val="18"/>
                <w:lang w:eastAsia="en-US"/>
              </w:rPr>
              <w:t>1</w:t>
            </w:r>
            <w:r w:rsidR="005C52FB" w:rsidRPr="00E04E7E">
              <w:rPr>
                <w:rFonts w:eastAsia="Times New Roman"/>
                <w:sz w:val="18"/>
                <w:szCs w:val="18"/>
                <w:lang w:eastAsia="en-US"/>
              </w:rPr>
              <w:t>.</w:t>
            </w:r>
            <w:r w:rsidRPr="00E04E7E">
              <w:rPr>
                <w:rFonts w:eastAsia="Times New Roman"/>
                <w:sz w:val="18"/>
                <w:szCs w:val="18"/>
                <w:lang w:eastAsia="en-US"/>
              </w:rPr>
              <w:t>562</w:t>
            </w:r>
          </w:p>
        </w:tc>
        <w:tc>
          <w:tcPr>
            <w:tcW w:w="1340" w:type="dxa"/>
            <w:tcBorders>
              <w:top w:val="nil"/>
              <w:left w:val="nil"/>
              <w:bottom w:val="single" w:sz="4" w:space="0" w:color="auto"/>
              <w:right w:val="single" w:sz="4" w:space="0" w:color="auto"/>
            </w:tcBorders>
            <w:shd w:val="clear" w:color="auto" w:fill="auto"/>
            <w:noWrap/>
            <w:vAlign w:val="bottom"/>
            <w:hideMark/>
          </w:tcPr>
          <w:p w:rsidR="00C13B4A" w:rsidRPr="00E04E7E" w:rsidRDefault="00C13B4A" w:rsidP="00430C99">
            <w:pPr>
              <w:jc w:val="right"/>
              <w:rPr>
                <w:rFonts w:eastAsia="Times New Roman"/>
                <w:sz w:val="18"/>
                <w:szCs w:val="18"/>
                <w:lang w:eastAsia="en-US"/>
              </w:rPr>
            </w:pPr>
            <w:r w:rsidRPr="00E04E7E">
              <w:rPr>
                <w:rFonts w:eastAsia="Times New Roman"/>
                <w:sz w:val="18"/>
                <w:szCs w:val="18"/>
                <w:lang w:eastAsia="en-US"/>
              </w:rPr>
              <w:t>2</w:t>
            </w:r>
            <w:r w:rsidR="005C52FB" w:rsidRPr="00E04E7E">
              <w:rPr>
                <w:rFonts w:eastAsia="Times New Roman"/>
                <w:sz w:val="18"/>
                <w:szCs w:val="18"/>
                <w:lang w:eastAsia="en-US"/>
              </w:rPr>
              <w:t>.</w:t>
            </w:r>
            <w:r w:rsidRPr="00E04E7E">
              <w:rPr>
                <w:rFonts w:eastAsia="Times New Roman"/>
                <w:sz w:val="18"/>
                <w:szCs w:val="18"/>
                <w:lang w:eastAsia="en-US"/>
              </w:rPr>
              <w:t>702</w:t>
            </w:r>
          </w:p>
        </w:tc>
        <w:tc>
          <w:tcPr>
            <w:tcW w:w="1340" w:type="dxa"/>
            <w:tcBorders>
              <w:top w:val="nil"/>
              <w:left w:val="nil"/>
              <w:bottom w:val="single" w:sz="4" w:space="0" w:color="auto"/>
              <w:right w:val="single" w:sz="4" w:space="0" w:color="auto"/>
            </w:tcBorders>
            <w:shd w:val="clear" w:color="auto" w:fill="auto"/>
            <w:noWrap/>
            <w:vAlign w:val="bottom"/>
            <w:hideMark/>
          </w:tcPr>
          <w:p w:rsidR="00C13B4A" w:rsidRPr="00E04E7E" w:rsidRDefault="00C13B4A" w:rsidP="00430C99">
            <w:pPr>
              <w:jc w:val="right"/>
              <w:rPr>
                <w:rFonts w:eastAsia="Times New Roman"/>
                <w:sz w:val="18"/>
                <w:szCs w:val="18"/>
                <w:lang w:eastAsia="en-US"/>
              </w:rPr>
            </w:pPr>
            <w:r w:rsidRPr="00E04E7E">
              <w:rPr>
                <w:rFonts w:eastAsia="Times New Roman"/>
                <w:sz w:val="18"/>
                <w:szCs w:val="18"/>
                <w:lang w:eastAsia="en-US"/>
              </w:rPr>
              <w:t>2</w:t>
            </w:r>
            <w:r w:rsidR="005C52FB" w:rsidRPr="00E04E7E">
              <w:rPr>
                <w:rFonts w:eastAsia="Times New Roman"/>
                <w:sz w:val="18"/>
                <w:szCs w:val="18"/>
                <w:lang w:eastAsia="en-US"/>
              </w:rPr>
              <w:t>.</w:t>
            </w:r>
            <w:r w:rsidRPr="00E04E7E">
              <w:rPr>
                <w:rFonts w:eastAsia="Times New Roman"/>
                <w:sz w:val="18"/>
                <w:szCs w:val="18"/>
                <w:lang w:eastAsia="en-US"/>
              </w:rPr>
              <w:t>103</w:t>
            </w:r>
          </w:p>
        </w:tc>
      </w:tr>
      <w:tr w:rsidR="00C13B4A" w:rsidRPr="00E04E7E" w:rsidTr="00430C99">
        <w:trPr>
          <w:trHeight w:val="360"/>
        </w:trPr>
        <w:tc>
          <w:tcPr>
            <w:tcW w:w="2560" w:type="dxa"/>
            <w:tcBorders>
              <w:top w:val="nil"/>
              <w:left w:val="single" w:sz="4" w:space="0" w:color="auto"/>
              <w:bottom w:val="single" w:sz="4" w:space="0" w:color="auto"/>
              <w:right w:val="single" w:sz="4" w:space="0" w:color="auto"/>
            </w:tcBorders>
            <w:shd w:val="clear" w:color="000000" w:fill="BFBFBF"/>
            <w:noWrap/>
            <w:vAlign w:val="bottom"/>
            <w:hideMark/>
          </w:tcPr>
          <w:p w:rsidR="00C13B4A" w:rsidRPr="00E04E7E" w:rsidRDefault="00C13B4A" w:rsidP="00430C99">
            <w:pPr>
              <w:jc w:val="right"/>
              <w:rPr>
                <w:rFonts w:eastAsia="Times New Roman"/>
                <w:b/>
                <w:bCs/>
                <w:sz w:val="18"/>
                <w:szCs w:val="18"/>
                <w:lang w:eastAsia="en-US"/>
              </w:rPr>
            </w:pPr>
            <w:r w:rsidRPr="00E04E7E">
              <w:rPr>
                <w:rFonts w:eastAsia="Times New Roman"/>
                <w:b/>
                <w:bCs/>
                <w:sz w:val="18"/>
                <w:szCs w:val="18"/>
                <w:lang w:eastAsia="en-US"/>
              </w:rPr>
              <w:t>Total</w:t>
            </w:r>
          </w:p>
        </w:tc>
        <w:tc>
          <w:tcPr>
            <w:tcW w:w="1340" w:type="dxa"/>
            <w:tcBorders>
              <w:top w:val="nil"/>
              <w:left w:val="nil"/>
              <w:bottom w:val="single" w:sz="4" w:space="0" w:color="auto"/>
              <w:right w:val="single" w:sz="4" w:space="0" w:color="auto"/>
            </w:tcBorders>
            <w:shd w:val="clear" w:color="000000" w:fill="BFBFBF"/>
            <w:noWrap/>
            <w:vAlign w:val="bottom"/>
            <w:hideMark/>
          </w:tcPr>
          <w:p w:rsidR="00C13B4A" w:rsidRPr="00E04E7E" w:rsidRDefault="00C13B4A" w:rsidP="00430C99">
            <w:pPr>
              <w:jc w:val="right"/>
              <w:rPr>
                <w:rFonts w:eastAsia="Times New Roman"/>
                <w:b/>
                <w:bCs/>
                <w:sz w:val="18"/>
                <w:szCs w:val="18"/>
                <w:lang w:eastAsia="en-US"/>
              </w:rPr>
            </w:pPr>
            <w:r w:rsidRPr="00E04E7E">
              <w:rPr>
                <w:rFonts w:eastAsia="Times New Roman"/>
                <w:b/>
                <w:bCs/>
                <w:sz w:val="18"/>
                <w:szCs w:val="18"/>
                <w:lang w:eastAsia="en-US"/>
              </w:rPr>
              <w:t>8</w:t>
            </w:r>
            <w:r w:rsidR="005C52FB" w:rsidRPr="00E04E7E">
              <w:rPr>
                <w:rFonts w:eastAsia="Times New Roman"/>
                <w:b/>
                <w:bCs/>
                <w:sz w:val="18"/>
                <w:szCs w:val="18"/>
                <w:lang w:eastAsia="en-US"/>
              </w:rPr>
              <w:t>.</w:t>
            </w:r>
            <w:r w:rsidRPr="00E04E7E">
              <w:rPr>
                <w:rFonts w:eastAsia="Times New Roman"/>
                <w:b/>
                <w:bCs/>
                <w:sz w:val="18"/>
                <w:szCs w:val="18"/>
                <w:lang w:eastAsia="en-US"/>
              </w:rPr>
              <w:t>654</w:t>
            </w:r>
          </w:p>
        </w:tc>
        <w:tc>
          <w:tcPr>
            <w:tcW w:w="1340" w:type="dxa"/>
            <w:tcBorders>
              <w:top w:val="nil"/>
              <w:left w:val="nil"/>
              <w:bottom w:val="single" w:sz="4" w:space="0" w:color="auto"/>
              <w:right w:val="single" w:sz="4" w:space="0" w:color="auto"/>
            </w:tcBorders>
            <w:shd w:val="clear" w:color="000000" w:fill="BFBFBF"/>
            <w:noWrap/>
            <w:vAlign w:val="bottom"/>
            <w:hideMark/>
          </w:tcPr>
          <w:p w:rsidR="00C13B4A" w:rsidRPr="00E04E7E" w:rsidRDefault="00C13B4A" w:rsidP="00430C99">
            <w:pPr>
              <w:jc w:val="right"/>
              <w:rPr>
                <w:rFonts w:eastAsia="Times New Roman"/>
                <w:b/>
                <w:bCs/>
                <w:sz w:val="18"/>
                <w:szCs w:val="18"/>
                <w:lang w:eastAsia="en-US"/>
              </w:rPr>
            </w:pPr>
            <w:r w:rsidRPr="00E04E7E">
              <w:rPr>
                <w:rFonts w:eastAsia="Times New Roman"/>
                <w:b/>
                <w:bCs/>
                <w:sz w:val="18"/>
                <w:szCs w:val="18"/>
                <w:lang w:eastAsia="en-US"/>
              </w:rPr>
              <w:t>8</w:t>
            </w:r>
            <w:r w:rsidR="005C52FB" w:rsidRPr="00E04E7E">
              <w:rPr>
                <w:rFonts w:eastAsia="Times New Roman"/>
                <w:b/>
                <w:bCs/>
                <w:sz w:val="18"/>
                <w:szCs w:val="18"/>
                <w:lang w:eastAsia="en-US"/>
              </w:rPr>
              <w:t>.</w:t>
            </w:r>
            <w:r w:rsidRPr="00E04E7E">
              <w:rPr>
                <w:rFonts w:eastAsia="Times New Roman"/>
                <w:b/>
                <w:bCs/>
                <w:sz w:val="18"/>
                <w:szCs w:val="18"/>
                <w:lang w:eastAsia="en-US"/>
              </w:rPr>
              <w:t>992</w:t>
            </w:r>
          </w:p>
        </w:tc>
        <w:tc>
          <w:tcPr>
            <w:tcW w:w="1340" w:type="dxa"/>
            <w:tcBorders>
              <w:top w:val="nil"/>
              <w:left w:val="nil"/>
              <w:bottom w:val="single" w:sz="4" w:space="0" w:color="auto"/>
              <w:right w:val="single" w:sz="4" w:space="0" w:color="auto"/>
            </w:tcBorders>
            <w:shd w:val="clear" w:color="000000" w:fill="BFBFBF"/>
            <w:noWrap/>
            <w:vAlign w:val="bottom"/>
            <w:hideMark/>
          </w:tcPr>
          <w:p w:rsidR="00C13B4A" w:rsidRPr="00E04E7E" w:rsidRDefault="00C13B4A" w:rsidP="00430C99">
            <w:pPr>
              <w:jc w:val="right"/>
              <w:rPr>
                <w:rFonts w:eastAsia="Times New Roman"/>
                <w:b/>
                <w:bCs/>
                <w:sz w:val="18"/>
                <w:szCs w:val="18"/>
                <w:lang w:eastAsia="en-US"/>
              </w:rPr>
            </w:pPr>
            <w:r w:rsidRPr="00E04E7E">
              <w:rPr>
                <w:rFonts w:eastAsia="Times New Roman"/>
                <w:b/>
                <w:bCs/>
                <w:sz w:val="18"/>
                <w:szCs w:val="18"/>
                <w:lang w:eastAsia="en-US"/>
              </w:rPr>
              <w:t>9</w:t>
            </w:r>
            <w:r w:rsidR="005C52FB" w:rsidRPr="00E04E7E">
              <w:rPr>
                <w:rFonts w:eastAsia="Times New Roman"/>
                <w:b/>
                <w:bCs/>
                <w:sz w:val="18"/>
                <w:szCs w:val="18"/>
                <w:lang w:eastAsia="en-US"/>
              </w:rPr>
              <w:t>.</w:t>
            </w:r>
            <w:r w:rsidRPr="00E04E7E">
              <w:rPr>
                <w:rFonts w:eastAsia="Times New Roman"/>
                <w:b/>
                <w:bCs/>
                <w:sz w:val="18"/>
                <w:szCs w:val="18"/>
                <w:lang w:eastAsia="en-US"/>
              </w:rPr>
              <w:t>818</w:t>
            </w:r>
          </w:p>
        </w:tc>
        <w:tc>
          <w:tcPr>
            <w:tcW w:w="1340" w:type="dxa"/>
            <w:tcBorders>
              <w:top w:val="nil"/>
              <w:left w:val="nil"/>
              <w:bottom w:val="single" w:sz="4" w:space="0" w:color="auto"/>
              <w:right w:val="single" w:sz="4" w:space="0" w:color="auto"/>
            </w:tcBorders>
            <w:shd w:val="clear" w:color="000000" w:fill="BFBFBF"/>
            <w:noWrap/>
            <w:vAlign w:val="bottom"/>
            <w:hideMark/>
          </w:tcPr>
          <w:p w:rsidR="00C13B4A" w:rsidRPr="00E04E7E" w:rsidRDefault="00C13B4A" w:rsidP="00430C99">
            <w:pPr>
              <w:jc w:val="right"/>
              <w:rPr>
                <w:rFonts w:eastAsia="Times New Roman"/>
                <w:b/>
                <w:bCs/>
                <w:sz w:val="18"/>
                <w:szCs w:val="18"/>
                <w:lang w:eastAsia="en-US"/>
              </w:rPr>
            </w:pPr>
            <w:r w:rsidRPr="00E04E7E">
              <w:rPr>
                <w:rFonts w:eastAsia="Times New Roman"/>
                <w:b/>
                <w:bCs/>
                <w:sz w:val="18"/>
                <w:szCs w:val="18"/>
                <w:lang w:eastAsia="en-US"/>
              </w:rPr>
              <w:t>9</w:t>
            </w:r>
            <w:r w:rsidR="005C52FB" w:rsidRPr="00E04E7E">
              <w:rPr>
                <w:rFonts w:eastAsia="Times New Roman"/>
                <w:b/>
                <w:bCs/>
                <w:sz w:val="18"/>
                <w:szCs w:val="18"/>
                <w:lang w:eastAsia="en-US"/>
              </w:rPr>
              <w:t>.</w:t>
            </w:r>
            <w:r w:rsidRPr="00E04E7E">
              <w:rPr>
                <w:rFonts w:eastAsia="Times New Roman"/>
                <w:b/>
                <w:bCs/>
                <w:sz w:val="18"/>
                <w:szCs w:val="18"/>
                <w:lang w:eastAsia="en-US"/>
              </w:rPr>
              <w:t>451</w:t>
            </w:r>
          </w:p>
        </w:tc>
      </w:tr>
    </w:tbl>
    <w:p w:rsidR="00C13B4A" w:rsidRPr="00E04E7E" w:rsidRDefault="00C13B4A" w:rsidP="00C13B4A">
      <w:pPr>
        <w:pStyle w:val="ONUME"/>
        <w:numPr>
          <w:ilvl w:val="0"/>
          <w:numId w:val="0"/>
        </w:numPr>
      </w:pPr>
    </w:p>
    <w:p w:rsidR="00C13B4A" w:rsidRPr="00E04E7E" w:rsidRDefault="00BB5B11" w:rsidP="00C13B4A">
      <w:pPr>
        <w:pStyle w:val="ONUMFS"/>
        <w:rPr>
          <w:u w:val="single"/>
        </w:rPr>
      </w:pPr>
      <w:r w:rsidRPr="00E04E7E">
        <w:t xml:space="preserve">Debido al elevado nivel de subcontratación externa, la mezcla de contratos de traductores internos y externos, el fomento de las iniciativas para racionalizar los procesos operativos, tanto en las actividades preliminares como durante el proceso de traducción, así como el uso efectivo de herramientas de T.I. aplicadas a la traducción, se han producido algunos ahorros, y el costo medio </w:t>
      </w:r>
      <w:r w:rsidR="00341A94" w:rsidRPr="00E04E7E">
        <w:t>por</w:t>
      </w:r>
      <w:r w:rsidRPr="00E04E7E">
        <w:t xml:space="preserve"> página traducida se ha reducido de 213 francos suizos en </w:t>
      </w:r>
      <w:r w:rsidR="00C13B4A" w:rsidRPr="00E04E7E">
        <w:t xml:space="preserve">2010/11 </w:t>
      </w:r>
      <w:r w:rsidRPr="00E04E7E">
        <w:t xml:space="preserve">a </w:t>
      </w:r>
      <w:r w:rsidR="00C13B4A" w:rsidRPr="00E04E7E">
        <w:t>191 franc</w:t>
      </w:r>
      <w:r w:rsidRPr="00E04E7E">
        <w:t>o</w:t>
      </w:r>
      <w:r w:rsidR="00C13B4A" w:rsidRPr="00E04E7E">
        <w:t xml:space="preserve">s </w:t>
      </w:r>
      <w:r w:rsidRPr="00E04E7E">
        <w:t xml:space="preserve">suizos en </w:t>
      </w:r>
      <w:r w:rsidR="00C13B4A" w:rsidRPr="00E04E7E">
        <w:t xml:space="preserve">2012/13.  </w:t>
      </w:r>
      <w:r w:rsidRPr="00E04E7E">
        <w:t>Los ahorros resultantes de esas medidas de fomento de la eficiencia ascendieron a 2,2 millones de francos suizos.  La reducción del costo por página traducida también está en concordancia con el indicador de rendimie</w:t>
      </w:r>
      <w:r w:rsidR="00E04E7E" w:rsidRPr="00E04E7E">
        <w:t>nto (10%) fijado para el bienio </w:t>
      </w:r>
      <w:r w:rsidR="00C13B4A" w:rsidRPr="00E04E7E">
        <w:t>2012/13.</w:t>
      </w:r>
      <w:r w:rsidRPr="00E04E7E">
        <w:t xml:space="preserve"> </w:t>
      </w:r>
    </w:p>
    <w:p w:rsidR="00BB5B11" w:rsidRPr="00E04E7E" w:rsidRDefault="00BB5B11" w:rsidP="00C13B4A">
      <w:pPr>
        <w:pStyle w:val="ONUMFS"/>
        <w:rPr>
          <w:szCs w:val="22"/>
        </w:rPr>
      </w:pPr>
      <w:r w:rsidRPr="00E04E7E">
        <w:rPr>
          <w:szCs w:val="22"/>
        </w:rPr>
        <w:t xml:space="preserve">Los ahorros también se debieron a la subcontratación de la labor de traducción al español y al francés encargada a empresas externas, </w:t>
      </w:r>
      <w:r w:rsidR="00A270B3" w:rsidRPr="00E04E7E">
        <w:rPr>
          <w:szCs w:val="22"/>
        </w:rPr>
        <w:t>con un</w:t>
      </w:r>
      <w:r w:rsidR="008E770F" w:rsidRPr="00E04E7E">
        <w:rPr>
          <w:szCs w:val="22"/>
        </w:rPr>
        <w:t xml:space="preserve"> costo unitario medio inferior en un 38% al de los traductores individuales.  </w:t>
      </w:r>
      <w:r w:rsidR="00A270B3" w:rsidRPr="00E04E7E">
        <w:rPr>
          <w:szCs w:val="22"/>
        </w:rPr>
        <w:t>Aunque la labor subcontratada a las empresas, que comenzó e</w:t>
      </w:r>
      <w:r w:rsidR="00690BAE" w:rsidRPr="00E04E7E">
        <w:rPr>
          <w:szCs w:val="22"/>
        </w:rPr>
        <w:t>n el bienio anterior, exigía una revisión más detenida</w:t>
      </w:r>
      <w:r w:rsidR="00A270B3" w:rsidRPr="00E04E7E">
        <w:rPr>
          <w:szCs w:val="22"/>
        </w:rPr>
        <w:t xml:space="preserve"> del equipo interno como parte del proceso de control de calidad (por lo que dicho equipo tuvo que de</w:t>
      </w:r>
      <w:r w:rsidR="00D040CB" w:rsidRPr="00E04E7E">
        <w:rPr>
          <w:szCs w:val="22"/>
        </w:rPr>
        <w:t xml:space="preserve">dicar más tiempo a esa labor), </w:t>
      </w:r>
      <w:r w:rsidR="00A270B3" w:rsidRPr="00E04E7E">
        <w:rPr>
          <w:szCs w:val="22"/>
        </w:rPr>
        <w:t>dio lugar a un ahorro neto de unos 99.000 francos suizos en 2013.  Está previsto que dichos ahorros se incrementen en el futuro mediante la asignación de la labor de traducción a empresas similares en otros idiomas, sin comprometer la calidad.</w:t>
      </w:r>
      <w:r w:rsidRPr="00E04E7E">
        <w:rPr>
          <w:szCs w:val="22"/>
        </w:rPr>
        <w:t xml:space="preserve"> </w:t>
      </w:r>
    </w:p>
    <w:p w:rsidR="00C13B4A" w:rsidRPr="00E04E7E" w:rsidRDefault="00B55E10" w:rsidP="00C13B4A">
      <w:pPr>
        <w:pStyle w:val="Heading3"/>
      </w:pPr>
      <w:r w:rsidRPr="00E04E7E">
        <w:t>Herramientas de terminología y traducción asistida por computadora</w:t>
      </w:r>
    </w:p>
    <w:p w:rsidR="00C13B4A" w:rsidRPr="00E04E7E" w:rsidRDefault="00C13B4A" w:rsidP="00C13B4A"/>
    <w:p w:rsidR="00B55E10" w:rsidRPr="00E04E7E" w:rsidRDefault="00B55E10" w:rsidP="00C13B4A">
      <w:pPr>
        <w:pStyle w:val="ONUMFS"/>
      </w:pPr>
      <w:r w:rsidRPr="00E04E7E">
        <w:t xml:space="preserve">En tanto que medida para promover la eficiencia, mejorar la calidad y fomentar la productividad, la Secretaría fomentó el uso de herramientas de terminología y traducción asistida por computadora durante el bienio </w:t>
      </w:r>
      <w:r w:rsidR="00C13B4A" w:rsidRPr="00E04E7E">
        <w:t xml:space="preserve">2012/13.  </w:t>
      </w:r>
      <w:r w:rsidRPr="00E04E7E">
        <w:t>Tras un riguroso proceso de identificación y selección, se adquirieron y se instalaron nuevas herramientas de ese tipo en 2013.  La experiencia preliminar obtenida tras un año de uso ha puesto de manifiesto algunas ventajas, por ejemplo:  la normalización de la terminología, el reconocimiento automático de texto traducido previamente, la coherencia, la productividad y el control de calidad.</w:t>
      </w:r>
    </w:p>
    <w:p w:rsidR="00C13B4A" w:rsidRPr="00E04E7E" w:rsidRDefault="00B55E10" w:rsidP="00C13B4A">
      <w:pPr>
        <w:pStyle w:val="Heading3"/>
        <w:rPr>
          <w:u w:color="000000"/>
        </w:rPr>
      </w:pPr>
      <w:r w:rsidRPr="00E04E7E">
        <w:rPr>
          <w:u w:color="000000"/>
        </w:rPr>
        <w:t xml:space="preserve">Ampliación al sitio web de la cobertura en seis idiomas </w:t>
      </w:r>
    </w:p>
    <w:p w:rsidR="00C13B4A" w:rsidRPr="00E04E7E" w:rsidRDefault="00C13B4A" w:rsidP="00C13B4A">
      <w:pPr>
        <w:rPr>
          <w:szCs w:val="22"/>
        </w:rPr>
      </w:pPr>
    </w:p>
    <w:p w:rsidR="00B55E10" w:rsidRPr="00E04E7E" w:rsidRDefault="00B55E10" w:rsidP="00C13B4A">
      <w:pPr>
        <w:pStyle w:val="ONUMFS"/>
        <w:rPr>
          <w:szCs w:val="22"/>
          <w:u w:color="000000"/>
        </w:rPr>
      </w:pPr>
      <w:r w:rsidRPr="00E04E7E">
        <w:rPr>
          <w:szCs w:val="22"/>
          <w:u w:color="000000"/>
        </w:rPr>
        <w:t>En noviembre de 2013 se inauguró el sitio web de la OMPI restructurado y rediseñado (fase 1).  Antes de la inauguración, y como parte de la restructuración, se suprimieron numerosas páginas desfasadas o innecesarias, al tiempo que se crearon nuevos textos y p</w:t>
      </w:r>
      <w:r w:rsidR="00430C99" w:rsidRPr="00E04E7E">
        <w:rPr>
          <w:szCs w:val="22"/>
          <w:u w:color="000000"/>
        </w:rPr>
        <w:t>áginas, además de</w:t>
      </w:r>
      <w:r w:rsidRPr="00E04E7E">
        <w:rPr>
          <w:szCs w:val="22"/>
          <w:u w:color="000000"/>
        </w:rPr>
        <w:t xml:space="preserve"> </w:t>
      </w:r>
      <w:r w:rsidR="00542795" w:rsidRPr="00E04E7E">
        <w:rPr>
          <w:szCs w:val="22"/>
          <w:u w:color="000000"/>
        </w:rPr>
        <w:t>remodelar por completo</w:t>
      </w:r>
      <w:r w:rsidRPr="00E04E7E">
        <w:rPr>
          <w:szCs w:val="22"/>
          <w:u w:color="000000"/>
        </w:rPr>
        <w:t xml:space="preserve"> el portal y todas las páginas de entrada (Servicios de P.I., Política, Cooperación, Referencias, Sobre la P.I. y La OMPI por dentro).  </w:t>
      </w:r>
      <w:r w:rsidR="00FD5587" w:rsidRPr="00E04E7E">
        <w:rPr>
          <w:szCs w:val="22"/>
          <w:u w:color="000000"/>
        </w:rPr>
        <w:t>Los textos de</w:t>
      </w:r>
      <w:r w:rsidRPr="00E04E7E">
        <w:rPr>
          <w:szCs w:val="22"/>
          <w:u w:color="000000"/>
        </w:rPr>
        <w:t>l po</w:t>
      </w:r>
      <w:r w:rsidR="007D7DDB" w:rsidRPr="00E04E7E">
        <w:rPr>
          <w:szCs w:val="22"/>
          <w:u w:color="000000"/>
        </w:rPr>
        <w:t xml:space="preserve">rtal y </w:t>
      </w:r>
      <w:r w:rsidR="00FD5587" w:rsidRPr="00E04E7E">
        <w:rPr>
          <w:szCs w:val="22"/>
          <w:u w:color="000000"/>
        </w:rPr>
        <w:t>de</w:t>
      </w:r>
      <w:r w:rsidR="007D7DDB" w:rsidRPr="00E04E7E">
        <w:rPr>
          <w:szCs w:val="22"/>
          <w:u w:color="000000"/>
        </w:rPr>
        <w:t xml:space="preserve"> las páginas principales </w:t>
      </w:r>
      <w:r w:rsidR="00FD5587" w:rsidRPr="00E04E7E">
        <w:rPr>
          <w:szCs w:val="22"/>
          <w:u w:color="000000"/>
        </w:rPr>
        <w:t>se publicaron</w:t>
      </w:r>
      <w:r w:rsidRPr="00E04E7E">
        <w:rPr>
          <w:szCs w:val="22"/>
          <w:u w:color="000000"/>
        </w:rPr>
        <w:t xml:space="preserve"> en los seis idiomas oficiales.  Está en marcha la traducción e implementación del sitio en los seis idiomas, sobre la base de </w:t>
      </w:r>
      <w:r w:rsidR="009A0315" w:rsidRPr="00E04E7E">
        <w:rPr>
          <w:szCs w:val="22"/>
          <w:u w:color="000000"/>
        </w:rPr>
        <w:t xml:space="preserve">los </w:t>
      </w:r>
      <w:r w:rsidRPr="00E04E7E">
        <w:rPr>
          <w:szCs w:val="22"/>
          <w:u w:color="000000"/>
        </w:rPr>
        <w:t xml:space="preserve">planes de trabajo y los recursos disponibles.  La fase 2 del nuevo diseño del sitio web comprenderá la supresión o </w:t>
      </w:r>
      <w:r w:rsidR="00E54691" w:rsidRPr="00E04E7E">
        <w:rPr>
          <w:szCs w:val="22"/>
          <w:u w:color="000000"/>
        </w:rPr>
        <w:t>revisión</w:t>
      </w:r>
      <w:r w:rsidRPr="00E04E7E">
        <w:rPr>
          <w:szCs w:val="22"/>
          <w:u w:color="000000"/>
        </w:rPr>
        <w:t xml:space="preserve"> de </w:t>
      </w:r>
      <w:r w:rsidR="00367AA8" w:rsidRPr="00E04E7E">
        <w:rPr>
          <w:szCs w:val="22"/>
          <w:u w:color="000000"/>
        </w:rPr>
        <w:t xml:space="preserve">otras </w:t>
      </w:r>
      <w:r w:rsidRPr="00E04E7E">
        <w:rPr>
          <w:szCs w:val="22"/>
          <w:u w:color="000000"/>
        </w:rPr>
        <w:t xml:space="preserve">páginas secundarias, así como la traducción </w:t>
      </w:r>
      <w:r w:rsidR="00367AA8" w:rsidRPr="00E04E7E">
        <w:rPr>
          <w:szCs w:val="22"/>
          <w:u w:color="000000"/>
        </w:rPr>
        <w:t>e implementación en curso de las distintas versiones lingüísticas.</w:t>
      </w:r>
    </w:p>
    <w:p w:rsidR="00C13B4A" w:rsidRPr="00E04E7E" w:rsidRDefault="00367AA8" w:rsidP="00C13B4A">
      <w:pPr>
        <w:pStyle w:val="Heading1"/>
      </w:pPr>
      <w:r w:rsidRPr="00E04E7E">
        <w:t>con</w:t>
      </w:r>
      <w:r w:rsidR="00C13B4A" w:rsidRPr="00E04E7E">
        <w:t>CLUSION</w:t>
      </w:r>
      <w:r w:rsidRPr="00E04E7E">
        <w:t>e</w:t>
      </w:r>
      <w:r w:rsidR="00C13B4A" w:rsidRPr="00E04E7E">
        <w:t>S</w:t>
      </w:r>
    </w:p>
    <w:p w:rsidR="00C13B4A" w:rsidRPr="00E04E7E" w:rsidRDefault="00C13B4A" w:rsidP="00C13B4A"/>
    <w:p w:rsidR="00C13B4A" w:rsidRPr="00E04E7E" w:rsidRDefault="00367AA8" w:rsidP="00367AA8">
      <w:pPr>
        <w:pStyle w:val="ONUMFS"/>
        <w:rPr>
          <w:rFonts w:eastAsia="Arial Unicode MS"/>
          <w:u w:color="000000"/>
        </w:rPr>
      </w:pPr>
      <w:r w:rsidRPr="00E04E7E">
        <w:t xml:space="preserve">La Secretaría preparó el </w:t>
      </w:r>
      <w:r w:rsidR="00C13B4A" w:rsidRPr="00E04E7E">
        <w:t>present</w:t>
      </w:r>
      <w:r w:rsidRPr="00E04E7E">
        <w:t>e</w:t>
      </w:r>
      <w:r w:rsidR="00C13B4A" w:rsidRPr="00E04E7E">
        <w:t xml:space="preserve"> document</w:t>
      </w:r>
      <w:r w:rsidRPr="00E04E7E">
        <w:t>o</w:t>
      </w:r>
      <w:r w:rsidR="00C13B4A" w:rsidRPr="00E04E7E">
        <w:t xml:space="preserve"> </w:t>
      </w:r>
      <w:r w:rsidRPr="00E04E7E">
        <w:t>con el fin de informar sobre los avances realizados en la aplicación de la Política Lingüística y las medidas adoptadas para reducir costos, modernizar los sistemas y mejorar la calidad de los documentos.</w:t>
      </w:r>
    </w:p>
    <w:p w:rsidR="00C13B4A" w:rsidRPr="00E04E7E" w:rsidRDefault="00367AA8" w:rsidP="00C13B4A">
      <w:pPr>
        <w:pStyle w:val="ONUMFS"/>
        <w:rPr>
          <w:rFonts w:eastAsia="Arial Unicode MS"/>
          <w:u w:color="000000"/>
        </w:rPr>
      </w:pPr>
      <w:r w:rsidRPr="00E04E7E">
        <w:t>Se propone el siguiente párrafo de decisión</w:t>
      </w:r>
      <w:r w:rsidR="00C13B4A" w:rsidRPr="00E04E7E">
        <w:t>.</w:t>
      </w:r>
    </w:p>
    <w:p w:rsidR="00C13B4A" w:rsidRPr="00E04E7E" w:rsidRDefault="00367AA8" w:rsidP="00367AA8">
      <w:pPr>
        <w:pStyle w:val="ONUMFS"/>
        <w:ind w:left="5529"/>
        <w:rPr>
          <w:i/>
        </w:rPr>
      </w:pPr>
      <w:r w:rsidRPr="00E04E7E">
        <w:rPr>
          <w:i/>
        </w:rPr>
        <w:t>El Comité del Programa y Presupuesto tomó nota del informe sobre la</w:t>
      </w:r>
      <w:r w:rsidR="00583F0E" w:rsidRPr="00E04E7E">
        <w:rPr>
          <w:i/>
        </w:rPr>
        <w:t xml:space="preserve"> marcha de la aplicación de la P</w:t>
      </w:r>
      <w:r w:rsidRPr="00E04E7E">
        <w:rPr>
          <w:i/>
        </w:rPr>
        <w:t xml:space="preserve">olítica </w:t>
      </w:r>
      <w:r w:rsidR="00583F0E" w:rsidRPr="00E04E7E">
        <w:rPr>
          <w:i/>
        </w:rPr>
        <w:t>L</w:t>
      </w:r>
      <w:r w:rsidRPr="00E04E7E">
        <w:rPr>
          <w:i/>
        </w:rPr>
        <w:t xml:space="preserve">ingüística de la OMPI </w:t>
      </w:r>
      <w:r w:rsidR="00C13B4A" w:rsidRPr="00E04E7E">
        <w:rPr>
          <w:i/>
        </w:rPr>
        <w:t>(document</w:t>
      </w:r>
      <w:r w:rsidRPr="00E04E7E">
        <w:rPr>
          <w:i/>
        </w:rPr>
        <w:t>o</w:t>
      </w:r>
      <w:r w:rsidR="00C13B4A" w:rsidRPr="00E04E7E">
        <w:rPr>
          <w:i/>
        </w:rPr>
        <w:t xml:space="preserve"> WO/PBC/22/16), </w:t>
      </w:r>
      <w:r w:rsidRPr="00E04E7E">
        <w:rPr>
          <w:i/>
        </w:rPr>
        <w:t>y</w:t>
      </w:r>
      <w:r w:rsidR="00C13B4A" w:rsidRPr="00E04E7E">
        <w:rPr>
          <w:i/>
        </w:rPr>
        <w:t>:</w:t>
      </w:r>
    </w:p>
    <w:p w:rsidR="00C13B4A" w:rsidRPr="00E04E7E" w:rsidRDefault="00C13B4A" w:rsidP="00C13B4A">
      <w:pPr>
        <w:pStyle w:val="ONUME"/>
        <w:numPr>
          <w:ilvl w:val="0"/>
          <w:numId w:val="0"/>
        </w:numPr>
        <w:spacing w:after="0"/>
        <w:ind w:left="5533"/>
        <w:rPr>
          <w:i/>
        </w:rPr>
      </w:pPr>
    </w:p>
    <w:p w:rsidR="00C13B4A" w:rsidRPr="00E04E7E" w:rsidRDefault="00367AA8" w:rsidP="00C13B4A">
      <w:pPr>
        <w:pStyle w:val="ONUME"/>
        <w:numPr>
          <w:ilvl w:val="8"/>
          <w:numId w:val="8"/>
        </w:numPr>
        <w:tabs>
          <w:tab w:val="left" w:pos="5954"/>
        </w:tabs>
        <w:spacing w:after="0"/>
        <w:ind w:left="6237" w:firstLine="0"/>
        <w:rPr>
          <w:i/>
        </w:rPr>
      </w:pPr>
      <w:r w:rsidRPr="00E04E7E">
        <w:rPr>
          <w:i/>
        </w:rPr>
        <w:t>reconoció</w:t>
      </w:r>
      <w:r w:rsidR="00C13B4A" w:rsidRPr="00E04E7E">
        <w:rPr>
          <w:i/>
        </w:rPr>
        <w:t>:</w:t>
      </w:r>
    </w:p>
    <w:p w:rsidR="00C13B4A" w:rsidRPr="00E04E7E" w:rsidRDefault="00C13B4A" w:rsidP="00C13B4A">
      <w:pPr>
        <w:pStyle w:val="ONUME"/>
        <w:numPr>
          <w:ilvl w:val="0"/>
          <w:numId w:val="0"/>
        </w:numPr>
        <w:tabs>
          <w:tab w:val="left" w:pos="5954"/>
        </w:tabs>
        <w:spacing w:after="0"/>
        <w:ind w:left="6237"/>
        <w:rPr>
          <w:i/>
        </w:rPr>
      </w:pPr>
    </w:p>
    <w:p w:rsidR="00C13B4A" w:rsidRPr="00E04E7E" w:rsidRDefault="00367AA8" w:rsidP="00C13B4A">
      <w:pPr>
        <w:pStyle w:val="ONUME"/>
        <w:numPr>
          <w:ilvl w:val="8"/>
          <w:numId w:val="9"/>
        </w:numPr>
        <w:tabs>
          <w:tab w:val="left" w:pos="5954"/>
        </w:tabs>
        <w:spacing w:after="0"/>
        <w:ind w:left="6804" w:firstLine="0"/>
        <w:rPr>
          <w:i/>
        </w:rPr>
      </w:pPr>
      <w:r w:rsidRPr="00E04E7E">
        <w:rPr>
          <w:i/>
        </w:rPr>
        <w:t>las medidas de fomento de la racionalización y el control aplicadas para limitar el aumento del volumen de trabajo de traducción</w:t>
      </w:r>
      <w:r w:rsidR="00C13B4A" w:rsidRPr="00E04E7E">
        <w:rPr>
          <w:i/>
        </w:rPr>
        <w:t>;</w:t>
      </w:r>
    </w:p>
    <w:p w:rsidR="00C13B4A" w:rsidRPr="00E04E7E" w:rsidRDefault="00C13B4A" w:rsidP="00C13B4A">
      <w:pPr>
        <w:pStyle w:val="ONUME"/>
        <w:numPr>
          <w:ilvl w:val="0"/>
          <w:numId w:val="0"/>
        </w:numPr>
        <w:tabs>
          <w:tab w:val="left" w:pos="5954"/>
        </w:tabs>
        <w:spacing w:after="0"/>
        <w:ind w:left="6804"/>
        <w:rPr>
          <w:i/>
        </w:rPr>
      </w:pPr>
    </w:p>
    <w:p w:rsidR="00C13B4A" w:rsidRPr="00E04E7E" w:rsidRDefault="00D56733" w:rsidP="00C13B4A">
      <w:pPr>
        <w:pStyle w:val="ONUME"/>
        <w:numPr>
          <w:ilvl w:val="8"/>
          <w:numId w:val="9"/>
        </w:numPr>
        <w:tabs>
          <w:tab w:val="left" w:pos="5954"/>
        </w:tabs>
        <w:spacing w:after="0"/>
        <w:ind w:left="6804" w:firstLine="0"/>
        <w:rPr>
          <w:i/>
        </w:rPr>
      </w:pPr>
      <w:r w:rsidRPr="00E04E7E">
        <w:rPr>
          <w:i/>
        </w:rPr>
        <w:t>la</w:t>
      </w:r>
      <w:r w:rsidR="00EC7A48" w:rsidRPr="00E04E7E">
        <w:rPr>
          <w:i/>
        </w:rPr>
        <w:t xml:space="preserve"> obtención de</w:t>
      </w:r>
      <w:r w:rsidRPr="00E04E7E">
        <w:rPr>
          <w:i/>
        </w:rPr>
        <w:t xml:space="preserve"> mejoras de la </w:t>
      </w:r>
      <w:r w:rsidR="007D7DDB" w:rsidRPr="00E04E7E">
        <w:rPr>
          <w:i/>
        </w:rPr>
        <w:t>eficiencia</w:t>
      </w:r>
      <w:r w:rsidRPr="00E04E7E">
        <w:rPr>
          <w:i/>
        </w:rPr>
        <w:t xml:space="preserve"> en función de los costos</w:t>
      </w:r>
      <w:r w:rsidR="00C13B4A" w:rsidRPr="00E04E7E">
        <w:rPr>
          <w:i/>
        </w:rPr>
        <w:t>;</w:t>
      </w:r>
    </w:p>
    <w:p w:rsidR="00C13B4A" w:rsidRPr="00E04E7E" w:rsidRDefault="00C13B4A" w:rsidP="00C13B4A">
      <w:pPr>
        <w:pStyle w:val="ONUME"/>
        <w:numPr>
          <w:ilvl w:val="0"/>
          <w:numId w:val="0"/>
        </w:numPr>
        <w:tabs>
          <w:tab w:val="left" w:pos="5954"/>
        </w:tabs>
        <w:spacing w:after="0"/>
        <w:ind w:left="6804"/>
        <w:rPr>
          <w:i/>
        </w:rPr>
      </w:pPr>
    </w:p>
    <w:p w:rsidR="00C13B4A" w:rsidRPr="00E04E7E" w:rsidRDefault="006454CC" w:rsidP="00C13B4A">
      <w:pPr>
        <w:pStyle w:val="ONUME"/>
        <w:numPr>
          <w:ilvl w:val="8"/>
          <w:numId w:val="9"/>
        </w:numPr>
        <w:tabs>
          <w:tab w:val="left" w:pos="5954"/>
        </w:tabs>
        <w:spacing w:after="0"/>
        <w:ind w:left="6804" w:firstLine="0"/>
        <w:rPr>
          <w:i/>
        </w:rPr>
      </w:pPr>
      <w:r w:rsidRPr="00E04E7E">
        <w:rPr>
          <w:i/>
        </w:rPr>
        <w:t>el aumento del porcentaje de subcontratación externa a la vez que se garantiza la calidad de la traducción</w:t>
      </w:r>
      <w:r w:rsidR="00C13B4A" w:rsidRPr="00E04E7E">
        <w:rPr>
          <w:i/>
        </w:rPr>
        <w:t xml:space="preserve">; </w:t>
      </w:r>
      <w:r w:rsidRPr="00E04E7E">
        <w:rPr>
          <w:i/>
        </w:rPr>
        <w:t>y</w:t>
      </w:r>
    </w:p>
    <w:p w:rsidR="00C13B4A" w:rsidRPr="00E04E7E" w:rsidRDefault="00C13B4A" w:rsidP="00C13B4A">
      <w:pPr>
        <w:pStyle w:val="ONUME"/>
        <w:numPr>
          <w:ilvl w:val="0"/>
          <w:numId w:val="0"/>
        </w:numPr>
        <w:tabs>
          <w:tab w:val="left" w:pos="5954"/>
        </w:tabs>
        <w:spacing w:after="0"/>
        <w:ind w:left="6804"/>
        <w:rPr>
          <w:i/>
        </w:rPr>
      </w:pPr>
    </w:p>
    <w:p w:rsidR="00C13B4A" w:rsidRPr="00E04E7E" w:rsidRDefault="00583F0E" w:rsidP="00583F0E">
      <w:pPr>
        <w:pStyle w:val="ONUME"/>
        <w:numPr>
          <w:ilvl w:val="8"/>
          <w:numId w:val="8"/>
        </w:numPr>
        <w:tabs>
          <w:tab w:val="left" w:pos="5954"/>
        </w:tabs>
        <w:spacing w:after="0"/>
        <w:ind w:left="6237" w:firstLine="0"/>
        <w:rPr>
          <w:i/>
        </w:rPr>
      </w:pPr>
      <w:r w:rsidRPr="00E04E7E">
        <w:rPr>
          <w:i/>
        </w:rPr>
        <w:t>instó a la Secretaría a que prosiga sus esfuerzos a ese respecto e informe de ello al PBC en el contexto del Informe sobre el rendimiento de los programas en</w:t>
      </w:r>
      <w:r w:rsidR="00C13B4A" w:rsidRPr="00E04E7E">
        <w:rPr>
          <w:i/>
        </w:rPr>
        <w:t xml:space="preserve"> 2014.</w:t>
      </w:r>
    </w:p>
    <w:p w:rsidR="00C13B4A" w:rsidRPr="00E04E7E" w:rsidRDefault="00C13B4A" w:rsidP="00C13B4A">
      <w:pPr>
        <w:pStyle w:val="ONUMFS"/>
        <w:numPr>
          <w:ilvl w:val="0"/>
          <w:numId w:val="0"/>
        </w:numPr>
      </w:pPr>
    </w:p>
    <w:p w:rsidR="00C13B4A" w:rsidRPr="00E04E7E" w:rsidRDefault="00C13B4A" w:rsidP="00C13B4A">
      <w:pPr>
        <w:pStyle w:val="Endofdocument-Annex"/>
        <w:rPr>
          <w:szCs w:val="22"/>
          <w:lang w:val="es-ES"/>
        </w:rPr>
      </w:pPr>
      <w:r w:rsidRPr="00E04E7E">
        <w:rPr>
          <w:szCs w:val="22"/>
          <w:lang w:val="es-ES"/>
        </w:rPr>
        <w:t>[</w:t>
      </w:r>
      <w:r w:rsidR="00583F0E" w:rsidRPr="00E04E7E">
        <w:rPr>
          <w:szCs w:val="22"/>
          <w:lang w:val="es-ES"/>
        </w:rPr>
        <w:t>Fin del</w:t>
      </w:r>
      <w:r w:rsidR="005C52FB" w:rsidRPr="00E04E7E">
        <w:rPr>
          <w:szCs w:val="22"/>
          <w:lang w:val="es-ES"/>
        </w:rPr>
        <w:t xml:space="preserve"> document</w:t>
      </w:r>
      <w:r w:rsidR="00583F0E" w:rsidRPr="00E04E7E">
        <w:rPr>
          <w:szCs w:val="22"/>
          <w:lang w:val="es-ES"/>
        </w:rPr>
        <w:t>o</w:t>
      </w:r>
      <w:r w:rsidRPr="00E04E7E">
        <w:rPr>
          <w:szCs w:val="22"/>
          <w:lang w:val="es-ES"/>
        </w:rPr>
        <w:t>]</w:t>
      </w:r>
    </w:p>
    <w:sectPr w:rsidR="00C13B4A" w:rsidRPr="00E04E7E" w:rsidSect="00C13B4A">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C75" w:rsidRDefault="009D5C75">
      <w:r>
        <w:separator/>
      </w:r>
    </w:p>
  </w:endnote>
  <w:endnote w:type="continuationSeparator" w:id="0">
    <w:p w:rsidR="009D5C75" w:rsidRPr="009D30E6" w:rsidRDefault="009D5C75" w:rsidP="007E663E">
      <w:pPr>
        <w:rPr>
          <w:sz w:val="17"/>
          <w:szCs w:val="17"/>
        </w:rPr>
      </w:pPr>
      <w:r w:rsidRPr="009D30E6">
        <w:rPr>
          <w:sz w:val="17"/>
          <w:szCs w:val="17"/>
        </w:rPr>
        <w:separator/>
      </w:r>
    </w:p>
    <w:p w:rsidR="009D5C75" w:rsidRPr="007E663E" w:rsidRDefault="009D5C75" w:rsidP="007E663E">
      <w:pPr>
        <w:spacing w:after="60"/>
        <w:rPr>
          <w:sz w:val="17"/>
          <w:szCs w:val="17"/>
        </w:rPr>
      </w:pPr>
      <w:r>
        <w:rPr>
          <w:sz w:val="17"/>
        </w:rPr>
        <w:t>[Continuación de la nota de la página anterior]</w:t>
      </w:r>
    </w:p>
  </w:endnote>
  <w:endnote w:type="continuationNotice" w:id="1">
    <w:p w:rsidR="009D5C75" w:rsidRPr="007E663E" w:rsidRDefault="009D5C7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C75" w:rsidRDefault="009D5C75">
      <w:r>
        <w:separator/>
      </w:r>
    </w:p>
  </w:footnote>
  <w:footnote w:type="continuationSeparator" w:id="0">
    <w:p w:rsidR="009D5C75" w:rsidRPr="009D30E6" w:rsidRDefault="009D5C75" w:rsidP="007E663E">
      <w:pPr>
        <w:rPr>
          <w:sz w:val="17"/>
          <w:szCs w:val="17"/>
        </w:rPr>
      </w:pPr>
      <w:r w:rsidRPr="009D30E6">
        <w:rPr>
          <w:sz w:val="17"/>
          <w:szCs w:val="17"/>
        </w:rPr>
        <w:separator/>
      </w:r>
    </w:p>
    <w:p w:rsidR="009D5C75" w:rsidRPr="007E663E" w:rsidRDefault="009D5C75" w:rsidP="007E663E">
      <w:pPr>
        <w:spacing w:after="60"/>
        <w:rPr>
          <w:sz w:val="17"/>
          <w:szCs w:val="17"/>
        </w:rPr>
      </w:pPr>
      <w:r>
        <w:rPr>
          <w:sz w:val="17"/>
        </w:rPr>
        <w:t>[Continuación de la nota de la página anterior]</w:t>
      </w:r>
    </w:p>
  </w:footnote>
  <w:footnote w:type="continuationNotice" w:id="1">
    <w:p w:rsidR="009D5C75" w:rsidRPr="007E663E" w:rsidRDefault="009D5C75" w:rsidP="007E663E">
      <w:pPr>
        <w:spacing w:before="60"/>
        <w:jc w:val="right"/>
        <w:rPr>
          <w:sz w:val="17"/>
          <w:szCs w:val="17"/>
        </w:rPr>
      </w:pPr>
      <w:r w:rsidRPr="007E663E">
        <w:rPr>
          <w:sz w:val="17"/>
          <w:szCs w:val="17"/>
        </w:rPr>
        <w:t>[Sigue la nota en la página siguiente]</w:t>
      </w:r>
    </w:p>
  </w:footnote>
  <w:footnote w:id="2">
    <w:p w:rsidR="00430C99" w:rsidRPr="00B41F9D" w:rsidRDefault="00430C99" w:rsidP="00C13B4A">
      <w:pPr>
        <w:pStyle w:val="FootnoteText"/>
        <w:rPr>
          <w:lang w:val="es-ES_tradnl"/>
        </w:rPr>
      </w:pPr>
      <w:r w:rsidRPr="00B41F9D">
        <w:rPr>
          <w:rStyle w:val="FootnoteReference"/>
          <w:lang w:val="es-ES_tradnl"/>
        </w:rPr>
        <w:footnoteRef/>
      </w:r>
      <w:r w:rsidRPr="00B41F9D">
        <w:rPr>
          <w:lang w:val="es-ES_tradnl"/>
        </w:rPr>
        <w:t xml:space="preserve"> </w:t>
      </w:r>
      <w:r w:rsidRPr="00B41F9D">
        <w:rPr>
          <w:u w:color="000000"/>
          <w:lang w:val="es-ES_tradnl"/>
        </w:rPr>
        <w:t xml:space="preserve">Documentos WO/PBC/21/15 </w:t>
      </w:r>
      <w:r>
        <w:rPr>
          <w:u w:color="000000"/>
          <w:lang w:val="es-ES_tradnl"/>
        </w:rPr>
        <w:t>y</w:t>
      </w:r>
      <w:r w:rsidRPr="00B41F9D">
        <w:rPr>
          <w:u w:color="000000"/>
          <w:lang w:val="es-ES_tradnl"/>
        </w:rPr>
        <w:t xml:space="preserve"> A/51/12</w:t>
      </w:r>
    </w:p>
  </w:footnote>
  <w:footnote w:id="3">
    <w:p w:rsidR="00430C99" w:rsidRPr="00B41F9D" w:rsidRDefault="00430C99" w:rsidP="00C13B4A">
      <w:pPr>
        <w:pStyle w:val="FootnoteText"/>
        <w:rPr>
          <w:lang w:val="es-ES_tradnl"/>
        </w:rPr>
      </w:pPr>
      <w:r w:rsidRPr="00B41F9D">
        <w:rPr>
          <w:rStyle w:val="FootnoteReference"/>
          <w:lang w:val="es-ES_tradnl"/>
        </w:rPr>
        <w:footnoteRef/>
      </w:r>
      <w:r w:rsidRPr="00B41F9D">
        <w:rPr>
          <w:lang w:val="es-ES_tradnl"/>
        </w:rPr>
        <w:t xml:space="preserve"> Documentos </w:t>
      </w:r>
      <w:r w:rsidRPr="00B41F9D">
        <w:rPr>
          <w:u w:color="000000"/>
          <w:lang w:val="es-ES_tradnl"/>
        </w:rPr>
        <w:t xml:space="preserve">WO/PBC/21/21, WO/PBC/21/22 </w:t>
      </w:r>
      <w:r>
        <w:rPr>
          <w:u w:color="000000"/>
          <w:lang w:val="es-ES_tradnl"/>
        </w:rPr>
        <w:t>y</w:t>
      </w:r>
      <w:r w:rsidRPr="00B41F9D">
        <w:rPr>
          <w:u w:color="000000"/>
          <w:lang w:val="es-ES_tradnl"/>
        </w:rPr>
        <w:t xml:space="preserve"> A/51/14</w:t>
      </w:r>
    </w:p>
  </w:footnote>
  <w:footnote w:id="4">
    <w:p w:rsidR="00430C99" w:rsidRPr="00B41F9D" w:rsidRDefault="00430C99" w:rsidP="00C13B4A">
      <w:pPr>
        <w:pStyle w:val="FootnoteText"/>
        <w:rPr>
          <w:lang w:val="es-ES_tradnl"/>
        </w:rPr>
      </w:pPr>
      <w:r w:rsidRPr="00B41F9D">
        <w:rPr>
          <w:rStyle w:val="FootnoteReference"/>
          <w:lang w:val="es-ES_tradnl"/>
        </w:rPr>
        <w:footnoteRef/>
      </w:r>
      <w:r w:rsidRPr="00B41F9D">
        <w:rPr>
          <w:lang w:val="es-ES_tradnl"/>
        </w:rPr>
        <w:t xml:space="preserve"> </w:t>
      </w:r>
      <w:r w:rsidRPr="00B41F9D">
        <w:rPr>
          <w:u w:color="000000"/>
          <w:lang w:val="es-ES_tradnl"/>
        </w:rPr>
        <w:t>Document</w:t>
      </w:r>
      <w:r>
        <w:rPr>
          <w:u w:color="000000"/>
          <w:lang w:val="es-ES_tradnl"/>
        </w:rPr>
        <w:t>o</w:t>
      </w:r>
      <w:r w:rsidRPr="00B41F9D">
        <w:rPr>
          <w:u w:color="000000"/>
          <w:lang w:val="es-ES_tradnl"/>
        </w:rPr>
        <w:t xml:space="preserve">s WO/PBC/21/15 </w:t>
      </w:r>
      <w:r>
        <w:rPr>
          <w:u w:color="000000"/>
          <w:lang w:val="es-ES_tradnl"/>
        </w:rPr>
        <w:t xml:space="preserve">y </w:t>
      </w:r>
      <w:r w:rsidRPr="00B41F9D">
        <w:rPr>
          <w:u w:color="000000"/>
          <w:lang w:val="es-ES_tradnl"/>
        </w:rPr>
        <w:t>A/51/12</w:t>
      </w:r>
    </w:p>
  </w:footnote>
  <w:footnote w:id="5">
    <w:p w:rsidR="00430C99" w:rsidRPr="00B41F9D" w:rsidRDefault="00430C99" w:rsidP="00C13B4A">
      <w:pPr>
        <w:pStyle w:val="FootnoteText"/>
        <w:rPr>
          <w:lang w:val="es-ES_tradnl"/>
        </w:rPr>
      </w:pPr>
      <w:r w:rsidRPr="00B41F9D">
        <w:rPr>
          <w:rStyle w:val="FootnoteReference"/>
          <w:lang w:val="es-ES_tradnl"/>
        </w:rPr>
        <w:footnoteRef/>
      </w:r>
      <w:r w:rsidRPr="00B41F9D">
        <w:rPr>
          <w:lang w:val="es-ES_tradnl"/>
        </w:rPr>
        <w:t xml:space="preserve"> Document</w:t>
      </w:r>
      <w:r>
        <w:rPr>
          <w:lang w:val="es-ES_tradnl"/>
        </w:rPr>
        <w:t>o</w:t>
      </w:r>
      <w:r w:rsidRPr="00B41F9D">
        <w:rPr>
          <w:lang w:val="es-ES_tradnl"/>
        </w:rPr>
        <w:t xml:space="preserve"> A/48/11 ADD, </w:t>
      </w:r>
      <w:r>
        <w:rPr>
          <w:lang w:val="es-ES_tradnl"/>
        </w:rPr>
        <w:t>párrafo 2.</w:t>
      </w:r>
      <w:r w:rsidRPr="00B41F9D">
        <w:rPr>
          <w:lang w:val="es-ES_tradnl"/>
        </w:rPr>
        <w:t>v)</w:t>
      </w:r>
    </w:p>
  </w:footnote>
  <w:footnote w:id="6">
    <w:p w:rsidR="00430C99" w:rsidRPr="00B41F9D" w:rsidRDefault="00430C99" w:rsidP="00C13B4A">
      <w:pPr>
        <w:pStyle w:val="FootnoteText"/>
        <w:rPr>
          <w:lang w:val="es-ES_tradnl"/>
        </w:rPr>
      </w:pPr>
      <w:r w:rsidRPr="00B41F9D">
        <w:rPr>
          <w:rStyle w:val="FootnoteReference"/>
          <w:lang w:val="es-ES_tradnl"/>
        </w:rPr>
        <w:footnoteRef/>
      </w:r>
      <w:r w:rsidRPr="00B41F9D">
        <w:rPr>
          <w:lang w:val="es-ES_tradnl"/>
        </w:rPr>
        <w:t xml:space="preserve"> </w:t>
      </w:r>
      <w:r>
        <w:rPr>
          <w:lang w:val="es-ES_tradnl"/>
        </w:rPr>
        <w:t>Excluidas las palabras revisadas como parte del proceso de control de calidad (revisión</w:t>
      </w:r>
      <w:r w:rsidR="003D278A" w:rsidRPr="003D278A">
        <w:rPr>
          <w:lang w:val="es-ES_tradnl"/>
        </w:rPr>
        <w:t xml:space="preserve"> </w:t>
      </w:r>
      <w:r w:rsidR="003D278A">
        <w:rPr>
          <w:lang w:val="es-ES_tradnl"/>
        </w:rPr>
        <w:t>comparada</w:t>
      </w:r>
      <w:r>
        <w:rPr>
          <w:lang w:val="es-ES_tradnl"/>
        </w:rPr>
        <w:t xml:space="preserve">, </w:t>
      </w:r>
      <w:r w:rsidR="00FF5A7C">
        <w:rPr>
          <w:lang w:val="es-ES_tradnl"/>
        </w:rPr>
        <w:t xml:space="preserve">revisión </w:t>
      </w:r>
      <w:r w:rsidR="003D278A">
        <w:rPr>
          <w:lang w:val="es-ES_tradnl"/>
        </w:rPr>
        <w:t xml:space="preserve">en el idioma de destino </w:t>
      </w:r>
      <w:r>
        <w:rPr>
          <w:lang w:val="es-ES_tradnl"/>
        </w:rPr>
        <w:t>y corrección de pruebas) para los documentos traducidos, que se añadieron al computar los costos.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C99" w:rsidRDefault="00430C99" w:rsidP="00477D6B">
    <w:pPr>
      <w:jc w:val="right"/>
    </w:pPr>
    <w:bookmarkStart w:id="5" w:name="Code2"/>
    <w:bookmarkEnd w:id="5"/>
    <w:r>
      <w:t>WO/PBC/22/16</w:t>
    </w:r>
  </w:p>
  <w:p w:rsidR="00430C99" w:rsidRDefault="00430C99" w:rsidP="00477D6B">
    <w:pPr>
      <w:jc w:val="right"/>
    </w:pPr>
    <w:r>
      <w:t xml:space="preserve">página </w:t>
    </w:r>
    <w:r>
      <w:fldChar w:fldCharType="begin"/>
    </w:r>
    <w:r>
      <w:instrText xml:space="preserve"> PAGE  \* MERGEFORMAT </w:instrText>
    </w:r>
    <w:r>
      <w:fldChar w:fldCharType="separate"/>
    </w:r>
    <w:r w:rsidR="00E07106">
      <w:rPr>
        <w:noProof/>
      </w:rPr>
      <w:t>6</w:t>
    </w:r>
    <w:r>
      <w:fldChar w:fldCharType="end"/>
    </w:r>
  </w:p>
  <w:p w:rsidR="00430C99" w:rsidRDefault="00430C9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000001"/>
    <w:multiLevelType w:val="multilevel"/>
    <w:tmpl w:val="DEFAD570"/>
    <w:lvl w:ilvl="0">
      <w:start w:val="1"/>
      <w:numFmt w:val="lowerLetter"/>
      <w:lvlText w:val="%1)"/>
      <w:lvlJc w:val="left"/>
      <w:pPr>
        <w:tabs>
          <w:tab w:val="num" w:pos="619"/>
        </w:tabs>
        <w:ind w:left="619" w:firstLine="110"/>
      </w:pPr>
      <w:rPr>
        <w:rFonts w:hint="default"/>
        <w:b w:val="0"/>
        <w:i/>
        <w:caps w:val="0"/>
        <w:smallCaps w:val="0"/>
        <w:strike w:val="0"/>
        <w:dstrike w:val="0"/>
        <w:color w:val="000000"/>
        <w:kern w:val="0"/>
        <w:position w:val="0"/>
        <w:sz w:val="22"/>
        <w:u w:val="none" w:color="000000"/>
        <w:vertAlign w:val="baseline"/>
        <w:rtl w:val="0"/>
        <w:em w:val="none"/>
        <w:lang w:val="en-US"/>
      </w:rPr>
    </w:lvl>
    <w:lvl w:ilvl="1">
      <w:start w:val="1"/>
      <w:numFmt w:val="lowerLetter"/>
      <w:suff w:val="nothing"/>
      <w:lvlText w:val="%2."/>
      <w:lvlJc w:val="left"/>
      <w:pPr>
        <w:ind w:left="0" w:firstLine="567"/>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lowerRoman"/>
      <w:suff w:val="nothing"/>
      <w:lvlText w:val="%3."/>
      <w:lvlJc w:val="left"/>
      <w:pPr>
        <w:ind w:left="0" w:firstLine="1134"/>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decimal"/>
      <w:suff w:val="nothing"/>
      <w:lvlText w:val="%4."/>
      <w:lvlJc w:val="left"/>
      <w:pPr>
        <w:ind w:left="0" w:firstLine="1701"/>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decimal"/>
      <w:suff w:val="nothing"/>
      <w:lvlText w:val="%5."/>
      <w:lvlJc w:val="left"/>
      <w:pPr>
        <w:ind w:left="0" w:firstLine="2268"/>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decimal"/>
      <w:suff w:val="nothing"/>
      <w:lvlText w:val="%6."/>
      <w:lvlJc w:val="left"/>
      <w:pPr>
        <w:ind w:left="0" w:firstLine="2835"/>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decimal"/>
      <w:suff w:val="nothing"/>
      <w:lvlText w:val="%7."/>
      <w:lvlJc w:val="left"/>
      <w:pPr>
        <w:ind w:left="0" w:firstLine="3402"/>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decimal"/>
      <w:suff w:val="nothing"/>
      <w:lvlText w:val="%8."/>
      <w:lvlJc w:val="left"/>
      <w:pPr>
        <w:ind w:left="0" w:firstLine="3969"/>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decimal"/>
      <w:suff w:val="nothing"/>
      <w:lvlText w:val="%9."/>
      <w:lvlJc w:val="left"/>
      <w:pPr>
        <w:ind w:left="0" w:firstLine="4535"/>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abstractNum>
  <w:abstractNum w:abstractNumId="2">
    <w:nsid w:val="06CD29E3"/>
    <w:multiLevelType w:val="multilevel"/>
    <w:tmpl w:val="60644D5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6AB0993"/>
    <w:multiLevelType w:val="multilevel"/>
    <w:tmpl w:val="A036B74C"/>
    <w:lvl w:ilvl="0">
      <w:start w:val="1"/>
      <w:numFmt w:val="lowerLetter"/>
      <w:lvlText w:val="(%1)"/>
      <w:lvlJc w:val="left"/>
      <w:pPr>
        <w:tabs>
          <w:tab w:val="num" w:pos="619"/>
        </w:tabs>
        <w:ind w:left="619" w:firstLine="110"/>
      </w:pPr>
      <w:rPr>
        <w:rFonts w:eastAsia="Times New Roman" w:hint="default"/>
        <w:b w:val="0"/>
        <w:i/>
        <w:caps w:val="0"/>
        <w:smallCaps w:val="0"/>
        <w:strike w:val="0"/>
        <w:dstrike w:val="0"/>
        <w:color w:val="000000"/>
        <w:kern w:val="0"/>
        <w:position w:val="0"/>
        <w:sz w:val="22"/>
        <w:u w:val="none" w:color="000000"/>
        <w:vertAlign w:val="baseline"/>
        <w:rtl w:val="0"/>
        <w:em w:val="none"/>
        <w:lang w:val="en-US"/>
      </w:rPr>
    </w:lvl>
    <w:lvl w:ilvl="1">
      <w:start w:val="1"/>
      <w:numFmt w:val="lowerLetter"/>
      <w:suff w:val="nothing"/>
      <w:lvlText w:val="%2."/>
      <w:lvlJc w:val="left"/>
      <w:pPr>
        <w:ind w:left="0" w:firstLine="567"/>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lowerRoman"/>
      <w:suff w:val="nothing"/>
      <w:lvlText w:val="%3."/>
      <w:lvlJc w:val="left"/>
      <w:pPr>
        <w:ind w:left="0" w:firstLine="1134"/>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decimal"/>
      <w:suff w:val="nothing"/>
      <w:lvlText w:val="%4."/>
      <w:lvlJc w:val="left"/>
      <w:pPr>
        <w:ind w:left="0" w:firstLine="1701"/>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decimal"/>
      <w:suff w:val="nothing"/>
      <w:lvlText w:val="%5."/>
      <w:lvlJc w:val="left"/>
      <w:pPr>
        <w:ind w:left="0" w:firstLine="2268"/>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decimal"/>
      <w:suff w:val="nothing"/>
      <w:lvlText w:val="%6."/>
      <w:lvlJc w:val="left"/>
      <w:pPr>
        <w:ind w:left="0" w:firstLine="2835"/>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decimal"/>
      <w:suff w:val="nothing"/>
      <w:lvlText w:val="%7."/>
      <w:lvlJc w:val="left"/>
      <w:pPr>
        <w:ind w:left="0" w:firstLine="3402"/>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decimal"/>
      <w:suff w:val="nothing"/>
      <w:lvlText w:val="%8."/>
      <w:lvlJc w:val="left"/>
      <w:pPr>
        <w:ind w:left="0" w:firstLine="3969"/>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lowerLetter"/>
      <w:lvlText w:val="%9)"/>
      <w:lvlJc w:val="left"/>
      <w:pPr>
        <w:ind w:left="0" w:firstLine="4535"/>
      </w:pPr>
      <w:rPr>
        <w:rFonts w:hint="default"/>
        <w:b w:val="0"/>
        <w:i w:val="0"/>
        <w:caps w:val="0"/>
        <w:smallCaps w:val="0"/>
        <w:strike w:val="0"/>
        <w:dstrike w:val="0"/>
        <w:color w:val="000000"/>
        <w:kern w:val="0"/>
        <w:position w:val="0"/>
        <w:sz w:val="22"/>
        <w:u w:val="none" w:color="000000"/>
        <w:vertAlign w:val="baseline"/>
        <w:rtl w:val="0"/>
        <w:em w:val="none"/>
        <w:lang w:val="en-US"/>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C5CF8"/>
    <w:multiLevelType w:val="multilevel"/>
    <w:tmpl w:val="D1C29F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rFonts w:cs="Times New Roman" w:hint="default"/>
      </w:r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1"/>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B4A"/>
    <w:rsid w:val="00010686"/>
    <w:rsid w:val="00052915"/>
    <w:rsid w:val="00076C26"/>
    <w:rsid w:val="00087A3F"/>
    <w:rsid w:val="000A4801"/>
    <w:rsid w:val="000C31B8"/>
    <w:rsid w:val="000D5191"/>
    <w:rsid w:val="000E3BB3"/>
    <w:rsid w:val="000F5E56"/>
    <w:rsid w:val="001362EE"/>
    <w:rsid w:val="00152CEA"/>
    <w:rsid w:val="00161931"/>
    <w:rsid w:val="001832A6"/>
    <w:rsid w:val="002172EC"/>
    <w:rsid w:val="0023144A"/>
    <w:rsid w:val="002634C4"/>
    <w:rsid w:val="00266F68"/>
    <w:rsid w:val="002B2FC0"/>
    <w:rsid w:val="002D6900"/>
    <w:rsid w:val="002E0F47"/>
    <w:rsid w:val="002F4E68"/>
    <w:rsid w:val="00305B36"/>
    <w:rsid w:val="00323492"/>
    <w:rsid w:val="00341A94"/>
    <w:rsid w:val="00353A92"/>
    <w:rsid w:val="00354647"/>
    <w:rsid w:val="00367AA8"/>
    <w:rsid w:val="00377273"/>
    <w:rsid w:val="003845C1"/>
    <w:rsid w:val="00387287"/>
    <w:rsid w:val="003C03B9"/>
    <w:rsid w:val="003C3221"/>
    <w:rsid w:val="003D278A"/>
    <w:rsid w:val="003E48F1"/>
    <w:rsid w:val="003F347A"/>
    <w:rsid w:val="0040122C"/>
    <w:rsid w:val="00423E3E"/>
    <w:rsid w:val="00427AF4"/>
    <w:rsid w:val="00430C99"/>
    <w:rsid w:val="0045231F"/>
    <w:rsid w:val="004647DA"/>
    <w:rsid w:val="00477808"/>
    <w:rsid w:val="00477D6B"/>
    <w:rsid w:val="00495194"/>
    <w:rsid w:val="004A6C37"/>
    <w:rsid w:val="004E297D"/>
    <w:rsid w:val="005332F0"/>
    <w:rsid w:val="00542795"/>
    <w:rsid w:val="00543DCB"/>
    <w:rsid w:val="0055013B"/>
    <w:rsid w:val="00571B99"/>
    <w:rsid w:val="00583EA1"/>
    <w:rsid w:val="00583F0E"/>
    <w:rsid w:val="005C12B7"/>
    <w:rsid w:val="005C52FB"/>
    <w:rsid w:val="005D6A7E"/>
    <w:rsid w:val="00605827"/>
    <w:rsid w:val="00611835"/>
    <w:rsid w:val="00613A4A"/>
    <w:rsid w:val="006454CC"/>
    <w:rsid w:val="00646445"/>
    <w:rsid w:val="00670860"/>
    <w:rsid w:val="00674656"/>
    <w:rsid w:val="00675021"/>
    <w:rsid w:val="00690BAE"/>
    <w:rsid w:val="006A06C6"/>
    <w:rsid w:val="006A5F96"/>
    <w:rsid w:val="006F3240"/>
    <w:rsid w:val="007224C8"/>
    <w:rsid w:val="00776440"/>
    <w:rsid w:val="0079001B"/>
    <w:rsid w:val="00794BE2"/>
    <w:rsid w:val="007B71FB"/>
    <w:rsid w:val="007B71FE"/>
    <w:rsid w:val="007D781E"/>
    <w:rsid w:val="007D7DDB"/>
    <w:rsid w:val="007E5F10"/>
    <w:rsid w:val="007E663E"/>
    <w:rsid w:val="00815082"/>
    <w:rsid w:val="00826077"/>
    <w:rsid w:val="008630BA"/>
    <w:rsid w:val="0088395E"/>
    <w:rsid w:val="008B2CC1"/>
    <w:rsid w:val="008C7F0B"/>
    <w:rsid w:val="008E6BD6"/>
    <w:rsid w:val="008E770F"/>
    <w:rsid w:val="0090731E"/>
    <w:rsid w:val="00921576"/>
    <w:rsid w:val="00966A22"/>
    <w:rsid w:val="00972F03"/>
    <w:rsid w:val="00996F4E"/>
    <w:rsid w:val="009A0315"/>
    <w:rsid w:val="009A0C8B"/>
    <w:rsid w:val="009B6241"/>
    <w:rsid w:val="009D5C75"/>
    <w:rsid w:val="009F3802"/>
    <w:rsid w:val="009F5E0D"/>
    <w:rsid w:val="009F74A6"/>
    <w:rsid w:val="00A002C8"/>
    <w:rsid w:val="00A022CE"/>
    <w:rsid w:val="00A16FC0"/>
    <w:rsid w:val="00A270B3"/>
    <w:rsid w:val="00A32C9E"/>
    <w:rsid w:val="00A66DE6"/>
    <w:rsid w:val="00AB613D"/>
    <w:rsid w:val="00AE7F20"/>
    <w:rsid w:val="00B41F9D"/>
    <w:rsid w:val="00B55E10"/>
    <w:rsid w:val="00B65A0A"/>
    <w:rsid w:val="00B67CDC"/>
    <w:rsid w:val="00B72D36"/>
    <w:rsid w:val="00B7622A"/>
    <w:rsid w:val="00B9537E"/>
    <w:rsid w:val="00BA1C25"/>
    <w:rsid w:val="00BB5B11"/>
    <w:rsid w:val="00BC4164"/>
    <w:rsid w:val="00BD2DCC"/>
    <w:rsid w:val="00BE4403"/>
    <w:rsid w:val="00C13B4A"/>
    <w:rsid w:val="00C23A01"/>
    <w:rsid w:val="00C32CA4"/>
    <w:rsid w:val="00C456A2"/>
    <w:rsid w:val="00C836AC"/>
    <w:rsid w:val="00C90559"/>
    <w:rsid w:val="00CA2251"/>
    <w:rsid w:val="00CE7AA0"/>
    <w:rsid w:val="00CF377F"/>
    <w:rsid w:val="00D00117"/>
    <w:rsid w:val="00D040CB"/>
    <w:rsid w:val="00D37AB0"/>
    <w:rsid w:val="00D56733"/>
    <w:rsid w:val="00D56C7C"/>
    <w:rsid w:val="00D71B4D"/>
    <w:rsid w:val="00D90289"/>
    <w:rsid w:val="00D93D55"/>
    <w:rsid w:val="00DC4C60"/>
    <w:rsid w:val="00DF2323"/>
    <w:rsid w:val="00E0079A"/>
    <w:rsid w:val="00E04E7E"/>
    <w:rsid w:val="00E07106"/>
    <w:rsid w:val="00E31FA5"/>
    <w:rsid w:val="00E444DA"/>
    <w:rsid w:val="00E45C84"/>
    <w:rsid w:val="00E504E5"/>
    <w:rsid w:val="00E51356"/>
    <w:rsid w:val="00E54691"/>
    <w:rsid w:val="00EB7A3E"/>
    <w:rsid w:val="00EC401A"/>
    <w:rsid w:val="00EC7A48"/>
    <w:rsid w:val="00ED2F87"/>
    <w:rsid w:val="00EF530A"/>
    <w:rsid w:val="00EF6622"/>
    <w:rsid w:val="00F1084C"/>
    <w:rsid w:val="00F55408"/>
    <w:rsid w:val="00F66152"/>
    <w:rsid w:val="00F80845"/>
    <w:rsid w:val="00F84474"/>
    <w:rsid w:val="00FA0F0D"/>
    <w:rsid w:val="00FD5587"/>
    <w:rsid w:val="00FD59D1"/>
    <w:rsid w:val="00FF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7AA8"/>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Styletexte">
    <w:name w:val="Style texte"/>
    <w:basedOn w:val="Normal"/>
    <w:link w:val="StyletexteChar"/>
    <w:rsid w:val="00C13B4A"/>
    <w:pPr>
      <w:spacing w:after="120"/>
      <w:jc w:val="both"/>
    </w:pPr>
    <w:rPr>
      <w:rFonts w:eastAsia="Times New Roman" w:cs="Times New Roman"/>
      <w:lang w:val="en-US" w:eastAsia="en-US"/>
    </w:rPr>
  </w:style>
  <w:style w:type="character" w:customStyle="1" w:styleId="StyletexteChar">
    <w:name w:val="Style texte Char"/>
    <w:basedOn w:val="DefaultParagraphFont"/>
    <w:link w:val="Styletexte"/>
    <w:rsid w:val="00C13B4A"/>
    <w:rPr>
      <w:rFonts w:ascii="Arial" w:hAnsi="Arial"/>
      <w:sz w:val="22"/>
    </w:rPr>
  </w:style>
  <w:style w:type="character" w:styleId="FootnoteReference">
    <w:name w:val="footnote reference"/>
    <w:basedOn w:val="DefaultParagraphFont"/>
    <w:rsid w:val="00C13B4A"/>
    <w:rPr>
      <w:vertAlign w:val="superscript"/>
    </w:rPr>
  </w:style>
  <w:style w:type="character" w:customStyle="1" w:styleId="ONUMEChar">
    <w:name w:val="ONUM E Char"/>
    <w:link w:val="ONUME"/>
    <w:rsid w:val="00C13B4A"/>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7AA8"/>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Styletexte">
    <w:name w:val="Style texte"/>
    <w:basedOn w:val="Normal"/>
    <w:link w:val="StyletexteChar"/>
    <w:rsid w:val="00C13B4A"/>
    <w:pPr>
      <w:spacing w:after="120"/>
      <w:jc w:val="both"/>
    </w:pPr>
    <w:rPr>
      <w:rFonts w:eastAsia="Times New Roman" w:cs="Times New Roman"/>
      <w:lang w:val="en-US" w:eastAsia="en-US"/>
    </w:rPr>
  </w:style>
  <w:style w:type="character" w:customStyle="1" w:styleId="StyletexteChar">
    <w:name w:val="Style texte Char"/>
    <w:basedOn w:val="DefaultParagraphFont"/>
    <w:link w:val="Styletexte"/>
    <w:rsid w:val="00C13B4A"/>
    <w:rPr>
      <w:rFonts w:ascii="Arial" w:hAnsi="Arial"/>
      <w:sz w:val="22"/>
    </w:rPr>
  </w:style>
  <w:style w:type="character" w:styleId="FootnoteReference">
    <w:name w:val="footnote reference"/>
    <w:basedOn w:val="DefaultParagraphFont"/>
    <w:rsid w:val="00C13B4A"/>
    <w:rPr>
      <w:vertAlign w:val="superscript"/>
    </w:rPr>
  </w:style>
  <w:style w:type="character" w:customStyle="1" w:styleId="ONUMEChar">
    <w:name w:val="ONUM E Char"/>
    <w:link w:val="ONUME"/>
    <w:rsid w:val="00C13B4A"/>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PBC 22 (S).dotm</Template>
  <TotalTime>246</TotalTime>
  <Pages>1</Pages>
  <Words>2036</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WO/PBC/22/16</vt:lpstr>
    </vt:vector>
  </TitlesOfParts>
  <Company>WIPO</Company>
  <LinksUpToDate>false</LinksUpToDate>
  <CharactersWithSpaces>13619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WO/PBC/22/16</dc:title>
  <dc:subject>Informe sobre la marcha de la aplicación de la política lingüística de la OMPI</dc:subject>
  <dc:creator>BOU LLORET Amparo</dc:creator>
  <dc:description>JC - 29/7/2014</dc:description>
  <cp:lastModifiedBy>BOU LLORET Amparo</cp:lastModifiedBy>
  <cp:revision>80</cp:revision>
  <cp:lastPrinted>2014-07-29T09:46:00Z</cp:lastPrinted>
  <dcterms:created xsi:type="dcterms:W3CDTF">2014-07-28T13:41:00Z</dcterms:created>
  <dcterms:modified xsi:type="dcterms:W3CDTF">2014-07-29T14:09:00Z</dcterms:modified>
</cp:coreProperties>
</file>